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D3DC8E">
      <w:pPr>
        <w:spacing w:line="480" w:lineRule="exact"/>
        <w:ind w:firstLine="723" w:firstLineChars="200"/>
        <w:jc w:val="right"/>
        <w:rPr>
          <w:rFonts w:hint="eastAsia" w:ascii="宋体" w:hAnsi="宋体" w:eastAsia="宋体" w:cs="宋体"/>
          <w:b/>
          <w:sz w:val="36"/>
          <w:szCs w:val="36"/>
          <w:bdr w:val="single" w:color="auto" w:sz="4" w:space="0"/>
          <w:shd w:val="pct10" w:color="auto" w:fill="FFFFFF"/>
        </w:rPr>
      </w:pPr>
      <w:bookmarkStart w:id="104" w:name="_GoBack"/>
      <w:bookmarkEnd w:id="104"/>
      <w:r>
        <w:rPr>
          <w:rFonts w:hint="eastAsia" w:ascii="宋体" w:hAnsi="宋体" w:eastAsia="宋体" w:cs="宋体"/>
          <w:b/>
          <w:sz w:val="36"/>
          <w:szCs w:val="36"/>
          <w:bdr w:val="single" w:color="auto" w:sz="4" w:space="0"/>
          <w:shd w:val="pct10" w:color="auto" w:fill="FFFFFF"/>
        </w:rPr>
        <w:t>政府采购项目</w:t>
      </w:r>
    </w:p>
    <w:p w14:paraId="216C0458">
      <w:pPr>
        <w:autoSpaceDE w:val="0"/>
        <w:autoSpaceDN w:val="0"/>
        <w:adjustRightInd w:val="0"/>
        <w:snapToGrid w:val="0"/>
        <w:spacing w:line="360" w:lineRule="auto"/>
        <w:jc w:val="left"/>
        <w:rPr>
          <w:rFonts w:hint="eastAsia" w:ascii="宋体" w:hAnsi="宋体" w:eastAsia="宋体" w:cs="宋体"/>
          <w:sz w:val="32"/>
          <w:szCs w:val="32"/>
          <w:lang w:val="zh-CN"/>
        </w:rPr>
      </w:pPr>
      <w:r>
        <w:rPr>
          <w:rFonts w:hint="eastAsia" w:ascii="宋体" w:hAnsi="宋体" w:eastAsia="宋体" w:cs="宋体"/>
          <w:lang w:eastAsia="zh-CN"/>
        </w:rPr>
        <w:drawing>
          <wp:anchor distT="0" distB="0" distL="114300" distR="114300" simplePos="0" relativeHeight="251659264" behindDoc="0" locked="0" layoutInCell="1" allowOverlap="1">
            <wp:simplePos x="0" y="0"/>
            <wp:positionH relativeFrom="column">
              <wp:posOffset>-745490</wp:posOffset>
            </wp:positionH>
            <wp:positionV relativeFrom="paragraph">
              <wp:posOffset>72390</wp:posOffset>
            </wp:positionV>
            <wp:extent cx="7546340" cy="9234170"/>
            <wp:effectExtent l="0" t="0" r="16510" b="5080"/>
            <wp:wrapNone/>
            <wp:docPr id="1" name="图片 1" descr="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封面_00"/>
                    <pic:cNvPicPr>
                      <a:picLocks noChangeAspect="1"/>
                    </pic:cNvPicPr>
                  </pic:nvPicPr>
                  <pic:blipFill>
                    <a:blip r:embed="rId34"/>
                    <a:srcRect t="13527"/>
                    <a:stretch>
                      <a:fillRect/>
                    </a:stretch>
                  </pic:blipFill>
                  <pic:spPr>
                    <a:xfrm>
                      <a:off x="0" y="0"/>
                      <a:ext cx="7546340" cy="9234170"/>
                    </a:xfrm>
                    <a:prstGeom prst="rect">
                      <a:avLst/>
                    </a:prstGeom>
                  </pic:spPr>
                </pic:pic>
              </a:graphicData>
            </a:graphic>
          </wp:anchor>
        </w:drawing>
      </w:r>
    </w:p>
    <w:p w14:paraId="0837DED4">
      <w:pPr>
        <w:autoSpaceDE w:val="0"/>
        <w:autoSpaceDN w:val="0"/>
        <w:adjustRightInd w:val="0"/>
        <w:snapToGrid w:val="0"/>
        <w:spacing w:line="360" w:lineRule="auto"/>
        <w:jc w:val="left"/>
        <w:rPr>
          <w:rFonts w:hint="eastAsia" w:ascii="宋体" w:hAnsi="宋体" w:eastAsia="宋体" w:cs="宋体"/>
          <w:b/>
          <w:bCs/>
          <w:sz w:val="32"/>
          <w:szCs w:val="32"/>
          <w:lang w:eastAsia="zh-CN"/>
        </w:rPr>
      </w:pPr>
      <w:r>
        <w:rPr>
          <w:rFonts w:hint="eastAsia" w:ascii="宋体" w:hAnsi="宋体" w:eastAsia="宋体" w:cs="宋体"/>
          <w:b/>
          <w:bCs/>
          <w:sz w:val="32"/>
          <w:szCs w:val="32"/>
          <w:lang w:val="zh-CN"/>
        </w:rPr>
        <w:t>项目编号</w:t>
      </w:r>
      <w:r>
        <w:rPr>
          <w:rFonts w:hint="eastAsia" w:ascii="宋体" w:hAnsi="宋体" w:eastAsia="宋体" w:cs="宋体"/>
          <w:b/>
          <w:bCs/>
          <w:sz w:val="32"/>
          <w:szCs w:val="32"/>
          <w:lang w:val="zh-CN" w:eastAsia="zh-CN"/>
        </w:rPr>
        <w:t>：BJFMT2025(014)号</w:t>
      </w:r>
    </w:p>
    <w:p w14:paraId="5828A0B2">
      <w:pPr>
        <w:autoSpaceDE w:val="0"/>
        <w:autoSpaceDN w:val="0"/>
        <w:adjustRightInd w:val="0"/>
        <w:snapToGrid w:val="0"/>
        <w:spacing w:line="360" w:lineRule="auto"/>
        <w:jc w:val="left"/>
        <w:rPr>
          <w:rFonts w:hint="eastAsia" w:ascii="宋体" w:hAnsi="宋体" w:eastAsia="宋体" w:cs="宋体"/>
          <w:b/>
          <w:bCs/>
          <w:sz w:val="32"/>
          <w:szCs w:val="32"/>
          <w:lang w:eastAsia="zh-CN"/>
        </w:rPr>
      </w:pPr>
    </w:p>
    <w:p w14:paraId="39CBBB30">
      <w:pPr>
        <w:spacing w:line="240" w:lineRule="auto"/>
        <w:jc w:val="center"/>
        <w:outlineLvl w:val="9"/>
        <w:rPr>
          <w:rFonts w:hint="eastAsia" w:ascii="宋体" w:hAnsi="宋体" w:eastAsia="宋体" w:cs="宋体"/>
          <w:b/>
          <w:bCs/>
          <w:i w:val="0"/>
          <w:iCs w:val="0"/>
          <w:caps w:val="0"/>
          <w:color w:val="333333"/>
          <w:spacing w:val="0"/>
          <w:kern w:val="0"/>
          <w:sz w:val="60"/>
          <w:szCs w:val="60"/>
          <w:u w:val="none"/>
          <w:lang w:val="en-US" w:eastAsia="zh-CN" w:bidi="ar"/>
        </w:rPr>
      </w:pPr>
      <w:r>
        <w:rPr>
          <w:rFonts w:hint="eastAsia" w:ascii="宋体" w:hAnsi="宋体" w:eastAsia="宋体" w:cs="宋体"/>
          <w:b/>
          <w:bCs/>
          <w:i w:val="0"/>
          <w:iCs w:val="0"/>
          <w:caps w:val="0"/>
          <w:color w:val="333333"/>
          <w:spacing w:val="0"/>
          <w:kern w:val="0"/>
          <w:sz w:val="60"/>
          <w:szCs w:val="60"/>
          <w:u w:val="none"/>
          <w:lang w:val="en-US" w:eastAsia="zh-CN" w:bidi="ar"/>
        </w:rPr>
        <w:t>千阳县学校互联网光纤接入项目</w:t>
      </w:r>
    </w:p>
    <w:p w14:paraId="52597794">
      <w:pPr>
        <w:spacing w:line="240" w:lineRule="auto"/>
        <w:jc w:val="center"/>
        <w:outlineLvl w:val="9"/>
        <w:rPr>
          <w:rFonts w:hint="eastAsia" w:ascii="宋体" w:hAnsi="宋体" w:eastAsia="宋体" w:cs="宋体"/>
          <w:b/>
          <w:bCs/>
          <w:sz w:val="72"/>
          <w:szCs w:val="72"/>
          <w:lang w:val="en-US"/>
        </w:rPr>
      </w:pPr>
      <w:r>
        <w:rPr>
          <w:rFonts w:hint="eastAsia" w:ascii="宋体" w:hAnsi="宋体" w:eastAsia="宋体" w:cs="宋体"/>
          <w:b/>
          <w:bCs/>
          <w:i w:val="0"/>
          <w:iCs w:val="0"/>
          <w:caps w:val="0"/>
          <w:color w:val="333333"/>
          <w:spacing w:val="0"/>
          <w:kern w:val="0"/>
          <w:sz w:val="60"/>
          <w:szCs w:val="60"/>
          <w:u w:val="none"/>
          <w:lang w:val="en-US" w:eastAsia="zh-CN" w:bidi="ar"/>
        </w:rPr>
        <w:t>第1包</w:t>
      </w:r>
    </w:p>
    <w:p w14:paraId="52894EE9">
      <w:pPr>
        <w:rPr>
          <w:rFonts w:hint="eastAsia" w:ascii="宋体" w:hAnsi="宋体" w:eastAsia="宋体" w:cs="宋体"/>
        </w:rPr>
      </w:pPr>
    </w:p>
    <w:p w14:paraId="131340E1">
      <w:pPr>
        <w:rPr>
          <w:rFonts w:hint="eastAsia" w:ascii="宋体" w:hAnsi="宋体" w:eastAsia="宋体" w:cs="宋体"/>
          <w:lang w:eastAsia="zh-CN"/>
        </w:rPr>
      </w:pPr>
    </w:p>
    <w:p w14:paraId="000354F5">
      <w:pPr>
        <w:pStyle w:val="11"/>
        <w:rPr>
          <w:rFonts w:hint="eastAsia" w:ascii="宋体" w:hAnsi="宋体" w:eastAsia="宋体" w:cs="宋体"/>
          <w:lang w:eastAsia="zh-CN"/>
        </w:rPr>
      </w:pPr>
    </w:p>
    <w:p w14:paraId="0B009660">
      <w:pPr>
        <w:spacing w:line="360" w:lineRule="auto"/>
        <w:ind w:firstLine="361" w:firstLineChars="50"/>
        <w:jc w:val="center"/>
        <w:rPr>
          <w:rFonts w:hint="eastAsia" w:ascii="宋体" w:hAnsi="宋体" w:eastAsia="宋体" w:cs="宋体"/>
          <w:b/>
          <w:bCs/>
          <w:spacing w:val="4"/>
          <w:sz w:val="72"/>
          <w:szCs w:val="72"/>
        </w:rPr>
      </w:pPr>
      <w:r>
        <w:rPr>
          <w:rFonts w:hint="eastAsia" w:ascii="宋体" w:hAnsi="宋体" w:eastAsia="宋体" w:cs="宋体"/>
          <w:b/>
          <w:bCs/>
          <w:sz w:val="72"/>
          <w:szCs w:val="72"/>
        </w:rPr>
        <w:t>竞争性磋商</w:t>
      </w:r>
      <w:r>
        <w:rPr>
          <w:rFonts w:hint="eastAsia" w:ascii="宋体" w:hAnsi="宋体" w:eastAsia="宋体" w:cs="宋体"/>
          <w:b/>
          <w:bCs/>
          <w:spacing w:val="4"/>
          <w:sz w:val="72"/>
          <w:szCs w:val="72"/>
        </w:rPr>
        <w:t>文件</w:t>
      </w:r>
    </w:p>
    <w:p w14:paraId="29293640">
      <w:pPr>
        <w:spacing w:line="360" w:lineRule="auto"/>
        <w:rPr>
          <w:rFonts w:hint="eastAsia" w:ascii="宋体" w:hAnsi="宋体" w:eastAsia="宋体" w:cs="宋体"/>
          <w:b/>
          <w:bCs/>
          <w:spacing w:val="4"/>
        </w:rPr>
      </w:pPr>
    </w:p>
    <w:p w14:paraId="6DCFB6C1">
      <w:pPr>
        <w:spacing w:line="360" w:lineRule="auto"/>
        <w:rPr>
          <w:rFonts w:hint="eastAsia" w:ascii="宋体" w:hAnsi="宋体" w:eastAsia="宋体" w:cs="宋体"/>
          <w:b/>
          <w:bCs/>
          <w:spacing w:val="4"/>
        </w:rPr>
      </w:pPr>
    </w:p>
    <w:p w14:paraId="3FACF313">
      <w:pPr>
        <w:pStyle w:val="2"/>
        <w:ind w:left="0" w:firstLine="0" w:firstLineChars="0"/>
        <w:rPr>
          <w:rFonts w:hint="eastAsia" w:ascii="宋体" w:hAnsi="宋体" w:eastAsia="宋体" w:cs="宋体"/>
        </w:rPr>
      </w:pPr>
    </w:p>
    <w:p w14:paraId="5EAF8CCE">
      <w:pPr>
        <w:rPr>
          <w:rFonts w:hint="eastAsia" w:ascii="宋体" w:hAnsi="宋体" w:eastAsia="宋体" w:cs="宋体"/>
        </w:rPr>
      </w:pPr>
    </w:p>
    <w:p w14:paraId="073F149F">
      <w:pPr>
        <w:tabs>
          <w:tab w:val="left" w:pos="5670"/>
        </w:tabs>
        <w:autoSpaceDE w:val="0"/>
        <w:autoSpaceDN w:val="0"/>
        <w:adjustRightInd w:val="0"/>
        <w:snapToGrid w:val="0"/>
        <w:spacing w:line="360" w:lineRule="auto"/>
        <w:rPr>
          <w:rFonts w:hint="eastAsia" w:ascii="宋体" w:hAnsi="宋体" w:eastAsia="宋体" w:cs="宋体"/>
          <w:b/>
          <w:bCs/>
          <w:sz w:val="32"/>
          <w:szCs w:val="32"/>
          <w:lang w:val="zh-CN"/>
        </w:rPr>
      </w:pPr>
    </w:p>
    <w:p w14:paraId="61D2C7E0">
      <w:pPr>
        <w:tabs>
          <w:tab w:val="left" w:pos="5670"/>
        </w:tabs>
        <w:autoSpaceDE w:val="0"/>
        <w:autoSpaceDN w:val="0"/>
        <w:adjustRightInd w:val="0"/>
        <w:snapToGrid w:val="0"/>
        <w:spacing w:line="360" w:lineRule="auto"/>
        <w:ind w:firstLine="1446" w:firstLineChars="400"/>
        <w:jc w:val="both"/>
        <w:rPr>
          <w:rFonts w:hint="eastAsia" w:ascii="宋体" w:hAnsi="宋体" w:eastAsia="宋体" w:cs="宋体"/>
          <w:b/>
          <w:bCs/>
          <w:sz w:val="36"/>
          <w:szCs w:val="36"/>
        </w:rPr>
      </w:pPr>
      <w:r>
        <w:rPr>
          <w:rFonts w:hint="eastAsia" w:ascii="宋体" w:hAnsi="宋体" w:eastAsia="宋体" w:cs="宋体"/>
          <w:b/>
          <w:bCs/>
          <w:sz w:val="36"/>
          <w:szCs w:val="36"/>
          <w:lang w:val="zh-CN"/>
        </w:rPr>
        <w:t>采购单位：千阳县电化教育中心</w:t>
      </w:r>
    </w:p>
    <w:p w14:paraId="22D491B6">
      <w:pPr>
        <w:tabs>
          <w:tab w:val="left" w:pos="5670"/>
        </w:tabs>
        <w:autoSpaceDE w:val="0"/>
        <w:autoSpaceDN w:val="0"/>
        <w:adjustRightInd w:val="0"/>
        <w:snapToGrid w:val="0"/>
        <w:spacing w:line="360" w:lineRule="auto"/>
        <w:ind w:firstLine="1446" w:firstLineChars="400"/>
        <w:jc w:val="both"/>
        <w:rPr>
          <w:rFonts w:hint="eastAsia" w:ascii="宋体" w:hAnsi="宋体" w:eastAsia="宋体" w:cs="宋体"/>
          <w:b/>
          <w:bCs/>
          <w:sz w:val="36"/>
          <w:szCs w:val="36"/>
        </w:rPr>
      </w:pPr>
    </w:p>
    <w:p w14:paraId="552C7AD3">
      <w:pPr>
        <w:tabs>
          <w:tab w:val="left" w:pos="5670"/>
        </w:tabs>
        <w:autoSpaceDE w:val="0"/>
        <w:autoSpaceDN w:val="0"/>
        <w:adjustRightInd w:val="0"/>
        <w:snapToGrid w:val="0"/>
        <w:spacing w:line="360" w:lineRule="auto"/>
        <w:ind w:firstLine="1446" w:firstLineChars="400"/>
        <w:jc w:val="both"/>
        <w:rPr>
          <w:rFonts w:hint="eastAsia" w:ascii="宋体" w:hAnsi="宋体" w:eastAsia="宋体" w:cs="宋体"/>
          <w:b/>
          <w:bCs/>
          <w:sz w:val="36"/>
          <w:szCs w:val="36"/>
          <w:lang w:val="zh-CN"/>
        </w:rPr>
      </w:pPr>
      <w:r>
        <w:rPr>
          <w:rFonts w:hint="eastAsia" w:ascii="宋体" w:hAnsi="宋体" w:eastAsia="宋体" w:cs="宋体"/>
          <w:b/>
          <w:bCs/>
          <w:sz w:val="36"/>
          <w:szCs w:val="36"/>
        </w:rPr>
        <w:t>代理单位：</w:t>
      </w:r>
      <w:r>
        <w:rPr>
          <w:rFonts w:hint="eastAsia" w:ascii="宋体" w:hAnsi="宋体" w:eastAsia="宋体" w:cs="宋体"/>
          <w:b/>
          <w:bCs/>
          <w:sz w:val="36"/>
          <w:szCs w:val="36"/>
          <w:lang w:val="zh-CN"/>
        </w:rPr>
        <w:t>宝鸡福美特项目管理有限公司</w:t>
      </w:r>
    </w:p>
    <w:p w14:paraId="487BEB26">
      <w:pPr>
        <w:tabs>
          <w:tab w:val="left" w:pos="5460"/>
        </w:tabs>
        <w:autoSpaceDE w:val="0"/>
        <w:autoSpaceDN w:val="0"/>
        <w:adjustRightInd w:val="0"/>
        <w:snapToGrid w:val="0"/>
        <w:spacing w:line="360" w:lineRule="auto"/>
        <w:jc w:val="center"/>
        <w:rPr>
          <w:rFonts w:hint="eastAsia" w:ascii="宋体" w:hAnsi="宋体" w:eastAsia="宋体" w:cs="宋体"/>
          <w:b/>
          <w:bCs/>
          <w:sz w:val="36"/>
          <w:szCs w:val="36"/>
          <w:lang w:val="zh-CN"/>
        </w:rPr>
      </w:pPr>
    </w:p>
    <w:p w14:paraId="21FEAEC4">
      <w:pPr>
        <w:tabs>
          <w:tab w:val="left" w:pos="5460"/>
        </w:tabs>
        <w:autoSpaceDE w:val="0"/>
        <w:autoSpaceDN w:val="0"/>
        <w:adjustRightInd w:val="0"/>
        <w:snapToGrid w:val="0"/>
        <w:spacing w:line="360" w:lineRule="auto"/>
        <w:jc w:val="center"/>
        <w:rPr>
          <w:rFonts w:hint="eastAsia" w:ascii="宋体" w:hAnsi="宋体" w:eastAsia="宋体" w:cs="宋体"/>
          <w:b/>
          <w:bCs/>
          <w:sz w:val="36"/>
          <w:szCs w:val="36"/>
          <w:lang w:val="zh-CN"/>
        </w:rPr>
        <w:sectPr>
          <w:headerReference r:id="rId4" w:type="first"/>
          <w:headerReference r:id="rId3" w:type="default"/>
          <w:footerReference r:id="rId5" w:type="default"/>
          <w:pgSz w:w="11849" w:h="16781"/>
          <w:pgMar w:top="1440" w:right="1080" w:bottom="1440" w:left="1080" w:header="720" w:footer="720"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bCs/>
          <w:sz w:val="36"/>
          <w:szCs w:val="36"/>
        </w:rPr>
        <w:t xml:space="preserve">  </w:t>
      </w:r>
      <w:r>
        <w:rPr>
          <w:rFonts w:hint="eastAsia" w:ascii="宋体" w:hAnsi="宋体" w:eastAsia="宋体" w:cs="宋体"/>
          <w:b/>
          <w:bCs/>
          <w:sz w:val="36"/>
          <w:szCs w:val="36"/>
          <w:lang w:val="zh-CN"/>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lang w:val="zh-CN"/>
        </w:rPr>
        <w:t>年</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lang w:val="zh-CN"/>
        </w:rPr>
        <w:t>月</w:t>
      </w:r>
    </w:p>
    <w:p w14:paraId="29F0EA63">
      <w:pPr>
        <w:tabs>
          <w:tab w:val="left" w:pos="5460"/>
        </w:tabs>
        <w:autoSpaceDE w:val="0"/>
        <w:autoSpaceDN w:val="0"/>
        <w:adjustRightInd w:val="0"/>
        <w:snapToGrid w:val="0"/>
        <w:spacing w:line="360" w:lineRule="auto"/>
        <w:jc w:val="center"/>
        <w:rPr>
          <w:rFonts w:hint="eastAsia" w:ascii="宋体" w:hAnsi="宋体" w:eastAsia="宋体" w:cs="宋体"/>
          <w:b/>
          <w:bCs/>
          <w:kern w:val="44"/>
          <w:sz w:val="44"/>
          <w:szCs w:val="44"/>
          <w:lang w:val="zh-CN"/>
        </w:rPr>
      </w:pPr>
      <w:r>
        <w:rPr>
          <w:rFonts w:hint="eastAsia" w:ascii="宋体" w:hAnsi="宋体" w:eastAsia="宋体" w:cs="宋体"/>
          <w:b/>
          <w:bCs/>
          <w:kern w:val="44"/>
          <w:sz w:val="44"/>
          <w:szCs w:val="44"/>
          <w:lang w:val="zh-CN"/>
        </w:rPr>
        <w:t>温馨提示</w:t>
      </w:r>
    </w:p>
    <w:p w14:paraId="14D4E955">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1、请您仔细阅读磋商文件并正确理解磋商文件中各项具体要求。</w:t>
      </w:r>
    </w:p>
    <w:p w14:paraId="42AD06AA">
      <w:pPr>
        <w:spacing w:line="48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本项目采用不见面开标电子化投标方式磋商，投标供应商须使用数字认证证书（CA锁）对电子磋商响应文件进行签章、加密、递交、开标时解密以及二次报价等相关招投标事宜;供应商通过线上观看开标现场视频，无需到现场参加开标会议。</w:t>
      </w:r>
    </w:p>
    <w:p w14:paraId="193AD1E8">
      <w:pPr>
        <w:spacing w:line="48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实施“不见面开标”，供应商应确保自己的电脑环境、CA锁、网络等状况良好，以免影响其参与交易活动。</w:t>
      </w:r>
    </w:p>
    <w:p w14:paraId="6F2405A3">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、请您确保磋商保证金凭证已办理。</w:t>
      </w:r>
    </w:p>
    <w:p w14:paraId="407698DF">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、咨询其他问题，请与我们的工作人员联系，竭诚为您服务。</w:t>
      </w:r>
    </w:p>
    <w:p w14:paraId="7499B7ED">
      <w:pPr>
        <w:spacing w:line="480" w:lineRule="auto"/>
        <w:ind w:firstLine="120" w:firstLineChars="50"/>
        <w:rPr>
          <w:rFonts w:hint="eastAsia" w:ascii="宋体" w:hAnsi="宋体" w:eastAsia="宋体" w:cs="宋体"/>
          <w:color w:val="auto"/>
          <w:sz w:val="24"/>
          <w:szCs w:val="24"/>
          <w:highlight w:val="none"/>
        </w:rPr>
      </w:pPr>
    </w:p>
    <w:p w14:paraId="37F9A915">
      <w:pPr>
        <w:spacing w:line="48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 xml:space="preserve">宝鸡福美特项目管理有限公司 </w:t>
      </w:r>
    </w:p>
    <w:p w14:paraId="19DD2F65">
      <w:pPr>
        <w:spacing w:line="48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址：宝鸡市金台区行政东路三迪金融中心8楼</w:t>
      </w:r>
      <w:r>
        <w:rPr>
          <w:rFonts w:hint="eastAsia" w:ascii="宋体" w:hAnsi="宋体" w:eastAsia="宋体" w:cs="宋体"/>
          <w:color w:val="auto"/>
          <w:sz w:val="24"/>
          <w:szCs w:val="24"/>
          <w:highlight w:val="none"/>
          <w:lang w:val="en-US" w:eastAsia="zh-CN"/>
        </w:rPr>
        <w:t>805室</w:t>
      </w:r>
    </w:p>
    <w:p w14:paraId="7CB473A5">
      <w:pPr>
        <w:spacing w:line="48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苏秋秋     13319178519</w:t>
      </w:r>
    </w:p>
    <w:p w14:paraId="6B7E5588">
      <w:pPr>
        <w:pStyle w:val="23"/>
        <w:ind w:firstLine="448"/>
        <w:rPr>
          <w:rFonts w:hint="eastAsia" w:ascii="宋体" w:hAnsi="宋体" w:eastAsia="宋体" w:cs="宋体"/>
          <w:spacing w:val="4"/>
          <w:sz w:val="44"/>
        </w:rPr>
      </w:pPr>
    </w:p>
    <w:p w14:paraId="2B66F95D">
      <w:pPr>
        <w:spacing w:line="360" w:lineRule="auto"/>
        <w:ind w:firstLine="2432" w:firstLineChars="543"/>
        <w:rPr>
          <w:rFonts w:hint="eastAsia" w:ascii="宋体" w:hAnsi="宋体" w:eastAsia="宋体" w:cs="宋体"/>
          <w:spacing w:val="4"/>
          <w:sz w:val="44"/>
        </w:rPr>
      </w:pPr>
      <w:r>
        <w:rPr>
          <w:rFonts w:hint="eastAsia" w:ascii="宋体" w:hAnsi="宋体" w:eastAsia="宋体" w:cs="宋体"/>
          <w:spacing w:val="4"/>
          <w:sz w:val="44"/>
        </w:rPr>
        <w:br w:type="page"/>
      </w:r>
    </w:p>
    <w:p w14:paraId="46B6C6D1">
      <w:pPr>
        <w:spacing w:line="360" w:lineRule="auto"/>
        <w:jc w:val="center"/>
        <w:rPr>
          <w:rFonts w:hint="eastAsia" w:ascii="宋体" w:hAnsi="宋体" w:eastAsia="宋体" w:cs="宋体"/>
          <w:color w:val="FF0000"/>
          <w:spacing w:val="4"/>
          <w:sz w:val="44"/>
        </w:rPr>
      </w:pPr>
      <w:r>
        <w:rPr>
          <w:rFonts w:hint="eastAsia" w:ascii="宋体" w:hAnsi="宋体" w:eastAsia="宋体" w:cs="宋体"/>
          <w:spacing w:val="4"/>
          <w:sz w:val="44"/>
        </w:rPr>
        <w:t>竞争性磋商文件目录</w:t>
      </w:r>
    </w:p>
    <w:p w14:paraId="668380AF">
      <w:pPr>
        <w:pStyle w:val="17"/>
        <w:tabs>
          <w:tab w:val="right" w:leader="dot" w:pos="9689"/>
        </w:tabs>
        <w:spacing w:line="480" w:lineRule="auto"/>
      </w:pPr>
      <w:r>
        <w:rPr>
          <w:rFonts w:hint="eastAsia" w:ascii="宋体" w:hAnsi="宋体" w:eastAsia="宋体" w:cs="宋体"/>
          <w:color w:val="FF0000"/>
          <w:spacing w:val="4"/>
          <w:sz w:val="24"/>
          <w:szCs w:val="24"/>
        </w:rPr>
        <w:fldChar w:fldCharType="begin"/>
      </w:r>
      <w:r>
        <w:rPr>
          <w:rFonts w:hint="eastAsia" w:ascii="宋体" w:hAnsi="宋体" w:eastAsia="宋体" w:cs="宋体"/>
          <w:color w:val="FF0000"/>
          <w:spacing w:val="4"/>
          <w:sz w:val="24"/>
          <w:szCs w:val="24"/>
        </w:rPr>
        <w:instrText xml:space="preserve">TOC \o "1-1" \h \u </w:instrText>
      </w:r>
      <w:r>
        <w:rPr>
          <w:rFonts w:hint="eastAsia" w:ascii="宋体" w:hAnsi="宋体" w:eastAsia="宋体" w:cs="宋体"/>
          <w:color w:val="FF0000"/>
          <w:spacing w:val="4"/>
          <w:sz w:val="24"/>
          <w:szCs w:val="24"/>
        </w:rPr>
        <w:fldChar w:fldCharType="separate"/>
      </w: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_Toc26157 </w:instrText>
      </w:r>
      <w:r>
        <w:rPr>
          <w:rFonts w:hint="eastAsia" w:ascii="宋体" w:hAnsi="宋体" w:eastAsia="宋体" w:cs="宋体"/>
          <w:spacing w:val="4"/>
          <w:szCs w:val="24"/>
        </w:rPr>
        <w:fldChar w:fldCharType="separate"/>
      </w:r>
      <w:r>
        <w:rPr>
          <w:rFonts w:hint="eastAsia" w:ascii="宋体" w:hAnsi="宋体" w:eastAsia="宋体" w:cs="宋体"/>
          <w:bCs/>
          <w:szCs w:val="44"/>
          <w:lang w:val="en-US" w:eastAsia="zh-CN"/>
        </w:rPr>
        <w:t xml:space="preserve">第一章 </w:t>
      </w:r>
      <w:r>
        <w:rPr>
          <w:rFonts w:hint="eastAsia" w:ascii="宋体" w:hAnsi="宋体" w:eastAsia="宋体" w:cs="宋体"/>
          <w:bCs/>
          <w:szCs w:val="44"/>
        </w:rPr>
        <w:t>竞争性磋商公告</w:t>
      </w:r>
      <w:r>
        <w:tab/>
      </w:r>
      <w:r>
        <w:fldChar w:fldCharType="begin"/>
      </w:r>
      <w:r>
        <w:instrText xml:space="preserve"> PAGEREF _Toc26157 \h </w:instrText>
      </w:r>
      <w:r>
        <w:fldChar w:fldCharType="separate"/>
      </w:r>
      <w:r>
        <w:t>3</w:t>
      </w:r>
      <w:r>
        <w:fldChar w:fldCharType="end"/>
      </w:r>
      <w:r>
        <w:rPr>
          <w:rFonts w:hint="eastAsia" w:ascii="宋体" w:hAnsi="宋体" w:eastAsia="宋体" w:cs="宋体"/>
          <w:color w:val="FF0000"/>
          <w:spacing w:val="4"/>
          <w:szCs w:val="24"/>
        </w:rPr>
        <w:fldChar w:fldCharType="end"/>
      </w:r>
    </w:p>
    <w:p w14:paraId="2497742C">
      <w:pPr>
        <w:pStyle w:val="17"/>
        <w:tabs>
          <w:tab w:val="right" w:leader="dot" w:pos="9689"/>
        </w:tabs>
        <w:spacing w:line="480" w:lineRule="auto"/>
      </w:pP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_Toc9004 </w:instrText>
      </w:r>
      <w:r>
        <w:rPr>
          <w:rFonts w:hint="eastAsia" w:ascii="宋体" w:hAnsi="宋体" w:eastAsia="宋体" w:cs="宋体"/>
          <w:spacing w:val="4"/>
          <w:szCs w:val="24"/>
        </w:rPr>
        <w:fldChar w:fldCharType="separate"/>
      </w:r>
      <w:r>
        <w:rPr>
          <w:rFonts w:hint="eastAsia" w:ascii="宋体" w:hAnsi="宋体" w:eastAsia="宋体" w:cs="宋体"/>
          <w:szCs w:val="44"/>
        </w:rPr>
        <w:t>第二章 竞争性磋商须知</w:t>
      </w:r>
      <w:r>
        <w:tab/>
      </w:r>
      <w:r>
        <w:fldChar w:fldCharType="begin"/>
      </w:r>
      <w:r>
        <w:instrText xml:space="preserve"> PAGEREF _Toc9004 \h </w:instrText>
      </w:r>
      <w:r>
        <w:fldChar w:fldCharType="separate"/>
      </w:r>
      <w:r>
        <w:t>9</w:t>
      </w:r>
      <w:r>
        <w:fldChar w:fldCharType="end"/>
      </w:r>
      <w:r>
        <w:rPr>
          <w:rFonts w:hint="eastAsia" w:ascii="宋体" w:hAnsi="宋体" w:eastAsia="宋体" w:cs="宋体"/>
          <w:color w:val="FF0000"/>
          <w:spacing w:val="4"/>
          <w:szCs w:val="24"/>
        </w:rPr>
        <w:fldChar w:fldCharType="end"/>
      </w:r>
    </w:p>
    <w:p w14:paraId="10240C75">
      <w:pPr>
        <w:pStyle w:val="17"/>
        <w:tabs>
          <w:tab w:val="right" w:leader="dot" w:pos="9689"/>
        </w:tabs>
        <w:spacing w:line="480" w:lineRule="auto"/>
      </w:pP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_Toc8363 </w:instrText>
      </w:r>
      <w:r>
        <w:rPr>
          <w:rFonts w:hint="eastAsia" w:ascii="宋体" w:hAnsi="宋体" w:eastAsia="宋体" w:cs="宋体"/>
          <w:spacing w:val="4"/>
          <w:szCs w:val="24"/>
        </w:rPr>
        <w:fldChar w:fldCharType="separate"/>
      </w:r>
      <w:r>
        <w:rPr>
          <w:rFonts w:hint="eastAsia" w:ascii="宋体" w:hAnsi="宋体" w:eastAsia="宋体" w:cs="宋体"/>
        </w:rPr>
        <w:t xml:space="preserve">第三章 </w:t>
      </w:r>
      <w:r>
        <w:rPr>
          <w:rFonts w:hint="eastAsia" w:ascii="宋体" w:hAnsi="宋体" w:eastAsia="宋体" w:cs="宋体"/>
          <w:bCs/>
          <w:kern w:val="0"/>
        </w:rPr>
        <w:t>采购内</w:t>
      </w:r>
      <w:r>
        <w:rPr>
          <w:rFonts w:hint="eastAsia" w:ascii="宋体" w:hAnsi="宋体" w:eastAsia="宋体" w:cs="宋体"/>
          <w:bCs/>
          <w:kern w:val="0"/>
          <w:shd w:val="clear" w:color="auto" w:fill="FFFFFF" w:themeFill="background1"/>
        </w:rPr>
        <w:t>容及要求</w:t>
      </w:r>
      <w:r>
        <w:tab/>
      </w:r>
      <w:r>
        <w:fldChar w:fldCharType="begin"/>
      </w:r>
      <w:r>
        <w:instrText xml:space="preserve"> PAGEREF _Toc8363 \h </w:instrText>
      </w:r>
      <w:r>
        <w:fldChar w:fldCharType="separate"/>
      </w:r>
      <w:r>
        <w:t>34</w:t>
      </w:r>
      <w:r>
        <w:fldChar w:fldCharType="end"/>
      </w:r>
      <w:r>
        <w:rPr>
          <w:rFonts w:hint="eastAsia" w:ascii="宋体" w:hAnsi="宋体" w:eastAsia="宋体" w:cs="宋体"/>
          <w:color w:val="FF0000"/>
          <w:spacing w:val="4"/>
          <w:szCs w:val="24"/>
        </w:rPr>
        <w:fldChar w:fldCharType="end"/>
      </w:r>
    </w:p>
    <w:p w14:paraId="4E6EF706">
      <w:pPr>
        <w:pStyle w:val="17"/>
        <w:tabs>
          <w:tab w:val="right" w:leader="dot" w:pos="9689"/>
        </w:tabs>
        <w:spacing w:line="480" w:lineRule="auto"/>
      </w:pP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_Toc17383 </w:instrText>
      </w:r>
      <w:r>
        <w:rPr>
          <w:rFonts w:hint="eastAsia" w:ascii="宋体" w:hAnsi="宋体" w:eastAsia="宋体" w:cs="宋体"/>
          <w:spacing w:val="4"/>
          <w:szCs w:val="24"/>
        </w:rPr>
        <w:fldChar w:fldCharType="separate"/>
      </w:r>
      <w:r>
        <w:rPr>
          <w:rFonts w:hint="eastAsia" w:ascii="宋体" w:hAnsi="宋体" w:eastAsia="宋体" w:cs="宋体"/>
          <w:bCs/>
          <w:kern w:val="0"/>
          <w:highlight w:val="none"/>
          <w:lang w:eastAsia="zh-CN"/>
        </w:rPr>
        <w:t>第四章</w:t>
      </w:r>
      <w:r>
        <w:rPr>
          <w:rFonts w:hint="eastAsia" w:ascii="宋体" w:hAnsi="宋体" w:eastAsia="宋体" w:cs="宋体"/>
          <w:bCs/>
          <w:kern w:val="0"/>
          <w:highlight w:val="none"/>
          <w:lang w:val="en-US" w:eastAsia="zh-CN"/>
        </w:rPr>
        <w:t xml:space="preserve"> </w:t>
      </w:r>
      <w:r>
        <w:rPr>
          <w:rFonts w:hint="eastAsia" w:ascii="宋体" w:hAnsi="宋体" w:eastAsia="宋体" w:cs="宋体"/>
          <w:bCs/>
          <w:kern w:val="0"/>
          <w:highlight w:val="none"/>
        </w:rPr>
        <w:t>商务要求</w:t>
      </w:r>
      <w:r>
        <w:tab/>
      </w:r>
      <w:r>
        <w:fldChar w:fldCharType="begin"/>
      </w:r>
      <w:r>
        <w:instrText xml:space="preserve"> PAGEREF _Toc17383 \h </w:instrText>
      </w:r>
      <w:r>
        <w:fldChar w:fldCharType="separate"/>
      </w:r>
      <w:r>
        <w:t>35</w:t>
      </w:r>
      <w:r>
        <w:fldChar w:fldCharType="end"/>
      </w:r>
      <w:r>
        <w:rPr>
          <w:rFonts w:hint="eastAsia" w:ascii="宋体" w:hAnsi="宋体" w:eastAsia="宋体" w:cs="宋体"/>
          <w:color w:val="FF0000"/>
          <w:spacing w:val="4"/>
          <w:szCs w:val="24"/>
        </w:rPr>
        <w:fldChar w:fldCharType="end"/>
      </w:r>
    </w:p>
    <w:p w14:paraId="798CF68B">
      <w:pPr>
        <w:pStyle w:val="17"/>
        <w:tabs>
          <w:tab w:val="right" w:leader="dot" w:pos="9689"/>
        </w:tabs>
        <w:spacing w:line="480" w:lineRule="auto"/>
      </w:pP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_Toc7029 </w:instrText>
      </w:r>
      <w:r>
        <w:rPr>
          <w:rFonts w:hint="eastAsia" w:ascii="宋体" w:hAnsi="宋体" w:eastAsia="宋体" w:cs="宋体"/>
          <w:spacing w:val="4"/>
          <w:szCs w:val="24"/>
        </w:rPr>
        <w:fldChar w:fldCharType="separate"/>
      </w:r>
      <w:r>
        <w:rPr>
          <w:rFonts w:hint="eastAsia" w:ascii="宋体" w:hAnsi="宋体" w:eastAsia="宋体" w:cs="宋体"/>
          <w:kern w:val="44"/>
          <w:szCs w:val="44"/>
          <w:lang w:bidi="ar"/>
        </w:rPr>
        <w:t>第五章 合同协议书（</w:t>
      </w:r>
      <w:r>
        <w:rPr>
          <w:rFonts w:hint="eastAsia" w:hAnsi="宋体" w:cs="宋体"/>
          <w:kern w:val="44"/>
          <w:szCs w:val="44"/>
          <w:lang w:val="en-US" w:eastAsia="zh-CN" w:bidi="ar"/>
        </w:rPr>
        <w:t>仅供</w:t>
      </w:r>
      <w:r>
        <w:rPr>
          <w:rFonts w:hint="eastAsia" w:ascii="宋体" w:hAnsi="宋体" w:eastAsia="宋体" w:cs="宋体"/>
          <w:kern w:val="44"/>
          <w:szCs w:val="44"/>
          <w:lang w:bidi="ar"/>
        </w:rPr>
        <w:t>参考）</w:t>
      </w:r>
      <w:r>
        <w:tab/>
      </w:r>
      <w:r>
        <w:fldChar w:fldCharType="begin"/>
      </w:r>
      <w:r>
        <w:instrText xml:space="preserve"> PAGEREF _Toc7029 \h </w:instrText>
      </w:r>
      <w:r>
        <w:fldChar w:fldCharType="separate"/>
      </w:r>
      <w:r>
        <w:t>36</w:t>
      </w:r>
      <w:r>
        <w:fldChar w:fldCharType="end"/>
      </w:r>
      <w:r>
        <w:rPr>
          <w:rFonts w:hint="eastAsia" w:ascii="宋体" w:hAnsi="宋体" w:eastAsia="宋体" w:cs="宋体"/>
          <w:color w:val="FF0000"/>
          <w:spacing w:val="4"/>
          <w:szCs w:val="24"/>
        </w:rPr>
        <w:fldChar w:fldCharType="end"/>
      </w:r>
    </w:p>
    <w:p w14:paraId="4234F3AD">
      <w:pPr>
        <w:pStyle w:val="17"/>
        <w:tabs>
          <w:tab w:val="right" w:leader="dot" w:pos="9689"/>
        </w:tabs>
        <w:spacing w:line="480" w:lineRule="auto"/>
      </w:pP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_Toc21432 </w:instrText>
      </w:r>
      <w:r>
        <w:rPr>
          <w:rFonts w:hint="eastAsia" w:ascii="宋体" w:hAnsi="宋体" w:eastAsia="宋体" w:cs="宋体"/>
          <w:spacing w:val="4"/>
          <w:szCs w:val="24"/>
        </w:rPr>
        <w:fldChar w:fldCharType="separate"/>
      </w:r>
      <w:r>
        <w:rPr>
          <w:rFonts w:hint="eastAsia" w:ascii="宋体" w:hAnsi="宋体" w:eastAsia="宋体" w:cs="宋体"/>
        </w:rPr>
        <w:t>第六章 竞争性磋商响应文件</w:t>
      </w:r>
      <w:r>
        <w:rPr>
          <w:rFonts w:hint="eastAsia" w:ascii="宋体" w:hAnsi="宋体" w:eastAsia="宋体" w:cs="宋体"/>
          <w:lang w:eastAsia="zh-CN"/>
        </w:rPr>
        <w:t>组成</w:t>
      </w:r>
      <w:r>
        <w:tab/>
      </w:r>
      <w:r>
        <w:fldChar w:fldCharType="begin"/>
      </w:r>
      <w:r>
        <w:instrText xml:space="preserve"> PAGEREF _Toc21432 \h </w:instrText>
      </w:r>
      <w:r>
        <w:fldChar w:fldCharType="separate"/>
      </w:r>
      <w:r>
        <w:t>38</w:t>
      </w:r>
      <w:r>
        <w:fldChar w:fldCharType="end"/>
      </w:r>
      <w:r>
        <w:rPr>
          <w:rFonts w:hint="eastAsia" w:ascii="宋体" w:hAnsi="宋体" w:eastAsia="宋体" w:cs="宋体"/>
          <w:color w:val="FF0000"/>
          <w:spacing w:val="4"/>
          <w:szCs w:val="24"/>
        </w:rPr>
        <w:fldChar w:fldCharType="end"/>
      </w:r>
    </w:p>
    <w:p w14:paraId="47251C2E">
      <w:pPr>
        <w:spacing w:line="480" w:lineRule="auto"/>
        <w:ind w:firstLine="1491" w:firstLineChars="518"/>
        <w:jc w:val="left"/>
        <w:rPr>
          <w:rFonts w:hint="eastAsia" w:ascii="宋体" w:hAnsi="宋体" w:eastAsia="宋体" w:cs="宋体"/>
          <w:color w:val="FF0000"/>
          <w:spacing w:val="4"/>
          <w:sz w:val="24"/>
          <w:szCs w:val="24"/>
        </w:rPr>
      </w:pPr>
      <w:r>
        <w:rPr>
          <w:rFonts w:hint="eastAsia" w:ascii="宋体" w:hAnsi="宋体" w:eastAsia="宋体" w:cs="宋体"/>
          <w:color w:val="FF0000"/>
          <w:spacing w:val="4"/>
          <w:szCs w:val="24"/>
        </w:rPr>
        <w:fldChar w:fldCharType="end"/>
      </w:r>
    </w:p>
    <w:p w14:paraId="47669DBB">
      <w:pPr>
        <w:spacing w:line="480" w:lineRule="auto"/>
        <w:ind w:firstLine="656" w:firstLineChars="200"/>
        <w:rPr>
          <w:rFonts w:hint="eastAsia" w:ascii="宋体" w:hAnsi="宋体" w:eastAsia="宋体" w:cs="宋体"/>
          <w:spacing w:val="4"/>
          <w:sz w:val="32"/>
        </w:rPr>
      </w:pPr>
    </w:p>
    <w:p w14:paraId="19974862">
      <w:pPr>
        <w:spacing w:line="360" w:lineRule="auto"/>
        <w:ind w:firstLine="656" w:firstLineChars="200"/>
        <w:rPr>
          <w:rFonts w:hint="eastAsia" w:ascii="宋体" w:hAnsi="宋体" w:eastAsia="宋体" w:cs="宋体"/>
          <w:spacing w:val="4"/>
          <w:sz w:val="32"/>
        </w:rPr>
      </w:pPr>
    </w:p>
    <w:p w14:paraId="5813754C">
      <w:pPr>
        <w:spacing w:line="360" w:lineRule="auto"/>
        <w:rPr>
          <w:rFonts w:hint="eastAsia" w:ascii="宋体" w:hAnsi="宋体" w:eastAsia="宋体" w:cs="宋体"/>
          <w:spacing w:val="4"/>
          <w:sz w:val="32"/>
        </w:rPr>
      </w:pPr>
    </w:p>
    <w:p w14:paraId="05FA4FB1">
      <w:pPr>
        <w:spacing w:line="360" w:lineRule="auto"/>
        <w:rPr>
          <w:rFonts w:hint="eastAsia" w:ascii="宋体" w:hAnsi="宋体" w:eastAsia="宋体" w:cs="宋体"/>
          <w:spacing w:val="4"/>
          <w:sz w:val="32"/>
        </w:rPr>
      </w:pPr>
    </w:p>
    <w:p w14:paraId="223EDDDE">
      <w:pPr>
        <w:spacing w:line="360" w:lineRule="auto"/>
        <w:rPr>
          <w:rFonts w:hint="eastAsia" w:ascii="宋体" w:hAnsi="宋体" w:eastAsia="宋体" w:cs="宋体"/>
          <w:spacing w:val="4"/>
          <w:sz w:val="32"/>
        </w:rPr>
      </w:pPr>
    </w:p>
    <w:p w14:paraId="53E90D1C">
      <w:pPr>
        <w:numPr>
          <w:ilvl w:val="0"/>
          <w:numId w:val="0"/>
        </w:numPr>
        <w:jc w:val="center"/>
        <w:outlineLvl w:val="0"/>
        <w:rPr>
          <w:rFonts w:hint="eastAsia" w:ascii="宋体" w:hAnsi="宋体" w:eastAsia="宋体" w:cs="宋体"/>
        </w:rPr>
      </w:pPr>
      <w:r>
        <w:rPr>
          <w:rFonts w:hint="eastAsia" w:ascii="宋体" w:hAnsi="宋体" w:eastAsia="宋体" w:cs="宋体"/>
          <w:sz w:val="44"/>
          <w:szCs w:val="44"/>
        </w:rPr>
        <w:br w:type="page"/>
      </w:r>
      <w:bookmarkStart w:id="0" w:name="_Toc26157"/>
      <w:bookmarkStart w:id="1" w:name="_Toc24475"/>
      <w:r>
        <w:rPr>
          <w:rFonts w:hint="eastAsia" w:ascii="宋体" w:hAnsi="宋体" w:eastAsia="宋体" w:cs="宋体"/>
          <w:b/>
          <w:bCs/>
          <w:sz w:val="44"/>
          <w:szCs w:val="44"/>
          <w:lang w:val="en-US" w:eastAsia="zh-CN"/>
        </w:rPr>
        <w:t xml:space="preserve">第一章 </w:t>
      </w:r>
      <w:r>
        <w:rPr>
          <w:rFonts w:hint="eastAsia" w:ascii="宋体" w:hAnsi="宋体" w:eastAsia="宋体" w:cs="宋体"/>
          <w:b/>
          <w:bCs/>
          <w:sz w:val="44"/>
          <w:szCs w:val="44"/>
        </w:rPr>
        <w:t>竞争性磋商公告</w:t>
      </w:r>
      <w:bookmarkEnd w:id="0"/>
      <w:bookmarkEnd w:id="1"/>
    </w:p>
    <w:p w14:paraId="5577E7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千阳县学校互联网光纤接入项目竞争性磋商公告</w:t>
      </w:r>
    </w:p>
    <w:p w14:paraId="15B0163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4"/>
          <w:szCs w:val="24"/>
        </w:rPr>
      </w:pPr>
      <w:r>
        <w:rPr>
          <w:rStyle w:val="27"/>
          <w:b/>
          <w:bCs/>
          <w:i w:val="0"/>
          <w:iCs w:val="0"/>
          <w:caps w:val="0"/>
          <w:color w:val="333333"/>
          <w:spacing w:val="0"/>
          <w:sz w:val="24"/>
          <w:szCs w:val="24"/>
          <w:shd w:val="clear" w:fill="FFFFFF"/>
        </w:rPr>
        <w:t>项目概况</w:t>
      </w:r>
    </w:p>
    <w:p w14:paraId="1B3BD17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4"/>
          <w:szCs w:val="24"/>
        </w:rPr>
      </w:pPr>
      <w:r>
        <w:rPr>
          <w:rFonts w:ascii="微软雅黑" w:hAnsi="微软雅黑" w:eastAsia="微软雅黑" w:cs="微软雅黑"/>
          <w:i w:val="0"/>
          <w:iCs w:val="0"/>
          <w:caps w:val="0"/>
          <w:color w:val="333333"/>
          <w:spacing w:val="0"/>
          <w:sz w:val="24"/>
          <w:szCs w:val="24"/>
          <w:shd w:val="clear" w:fill="FFFFFF"/>
        </w:rPr>
        <w:t>千阳县学校互联网光纤接入项目</w:t>
      </w:r>
      <w:r>
        <w:rPr>
          <w:rFonts w:hint="eastAsia" w:ascii="微软雅黑" w:hAnsi="微软雅黑" w:eastAsia="微软雅黑" w:cs="微软雅黑"/>
          <w:i w:val="0"/>
          <w:iCs w:val="0"/>
          <w:caps w:val="0"/>
          <w:color w:val="333333"/>
          <w:spacing w:val="0"/>
          <w:sz w:val="24"/>
          <w:szCs w:val="24"/>
          <w:shd w:val="clear" w:fill="FFFFFF"/>
        </w:rPr>
        <w:t>采购项目的潜在供应商应在全国公共资源交易平台（陕西省·宝鸡市）宝鸡市公共资源交易中心（http://ggzy.baoji.gov.cn/）下载获取采购文件，并于 2025年04月24日 09时00分 （北京时间）前提交响应文件。</w:t>
      </w:r>
    </w:p>
    <w:p w14:paraId="37E5F66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4"/>
          <w:szCs w:val="24"/>
        </w:rPr>
      </w:pPr>
      <w:r>
        <w:rPr>
          <w:rStyle w:val="27"/>
          <w:b/>
          <w:bCs/>
          <w:i w:val="0"/>
          <w:iCs w:val="0"/>
          <w:caps w:val="0"/>
          <w:color w:val="333333"/>
          <w:spacing w:val="0"/>
          <w:sz w:val="24"/>
          <w:szCs w:val="24"/>
          <w:shd w:val="clear" w:fill="FFFFFF"/>
        </w:rPr>
        <w:t>一、项目基本情况</w:t>
      </w:r>
    </w:p>
    <w:p w14:paraId="6025594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项目编号：BJFMT2025(014)号</w:t>
      </w:r>
    </w:p>
    <w:p w14:paraId="5EC89C3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项目名称：千阳县学校互联网光纤接入项目</w:t>
      </w:r>
    </w:p>
    <w:p w14:paraId="378D1C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采购方式：竞争性磋商</w:t>
      </w:r>
    </w:p>
    <w:p w14:paraId="5E40F9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预算金额：373,500.00元</w:t>
      </w:r>
    </w:p>
    <w:p w14:paraId="44D6FE1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采购需求：</w:t>
      </w:r>
    </w:p>
    <w:p w14:paraId="2D8483B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合同包1(千阳县学校互联网光纤接入项目第1包):</w:t>
      </w:r>
    </w:p>
    <w:p w14:paraId="7EF0FFD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合同包预算金额：131,100.00元</w:t>
      </w:r>
    </w:p>
    <w:p w14:paraId="29175DC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合同包最高限价：131,100.00元</w:t>
      </w:r>
    </w:p>
    <w:tbl>
      <w:tblPr>
        <w:tblStyle w:val="24"/>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2234"/>
        <w:gridCol w:w="1316"/>
        <w:gridCol w:w="1344"/>
        <w:gridCol w:w="1663"/>
        <w:gridCol w:w="1440"/>
        <w:gridCol w:w="1441"/>
      </w:tblGrid>
      <w:tr w14:paraId="7BDBF9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2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DD82E">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品目号</w:t>
            </w:r>
          </w:p>
        </w:tc>
        <w:tc>
          <w:tcPr>
            <w:tcW w:w="11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3D8282">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品目名称</w:t>
            </w:r>
          </w:p>
        </w:tc>
        <w:tc>
          <w:tcPr>
            <w:tcW w:w="6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B6ED36">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采购标的</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08DABF">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数量（单位）</w:t>
            </w:r>
          </w:p>
        </w:tc>
        <w:tc>
          <w:tcPr>
            <w:tcW w:w="8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6ECFE3">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技术规格、参数及要求</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42AFFA">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品目预算(元)</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6E955">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最高限价(元)</w:t>
            </w:r>
          </w:p>
        </w:tc>
      </w:tr>
      <w:tr w14:paraId="739E22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13AB3">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1-1</w:t>
            </w:r>
          </w:p>
        </w:tc>
        <w:tc>
          <w:tcPr>
            <w:tcW w:w="11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4E022A">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基础设施运营服务</w:t>
            </w:r>
          </w:p>
        </w:tc>
        <w:tc>
          <w:tcPr>
            <w:tcW w:w="6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237015">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服务</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F16D78">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1(项)</w:t>
            </w:r>
          </w:p>
        </w:tc>
        <w:tc>
          <w:tcPr>
            <w:tcW w:w="8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F829E4">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详见采购文件</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22FF60">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lang w:val="en-US" w:eastAsia="zh-CN" w:bidi="ar"/>
              </w:rPr>
              <w:t>131,100.00</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4903F2">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lang w:val="en-US" w:eastAsia="zh-CN" w:bidi="ar"/>
              </w:rPr>
              <w:t>131,100.00</w:t>
            </w:r>
          </w:p>
        </w:tc>
      </w:tr>
    </w:tbl>
    <w:p w14:paraId="608BCDB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本合同包不接受联合体投标</w:t>
      </w:r>
    </w:p>
    <w:p w14:paraId="076390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合同履行期限：1年</w:t>
      </w:r>
    </w:p>
    <w:p w14:paraId="3E26D28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合同包2(千阳县学校互联网光纤接入项目第2包):</w:t>
      </w:r>
    </w:p>
    <w:p w14:paraId="71A88A0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合同包预算金额：121,200.00元</w:t>
      </w:r>
    </w:p>
    <w:p w14:paraId="276B16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合同包最高限价：121,200.00元</w:t>
      </w:r>
    </w:p>
    <w:tbl>
      <w:tblPr>
        <w:tblStyle w:val="24"/>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2029"/>
        <w:gridCol w:w="1786"/>
        <w:gridCol w:w="1300"/>
        <w:gridCol w:w="1441"/>
        <w:gridCol w:w="1441"/>
        <w:gridCol w:w="1441"/>
      </w:tblGrid>
      <w:tr w14:paraId="38CC1E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7F5274">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品目号</w:t>
            </w:r>
          </w:p>
        </w:tc>
        <w:tc>
          <w:tcPr>
            <w:tcW w:w="10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FF3F29">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品目名称</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93E46A">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采购标的</w:t>
            </w:r>
          </w:p>
        </w:tc>
        <w:tc>
          <w:tcPr>
            <w:tcW w:w="6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4FD4C3">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数量（单位）</w:t>
            </w:r>
          </w:p>
        </w:tc>
        <w:tc>
          <w:tcPr>
            <w:tcW w:w="7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502B97">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技术规格、参数及要求</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34CEF7">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品目预算(元)</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70D2AD">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最高限价(元)</w:t>
            </w:r>
          </w:p>
        </w:tc>
      </w:tr>
      <w:tr w14:paraId="0917C5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AF4DB">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2-1</w:t>
            </w:r>
          </w:p>
        </w:tc>
        <w:tc>
          <w:tcPr>
            <w:tcW w:w="10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78564F">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基础设施运营服务</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4DF39">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服务</w:t>
            </w:r>
          </w:p>
        </w:tc>
        <w:tc>
          <w:tcPr>
            <w:tcW w:w="6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CD4205">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1(项)</w:t>
            </w:r>
          </w:p>
        </w:tc>
        <w:tc>
          <w:tcPr>
            <w:tcW w:w="7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3CBAD4">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详见采购文件</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E98A3C">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lang w:val="en-US" w:eastAsia="zh-CN" w:bidi="ar"/>
              </w:rPr>
              <w:t>121,200.00</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01EF58">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lang w:val="en-US" w:eastAsia="zh-CN" w:bidi="ar"/>
              </w:rPr>
              <w:t>121,200.00</w:t>
            </w:r>
          </w:p>
        </w:tc>
      </w:tr>
    </w:tbl>
    <w:p w14:paraId="33DA57B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本合同包不接受联合体投标</w:t>
      </w:r>
    </w:p>
    <w:p w14:paraId="19B0FB5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合同履行期限：1年</w:t>
      </w:r>
    </w:p>
    <w:p w14:paraId="74C5B10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合同包3(千阳县学校互联网光纤接入项目第3包):</w:t>
      </w:r>
    </w:p>
    <w:p w14:paraId="210C3F1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合同包预算金额：121,200.00元</w:t>
      </w:r>
    </w:p>
    <w:p w14:paraId="269DEDA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合同包最高限价：121,200.00元</w:t>
      </w:r>
    </w:p>
    <w:tbl>
      <w:tblPr>
        <w:tblStyle w:val="24"/>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2236"/>
        <w:gridCol w:w="1514"/>
        <w:gridCol w:w="1368"/>
        <w:gridCol w:w="1441"/>
        <w:gridCol w:w="1440"/>
        <w:gridCol w:w="1441"/>
      </w:tblGrid>
      <w:tr w14:paraId="143D9E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6DFD5B">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品目号</w:t>
            </w:r>
          </w:p>
        </w:tc>
        <w:tc>
          <w:tcPr>
            <w:tcW w:w="11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F474D9">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品目名称</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ACCDDA">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采购标的</w:t>
            </w:r>
          </w:p>
        </w:tc>
        <w:tc>
          <w:tcPr>
            <w:tcW w:w="7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E4A4CA">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数量（单位）</w:t>
            </w:r>
          </w:p>
        </w:tc>
        <w:tc>
          <w:tcPr>
            <w:tcW w:w="7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2185A6">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技术规格、参数及要求</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BA4CD4">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品目预算(元)</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EE81A0">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最高限价(元)</w:t>
            </w:r>
          </w:p>
        </w:tc>
      </w:tr>
      <w:tr w14:paraId="77B388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A3F4E9">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3-1</w:t>
            </w:r>
          </w:p>
        </w:tc>
        <w:tc>
          <w:tcPr>
            <w:tcW w:w="11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B82229">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基础设施运营服务</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4E383A">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服务</w:t>
            </w:r>
          </w:p>
        </w:tc>
        <w:tc>
          <w:tcPr>
            <w:tcW w:w="7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3F763E">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1(项)</w:t>
            </w:r>
          </w:p>
        </w:tc>
        <w:tc>
          <w:tcPr>
            <w:tcW w:w="7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FDD500">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详见采购文件</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7CC225">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lang w:val="en-US" w:eastAsia="zh-CN" w:bidi="ar"/>
              </w:rPr>
              <w:t>121,200.00</w:t>
            </w:r>
          </w:p>
        </w:tc>
        <w:tc>
          <w:tcPr>
            <w:tcW w:w="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548E9C">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lang w:val="en-US" w:eastAsia="zh-CN" w:bidi="ar"/>
              </w:rPr>
              <w:t>121,200.00</w:t>
            </w:r>
          </w:p>
        </w:tc>
      </w:tr>
    </w:tbl>
    <w:p w14:paraId="5C080A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本合同包不接受联合体投标</w:t>
      </w:r>
    </w:p>
    <w:p w14:paraId="7AAA78F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合同履行期限：1年</w:t>
      </w:r>
    </w:p>
    <w:p w14:paraId="41D0430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4"/>
          <w:szCs w:val="24"/>
        </w:rPr>
      </w:pPr>
      <w:r>
        <w:rPr>
          <w:rStyle w:val="27"/>
          <w:b/>
          <w:bCs/>
          <w:i w:val="0"/>
          <w:iCs w:val="0"/>
          <w:caps w:val="0"/>
          <w:color w:val="333333"/>
          <w:spacing w:val="0"/>
          <w:sz w:val="24"/>
          <w:szCs w:val="24"/>
          <w:shd w:val="clear" w:fill="FFFFFF"/>
        </w:rPr>
        <w:t>二、申请人的资格要求：</w:t>
      </w:r>
    </w:p>
    <w:p w14:paraId="50E5284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1.满足《中华人民共和国政府采购法》第二十二条规定;</w:t>
      </w:r>
    </w:p>
    <w:p w14:paraId="5242CBB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2.落实政府采购政策需满足的资格要求：</w:t>
      </w:r>
      <w:r>
        <w:rPr>
          <w:rFonts w:hint="eastAsia" w:ascii="微软雅黑" w:hAnsi="微软雅黑" w:eastAsia="微软雅黑" w:cs="微软雅黑"/>
          <w:i w:val="0"/>
          <w:iCs w:val="0"/>
          <w:caps w:val="0"/>
          <w:color w:val="333333"/>
          <w:spacing w:val="0"/>
          <w:sz w:val="24"/>
          <w:szCs w:val="24"/>
          <w:shd w:val="clear" w:fill="FFFFFF"/>
          <w:lang w:val="en-US" w:eastAsia="zh-CN"/>
        </w:rPr>
        <w:t>无</w:t>
      </w:r>
    </w:p>
    <w:p w14:paraId="7EFC621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3.本项目的特定资格要求：</w:t>
      </w:r>
    </w:p>
    <w:p w14:paraId="179D1AA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合同包1(千阳县学校互联网光纤接入项目第1包)特定资格要求如下:</w:t>
      </w:r>
    </w:p>
    <w:p w14:paraId="766BA05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（1）供应商须是具有独立承担民事责任能力的法人、其他组织或自然人，并出具合法有效的营业执照或事业单位法人证书等国家规定的相关证明，自然人参与的提供其身份证明；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供应商须提供2023年或2024年度财务审计报告（成立时间至提交投标文件截止时间不足一年的可提供成立后任意时段的资产负债表）或基本存款账户开户银行出具的资信证明、基本存款账户开户许可证（基本存款账户信息）；</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（3）供应商须提供2024年3月至今已缴存的至少一个月的社会保险参保缴费情况证明。</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（4）供应商须提供202</w:t>
      </w:r>
      <w:r>
        <w:rPr>
          <w:rFonts w:hint="eastAsia" w:ascii="微软雅黑" w:hAnsi="微软雅黑" w:eastAsia="微软雅黑" w:cs="微软雅黑"/>
          <w:i w:val="0"/>
          <w:iCs w:val="0"/>
          <w:caps w:val="0"/>
          <w:color w:val="333333"/>
          <w:spacing w:val="0"/>
          <w:sz w:val="24"/>
          <w:szCs w:val="24"/>
          <w:shd w:val="clear" w:fill="FFFFFF"/>
          <w:lang w:val="en-US" w:eastAsia="zh-CN"/>
        </w:rPr>
        <w:t>4</w:t>
      </w:r>
      <w:r>
        <w:rPr>
          <w:rFonts w:hint="eastAsia" w:ascii="微软雅黑" w:hAnsi="微软雅黑" w:eastAsia="微软雅黑" w:cs="微软雅黑"/>
          <w:i w:val="0"/>
          <w:iCs w:val="0"/>
          <w:caps w:val="0"/>
          <w:color w:val="333333"/>
          <w:spacing w:val="0"/>
          <w:sz w:val="24"/>
          <w:szCs w:val="24"/>
          <w:shd w:val="clear" w:fill="FFFFFF"/>
        </w:rPr>
        <w:t>年3月至今缴纳的至少一个月的纳税证明或完税证明，依法免税的单位应提供相关证明材料；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（6）单位负责人为同一人或者存在直接控股、管理关系的不同投标人，不得参加同一合同项下的政府采购活动；（提供承诺书)</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（7）企业开具的近三年在政府采购经营活动中无重大违法记录声明；（成立时间不足三年的投标人提供自成立之日起至开标截止之日止的无重大违法记录声明）；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（9）提供具有履行合同所必需的设备和专业技术能力的承诺书；</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（10）供应商须提供有效的基础电信业务经营许可证或增值电信业务经营许可证；</w:t>
      </w:r>
    </w:p>
    <w:p w14:paraId="202A51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合同包2(千阳县学校互联网光纤接入项目第2包)特定资格要求如下:</w:t>
      </w:r>
    </w:p>
    <w:p w14:paraId="4A3E260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同合同包1资格条件</w:t>
      </w:r>
    </w:p>
    <w:p w14:paraId="3144F2C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合同包3(千阳县学校互联网光纤接入项目第3包)特定资格要求如下:</w:t>
      </w:r>
    </w:p>
    <w:p w14:paraId="210326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同合同包1资格条件</w:t>
      </w:r>
    </w:p>
    <w:p w14:paraId="3D5038A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4"/>
          <w:szCs w:val="24"/>
        </w:rPr>
      </w:pPr>
      <w:r>
        <w:rPr>
          <w:rStyle w:val="27"/>
          <w:b/>
          <w:bCs/>
          <w:i w:val="0"/>
          <w:iCs w:val="0"/>
          <w:caps w:val="0"/>
          <w:color w:val="333333"/>
          <w:spacing w:val="0"/>
          <w:sz w:val="24"/>
          <w:szCs w:val="24"/>
          <w:shd w:val="clear" w:fill="FFFFFF"/>
        </w:rPr>
        <w:t>三、获取采购文件</w:t>
      </w:r>
    </w:p>
    <w:p w14:paraId="41208E1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时间： 2025年04月14日 至 2025年04月18日 ，每天上午 09:00:00 至 12:00:00 ，下午 12:00:00 至 17:00:00 （北京时间）</w:t>
      </w:r>
    </w:p>
    <w:p w14:paraId="193D637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途径：全国公共资源交易平台（陕西省·宝鸡市）宝鸡市公共资源交易中心（http://ggzy.baoji.gov.cn/）下载</w:t>
      </w:r>
    </w:p>
    <w:p w14:paraId="7CD9B53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方式：在线获取</w:t>
      </w:r>
    </w:p>
    <w:p w14:paraId="0B36931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售价： 0元</w:t>
      </w:r>
    </w:p>
    <w:p w14:paraId="44CEE60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4"/>
          <w:szCs w:val="24"/>
        </w:rPr>
      </w:pPr>
      <w:r>
        <w:rPr>
          <w:rStyle w:val="27"/>
          <w:b/>
          <w:bCs/>
          <w:i w:val="0"/>
          <w:iCs w:val="0"/>
          <w:caps w:val="0"/>
          <w:color w:val="333333"/>
          <w:spacing w:val="0"/>
          <w:sz w:val="24"/>
          <w:szCs w:val="24"/>
          <w:shd w:val="clear" w:fill="FFFFFF"/>
        </w:rPr>
        <w:t>四、响应文件提交</w:t>
      </w:r>
    </w:p>
    <w:p w14:paraId="2518559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截止时间： 2025年04月24日 09时00分00秒 （北京时间）</w:t>
      </w:r>
    </w:p>
    <w:p w14:paraId="30D6F83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地点：全国公共资源交易平台（陕西省·宝鸡市）宝鸡市公共资源交易中心（http://ggzy.baoji.gov.cn/）在线提交</w:t>
      </w:r>
    </w:p>
    <w:p w14:paraId="6CCE9E3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4"/>
          <w:szCs w:val="24"/>
        </w:rPr>
      </w:pPr>
      <w:r>
        <w:rPr>
          <w:rStyle w:val="27"/>
          <w:b/>
          <w:bCs/>
          <w:i w:val="0"/>
          <w:iCs w:val="0"/>
          <w:caps w:val="0"/>
          <w:color w:val="333333"/>
          <w:spacing w:val="0"/>
          <w:sz w:val="24"/>
          <w:szCs w:val="24"/>
          <w:shd w:val="clear" w:fill="FFFFFF"/>
        </w:rPr>
        <w:t>五、开启</w:t>
      </w:r>
    </w:p>
    <w:p w14:paraId="5628EFD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时间： 2025年04月24日 09时00分00秒 （北京时间）</w:t>
      </w:r>
    </w:p>
    <w:p w14:paraId="149A6B1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地点：全国公共资源交易平台(陕西省·宝鸡市)宝鸡市公共资源交易中心-不见面开标</w:t>
      </w:r>
    </w:p>
    <w:p w14:paraId="31B7275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4"/>
          <w:szCs w:val="24"/>
        </w:rPr>
      </w:pPr>
      <w:r>
        <w:rPr>
          <w:rStyle w:val="27"/>
          <w:b/>
          <w:bCs/>
          <w:i w:val="0"/>
          <w:iCs w:val="0"/>
          <w:caps w:val="0"/>
          <w:color w:val="333333"/>
          <w:spacing w:val="0"/>
          <w:sz w:val="24"/>
          <w:szCs w:val="24"/>
          <w:shd w:val="clear" w:fill="FFFFFF"/>
        </w:rPr>
        <w:t>六、公告期限</w:t>
      </w:r>
    </w:p>
    <w:p w14:paraId="311491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自本公告发布之日起3个工作日。</w:t>
      </w:r>
    </w:p>
    <w:p w14:paraId="673C95B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4"/>
          <w:szCs w:val="24"/>
        </w:rPr>
      </w:pPr>
      <w:r>
        <w:rPr>
          <w:rStyle w:val="27"/>
          <w:b/>
          <w:bCs/>
          <w:i w:val="0"/>
          <w:iCs w:val="0"/>
          <w:caps w:val="0"/>
          <w:color w:val="333333"/>
          <w:spacing w:val="0"/>
          <w:sz w:val="24"/>
          <w:szCs w:val="24"/>
          <w:shd w:val="clear" w:fill="FFFFFF"/>
        </w:rPr>
        <w:t>七、其他补充事宜</w:t>
      </w:r>
    </w:p>
    <w:p w14:paraId="3CD26AC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1、落实的政府采购政策:</w:t>
      </w:r>
    </w:p>
    <w:p w14:paraId="4E05F10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14:paraId="7322352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2、本项目有意向投标供应商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14:paraId="073AAC4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3、投标供应商在网上填写单位信息（单位名称、营业执照相关信息）时应与磋商文件要求及后期上传的电子投标文件中相关信息一致，否则造成资格审查不通过的后果自负；</w:t>
      </w:r>
    </w:p>
    <w:p w14:paraId="19DEE5E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4、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磋商时在线解密响应文件、在线询标、在线多轮报价。为了保证远程不见面开标顺利进行，投标人需使用配备相关设备的电脑提前一小时登录网络开标大厅。因供应商自身设施故障或自身原因导致无法完成磋商的，由供应商自行承担后果；（建议使用IE11或者360极速浏览器兼容模式，投标单位电脑需配备耳麦）</w:t>
      </w:r>
    </w:p>
    <w:p w14:paraId="6EBC295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5、未完成网上投标或未在规定时间内在平台上下载电子磋商文件的，导致无法完成后续流程的责任自负；</w:t>
      </w:r>
    </w:p>
    <w:p w14:paraId="24FED22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6、有意向投标供应商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14:paraId="69E225E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7、供应商须提前在陕西省政府采购网（http://www.ccgp-shaanxi.gov.cn/），按照“供应商注册注意事项”要求，完成注册审核，以保证后续流程的进行。</w:t>
      </w:r>
    </w:p>
    <w:p w14:paraId="4700FE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注意事项：投标供应商应随时留意可能发布的变更公告，当澄清或修改的内容影响投标文件编制时，将在交易平台上同步发布答疑文件，此时投标供应商应从“项目流程”答疑文件下载、下载最新发布的答疑文件。</w:t>
      </w:r>
    </w:p>
    <w:p w14:paraId="6839D6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31D1E23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4"/>
          <w:szCs w:val="24"/>
        </w:rPr>
      </w:pPr>
      <w:r>
        <w:rPr>
          <w:rStyle w:val="27"/>
          <w:b/>
          <w:bCs/>
          <w:i w:val="0"/>
          <w:iCs w:val="0"/>
          <w:caps w:val="0"/>
          <w:color w:val="333333"/>
          <w:spacing w:val="0"/>
          <w:sz w:val="24"/>
          <w:szCs w:val="24"/>
          <w:shd w:val="clear" w:fill="FFFFFF"/>
        </w:rPr>
        <w:t>八、对本次招标提出询问，请按以下方式联系。</w:t>
      </w:r>
    </w:p>
    <w:p w14:paraId="15713E2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shd w:val="clear" w:fill="FFFFFF"/>
        </w:rPr>
        <w:t>1.采购人信息</w:t>
      </w:r>
    </w:p>
    <w:p w14:paraId="2DC6D00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名称：千阳县电化教育中心</w:t>
      </w:r>
    </w:p>
    <w:p w14:paraId="7EBF225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地址：千阳县青少年活动中心</w:t>
      </w:r>
    </w:p>
    <w:p w14:paraId="374C84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联系方式：13809178959</w:t>
      </w:r>
    </w:p>
    <w:p w14:paraId="0D8B5CD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shd w:val="clear" w:fill="FFFFFF"/>
        </w:rPr>
        <w:t>2.采购代理机构信息</w:t>
      </w:r>
    </w:p>
    <w:p w14:paraId="09B90A3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名称：宝鸡福美特项目管理有限公司</w:t>
      </w:r>
    </w:p>
    <w:p w14:paraId="04A8840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地址：宝鸡市金台区行政东路三迪金融中心8层</w:t>
      </w:r>
    </w:p>
    <w:p w14:paraId="55BAD3B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联系方式：13319178519</w:t>
      </w:r>
    </w:p>
    <w:p w14:paraId="05789CD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shd w:val="clear" w:fill="FFFFFF"/>
        </w:rPr>
        <w:t>3.项目联系方式</w:t>
      </w:r>
    </w:p>
    <w:p w14:paraId="0898864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项目联系人：苏女士</w:t>
      </w:r>
    </w:p>
    <w:p w14:paraId="1F463D1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电话：13319178519</w:t>
      </w:r>
    </w:p>
    <w:p w14:paraId="5CB64598">
      <w:pPr>
        <w:keepNext w:val="0"/>
        <w:keepLines w:val="0"/>
        <w:widowControl/>
        <w:suppressLineNumbers w:val="0"/>
        <w:pBdr>
          <w:top w:val="none" w:color="auto" w:sz="0" w:space="0"/>
          <w:left w:val="none" w:color="auto" w:sz="0" w:space="0"/>
          <w:bottom w:val="none" w:color="auto" w:sz="0" w:space="0"/>
          <w:right w:val="none" w:color="auto" w:sz="0" w:space="0"/>
        </w:pBdr>
        <w:shd w:val="clear"/>
        <w:spacing w:after="0" w:afterAutospacing="0"/>
        <w:ind w:left="150"/>
        <w:jc w:val="left"/>
        <w:rPr>
          <w:rFonts w:hint="eastAsia" w:ascii="宋体" w:hAnsi="宋体" w:eastAsia="宋体" w:cs="宋体"/>
          <w:sz w:val="24"/>
          <w:szCs w:val="24"/>
        </w:rPr>
      </w:pPr>
    </w:p>
    <w:p w14:paraId="2D9EA90C">
      <w:pPr>
        <w:pStyle w:val="111"/>
        <w:shd w:val="clear"/>
        <w:rPr>
          <w:rFonts w:hint="eastAsia" w:ascii="宋体" w:hAnsi="宋体" w:eastAsia="宋体" w:cs="宋体"/>
        </w:rPr>
      </w:pPr>
      <w:r>
        <w:rPr>
          <w:rFonts w:hint="eastAsia" w:ascii="宋体" w:hAnsi="宋体" w:eastAsia="宋体" w:cs="宋体"/>
        </w:rPr>
        <w:t>窗体底端</w:t>
      </w:r>
    </w:p>
    <w:p w14:paraId="602C156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480" w:lineRule="atLeast"/>
        <w:ind w:left="0" w:right="0" w:firstLine="480"/>
        <w:jc w:val="right"/>
        <w:rPr>
          <w:rFonts w:hint="eastAsia" w:ascii="宋体" w:hAnsi="宋体" w:eastAsia="宋体" w:cs="宋体"/>
          <w:i w:val="0"/>
          <w:iCs w:val="0"/>
          <w:caps w:val="0"/>
          <w:color w:val="0000FF"/>
          <w:spacing w:val="0"/>
          <w:sz w:val="21"/>
          <w:szCs w:val="21"/>
          <w:shd w:val="clear" w:fill="FFFFFF"/>
        </w:rPr>
      </w:pPr>
    </w:p>
    <w:p w14:paraId="7D9D086A">
      <w:pPr>
        <w:spacing w:line="360" w:lineRule="auto"/>
        <w:jc w:val="righ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宝鸡福美特项目管理有限公司</w:t>
      </w:r>
    </w:p>
    <w:p w14:paraId="60E60C25">
      <w:pPr>
        <w:spacing w:line="360" w:lineRule="auto"/>
        <w:jc w:val="righ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年0</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月</w:t>
      </w: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eastAsia="zh-CN"/>
        </w:rPr>
        <w:t>日</w:t>
      </w:r>
    </w:p>
    <w:p w14:paraId="2C564168">
      <w:pPr>
        <w:widowControl/>
        <w:tabs>
          <w:tab w:val="center" w:pos="4466"/>
          <w:tab w:val="right" w:pos="8479"/>
        </w:tabs>
        <w:spacing w:line="360" w:lineRule="auto"/>
        <w:ind w:right="78" w:rightChars="28"/>
        <w:jc w:val="center"/>
        <w:rPr>
          <w:rFonts w:hint="eastAsia" w:ascii="宋体" w:hAnsi="宋体" w:eastAsia="宋体" w:cs="宋体"/>
          <w:sz w:val="44"/>
          <w:szCs w:val="44"/>
          <w:highlight w:val="yellow"/>
        </w:rPr>
      </w:pPr>
    </w:p>
    <w:p w14:paraId="353C68B0">
      <w:pPr>
        <w:widowControl/>
        <w:tabs>
          <w:tab w:val="center" w:pos="4466"/>
          <w:tab w:val="right" w:pos="8479"/>
        </w:tabs>
        <w:spacing w:line="240" w:lineRule="auto"/>
        <w:ind w:right="0" w:rightChars="0"/>
        <w:jc w:val="center"/>
        <w:outlineLvl w:val="0"/>
        <w:rPr>
          <w:rFonts w:hint="eastAsia" w:ascii="宋体" w:hAnsi="宋体" w:eastAsia="宋体" w:cs="宋体"/>
          <w:color w:val="auto"/>
          <w:sz w:val="44"/>
          <w:szCs w:val="44"/>
        </w:rPr>
      </w:pPr>
      <w:r>
        <w:rPr>
          <w:rFonts w:hint="eastAsia" w:ascii="宋体" w:hAnsi="宋体" w:eastAsia="宋体" w:cs="宋体"/>
          <w:color w:val="auto"/>
          <w:sz w:val="44"/>
          <w:szCs w:val="44"/>
        </w:rPr>
        <w:br w:type="page"/>
      </w:r>
      <w:bookmarkStart w:id="2" w:name="_Toc9004"/>
      <w:bookmarkStart w:id="3" w:name="_Toc2960"/>
      <w:r>
        <w:rPr>
          <w:rFonts w:hint="eastAsia" w:ascii="宋体" w:hAnsi="宋体" w:eastAsia="宋体" w:cs="宋体"/>
          <w:color w:val="auto"/>
          <w:sz w:val="44"/>
          <w:szCs w:val="44"/>
        </w:rPr>
        <w:t>第二章 竞争性磋商须知</w:t>
      </w:r>
      <w:bookmarkEnd w:id="2"/>
      <w:bookmarkEnd w:id="3"/>
    </w:p>
    <w:p w14:paraId="3D2D57B1">
      <w:pPr>
        <w:pStyle w:val="5"/>
        <w:spacing w:before="0" w:after="0"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一、供应商须知前附表</w:t>
      </w:r>
    </w:p>
    <w:tbl>
      <w:tblPr>
        <w:tblStyle w:val="2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84"/>
        <w:gridCol w:w="6796"/>
      </w:tblGrid>
      <w:tr w14:paraId="1A37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02013A1B">
            <w:pPr>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984" w:type="dxa"/>
            <w:vAlign w:val="center"/>
          </w:tcPr>
          <w:p w14:paraId="3D6692E5">
            <w:pPr>
              <w:jc w:val="center"/>
              <w:rPr>
                <w:rFonts w:hint="eastAsia" w:ascii="宋体" w:hAnsi="宋体" w:eastAsia="宋体" w:cs="宋体"/>
                <w:b/>
                <w:color w:val="auto"/>
                <w:sz w:val="24"/>
              </w:rPr>
            </w:pPr>
            <w:r>
              <w:rPr>
                <w:rFonts w:hint="eastAsia" w:ascii="宋体" w:hAnsi="宋体" w:eastAsia="宋体" w:cs="宋体"/>
                <w:b/>
                <w:color w:val="auto"/>
                <w:sz w:val="24"/>
              </w:rPr>
              <w:t>条款名称</w:t>
            </w:r>
          </w:p>
        </w:tc>
        <w:tc>
          <w:tcPr>
            <w:tcW w:w="6796" w:type="dxa"/>
          </w:tcPr>
          <w:p w14:paraId="3C34D1A1">
            <w:pPr>
              <w:jc w:val="center"/>
              <w:rPr>
                <w:rFonts w:hint="eastAsia" w:ascii="宋体" w:hAnsi="宋体" w:eastAsia="宋体" w:cs="宋体"/>
                <w:b/>
                <w:color w:val="auto"/>
                <w:sz w:val="24"/>
              </w:rPr>
            </w:pPr>
            <w:r>
              <w:rPr>
                <w:rFonts w:hint="eastAsia" w:ascii="宋体" w:hAnsi="宋体" w:eastAsia="宋体" w:cs="宋体"/>
                <w:b/>
                <w:color w:val="auto"/>
                <w:sz w:val="24"/>
              </w:rPr>
              <w:t>说明和要求</w:t>
            </w:r>
          </w:p>
        </w:tc>
      </w:tr>
      <w:tr w14:paraId="0E5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375BB0A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84" w:type="dxa"/>
            <w:vAlign w:val="center"/>
          </w:tcPr>
          <w:p w14:paraId="388546D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96" w:type="dxa"/>
          </w:tcPr>
          <w:p w14:paraId="04BE2E37">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名称：千阳县电化教育中心</w:t>
            </w:r>
          </w:p>
          <w:p w14:paraId="0029F1CE">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地址：宝鸡市千阳县</w:t>
            </w:r>
          </w:p>
          <w:p w14:paraId="32D7F079">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 系 人：武文英 </w:t>
            </w:r>
          </w:p>
          <w:p w14:paraId="5280815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联系方式：13809178959</w:t>
            </w:r>
          </w:p>
        </w:tc>
      </w:tr>
      <w:tr w14:paraId="079A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54512C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84" w:type="dxa"/>
            <w:vAlign w:val="center"/>
          </w:tcPr>
          <w:p w14:paraId="6F85FBC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796" w:type="dxa"/>
          </w:tcPr>
          <w:p w14:paraId="663831E4">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w:t>
            </w:r>
            <w:r>
              <w:rPr>
                <w:rFonts w:hint="eastAsia" w:ascii="宋体" w:hAnsi="宋体" w:eastAsia="宋体" w:cs="宋体"/>
                <w:color w:val="000000"/>
                <w:sz w:val="24"/>
                <w:szCs w:val="24"/>
                <w:lang w:val="en-US" w:eastAsia="zh-CN"/>
              </w:rPr>
              <w:t>宝鸡福美特项目管理有限公司</w:t>
            </w:r>
          </w:p>
          <w:p w14:paraId="07294954">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地址：宝鸡市金台区行政东路三迪金融中心8楼</w:t>
            </w:r>
            <w:r>
              <w:rPr>
                <w:rFonts w:hint="eastAsia" w:ascii="宋体" w:hAnsi="宋体" w:eastAsia="宋体" w:cs="宋体"/>
                <w:color w:val="000000"/>
                <w:sz w:val="24"/>
                <w:szCs w:val="24"/>
                <w:lang w:val="en-US" w:eastAsia="zh-CN"/>
              </w:rPr>
              <w:t>805室</w:t>
            </w:r>
          </w:p>
          <w:p w14:paraId="1F9A0DB1">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联系人：</w:t>
            </w:r>
            <w:r>
              <w:rPr>
                <w:rFonts w:hint="eastAsia" w:ascii="宋体" w:hAnsi="宋体" w:eastAsia="宋体" w:cs="宋体"/>
                <w:color w:val="000000"/>
                <w:sz w:val="24"/>
                <w:szCs w:val="24"/>
                <w:lang w:val="en-US" w:eastAsia="zh-CN"/>
              </w:rPr>
              <w:t>苏秋秋</w:t>
            </w:r>
          </w:p>
          <w:p w14:paraId="58D1F061">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联系方</w:t>
            </w:r>
            <w:r>
              <w:rPr>
                <w:rFonts w:hint="eastAsia" w:ascii="宋体" w:hAnsi="宋体" w:eastAsia="宋体" w:cs="宋体"/>
                <w:color w:val="000000"/>
                <w:sz w:val="24"/>
                <w:szCs w:val="24"/>
                <w:lang w:val="en-US" w:eastAsia="zh-CN"/>
              </w:rPr>
              <w:t>式：13319178519</w:t>
            </w:r>
          </w:p>
        </w:tc>
      </w:tr>
      <w:tr w14:paraId="1A11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Align w:val="center"/>
          </w:tcPr>
          <w:p w14:paraId="426CE79C">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84" w:type="dxa"/>
            <w:vAlign w:val="center"/>
          </w:tcPr>
          <w:p w14:paraId="58EF24E5">
            <w:pPr>
              <w:spacing w:line="36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监督管理机构</w:t>
            </w:r>
          </w:p>
        </w:tc>
        <w:tc>
          <w:tcPr>
            <w:tcW w:w="6796" w:type="dxa"/>
          </w:tcPr>
          <w:p w14:paraId="4DFDE4AA">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千阳县</w:t>
            </w:r>
            <w:r>
              <w:rPr>
                <w:rFonts w:hint="eastAsia" w:ascii="宋体" w:hAnsi="宋体" w:eastAsia="宋体" w:cs="宋体"/>
                <w:color w:val="000000"/>
                <w:sz w:val="24"/>
                <w:szCs w:val="24"/>
                <w:lang w:eastAsia="zh-CN"/>
              </w:rPr>
              <w:t>财政局</w:t>
            </w:r>
          </w:p>
        </w:tc>
      </w:tr>
      <w:tr w14:paraId="2ED6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6942D0D7">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84" w:type="dxa"/>
            <w:vAlign w:val="center"/>
          </w:tcPr>
          <w:p w14:paraId="46C40A89">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96" w:type="dxa"/>
          </w:tcPr>
          <w:p w14:paraId="7C167B1B">
            <w:pPr>
              <w:spacing w:line="4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千阳县学校互联网光纤接入项目</w:t>
            </w:r>
            <w:r>
              <w:rPr>
                <w:rFonts w:hint="eastAsia" w:ascii="宋体" w:hAnsi="宋体" w:eastAsia="宋体" w:cs="宋体"/>
                <w:color w:val="000000"/>
                <w:sz w:val="24"/>
                <w:szCs w:val="24"/>
                <w:lang w:val="en-US" w:eastAsia="zh-CN"/>
              </w:rPr>
              <w:t>第1包</w:t>
            </w:r>
          </w:p>
        </w:tc>
      </w:tr>
      <w:tr w14:paraId="08A0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82" w:type="dxa"/>
            <w:vAlign w:val="center"/>
          </w:tcPr>
          <w:p w14:paraId="119ECE3D">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84" w:type="dxa"/>
            <w:vAlign w:val="center"/>
          </w:tcPr>
          <w:p w14:paraId="298E9048">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96" w:type="dxa"/>
          </w:tcPr>
          <w:p w14:paraId="7BF61880">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BJFMT2025(014)号</w:t>
            </w:r>
          </w:p>
        </w:tc>
      </w:tr>
      <w:tr w14:paraId="0CB1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2D894E0F">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84" w:type="dxa"/>
            <w:vAlign w:val="center"/>
          </w:tcPr>
          <w:p w14:paraId="555FEBAA">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资金性质</w:t>
            </w:r>
          </w:p>
        </w:tc>
        <w:tc>
          <w:tcPr>
            <w:tcW w:w="6796" w:type="dxa"/>
          </w:tcPr>
          <w:p w14:paraId="3FE23C8C">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财政资金</w:t>
            </w:r>
          </w:p>
        </w:tc>
      </w:tr>
      <w:tr w14:paraId="5DDF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46C28016">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984" w:type="dxa"/>
            <w:vAlign w:val="center"/>
          </w:tcPr>
          <w:p w14:paraId="2C466FBF">
            <w:pPr>
              <w:spacing w:line="365"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w:t>
            </w:r>
          </w:p>
        </w:tc>
        <w:tc>
          <w:tcPr>
            <w:tcW w:w="6796" w:type="dxa"/>
            <w:vAlign w:val="center"/>
          </w:tcPr>
          <w:p w14:paraId="163F4CF1">
            <w:pPr>
              <w:spacing w:line="4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第1包：131100.00元 </w:t>
            </w:r>
          </w:p>
        </w:tc>
      </w:tr>
      <w:tr w14:paraId="3896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Align w:val="center"/>
          </w:tcPr>
          <w:p w14:paraId="1BFF4E29">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984" w:type="dxa"/>
            <w:vAlign w:val="center"/>
          </w:tcPr>
          <w:p w14:paraId="76C6420D">
            <w:pPr>
              <w:spacing w:line="365"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项目用途</w:t>
            </w:r>
          </w:p>
        </w:tc>
        <w:tc>
          <w:tcPr>
            <w:tcW w:w="6796" w:type="dxa"/>
            <w:vAlign w:val="center"/>
          </w:tcPr>
          <w:p w14:paraId="03F1301B">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互联网接入服务，为更好的促进校园信息化建设</w:t>
            </w:r>
          </w:p>
        </w:tc>
      </w:tr>
      <w:tr w14:paraId="4866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36BD12F7">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984" w:type="dxa"/>
            <w:vAlign w:val="center"/>
          </w:tcPr>
          <w:p w14:paraId="1B1C8105">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采购内容和要求</w:t>
            </w:r>
          </w:p>
        </w:tc>
        <w:tc>
          <w:tcPr>
            <w:tcW w:w="6796" w:type="dxa"/>
            <w:vAlign w:val="center"/>
          </w:tcPr>
          <w:p w14:paraId="11A36E77">
            <w:pPr>
              <w:pStyle w:val="22"/>
              <w:spacing w:line="365"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详见第三章采购内容及要求</w:t>
            </w:r>
          </w:p>
        </w:tc>
      </w:tr>
      <w:tr w14:paraId="055D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713DEB8D">
            <w:pPr>
              <w:rPr>
                <w:rFonts w:hint="eastAsia" w:ascii="宋体" w:hAnsi="宋体" w:eastAsia="宋体" w:cs="宋体"/>
                <w:color w:val="auto"/>
                <w:sz w:val="24"/>
              </w:rPr>
            </w:pPr>
            <w:r>
              <w:rPr>
                <w:rFonts w:hint="eastAsia" w:ascii="宋体" w:hAnsi="宋体" w:eastAsia="宋体" w:cs="宋体"/>
                <w:color w:val="auto"/>
                <w:sz w:val="24"/>
              </w:rPr>
              <w:t>10</w:t>
            </w:r>
          </w:p>
        </w:tc>
        <w:tc>
          <w:tcPr>
            <w:tcW w:w="1984" w:type="dxa"/>
            <w:vAlign w:val="center"/>
          </w:tcPr>
          <w:p w14:paraId="3A607B0B">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6796" w:type="dxa"/>
          </w:tcPr>
          <w:p w14:paraId="357F6033">
            <w:pPr>
              <w:spacing w:line="420" w:lineRule="exact"/>
              <w:rPr>
                <w:rFonts w:hint="eastAsia" w:ascii="宋体" w:hAnsi="宋体" w:eastAsia="宋体" w:cs="宋体"/>
                <w:color w:val="auto"/>
                <w:sz w:val="24"/>
              </w:rPr>
            </w:pPr>
            <w:r>
              <w:rPr>
                <w:rFonts w:hint="eastAsia" w:ascii="宋体" w:hAnsi="宋体" w:eastAsia="宋体" w:cs="宋体"/>
                <w:color w:val="auto"/>
                <w:sz w:val="24"/>
              </w:rPr>
              <w:t>响应</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"http://baike.baidu.com/view/8707.htm" \t "_blank" </w:instrText>
            </w:r>
            <w:r>
              <w:rPr>
                <w:rFonts w:hint="eastAsia" w:ascii="宋体" w:hAnsi="宋体" w:eastAsia="宋体" w:cs="宋体"/>
                <w:color w:val="auto"/>
              </w:rPr>
              <w:fldChar w:fldCharType="separate"/>
            </w:r>
            <w:r>
              <w:rPr>
                <w:rFonts w:hint="eastAsia" w:ascii="宋体" w:hAnsi="宋体" w:eastAsia="宋体" w:cs="宋体"/>
                <w:color w:val="auto"/>
                <w:sz w:val="24"/>
              </w:rPr>
              <w:t>磋商</w:t>
            </w:r>
            <w:r>
              <w:rPr>
                <w:rFonts w:hint="eastAsia" w:ascii="宋体" w:hAnsi="宋体" w:eastAsia="宋体" w:cs="宋体"/>
                <w:color w:val="auto"/>
                <w:sz w:val="24"/>
              </w:rPr>
              <w:fldChar w:fldCharType="end"/>
            </w:r>
            <w:r>
              <w:rPr>
                <w:rFonts w:hint="eastAsia" w:ascii="宋体" w:hAnsi="宋体" w:eastAsia="宋体" w:cs="宋体"/>
                <w:color w:val="auto"/>
                <w:sz w:val="24"/>
              </w:rPr>
              <w:t>并且符合竞争性磋商文件规定资格条件和参加磋商竞争的法人。</w:t>
            </w:r>
          </w:p>
        </w:tc>
      </w:tr>
      <w:tr w14:paraId="404B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24B6BAD4">
            <w:pPr>
              <w:rPr>
                <w:rFonts w:hint="eastAsia" w:ascii="宋体" w:hAnsi="宋体" w:eastAsia="宋体" w:cs="宋体"/>
                <w:color w:val="auto"/>
                <w:sz w:val="24"/>
              </w:rPr>
            </w:pPr>
            <w:r>
              <w:rPr>
                <w:rFonts w:hint="eastAsia" w:ascii="宋体" w:hAnsi="宋体" w:eastAsia="宋体" w:cs="宋体"/>
                <w:color w:val="auto"/>
                <w:sz w:val="24"/>
              </w:rPr>
              <w:t>11</w:t>
            </w:r>
          </w:p>
        </w:tc>
        <w:tc>
          <w:tcPr>
            <w:tcW w:w="1984" w:type="dxa"/>
            <w:shd w:val="clear" w:color="auto" w:fill="auto"/>
            <w:vAlign w:val="center"/>
          </w:tcPr>
          <w:p w14:paraId="3430CF6E">
            <w:pPr>
              <w:jc w:val="center"/>
              <w:rPr>
                <w:rFonts w:hint="eastAsia" w:ascii="宋体" w:hAnsi="宋体" w:eastAsia="宋体" w:cs="宋体"/>
                <w:color w:val="auto"/>
                <w:sz w:val="24"/>
              </w:rPr>
            </w:pPr>
            <w:r>
              <w:rPr>
                <w:rFonts w:hint="eastAsia" w:ascii="宋体" w:hAnsi="宋体" w:eastAsia="宋体" w:cs="宋体"/>
                <w:color w:val="auto"/>
                <w:sz w:val="24"/>
              </w:rPr>
              <w:t>供应商资格要求</w:t>
            </w:r>
          </w:p>
        </w:tc>
        <w:tc>
          <w:tcPr>
            <w:tcW w:w="6796" w:type="dxa"/>
            <w:shd w:val="clear" w:color="auto" w:fill="auto"/>
          </w:tcPr>
          <w:p w14:paraId="38CAA306">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1.满足《中华人民共和国政府采购法》第二十二条规定;</w:t>
            </w:r>
          </w:p>
          <w:p w14:paraId="084D374A">
            <w:pPr>
              <w:spacing w:line="365"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2.落实政府采购政策需满足的资格要求：</w:t>
            </w:r>
            <w:r>
              <w:rPr>
                <w:rFonts w:hint="eastAsia" w:ascii="宋体" w:hAnsi="宋体" w:cs="宋体"/>
                <w:color w:val="auto"/>
                <w:sz w:val="24"/>
                <w:szCs w:val="24"/>
                <w:lang w:val="en-US" w:eastAsia="zh-CN"/>
              </w:rPr>
              <w:t>无</w:t>
            </w:r>
          </w:p>
          <w:p w14:paraId="1358B09F">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3.本项目的特定资格要求：</w:t>
            </w:r>
          </w:p>
          <w:p w14:paraId="47DABD3C">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合同包1(千阳县学校互联网光纤接入项目第1包)特定资格要求如下:</w:t>
            </w:r>
          </w:p>
          <w:p w14:paraId="4FABDDCA">
            <w:pPr>
              <w:numPr>
                <w:ilvl w:val="0"/>
                <w:numId w:val="1"/>
              </w:numPr>
              <w:spacing w:line="365" w:lineRule="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供应商须提供2023年或2024年度财务审计报告（成立时间至提交投标文件截止时间不足一年的可提供成立后任意时段的资产负债表）或基本存款账户开户银行出具的资信证明、基本存款账户开户许可证（基本存款账户信息）；</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（3）供应商须提供2024年3月至今已缴存的至少一个月的社会保险参保缴费情况证明。</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供应商须提供2024年3月至今缴纳的至少一个月的纳税证明或完税证明，依法免税的单位应提供相关证明材料；</w:t>
            </w:r>
          </w:p>
          <w:p w14:paraId="1B9CF9FD">
            <w:pPr>
              <w:numPr>
                <w:ilvl w:val="0"/>
                <w:numId w:val="0"/>
              </w:numPr>
              <w:spacing w:line="365" w:lineRule="auto"/>
              <w:rPr>
                <w:rFonts w:hint="eastAsia"/>
              </w:rPr>
            </w:pPr>
            <w:r>
              <w:rPr>
                <w:rFonts w:hint="eastAsia" w:ascii="宋体" w:hAnsi="宋体" w:eastAsia="宋体" w:cs="宋体"/>
                <w:color w:val="auto"/>
                <w:sz w:val="24"/>
                <w:szCs w:val="24"/>
                <w:lang w:val="en-US" w:eastAsia="zh-CN"/>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（9）提供具有履行合同所必需的设备和专业技术能力的承诺书；</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（10）供应商须提供有效的基础电信业务经营许可证或增值电信业务经营许可证；</w:t>
            </w:r>
          </w:p>
        </w:tc>
      </w:tr>
      <w:tr w14:paraId="7C62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2" w:type="dxa"/>
            <w:vAlign w:val="center"/>
          </w:tcPr>
          <w:p w14:paraId="5438F0C0">
            <w:pPr>
              <w:rPr>
                <w:rFonts w:hint="eastAsia" w:ascii="宋体" w:hAnsi="宋体" w:eastAsia="宋体" w:cs="宋体"/>
                <w:sz w:val="24"/>
              </w:rPr>
            </w:pPr>
            <w:r>
              <w:rPr>
                <w:rFonts w:hint="eastAsia" w:ascii="宋体" w:hAnsi="宋体" w:eastAsia="宋体" w:cs="宋体"/>
                <w:sz w:val="24"/>
              </w:rPr>
              <w:t>12</w:t>
            </w:r>
          </w:p>
        </w:tc>
        <w:tc>
          <w:tcPr>
            <w:tcW w:w="1984" w:type="dxa"/>
            <w:vAlign w:val="center"/>
          </w:tcPr>
          <w:p w14:paraId="0E021F48">
            <w:pPr>
              <w:jc w:val="center"/>
              <w:rPr>
                <w:rFonts w:hint="eastAsia" w:ascii="宋体" w:hAnsi="宋体" w:eastAsia="宋体" w:cs="宋体"/>
                <w:sz w:val="24"/>
              </w:rPr>
            </w:pPr>
            <w:r>
              <w:rPr>
                <w:rFonts w:hint="eastAsia" w:ascii="宋体" w:hAnsi="宋体" w:cs="宋体"/>
                <w:sz w:val="24"/>
                <w:lang w:val="en-US" w:eastAsia="zh-CN"/>
              </w:rPr>
              <w:t>服务期</w:t>
            </w:r>
            <w:r>
              <w:rPr>
                <w:rFonts w:hint="eastAsia" w:ascii="宋体" w:hAnsi="宋体" w:eastAsia="宋体" w:cs="宋体"/>
                <w:sz w:val="24"/>
              </w:rPr>
              <w:t>、</w:t>
            </w:r>
            <w:r>
              <w:rPr>
                <w:rFonts w:hint="eastAsia" w:ascii="宋体" w:hAnsi="宋体" w:eastAsia="宋体" w:cs="宋体"/>
                <w:sz w:val="24"/>
                <w:lang w:eastAsia="zh-CN"/>
              </w:rPr>
              <w:t>项目</w:t>
            </w:r>
            <w:r>
              <w:rPr>
                <w:rFonts w:hint="eastAsia" w:ascii="宋体" w:hAnsi="宋体" w:eastAsia="宋体" w:cs="宋体"/>
                <w:sz w:val="24"/>
              </w:rPr>
              <w:t>地点</w:t>
            </w:r>
          </w:p>
        </w:tc>
        <w:tc>
          <w:tcPr>
            <w:tcW w:w="6796" w:type="dxa"/>
          </w:tcPr>
          <w:p w14:paraId="7179BE33">
            <w:pPr>
              <w:spacing w:line="360" w:lineRule="auto"/>
              <w:jc w:val="left"/>
              <w:rPr>
                <w:rFonts w:hint="default" w:ascii="宋体" w:hAnsi="宋体" w:eastAsia="宋体" w:cs="宋体"/>
                <w:color w:val="auto"/>
                <w:sz w:val="24"/>
                <w:lang w:val="en-US" w:eastAsia="zh-CN"/>
              </w:rPr>
            </w:pPr>
            <w:r>
              <w:rPr>
                <w:rFonts w:hint="eastAsia" w:ascii="宋体" w:hAnsi="宋体" w:cs="宋体"/>
                <w:sz w:val="24"/>
                <w:lang w:val="en-US" w:eastAsia="zh-CN"/>
              </w:rPr>
              <w:t>服务</w:t>
            </w:r>
            <w:r>
              <w:rPr>
                <w:rFonts w:hint="eastAsia" w:ascii="宋体" w:hAnsi="宋体" w:eastAsia="宋体" w:cs="宋体"/>
                <w:color w:val="auto"/>
                <w:sz w:val="24"/>
                <w:lang w:val="en-US" w:eastAsia="zh-CN"/>
              </w:rPr>
              <w:t>期：1年</w:t>
            </w:r>
          </w:p>
          <w:p w14:paraId="02CEC94D">
            <w:pPr>
              <w:spacing w:line="360" w:lineRule="auto"/>
              <w:jc w:val="left"/>
              <w:rPr>
                <w:rFonts w:hint="eastAsia" w:ascii="宋体" w:hAnsi="宋体" w:eastAsia="宋体" w:cs="宋体"/>
                <w:sz w:val="24"/>
              </w:rPr>
            </w:pPr>
            <w:r>
              <w:rPr>
                <w:rFonts w:hint="eastAsia" w:ascii="宋体" w:hAnsi="宋体" w:eastAsia="宋体" w:cs="宋体"/>
                <w:color w:val="auto"/>
                <w:sz w:val="24"/>
                <w:lang w:eastAsia="zh-CN"/>
              </w:rPr>
              <w:t>项目地点</w:t>
            </w:r>
            <w:r>
              <w:rPr>
                <w:rFonts w:hint="eastAsia" w:ascii="宋体" w:hAnsi="宋体" w:eastAsia="宋体" w:cs="宋体"/>
                <w:color w:val="auto"/>
                <w:sz w:val="24"/>
                <w:lang w:val="zh-CN" w:eastAsia="zh-CN"/>
              </w:rPr>
              <w:t>：采购人指定地点</w:t>
            </w:r>
          </w:p>
        </w:tc>
      </w:tr>
      <w:tr w14:paraId="32DF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Align w:val="center"/>
          </w:tcPr>
          <w:p w14:paraId="45C0202B">
            <w:pPr>
              <w:rPr>
                <w:rFonts w:hint="eastAsia" w:ascii="宋体" w:hAnsi="宋体" w:eastAsia="宋体" w:cs="宋体"/>
                <w:sz w:val="24"/>
              </w:rPr>
            </w:pPr>
            <w:r>
              <w:rPr>
                <w:rFonts w:hint="eastAsia" w:ascii="宋体" w:hAnsi="宋体" w:eastAsia="宋体" w:cs="宋体"/>
                <w:sz w:val="24"/>
              </w:rPr>
              <w:t>13</w:t>
            </w:r>
          </w:p>
        </w:tc>
        <w:tc>
          <w:tcPr>
            <w:tcW w:w="1984" w:type="dxa"/>
            <w:vAlign w:val="center"/>
          </w:tcPr>
          <w:p w14:paraId="2F461A3C">
            <w:pPr>
              <w:jc w:val="center"/>
              <w:rPr>
                <w:rFonts w:hint="eastAsia" w:ascii="宋体" w:hAnsi="宋体" w:eastAsia="宋体" w:cs="宋体"/>
                <w:sz w:val="24"/>
                <w:lang w:eastAsia="zh-CN"/>
              </w:rPr>
            </w:pPr>
            <w:r>
              <w:rPr>
                <w:rFonts w:hint="eastAsia" w:ascii="宋体" w:hAnsi="宋体" w:eastAsia="宋体" w:cs="宋体"/>
                <w:sz w:val="24"/>
              </w:rPr>
              <w:t>竞争性磋商文件</w:t>
            </w:r>
            <w:r>
              <w:rPr>
                <w:rFonts w:hint="eastAsia" w:ascii="宋体" w:hAnsi="宋体" w:eastAsia="宋体" w:cs="宋体"/>
                <w:sz w:val="24"/>
                <w:lang w:eastAsia="zh-CN"/>
              </w:rPr>
              <w:t>获取</w:t>
            </w:r>
          </w:p>
        </w:tc>
        <w:tc>
          <w:tcPr>
            <w:tcW w:w="6796" w:type="dxa"/>
          </w:tcPr>
          <w:p w14:paraId="33DB2A96">
            <w:pPr>
              <w:pStyle w:val="57"/>
              <w:spacing w:line="460" w:lineRule="exact"/>
              <w:ind w:left="240" w:hanging="240" w:hangingChars="100"/>
              <w:rPr>
                <w:rFonts w:hint="eastAsia" w:ascii="宋体" w:hAnsi="宋体" w:eastAsia="宋体" w:cs="宋体"/>
                <w:color w:val="auto"/>
                <w:kern w:val="2"/>
                <w:sz w:val="24"/>
                <w:szCs w:val="20"/>
                <w:lang w:val="zh-CN" w:eastAsia="zh-CN" w:bidi="ar-SA"/>
              </w:rPr>
            </w:pPr>
            <w:r>
              <w:rPr>
                <w:rFonts w:hint="eastAsia" w:ascii="宋体" w:hAnsi="宋体" w:eastAsia="宋体" w:cs="宋体"/>
                <w:sz w:val="24"/>
                <w:szCs w:val="24"/>
                <w:lang w:eastAsia="zh-CN"/>
              </w:rPr>
              <w:t>获取</w:t>
            </w:r>
            <w:r>
              <w:rPr>
                <w:rFonts w:hint="eastAsia" w:ascii="宋体" w:hAnsi="宋体" w:eastAsia="宋体" w:cs="宋体"/>
                <w:sz w:val="24"/>
                <w:szCs w:val="24"/>
              </w:rPr>
              <w:t>时</w:t>
            </w:r>
            <w:r>
              <w:rPr>
                <w:rFonts w:hint="eastAsia" w:ascii="宋体" w:hAnsi="宋体" w:eastAsia="宋体" w:cs="宋体"/>
                <w:sz w:val="24"/>
                <w:szCs w:val="24"/>
                <w:highlight w:val="none"/>
              </w:rPr>
              <w:t>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color w:val="auto"/>
                <w:kern w:val="2"/>
                <w:sz w:val="24"/>
                <w:szCs w:val="20"/>
                <w:lang w:val="zh-CN" w:eastAsia="zh-CN" w:bidi="ar-SA"/>
              </w:rPr>
              <w:t>年</w:t>
            </w:r>
            <w:r>
              <w:rPr>
                <w:rFonts w:hint="eastAsia" w:ascii="宋体" w:hAnsi="宋体" w:eastAsia="宋体" w:cs="宋体"/>
                <w:color w:val="auto"/>
                <w:kern w:val="2"/>
                <w:sz w:val="24"/>
                <w:szCs w:val="20"/>
                <w:lang w:val="en-US" w:eastAsia="zh-CN" w:bidi="ar-SA"/>
              </w:rPr>
              <w:t>04</w:t>
            </w:r>
            <w:r>
              <w:rPr>
                <w:rFonts w:hint="eastAsia" w:ascii="宋体" w:hAnsi="宋体" w:eastAsia="宋体" w:cs="宋体"/>
                <w:color w:val="auto"/>
                <w:kern w:val="2"/>
                <w:sz w:val="24"/>
                <w:szCs w:val="20"/>
                <w:lang w:val="zh-CN" w:eastAsia="zh-CN" w:bidi="ar-SA"/>
              </w:rPr>
              <w:t>月</w:t>
            </w:r>
            <w:r>
              <w:rPr>
                <w:rFonts w:hint="eastAsia" w:ascii="宋体" w:hAnsi="宋体" w:cs="宋体"/>
                <w:color w:val="auto"/>
                <w:kern w:val="2"/>
                <w:sz w:val="24"/>
                <w:szCs w:val="20"/>
                <w:lang w:val="en-US" w:eastAsia="zh-CN" w:bidi="ar-SA"/>
              </w:rPr>
              <w:t>14</w:t>
            </w:r>
            <w:r>
              <w:rPr>
                <w:rFonts w:hint="eastAsia" w:ascii="宋体" w:hAnsi="宋体" w:eastAsia="宋体" w:cs="宋体"/>
                <w:color w:val="auto"/>
                <w:kern w:val="2"/>
                <w:sz w:val="24"/>
                <w:szCs w:val="20"/>
                <w:lang w:val="zh-CN" w:eastAsia="zh-CN" w:bidi="ar-SA"/>
              </w:rPr>
              <w:t>日至202</w:t>
            </w:r>
            <w:r>
              <w:rPr>
                <w:rFonts w:hint="eastAsia" w:ascii="宋体" w:hAnsi="宋体" w:eastAsia="宋体" w:cs="宋体"/>
                <w:color w:val="auto"/>
                <w:kern w:val="2"/>
                <w:sz w:val="24"/>
                <w:szCs w:val="20"/>
                <w:lang w:val="en-US" w:eastAsia="zh-CN" w:bidi="ar-SA"/>
              </w:rPr>
              <w:t>5</w:t>
            </w:r>
            <w:r>
              <w:rPr>
                <w:rFonts w:hint="eastAsia" w:ascii="宋体" w:hAnsi="宋体" w:eastAsia="宋体" w:cs="宋体"/>
                <w:color w:val="auto"/>
                <w:kern w:val="2"/>
                <w:sz w:val="24"/>
                <w:szCs w:val="20"/>
                <w:lang w:val="zh-CN" w:eastAsia="zh-CN" w:bidi="ar-SA"/>
              </w:rPr>
              <w:t>年</w:t>
            </w:r>
            <w:r>
              <w:rPr>
                <w:rFonts w:hint="eastAsia" w:ascii="宋体" w:hAnsi="宋体" w:eastAsia="宋体" w:cs="宋体"/>
                <w:color w:val="auto"/>
                <w:kern w:val="2"/>
                <w:sz w:val="24"/>
                <w:szCs w:val="20"/>
                <w:lang w:val="en-US" w:eastAsia="zh-CN" w:bidi="ar-SA"/>
              </w:rPr>
              <w:t>04</w:t>
            </w:r>
            <w:r>
              <w:rPr>
                <w:rFonts w:hint="eastAsia" w:ascii="宋体" w:hAnsi="宋体" w:eastAsia="宋体" w:cs="宋体"/>
                <w:color w:val="auto"/>
                <w:kern w:val="2"/>
                <w:sz w:val="24"/>
                <w:szCs w:val="20"/>
                <w:lang w:val="zh-CN" w:eastAsia="zh-CN" w:bidi="ar-SA"/>
              </w:rPr>
              <w:t>月</w:t>
            </w:r>
            <w:r>
              <w:rPr>
                <w:rFonts w:hint="eastAsia" w:ascii="宋体" w:hAnsi="宋体" w:cs="宋体"/>
                <w:color w:val="auto"/>
                <w:kern w:val="2"/>
                <w:sz w:val="24"/>
                <w:szCs w:val="20"/>
                <w:lang w:val="en-US" w:eastAsia="zh-CN" w:bidi="ar-SA"/>
              </w:rPr>
              <w:t>18</w:t>
            </w:r>
            <w:r>
              <w:rPr>
                <w:rFonts w:hint="eastAsia" w:ascii="宋体" w:hAnsi="宋体" w:eastAsia="宋体" w:cs="宋体"/>
                <w:color w:val="auto"/>
                <w:kern w:val="2"/>
                <w:sz w:val="24"/>
                <w:szCs w:val="20"/>
                <w:lang w:val="zh-CN" w:eastAsia="zh-CN" w:bidi="ar-SA"/>
              </w:rPr>
              <w:t>日9:00-17:00止（节假日除外）。</w:t>
            </w:r>
          </w:p>
          <w:p w14:paraId="233A512B">
            <w:pPr>
              <w:pStyle w:val="57"/>
              <w:spacing w:line="460" w:lineRule="exact"/>
              <w:rPr>
                <w:rFonts w:hint="eastAsia" w:ascii="宋体" w:hAnsi="宋体" w:eastAsia="宋体" w:cs="宋体"/>
                <w:sz w:val="24"/>
                <w:szCs w:val="24"/>
              </w:rPr>
            </w:pPr>
            <w:r>
              <w:rPr>
                <w:rFonts w:hint="eastAsia" w:ascii="宋体" w:hAnsi="宋体" w:eastAsia="宋体" w:cs="宋体"/>
                <w:sz w:val="24"/>
                <w:szCs w:val="24"/>
                <w:highlight w:val="none"/>
                <w:lang w:eastAsia="zh-CN"/>
              </w:rPr>
              <w:t>获取方式</w:t>
            </w:r>
            <w:r>
              <w:rPr>
                <w:rFonts w:hint="eastAsia" w:ascii="宋体" w:hAnsi="宋体" w:eastAsia="宋体" w:cs="宋体"/>
                <w:sz w:val="24"/>
                <w:szCs w:val="24"/>
                <w:highlight w:val="none"/>
              </w:rPr>
              <w:t>：在线</w:t>
            </w:r>
            <w:r>
              <w:rPr>
                <w:rFonts w:hint="eastAsia" w:ascii="宋体" w:hAnsi="宋体" w:eastAsia="宋体" w:cs="宋体"/>
                <w:sz w:val="24"/>
                <w:szCs w:val="24"/>
                <w:highlight w:val="none"/>
                <w:lang w:eastAsia="zh-CN"/>
              </w:rPr>
              <w:t>下载</w:t>
            </w:r>
            <w:r>
              <w:rPr>
                <w:rFonts w:hint="eastAsia" w:ascii="宋体" w:hAnsi="宋体" w:eastAsia="宋体" w:cs="宋体"/>
                <w:sz w:val="24"/>
                <w:szCs w:val="24"/>
                <w:highlight w:val="none"/>
              </w:rPr>
              <w:t>。</w:t>
            </w:r>
          </w:p>
        </w:tc>
      </w:tr>
      <w:tr w14:paraId="04D1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2" w:type="dxa"/>
            <w:vAlign w:val="center"/>
          </w:tcPr>
          <w:p w14:paraId="6D1B22B3">
            <w:pPr>
              <w:rPr>
                <w:rFonts w:hint="eastAsia" w:ascii="宋体" w:hAnsi="宋体" w:eastAsia="宋体" w:cs="宋体"/>
                <w:sz w:val="24"/>
              </w:rPr>
            </w:pPr>
            <w:r>
              <w:rPr>
                <w:rFonts w:hint="eastAsia" w:ascii="宋体" w:hAnsi="宋体" w:eastAsia="宋体" w:cs="宋体"/>
                <w:sz w:val="24"/>
              </w:rPr>
              <w:t>14</w:t>
            </w:r>
          </w:p>
        </w:tc>
        <w:tc>
          <w:tcPr>
            <w:tcW w:w="1984" w:type="dxa"/>
            <w:vAlign w:val="center"/>
          </w:tcPr>
          <w:p w14:paraId="20435AB3">
            <w:pPr>
              <w:jc w:val="center"/>
              <w:rPr>
                <w:rFonts w:hint="eastAsia" w:ascii="宋体" w:hAnsi="宋体" w:eastAsia="宋体" w:cs="宋体"/>
                <w:sz w:val="24"/>
              </w:rPr>
            </w:pPr>
            <w:r>
              <w:rPr>
                <w:rFonts w:hint="eastAsia" w:ascii="宋体" w:hAnsi="宋体" w:eastAsia="宋体" w:cs="宋体"/>
                <w:sz w:val="24"/>
              </w:rPr>
              <w:t>联合体磋商</w:t>
            </w:r>
          </w:p>
        </w:tc>
        <w:tc>
          <w:tcPr>
            <w:tcW w:w="6796" w:type="dxa"/>
          </w:tcPr>
          <w:p w14:paraId="490DBDC0">
            <w:pPr>
              <w:spacing w:line="460" w:lineRule="exact"/>
              <w:rPr>
                <w:rFonts w:hint="eastAsia" w:ascii="宋体" w:hAnsi="宋体" w:eastAsia="宋体" w:cs="宋体"/>
                <w:sz w:val="24"/>
              </w:rPr>
            </w:pPr>
            <w:r>
              <w:rPr>
                <w:rFonts w:hint="eastAsia" w:ascii="宋体" w:hAnsi="宋体" w:eastAsia="宋体" w:cs="宋体"/>
                <w:sz w:val="24"/>
              </w:rPr>
              <w:t>不接受</w:t>
            </w:r>
          </w:p>
        </w:tc>
      </w:tr>
      <w:tr w14:paraId="27BE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2" w:type="dxa"/>
            <w:vAlign w:val="center"/>
          </w:tcPr>
          <w:p w14:paraId="664EE274">
            <w:pPr>
              <w:rPr>
                <w:rFonts w:hint="eastAsia" w:ascii="宋体" w:hAnsi="宋体" w:eastAsia="宋体" w:cs="宋体"/>
                <w:sz w:val="24"/>
              </w:rPr>
            </w:pPr>
            <w:r>
              <w:rPr>
                <w:rFonts w:hint="eastAsia" w:ascii="宋体" w:hAnsi="宋体" w:eastAsia="宋体" w:cs="宋体"/>
                <w:sz w:val="24"/>
              </w:rPr>
              <w:t>15</w:t>
            </w:r>
          </w:p>
        </w:tc>
        <w:tc>
          <w:tcPr>
            <w:tcW w:w="1984" w:type="dxa"/>
            <w:vAlign w:val="center"/>
          </w:tcPr>
          <w:p w14:paraId="2EF11F7E">
            <w:pPr>
              <w:spacing w:line="460" w:lineRule="exact"/>
              <w:jc w:val="center"/>
              <w:rPr>
                <w:rFonts w:hint="eastAsia" w:ascii="宋体" w:hAnsi="宋体" w:eastAsia="宋体" w:cs="宋体"/>
                <w:sz w:val="24"/>
              </w:rPr>
            </w:pPr>
            <w:r>
              <w:rPr>
                <w:rFonts w:hint="eastAsia" w:ascii="宋体" w:hAnsi="宋体" w:eastAsia="宋体" w:cs="宋体"/>
                <w:sz w:val="24"/>
              </w:rPr>
              <w:t>现场勘查、标前答疑会</w:t>
            </w:r>
          </w:p>
        </w:tc>
        <w:tc>
          <w:tcPr>
            <w:tcW w:w="6796" w:type="dxa"/>
            <w:vAlign w:val="center"/>
          </w:tcPr>
          <w:p w14:paraId="33A6FD3E">
            <w:pPr>
              <w:spacing w:line="460" w:lineRule="exact"/>
              <w:rPr>
                <w:rFonts w:hint="eastAsia" w:ascii="宋体" w:hAnsi="宋体" w:eastAsia="宋体" w:cs="宋体"/>
                <w:sz w:val="24"/>
              </w:rPr>
            </w:pPr>
            <w:r>
              <w:rPr>
                <w:rFonts w:hint="eastAsia" w:ascii="宋体" w:hAnsi="宋体" w:eastAsia="宋体" w:cs="宋体"/>
                <w:sz w:val="24"/>
              </w:rPr>
              <w:t>不统一组织。供应商认为有必要可自行勘查，并承担所有费用及风险。</w:t>
            </w:r>
          </w:p>
        </w:tc>
      </w:tr>
      <w:tr w14:paraId="120C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62A0A8CE">
            <w:pPr>
              <w:rPr>
                <w:rFonts w:hint="eastAsia" w:ascii="宋体" w:hAnsi="宋体" w:eastAsia="宋体" w:cs="宋体"/>
                <w:sz w:val="24"/>
              </w:rPr>
            </w:pPr>
            <w:r>
              <w:rPr>
                <w:rFonts w:hint="eastAsia" w:ascii="宋体" w:hAnsi="宋体" w:eastAsia="宋体" w:cs="宋体"/>
                <w:sz w:val="24"/>
              </w:rPr>
              <w:t>16</w:t>
            </w:r>
          </w:p>
        </w:tc>
        <w:tc>
          <w:tcPr>
            <w:tcW w:w="1984" w:type="dxa"/>
            <w:vAlign w:val="center"/>
          </w:tcPr>
          <w:p w14:paraId="59F20643">
            <w:pPr>
              <w:jc w:val="center"/>
              <w:rPr>
                <w:rFonts w:hint="eastAsia" w:ascii="宋体" w:hAnsi="宋体" w:eastAsia="宋体" w:cs="宋体"/>
                <w:sz w:val="24"/>
              </w:rPr>
            </w:pPr>
            <w:r>
              <w:rPr>
                <w:rFonts w:hint="eastAsia" w:ascii="宋体" w:hAnsi="宋体" w:eastAsia="宋体" w:cs="宋体"/>
                <w:sz w:val="24"/>
              </w:rPr>
              <w:t>供应商对竞争性磋商文件提出质疑的时间</w:t>
            </w:r>
          </w:p>
        </w:tc>
        <w:tc>
          <w:tcPr>
            <w:tcW w:w="6796" w:type="dxa"/>
          </w:tcPr>
          <w:p w14:paraId="1E2DC974">
            <w:pPr>
              <w:spacing w:line="460" w:lineRule="exact"/>
              <w:rPr>
                <w:rFonts w:hint="eastAsia" w:ascii="宋体" w:hAnsi="宋体" w:eastAsia="宋体" w:cs="宋体"/>
                <w:sz w:val="24"/>
              </w:rPr>
            </w:pPr>
            <w:r>
              <w:rPr>
                <w:rFonts w:hint="eastAsia" w:ascii="宋体" w:hAnsi="宋体" w:eastAsia="宋体" w:cs="宋体"/>
                <w:sz w:val="24"/>
                <w:szCs w:val="24"/>
              </w:rPr>
              <w:t>可在领取磋商文件之日起或本项目磋商公告期限届满之日起七个工作日内，以书面形式向采购代理机构一次性提出，</w:t>
            </w:r>
            <w:r>
              <w:rPr>
                <w:rFonts w:hint="eastAsia" w:ascii="宋体" w:hAnsi="宋体" w:eastAsia="宋体" w:cs="宋体"/>
                <w:sz w:val="24"/>
              </w:rPr>
              <w:t>在此之后提出的质疑无效</w:t>
            </w:r>
            <w:r>
              <w:rPr>
                <w:rFonts w:hint="eastAsia" w:ascii="宋体" w:hAnsi="宋体" w:eastAsia="宋体" w:cs="宋体"/>
                <w:sz w:val="24"/>
                <w:szCs w:val="24"/>
              </w:rPr>
              <w:t>。</w:t>
            </w:r>
          </w:p>
        </w:tc>
      </w:tr>
      <w:tr w14:paraId="15FE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82" w:type="dxa"/>
            <w:vAlign w:val="center"/>
          </w:tcPr>
          <w:p w14:paraId="4F9020C1">
            <w:pPr>
              <w:rPr>
                <w:rFonts w:hint="eastAsia" w:ascii="宋体" w:hAnsi="宋体" w:eastAsia="宋体" w:cs="宋体"/>
                <w:sz w:val="24"/>
              </w:rPr>
            </w:pPr>
            <w:r>
              <w:rPr>
                <w:rFonts w:hint="eastAsia" w:ascii="宋体" w:hAnsi="宋体" w:eastAsia="宋体" w:cs="宋体"/>
                <w:sz w:val="24"/>
              </w:rPr>
              <w:t>17</w:t>
            </w:r>
          </w:p>
        </w:tc>
        <w:tc>
          <w:tcPr>
            <w:tcW w:w="1984" w:type="dxa"/>
            <w:vAlign w:val="center"/>
          </w:tcPr>
          <w:p w14:paraId="31E1FEED">
            <w:pPr>
              <w:jc w:val="center"/>
              <w:rPr>
                <w:rFonts w:hint="eastAsia" w:ascii="宋体" w:hAnsi="宋体" w:eastAsia="宋体" w:cs="宋体"/>
                <w:sz w:val="24"/>
              </w:rPr>
            </w:pPr>
            <w:r>
              <w:rPr>
                <w:rFonts w:hint="eastAsia" w:ascii="宋体" w:hAnsi="宋体" w:eastAsia="宋体" w:cs="宋体"/>
                <w:sz w:val="24"/>
              </w:rPr>
              <w:t>构成竞争性磋商文件的其他文件</w:t>
            </w:r>
          </w:p>
        </w:tc>
        <w:tc>
          <w:tcPr>
            <w:tcW w:w="6796" w:type="dxa"/>
          </w:tcPr>
          <w:p w14:paraId="10001CB0">
            <w:pPr>
              <w:spacing w:line="460" w:lineRule="exact"/>
              <w:rPr>
                <w:rFonts w:hint="eastAsia" w:ascii="宋体" w:hAnsi="宋体" w:eastAsia="宋体" w:cs="宋体"/>
                <w:sz w:val="24"/>
              </w:rPr>
            </w:pPr>
            <w:r>
              <w:rPr>
                <w:rFonts w:hint="eastAsia" w:ascii="宋体" w:hAnsi="宋体" w:eastAsia="宋体" w:cs="宋体"/>
                <w:sz w:val="24"/>
              </w:rPr>
              <w:t>竞争性磋商文件的澄清、修改及有关补充通知均为竞争性磋商文件的有效组成部分。</w:t>
            </w:r>
          </w:p>
        </w:tc>
      </w:tr>
      <w:tr w14:paraId="054D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4333A847">
            <w:pPr>
              <w:rPr>
                <w:rFonts w:hint="eastAsia" w:ascii="宋体" w:hAnsi="宋体" w:eastAsia="宋体" w:cs="宋体"/>
                <w:sz w:val="24"/>
              </w:rPr>
            </w:pPr>
            <w:r>
              <w:rPr>
                <w:rFonts w:hint="eastAsia" w:ascii="宋体" w:hAnsi="宋体" w:eastAsia="宋体" w:cs="宋体"/>
                <w:sz w:val="24"/>
              </w:rPr>
              <w:t>18</w:t>
            </w:r>
          </w:p>
        </w:tc>
        <w:tc>
          <w:tcPr>
            <w:tcW w:w="1984" w:type="dxa"/>
            <w:vAlign w:val="center"/>
          </w:tcPr>
          <w:p w14:paraId="20122101">
            <w:pPr>
              <w:jc w:val="center"/>
              <w:rPr>
                <w:rFonts w:hint="eastAsia" w:ascii="宋体" w:hAnsi="宋体" w:eastAsia="宋体" w:cs="宋体"/>
                <w:sz w:val="24"/>
              </w:rPr>
            </w:pPr>
            <w:r>
              <w:rPr>
                <w:rFonts w:hint="eastAsia" w:ascii="宋体" w:hAnsi="宋体" w:eastAsia="宋体" w:cs="宋体"/>
                <w:sz w:val="24"/>
              </w:rPr>
              <w:t>磋商响应文件提交截止时间及磋商时间和地点</w:t>
            </w:r>
          </w:p>
        </w:tc>
        <w:tc>
          <w:tcPr>
            <w:tcW w:w="6796" w:type="dxa"/>
          </w:tcPr>
          <w:p w14:paraId="61E35B57">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1、磋商响应文件提交截止时间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时00分</w:t>
            </w:r>
          </w:p>
          <w:p w14:paraId="4F46B5E1">
            <w:pPr>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2、磋商时间：202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r>
              <w:rPr>
                <w:rFonts w:hint="eastAsia" w:ascii="宋体" w:hAnsi="宋体" w:eastAsia="宋体" w:cs="宋体"/>
                <w:sz w:val="24"/>
                <w:szCs w:val="24"/>
                <w:highlight w:val="none"/>
              </w:rPr>
              <w:t>分</w:t>
            </w:r>
          </w:p>
          <w:p w14:paraId="135EA394">
            <w:pPr>
              <w:pStyle w:val="22"/>
              <w:spacing w:before="0" w:beforeAutospacing="0" w:after="0" w:afterAutospacing="0" w:line="384" w:lineRule="atLeast"/>
              <w:jc w:val="both"/>
              <w:rPr>
                <w:rFonts w:hint="eastAsia" w:ascii="宋体" w:hAnsi="宋体" w:eastAsia="宋体" w:cs="宋体"/>
                <w:color w:val="0000FF"/>
                <w:kern w:val="2"/>
                <w:highlight w:val="none"/>
              </w:rPr>
            </w:pPr>
            <w:r>
              <w:rPr>
                <w:rFonts w:hint="eastAsia" w:ascii="宋体" w:hAnsi="宋体" w:eastAsia="宋体" w:cs="宋体"/>
                <w:highlight w:val="none"/>
              </w:rPr>
              <w:t>3</w:t>
            </w:r>
            <w:r>
              <w:rPr>
                <w:rFonts w:hint="eastAsia" w:ascii="宋体" w:hAnsi="宋体" w:eastAsia="宋体" w:cs="宋体"/>
                <w:kern w:val="2"/>
                <w:highlight w:val="none"/>
              </w:rPr>
              <w:t>、磋商响应文件提交：全国公共资源交易平台（陕西省·宝鸡市）宝鸡市公共资源交易中心（</w:t>
            </w:r>
            <w:r>
              <w:rPr>
                <w:rFonts w:hint="eastAsia" w:ascii="宋体" w:hAnsi="宋体" w:eastAsia="宋体" w:cs="宋体"/>
                <w:kern w:val="2"/>
                <w:highlight w:val="none"/>
                <w:lang w:val="en-US" w:eastAsia="zh-CN"/>
              </w:rPr>
              <w:t>http://ggzy.baoji.gov.cn/</w:t>
            </w:r>
            <w:r>
              <w:rPr>
                <w:rFonts w:hint="eastAsia" w:ascii="宋体" w:hAnsi="宋体" w:eastAsia="宋体" w:cs="宋体"/>
                <w:kern w:val="2"/>
                <w:highlight w:val="none"/>
              </w:rPr>
              <w:t>）线上提交</w:t>
            </w:r>
          </w:p>
          <w:p w14:paraId="0EBD791B">
            <w:pPr>
              <w:pStyle w:val="22"/>
              <w:spacing w:before="0" w:beforeAutospacing="0" w:after="0" w:afterAutospacing="0" w:line="384" w:lineRule="atLeast"/>
              <w:jc w:val="both"/>
              <w:rPr>
                <w:rFonts w:hint="eastAsia" w:ascii="宋体" w:hAnsi="宋体" w:eastAsia="宋体" w:cs="宋体"/>
                <w:color w:val="0000FF"/>
                <w:kern w:val="2"/>
                <w:highlight w:val="none"/>
                <w:lang w:eastAsia="zh-CN"/>
              </w:rPr>
            </w:pPr>
            <w:r>
              <w:rPr>
                <w:rFonts w:hint="eastAsia" w:ascii="宋体" w:hAnsi="宋体" w:eastAsia="宋体" w:cs="宋体"/>
                <w:kern w:val="2"/>
                <w:highlight w:val="none"/>
                <w:lang w:val="en-US" w:eastAsia="zh-CN"/>
              </w:rPr>
              <w:t>4、</w:t>
            </w:r>
            <w:r>
              <w:rPr>
                <w:rFonts w:hint="eastAsia" w:ascii="宋体" w:hAnsi="宋体" w:eastAsia="宋体" w:cs="宋体"/>
                <w:kern w:val="2"/>
                <w:highlight w:val="none"/>
              </w:rPr>
              <w:t>磋商地点</w:t>
            </w:r>
            <w:r>
              <w:rPr>
                <w:rFonts w:hint="eastAsia" w:ascii="宋体" w:hAnsi="宋体" w:eastAsia="宋体" w:cs="宋体"/>
                <w:kern w:val="2"/>
                <w:highlight w:val="none"/>
                <w:lang w:eastAsia="zh-CN"/>
              </w:rPr>
              <w:t>：</w:t>
            </w:r>
            <w:r>
              <w:rPr>
                <w:rFonts w:hint="eastAsia" w:ascii="宋体" w:hAnsi="宋体" w:eastAsia="宋体" w:cs="宋体"/>
                <w:color w:val="auto"/>
                <w:sz w:val="24"/>
                <w:highlight w:val="none"/>
                <w:lang w:val="en-US" w:eastAsia="zh-CN"/>
              </w:rPr>
              <w:t>全国公共资源交易平台(陕西省·宝鸡市)宝鸡市公共资源交易中心-不见面开标</w:t>
            </w:r>
          </w:p>
        </w:tc>
      </w:tr>
      <w:tr w14:paraId="0302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30C48AB4">
            <w:pPr>
              <w:rPr>
                <w:rFonts w:hint="eastAsia" w:ascii="宋体" w:hAnsi="宋体" w:eastAsia="宋体" w:cs="宋体"/>
                <w:sz w:val="24"/>
              </w:rPr>
            </w:pPr>
            <w:r>
              <w:rPr>
                <w:rFonts w:hint="eastAsia" w:ascii="宋体" w:hAnsi="宋体" w:eastAsia="宋体" w:cs="宋体"/>
                <w:sz w:val="24"/>
              </w:rPr>
              <w:t>19</w:t>
            </w:r>
          </w:p>
        </w:tc>
        <w:tc>
          <w:tcPr>
            <w:tcW w:w="1984" w:type="dxa"/>
            <w:vAlign w:val="center"/>
          </w:tcPr>
          <w:p w14:paraId="60551A16">
            <w:pPr>
              <w:jc w:val="center"/>
              <w:rPr>
                <w:rFonts w:hint="eastAsia" w:ascii="宋体" w:hAnsi="宋体" w:eastAsia="宋体" w:cs="宋体"/>
                <w:sz w:val="24"/>
              </w:rPr>
            </w:pPr>
            <w:r>
              <w:rPr>
                <w:rFonts w:hint="eastAsia" w:ascii="宋体" w:hAnsi="宋体" w:eastAsia="宋体" w:cs="宋体"/>
                <w:sz w:val="24"/>
              </w:rPr>
              <w:t>磋商响应有效期</w:t>
            </w:r>
          </w:p>
        </w:tc>
        <w:tc>
          <w:tcPr>
            <w:tcW w:w="6796" w:type="dxa"/>
          </w:tcPr>
          <w:p w14:paraId="6A96ADAB">
            <w:pPr>
              <w:spacing w:line="46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自磋商之日起算90日历日。</w:t>
            </w:r>
          </w:p>
        </w:tc>
      </w:tr>
      <w:tr w14:paraId="5EB0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18462195">
            <w:pPr>
              <w:rPr>
                <w:rFonts w:hint="eastAsia" w:ascii="宋体" w:hAnsi="宋体" w:eastAsia="宋体" w:cs="宋体"/>
                <w:color w:val="auto"/>
                <w:sz w:val="24"/>
              </w:rPr>
            </w:pPr>
            <w:r>
              <w:rPr>
                <w:rFonts w:hint="eastAsia" w:ascii="宋体" w:hAnsi="宋体" w:eastAsia="宋体" w:cs="宋体"/>
                <w:color w:val="auto"/>
                <w:sz w:val="24"/>
              </w:rPr>
              <w:t>20</w:t>
            </w:r>
          </w:p>
        </w:tc>
        <w:tc>
          <w:tcPr>
            <w:tcW w:w="1984" w:type="dxa"/>
            <w:vAlign w:val="center"/>
          </w:tcPr>
          <w:p w14:paraId="476FFD47">
            <w:pPr>
              <w:jc w:val="center"/>
              <w:rPr>
                <w:rFonts w:hint="eastAsia" w:ascii="宋体" w:hAnsi="宋体" w:eastAsia="宋体" w:cs="宋体"/>
                <w:color w:val="auto"/>
                <w:sz w:val="24"/>
              </w:rPr>
            </w:pPr>
            <w:r>
              <w:rPr>
                <w:rFonts w:hint="eastAsia" w:ascii="宋体" w:hAnsi="宋体" w:eastAsia="宋体" w:cs="宋体"/>
                <w:color w:val="auto"/>
                <w:sz w:val="24"/>
              </w:rPr>
              <w:t>磋商担保</w:t>
            </w:r>
          </w:p>
        </w:tc>
        <w:tc>
          <w:tcPr>
            <w:tcW w:w="6796" w:type="dxa"/>
          </w:tcPr>
          <w:p w14:paraId="7CB7DB35">
            <w:pPr>
              <w:tabs>
                <w:tab w:val="left" w:pos="8280"/>
              </w:tabs>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第1包</w:t>
            </w:r>
          </w:p>
          <w:p w14:paraId="2A34B434">
            <w:pPr>
              <w:tabs>
                <w:tab w:val="left" w:pos="8280"/>
              </w:tabs>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磋商保证金金额：人民币贰仟元整（2000.00元）</w:t>
            </w:r>
          </w:p>
          <w:p w14:paraId="66DEF5BF">
            <w:pPr>
              <w:tabs>
                <w:tab w:val="left" w:pos="8280"/>
              </w:tabs>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磋商保证金的形式：银行保函或基本户转账</w:t>
            </w:r>
          </w:p>
          <w:p w14:paraId="1D82E615">
            <w:pPr>
              <w:tabs>
                <w:tab w:val="left" w:pos="8280"/>
              </w:tabs>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磋商保证金缴纳账户名：宝鸡市公共资源交易中心保证金专户</w:t>
            </w:r>
          </w:p>
          <w:p w14:paraId="1B78C073">
            <w:pPr>
              <w:tabs>
                <w:tab w:val="left" w:pos="8280"/>
              </w:tabs>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开户行：长安银行股份有限公司宝鸡分行营业部</w:t>
            </w:r>
          </w:p>
          <w:p w14:paraId="499884BE">
            <w:pPr>
              <w:tabs>
                <w:tab w:val="left" w:pos="8280"/>
              </w:tabs>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账  号：80602000142101980612906</w:t>
            </w:r>
          </w:p>
          <w:p w14:paraId="0461D8A8">
            <w:pPr>
              <w:pStyle w:val="22"/>
              <w:widowControl/>
              <w:spacing w:before="0" w:beforeAutospacing="0" w:after="0" w:afterAutospacing="0" w:line="360" w:lineRule="auto"/>
              <w:ind w:firstLine="0" w:firstLineChars="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0"/>
                <w:lang w:val="en-US" w:eastAsia="zh-CN" w:bidi="ar-SA"/>
              </w:rPr>
              <w:t>银行保函</w:t>
            </w:r>
          </w:p>
          <w:p w14:paraId="6B498977">
            <w:pPr>
              <w:pStyle w:val="22"/>
              <w:widowControl/>
              <w:spacing w:before="0" w:beforeAutospacing="0" w:after="0" w:afterAutospacing="0" w:line="360" w:lineRule="auto"/>
              <w:ind w:firstLine="0" w:firstLineChars="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必须为供应商基本账户开户银行出具的银行保函，将银行保函及“基本账户开户许可证或基本存款账户信息”附在磋商响应文件中，作为保证金缴纳凭证。</w:t>
            </w:r>
          </w:p>
          <w:p w14:paraId="6BE79026">
            <w:pPr>
              <w:spacing w:beforeAutospacing="0" w:afterAutospacing="0" w:line="360" w:lineRule="auto"/>
              <w:ind w:firstLine="0" w:firstLineChars="0"/>
              <w:rPr>
                <w:rFonts w:hint="eastAsia" w:ascii="宋体" w:hAnsi="宋体" w:eastAsia="宋体" w:cs="宋体"/>
                <w:b/>
                <w:bCs/>
                <w:kern w:val="2"/>
                <w:sz w:val="24"/>
                <w:szCs w:val="20"/>
                <w:lang w:val="en-US" w:eastAsia="zh-CN" w:bidi="ar-SA"/>
              </w:rPr>
            </w:pPr>
            <w:r>
              <w:rPr>
                <w:rFonts w:hint="eastAsia" w:ascii="宋体" w:hAnsi="宋体" w:eastAsia="宋体" w:cs="宋体"/>
                <w:kern w:val="2"/>
                <w:sz w:val="24"/>
                <w:szCs w:val="20"/>
                <w:lang w:val="en-US" w:eastAsia="zh-CN" w:bidi="ar-SA"/>
              </w:rPr>
              <w:t>注：供应商如提供以银行作为担保的磋商保函，应与项目开标前2~3个工作日递交至采购代理机构，递交</w:t>
            </w:r>
            <w:r>
              <w:rPr>
                <w:rFonts w:hint="eastAsia" w:ascii="宋体" w:hAnsi="宋体" w:eastAsia="宋体" w:cs="宋体"/>
                <w:b/>
                <w:bCs/>
                <w:kern w:val="2"/>
                <w:sz w:val="24"/>
                <w:szCs w:val="20"/>
                <w:lang w:val="en-US" w:eastAsia="zh-CN" w:bidi="ar-SA"/>
              </w:rPr>
              <w:t>保函时需提交以下资料：</w:t>
            </w:r>
          </w:p>
          <w:p w14:paraId="0720E9F7">
            <w:pPr>
              <w:numPr>
                <w:ilvl w:val="0"/>
                <w:numId w:val="0"/>
              </w:numPr>
              <w:spacing w:beforeAutospacing="0" w:afterAutospacing="0" w:line="360" w:lineRule="auto"/>
              <w:ind w:firstLine="0" w:firstLineChars="0"/>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1.保函正本(纸质版);</w:t>
            </w:r>
          </w:p>
          <w:p w14:paraId="36343042">
            <w:pPr>
              <w:numPr>
                <w:ilvl w:val="0"/>
                <w:numId w:val="0"/>
              </w:numPr>
              <w:spacing w:beforeAutospacing="0" w:afterAutospacing="0" w:line="360" w:lineRule="auto"/>
              <w:ind w:firstLine="0" w:firstLineChars="0"/>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2.公司介绍信(或委托书);</w:t>
            </w:r>
          </w:p>
          <w:p w14:paraId="2F7CEE59">
            <w:pPr>
              <w:numPr>
                <w:ilvl w:val="0"/>
                <w:numId w:val="0"/>
              </w:numPr>
              <w:spacing w:beforeAutospacing="0" w:afterAutospacing="0" w:line="360" w:lineRule="auto"/>
              <w:ind w:firstLine="0" w:firstLineChars="0"/>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3.开户许可证复印件(加盖公司公章);</w:t>
            </w:r>
          </w:p>
          <w:p w14:paraId="0BD991BA">
            <w:pPr>
              <w:numPr>
                <w:ilvl w:val="0"/>
                <w:numId w:val="0"/>
              </w:numPr>
              <w:spacing w:beforeAutospacing="0" w:afterAutospacing="0" w:line="360" w:lineRule="auto"/>
              <w:ind w:firstLine="0" w:firstLineChars="0"/>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4.法人和经办人身份证复印件(加盖公司公章);</w:t>
            </w:r>
          </w:p>
          <w:p w14:paraId="612863E1">
            <w:pPr>
              <w:pStyle w:val="22"/>
              <w:widowControl/>
              <w:spacing w:before="0" w:beforeAutospacing="0" w:after="0" w:afterAutospacing="0"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2、基本户转账</w:t>
            </w:r>
          </w:p>
          <w:p w14:paraId="7CFF68A7">
            <w:pPr>
              <w:pStyle w:val="22"/>
              <w:widowControl/>
              <w:spacing w:before="0" w:beforeAutospacing="0" w:after="0" w:afterAutospacing="0"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必须为供应商基本账户以转账形式在投标截止时间前到达上述账号（以资金到账时间为确认保证金缴纳完毕时间），未按规定时间前或按额汇到指定账户的将否决其磋商。磋商保证金转账完成后，将“转账凭证”附在磋商响应文件中，作为保证金缴纳的凭证。</w:t>
            </w:r>
          </w:p>
          <w:p w14:paraId="7FB97792">
            <w:pPr>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转账时必须备注：1</w:t>
            </w:r>
            <w:r>
              <w:rPr>
                <w:rFonts w:hint="eastAsia" w:ascii="宋体" w:hAnsi="宋体" w:cs="宋体"/>
                <w:b/>
                <w:bCs w:val="0"/>
                <w:color w:val="auto"/>
                <w:kern w:val="2"/>
                <w:sz w:val="24"/>
                <w:szCs w:val="24"/>
                <w:highlight w:val="none"/>
                <w:lang w:val="en-US" w:eastAsia="zh-CN" w:bidi="ar-SA"/>
              </w:rPr>
              <w:t>2906</w:t>
            </w:r>
            <w:r>
              <w:rPr>
                <w:rFonts w:hint="eastAsia" w:ascii="宋体" w:hAnsi="宋体" w:eastAsia="宋体" w:cs="宋体"/>
                <w:b/>
                <w:bCs w:val="0"/>
                <w:color w:val="auto"/>
                <w:kern w:val="2"/>
                <w:sz w:val="24"/>
                <w:szCs w:val="24"/>
                <w:highlight w:val="none"/>
                <w:lang w:val="en-US" w:eastAsia="zh-CN" w:bidi="ar-SA"/>
              </w:rPr>
              <w:t>，否则导致的查账延误责任自负。</w:t>
            </w:r>
          </w:p>
        </w:tc>
      </w:tr>
      <w:tr w14:paraId="1D42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598C5074">
            <w:pPr>
              <w:rPr>
                <w:rFonts w:hint="eastAsia" w:ascii="宋体" w:hAnsi="宋体" w:eastAsia="宋体" w:cs="宋体"/>
                <w:sz w:val="24"/>
              </w:rPr>
            </w:pPr>
            <w:r>
              <w:rPr>
                <w:rFonts w:hint="eastAsia" w:ascii="宋体" w:hAnsi="宋体" w:eastAsia="宋体" w:cs="宋体"/>
                <w:sz w:val="24"/>
              </w:rPr>
              <w:t>21</w:t>
            </w:r>
          </w:p>
        </w:tc>
        <w:tc>
          <w:tcPr>
            <w:tcW w:w="1984" w:type="dxa"/>
            <w:vAlign w:val="center"/>
          </w:tcPr>
          <w:p w14:paraId="493B5528">
            <w:pPr>
              <w:jc w:val="center"/>
              <w:rPr>
                <w:rFonts w:hint="eastAsia" w:ascii="宋体" w:hAnsi="宋体" w:eastAsia="宋体" w:cs="宋体"/>
                <w:sz w:val="24"/>
              </w:rPr>
            </w:pPr>
            <w:r>
              <w:rPr>
                <w:rFonts w:hint="eastAsia" w:ascii="宋体" w:hAnsi="宋体" w:eastAsia="宋体" w:cs="宋体"/>
                <w:sz w:val="24"/>
              </w:rPr>
              <w:t>备选磋商方案</w:t>
            </w:r>
          </w:p>
          <w:p w14:paraId="5D2B8BA5">
            <w:pPr>
              <w:jc w:val="center"/>
              <w:rPr>
                <w:rFonts w:hint="eastAsia" w:ascii="宋体" w:hAnsi="宋体" w:eastAsia="宋体" w:cs="宋体"/>
                <w:sz w:val="24"/>
              </w:rPr>
            </w:pPr>
            <w:r>
              <w:rPr>
                <w:rFonts w:hint="eastAsia" w:ascii="宋体" w:hAnsi="宋体" w:eastAsia="宋体" w:cs="宋体"/>
                <w:sz w:val="24"/>
              </w:rPr>
              <w:t>和报价</w:t>
            </w:r>
          </w:p>
        </w:tc>
        <w:tc>
          <w:tcPr>
            <w:tcW w:w="6796" w:type="dxa"/>
            <w:vAlign w:val="center"/>
          </w:tcPr>
          <w:p w14:paraId="32FF61AC">
            <w:pPr>
              <w:tabs>
                <w:tab w:val="left" w:pos="7013"/>
              </w:tabs>
              <w:spacing w:line="460" w:lineRule="exact"/>
              <w:rPr>
                <w:rFonts w:hint="eastAsia" w:ascii="宋体" w:hAnsi="宋体" w:eastAsia="宋体" w:cs="宋体"/>
                <w:sz w:val="24"/>
              </w:rPr>
            </w:pPr>
            <w:r>
              <w:rPr>
                <w:rFonts w:hint="eastAsia" w:ascii="宋体" w:hAnsi="宋体" w:eastAsia="宋体" w:cs="宋体"/>
                <w:sz w:val="24"/>
              </w:rPr>
              <w:t>不接受备选磋商方案和多个报价。</w:t>
            </w:r>
          </w:p>
        </w:tc>
      </w:tr>
      <w:tr w14:paraId="6C21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39D833B8">
            <w:pPr>
              <w:rPr>
                <w:rFonts w:hint="eastAsia" w:ascii="宋体" w:hAnsi="宋体" w:eastAsia="宋体" w:cs="宋体"/>
                <w:sz w:val="24"/>
              </w:rPr>
            </w:pPr>
            <w:r>
              <w:rPr>
                <w:rFonts w:hint="eastAsia" w:ascii="宋体" w:hAnsi="宋体" w:eastAsia="宋体" w:cs="宋体"/>
                <w:sz w:val="24"/>
              </w:rPr>
              <w:t>22</w:t>
            </w:r>
          </w:p>
        </w:tc>
        <w:tc>
          <w:tcPr>
            <w:tcW w:w="1984" w:type="dxa"/>
            <w:vAlign w:val="center"/>
          </w:tcPr>
          <w:p w14:paraId="03E444DC">
            <w:pPr>
              <w:jc w:val="center"/>
              <w:rPr>
                <w:rFonts w:hint="eastAsia" w:ascii="宋体" w:hAnsi="宋体" w:eastAsia="宋体" w:cs="宋体"/>
                <w:sz w:val="24"/>
              </w:rPr>
            </w:pPr>
            <w:r>
              <w:rPr>
                <w:rFonts w:hint="eastAsia" w:ascii="宋体" w:hAnsi="宋体" w:eastAsia="宋体" w:cs="宋体"/>
                <w:sz w:val="24"/>
              </w:rPr>
              <w:t>盖章签字</w:t>
            </w:r>
          </w:p>
        </w:tc>
        <w:tc>
          <w:tcPr>
            <w:tcW w:w="6796" w:type="dxa"/>
            <w:vAlign w:val="center"/>
          </w:tcPr>
          <w:p w14:paraId="774ED7AE">
            <w:pPr>
              <w:tabs>
                <w:tab w:val="left" w:pos="7013"/>
              </w:tabs>
              <w:spacing w:line="460" w:lineRule="exact"/>
              <w:ind w:firstLine="480" w:firstLineChars="200"/>
              <w:rPr>
                <w:rFonts w:hint="eastAsia" w:ascii="宋体" w:hAnsi="宋体" w:eastAsia="宋体" w:cs="宋体"/>
                <w:sz w:val="24"/>
              </w:rPr>
            </w:pPr>
            <w:r>
              <w:rPr>
                <w:rFonts w:hint="eastAsia" w:ascii="宋体" w:hAnsi="宋体" w:eastAsia="宋体" w:cs="宋体"/>
                <w:sz w:val="24"/>
              </w:rPr>
              <w:t>供应商必须按照竞争性磋商文件的规定和要求在竞争性磋商响应文件中指定的页面落款处加盖公章并由法定代表人或被授权人签字（或盖章），其余页面逐页加盖供应商公章，否则将作为无效磋商处理。竞争性磋商文件凡是要求法定代表人签字或盖章之处，非法人单位的负责人均参照执行。</w:t>
            </w:r>
          </w:p>
        </w:tc>
      </w:tr>
      <w:tr w14:paraId="39EC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431BD777">
            <w:pPr>
              <w:rPr>
                <w:rFonts w:hint="eastAsia" w:ascii="宋体" w:hAnsi="宋体" w:eastAsia="宋体" w:cs="宋体"/>
                <w:sz w:val="24"/>
              </w:rPr>
            </w:pPr>
            <w:r>
              <w:rPr>
                <w:rFonts w:hint="eastAsia" w:ascii="宋体" w:hAnsi="宋体" w:eastAsia="宋体" w:cs="宋体"/>
                <w:sz w:val="24"/>
              </w:rPr>
              <w:t>23</w:t>
            </w:r>
          </w:p>
        </w:tc>
        <w:tc>
          <w:tcPr>
            <w:tcW w:w="1984" w:type="dxa"/>
            <w:vAlign w:val="center"/>
          </w:tcPr>
          <w:p w14:paraId="687432F5">
            <w:pPr>
              <w:tabs>
                <w:tab w:val="left" w:pos="7013"/>
              </w:tabs>
              <w:spacing w:line="460" w:lineRule="exact"/>
              <w:rPr>
                <w:rFonts w:hint="eastAsia" w:ascii="宋体" w:hAnsi="宋体" w:eastAsia="宋体" w:cs="宋体"/>
                <w:sz w:val="24"/>
              </w:rPr>
            </w:pPr>
            <w:r>
              <w:rPr>
                <w:rFonts w:hint="eastAsia" w:ascii="宋体" w:hAnsi="宋体" w:eastAsia="宋体" w:cs="宋体"/>
                <w:sz w:val="24"/>
              </w:rPr>
              <w:t>竞争性磋商响应文件提交</w:t>
            </w:r>
          </w:p>
        </w:tc>
        <w:tc>
          <w:tcPr>
            <w:tcW w:w="6796" w:type="dxa"/>
            <w:vAlign w:val="center"/>
          </w:tcPr>
          <w:p w14:paraId="1E2CAF3C">
            <w:pPr>
              <w:tabs>
                <w:tab w:val="left" w:pos="7013"/>
              </w:tabs>
              <w:spacing w:line="460" w:lineRule="exact"/>
              <w:ind w:firstLine="480" w:firstLineChars="200"/>
              <w:rPr>
                <w:rFonts w:hint="eastAsia" w:ascii="宋体" w:hAnsi="宋体" w:eastAsia="宋体" w:cs="宋体"/>
                <w:sz w:val="24"/>
              </w:rPr>
            </w:pPr>
            <w:r>
              <w:rPr>
                <w:rFonts w:hint="eastAsia" w:ascii="宋体" w:hAnsi="宋体" w:eastAsia="宋体" w:cs="宋体"/>
                <w:sz w:val="24"/>
              </w:rPr>
              <w:t>本项目采用电子化投标</w:t>
            </w:r>
            <w:r>
              <w:rPr>
                <w:rFonts w:hint="eastAsia" w:ascii="宋体" w:hAnsi="宋体" w:eastAsia="宋体" w:cs="宋体"/>
                <w:sz w:val="24"/>
                <w:lang w:eastAsia="zh-CN"/>
              </w:rPr>
              <w:t>，</w:t>
            </w:r>
            <w:r>
              <w:rPr>
                <w:rFonts w:hint="eastAsia" w:ascii="宋体" w:hAnsi="宋体" w:eastAsia="宋体" w:cs="宋体"/>
                <w:sz w:val="24"/>
              </w:rPr>
              <w:t>电子磋商响应文件可于提交磋商响应文件截止时间前任意时段登录全国公共资源交易平台（陕西省·宝鸡市）网站[电子交易平台-企业端]进行提交，逾期系统将拒绝接收。提交时，供应商应登录全国公共资源交易中心平台（陕西省·宝鸡市），选择[“首页&gt;电子交易平台&gt;企业端&gt;我的项目”，点击[项目流程]，在打开的[项目管理]对话框中选择[上传响应文件]，上传加密的电子磋商响应文件（*.SXSTF），上传成功后，电子化平台将予以记录。</w:t>
            </w:r>
          </w:p>
          <w:p w14:paraId="3C50F2D7">
            <w:pPr>
              <w:tabs>
                <w:tab w:val="left" w:pos="7013"/>
              </w:tabs>
              <w:spacing w:line="460" w:lineRule="exact"/>
              <w:ind w:firstLine="482" w:firstLineChars="200"/>
              <w:rPr>
                <w:rFonts w:hint="eastAsia" w:ascii="宋体" w:hAnsi="宋体" w:eastAsia="宋体" w:cs="宋体"/>
                <w:sz w:val="24"/>
              </w:rPr>
            </w:pPr>
            <w:r>
              <w:rPr>
                <w:rFonts w:hint="eastAsia" w:ascii="宋体" w:hAnsi="宋体" w:eastAsia="宋体" w:cs="宋体"/>
                <w:b/>
                <w:bCs/>
                <w:color w:val="auto"/>
                <w:sz w:val="24"/>
                <w:highlight w:val="none"/>
                <w:lang w:val="en-US" w:eastAsia="zh-CN"/>
              </w:rPr>
              <w:t>注：由成交单位在领取成交通知书时提供成交单位纸质磋商响应文件正本一份、副本二份。</w:t>
            </w:r>
          </w:p>
        </w:tc>
      </w:tr>
      <w:tr w14:paraId="2B8C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2" w:type="dxa"/>
            <w:vAlign w:val="center"/>
          </w:tcPr>
          <w:p w14:paraId="16299ABC">
            <w:pPr>
              <w:rPr>
                <w:rFonts w:hint="eastAsia" w:ascii="宋体" w:hAnsi="宋体" w:eastAsia="宋体" w:cs="宋体"/>
                <w:sz w:val="24"/>
              </w:rPr>
            </w:pPr>
            <w:r>
              <w:rPr>
                <w:rFonts w:hint="eastAsia" w:ascii="宋体" w:hAnsi="宋体" w:eastAsia="宋体" w:cs="宋体"/>
                <w:sz w:val="24"/>
              </w:rPr>
              <w:t>24</w:t>
            </w:r>
          </w:p>
        </w:tc>
        <w:tc>
          <w:tcPr>
            <w:tcW w:w="1984" w:type="dxa"/>
            <w:vAlign w:val="center"/>
          </w:tcPr>
          <w:p w14:paraId="42CA9E45">
            <w:pPr>
              <w:tabs>
                <w:tab w:val="left" w:pos="7013"/>
              </w:tabs>
              <w:spacing w:line="460" w:lineRule="exact"/>
              <w:rPr>
                <w:rFonts w:hint="eastAsia" w:ascii="宋体" w:hAnsi="宋体" w:eastAsia="宋体" w:cs="宋体"/>
                <w:sz w:val="24"/>
              </w:rPr>
            </w:pPr>
            <w:r>
              <w:rPr>
                <w:rFonts w:hint="eastAsia" w:ascii="宋体" w:hAnsi="宋体" w:eastAsia="宋体" w:cs="宋体"/>
                <w:sz w:val="24"/>
              </w:rPr>
              <w:t>电子磋商响应文件的制作和签署</w:t>
            </w:r>
          </w:p>
        </w:tc>
        <w:tc>
          <w:tcPr>
            <w:tcW w:w="6796" w:type="dxa"/>
            <w:vAlign w:val="center"/>
          </w:tcPr>
          <w:p w14:paraId="48B17E5C">
            <w:pPr>
              <w:tabs>
                <w:tab w:val="left" w:pos="7013"/>
              </w:tabs>
              <w:spacing w:line="460" w:lineRule="exact"/>
              <w:rPr>
                <w:rFonts w:hint="eastAsia" w:ascii="宋体" w:hAnsi="宋体" w:eastAsia="宋体" w:cs="宋体"/>
                <w:sz w:val="24"/>
              </w:rPr>
            </w:pPr>
            <w:r>
              <w:rPr>
                <w:rFonts w:hint="eastAsia" w:ascii="宋体" w:hAnsi="宋体" w:eastAsia="宋体" w:cs="宋体"/>
                <w:sz w:val="24"/>
              </w:rPr>
              <w:t>编制电子磋商响应文件时，应使用最新发布的电子</w:t>
            </w:r>
            <w:r>
              <w:rPr>
                <w:rFonts w:hint="eastAsia" w:ascii="宋体" w:hAnsi="宋体" w:eastAsia="宋体" w:cs="宋体"/>
                <w:sz w:val="24"/>
                <w:lang w:eastAsia="zh-CN"/>
              </w:rPr>
              <w:t>磋商</w:t>
            </w:r>
            <w:r>
              <w:rPr>
                <w:rFonts w:hint="eastAsia" w:ascii="宋体" w:hAnsi="宋体" w:eastAsia="宋体" w:cs="宋体"/>
                <w:sz w:val="24"/>
              </w:rPr>
              <w:t>文件及专用制作工具进行编制。并使用数字认证证书（CA）对电子</w:t>
            </w:r>
            <w:r>
              <w:rPr>
                <w:rFonts w:hint="eastAsia" w:ascii="宋体" w:hAnsi="宋体" w:eastAsia="宋体" w:cs="宋体"/>
                <w:sz w:val="24"/>
                <w:lang w:eastAsia="zh-CN"/>
              </w:rPr>
              <w:t>响应</w:t>
            </w:r>
            <w:r>
              <w:rPr>
                <w:rFonts w:hint="eastAsia" w:ascii="宋体" w:hAnsi="宋体" w:eastAsia="宋体" w:cs="宋体"/>
                <w:sz w:val="24"/>
              </w:rPr>
              <w:t>文件进行签署、加密、递交、开标时解密以及二次报价等相关操作。</w:t>
            </w:r>
          </w:p>
          <w:p w14:paraId="72E6155E">
            <w:pPr>
              <w:tabs>
                <w:tab w:val="left" w:pos="7013"/>
              </w:tabs>
              <w:spacing w:line="460" w:lineRule="exact"/>
              <w:rPr>
                <w:rFonts w:hint="eastAsia" w:ascii="宋体" w:hAnsi="宋体" w:eastAsia="宋体" w:cs="宋体"/>
                <w:sz w:val="24"/>
              </w:rPr>
            </w:pPr>
            <w:r>
              <w:rPr>
                <w:rFonts w:hint="eastAsia" w:ascii="宋体" w:hAnsi="宋体" w:eastAsia="宋体" w:cs="宋体"/>
                <w:sz w:val="24"/>
              </w:rPr>
              <w:t>1、电子磋商文件下载</w:t>
            </w:r>
          </w:p>
          <w:p w14:paraId="639F8D23">
            <w:pPr>
              <w:tabs>
                <w:tab w:val="left" w:pos="7013"/>
              </w:tabs>
              <w:spacing w:line="460" w:lineRule="exact"/>
              <w:rPr>
                <w:rFonts w:hint="eastAsia" w:ascii="宋体" w:hAnsi="宋体" w:eastAsia="宋体" w:cs="宋体"/>
                <w:sz w:val="24"/>
              </w:rPr>
            </w:pPr>
            <w:r>
              <w:rPr>
                <w:rFonts w:hint="eastAsia" w:ascii="宋体" w:hAnsi="宋体" w:eastAsia="宋体" w:cs="宋体"/>
                <w:sz w:val="24"/>
              </w:rPr>
              <w:t>供应商登录全国公共资源交易平台（陕西省·宝鸡市）网站[电子交易平台-企业端]后，在[我的项目]中点击“项目流程-交易文件下载”下载电子</w:t>
            </w:r>
            <w:r>
              <w:rPr>
                <w:rFonts w:hint="eastAsia" w:ascii="宋体" w:hAnsi="宋体" w:eastAsia="宋体" w:cs="宋体"/>
                <w:sz w:val="24"/>
                <w:lang w:eastAsia="zh-CN"/>
              </w:rPr>
              <w:t>磋商文件</w:t>
            </w:r>
            <w:r>
              <w:rPr>
                <w:rFonts w:hint="eastAsia" w:ascii="宋体" w:hAnsi="宋体" w:eastAsia="宋体" w:cs="宋体"/>
                <w:sz w:val="24"/>
              </w:rPr>
              <w:t>（*.SXSZF）；注意：该项目如有变更文件，则应点击“项目流程&gt;答疑文件下载”下载更新后的电子</w:t>
            </w:r>
            <w:r>
              <w:rPr>
                <w:rFonts w:hint="eastAsia" w:ascii="宋体" w:hAnsi="宋体" w:eastAsia="宋体" w:cs="宋体"/>
                <w:sz w:val="24"/>
                <w:lang w:eastAsia="zh-CN"/>
              </w:rPr>
              <w:t>磋商文件</w:t>
            </w:r>
            <w:r>
              <w:rPr>
                <w:rFonts w:hint="eastAsia" w:ascii="宋体" w:hAnsi="宋体" w:eastAsia="宋体" w:cs="宋体"/>
                <w:sz w:val="24"/>
              </w:rPr>
              <w:t>（*.SXSCF），使用旧版电子磋商文件制作的电子磋商响应文件，系统将拒绝接收。</w:t>
            </w:r>
          </w:p>
          <w:p w14:paraId="0366D05D">
            <w:pPr>
              <w:tabs>
                <w:tab w:val="left" w:pos="7013"/>
              </w:tabs>
              <w:spacing w:line="460" w:lineRule="exact"/>
              <w:rPr>
                <w:rFonts w:hint="eastAsia" w:ascii="宋体" w:hAnsi="宋体" w:eastAsia="宋体" w:cs="宋体"/>
                <w:sz w:val="24"/>
              </w:rPr>
            </w:pPr>
            <w:r>
              <w:rPr>
                <w:rFonts w:hint="eastAsia" w:ascii="宋体" w:hAnsi="宋体" w:eastAsia="宋体" w:cs="宋体"/>
                <w:sz w:val="24"/>
              </w:rPr>
              <w:t>2、电子磋商文件需要使用专用软件打开、浏览，供应商登录全国公共资源交易平台（陕西省·宝鸡市）网站[服务指南-下载专区]免费下载《陕西省公共资源交易平台政府采购电子标书制作工具》，并升级至最新版本，使用该客户端可以打开电子磋商文件。软件操作手册详见全国公共资源交易平台（陕西省·宝鸡市）网站[服务指南-下载专区]中的《陕西省公共资源交易（政府采购类）</w:t>
            </w:r>
            <w:r>
              <w:rPr>
                <w:rFonts w:hint="eastAsia" w:ascii="宋体" w:hAnsi="宋体" w:eastAsia="宋体" w:cs="宋体"/>
                <w:sz w:val="24"/>
                <w:lang w:eastAsia="zh-CN"/>
              </w:rPr>
              <w:t>响应文件</w:t>
            </w:r>
            <w:r>
              <w:rPr>
                <w:rFonts w:hint="eastAsia" w:ascii="宋体" w:hAnsi="宋体" w:eastAsia="宋体" w:cs="宋体"/>
                <w:sz w:val="24"/>
              </w:rPr>
              <w:t>制作软件操作手册》；</w:t>
            </w:r>
          </w:p>
          <w:p w14:paraId="5E4DE622">
            <w:pPr>
              <w:tabs>
                <w:tab w:val="left" w:pos="7013"/>
              </w:tabs>
              <w:spacing w:line="460" w:lineRule="exact"/>
              <w:rPr>
                <w:rFonts w:hint="eastAsia" w:ascii="宋体" w:hAnsi="宋体" w:eastAsia="宋体" w:cs="宋体"/>
                <w:sz w:val="24"/>
              </w:rPr>
            </w:pPr>
            <w:r>
              <w:rPr>
                <w:rFonts w:hint="eastAsia" w:ascii="宋体" w:hAnsi="宋体" w:eastAsia="宋体" w:cs="宋体"/>
                <w:sz w:val="24"/>
              </w:rPr>
              <w:t>3、制作电子磋商响应文件</w:t>
            </w:r>
          </w:p>
          <w:p w14:paraId="3C89A624">
            <w:pPr>
              <w:tabs>
                <w:tab w:val="left" w:pos="7013"/>
              </w:tabs>
              <w:spacing w:line="460" w:lineRule="exact"/>
              <w:rPr>
                <w:rFonts w:hint="eastAsia" w:ascii="宋体" w:hAnsi="宋体" w:eastAsia="宋体" w:cs="宋体"/>
                <w:sz w:val="24"/>
              </w:rPr>
            </w:pPr>
            <w:r>
              <w:rPr>
                <w:rFonts w:hint="eastAsia" w:ascii="宋体" w:hAnsi="宋体" w:eastAsia="宋体" w:cs="宋体"/>
                <w:sz w:val="24"/>
              </w:rPr>
              <w:t>电子磋商响应文件同样需要使用上述软件进行编制。在编制过程中，如有技术性问题，请先翻阅操作手册或致电软件开发商，技术支持热线：4009980000；</w:t>
            </w:r>
          </w:p>
          <w:p w14:paraId="1F98B441">
            <w:pPr>
              <w:tabs>
                <w:tab w:val="left" w:pos="7013"/>
              </w:tabs>
              <w:spacing w:line="460" w:lineRule="exact"/>
              <w:rPr>
                <w:rFonts w:hint="eastAsia" w:ascii="宋体" w:hAnsi="宋体" w:eastAsia="宋体" w:cs="宋体"/>
                <w:sz w:val="24"/>
              </w:rPr>
            </w:pPr>
            <w:r>
              <w:rPr>
                <w:rFonts w:hint="eastAsia" w:ascii="宋体" w:hAnsi="宋体" w:eastAsia="宋体" w:cs="宋体"/>
                <w:sz w:val="24"/>
              </w:rPr>
              <w:t>注：如未按照上述要求进行</w:t>
            </w:r>
            <w:r>
              <w:rPr>
                <w:rFonts w:hint="eastAsia" w:ascii="宋体" w:hAnsi="宋体" w:eastAsia="宋体" w:cs="宋体"/>
                <w:sz w:val="24"/>
                <w:lang w:eastAsia="zh-CN"/>
              </w:rPr>
              <w:t>响应文件</w:t>
            </w:r>
            <w:r>
              <w:rPr>
                <w:rFonts w:hint="eastAsia" w:ascii="宋体" w:hAnsi="宋体" w:eastAsia="宋体" w:cs="宋体"/>
                <w:sz w:val="24"/>
              </w:rPr>
              <w:t>制作和签署的均视其为无效</w:t>
            </w:r>
            <w:r>
              <w:rPr>
                <w:rFonts w:hint="eastAsia" w:ascii="宋体" w:hAnsi="宋体" w:eastAsia="宋体" w:cs="宋体"/>
                <w:sz w:val="24"/>
                <w:lang w:eastAsia="zh-CN"/>
              </w:rPr>
              <w:t>响应文件</w:t>
            </w:r>
            <w:r>
              <w:rPr>
                <w:rFonts w:hint="eastAsia" w:ascii="宋体" w:hAnsi="宋体" w:eastAsia="宋体" w:cs="宋体"/>
                <w:sz w:val="24"/>
              </w:rPr>
              <w:t>。</w:t>
            </w:r>
          </w:p>
        </w:tc>
      </w:tr>
      <w:tr w14:paraId="4F96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2" w:type="dxa"/>
            <w:vAlign w:val="center"/>
          </w:tcPr>
          <w:p w14:paraId="0CD49499">
            <w:pPr>
              <w:rPr>
                <w:rFonts w:hint="eastAsia" w:ascii="宋体" w:hAnsi="宋体" w:eastAsia="宋体" w:cs="宋体"/>
                <w:sz w:val="24"/>
              </w:rPr>
            </w:pPr>
            <w:r>
              <w:rPr>
                <w:rFonts w:hint="eastAsia" w:ascii="宋体" w:hAnsi="宋体" w:eastAsia="宋体" w:cs="宋体"/>
                <w:sz w:val="24"/>
              </w:rPr>
              <w:t>25</w:t>
            </w:r>
          </w:p>
        </w:tc>
        <w:tc>
          <w:tcPr>
            <w:tcW w:w="1984" w:type="dxa"/>
            <w:vAlign w:val="center"/>
          </w:tcPr>
          <w:p w14:paraId="10EB1B3B">
            <w:pPr>
              <w:tabs>
                <w:tab w:val="left" w:pos="7013"/>
              </w:tabs>
              <w:spacing w:line="460" w:lineRule="exact"/>
              <w:rPr>
                <w:rFonts w:hint="eastAsia" w:ascii="宋体" w:hAnsi="宋体" w:eastAsia="宋体" w:cs="宋体"/>
                <w:sz w:val="24"/>
              </w:rPr>
            </w:pPr>
            <w:r>
              <w:rPr>
                <w:rFonts w:hint="eastAsia" w:ascii="宋体" w:hAnsi="宋体" w:eastAsia="宋体" w:cs="宋体"/>
                <w:sz w:val="24"/>
              </w:rPr>
              <w:t>无效文件说明</w:t>
            </w:r>
          </w:p>
        </w:tc>
        <w:tc>
          <w:tcPr>
            <w:tcW w:w="6796" w:type="dxa"/>
            <w:vAlign w:val="center"/>
          </w:tcPr>
          <w:p w14:paraId="683EC51C">
            <w:pPr>
              <w:tabs>
                <w:tab w:val="left" w:pos="7013"/>
              </w:tabs>
              <w:spacing w:line="460" w:lineRule="exact"/>
              <w:rPr>
                <w:rFonts w:hint="eastAsia" w:ascii="宋体" w:hAnsi="宋体" w:eastAsia="宋体" w:cs="宋体"/>
                <w:sz w:val="24"/>
              </w:rPr>
            </w:pPr>
            <w:r>
              <w:rPr>
                <w:rFonts w:hint="eastAsia" w:ascii="宋体" w:hAnsi="宋体" w:eastAsia="宋体" w:cs="宋体"/>
                <w:sz w:val="24"/>
              </w:rPr>
              <w:t>在磋商环节出现下列情况之一的，其响应文件视为无效文件：</w:t>
            </w:r>
          </w:p>
          <w:p w14:paraId="25956355">
            <w:pPr>
              <w:tabs>
                <w:tab w:val="left" w:pos="7013"/>
              </w:tabs>
              <w:spacing w:line="460" w:lineRule="exact"/>
              <w:rPr>
                <w:rFonts w:hint="eastAsia" w:ascii="宋体" w:hAnsi="宋体" w:eastAsia="宋体" w:cs="宋体"/>
                <w:sz w:val="24"/>
              </w:rPr>
            </w:pPr>
            <w:r>
              <w:rPr>
                <w:rFonts w:hint="eastAsia" w:ascii="宋体" w:hAnsi="宋体" w:eastAsia="宋体" w:cs="宋体"/>
                <w:sz w:val="24"/>
              </w:rPr>
              <w:t>1、供应商在规定时间内未对电子磋商响应文件进行解密的；</w:t>
            </w:r>
          </w:p>
          <w:p w14:paraId="36BBFCAE">
            <w:pPr>
              <w:tabs>
                <w:tab w:val="left" w:pos="7013"/>
              </w:tabs>
              <w:spacing w:line="460" w:lineRule="exact"/>
              <w:rPr>
                <w:rFonts w:hint="eastAsia" w:ascii="宋体" w:hAnsi="宋体" w:eastAsia="宋体" w:cs="宋体"/>
                <w:sz w:val="24"/>
              </w:rPr>
            </w:pPr>
            <w:r>
              <w:rPr>
                <w:rFonts w:hint="eastAsia" w:ascii="宋体" w:hAnsi="宋体" w:eastAsia="宋体" w:cs="宋体"/>
                <w:sz w:val="24"/>
              </w:rPr>
              <w:t>2、上传的电子磋商响应文件无法打开的；</w:t>
            </w:r>
          </w:p>
          <w:p w14:paraId="284D34B5">
            <w:pPr>
              <w:tabs>
                <w:tab w:val="left" w:pos="7013"/>
              </w:tabs>
              <w:spacing w:line="460" w:lineRule="exact"/>
              <w:rPr>
                <w:rFonts w:hint="eastAsia" w:ascii="宋体" w:hAnsi="宋体" w:eastAsia="宋体" w:cs="宋体"/>
                <w:sz w:val="24"/>
              </w:rPr>
            </w:pPr>
            <w:r>
              <w:rPr>
                <w:rFonts w:hint="eastAsia" w:ascii="宋体" w:hAnsi="宋体" w:eastAsia="宋体" w:cs="宋体"/>
                <w:sz w:val="24"/>
              </w:rPr>
              <w:t>3、供应商拒绝对电子磋商响应文件进行解密的；</w:t>
            </w:r>
          </w:p>
          <w:p w14:paraId="3CDAFA21">
            <w:pPr>
              <w:tabs>
                <w:tab w:val="left" w:pos="7013"/>
              </w:tabs>
              <w:spacing w:line="460" w:lineRule="exact"/>
              <w:rPr>
                <w:rFonts w:hint="eastAsia" w:ascii="宋体" w:hAnsi="宋体" w:eastAsia="宋体" w:cs="宋体"/>
                <w:sz w:val="24"/>
              </w:rPr>
            </w:pPr>
            <w:r>
              <w:rPr>
                <w:rFonts w:hint="eastAsia" w:ascii="宋体" w:hAnsi="宋体" w:eastAsia="宋体" w:cs="宋体"/>
                <w:sz w:val="24"/>
              </w:rPr>
              <w:t>4、因供应商自身原因（如未带CA锁、或所带CA锁与制作电子磋商响应文件使用的CA锁不一致、或沿用旧版</w:t>
            </w:r>
            <w:r>
              <w:rPr>
                <w:rFonts w:hint="eastAsia" w:ascii="宋体" w:hAnsi="宋体" w:eastAsia="宋体" w:cs="宋体"/>
                <w:sz w:val="24"/>
                <w:lang w:eastAsia="zh-CN"/>
              </w:rPr>
              <w:t>磋商文件</w:t>
            </w:r>
            <w:r>
              <w:rPr>
                <w:rFonts w:hint="eastAsia" w:ascii="宋体" w:hAnsi="宋体" w:eastAsia="宋体" w:cs="宋体"/>
                <w:sz w:val="24"/>
              </w:rPr>
              <w:t>编制响应文件等情形），导致在规定时间内无法解密磋商响应文件的；</w:t>
            </w:r>
          </w:p>
          <w:p w14:paraId="3B9B300A">
            <w:pPr>
              <w:tabs>
                <w:tab w:val="left" w:pos="7013"/>
              </w:tabs>
              <w:spacing w:line="460" w:lineRule="exact"/>
              <w:rPr>
                <w:rFonts w:hint="eastAsia" w:ascii="宋体" w:hAnsi="宋体" w:eastAsia="宋体" w:cs="宋体"/>
                <w:sz w:val="24"/>
              </w:rPr>
            </w:pPr>
            <w:r>
              <w:rPr>
                <w:rFonts w:hint="eastAsia" w:ascii="宋体" w:hAnsi="宋体" w:eastAsia="宋体" w:cs="宋体"/>
                <w:sz w:val="24"/>
              </w:rPr>
              <w:t>特殊情形下的应急处置：</w:t>
            </w:r>
          </w:p>
          <w:p w14:paraId="149E70D6">
            <w:pPr>
              <w:tabs>
                <w:tab w:val="left" w:pos="7013"/>
              </w:tabs>
              <w:spacing w:line="460" w:lineRule="exact"/>
              <w:rPr>
                <w:rFonts w:hint="eastAsia" w:ascii="宋体" w:hAnsi="宋体" w:eastAsia="宋体" w:cs="宋体"/>
                <w:sz w:val="24"/>
              </w:rPr>
            </w:pPr>
            <w:r>
              <w:rPr>
                <w:rFonts w:hint="eastAsia" w:ascii="宋体" w:hAnsi="宋体" w:eastAsia="宋体" w:cs="宋体"/>
                <w:sz w:val="24"/>
              </w:rPr>
              <w:t>在磋商、评审过程中，如因停电、断网、电子化系统故障等特殊原因导致电子化开、评标无法正常进行时，将延后开展后续采购活动。</w:t>
            </w:r>
          </w:p>
        </w:tc>
      </w:tr>
      <w:tr w14:paraId="4788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Align w:val="center"/>
          </w:tcPr>
          <w:p w14:paraId="75FF3B1F">
            <w:pPr>
              <w:rPr>
                <w:rFonts w:hint="eastAsia" w:ascii="宋体" w:hAnsi="宋体" w:eastAsia="宋体" w:cs="宋体"/>
                <w:sz w:val="24"/>
              </w:rPr>
            </w:pPr>
            <w:r>
              <w:rPr>
                <w:rFonts w:hint="eastAsia" w:ascii="宋体" w:hAnsi="宋体" w:eastAsia="宋体" w:cs="宋体"/>
                <w:sz w:val="24"/>
              </w:rPr>
              <w:t>26</w:t>
            </w:r>
          </w:p>
        </w:tc>
        <w:tc>
          <w:tcPr>
            <w:tcW w:w="1984" w:type="dxa"/>
            <w:vAlign w:val="center"/>
          </w:tcPr>
          <w:p w14:paraId="528BF6A3">
            <w:pPr>
              <w:jc w:val="center"/>
              <w:rPr>
                <w:rFonts w:hint="eastAsia" w:ascii="宋体" w:hAnsi="宋体" w:eastAsia="宋体" w:cs="宋体"/>
                <w:sz w:val="24"/>
              </w:rPr>
            </w:pPr>
            <w:r>
              <w:rPr>
                <w:rFonts w:hint="eastAsia" w:ascii="宋体" w:hAnsi="宋体" w:eastAsia="宋体" w:cs="宋体"/>
                <w:sz w:val="24"/>
              </w:rPr>
              <w:t>评标办法及标准</w:t>
            </w:r>
          </w:p>
        </w:tc>
        <w:tc>
          <w:tcPr>
            <w:tcW w:w="6796" w:type="dxa"/>
            <w:vAlign w:val="center"/>
          </w:tcPr>
          <w:p w14:paraId="36B6495C">
            <w:pPr>
              <w:pStyle w:val="57"/>
              <w:spacing w:line="460" w:lineRule="exact"/>
              <w:rPr>
                <w:rFonts w:hint="eastAsia" w:ascii="宋体" w:hAnsi="宋体" w:eastAsia="宋体" w:cs="宋体"/>
                <w:kern w:val="2"/>
                <w:sz w:val="24"/>
                <w:szCs w:val="24"/>
              </w:rPr>
            </w:pPr>
            <w:r>
              <w:rPr>
                <w:rFonts w:hint="eastAsia" w:ascii="宋体" w:hAnsi="宋体" w:eastAsia="宋体" w:cs="宋体"/>
                <w:kern w:val="2"/>
                <w:sz w:val="24"/>
                <w:szCs w:val="24"/>
              </w:rPr>
              <w:t>详见竞争性磋商文件第二章。</w:t>
            </w:r>
          </w:p>
        </w:tc>
      </w:tr>
      <w:tr w14:paraId="4157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82" w:type="dxa"/>
            <w:vAlign w:val="center"/>
          </w:tcPr>
          <w:p w14:paraId="26BFBA76">
            <w:pPr>
              <w:rPr>
                <w:rFonts w:hint="eastAsia" w:ascii="宋体" w:hAnsi="宋体" w:eastAsia="宋体" w:cs="宋体"/>
                <w:sz w:val="24"/>
                <w:lang w:val="en-US" w:eastAsia="zh-CN"/>
              </w:rPr>
            </w:pPr>
            <w:r>
              <w:rPr>
                <w:rFonts w:hint="eastAsia" w:ascii="宋体" w:hAnsi="宋体" w:eastAsia="宋体" w:cs="宋体"/>
                <w:sz w:val="24"/>
                <w:lang w:val="en-US" w:eastAsia="zh-CN"/>
              </w:rPr>
              <w:t>27</w:t>
            </w:r>
          </w:p>
        </w:tc>
        <w:tc>
          <w:tcPr>
            <w:tcW w:w="1984" w:type="dxa"/>
            <w:vAlign w:val="center"/>
          </w:tcPr>
          <w:p w14:paraId="6906A542">
            <w:pPr>
              <w:tabs>
                <w:tab w:val="left" w:pos="2860"/>
              </w:tabs>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不见面开标注意事项</w:t>
            </w:r>
          </w:p>
          <w:p w14:paraId="61B5EF14">
            <w:pPr>
              <w:spacing w:line="360" w:lineRule="auto"/>
              <w:jc w:val="center"/>
              <w:rPr>
                <w:rFonts w:hint="eastAsia" w:ascii="宋体" w:hAnsi="宋体" w:eastAsia="宋体" w:cs="宋体"/>
                <w:sz w:val="24"/>
                <w:lang w:val="en-US" w:eastAsia="zh-CN"/>
              </w:rPr>
            </w:pPr>
          </w:p>
        </w:tc>
        <w:tc>
          <w:tcPr>
            <w:tcW w:w="6796" w:type="dxa"/>
            <w:vAlign w:val="center"/>
          </w:tcPr>
          <w:p w14:paraId="106D305C">
            <w:pPr>
              <w:numPr>
                <w:ilvl w:val="0"/>
                <w:numId w:val="2"/>
              </w:numPr>
              <w:tabs>
                <w:tab w:val="left" w:pos="2860"/>
              </w:tabs>
              <w:bidi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在响应文件提交截止时间前，各供应商必须在电子交易平台递交响应文件，否则无法进入后续的开标环节。</w:t>
            </w:r>
          </w:p>
          <w:p w14:paraId="784F2F8F">
            <w:pPr>
              <w:numPr>
                <w:ilvl w:val="0"/>
                <w:numId w:val="2"/>
              </w:numPr>
              <w:tabs>
                <w:tab w:val="left" w:pos="2860"/>
              </w:tabs>
              <w:bidi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供应商通过线上观看开标现场音视频，无需到现场参加磋商会议。</w:t>
            </w:r>
          </w:p>
          <w:p w14:paraId="0905B95B">
            <w:pPr>
              <w:numPr>
                <w:ilvl w:val="0"/>
                <w:numId w:val="2"/>
              </w:numPr>
              <w:tabs>
                <w:tab w:val="left" w:pos="2860"/>
              </w:tabs>
              <w:bidi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实施“不见面开标”，供应商应确保自己的电脑环境、CA锁、网络等状况良好，以免影响其参与交易活动。</w:t>
            </w:r>
          </w:p>
          <w:p w14:paraId="504F3784">
            <w:pPr>
              <w:numPr>
                <w:ilvl w:val="0"/>
                <w:numId w:val="2"/>
              </w:numPr>
              <w:tabs>
                <w:tab w:val="left" w:pos="2860"/>
              </w:tabs>
              <w:bidi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保证线上不见面开标顺利进行，各供应商应及时访问全国公共资源交易平台（陕西省·宝鸡市）宝鸡市公共资源交易中心网站网站“服务指南-下载专区”栏目，下载学习“不见面开标”操作指南---《政府采购电子交易-不见面系统操作手册》、（新版政府采购不见面开标系统操作演示），提前做好有关设施、设备配置安装准备工作。因供应商自身软硬件配备不齐全、不达要求或发生故障等问题而导致在交互过程中出现不稳定或中断等情况的，由供应商自身承担后果。</w:t>
            </w:r>
          </w:p>
        </w:tc>
      </w:tr>
      <w:tr w14:paraId="32D5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82" w:type="dxa"/>
            <w:vAlign w:val="center"/>
          </w:tcPr>
          <w:p w14:paraId="51499EDF">
            <w:pPr>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cs="宋体"/>
                <w:sz w:val="24"/>
                <w:lang w:val="en-US" w:eastAsia="zh-CN"/>
              </w:rPr>
              <w:t>8</w:t>
            </w:r>
          </w:p>
        </w:tc>
        <w:tc>
          <w:tcPr>
            <w:tcW w:w="1984" w:type="dxa"/>
            <w:vAlign w:val="center"/>
          </w:tcPr>
          <w:p w14:paraId="4C9DA7A9">
            <w:pPr>
              <w:jc w:val="center"/>
              <w:rPr>
                <w:rFonts w:hint="eastAsia" w:ascii="宋体" w:hAnsi="宋体" w:eastAsia="宋体" w:cs="宋体"/>
                <w:sz w:val="24"/>
              </w:rPr>
            </w:pPr>
            <w:r>
              <w:rPr>
                <w:rFonts w:hint="eastAsia" w:ascii="宋体" w:hAnsi="宋体" w:eastAsia="宋体" w:cs="宋体"/>
                <w:sz w:val="24"/>
              </w:rPr>
              <w:t>其它事项</w:t>
            </w:r>
          </w:p>
        </w:tc>
        <w:tc>
          <w:tcPr>
            <w:tcW w:w="6796" w:type="dxa"/>
            <w:vAlign w:val="center"/>
          </w:tcPr>
          <w:p w14:paraId="1A6B63DF">
            <w:pPr>
              <w:pStyle w:val="57"/>
              <w:spacing w:line="4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本次采购、磋商报价、评审和合同授予均以项目为单位，供应商必须就一个完整项目进行响应。</w:t>
            </w:r>
            <w:r>
              <w:rPr>
                <w:rFonts w:hint="eastAsia" w:ascii="宋体" w:hAnsi="宋体" w:eastAsia="宋体" w:cs="宋体"/>
                <w:color w:val="auto"/>
                <w:kern w:val="2"/>
                <w:sz w:val="24"/>
                <w:szCs w:val="24"/>
                <w:highlight w:val="none"/>
                <w:shd w:val="clear"/>
                <w:lang w:val="en-US" w:eastAsia="zh-CN" w:bidi="ar-SA"/>
              </w:rPr>
              <w:t>成交供应商与采购人</w:t>
            </w:r>
            <w:r>
              <w:rPr>
                <w:rFonts w:hint="eastAsia" w:ascii="宋体" w:hAnsi="宋体" w:cs="宋体"/>
                <w:color w:val="auto"/>
                <w:kern w:val="2"/>
                <w:sz w:val="24"/>
                <w:szCs w:val="24"/>
                <w:highlight w:val="none"/>
                <w:shd w:val="clear"/>
                <w:lang w:val="en-US" w:eastAsia="zh-CN" w:bidi="ar-SA"/>
              </w:rPr>
              <w:t>及采购人指定的实施单位</w:t>
            </w:r>
            <w:r>
              <w:rPr>
                <w:rFonts w:hint="eastAsia" w:ascii="宋体" w:hAnsi="宋体" w:eastAsia="宋体" w:cs="宋体"/>
                <w:color w:val="auto"/>
                <w:kern w:val="2"/>
                <w:sz w:val="24"/>
                <w:szCs w:val="24"/>
                <w:highlight w:val="none"/>
                <w:shd w:val="clear"/>
                <w:lang w:val="en-US" w:eastAsia="zh-CN" w:bidi="ar-SA"/>
              </w:rPr>
              <w:t>在成交通知书发出25天内签订合同，</w:t>
            </w:r>
            <w:r>
              <w:rPr>
                <w:rFonts w:hint="eastAsia" w:ascii="宋体" w:hAnsi="宋体" w:eastAsia="宋体" w:cs="宋体"/>
                <w:color w:val="auto"/>
                <w:kern w:val="2"/>
                <w:sz w:val="24"/>
                <w:szCs w:val="24"/>
                <w:highlight w:val="none"/>
                <w:lang w:val="en-US" w:eastAsia="zh-CN" w:bidi="ar-SA"/>
              </w:rPr>
              <w:t>不及时签订视为自动放弃。非经采购人同意，本项目不允许成交后另行转包或者分包。成交人无正当理由不得放弃中标。因自身原因拒绝签订政府采购合同的或者未按合同约定进行履约的，成交人不得参加对该项目重新开展的招标活动。</w:t>
            </w:r>
          </w:p>
        </w:tc>
      </w:tr>
    </w:tbl>
    <w:p w14:paraId="4B71C929">
      <w:pPr>
        <w:pStyle w:val="5"/>
        <w:spacing w:before="0" w:after="0" w:line="480" w:lineRule="exact"/>
        <w:rPr>
          <w:rFonts w:hint="eastAsia" w:ascii="宋体" w:hAnsi="宋体" w:eastAsia="宋体" w:cs="宋体"/>
          <w:kern w:val="0"/>
          <w:sz w:val="24"/>
          <w:szCs w:val="24"/>
        </w:rPr>
      </w:pPr>
      <w:bookmarkStart w:id="4" w:name="_Toc7453872"/>
      <w:r>
        <w:rPr>
          <w:rFonts w:hint="eastAsia" w:ascii="宋体" w:hAnsi="宋体" w:eastAsia="宋体" w:cs="宋体"/>
          <w:kern w:val="0"/>
          <w:sz w:val="24"/>
          <w:szCs w:val="24"/>
        </w:rPr>
        <w:t>二、项目说明</w:t>
      </w:r>
      <w:bookmarkEnd w:id="4"/>
    </w:p>
    <w:p w14:paraId="564AB56B">
      <w:pPr>
        <w:pStyle w:val="22"/>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bookmarkStart w:id="5" w:name="_Toc458848735"/>
      <w:bookmarkStart w:id="6" w:name="_Toc458848968"/>
      <w:bookmarkStart w:id="7" w:name="_Toc7453874"/>
      <w:bookmarkStart w:id="8" w:name="_Toc458848820"/>
      <w:r>
        <w:rPr>
          <w:rFonts w:hint="eastAsia" w:ascii="宋体" w:hAnsi="宋体" w:eastAsia="宋体" w:cs="宋体"/>
          <w:color w:val="auto"/>
          <w:kern w:val="2"/>
          <w:sz w:val="24"/>
          <w:szCs w:val="24"/>
          <w:highlight w:val="none"/>
          <w:lang w:val="en-US" w:eastAsia="zh-CN" w:bidi="ar-SA"/>
        </w:rPr>
        <w:t>1、本项目说明详见供应商须知前附表。</w:t>
      </w:r>
    </w:p>
    <w:p w14:paraId="1DD13BB0">
      <w:pPr>
        <w:pStyle w:val="22"/>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2、本项目按照《中华人民共和国政府采购法》等有关法律、行政法规和部门规章，通过竞争性磋商方式择优选定成交供应商。</w:t>
      </w:r>
    </w:p>
    <w:p w14:paraId="585AA30D">
      <w:pPr>
        <w:pStyle w:val="22"/>
        <w:keepNext w:val="0"/>
        <w:keepLines w:val="0"/>
        <w:pageBreakBefore w:val="0"/>
        <w:widowControl/>
        <w:suppressLineNumbers w:val="0"/>
        <w:wordWrap/>
        <w:topLinePunct w:val="0"/>
        <w:bidi w:val="0"/>
        <w:spacing w:before="0" w:beforeAutospacing="0" w:after="0" w:afterAutospacing="0" w:line="365" w:lineRule="auto"/>
        <w:ind w:right="0"/>
        <w:textAlignment w:val="auto"/>
        <w:outlineLvl w:val="1"/>
        <w:rPr>
          <w:rFonts w:hint="eastAsia" w:ascii="宋体" w:hAnsi="宋体" w:eastAsia="宋体" w:cs="宋体"/>
          <w:color w:val="auto"/>
          <w:kern w:val="2"/>
          <w:sz w:val="24"/>
          <w:szCs w:val="24"/>
          <w:highlight w:val="none"/>
          <w:lang w:val="en-US" w:eastAsia="zh-CN" w:bidi="ar-SA"/>
        </w:rPr>
      </w:pPr>
      <w:bookmarkStart w:id="9" w:name="_Toc7453873"/>
      <w:bookmarkStart w:id="10" w:name="_Toc458848967"/>
      <w:bookmarkStart w:id="11" w:name="_Toc458848819"/>
      <w:bookmarkStart w:id="12" w:name="_Toc458848734"/>
      <w:r>
        <w:rPr>
          <w:rFonts w:hint="eastAsia" w:ascii="宋体" w:hAnsi="宋体" w:eastAsia="宋体" w:cs="宋体"/>
          <w:b/>
          <w:bCs/>
          <w:color w:val="auto"/>
          <w:kern w:val="2"/>
          <w:sz w:val="24"/>
          <w:szCs w:val="24"/>
          <w:highlight w:val="none"/>
          <w:lang w:val="en-US" w:eastAsia="zh-CN" w:bidi="ar-SA"/>
        </w:rPr>
        <w:t>三、竞争性磋商文件</w:t>
      </w:r>
      <w:bookmarkEnd w:id="9"/>
      <w:bookmarkEnd w:id="10"/>
      <w:bookmarkEnd w:id="11"/>
      <w:bookmarkEnd w:id="12"/>
    </w:p>
    <w:p w14:paraId="70A6FEBE">
      <w:pPr>
        <w:pStyle w:val="22"/>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1、竞争性磋商文件适用：仅适用于本次竞争性磋商文件所述项目。</w:t>
      </w:r>
    </w:p>
    <w:p w14:paraId="542C533F">
      <w:pPr>
        <w:pStyle w:val="22"/>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2、竞争性磋商文件组成：包括竞争性磋商文件目录前六章。</w:t>
      </w:r>
    </w:p>
    <w:p w14:paraId="377B9D9B">
      <w:pPr>
        <w:pStyle w:val="22"/>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3、供应商应详细阅读和充分理解竞争性磋商文件所有的事项、格式、条款和规范要求等，在竞争性磋商响应文件中对竞争性磋商文件的各方面都做出实质性的响应，否则将导致响应无效。</w:t>
      </w:r>
    </w:p>
    <w:p w14:paraId="63F5468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4、竞争性磋商文件的澄清或修改：</w:t>
      </w:r>
    </w:p>
    <w:p w14:paraId="41490A2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提交磋商响应文件截止时间前，采购人、采购代理机构可以以书面形式对竞争性磋商文件进行必要的澄清或修改，但不得改变采购标的和资格条件。澄清或修改的内容均为竞争性磋商文件的组成部分，并对采购人及供应商起约束作用。澄清或修改的内容可能影响响应文件编制的，都将于提交磋商响应文件截止时间5日前以书面形式发送给所有参加磋商的供应商；不足5个日历日的，采购人、采购代理机构顺延递交竞争性磋商响应文件的截止时间。</w:t>
      </w:r>
    </w:p>
    <w:p w14:paraId="3E6BC07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62847CB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供应商若对磋商文件有任何疑问，可以以书面形式（纸质版加盖公章，下同）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1DFBD3A9">
      <w:pPr>
        <w:pStyle w:val="22"/>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6、供应商认为竞争性磋商文件使自己的权益受到损害的，在收到竞争性磋商文件之日起七个工作日内，以书面形式向采购代理机构提出质疑，逾期提出的无效，因此带来的一切不利后果由供应商自负。</w:t>
      </w:r>
    </w:p>
    <w:p w14:paraId="058F5FB9">
      <w:pPr>
        <w:pStyle w:val="22"/>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在磋商截止时间前，根据采购工作进展实际情况，采购人可酌情延长递交竞争性磋商响应文件的截止时间，若延长将另行以书面形式通知各供应商。采购代理机构和供应商的权利和义务将受到新的截止期的约束。</w:t>
      </w:r>
    </w:p>
    <w:p w14:paraId="66D9CE06">
      <w:pPr>
        <w:pStyle w:val="22"/>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8、竞争性磋商文件的解释权归采购代理机构，如发现竞争性磋商文件内容与现行法律法规不相符的情况，以现行法律法规为准。</w:t>
      </w:r>
    </w:p>
    <w:p w14:paraId="2F08D340">
      <w:pPr>
        <w:pStyle w:val="22"/>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9、现场勘查、标前答疑会：见须知前附表。</w:t>
      </w:r>
    </w:p>
    <w:p w14:paraId="672DC002">
      <w:pPr>
        <w:pStyle w:val="5"/>
        <w:spacing w:before="0" w:after="0" w:line="480" w:lineRule="exact"/>
        <w:rPr>
          <w:rFonts w:hint="eastAsia" w:ascii="宋体" w:hAnsi="宋体" w:eastAsia="宋体" w:cs="宋体"/>
          <w:kern w:val="0"/>
          <w:sz w:val="24"/>
          <w:szCs w:val="24"/>
        </w:rPr>
      </w:pPr>
      <w:r>
        <w:rPr>
          <w:rFonts w:hint="eastAsia" w:ascii="宋体" w:hAnsi="宋体" w:eastAsia="宋体" w:cs="宋体"/>
          <w:kern w:val="0"/>
          <w:sz w:val="24"/>
          <w:szCs w:val="24"/>
        </w:rPr>
        <w:t>四、竞争性磋商响应文件</w:t>
      </w:r>
      <w:bookmarkEnd w:id="5"/>
      <w:bookmarkEnd w:id="6"/>
      <w:bookmarkEnd w:id="7"/>
      <w:bookmarkEnd w:id="8"/>
    </w:p>
    <w:p w14:paraId="190E1311">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1.满足《中华人民共和国政府采购法》第二十二条规定;</w:t>
      </w:r>
    </w:p>
    <w:p w14:paraId="541D22C4">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2.落实政府采购政策需满足的资格要求：</w:t>
      </w:r>
      <w:r>
        <w:rPr>
          <w:rFonts w:hint="eastAsia" w:ascii="宋体" w:hAnsi="宋体" w:cs="宋体"/>
          <w:color w:val="auto"/>
          <w:sz w:val="24"/>
          <w:szCs w:val="24"/>
          <w:lang w:val="en-US" w:eastAsia="zh-CN"/>
        </w:rPr>
        <w:t>无</w:t>
      </w:r>
    </w:p>
    <w:p w14:paraId="03472500">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3.本项目的特定资格要求：</w:t>
      </w:r>
    </w:p>
    <w:p w14:paraId="7CA904C2">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合同包1(千阳县学校互联网光纤接入项目第1包)特定资格要求如下:</w:t>
      </w:r>
    </w:p>
    <w:p w14:paraId="3F5E41D4">
      <w:pPr>
        <w:pStyle w:val="2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供应商须提供2023年或2024年度财务审计报告（成立时间至提交投标文件截止时间不足一年的可提供成立后任意时段的资产负债表）或基本存款账户开户银行出具的资信证明、基本存款账户开户许可证（基本存款账户信息）；</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（3）供应商须提供2024年3月至今已缴存的至少一个月的社会保险参保缴费情况证明。</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w:t>
      </w:r>
      <w:r>
        <w:rPr>
          <w:rFonts w:hint="eastAsia" w:cs="宋体"/>
          <w:color w:val="auto"/>
          <w:sz w:val="24"/>
          <w:szCs w:val="24"/>
          <w:lang w:val="en-US" w:eastAsia="zh-CN"/>
        </w:rPr>
        <w:t>供应商须提供2024年3月至今缴纳的至少一个月的纳税证明或完税证明，依法免税的单位应提供相关证明材料；</w:t>
      </w:r>
      <w:r>
        <w:rPr>
          <w:rFonts w:hint="eastAsia" w:ascii="宋体" w:hAnsi="宋体" w:eastAsia="宋体" w:cs="宋体"/>
          <w:color w:val="auto"/>
          <w:sz w:val="24"/>
          <w:szCs w:val="24"/>
          <w:lang w:val="en-US" w:eastAsia="zh-CN"/>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（9）提供具有履行合同所必需的设备和专业技术能力的承诺书；</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（10）供应商须提供有效的基础电信业务经营许可证或增值电信业务经营许可证；</w:t>
      </w:r>
    </w:p>
    <w:p w14:paraId="5135CD3B">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2、合格供应商</w:t>
      </w:r>
    </w:p>
    <w:p w14:paraId="38AD91AB">
      <w:pPr>
        <w:pageBreakBefore w:val="0"/>
        <w:wordWrap/>
        <w:topLinePunct w:val="0"/>
        <w:autoSpaceDE/>
        <w:autoSpaceDN/>
        <w:bidi w:val="0"/>
        <w:spacing w:line="365"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依照《中华人民共和国公司法》合法注册的法人或其他组织、符合《中华人民共和国政府采购法》</w:t>
      </w:r>
      <w:bookmarkStart w:id="13" w:name="OLE_LINK8"/>
      <w:r>
        <w:rPr>
          <w:rFonts w:hint="eastAsia" w:ascii="宋体" w:hAnsi="宋体" w:eastAsia="宋体" w:cs="宋体"/>
          <w:color w:val="auto"/>
          <w:sz w:val="24"/>
          <w:szCs w:val="24"/>
          <w:highlight w:val="none"/>
        </w:rPr>
        <w:t>及其实施条例等有关法律法规的规定</w:t>
      </w:r>
      <w:bookmarkEnd w:id="13"/>
      <w:r>
        <w:rPr>
          <w:rFonts w:hint="eastAsia" w:ascii="宋体" w:hAnsi="宋体" w:eastAsia="宋体" w:cs="宋体"/>
          <w:color w:val="auto"/>
          <w:sz w:val="24"/>
          <w:szCs w:val="24"/>
          <w:highlight w:val="none"/>
        </w:rPr>
        <w:t>并满足本项目资格条件。不符合上述规定的供应商，磋商响应无效。</w:t>
      </w:r>
    </w:p>
    <w:p w14:paraId="2E5768B7">
      <w:pPr>
        <w:pageBreakBefore w:val="0"/>
        <w:wordWrap/>
        <w:topLinePunct w:val="0"/>
        <w:autoSpaceDE/>
        <w:autoSpaceDN/>
        <w:bidi w:val="0"/>
        <w:spacing w:line="365"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3、供应商信用信息：</w:t>
      </w:r>
    </w:p>
    <w:p w14:paraId="070194FA">
      <w:pPr>
        <w:pageBreakBefore w:val="0"/>
        <w:wordWrap/>
        <w:topLinePunct w:val="0"/>
        <w:autoSpaceDE/>
        <w:autoSpaceDN/>
        <w:bidi w:val="0"/>
        <w:spacing w:line="365"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3-1、“信用中国”网站（www.creditchina.gov.cn）、中国政府采购网（www.ccgp.gov.cn）相关主体信用记录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供应商应提供信用承诺函，并对其承诺函的真实性负责</w:t>
      </w:r>
      <w:r>
        <w:rPr>
          <w:rFonts w:hint="eastAsia" w:ascii="宋体" w:hAnsi="宋体" w:eastAsia="宋体" w:cs="宋体"/>
          <w:color w:val="auto"/>
          <w:sz w:val="24"/>
          <w:szCs w:val="24"/>
          <w:highlight w:val="none"/>
        </w:rPr>
        <w:t>。</w:t>
      </w:r>
    </w:p>
    <w:p w14:paraId="73F7B5E9">
      <w:pPr>
        <w:pageBreakBefore w:val="0"/>
        <w:wordWrap/>
        <w:topLinePunct w:val="0"/>
        <w:autoSpaceDE/>
        <w:autoSpaceDN/>
        <w:bidi w:val="0"/>
        <w:spacing w:line="365"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、特别说明：投标人如在中标通知书发出前出现违法失信行为，采购人仍有权利提请评标委员会取消其中标资格；</w:t>
      </w:r>
    </w:p>
    <w:p w14:paraId="745E3546">
      <w:pPr>
        <w:spacing w:line="48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4、竞争性磋商响应文件的组成： </w:t>
      </w:r>
    </w:p>
    <w:p w14:paraId="3151ADFC">
      <w:pPr>
        <w:spacing w:line="480" w:lineRule="exact"/>
        <w:ind w:firstLine="480" w:firstLineChars="200"/>
        <w:rPr>
          <w:rFonts w:hint="eastAsia" w:ascii="宋体" w:hAnsi="宋体" w:eastAsia="宋体" w:cs="宋体"/>
          <w:bCs/>
          <w:color w:val="auto"/>
          <w:sz w:val="24"/>
          <w:szCs w:val="24"/>
          <w:highlight w:val="none"/>
          <w:lang w:val="en-US" w:eastAsia="zh-CN"/>
        </w:rPr>
      </w:pPr>
      <w:bookmarkStart w:id="14" w:name="_Toc35442385"/>
      <w:r>
        <w:rPr>
          <w:rFonts w:hint="eastAsia" w:ascii="宋体" w:hAnsi="宋体" w:eastAsia="宋体" w:cs="宋体"/>
          <w:bCs/>
          <w:color w:val="auto"/>
          <w:sz w:val="24"/>
          <w:szCs w:val="24"/>
          <w:highlight w:val="none"/>
          <w:lang w:val="en-US" w:eastAsia="zh-CN"/>
        </w:rPr>
        <w:t>4-1．响应文件格式</w:t>
      </w:r>
    </w:p>
    <w:p w14:paraId="7C94BBCC">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4-2．资质证明文件</w:t>
      </w:r>
    </w:p>
    <w:p w14:paraId="3AED2513">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 符合性证明文件</w:t>
      </w:r>
    </w:p>
    <w:p w14:paraId="3D4D1671">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响应方案</w:t>
      </w:r>
    </w:p>
    <w:bookmarkEnd w:id="14"/>
    <w:p w14:paraId="2CABC7F4">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5、竞争性磋商响应文件编写说明</w:t>
      </w:r>
    </w:p>
    <w:p w14:paraId="7A5E0FA8">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5-1、竞争性磋商响应文件应当按照竞争性磋商文件给定的格式编制，格式之外的可自行编写。否则，将作为无效响应处理。</w:t>
      </w:r>
    </w:p>
    <w:p w14:paraId="437EBE00">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bCs/>
          <w:color w:val="auto"/>
          <w:sz w:val="24"/>
          <w:szCs w:val="24"/>
          <w:highlight w:val="none"/>
        </w:rPr>
        <w:t>供应商必须按照</w:t>
      </w:r>
      <w:r>
        <w:rPr>
          <w:rFonts w:hint="eastAsia" w:ascii="宋体" w:hAnsi="宋体" w:eastAsia="宋体" w:cs="宋体"/>
          <w:color w:val="auto"/>
          <w:sz w:val="24"/>
          <w:szCs w:val="24"/>
          <w:highlight w:val="none"/>
        </w:rPr>
        <w:t>竞争性磋商文件</w:t>
      </w:r>
      <w:r>
        <w:rPr>
          <w:rFonts w:hint="eastAsia" w:ascii="宋体" w:hAnsi="宋体" w:eastAsia="宋体" w:cs="宋体"/>
          <w:bCs/>
          <w:color w:val="auto"/>
          <w:sz w:val="24"/>
          <w:szCs w:val="24"/>
          <w:highlight w:val="none"/>
        </w:rPr>
        <w:t>的规定和要求由法定代表人或被授权人签字（或盖章），并逐页加盖供应商公章（鲜章），如有遗漏，将作为无</w:t>
      </w:r>
      <w:r>
        <w:rPr>
          <w:rFonts w:hint="eastAsia" w:ascii="宋体" w:hAnsi="宋体" w:eastAsia="宋体" w:cs="宋体"/>
          <w:color w:val="auto"/>
          <w:sz w:val="24"/>
          <w:szCs w:val="24"/>
          <w:highlight w:val="none"/>
        </w:rPr>
        <w:t>效磋商响应处理</w:t>
      </w:r>
      <w:r>
        <w:rPr>
          <w:rFonts w:hint="eastAsia" w:ascii="宋体" w:hAnsi="宋体" w:eastAsia="宋体" w:cs="宋体"/>
          <w:bCs/>
          <w:color w:val="auto"/>
          <w:sz w:val="24"/>
          <w:szCs w:val="24"/>
          <w:highlight w:val="none"/>
        </w:rPr>
        <w:t>。</w:t>
      </w:r>
    </w:p>
    <w:p w14:paraId="0BC2F02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、竞争性磋商响应文件</w:t>
      </w:r>
      <w:r>
        <w:rPr>
          <w:rFonts w:hint="eastAsia" w:ascii="宋体" w:hAnsi="宋体" w:eastAsia="宋体" w:cs="宋体"/>
          <w:color w:val="auto"/>
          <w:sz w:val="24"/>
          <w:szCs w:val="24"/>
          <w:highlight w:val="none"/>
          <w:lang w:val="en-US" w:eastAsia="zh-CN"/>
        </w:rPr>
        <w:t>因内容表达不清</w:t>
      </w:r>
      <w:r>
        <w:rPr>
          <w:rFonts w:hint="eastAsia" w:ascii="宋体" w:hAnsi="宋体" w:eastAsia="宋体" w:cs="宋体"/>
          <w:color w:val="auto"/>
          <w:sz w:val="24"/>
          <w:szCs w:val="24"/>
          <w:highlight w:val="none"/>
        </w:rPr>
        <w:t>、印章或证明材料内容模糊难辨等导致的不利后果由供应商自行承担。</w:t>
      </w:r>
    </w:p>
    <w:p w14:paraId="6DCA1947">
      <w:pPr>
        <w:spacing w:line="480" w:lineRule="exact"/>
        <w:ind w:firstLine="482" w:firstLineChars="200"/>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6、磋商响应文件的制作和签署</w:t>
      </w:r>
    </w:p>
    <w:p w14:paraId="1EC4C98B">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szCs w:val="24"/>
          <w:lang w:val="en-US" w:eastAsia="zh-CN"/>
        </w:rPr>
        <w:t>登录全国公共资源交易平台（陕西省·宝鸡市）网站[服务指南-下载专区]免费下载《政府采购电子标书制作工具》。编制电子响应文件时，应使用最新发布的电子磋商文件及专用制作工具进行编制。并使用数字认证证书（CA）对响应文件进行签署、加密、递交、开标时解密以及二次报价等相关操作。电子磋商响应文件在编制过程中，如有技术性问题，请先翻阅操作手册或致电软件开发商，技术支持热线：4009980000。</w:t>
      </w:r>
    </w:p>
    <w:p w14:paraId="5D766858">
      <w:pPr>
        <w:spacing w:line="480" w:lineRule="exact"/>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注：该项目如有变更文件，则应点击“项目流程答疑文件下载”下载更新后的电子招标文件（*.SXSCF），使用旧版电子招标文件制作的电子响应文件，系统将拒绝接收。</w:t>
      </w:r>
    </w:p>
    <w:p w14:paraId="66E9444F">
      <w:pPr>
        <w:spacing w:line="4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7、竞争性磋商响应文件的计量单位</w:t>
      </w:r>
    </w:p>
    <w:p w14:paraId="5CC5187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竞争性磋商响应文件中所使用的计量单位，除有特殊要求外，均采用国家法定计量单位。</w:t>
      </w:r>
    </w:p>
    <w:p w14:paraId="7E692488">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8、磋商报价</w:t>
      </w:r>
    </w:p>
    <w:p w14:paraId="304336A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8-1、磋商货币：人民币    单位：元（保留小数点后两位）。</w:t>
      </w:r>
    </w:p>
    <w:p w14:paraId="2A2BF1B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8-2、供应商要按报价表内容填写</w:t>
      </w:r>
      <w:r>
        <w:rPr>
          <w:rFonts w:hint="eastAsia" w:ascii="宋体" w:hAnsi="宋体" w:eastAsia="宋体" w:cs="宋体"/>
          <w:sz w:val="24"/>
          <w:szCs w:val="24"/>
          <w:lang w:eastAsia="zh-CN"/>
        </w:rPr>
        <w:t>服务内容</w:t>
      </w:r>
      <w:r>
        <w:rPr>
          <w:rFonts w:hint="eastAsia" w:ascii="宋体" w:hAnsi="宋体" w:eastAsia="宋体" w:cs="宋体"/>
          <w:sz w:val="24"/>
          <w:szCs w:val="24"/>
        </w:rPr>
        <w:t>名称、单价、总价等内容，并由法定代表人或被授权人签署。</w:t>
      </w:r>
    </w:p>
    <w:p w14:paraId="5B30BCF8">
      <w:pPr>
        <w:spacing w:line="48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8-3、</w:t>
      </w:r>
      <w:r>
        <w:rPr>
          <w:rFonts w:hint="eastAsia" w:ascii="宋体" w:hAnsi="宋体" w:eastAsia="宋体" w:cs="宋体"/>
          <w:b/>
          <w:sz w:val="24"/>
          <w:szCs w:val="24"/>
        </w:rPr>
        <w:t>磋商报价应是竞争性磋商响应文件所确定的磋商范围内的全部工作内容的价格体现，包括本项目</w:t>
      </w:r>
      <w:r>
        <w:rPr>
          <w:rFonts w:hint="eastAsia" w:ascii="宋体" w:hAnsi="宋体" w:eastAsia="宋体" w:cs="宋体"/>
          <w:b/>
          <w:sz w:val="24"/>
          <w:szCs w:val="24"/>
          <w:lang w:eastAsia="zh-CN"/>
        </w:rPr>
        <w:t>所有</w:t>
      </w:r>
      <w:r>
        <w:rPr>
          <w:rFonts w:hint="eastAsia" w:ascii="宋体" w:hAnsi="宋体" w:eastAsia="宋体" w:cs="宋体"/>
          <w:b/>
          <w:sz w:val="24"/>
          <w:szCs w:val="24"/>
        </w:rPr>
        <w:t>相关伴随费用。</w:t>
      </w:r>
    </w:p>
    <w:p w14:paraId="4BC96E44">
      <w:pPr>
        <w:spacing w:line="480" w:lineRule="exact"/>
        <w:ind w:firstLine="482" w:firstLineChars="200"/>
        <w:rPr>
          <w:rFonts w:hint="eastAsia" w:ascii="宋体" w:hAnsi="宋体" w:eastAsia="宋体" w:cs="宋体"/>
        </w:rPr>
      </w:pPr>
      <w:r>
        <w:rPr>
          <w:rFonts w:hint="eastAsia" w:ascii="宋体" w:hAnsi="宋体" w:eastAsia="宋体" w:cs="宋体"/>
          <w:b/>
          <w:sz w:val="24"/>
          <w:szCs w:val="24"/>
        </w:rPr>
        <w:t>注：磋商报价（首轮）超过</w:t>
      </w:r>
      <w:r>
        <w:rPr>
          <w:rFonts w:hint="eastAsia" w:ascii="宋体" w:hAnsi="宋体" w:eastAsia="宋体" w:cs="宋体"/>
          <w:b/>
          <w:sz w:val="24"/>
          <w:szCs w:val="24"/>
          <w:lang w:val="en-US" w:eastAsia="zh-CN"/>
        </w:rPr>
        <w:t>最高限价</w:t>
      </w:r>
      <w:r>
        <w:rPr>
          <w:rFonts w:hint="eastAsia" w:ascii="宋体" w:hAnsi="宋体" w:eastAsia="宋体" w:cs="宋体"/>
          <w:b/>
          <w:sz w:val="24"/>
          <w:szCs w:val="24"/>
        </w:rPr>
        <w:t>的，响应无效，按废标处理;二轮报价超过首轮报价的，响应无效，按废标处理。</w:t>
      </w:r>
    </w:p>
    <w:p w14:paraId="2BE7022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8-4、供应商所报的磋商价在合同执行过程中是固定不变的，不得以任何理由予以变更。任何包含价格调整要求的磋商，将被认为是非响应性磋商而予以拒绝。</w:t>
      </w:r>
    </w:p>
    <w:p w14:paraId="4FA6DCD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8-5、凡磋商文件要求或允许磋商中进行报价的各项费用项目，若磋商报价时未报，采购人将按这些费用已包含在磋商报价中对待。</w:t>
      </w:r>
    </w:p>
    <w:p w14:paraId="26411606">
      <w:pPr>
        <w:spacing w:line="480" w:lineRule="exact"/>
        <w:rPr>
          <w:rFonts w:hint="eastAsia" w:ascii="宋体" w:hAnsi="宋体" w:eastAsia="宋体" w:cs="宋体"/>
          <w:b/>
          <w:bCs/>
          <w:sz w:val="24"/>
          <w:szCs w:val="24"/>
        </w:rPr>
      </w:pPr>
      <w:bookmarkStart w:id="15" w:name="_Toc458848736"/>
      <w:bookmarkStart w:id="16" w:name="_Toc7453875"/>
      <w:bookmarkStart w:id="17" w:name="_Toc458848821"/>
      <w:bookmarkStart w:id="18" w:name="_Toc458848969"/>
      <w:r>
        <w:rPr>
          <w:rFonts w:hint="eastAsia" w:ascii="宋体" w:hAnsi="宋体" w:eastAsia="宋体" w:cs="宋体"/>
          <w:b/>
          <w:bCs/>
          <w:sz w:val="24"/>
          <w:szCs w:val="24"/>
        </w:rPr>
        <w:t>五、磋商担保</w:t>
      </w:r>
      <w:bookmarkEnd w:id="15"/>
      <w:bookmarkEnd w:id="16"/>
      <w:bookmarkEnd w:id="17"/>
      <w:bookmarkEnd w:id="18"/>
    </w:p>
    <w:p w14:paraId="1FC787C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1、担保方式：见供应商须知前附表。</w:t>
      </w:r>
    </w:p>
    <w:p w14:paraId="4712B67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2、磋商担保递交截止时间：见供应商须知前附表。</w:t>
      </w:r>
    </w:p>
    <w:p w14:paraId="2D78B07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3、若采购代理机构未在磋商担保递交截止时间查询到足额磋商保证金或者有效磋商担保函的，其磋商将被拒绝。 </w:t>
      </w:r>
    </w:p>
    <w:p w14:paraId="5CE21FE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供应商参加磋商时，必须以竞争性磋商文件规定的方式提交磋商担保，并作为其磋商响应的一部分。若未在磋商担保递交截止时间查询到到足额磋商保证金或供应商不能自行证明其足额缴纳磋商保证金的，或供应商未在响应文件中附银行汇（存）款回执单或担保机构出具的担保函，其磋商响应文件无效。</w:t>
      </w:r>
    </w:p>
    <w:p w14:paraId="53CC26C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5、退还磋商保证金：</w:t>
      </w:r>
    </w:p>
    <w:p w14:paraId="7452E3E9">
      <w:pPr>
        <w:spacing w:line="48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（1）</w:t>
      </w:r>
      <w:r>
        <w:rPr>
          <w:rFonts w:hint="eastAsia" w:ascii="宋体" w:hAnsi="宋体" w:eastAsia="宋体" w:cs="宋体"/>
          <w:b/>
          <w:sz w:val="24"/>
          <w:szCs w:val="24"/>
          <w:u w:val="single"/>
        </w:rPr>
        <w:t>在磋商截止时间前撤回已提交磋商响应文件的供应商的磋商保证金，将在采购代理机构收到供应商书面撤回通知之日起5个工作日内退还。</w:t>
      </w:r>
    </w:p>
    <w:p w14:paraId="57FEF678">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u w:val="single"/>
        </w:rPr>
        <w:t>所有未成交供应商的磋商保证金，将在成交通知书发出后5个工作日内退还。</w:t>
      </w:r>
    </w:p>
    <w:p w14:paraId="1F816C41">
      <w:pPr>
        <w:spacing w:line="480" w:lineRule="exact"/>
        <w:ind w:firstLine="482" w:firstLineChars="200"/>
        <w:rPr>
          <w:rFonts w:hint="eastAsia" w:ascii="宋体" w:hAnsi="宋体" w:eastAsia="宋体" w:cs="宋体"/>
          <w:b/>
          <w:spacing w:val="-4"/>
          <w:sz w:val="24"/>
          <w:szCs w:val="24"/>
          <w:u w:val="single"/>
        </w:rPr>
      </w:pPr>
      <w:r>
        <w:rPr>
          <w:rFonts w:hint="eastAsia" w:ascii="宋体" w:hAnsi="宋体" w:eastAsia="宋体" w:cs="宋体"/>
          <w:b/>
          <w:sz w:val="24"/>
          <w:szCs w:val="24"/>
        </w:rPr>
        <w:t>（3）</w:t>
      </w:r>
      <w:r>
        <w:rPr>
          <w:rFonts w:hint="eastAsia" w:ascii="宋体" w:hAnsi="宋体" w:eastAsia="宋体" w:cs="宋体"/>
          <w:b/>
          <w:spacing w:val="-4"/>
          <w:sz w:val="24"/>
          <w:szCs w:val="24"/>
          <w:u w:val="single"/>
        </w:rPr>
        <w:t>成交的供应商的磋商保证金在签订合同后，执合同予以</w:t>
      </w:r>
      <w:r>
        <w:rPr>
          <w:rFonts w:hint="eastAsia" w:ascii="宋体" w:hAnsi="宋体" w:eastAsia="宋体" w:cs="宋体"/>
          <w:b/>
          <w:sz w:val="24"/>
          <w:szCs w:val="24"/>
          <w:u w:val="single"/>
        </w:rPr>
        <w:t>5个工作日内</w:t>
      </w:r>
      <w:r>
        <w:rPr>
          <w:rFonts w:hint="eastAsia" w:ascii="宋体" w:hAnsi="宋体" w:eastAsia="宋体" w:cs="宋体"/>
          <w:b/>
          <w:spacing w:val="-4"/>
          <w:sz w:val="24"/>
          <w:szCs w:val="24"/>
          <w:u w:val="single"/>
        </w:rPr>
        <w:t>退还。</w:t>
      </w:r>
    </w:p>
    <w:p w14:paraId="3E44BD60">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6、如磋商发生下列情况之一时，磋商保证金将不予退还，提供担保函的供应商将由专业担保机构先行偿付采购人损失：</w:t>
      </w:r>
    </w:p>
    <w:p w14:paraId="54B8EC29">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u w:val="single"/>
        </w:rPr>
        <w:t>供应商提供虚假资质谋取成交的；</w:t>
      </w:r>
    </w:p>
    <w:p w14:paraId="72B3FFBB">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6-2、</w:t>
      </w:r>
      <w:r>
        <w:rPr>
          <w:rFonts w:hint="eastAsia" w:ascii="宋体" w:hAnsi="宋体" w:eastAsia="宋体" w:cs="宋体"/>
          <w:sz w:val="24"/>
          <w:szCs w:val="24"/>
          <w:u w:val="single"/>
        </w:rPr>
        <w:t>供应商有围标、串标现象，经查证属实的；</w:t>
      </w:r>
    </w:p>
    <w:p w14:paraId="089B5CBB">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6-3、</w:t>
      </w:r>
      <w:r>
        <w:rPr>
          <w:rFonts w:hint="eastAsia" w:ascii="宋体" w:hAnsi="宋体" w:eastAsia="宋体" w:cs="宋体"/>
          <w:sz w:val="24"/>
          <w:szCs w:val="24"/>
          <w:u w:val="single"/>
        </w:rPr>
        <w:t>供应商在竞争性磋商文件规定的磋商响应有效期内撤回磋商响应文件的；</w:t>
      </w:r>
    </w:p>
    <w:p w14:paraId="391C3E72">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6-4、</w:t>
      </w:r>
      <w:r>
        <w:rPr>
          <w:rFonts w:hint="eastAsia" w:ascii="宋体" w:hAnsi="宋体" w:eastAsia="宋体" w:cs="宋体"/>
          <w:sz w:val="24"/>
          <w:szCs w:val="24"/>
          <w:u w:val="single"/>
        </w:rPr>
        <w:t>供应商自行放弃磋商资格而未在磋商会议前一天以书面形式告知采购代理机构的；</w:t>
      </w:r>
    </w:p>
    <w:p w14:paraId="2663CB23">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6-5、</w:t>
      </w:r>
      <w:r>
        <w:rPr>
          <w:rFonts w:hint="eastAsia" w:ascii="宋体" w:hAnsi="宋体" w:eastAsia="宋体" w:cs="宋体"/>
          <w:sz w:val="24"/>
          <w:szCs w:val="24"/>
          <w:u w:val="single"/>
        </w:rPr>
        <w:t>供应商自行放弃成交资格的；</w:t>
      </w:r>
    </w:p>
    <w:p w14:paraId="4A030D3B">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6-6、</w:t>
      </w:r>
      <w:r>
        <w:rPr>
          <w:rFonts w:hint="eastAsia" w:ascii="宋体" w:hAnsi="宋体" w:eastAsia="宋体" w:cs="宋体"/>
          <w:sz w:val="24"/>
          <w:szCs w:val="24"/>
          <w:u w:val="single"/>
        </w:rPr>
        <w:t>成交供应商不在规定的时效内领取《成交通知书》的；</w:t>
      </w:r>
    </w:p>
    <w:p w14:paraId="630C16E1">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6-7、</w:t>
      </w:r>
      <w:r>
        <w:rPr>
          <w:rFonts w:hint="eastAsia" w:ascii="宋体" w:hAnsi="宋体" w:eastAsia="宋体" w:cs="宋体"/>
          <w:sz w:val="24"/>
          <w:szCs w:val="24"/>
          <w:u w:val="single"/>
        </w:rPr>
        <w:t>成交供应商不按规定支付</w:t>
      </w:r>
      <w:r>
        <w:rPr>
          <w:rFonts w:hint="eastAsia" w:ascii="宋体" w:hAnsi="宋体" w:eastAsia="宋体" w:cs="宋体"/>
          <w:sz w:val="24"/>
          <w:szCs w:val="24"/>
          <w:u w:val="single"/>
          <w:lang w:val="en-US" w:eastAsia="zh-CN"/>
        </w:rPr>
        <w:t>采购</w:t>
      </w:r>
      <w:r>
        <w:rPr>
          <w:rFonts w:hint="eastAsia" w:ascii="宋体" w:hAnsi="宋体" w:eastAsia="宋体" w:cs="宋体"/>
          <w:sz w:val="24"/>
          <w:szCs w:val="24"/>
          <w:u w:val="single"/>
        </w:rPr>
        <w:t>服务费的；</w:t>
      </w:r>
    </w:p>
    <w:p w14:paraId="1BEBEEDC">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6-8、</w:t>
      </w:r>
      <w:r>
        <w:rPr>
          <w:rFonts w:hint="eastAsia" w:ascii="宋体" w:hAnsi="宋体" w:eastAsia="宋体" w:cs="宋体"/>
          <w:sz w:val="24"/>
          <w:szCs w:val="24"/>
          <w:u w:val="single"/>
        </w:rPr>
        <w:t>成交供应商因自身原因未能在规定期限内与采购人签订合同的。</w:t>
      </w:r>
    </w:p>
    <w:p w14:paraId="7986A525">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6-9、</w:t>
      </w:r>
      <w:r>
        <w:rPr>
          <w:rFonts w:hint="eastAsia" w:ascii="宋体" w:hAnsi="宋体" w:eastAsia="宋体" w:cs="宋体"/>
          <w:sz w:val="24"/>
          <w:szCs w:val="24"/>
          <w:u w:val="single"/>
        </w:rPr>
        <w:t>供应商无故不参加磋商活动的。</w:t>
      </w:r>
    </w:p>
    <w:p w14:paraId="435C6DE7">
      <w:pPr>
        <w:pStyle w:val="5"/>
        <w:spacing w:before="0" w:after="0" w:line="480" w:lineRule="exact"/>
        <w:rPr>
          <w:rFonts w:hint="eastAsia" w:ascii="宋体" w:hAnsi="宋体" w:eastAsia="宋体" w:cs="宋体"/>
          <w:kern w:val="0"/>
          <w:sz w:val="24"/>
          <w:szCs w:val="24"/>
        </w:rPr>
      </w:pPr>
      <w:bookmarkStart w:id="19" w:name="_Toc7453876"/>
      <w:bookmarkStart w:id="20" w:name="_Toc458848970"/>
      <w:bookmarkStart w:id="21" w:name="_Toc458848822"/>
      <w:bookmarkStart w:id="22" w:name="_Toc458848737"/>
      <w:r>
        <w:rPr>
          <w:rFonts w:hint="eastAsia" w:ascii="宋体" w:hAnsi="宋体" w:eastAsia="宋体" w:cs="宋体"/>
          <w:kern w:val="0"/>
          <w:sz w:val="24"/>
          <w:szCs w:val="24"/>
        </w:rPr>
        <w:t>六、磋商响应</w:t>
      </w:r>
      <w:bookmarkEnd w:id="19"/>
      <w:bookmarkEnd w:id="20"/>
      <w:bookmarkEnd w:id="21"/>
      <w:bookmarkEnd w:id="22"/>
    </w:p>
    <w:p w14:paraId="21A8E90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1、磋商响应文件的提交：</w:t>
      </w:r>
    </w:p>
    <w:p w14:paraId="1DB6AF7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1-1、供应商应在磋商截止时间前将响应文件上传至交易平台；</w:t>
      </w:r>
    </w:p>
    <w:p w14:paraId="0D47F74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1-2、磋商</w:t>
      </w:r>
      <w:r>
        <w:rPr>
          <w:rFonts w:hint="eastAsia" w:ascii="宋体" w:hAnsi="宋体" w:eastAsia="宋体" w:cs="宋体"/>
          <w:sz w:val="24"/>
          <w:szCs w:val="24"/>
          <w:lang w:val="zh-CN"/>
        </w:rPr>
        <w:t>响应文件可于提交磋商响应文件截止时间前任意时段登录全国公共资源交易平台 （</w:t>
      </w:r>
      <w:r>
        <w:rPr>
          <w:rFonts w:hint="eastAsia" w:ascii="宋体" w:hAnsi="宋体" w:eastAsia="宋体" w:cs="宋体"/>
          <w:sz w:val="24"/>
          <w:szCs w:val="24"/>
        </w:rPr>
        <w:t>陕西省·宝鸡市</w:t>
      </w:r>
      <w:r>
        <w:rPr>
          <w:rFonts w:hint="eastAsia" w:ascii="宋体" w:hAnsi="宋体" w:eastAsia="宋体" w:cs="宋体"/>
          <w:sz w:val="24"/>
          <w:szCs w:val="24"/>
          <w:lang w:val="zh-CN"/>
        </w:rPr>
        <w:t>）网站[电子交易平台-企业端]进行提交，逾期系统将拒绝接收。提交时，供应商应登录全国公共资源交易中心平台（陕西省</w:t>
      </w:r>
      <w:r>
        <w:rPr>
          <w:rFonts w:hint="eastAsia" w:ascii="宋体" w:hAnsi="宋体" w:eastAsia="宋体" w:cs="宋体"/>
          <w:sz w:val="24"/>
          <w:szCs w:val="24"/>
        </w:rPr>
        <w:t>.宝鸡市</w:t>
      </w:r>
      <w:r>
        <w:rPr>
          <w:rFonts w:hint="eastAsia" w:ascii="宋体" w:hAnsi="宋体" w:eastAsia="宋体" w:cs="宋体"/>
          <w:sz w:val="24"/>
          <w:szCs w:val="24"/>
          <w:lang w:val="zh-CN"/>
        </w:rPr>
        <w:t>），选择[“首页&gt;电子交易平台&gt;企业端&gt;我的项目]”，点击[项目流程]，在打开的[项目管理]对话框中选择[上传响应文件]，上传加密的电子响应文件（*.SXSTF），上传成功后，电子化平台将予以记录。逾期上传的将被拒绝接收。</w:t>
      </w:r>
    </w:p>
    <w:p w14:paraId="2ABD117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竞争性磋商</w:t>
      </w:r>
      <w:r>
        <w:rPr>
          <w:rFonts w:hint="eastAsia" w:ascii="宋体" w:hAnsi="宋体" w:eastAsia="宋体" w:cs="宋体"/>
          <w:sz w:val="24"/>
          <w:szCs w:val="24"/>
        </w:rPr>
        <w:t>响应文件的修改与撤回：</w:t>
      </w:r>
    </w:p>
    <w:p w14:paraId="0F1635C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2-1、供应商在提交响应文件后，磋商截止时间前，可以修改或撤回其响应文件，并在规定的磋商截止日期之前，将修改或撤回的响应文件上传到交易平台，逾期递交的响应文件将不予受理。</w:t>
      </w:r>
    </w:p>
    <w:p w14:paraId="4701CBE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2-2、在磋商截止日期之后，供应商不得对其响应文件做任何修改。</w:t>
      </w:r>
    </w:p>
    <w:p w14:paraId="19259CC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2-3、在磋商截止时间至磋商响应有效期满之前，供应商不得撤回其竞争性磋商响应文件，否则其磋商保证金将不予退还，提供磋商担保的供应商将由专业担保机构先行偿付采购人损失。</w:t>
      </w:r>
    </w:p>
    <w:p w14:paraId="122D97DC">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、竞争性磋商响应有效期：</w:t>
      </w:r>
    </w:p>
    <w:p w14:paraId="1D2F5C45">
      <w:pPr>
        <w:pStyle w:val="4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3-1、自提交磋商响应文件的截止之日起90个日历日。竞争性磋商响应有效期短于竞争性磋商文件规定的磋商响应有效期，按无效竞争性磋商响应处理。成交单位的竞争性磋商有效期延长至合同执行完毕。</w:t>
      </w:r>
    </w:p>
    <w:p w14:paraId="58F76F4A">
      <w:pPr>
        <w:pStyle w:val="4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 xml:space="preserve">3-2、在原有有效期结束前，采购代理机构可要求供应商延长竞争性磋商响应有效期。拒绝延长有效期的供应商有权收回磋商保证金，但不得参与该项目后续采购活动。同意延长有效期的供应商应相应延长磋商担保的有效期，但不得修改竞争性磋商响应文件的实质性内容。 </w:t>
      </w:r>
    </w:p>
    <w:p w14:paraId="50D2F635">
      <w:pPr>
        <w:pStyle w:val="42"/>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sz w:val="24"/>
          <w:szCs w:val="24"/>
        </w:rPr>
        <w:t>4、供应商</w:t>
      </w:r>
      <w:r>
        <w:rPr>
          <w:rFonts w:hint="eastAsia" w:ascii="宋体" w:hAnsi="宋体" w:eastAsia="宋体" w:cs="宋体"/>
          <w:kern w:val="2"/>
          <w:sz w:val="24"/>
          <w:szCs w:val="24"/>
        </w:rPr>
        <w:t>有下列情形之一的，属于恶意串通，对其依照《中华人民共和国政府采购法》第七十七条第一款的规定追究法律责任，响应无效：</w:t>
      </w:r>
    </w:p>
    <w:p w14:paraId="1B4CD083">
      <w:pPr>
        <w:pStyle w:val="42"/>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4-1、供应商直接或者间接从采购人或采购代理机构处获得其他供应商的相关情况并修改其磋商响应文件；</w:t>
      </w:r>
    </w:p>
    <w:p w14:paraId="32051745">
      <w:pPr>
        <w:pStyle w:val="42"/>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4-2、供应商按照采购人或采购代理机构的授意撤换、修改磋商响应文件；</w:t>
      </w:r>
    </w:p>
    <w:p w14:paraId="719389C4">
      <w:pPr>
        <w:pStyle w:val="42"/>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4-3、供应商之间协商报价、技术方案等磋商响应文件的实质性内容；</w:t>
      </w:r>
    </w:p>
    <w:p w14:paraId="35C57155">
      <w:pPr>
        <w:pStyle w:val="42"/>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4-4、属于同一集团、协会、商会等组织成员的供应商按照该组织要求协同参加政府采购活动；</w:t>
      </w:r>
    </w:p>
    <w:p w14:paraId="0FB1F55E">
      <w:pPr>
        <w:pStyle w:val="42"/>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4-5、供应商之间事先约定由某一特定供应商成交；</w:t>
      </w:r>
    </w:p>
    <w:p w14:paraId="6AA39C10">
      <w:pPr>
        <w:pStyle w:val="42"/>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4-6、供应商之间商定部分供应商放弃参加政府采购活动或放弃成交；</w:t>
      </w:r>
    </w:p>
    <w:p w14:paraId="220A50FC">
      <w:pPr>
        <w:pStyle w:val="42"/>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4-7、供应商相互之间，为谋求特定供应商成交或排斥其他供应商的其他串通行为。</w:t>
      </w:r>
    </w:p>
    <w:p w14:paraId="0AD012BA">
      <w:pPr>
        <w:pStyle w:val="42"/>
        <w:spacing w:line="480" w:lineRule="exact"/>
        <w:ind w:firstLine="480"/>
        <w:rPr>
          <w:rFonts w:hint="eastAsia" w:ascii="宋体" w:hAnsi="宋体" w:eastAsia="宋体" w:cs="宋体"/>
          <w:sz w:val="24"/>
          <w:szCs w:val="24"/>
        </w:rPr>
      </w:pPr>
      <w:r>
        <w:rPr>
          <w:rFonts w:hint="eastAsia" w:ascii="宋体" w:hAnsi="宋体" w:eastAsia="宋体" w:cs="宋体"/>
          <w:kern w:val="2"/>
          <w:sz w:val="24"/>
          <w:szCs w:val="24"/>
        </w:rPr>
        <w:t>5、有下列情形之一的，视为供应商串通磋商，其响应无效：</w:t>
      </w:r>
    </w:p>
    <w:p w14:paraId="6552143C">
      <w:pPr>
        <w:pStyle w:val="42"/>
        <w:spacing w:line="480" w:lineRule="exact"/>
        <w:ind w:firstLine="720" w:firstLineChars="300"/>
        <w:rPr>
          <w:rFonts w:hint="eastAsia" w:ascii="宋体" w:hAnsi="宋体" w:eastAsia="宋体" w:cs="宋体"/>
          <w:kern w:val="2"/>
          <w:sz w:val="24"/>
          <w:szCs w:val="24"/>
        </w:rPr>
      </w:pPr>
      <w:r>
        <w:rPr>
          <w:rFonts w:hint="eastAsia" w:ascii="宋体" w:hAnsi="宋体" w:eastAsia="宋体" w:cs="宋体"/>
          <w:kern w:val="2"/>
          <w:sz w:val="24"/>
          <w:szCs w:val="24"/>
        </w:rPr>
        <w:t>5-1、不同供应商的磋商响应文件由同一单位或者个人编制；</w:t>
      </w:r>
    </w:p>
    <w:p w14:paraId="12416399">
      <w:pPr>
        <w:pStyle w:val="42"/>
        <w:spacing w:line="480" w:lineRule="exact"/>
        <w:ind w:firstLine="720" w:firstLineChars="300"/>
        <w:rPr>
          <w:rFonts w:hint="eastAsia" w:ascii="宋体" w:hAnsi="宋体" w:eastAsia="宋体" w:cs="宋体"/>
          <w:kern w:val="2"/>
          <w:sz w:val="24"/>
          <w:szCs w:val="24"/>
        </w:rPr>
      </w:pPr>
      <w:r>
        <w:rPr>
          <w:rFonts w:hint="eastAsia" w:ascii="宋体" w:hAnsi="宋体" w:eastAsia="宋体" w:cs="宋体"/>
          <w:kern w:val="2"/>
          <w:sz w:val="24"/>
          <w:szCs w:val="24"/>
        </w:rPr>
        <w:t>5-2、不同供应商委托同一单位或者个人办理磋商事宜；</w:t>
      </w:r>
    </w:p>
    <w:p w14:paraId="7FD7E361">
      <w:pPr>
        <w:pStyle w:val="42"/>
        <w:spacing w:line="480" w:lineRule="exact"/>
        <w:ind w:firstLine="720" w:firstLineChars="300"/>
        <w:rPr>
          <w:rFonts w:hint="eastAsia" w:ascii="宋体" w:hAnsi="宋体" w:eastAsia="宋体" w:cs="宋体"/>
          <w:kern w:val="2"/>
          <w:sz w:val="24"/>
          <w:szCs w:val="24"/>
        </w:rPr>
      </w:pPr>
      <w:r>
        <w:rPr>
          <w:rFonts w:hint="eastAsia" w:ascii="宋体" w:hAnsi="宋体" w:eastAsia="宋体" w:cs="宋体"/>
          <w:kern w:val="2"/>
          <w:sz w:val="24"/>
          <w:szCs w:val="24"/>
        </w:rPr>
        <w:t>5-3、不同供应商的磋商响应文件载明的项目管理成员或者联系人为同一人；</w:t>
      </w:r>
    </w:p>
    <w:p w14:paraId="670E20C2">
      <w:pPr>
        <w:pStyle w:val="42"/>
        <w:spacing w:line="480" w:lineRule="exact"/>
        <w:ind w:firstLine="720" w:firstLineChars="300"/>
        <w:rPr>
          <w:rFonts w:hint="eastAsia" w:ascii="宋体" w:hAnsi="宋体" w:eastAsia="宋体" w:cs="宋体"/>
          <w:kern w:val="2"/>
          <w:sz w:val="24"/>
          <w:szCs w:val="24"/>
        </w:rPr>
      </w:pPr>
      <w:r>
        <w:rPr>
          <w:rFonts w:hint="eastAsia" w:ascii="宋体" w:hAnsi="宋体" w:eastAsia="宋体" w:cs="宋体"/>
          <w:kern w:val="2"/>
          <w:sz w:val="24"/>
          <w:szCs w:val="24"/>
        </w:rPr>
        <w:t>5-4、不同供应商的磋商响应文件异常一致或者磋商报价呈现规律性差异；</w:t>
      </w:r>
    </w:p>
    <w:p w14:paraId="5CCC9A2E">
      <w:pPr>
        <w:spacing w:line="48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5-5、不同供应商的磋商保证金从同一单位或者个人的账户转出。</w:t>
      </w:r>
    </w:p>
    <w:p w14:paraId="2DB8307D">
      <w:pPr>
        <w:pStyle w:val="5"/>
        <w:spacing w:before="0" w:after="0" w:line="480" w:lineRule="exact"/>
        <w:rPr>
          <w:rFonts w:hint="eastAsia" w:ascii="宋体" w:hAnsi="宋体" w:eastAsia="宋体" w:cs="宋体"/>
          <w:kern w:val="0"/>
          <w:sz w:val="24"/>
          <w:szCs w:val="24"/>
        </w:rPr>
      </w:pPr>
      <w:bookmarkStart w:id="23" w:name="_Toc458848823"/>
      <w:bookmarkStart w:id="24" w:name="_Toc458848971"/>
      <w:bookmarkStart w:id="25" w:name="_Toc458848738"/>
      <w:bookmarkStart w:id="26" w:name="_Toc7453877"/>
      <w:r>
        <w:rPr>
          <w:rFonts w:hint="eastAsia" w:ascii="宋体" w:hAnsi="宋体" w:eastAsia="宋体" w:cs="宋体"/>
          <w:kern w:val="0"/>
          <w:sz w:val="24"/>
          <w:szCs w:val="24"/>
        </w:rPr>
        <w:t>七、磋商</w:t>
      </w:r>
      <w:bookmarkEnd w:id="23"/>
      <w:bookmarkEnd w:id="24"/>
      <w:bookmarkEnd w:id="25"/>
      <w:r>
        <w:rPr>
          <w:rFonts w:hint="eastAsia" w:ascii="宋体" w:hAnsi="宋体" w:eastAsia="宋体" w:cs="宋体"/>
          <w:kern w:val="0"/>
          <w:sz w:val="24"/>
          <w:szCs w:val="24"/>
        </w:rPr>
        <w:t>、评审及定标</w:t>
      </w:r>
      <w:bookmarkEnd w:id="26"/>
    </w:p>
    <w:p w14:paraId="345D690B">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1、磋商</w:t>
      </w:r>
    </w:p>
    <w:p w14:paraId="72345BB5">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1-1、采购代理机构按竞争性磋商文件规定的时间、地点组织磋商。所有</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kern w:val="2"/>
          <w:sz w:val="24"/>
          <w:szCs w:val="24"/>
          <w:lang w:val="en-US" w:eastAsia="zh-CN" w:bidi="ar-SA"/>
        </w:rPr>
        <w:t>应按时参加磋商会议。</w:t>
      </w:r>
    </w:p>
    <w:p w14:paraId="0A8ED9B6">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1-2、磋商会议由采购代理机构主持。</w:t>
      </w:r>
      <w:r>
        <w:rPr>
          <w:rFonts w:hint="eastAsia" w:ascii="宋体" w:hAnsi="宋体" w:eastAsia="宋体" w:cs="宋体"/>
          <w:color w:val="auto"/>
          <w:kern w:val="2"/>
          <w:sz w:val="24"/>
          <w:szCs w:val="24"/>
          <w:lang w:val="zh-CN" w:eastAsia="zh-CN" w:bidi="ar-SA"/>
        </w:rPr>
        <w:t>采购人、</w:t>
      </w:r>
      <w:r>
        <w:rPr>
          <w:rFonts w:hint="eastAsia" w:ascii="宋体" w:hAnsi="宋体" w:eastAsia="宋体" w:cs="宋体"/>
          <w:color w:val="auto"/>
          <w:kern w:val="2"/>
          <w:sz w:val="24"/>
          <w:szCs w:val="24"/>
          <w:lang w:val="en-US" w:eastAsia="zh-CN" w:bidi="ar-SA"/>
        </w:rPr>
        <w:t>供应商（线上）</w:t>
      </w:r>
      <w:r>
        <w:rPr>
          <w:rFonts w:hint="eastAsia" w:ascii="宋体" w:hAnsi="宋体" w:eastAsia="宋体" w:cs="宋体"/>
          <w:color w:val="auto"/>
          <w:kern w:val="2"/>
          <w:sz w:val="24"/>
          <w:szCs w:val="24"/>
          <w:lang w:val="zh-CN" w:eastAsia="zh-CN" w:bidi="ar-SA"/>
        </w:rPr>
        <w:t>和有关方面代表参加</w:t>
      </w:r>
      <w:r>
        <w:rPr>
          <w:rFonts w:hint="eastAsia" w:ascii="宋体" w:hAnsi="宋体" w:eastAsia="宋体" w:cs="宋体"/>
          <w:color w:val="auto"/>
          <w:kern w:val="2"/>
          <w:sz w:val="24"/>
          <w:szCs w:val="24"/>
          <w:lang w:val="en-US" w:eastAsia="zh-CN" w:bidi="ar-SA"/>
        </w:rPr>
        <w:t>。</w:t>
      </w:r>
    </w:p>
    <w:p w14:paraId="1724ADDF">
      <w:pPr>
        <w:pStyle w:val="42"/>
        <w:spacing w:line="480" w:lineRule="exact"/>
        <w:ind w:firstLine="48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1-3、开标程序</w:t>
      </w:r>
    </w:p>
    <w:p w14:paraId="15D98AA5">
      <w:pPr>
        <w:pStyle w:val="42"/>
        <w:spacing w:line="480" w:lineRule="exact"/>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（1）本项目采用</w:t>
      </w:r>
      <w:r>
        <w:rPr>
          <w:rFonts w:hint="eastAsia" w:ascii="宋体" w:hAnsi="宋体" w:eastAsia="宋体" w:cs="宋体"/>
          <w:color w:val="auto"/>
          <w:kern w:val="2"/>
          <w:sz w:val="24"/>
          <w:szCs w:val="24"/>
          <w:highlight w:val="none"/>
        </w:rPr>
        <w:t>“不见面开标”</w:t>
      </w: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“不见面开标”</w:t>
      </w:r>
      <w:r>
        <w:rPr>
          <w:rFonts w:hint="eastAsia" w:ascii="宋体" w:hAnsi="宋体" w:eastAsia="宋体" w:cs="宋体"/>
          <w:color w:val="auto"/>
          <w:kern w:val="2"/>
          <w:sz w:val="24"/>
          <w:szCs w:val="24"/>
          <w:highlight w:val="none"/>
        </w:rPr>
        <w:t>系统操作说明详见全国公共资源交易平台（陕西省·</w:t>
      </w:r>
      <w:r>
        <w:rPr>
          <w:rFonts w:hint="eastAsia" w:ascii="宋体" w:hAnsi="宋体" w:eastAsia="宋体" w:cs="宋体"/>
          <w:color w:val="auto"/>
          <w:kern w:val="2"/>
          <w:sz w:val="24"/>
          <w:szCs w:val="24"/>
          <w:highlight w:val="none"/>
          <w:lang w:val="en-US" w:eastAsia="zh-CN"/>
        </w:rPr>
        <w:t>宝鸡市</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宝鸡市公共资源交易中心</w:t>
      </w:r>
      <w:r>
        <w:rPr>
          <w:rFonts w:hint="eastAsia" w:ascii="宋体" w:hAnsi="宋体" w:eastAsia="宋体" w:cs="宋体"/>
          <w:color w:val="auto"/>
          <w:kern w:val="2"/>
          <w:sz w:val="24"/>
          <w:szCs w:val="24"/>
          <w:highlight w:val="none"/>
        </w:rPr>
        <w:t>〖首页·〉服务指南·〉下载专区〗中的</w:t>
      </w:r>
      <w:r>
        <w:rPr>
          <w:rFonts w:hint="eastAsia" w:ascii="宋体" w:hAnsi="宋体" w:eastAsia="宋体" w:cs="宋体"/>
          <w:color w:val="auto"/>
          <w:kern w:val="2"/>
          <w:sz w:val="24"/>
          <w:szCs w:val="24"/>
          <w:highlight w:val="none"/>
          <w:lang w:val="en-US" w:eastAsia="zh-CN"/>
        </w:rPr>
        <w:t>《政府采购电子交易-不见面系统操作手册</w:t>
      </w:r>
      <w:r>
        <w:rPr>
          <w:rFonts w:hint="eastAsia" w:ascii="宋体" w:hAnsi="宋体" w:eastAsia="宋体" w:cs="宋体"/>
          <w:color w:val="auto"/>
          <w:kern w:val="2"/>
          <w:sz w:val="24"/>
          <w:szCs w:val="24"/>
          <w:highlight w:val="none"/>
        </w:rPr>
        <w:t>》。链接地址：http://ggzy.baoji.gov.cn/fwzn/004003/20231123/d2048104-5dd1-4825-97f0-186cb8450ee5.html</w:t>
      </w:r>
    </w:p>
    <w:p w14:paraId="63A34A1D">
      <w:pPr>
        <w:pStyle w:val="42"/>
        <w:spacing w:line="480" w:lineRule="exact"/>
        <w:ind w:firstLine="480"/>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rPr>
        <w:t>（2）磋商当日，供应商不必抵达开标现场，可通过公共资源交易不见面开标系统参</w:t>
      </w:r>
      <w:r>
        <w:rPr>
          <w:rFonts w:hint="eastAsia" w:ascii="宋体" w:hAnsi="宋体" w:eastAsia="宋体" w:cs="宋体"/>
          <w:color w:val="auto"/>
          <w:sz w:val="24"/>
          <w:szCs w:val="24"/>
          <w:highlight w:val="none"/>
          <w:lang w:val="en-US" w:eastAsia="zh-CN"/>
        </w:rPr>
        <w:t>加磋商会议。</w:t>
      </w:r>
      <w:r>
        <w:rPr>
          <w:rFonts w:hint="eastAsia" w:ascii="宋体" w:hAnsi="宋体" w:eastAsia="宋体" w:cs="宋体"/>
          <w:color w:val="auto"/>
          <w:sz w:val="24"/>
          <w:szCs w:val="24"/>
          <w:highlight w:val="none"/>
          <w:lang w:val="zh-CN" w:eastAsia="zh-CN"/>
        </w:rPr>
        <w:t>不见面开标大厅登录方式为：</w:t>
      </w:r>
      <w:r>
        <w:rPr>
          <w:rFonts w:hint="eastAsia" w:ascii="宋体" w:hAnsi="宋体" w:eastAsia="宋体" w:cs="宋体"/>
          <w:b/>
          <w:bCs/>
          <w:color w:val="auto"/>
          <w:sz w:val="24"/>
          <w:szCs w:val="24"/>
          <w:highlight w:val="none"/>
          <w:lang w:val="zh-CN" w:eastAsia="zh-CN"/>
        </w:rPr>
        <w:t>全国公共资源交易平台（陕西省·宝鸡市）</w:t>
      </w:r>
      <w:r>
        <w:rPr>
          <w:rFonts w:hint="eastAsia" w:ascii="宋体" w:hAnsi="宋体" w:eastAsia="宋体" w:cs="宋体"/>
          <w:b/>
          <w:bCs/>
          <w:color w:val="auto"/>
          <w:kern w:val="2"/>
          <w:sz w:val="24"/>
          <w:szCs w:val="24"/>
          <w:highlight w:val="none"/>
          <w:lang w:eastAsia="zh-CN"/>
        </w:rPr>
        <w:t>宝鸡市公共资源交易中心</w:t>
      </w:r>
      <w:r>
        <w:rPr>
          <w:rFonts w:hint="eastAsia" w:ascii="宋体" w:hAnsi="宋体" w:eastAsia="宋体" w:cs="宋体"/>
          <w:b/>
          <w:bCs/>
          <w:color w:val="auto"/>
          <w:sz w:val="24"/>
          <w:szCs w:val="24"/>
          <w:highlight w:val="none"/>
          <w:lang w:val="zh-CN" w:eastAsia="zh-CN"/>
        </w:rPr>
        <w:t>→不见面开标。</w:t>
      </w:r>
    </w:p>
    <w:p w14:paraId="647DCF9F">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（3）供应商应提前1小时登录远程不见面开标大厅，调试设备至正常状态，并在远程不见面开标大厅中进行远程签到。</w:t>
      </w:r>
    </w:p>
    <w:p w14:paraId="2E38969A">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（4）开标时，供应商须使用电子响应文件加密时所用的数字认证证书（CA 锁）在规定的时间内进行远程在线解密。</w:t>
      </w:r>
    </w:p>
    <w:p w14:paraId="60797549">
      <w:pPr>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lang w:val="en-US" w:eastAsia="zh-CN" w:bidi="ar-SA"/>
        </w:rPr>
        <w:t>（5）响应文件的加密和解密应当使用同一CA锁证书，解密文件时应当使用加密电子响应文件的CA锁证书进行解密；由此导致无法解密电子响应文件造成的后果，由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kern w:val="2"/>
          <w:sz w:val="24"/>
          <w:szCs w:val="24"/>
          <w:lang w:val="en-US" w:eastAsia="zh-CN" w:bidi="ar-SA"/>
        </w:rPr>
        <w:t>自行承担。</w:t>
      </w:r>
    </w:p>
    <w:p w14:paraId="7F60BF8F">
      <w:pPr>
        <w:spacing w:line="48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在收到主持人“开始解密”指令后，应使用“加密该</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文件的CA锁在线完成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文件解密。除因【宝鸡市公共资源交易中心】断电、断网、系统故障及其他不可抗力等因素，导致“不见面开标”系统无法正常运行外，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应在规定的解密时间内完成解密。</w:t>
      </w:r>
    </w:p>
    <w:p w14:paraId="570BE9A0">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（7）线上</w:t>
      </w:r>
      <w:r>
        <w:rPr>
          <w:rFonts w:hint="eastAsia" w:ascii="宋体" w:hAnsi="宋体" w:eastAsia="宋体" w:cs="宋体"/>
          <w:color w:val="auto"/>
          <w:kern w:val="2"/>
          <w:sz w:val="24"/>
          <w:szCs w:val="24"/>
          <w:lang w:val="zh-CN" w:eastAsia="zh-CN" w:bidi="ar-SA"/>
        </w:rPr>
        <w:t>开标结束进入评审环节。</w:t>
      </w:r>
      <w:r>
        <w:rPr>
          <w:rFonts w:hint="eastAsia" w:ascii="宋体" w:hAnsi="宋体" w:eastAsia="宋体" w:cs="宋体"/>
          <w:color w:val="auto"/>
          <w:kern w:val="2"/>
          <w:sz w:val="24"/>
          <w:szCs w:val="24"/>
          <w:lang w:val="en-US" w:eastAsia="zh-CN" w:bidi="ar-SA"/>
        </w:rPr>
        <w:t>供应商</w:t>
      </w:r>
      <w:r>
        <w:rPr>
          <w:rFonts w:hint="eastAsia" w:ascii="宋体" w:hAnsi="宋体" w:eastAsia="宋体" w:cs="宋体"/>
          <w:color w:val="auto"/>
          <w:kern w:val="2"/>
          <w:sz w:val="24"/>
          <w:szCs w:val="24"/>
          <w:lang w:val="zh-CN" w:eastAsia="zh-CN" w:bidi="ar-SA"/>
        </w:rPr>
        <w:t>应保持在线因</w:t>
      </w:r>
      <w:r>
        <w:rPr>
          <w:rFonts w:hint="eastAsia" w:ascii="宋体" w:hAnsi="宋体" w:eastAsia="宋体" w:cs="宋体"/>
          <w:color w:val="auto"/>
          <w:kern w:val="2"/>
          <w:sz w:val="24"/>
          <w:szCs w:val="24"/>
          <w:lang w:val="en-US" w:eastAsia="zh-CN" w:bidi="ar-SA"/>
        </w:rPr>
        <w:t>供应</w:t>
      </w:r>
      <w:r>
        <w:rPr>
          <w:rFonts w:hint="eastAsia" w:ascii="宋体" w:hAnsi="宋体" w:eastAsia="宋体" w:cs="宋体"/>
          <w:color w:val="auto"/>
          <w:kern w:val="2"/>
          <w:sz w:val="24"/>
          <w:szCs w:val="24"/>
          <w:lang w:val="zh-CN" w:eastAsia="zh-CN" w:bidi="ar-SA"/>
        </w:rPr>
        <w:t>擅自离席造成的不利后果，由</w:t>
      </w:r>
      <w:r>
        <w:rPr>
          <w:rFonts w:hint="eastAsia" w:ascii="宋体" w:hAnsi="宋体" w:eastAsia="宋体" w:cs="宋体"/>
          <w:color w:val="auto"/>
          <w:kern w:val="2"/>
          <w:sz w:val="24"/>
          <w:szCs w:val="24"/>
          <w:lang w:val="en-US" w:eastAsia="zh-CN" w:bidi="ar-SA"/>
        </w:rPr>
        <w:t>供应商</w:t>
      </w:r>
      <w:r>
        <w:rPr>
          <w:rFonts w:hint="eastAsia" w:ascii="宋体" w:hAnsi="宋体" w:eastAsia="宋体" w:cs="宋体"/>
          <w:color w:val="auto"/>
          <w:kern w:val="2"/>
          <w:sz w:val="24"/>
          <w:szCs w:val="24"/>
          <w:lang w:val="zh-CN" w:eastAsia="zh-CN" w:bidi="ar-SA"/>
        </w:rPr>
        <w:t>自行承担。</w:t>
      </w:r>
    </w:p>
    <w:p w14:paraId="2EF8CA42">
      <w:pPr>
        <w:spacing w:line="44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（8）线上开标流程结束后各供应商需在不见面开标系统内等待磋商小组发起在线磋商，投标供应商收到磋商小组在线磋商通知后，点击进入询标室与磋商小组连麦进行磋商。</w:t>
      </w:r>
    </w:p>
    <w:p w14:paraId="1D9DB655">
      <w:pPr>
        <w:spacing w:line="44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注：投标供应商在整个磋商过程中因退出不见面开标系统或未及时接受在线磋商通知或因自身原因导致无法正常进行磋商的，导致的不利后果由供应商自行承担。</w:t>
      </w:r>
    </w:p>
    <w:p w14:paraId="41681E98">
      <w:pPr>
        <w:numPr>
          <w:ilvl w:val="0"/>
          <w:numId w:val="4"/>
        </w:numPr>
        <w:spacing w:line="44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磋商小组完成在线磋商后发起最后报价，投标供应商可通过“不见面开标大厅”直接跳转到二次报价页面进行报价并签章后提交。最后报价一旦提交后，供应商不得以任何理由撤回，供应商未按磋商小组要求在规定时间内提交最后报价的，视为其退出磋商。</w:t>
      </w:r>
    </w:p>
    <w:p w14:paraId="57FCA182">
      <w:pPr>
        <w:pStyle w:val="42"/>
        <w:spacing w:line="480" w:lineRule="exact"/>
        <w:ind w:firstLine="48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需实时在线观看音视频直播并及时互动，</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代表对开标过程和开标记录有疑义，以及认为采购人、采购代理机构相关工作人员有需要回避的情形的，应当场提出询问或者回避申请。</w:t>
      </w:r>
      <w:r>
        <w:rPr>
          <w:rFonts w:hint="eastAsia" w:ascii="宋体" w:hAnsi="宋体" w:eastAsia="宋体" w:cs="宋体"/>
          <w:color w:val="auto"/>
          <w:kern w:val="2"/>
          <w:sz w:val="24"/>
          <w:szCs w:val="24"/>
          <w:highlight w:val="none"/>
        </w:rPr>
        <w:t>未按时加入系统或未在线参与互动的，视为放弃标书解密和对开评标全过程质疑、澄清、答辩的权利，并承担由此产生的</w:t>
      </w:r>
      <w:r>
        <w:rPr>
          <w:rFonts w:hint="eastAsia" w:ascii="宋体" w:hAnsi="宋体" w:eastAsia="宋体" w:cs="宋体"/>
          <w:color w:val="auto"/>
          <w:kern w:val="2"/>
          <w:sz w:val="24"/>
          <w:szCs w:val="24"/>
          <w:highlight w:val="none"/>
          <w:lang w:val="en-US" w:eastAsia="zh-CN"/>
        </w:rPr>
        <w:t>一切</w:t>
      </w:r>
      <w:r>
        <w:rPr>
          <w:rFonts w:hint="eastAsia" w:ascii="宋体" w:hAnsi="宋体" w:eastAsia="宋体" w:cs="宋体"/>
          <w:color w:val="auto"/>
          <w:kern w:val="2"/>
          <w:sz w:val="24"/>
          <w:szCs w:val="24"/>
          <w:highlight w:val="none"/>
        </w:rPr>
        <w:t>后果。</w:t>
      </w:r>
      <w:r>
        <w:rPr>
          <w:rFonts w:hint="eastAsia" w:ascii="宋体" w:hAnsi="宋体" w:eastAsia="宋体" w:cs="宋体"/>
          <w:color w:val="auto"/>
          <w:kern w:val="2"/>
          <w:sz w:val="24"/>
          <w:szCs w:val="24"/>
          <w:highlight w:val="none"/>
          <w:lang w:val="zh-CN"/>
        </w:rPr>
        <w:t>采购代理机构对</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代表提出的询问或者回避申请应当及时处理。</w:t>
      </w:r>
    </w:p>
    <w:p w14:paraId="518B1A96">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1-5、供应商代表对磋商过程有疑义的，以及认为采购人、采购代理机构相关工作人员有需要回避的情形的，应当在线提出询问或回避申请。</w:t>
      </w:r>
    </w:p>
    <w:p w14:paraId="77FDA31F">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2、评审</w:t>
      </w:r>
    </w:p>
    <w:p w14:paraId="15F09CD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2-1、磋商小组</w:t>
      </w:r>
    </w:p>
    <w:p w14:paraId="2DFD511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Start w:id="27" w:name="OLE_LINK4"/>
      <w:bookmarkStart w:id="28" w:name="OLE_LINK14"/>
      <w:r>
        <w:rPr>
          <w:rFonts w:hint="eastAsia" w:ascii="宋体" w:hAnsi="宋体" w:eastAsia="宋体" w:cs="宋体"/>
          <w:sz w:val="24"/>
          <w:szCs w:val="24"/>
        </w:rPr>
        <w:t>采购代理机构根据《中华人民共和国政府采购法》及其实施条例、《政府采购竞争性磋商采购方式管理暂行办法》的通知（财库【2014】214号）等规定，依法组建磋商小组。</w:t>
      </w:r>
    </w:p>
    <w:p w14:paraId="386CC953">
      <w:pPr>
        <w:shd w:val="clear"/>
        <w:spacing w:line="480" w:lineRule="exact"/>
        <w:jc w:val="both"/>
        <w:rPr>
          <w:rFonts w:hint="eastAsia" w:ascii="宋体" w:hAnsi="宋体" w:eastAsia="宋体" w:cs="宋体"/>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小组由采购代理机构工作人员在陕西省政府采购网随机抽取评审专家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名及采购人代表1名共同组成。</w:t>
      </w:r>
    </w:p>
    <w:p w14:paraId="0A26756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（2）采购人派一名代表进入磋商小组，并向采购代理机构出具授权函。</w:t>
      </w:r>
      <w:bookmarkEnd w:id="27"/>
    </w:p>
    <w:p w14:paraId="0811D32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（3）磋商小组应推荐一名评审专家担任评审组长，并由评审组长牵头组织该项目评审工作，采购人代表不得担任评审组长。</w:t>
      </w:r>
    </w:p>
    <w:bookmarkEnd w:id="28"/>
    <w:p w14:paraId="6845D89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（4）磋商小组成员应当遵守并履行下列职责义务：</w:t>
      </w:r>
    </w:p>
    <w:p w14:paraId="0F780E2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a、遵纪守法，客观、公正、认真负责地履行职责，根据磋商文件规定的评审程序、评审方法和评审标准审查磋商响应文件；</w:t>
      </w:r>
    </w:p>
    <w:p w14:paraId="344C81E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b、资格审查、符合性审查、评价磋商响应文件是否符合磋商文件的商务、技术等实质性要求；</w:t>
      </w:r>
    </w:p>
    <w:p w14:paraId="5F101A1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c、要求供应商对磋商响应文件有关事项作出澄清或者说明；</w:t>
      </w:r>
    </w:p>
    <w:p w14:paraId="0C721C3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d、对磋商响应文件进行比较和评价；</w:t>
      </w:r>
    </w:p>
    <w:p w14:paraId="757805E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e、推荐成交候选单位名单，对磋商意见承担个人责任；</w:t>
      </w:r>
    </w:p>
    <w:p w14:paraId="211E02C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f、拟定磋商结果；</w:t>
      </w:r>
    </w:p>
    <w:p w14:paraId="65D18FE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g、对磋商过程及各供应商的商业机密予以保密；</w:t>
      </w:r>
    </w:p>
    <w:p w14:paraId="7EBA06E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h、向财政部门报告在评审过程中发现的供应商的违法违规行为；</w:t>
      </w:r>
    </w:p>
    <w:p w14:paraId="597105E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i、配合采购人、采购代理机构答复各供应商提出的质疑；</w:t>
      </w:r>
    </w:p>
    <w:p w14:paraId="46377B1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j、配合各部门的投诉处理和监督检查工作。</w:t>
      </w:r>
    </w:p>
    <w:p w14:paraId="2C71D0C0">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2-2、在政府采购活动中，采购人员及相关人员（包括磋商小组）与供应商有下列利害关系之一的，应当回避：</w:t>
      </w:r>
    </w:p>
    <w:p w14:paraId="680F4E7E">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（1）参加采购活动前3年内与供应商存在劳动关系；</w:t>
      </w:r>
    </w:p>
    <w:p w14:paraId="1DAC9E05">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（2）参加采购活动前3年内担任供应商的董事、监事；</w:t>
      </w:r>
    </w:p>
    <w:p w14:paraId="02BF5FD7">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（3）参加采购活动前3年内是供应商的控股股东或者实际控制人；</w:t>
      </w:r>
    </w:p>
    <w:p w14:paraId="4A175E48">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（4）与供应商的法定代表人或者负责人有夫妻、直系血亲、三代以内旁系血亲或者近姻亲关系；</w:t>
      </w:r>
    </w:p>
    <w:p w14:paraId="14064F57">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（5）与供应商有其他可能影响政府采购活动公平、公正进行的关系。</w:t>
      </w:r>
    </w:p>
    <w:p w14:paraId="05BC1B8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2-3、磋商原则：坚持公平、公正、科学、择优原则，禁止不正当竞争。</w:t>
      </w:r>
    </w:p>
    <w:p w14:paraId="7A22F66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2-4、评审办法：本次磋商采用综合评分法（详见本节评分标准）。</w:t>
      </w:r>
    </w:p>
    <w:p w14:paraId="289EAF25">
      <w:pPr>
        <w:spacing w:line="48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2-5、磋商工作程序：</w:t>
      </w:r>
      <w:r>
        <w:rPr>
          <w:rFonts w:hint="eastAsia" w:ascii="宋体" w:hAnsi="宋体" w:eastAsia="宋体" w:cs="宋体"/>
          <w:sz w:val="24"/>
          <w:szCs w:val="24"/>
        </w:rPr>
        <w:t>以资格审查、符合性审查、澄清、评价、推荐成交候选人的工作程序进行评审。</w:t>
      </w:r>
    </w:p>
    <w:p w14:paraId="6A6C9C12">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2-5-1、资格审查</w:t>
      </w:r>
    </w:p>
    <w:p w14:paraId="13E7BF60">
      <w:pPr>
        <w:shd w:val="clea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由</w:t>
      </w:r>
      <w:r>
        <w:rPr>
          <w:rFonts w:hint="eastAsia" w:ascii="宋体" w:hAnsi="宋体" w:eastAsia="宋体" w:cs="宋体"/>
          <w:b/>
          <w:bCs/>
          <w:sz w:val="24"/>
          <w:szCs w:val="24"/>
          <w:lang w:val="en-US" w:eastAsia="zh-CN"/>
        </w:rPr>
        <w:t>采购人</w:t>
      </w:r>
      <w:r>
        <w:rPr>
          <w:rFonts w:hint="eastAsia" w:ascii="宋体" w:hAnsi="宋体" w:eastAsia="宋体" w:cs="宋体"/>
          <w:b/>
          <w:bCs/>
          <w:sz w:val="24"/>
          <w:szCs w:val="24"/>
        </w:rPr>
        <w:t>依法对供应商的资格进行审查, 审查合格的供应商方可进入下一评审阶段。缺项或一项不符合要求即不合格，不合格的供应商其响应无效。</w:t>
      </w:r>
    </w:p>
    <w:p w14:paraId="4E14D89F">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1.满足《中华人民共和国政府采购法》第二十二条规定;</w:t>
      </w:r>
    </w:p>
    <w:p w14:paraId="4C368C5F">
      <w:pPr>
        <w:spacing w:line="365"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2.落实政府采购政策需满足的资格要求：</w:t>
      </w:r>
      <w:r>
        <w:rPr>
          <w:rFonts w:hint="eastAsia" w:ascii="宋体" w:hAnsi="宋体" w:cs="宋体"/>
          <w:color w:val="auto"/>
          <w:sz w:val="24"/>
          <w:szCs w:val="24"/>
          <w:lang w:val="en-US" w:eastAsia="zh-CN"/>
        </w:rPr>
        <w:t>无</w:t>
      </w:r>
    </w:p>
    <w:p w14:paraId="1DD043D2">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3.本项目的特定资格要求：</w:t>
      </w:r>
    </w:p>
    <w:p w14:paraId="63F2E2FE">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合同包1(千阳县学校互联网光纤接入项目第1包)特定资格要求如下:</w:t>
      </w:r>
    </w:p>
    <w:p w14:paraId="146BDE0C">
      <w:pPr>
        <w:spacing w:line="365"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供应商须提供2023年或2024年度财务审计报告（成立时间至提交投标文件截止时间不足一年的可提供成立后任意时段的资产负债表）或基本存款账户开户银行出具的资信证明、基本存款账户开户许可证（基本存款账户信息）；</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（3）供应商须提供2024年3月至今已缴存的至少一个月的社会保险参保缴费情况证明。</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（4）供应商须提供2024年3月至今缴纳的至少一个月的纳税证明或完税证明，依法免税的单位应提供相关证明材料；</w:t>
      </w:r>
    </w:p>
    <w:p w14:paraId="04930182">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（9）提供具有履行合同所必需的设备和专业技术能力的承诺书；</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（10）供应商须提供有效的基础电信业务经营许可证或增值电信业务经营许可证；</w:t>
      </w:r>
    </w:p>
    <w:p w14:paraId="6EC1467A">
      <w:pPr>
        <w:numPr>
          <w:ilvl w:val="0"/>
          <w:numId w:val="0"/>
        </w:numPr>
        <w:spacing w:line="48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2-5-2、符合性审查</w:t>
      </w:r>
    </w:p>
    <w:p w14:paraId="1CD7220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依据磋商文件的规定，对资格合格者磋商响应文件的有效性，完整性和对磋商文件的响应程度进行审查，以确定是否对磋商文件的实质性内容做出响应，包含但不限于以下内容，未通过审查的按无效投标处理：</w:t>
      </w:r>
    </w:p>
    <w:p w14:paraId="66B7BF3A">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（1）供应商名称与</w:t>
      </w:r>
      <w:r>
        <w:rPr>
          <w:rFonts w:hint="eastAsia" w:ascii="宋体" w:hAnsi="宋体" w:eastAsia="宋体" w:cs="宋体"/>
          <w:sz w:val="24"/>
          <w:szCs w:val="24"/>
          <w:lang w:val="en-US" w:eastAsia="zh-CN"/>
        </w:rPr>
        <w:t>获取</w:t>
      </w:r>
      <w:r>
        <w:rPr>
          <w:rFonts w:hint="eastAsia" w:ascii="宋体" w:hAnsi="宋体" w:eastAsia="宋体" w:cs="宋体"/>
          <w:sz w:val="24"/>
          <w:szCs w:val="24"/>
        </w:rPr>
        <w:t>磋商文件的单位名称</w:t>
      </w:r>
      <w:r>
        <w:rPr>
          <w:rFonts w:hint="eastAsia" w:ascii="宋体" w:hAnsi="宋体" w:eastAsia="宋体" w:cs="宋体"/>
          <w:sz w:val="24"/>
          <w:szCs w:val="24"/>
          <w:lang w:val="en-US" w:eastAsia="zh-CN"/>
        </w:rPr>
        <w:t>是否</w:t>
      </w:r>
      <w:r>
        <w:rPr>
          <w:rFonts w:hint="eastAsia" w:ascii="宋体" w:hAnsi="宋体" w:eastAsia="宋体" w:cs="宋体"/>
          <w:sz w:val="24"/>
          <w:szCs w:val="24"/>
        </w:rPr>
        <w:t>一致；</w:t>
      </w:r>
    </w:p>
    <w:p w14:paraId="3A7045FE">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）磋商响应文件</w:t>
      </w:r>
      <w:r>
        <w:rPr>
          <w:rFonts w:hint="eastAsia" w:ascii="宋体" w:hAnsi="宋体" w:eastAsia="宋体" w:cs="宋体"/>
          <w:sz w:val="24"/>
          <w:szCs w:val="24"/>
          <w:lang w:val="en-US" w:eastAsia="zh-CN"/>
        </w:rPr>
        <w:t>是否</w:t>
      </w:r>
      <w:r>
        <w:rPr>
          <w:rFonts w:hint="eastAsia" w:ascii="宋体" w:hAnsi="宋体" w:eastAsia="宋体" w:cs="宋体"/>
          <w:sz w:val="24"/>
          <w:szCs w:val="24"/>
        </w:rPr>
        <w:t>按照磋商文件的要求盖章签字；</w:t>
      </w:r>
    </w:p>
    <w:p w14:paraId="081F5DDB">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磋商保证金是否按要求提供；</w:t>
      </w:r>
    </w:p>
    <w:p w14:paraId="7A80CA0B">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磋商响应</w:t>
      </w:r>
      <w:r>
        <w:rPr>
          <w:rFonts w:hint="eastAsia" w:ascii="宋体" w:hAnsi="宋体" w:eastAsia="宋体" w:cs="宋体"/>
          <w:sz w:val="24"/>
          <w:szCs w:val="24"/>
        </w:rPr>
        <w:t>内容是否有重大缺漏项；</w:t>
      </w:r>
    </w:p>
    <w:p w14:paraId="5470BAB3">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）磋商报价</w:t>
      </w:r>
      <w:r>
        <w:rPr>
          <w:rFonts w:hint="eastAsia" w:ascii="宋体" w:hAnsi="宋体" w:eastAsia="宋体" w:cs="宋体"/>
          <w:sz w:val="24"/>
          <w:szCs w:val="24"/>
          <w:lang w:val="en-US" w:eastAsia="zh-CN"/>
        </w:rPr>
        <w:t>是否</w:t>
      </w:r>
      <w:r>
        <w:rPr>
          <w:rFonts w:hint="eastAsia" w:ascii="宋体" w:hAnsi="宋体" w:eastAsia="宋体" w:cs="宋体"/>
          <w:sz w:val="24"/>
          <w:szCs w:val="24"/>
        </w:rPr>
        <w:t>超过</w:t>
      </w:r>
      <w:r>
        <w:rPr>
          <w:rFonts w:hint="eastAsia" w:ascii="宋体" w:hAnsi="宋体" w:eastAsia="宋体" w:cs="宋体"/>
          <w:sz w:val="24"/>
          <w:szCs w:val="24"/>
          <w:lang w:val="en-US" w:eastAsia="zh-CN"/>
        </w:rPr>
        <w:t>采购预算或</w:t>
      </w:r>
      <w:r>
        <w:rPr>
          <w:rFonts w:hint="eastAsia" w:ascii="宋体" w:hAnsi="宋体" w:eastAsia="宋体" w:cs="宋体"/>
          <w:sz w:val="24"/>
          <w:szCs w:val="24"/>
          <w:lang w:eastAsia="zh-CN"/>
        </w:rPr>
        <w:t>最高限价</w:t>
      </w:r>
      <w:r>
        <w:rPr>
          <w:rFonts w:hint="eastAsia" w:ascii="宋体" w:hAnsi="宋体" w:eastAsia="宋体" w:cs="宋体"/>
          <w:sz w:val="24"/>
          <w:szCs w:val="24"/>
        </w:rPr>
        <w:t>；</w:t>
      </w:r>
    </w:p>
    <w:p w14:paraId="49E5375A">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）磋商有效期</w:t>
      </w:r>
      <w:r>
        <w:rPr>
          <w:rFonts w:hint="eastAsia" w:ascii="宋体" w:hAnsi="宋体" w:eastAsia="宋体" w:cs="宋体"/>
          <w:sz w:val="24"/>
          <w:szCs w:val="24"/>
          <w:lang w:val="en-US" w:eastAsia="zh-CN"/>
        </w:rPr>
        <w:t>是否</w:t>
      </w:r>
      <w:r>
        <w:rPr>
          <w:rFonts w:hint="eastAsia" w:ascii="宋体" w:hAnsi="宋体" w:eastAsia="宋体" w:cs="宋体"/>
          <w:sz w:val="24"/>
          <w:szCs w:val="24"/>
        </w:rPr>
        <w:t>符合磋商文件的要求；</w:t>
      </w:r>
    </w:p>
    <w:p w14:paraId="26C50D3A">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）对磋商文件商务要求</w:t>
      </w:r>
      <w:r>
        <w:rPr>
          <w:rFonts w:hint="eastAsia" w:ascii="宋体" w:hAnsi="宋体" w:eastAsia="宋体" w:cs="宋体"/>
          <w:sz w:val="24"/>
          <w:szCs w:val="24"/>
          <w:lang w:val="en-US" w:eastAsia="zh-CN"/>
        </w:rPr>
        <w:t>是否</w:t>
      </w:r>
      <w:r>
        <w:rPr>
          <w:rFonts w:hint="eastAsia" w:ascii="宋体" w:hAnsi="宋体" w:eastAsia="宋体" w:cs="宋体"/>
          <w:sz w:val="24"/>
          <w:szCs w:val="24"/>
        </w:rPr>
        <w:t>作出明确且实质性响应；</w:t>
      </w:r>
    </w:p>
    <w:p w14:paraId="13AC94C5">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）磋商响应文件</w:t>
      </w:r>
      <w:r>
        <w:rPr>
          <w:rFonts w:hint="eastAsia" w:ascii="宋体" w:hAnsi="宋体" w:eastAsia="宋体" w:cs="宋体"/>
          <w:sz w:val="24"/>
          <w:szCs w:val="24"/>
          <w:lang w:val="en-US" w:eastAsia="zh-CN"/>
        </w:rPr>
        <w:t>是否</w:t>
      </w:r>
      <w:r>
        <w:rPr>
          <w:rFonts w:hint="eastAsia" w:ascii="宋体" w:hAnsi="宋体" w:eastAsia="宋体" w:cs="宋体"/>
          <w:sz w:val="24"/>
          <w:szCs w:val="24"/>
        </w:rPr>
        <w:t>含有采购人不能接受的附</w:t>
      </w:r>
      <w:r>
        <w:rPr>
          <w:rFonts w:hint="eastAsia" w:ascii="宋体" w:hAnsi="宋体" w:eastAsia="宋体" w:cs="宋体"/>
          <w:sz w:val="24"/>
          <w:szCs w:val="24"/>
          <w:lang w:val="en-US" w:eastAsia="zh-CN"/>
        </w:rPr>
        <w:t>加</w:t>
      </w:r>
      <w:r>
        <w:rPr>
          <w:rFonts w:hint="eastAsia" w:ascii="宋体" w:hAnsi="宋体" w:eastAsia="宋体" w:cs="宋体"/>
          <w:sz w:val="24"/>
          <w:szCs w:val="24"/>
        </w:rPr>
        <w:t>条件；</w:t>
      </w:r>
    </w:p>
    <w:p w14:paraId="1A81A55D">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是否含有</w:t>
      </w:r>
      <w:r>
        <w:rPr>
          <w:rFonts w:hint="eastAsia" w:ascii="宋体" w:hAnsi="宋体" w:eastAsia="宋体" w:cs="宋体"/>
          <w:sz w:val="24"/>
          <w:szCs w:val="24"/>
        </w:rPr>
        <w:t>法律、法规和磋商文件规定的其他无效响应情形。</w:t>
      </w:r>
    </w:p>
    <w:p w14:paraId="71C2027C">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2-5-3、竞争性磋商响应文件的澄清：</w:t>
      </w:r>
    </w:p>
    <w:p w14:paraId="38EE0770">
      <w:pPr>
        <w:overflowPunct w:val="0"/>
        <w:adjustRightInd w:val="0"/>
        <w:snapToGrid w:val="0"/>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361E93">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（2）书写错误的评审标准：</w:t>
      </w:r>
    </w:p>
    <w:p w14:paraId="580A798E">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磋商小组在评审过程中，发现竞争性磋商响应文件出现下列情况之一者，按以下原则修正：</w:t>
      </w:r>
    </w:p>
    <w:p w14:paraId="3A041D4A">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a、磋商响应文件有关内容与“磋商报价一览表”不一致的，以“磋商报价一览表”为准；</w:t>
      </w:r>
    </w:p>
    <w:p w14:paraId="64A4D2DA">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b、大写金额与小写金额不一致的，以大写金额为准；</w:t>
      </w:r>
    </w:p>
    <w:p w14:paraId="29E7E7F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c、单价金额小数点或者百分比有明显错位的，以“磋商报价一览表”的总价为准，并修改单价；</w:t>
      </w:r>
    </w:p>
    <w:p w14:paraId="67B86DF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d、总价金额与按单价汇总金额不一致的，以单价乘以数量的计算结果为准；</w:t>
      </w:r>
    </w:p>
    <w:p w14:paraId="6FCA389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e、磋商响应文件图表与文字不符时，以文字为准；</w:t>
      </w:r>
    </w:p>
    <w:p w14:paraId="21D08BE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f、对不同文字文本磋商响应文件的解释发生异议的，以中文文本为准；</w:t>
      </w:r>
    </w:p>
    <w:p w14:paraId="374FCEA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g、多处内容交叉不符时，以磋商小组评审结果为准。</w:t>
      </w:r>
    </w:p>
    <w:p w14:paraId="2BD5997B">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注：按上述方法修正的内容（其中，同时出现上述a至d两种以上不一致的，按上述规定的顺序修正），经供应商确认后产生约束力，供应商不确认的，其磋商响应无效。</w:t>
      </w:r>
    </w:p>
    <w:p w14:paraId="6857563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（3）磋商小组认为供应商的报价明显低于其他通过符合性审查供应商的报价，有可能影响</w:t>
      </w:r>
      <w:r>
        <w:rPr>
          <w:rFonts w:hint="eastAsia" w:ascii="宋体" w:hAnsi="宋体" w:eastAsia="宋体" w:cs="宋体"/>
          <w:sz w:val="24"/>
          <w:szCs w:val="24"/>
          <w:lang w:eastAsia="zh-CN"/>
        </w:rPr>
        <w:t>服务</w:t>
      </w:r>
      <w:r>
        <w:rPr>
          <w:rFonts w:hint="eastAsia" w:ascii="宋体" w:hAnsi="宋体" w:eastAsia="宋体" w:cs="宋体"/>
          <w:sz w:val="24"/>
          <w:szCs w:val="24"/>
        </w:rPr>
        <w:t>质量或者不能诚信履约的，应当要求其在评审现场合理的时间内提供书面说明，必要时提交相关证明材料；供应商不能证明其报价合理性的，磋商小组应当将其作为无效磋商响应处理。</w:t>
      </w:r>
    </w:p>
    <w:p w14:paraId="52529192">
      <w:pPr>
        <w:spacing w:line="480" w:lineRule="exact"/>
        <w:ind w:firstLine="465"/>
        <w:rPr>
          <w:rFonts w:hint="eastAsia" w:ascii="宋体" w:hAnsi="宋体" w:eastAsia="宋体" w:cs="宋体"/>
          <w:sz w:val="24"/>
          <w:szCs w:val="24"/>
        </w:rPr>
      </w:pPr>
      <w:r>
        <w:rPr>
          <w:rFonts w:hint="eastAsia" w:ascii="宋体" w:hAnsi="宋体" w:eastAsia="宋体" w:cs="宋体"/>
          <w:sz w:val="24"/>
          <w:szCs w:val="24"/>
        </w:rPr>
        <w:t>2-5-4、评议：</w:t>
      </w:r>
    </w:p>
    <w:p w14:paraId="72DCF06B">
      <w:pPr>
        <w:spacing w:line="480" w:lineRule="exact"/>
        <w:ind w:firstLine="465"/>
        <w:rPr>
          <w:rFonts w:hint="eastAsia" w:ascii="宋体" w:hAnsi="宋体" w:eastAsia="宋体" w:cs="宋体"/>
          <w:sz w:val="24"/>
          <w:szCs w:val="24"/>
        </w:rPr>
      </w:pPr>
      <w:r>
        <w:rPr>
          <w:rFonts w:hint="eastAsia" w:ascii="宋体" w:hAnsi="宋体" w:eastAsia="宋体" w:cs="宋体"/>
          <w:sz w:val="24"/>
          <w:szCs w:val="24"/>
        </w:rPr>
        <w:t>（1）磋商小组评审竞争性磋商响应文件响应性及符合性只根据竞争性磋商响应文件本身的内容，而不寻求其他外部证据。</w:t>
      </w:r>
    </w:p>
    <w:p w14:paraId="58F2B50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（2）磋商小组所有成员应当集中与单一投标供应商分别</w:t>
      </w:r>
      <w:r>
        <w:rPr>
          <w:rFonts w:hint="eastAsia" w:ascii="宋体" w:hAnsi="宋体" w:eastAsia="宋体" w:cs="宋体"/>
          <w:sz w:val="24"/>
          <w:szCs w:val="24"/>
          <w:lang w:eastAsia="zh-CN"/>
        </w:rPr>
        <w:t>在线</w:t>
      </w:r>
      <w:r>
        <w:rPr>
          <w:rFonts w:hint="eastAsia" w:ascii="宋体" w:hAnsi="宋体" w:eastAsia="宋体" w:cs="宋体"/>
          <w:sz w:val="24"/>
          <w:szCs w:val="24"/>
        </w:rPr>
        <w:t>进行磋商，并给予所有参加磋商的供应商平等的磋商机会。</w:t>
      </w:r>
    </w:p>
    <w:p w14:paraId="3EFBB99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（3）在磋商过程中，磋商小组可以根据磋商文件和磋商情况实质性变动采购需求中的技术、服务要求以及合同草案条款，但不得变动磋商文件中的其他内容。实质性变动的内容，须经采购人代表确认。</w:t>
      </w:r>
    </w:p>
    <w:p w14:paraId="51843DB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在线</w:t>
      </w:r>
      <w:r>
        <w:rPr>
          <w:rFonts w:hint="eastAsia" w:ascii="宋体" w:hAnsi="宋体" w:eastAsia="宋体" w:cs="宋体"/>
          <w:sz w:val="24"/>
          <w:szCs w:val="24"/>
        </w:rPr>
        <w:t>磋商结束后，磋商小组应当要求所有实质性响应的供应商在规定时间内提交最后报价。</w:t>
      </w:r>
      <w:r>
        <w:rPr>
          <w:rFonts w:hint="eastAsia" w:ascii="宋体" w:hAnsi="宋体" w:eastAsia="宋体" w:cs="宋体"/>
          <w:b/>
          <w:bCs/>
          <w:sz w:val="24"/>
          <w:szCs w:val="24"/>
        </w:rPr>
        <w:t>供应商须用数字认证证书（CA锁）登陆系统进行最后报价，在线</w:t>
      </w:r>
      <w:r>
        <w:rPr>
          <w:rFonts w:hint="eastAsia" w:ascii="宋体" w:hAnsi="宋体" w:eastAsia="宋体" w:cs="宋体"/>
          <w:b/>
          <w:bCs/>
          <w:sz w:val="24"/>
          <w:szCs w:val="24"/>
          <w:lang w:eastAsia="zh-CN"/>
        </w:rPr>
        <w:t>签章</w:t>
      </w:r>
      <w:r>
        <w:rPr>
          <w:rFonts w:hint="eastAsia" w:ascii="宋体" w:hAnsi="宋体" w:eastAsia="宋体" w:cs="宋体"/>
          <w:b/>
          <w:bCs/>
          <w:sz w:val="24"/>
          <w:szCs w:val="24"/>
        </w:rPr>
        <w:t>提交最终报价</w:t>
      </w:r>
      <w:r>
        <w:rPr>
          <w:rFonts w:hint="eastAsia" w:ascii="宋体" w:hAnsi="宋体" w:eastAsia="宋体" w:cs="宋体"/>
          <w:b/>
          <w:bCs/>
          <w:sz w:val="24"/>
          <w:szCs w:val="24"/>
          <w:lang w:eastAsia="zh-CN"/>
        </w:rPr>
        <w:t>，</w:t>
      </w:r>
      <w:r>
        <w:rPr>
          <w:rFonts w:hint="eastAsia" w:ascii="宋体" w:hAnsi="宋体" w:eastAsia="宋体" w:cs="宋体"/>
          <w:sz w:val="24"/>
          <w:szCs w:val="24"/>
        </w:rPr>
        <w:t>系统按照评审规则自动计分。</w:t>
      </w:r>
    </w:p>
    <w:p w14:paraId="4CCF3821">
      <w:pPr>
        <w:spacing w:line="480" w:lineRule="exact"/>
        <w:ind w:firstLine="465"/>
        <w:rPr>
          <w:rFonts w:hint="eastAsia" w:ascii="宋体" w:hAnsi="宋体" w:eastAsia="宋体" w:cs="宋体"/>
          <w:sz w:val="24"/>
          <w:szCs w:val="24"/>
        </w:rPr>
      </w:pPr>
      <w:r>
        <w:rPr>
          <w:rFonts w:hint="eastAsia" w:ascii="宋体" w:hAnsi="宋体" w:eastAsia="宋体" w:cs="宋体"/>
          <w:sz w:val="24"/>
          <w:szCs w:val="24"/>
        </w:rPr>
        <w:t>（5）评审采取逐项分步评审方式，每一步评审不符合者，按无效投标处理，不进入下一步评审。经磋商确定最终采购需求和提交最后报价后，由磋商小组采用综合评分法对提交最后报价的供应商的响应文件和最后报价进行综合评分。</w:t>
      </w:r>
    </w:p>
    <w:p w14:paraId="653A964F">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（6）其他需说明的情况：</w:t>
      </w:r>
    </w:p>
    <w:p w14:paraId="2886A20B">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a、对于竞争性磋商响应文件中不构成实质性偏差的小的不正规、不一致或不规则，采购人可以接受，但这种接受不能损害或影响任何供应商的相对排序；</w:t>
      </w:r>
    </w:p>
    <w:p w14:paraId="4B4F68B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b、最低报价不是成交的唯一条件；</w:t>
      </w:r>
    </w:p>
    <w:p w14:paraId="1EB382C5">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c、如果磋商响应实质上没有响应竞争性磋商文件的要求，其磋商响应将被拒绝，供应商不得通过修正或撤</w:t>
      </w:r>
      <w:r>
        <w:rPr>
          <w:rFonts w:hint="eastAsia" w:ascii="宋体" w:hAnsi="宋体" w:eastAsia="宋体" w:cs="宋体"/>
          <w:sz w:val="24"/>
          <w:szCs w:val="24"/>
          <w:lang w:val="en-US" w:eastAsia="zh-CN"/>
        </w:rPr>
        <w:t>销</w:t>
      </w:r>
      <w:r>
        <w:rPr>
          <w:rFonts w:hint="eastAsia" w:ascii="宋体" w:hAnsi="宋体" w:eastAsia="宋体" w:cs="宋体"/>
          <w:sz w:val="24"/>
          <w:szCs w:val="24"/>
        </w:rPr>
        <w:t>不合要求的偏离或保留从而使其磋商响应成为实质上响应的磋商响应。</w:t>
      </w:r>
    </w:p>
    <w:p w14:paraId="10B7A30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d、无论磋商的结果如何，磋商期间一切费用自理。</w:t>
      </w:r>
    </w:p>
    <w:p w14:paraId="51FEC590">
      <w:pPr>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sz w:val="24"/>
          <w:szCs w:val="24"/>
        </w:rPr>
        <w:t>2-6、评分标准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7975"/>
      </w:tblGrid>
      <w:tr w14:paraId="2C32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noWrap w:val="0"/>
            <w:vAlign w:val="center"/>
          </w:tcPr>
          <w:p w14:paraId="383C5421">
            <w:pPr>
              <w:spacing w:line="480" w:lineRule="exact"/>
              <w:ind w:left="-157" w:leftChars="-56" w:right="-126"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报价</w:t>
            </w:r>
          </w:p>
          <w:p w14:paraId="5B6366D2">
            <w:pPr>
              <w:spacing w:line="480" w:lineRule="exact"/>
              <w:ind w:left="-157" w:leftChars="-56" w:right="-126" w:rightChars="-45"/>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7975" w:type="dxa"/>
            <w:noWrap w:val="0"/>
            <w:vAlign w:val="center"/>
          </w:tcPr>
          <w:p w14:paraId="0ADEB197">
            <w:pPr>
              <w:adjustRightInd w:val="0"/>
              <w:snapToGrid w:val="0"/>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满足磋商文件要求且最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val="zh-CN" w:eastAsia="zh-CN"/>
              </w:rPr>
              <w:t>报价最低的供应商的价格为磋商基准价。各供应商的价格分统一按照下列公式计算：磋商报价得分=（磋商基准价/最后磋商报价）×</w:t>
            </w:r>
            <w:r>
              <w:rPr>
                <w:rFonts w:hint="eastAsia" w:ascii="宋体" w:hAnsi="宋体" w:eastAsia="宋体" w:cs="宋体"/>
                <w:color w:val="auto"/>
                <w:sz w:val="24"/>
                <w:szCs w:val="24"/>
                <w:lang w:val="en-US" w:eastAsia="zh-CN"/>
              </w:rPr>
              <w:t>价格权重(20%)</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100</w:t>
            </w:r>
          </w:p>
          <w:p w14:paraId="7AAC9C52">
            <w:pPr>
              <w:spacing w:line="365"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注：（1）根据《政府采购促进中小企业发展管理办法》、财库〔2022〕19号的相关规定，</w:t>
            </w:r>
            <w:r>
              <w:rPr>
                <w:rFonts w:hint="eastAsia" w:ascii="宋体" w:hAnsi="宋体" w:eastAsia="宋体" w:cs="宋体"/>
                <w:i w:val="0"/>
                <w:iCs w:val="0"/>
                <w:caps w:val="0"/>
                <w:color w:val="auto"/>
                <w:spacing w:val="0"/>
                <w:sz w:val="24"/>
                <w:szCs w:val="24"/>
                <w:shd w:val="clear" w:fill="FFFFFF"/>
              </w:rPr>
              <w:t>在服务采购项目中，服务由中小企业承接</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其</w:t>
            </w:r>
            <w:r>
              <w:rPr>
                <w:rFonts w:hint="eastAsia" w:ascii="宋体" w:hAnsi="宋体" w:eastAsia="宋体" w:cs="宋体"/>
                <w:snapToGrid w:val="0"/>
                <w:color w:val="auto"/>
                <w:kern w:val="0"/>
                <w:sz w:val="24"/>
                <w:szCs w:val="24"/>
                <w:highlight w:val="none"/>
                <w:lang w:val="en-US" w:eastAsia="zh-CN" w:bidi="ar-SA"/>
              </w:rPr>
              <w:t>报价给予10％的扣除，用扣除后的价格参与评审。</w:t>
            </w:r>
          </w:p>
          <w:p w14:paraId="3D5272CC">
            <w:pPr>
              <w:spacing w:line="365"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（2）根据财库[2014]68 号《财政部司法部关于政府采购支持监狱企业发展有关问题的通知》规定，在政府采购活动中，监狱企业视同小型、微型企业，享受预留份额、评审中价格扣除等政府采购促进中小企业发展的政府采购政策。其报价给予10％的扣除，用扣除后的价格参与报价计算。</w:t>
            </w:r>
          </w:p>
          <w:p w14:paraId="288ADCD4">
            <w:pPr>
              <w:spacing w:line="365"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其报价给予 10％的扣除，用扣除后的价格参与投标报价计算。</w:t>
            </w:r>
          </w:p>
          <w:p w14:paraId="49AB1922">
            <w:pPr>
              <w:pStyle w:val="11"/>
              <w:rPr>
                <w:rFonts w:hint="eastAsia" w:ascii="宋体" w:hAnsi="宋体" w:eastAsia="宋体" w:cs="宋体"/>
                <w:lang w:val="en-US"/>
              </w:rPr>
            </w:pPr>
            <w:r>
              <w:rPr>
                <w:rFonts w:hint="eastAsia" w:ascii="宋体" w:hAnsi="宋体" w:eastAsia="宋体" w:cs="宋体"/>
                <w:snapToGrid w:val="0"/>
                <w:color w:val="auto"/>
                <w:kern w:val="0"/>
                <w:sz w:val="24"/>
                <w:szCs w:val="24"/>
                <w:highlight w:val="none"/>
                <w:lang w:val="en-US" w:eastAsia="zh-CN" w:bidi="ar-SA"/>
              </w:rPr>
              <w:t>小型、微型企业、监狱企业、残疾人福利性单位以上政策同时具备的仅对其进行一次10%的价格扣除，不重复扣除。</w:t>
            </w:r>
          </w:p>
        </w:tc>
      </w:tr>
      <w:tr w14:paraId="7338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restart"/>
            <w:shd w:val="clear" w:color="auto" w:fill="auto"/>
            <w:noWrap w:val="0"/>
            <w:vAlign w:val="center"/>
          </w:tcPr>
          <w:p w14:paraId="33B63C0E">
            <w:pPr>
              <w:numPr>
                <w:ilvl w:val="0"/>
                <w:numId w:val="0"/>
              </w:numPr>
              <w:adjustRightInd w:val="0"/>
              <w:snapToGrid w:val="0"/>
              <w:spacing w:line="360" w:lineRule="auto"/>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实施方案（15 分）</w:t>
            </w:r>
          </w:p>
          <w:p w14:paraId="02341683">
            <w:pPr>
              <w:spacing w:line="440" w:lineRule="exact"/>
              <w:rPr>
                <w:rFonts w:hint="eastAsia" w:ascii="宋体" w:hAnsi="宋体" w:eastAsia="宋体" w:cs="宋体"/>
                <w:color w:val="auto"/>
                <w:sz w:val="24"/>
                <w:szCs w:val="24"/>
                <w:lang w:eastAsia="zh-CN"/>
              </w:rPr>
            </w:pPr>
          </w:p>
        </w:tc>
        <w:tc>
          <w:tcPr>
            <w:tcW w:w="7975" w:type="dxa"/>
            <w:shd w:val="clear" w:color="auto" w:fill="auto"/>
            <w:noWrap w:val="0"/>
            <w:vAlign w:val="center"/>
          </w:tcPr>
          <w:p w14:paraId="53BD95AF">
            <w:pPr>
              <w:numPr>
                <w:ilvl w:val="0"/>
                <w:numId w:val="0"/>
              </w:numPr>
              <w:adjustRightInd w:val="0"/>
              <w:snapToGrid w:val="0"/>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1、对采购人提出的各项服务内容提供具体详细的实施方案，方案总体思路</w:t>
            </w:r>
            <w:r>
              <w:rPr>
                <w:rFonts w:hint="eastAsia" w:ascii="宋体" w:hAnsi="宋体" w:cs="宋体"/>
                <w:color w:val="auto"/>
                <w:kern w:val="2"/>
                <w:sz w:val="24"/>
                <w:szCs w:val="24"/>
                <w:lang w:val="en-US" w:eastAsia="zh-CN" w:bidi="ar-SA"/>
              </w:rPr>
              <w:t>描述：思路清晰计分3-5分；思路基本清晰计分1-3分；未描述不得分。</w:t>
            </w:r>
          </w:p>
        </w:tc>
      </w:tr>
      <w:tr w14:paraId="72AD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continue"/>
            <w:shd w:val="clear" w:color="auto" w:fill="auto"/>
            <w:noWrap w:val="0"/>
            <w:vAlign w:val="center"/>
          </w:tcPr>
          <w:p w14:paraId="30A32D1B">
            <w:pPr>
              <w:spacing w:line="440" w:lineRule="exact"/>
              <w:rPr>
                <w:rFonts w:hint="eastAsia" w:ascii="宋体" w:hAnsi="宋体" w:eastAsia="宋体" w:cs="宋体"/>
                <w:color w:val="auto"/>
                <w:sz w:val="24"/>
                <w:szCs w:val="24"/>
                <w:lang w:eastAsia="zh-CN"/>
              </w:rPr>
            </w:pPr>
          </w:p>
        </w:tc>
        <w:tc>
          <w:tcPr>
            <w:tcW w:w="7975" w:type="dxa"/>
            <w:shd w:val="clear" w:color="auto" w:fill="auto"/>
            <w:noWrap w:val="0"/>
            <w:vAlign w:val="center"/>
          </w:tcPr>
          <w:p w14:paraId="1A0012D4">
            <w:pPr>
              <w:numPr>
                <w:ilvl w:val="0"/>
                <w:numId w:val="0"/>
              </w:numPr>
              <w:adjustRightInd w:val="0"/>
              <w:snapToGrid w:val="0"/>
              <w:spacing w:line="360" w:lineRule="auto"/>
              <w:jc w:val="left"/>
              <w:textAlignment w:val="baseline"/>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2、实施方法及工作安排</w:t>
            </w:r>
            <w:r>
              <w:rPr>
                <w:rFonts w:hint="eastAsia" w:ascii="宋体" w:hAnsi="宋体" w:cs="宋体"/>
                <w:color w:val="auto"/>
                <w:kern w:val="2"/>
                <w:sz w:val="24"/>
                <w:szCs w:val="24"/>
                <w:lang w:val="en-US" w:eastAsia="zh-CN" w:bidi="ar-SA"/>
              </w:rPr>
              <w:t>：方法及工作安排合理计分3-5分；方案及工作安排欠缺计分1-3分；未描述不得分。</w:t>
            </w:r>
          </w:p>
        </w:tc>
      </w:tr>
      <w:tr w14:paraId="44E6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continue"/>
            <w:shd w:val="clear" w:color="auto" w:fill="auto"/>
            <w:noWrap w:val="0"/>
            <w:vAlign w:val="center"/>
          </w:tcPr>
          <w:p w14:paraId="32CAAA90">
            <w:pPr>
              <w:spacing w:line="440" w:lineRule="exact"/>
              <w:rPr>
                <w:rFonts w:hint="eastAsia" w:ascii="宋体" w:hAnsi="宋体" w:eastAsia="宋体" w:cs="宋体"/>
                <w:color w:val="auto"/>
                <w:sz w:val="24"/>
                <w:szCs w:val="24"/>
                <w:lang w:eastAsia="zh-CN"/>
              </w:rPr>
            </w:pPr>
          </w:p>
        </w:tc>
        <w:tc>
          <w:tcPr>
            <w:tcW w:w="7975" w:type="dxa"/>
            <w:shd w:val="clear" w:color="auto" w:fill="auto"/>
            <w:noWrap w:val="0"/>
            <w:vAlign w:val="center"/>
          </w:tcPr>
          <w:p w14:paraId="2ACFBB68">
            <w:pPr>
              <w:numPr>
                <w:ilvl w:val="0"/>
                <w:numId w:val="0"/>
              </w:numPr>
              <w:adjustRightInd w:val="0"/>
              <w:snapToGrid w:val="0"/>
              <w:spacing w:line="360" w:lineRule="auto"/>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3、方案</w:t>
            </w:r>
            <w:r>
              <w:rPr>
                <w:rFonts w:hint="eastAsia" w:ascii="宋体" w:hAnsi="宋体" w:eastAsia="宋体" w:cs="宋体"/>
                <w:color w:val="auto"/>
                <w:kern w:val="2"/>
                <w:sz w:val="24"/>
                <w:szCs w:val="24"/>
                <w:lang w:val="en-US" w:eastAsia="zh-CN" w:bidi="ar-SA"/>
              </w:rPr>
              <w:t>涵盖内容</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涵盖内容全面，符合</w:t>
            </w:r>
            <w:r>
              <w:rPr>
                <w:rFonts w:hint="eastAsia" w:ascii="宋体" w:hAnsi="宋体" w:cs="宋体"/>
                <w:color w:val="auto"/>
                <w:kern w:val="2"/>
                <w:sz w:val="24"/>
                <w:szCs w:val="24"/>
                <w:lang w:val="en-US" w:eastAsia="zh-CN" w:bidi="ar-SA"/>
              </w:rPr>
              <w:t>需求</w:t>
            </w:r>
            <w:r>
              <w:rPr>
                <w:rFonts w:hint="eastAsia" w:ascii="宋体" w:hAnsi="宋体" w:eastAsia="宋体" w:cs="宋体"/>
                <w:color w:val="auto"/>
                <w:kern w:val="2"/>
                <w:sz w:val="24"/>
                <w:szCs w:val="24"/>
                <w:lang w:val="en-US" w:eastAsia="zh-CN" w:bidi="ar-SA"/>
              </w:rPr>
              <w:t>目的</w:t>
            </w:r>
            <w:r>
              <w:rPr>
                <w:rFonts w:hint="eastAsia" w:ascii="宋体" w:hAnsi="宋体" w:cs="宋体"/>
                <w:color w:val="auto"/>
                <w:kern w:val="2"/>
                <w:sz w:val="24"/>
                <w:szCs w:val="24"/>
                <w:lang w:val="en-US" w:eastAsia="zh-CN" w:bidi="ar-SA"/>
              </w:rPr>
              <w:t>计3-5分</w:t>
            </w:r>
            <w:r>
              <w:rPr>
                <w:rFonts w:hint="eastAsia" w:ascii="宋体" w:hAnsi="宋体" w:eastAsia="宋体" w:cs="宋体"/>
                <w:color w:val="auto"/>
                <w:kern w:val="2"/>
                <w:sz w:val="24"/>
                <w:szCs w:val="24"/>
                <w:lang w:val="en-US" w:eastAsia="zh-CN" w:bidi="ar-SA"/>
              </w:rPr>
              <w:t>；涵盖内容不够全面，与项</w:t>
            </w:r>
            <w:r>
              <w:rPr>
                <w:rFonts w:hint="eastAsia" w:ascii="宋体" w:hAnsi="宋体" w:cs="宋体"/>
                <w:color w:val="auto"/>
                <w:kern w:val="2"/>
                <w:sz w:val="24"/>
                <w:szCs w:val="24"/>
                <w:lang w:val="en-US" w:eastAsia="zh-CN" w:bidi="ar-SA"/>
              </w:rPr>
              <w:t>目</w:t>
            </w:r>
            <w:r>
              <w:rPr>
                <w:rFonts w:hint="eastAsia" w:ascii="宋体" w:hAnsi="宋体" w:eastAsia="宋体" w:cs="宋体"/>
                <w:color w:val="auto"/>
                <w:kern w:val="2"/>
                <w:sz w:val="24"/>
                <w:szCs w:val="24"/>
                <w:lang w:val="en-US" w:eastAsia="zh-CN" w:bidi="ar-SA"/>
              </w:rPr>
              <w:t>目的有偏差的</w:t>
            </w:r>
            <w:r>
              <w:rPr>
                <w:rFonts w:hint="eastAsia" w:ascii="宋体" w:hAnsi="宋体" w:cs="宋体"/>
                <w:color w:val="auto"/>
                <w:kern w:val="2"/>
                <w:sz w:val="24"/>
                <w:szCs w:val="24"/>
                <w:lang w:val="en-US" w:eastAsia="zh-CN" w:bidi="ar-SA"/>
              </w:rPr>
              <w:t>计1-3分；未描述不得分</w:t>
            </w:r>
            <w:r>
              <w:rPr>
                <w:rFonts w:hint="eastAsia" w:ascii="宋体" w:hAnsi="宋体" w:eastAsia="宋体" w:cs="宋体"/>
                <w:color w:val="auto"/>
                <w:kern w:val="2"/>
                <w:sz w:val="24"/>
                <w:szCs w:val="24"/>
                <w:lang w:val="en-US" w:eastAsia="zh-CN" w:bidi="ar-SA"/>
              </w:rPr>
              <w:t>。</w:t>
            </w:r>
          </w:p>
        </w:tc>
      </w:tr>
      <w:tr w14:paraId="1E0C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shd w:val="clear" w:color="auto" w:fill="auto"/>
            <w:noWrap w:val="0"/>
            <w:vAlign w:val="center"/>
          </w:tcPr>
          <w:p w14:paraId="0FCDD107">
            <w:pPr>
              <w:numPr>
                <w:ilvl w:val="0"/>
                <w:numId w:val="0"/>
              </w:numPr>
              <w:adjustRightInd w:val="0"/>
              <w:snapToGrid w:val="0"/>
              <w:spacing w:line="360" w:lineRule="auto"/>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关键点、重难点分析（</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 xml:space="preserve"> 分）</w:t>
            </w:r>
          </w:p>
          <w:p w14:paraId="5F291C6F">
            <w:pPr>
              <w:spacing w:line="440" w:lineRule="exact"/>
              <w:rPr>
                <w:rFonts w:hint="eastAsia" w:ascii="宋体" w:hAnsi="宋体" w:eastAsia="宋体" w:cs="宋体"/>
                <w:color w:val="auto"/>
                <w:sz w:val="24"/>
                <w:szCs w:val="24"/>
                <w:lang w:eastAsia="zh-CN"/>
              </w:rPr>
            </w:pPr>
          </w:p>
        </w:tc>
        <w:tc>
          <w:tcPr>
            <w:tcW w:w="7975" w:type="dxa"/>
            <w:shd w:val="clear" w:color="auto" w:fill="auto"/>
            <w:noWrap w:val="0"/>
            <w:vAlign w:val="center"/>
          </w:tcPr>
          <w:p w14:paraId="0693C2E6">
            <w:pPr>
              <w:numPr>
                <w:ilvl w:val="0"/>
                <w:numId w:val="0"/>
              </w:numPr>
              <w:adjustRightInd w:val="0"/>
              <w:snapToGrid w:val="0"/>
              <w:spacing w:line="360" w:lineRule="auto"/>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正确识别本项目关键点及重难点，逐条列出且分析</w:t>
            </w:r>
            <w:r>
              <w:rPr>
                <w:rFonts w:hint="eastAsia" w:ascii="宋体" w:hAnsi="宋体" w:cs="宋体"/>
                <w:color w:val="auto"/>
                <w:kern w:val="2"/>
                <w:sz w:val="24"/>
                <w:szCs w:val="24"/>
                <w:lang w:val="en-US" w:eastAsia="zh-CN" w:bidi="ar-SA"/>
              </w:rPr>
              <w:t>及解决：</w:t>
            </w:r>
          </w:p>
          <w:p w14:paraId="06670DCD">
            <w:pPr>
              <w:numPr>
                <w:ilvl w:val="0"/>
                <w:numId w:val="0"/>
              </w:numPr>
              <w:adjustRightInd w:val="0"/>
              <w:snapToGrid w:val="0"/>
              <w:spacing w:line="360" w:lineRule="auto"/>
              <w:jc w:val="left"/>
              <w:textAlignment w:val="baseline"/>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全面列出且分析</w:t>
            </w:r>
            <w:r>
              <w:rPr>
                <w:rFonts w:hint="eastAsia" w:ascii="宋体" w:hAnsi="宋体" w:eastAsia="宋体" w:cs="宋体"/>
                <w:color w:val="auto"/>
                <w:kern w:val="2"/>
                <w:sz w:val="24"/>
                <w:szCs w:val="24"/>
                <w:lang w:val="en-US" w:eastAsia="zh-CN" w:bidi="ar-SA"/>
              </w:rPr>
              <w:t>全面、具体、透彻，解决对策针对性强的</w:t>
            </w:r>
            <w:r>
              <w:rPr>
                <w:rFonts w:hint="eastAsia" w:ascii="宋体" w:hAnsi="宋体" w:cs="宋体"/>
                <w:color w:val="auto"/>
                <w:kern w:val="2"/>
                <w:sz w:val="24"/>
                <w:szCs w:val="24"/>
                <w:lang w:val="en-US" w:eastAsia="zh-CN" w:bidi="ar-SA"/>
              </w:rPr>
              <w:t>计分7</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 xml:space="preserve"> 分；</w:t>
            </w:r>
          </w:p>
          <w:p w14:paraId="7E102520">
            <w:pPr>
              <w:numPr>
                <w:ilvl w:val="0"/>
                <w:numId w:val="0"/>
              </w:numPr>
              <w:adjustRightInd w:val="0"/>
              <w:snapToGrid w:val="0"/>
              <w:spacing w:line="360" w:lineRule="auto"/>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对关键点、重难点的分析较全面，但不够具体和透彻，解决对策较合理可行的</w:t>
            </w:r>
            <w:r>
              <w:rPr>
                <w:rFonts w:hint="eastAsia" w:ascii="宋体" w:hAnsi="宋体" w:cs="宋体"/>
                <w:color w:val="auto"/>
                <w:kern w:val="2"/>
                <w:sz w:val="24"/>
                <w:szCs w:val="24"/>
                <w:lang w:val="en-US" w:eastAsia="zh-CN" w:bidi="ar-SA"/>
              </w:rPr>
              <w:t>计4</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w:t>
            </w:r>
          </w:p>
          <w:p w14:paraId="2E5B675D">
            <w:pPr>
              <w:numPr>
                <w:ilvl w:val="0"/>
                <w:numId w:val="0"/>
              </w:numPr>
              <w:adjustRightInd w:val="0"/>
              <w:snapToGrid w:val="0"/>
              <w:spacing w:line="360" w:lineRule="auto"/>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有关键点、重难点分析及解决对策，但描述不具体的</w:t>
            </w:r>
            <w:r>
              <w:rPr>
                <w:rFonts w:hint="eastAsia" w:ascii="宋体" w:hAnsi="宋体" w:cs="宋体"/>
                <w:color w:val="auto"/>
                <w:kern w:val="2"/>
                <w:sz w:val="24"/>
                <w:szCs w:val="24"/>
                <w:lang w:val="en-US" w:eastAsia="zh-CN" w:bidi="ar-SA"/>
              </w:rPr>
              <w:t>计</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 xml:space="preserve"> 分。</w:t>
            </w:r>
          </w:p>
          <w:p w14:paraId="1EF14B18">
            <w:pPr>
              <w:numPr>
                <w:ilvl w:val="0"/>
                <w:numId w:val="0"/>
              </w:numPr>
              <w:adjustRightInd w:val="0"/>
              <w:snapToGrid w:val="0"/>
              <w:spacing w:line="360" w:lineRule="auto"/>
              <w:jc w:val="left"/>
              <w:textAlignment w:val="baseline"/>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未提供不得分</w:t>
            </w:r>
          </w:p>
        </w:tc>
      </w:tr>
      <w:tr w14:paraId="0AA1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shd w:val="clear" w:color="auto" w:fill="auto"/>
            <w:noWrap w:val="0"/>
            <w:vAlign w:val="center"/>
          </w:tcPr>
          <w:p w14:paraId="157B2790">
            <w:pPr>
              <w:numPr>
                <w:ilvl w:val="0"/>
                <w:numId w:val="0"/>
              </w:numPr>
              <w:adjustRightInd w:val="0"/>
              <w:snapToGrid w:val="0"/>
              <w:spacing w:line="360" w:lineRule="auto"/>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管理措施及制度（15分）</w:t>
            </w:r>
          </w:p>
          <w:p w14:paraId="1991F0B5">
            <w:pPr>
              <w:spacing w:line="440" w:lineRule="exact"/>
              <w:rPr>
                <w:rFonts w:hint="eastAsia" w:ascii="宋体" w:hAnsi="宋体" w:eastAsia="宋体" w:cs="宋体"/>
                <w:color w:val="auto"/>
                <w:sz w:val="24"/>
                <w:szCs w:val="24"/>
                <w:lang w:eastAsia="zh-CN"/>
              </w:rPr>
            </w:pPr>
          </w:p>
        </w:tc>
        <w:tc>
          <w:tcPr>
            <w:tcW w:w="7975" w:type="dxa"/>
            <w:shd w:val="clear" w:color="auto" w:fill="auto"/>
            <w:noWrap w:val="0"/>
            <w:vAlign w:val="center"/>
          </w:tcPr>
          <w:p w14:paraId="388F3540">
            <w:pPr>
              <w:numPr>
                <w:ilvl w:val="0"/>
                <w:numId w:val="0"/>
              </w:numPr>
              <w:adjustRightInd w:val="0"/>
              <w:snapToGrid w:val="0"/>
              <w:spacing w:line="360" w:lineRule="auto"/>
              <w:jc w:val="left"/>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1、项目管理措施完善、规范，能有效地保障项目实施过程的衔接、保证项目质量：措施内容描述全面详细计分3-5分，措施内容描述简单计分1-3分；未提供不得分。</w:t>
            </w:r>
          </w:p>
          <w:p w14:paraId="7BDE6B86">
            <w:pPr>
              <w:numPr>
                <w:ilvl w:val="0"/>
                <w:numId w:val="0"/>
              </w:numPr>
              <w:adjustRightInd w:val="0"/>
              <w:snapToGrid w:val="0"/>
              <w:spacing w:line="360" w:lineRule="auto"/>
              <w:jc w:val="left"/>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2、具有突发事件应急预案：内容全面、可操作性强计分3-5分；内容简单，可操作性一般计分1-3分；未提供不得分。</w:t>
            </w:r>
          </w:p>
          <w:p w14:paraId="6B025EBF">
            <w:pPr>
              <w:numPr>
                <w:ilvl w:val="0"/>
                <w:numId w:val="0"/>
              </w:numPr>
              <w:adjustRightInd w:val="0"/>
              <w:snapToGrid w:val="0"/>
              <w:spacing w:line="360" w:lineRule="auto"/>
              <w:jc w:val="left"/>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3、具有完备的质量保障系统、管理制度、具体措施和承诺：保障系统、管理制度可行性强，措施可行计分3-5分；保障系统、管理制度可行性有偏差，措施基本可行计分1-3分；未提供不得分。</w:t>
            </w:r>
          </w:p>
        </w:tc>
      </w:tr>
      <w:tr w14:paraId="5025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shd w:val="clear" w:color="auto" w:fill="auto"/>
            <w:noWrap w:val="0"/>
            <w:vAlign w:val="center"/>
          </w:tcPr>
          <w:p w14:paraId="0D7DA8BC">
            <w:pPr>
              <w:spacing w:line="440" w:lineRule="exact"/>
              <w:rPr>
                <w:rFonts w:hint="eastAsia" w:ascii="宋体" w:hAnsi="宋体" w:eastAsia="宋体" w:cs="宋体"/>
                <w:color w:val="auto"/>
                <w:sz w:val="24"/>
                <w:szCs w:val="24"/>
                <w:lang w:eastAsia="zh-CN"/>
              </w:rPr>
            </w:pPr>
            <w:r>
              <w:rPr>
                <w:rFonts w:hint="eastAsia" w:ascii="宋体" w:hAnsi="宋体" w:cs="宋体"/>
                <w:color w:val="auto"/>
                <w:kern w:val="2"/>
                <w:sz w:val="24"/>
                <w:szCs w:val="24"/>
                <w:lang w:val="en-US" w:eastAsia="zh-CN" w:bidi="ar-SA"/>
              </w:rPr>
              <w:t>质量保证措施（10 分）</w:t>
            </w:r>
          </w:p>
        </w:tc>
        <w:tc>
          <w:tcPr>
            <w:tcW w:w="7975" w:type="dxa"/>
            <w:shd w:val="clear" w:color="auto" w:fill="auto"/>
            <w:noWrap w:val="0"/>
            <w:vAlign w:val="center"/>
          </w:tcPr>
          <w:p w14:paraId="7FFCF62E">
            <w:pPr>
              <w:numPr>
                <w:ilvl w:val="0"/>
                <w:numId w:val="0"/>
              </w:numPr>
              <w:adjustRightInd w:val="0"/>
              <w:snapToGrid w:val="0"/>
              <w:spacing w:line="360" w:lineRule="auto"/>
              <w:jc w:val="left"/>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有完善的质量保证措施、体系，且全面、具体、透彻，解决对策针对性强的计6-10 分；质量保证措施较全面，但不够具体和透彻，解决对策较合理可行的计3-6分；有质量保证措施，但描述不具体的计1-3分。未提供不得分</w:t>
            </w:r>
          </w:p>
        </w:tc>
      </w:tr>
      <w:tr w14:paraId="277C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restart"/>
            <w:shd w:val="clear" w:color="auto" w:fill="auto"/>
            <w:noWrap w:val="0"/>
            <w:vAlign w:val="center"/>
          </w:tcPr>
          <w:p w14:paraId="21128661">
            <w:pPr>
              <w:spacing w:line="440" w:lineRule="exac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人员管理及配备（10 分）</w:t>
            </w:r>
          </w:p>
        </w:tc>
        <w:tc>
          <w:tcPr>
            <w:tcW w:w="7975" w:type="dxa"/>
            <w:shd w:val="clear" w:color="auto" w:fill="auto"/>
            <w:noWrap w:val="0"/>
            <w:vAlign w:val="center"/>
          </w:tcPr>
          <w:p w14:paraId="1E2D27BC">
            <w:pPr>
              <w:numPr>
                <w:ilvl w:val="0"/>
                <w:numId w:val="0"/>
              </w:numPr>
              <w:adjustRightInd w:val="0"/>
              <w:snapToGrid w:val="0"/>
              <w:spacing w:line="360" w:lineRule="auto"/>
              <w:jc w:val="left"/>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针对本项目人员的配备管理方案：方案可操作性强计分3-6分；方案可操作性一般计分1-3分；</w:t>
            </w:r>
          </w:p>
        </w:tc>
      </w:tr>
      <w:tr w14:paraId="5666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continue"/>
            <w:shd w:val="clear" w:color="auto" w:fill="auto"/>
            <w:noWrap w:val="0"/>
            <w:vAlign w:val="center"/>
          </w:tcPr>
          <w:p w14:paraId="769FB4D2">
            <w:pPr>
              <w:spacing w:line="440" w:lineRule="exact"/>
              <w:rPr>
                <w:rFonts w:hint="eastAsia" w:ascii="宋体" w:hAnsi="宋体" w:cs="宋体"/>
                <w:color w:val="auto"/>
                <w:kern w:val="2"/>
                <w:sz w:val="24"/>
                <w:szCs w:val="24"/>
                <w:lang w:val="en-US" w:eastAsia="zh-CN" w:bidi="ar-SA"/>
              </w:rPr>
            </w:pPr>
          </w:p>
        </w:tc>
        <w:tc>
          <w:tcPr>
            <w:tcW w:w="7975" w:type="dxa"/>
            <w:shd w:val="clear" w:color="auto" w:fill="auto"/>
            <w:noWrap w:val="0"/>
            <w:vAlign w:val="center"/>
          </w:tcPr>
          <w:p w14:paraId="02584C79">
            <w:pPr>
              <w:numPr>
                <w:ilvl w:val="0"/>
                <w:numId w:val="0"/>
              </w:numPr>
              <w:adjustRightInd w:val="0"/>
              <w:snapToGrid w:val="0"/>
              <w:spacing w:line="360" w:lineRule="auto"/>
              <w:jc w:val="left"/>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本项目人员团队专业及数量配置横向比较计分1-4分。</w:t>
            </w:r>
          </w:p>
        </w:tc>
      </w:tr>
      <w:tr w14:paraId="4369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shd w:val="clear" w:color="auto" w:fill="auto"/>
            <w:noWrap w:val="0"/>
            <w:vAlign w:val="center"/>
          </w:tcPr>
          <w:p w14:paraId="5B5DF3E6">
            <w:pPr>
              <w:spacing w:line="440" w:lineRule="exac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进度安排（5分）</w:t>
            </w:r>
          </w:p>
        </w:tc>
        <w:tc>
          <w:tcPr>
            <w:tcW w:w="7975" w:type="dxa"/>
            <w:shd w:val="clear" w:color="auto" w:fill="auto"/>
            <w:noWrap w:val="0"/>
            <w:vAlign w:val="center"/>
          </w:tcPr>
          <w:p w14:paraId="50F4DF36">
            <w:pPr>
              <w:numPr>
                <w:ilvl w:val="0"/>
                <w:numId w:val="0"/>
              </w:numPr>
              <w:adjustRightInd w:val="0"/>
              <w:snapToGrid w:val="0"/>
              <w:spacing w:line="360" w:lineRule="auto"/>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对本项目工作内容充分了解，进度计划科学合理，工作效率响应度高的，横向比较计分3-5分；进度计划基本可行。工作效率响应度一般计分1-3分；未提供不得分。</w:t>
            </w:r>
          </w:p>
        </w:tc>
      </w:tr>
      <w:tr w14:paraId="3416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shd w:val="clear" w:color="auto" w:fill="auto"/>
            <w:noWrap w:val="0"/>
            <w:vAlign w:val="center"/>
          </w:tcPr>
          <w:p w14:paraId="4A57D305">
            <w:pPr>
              <w:spacing w:line="440" w:lineRule="exac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保密、廉洁措施</w:t>
            </w:r>
          </w:p>
          <w:p w14:paraId="3E21B3B1">
            <w:pPr>
              <w:spacing w:line="440" w:lineRule="exac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 分）</w:t>
            </w:r>
          </w:p>
        </w:tc>
        <w:tc>
          <w:tcPr>
            <w:tcW w:w="7975" w:type="dxa"/>
            <w:shd w:val="clear" w:color="auto" w:fill="auto"/>
            <w:noWrap w:val="0"/>
            <w:vAlign w:val="center"/>
          </w:tcPr>
          <w:p w14:paraId="65224C88">
            <w:pPr>
              <w:numPr>
                <w:ilvl w:val="0"/>
                <w:numId w:val="0"/>
              </w:numPr>
              <w:adjustRightInd w:val="0"/>
              <w:snapToGrid w:val="0"/>
              <w:spacing w:line="360" w:lineRule="auto"/>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对项目服务工作有完善的保密、廉洁措施：</w:t>
            </w:r>
          </w:p>
          <w:p w14:paraId="4DB520F4">
            <w:pPr>
              <w:numPr>
                <w:ilvl w:val="0"/>
                <w:numId w:val="0"/>
              </w:numPr>
              <w:adjustRightInd w:val="0"/>
              <w:snapToGrid w:val="0"/>
              <w:spacing w:line="360" w:lineRule="auto"/>
              <w:jc w:val="left"/>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措施全面、完善计分3-5 分；措施简单计分1-3 分；未提供不得分。</w:t>
            </w:r>
          </w:p>
        </w:tc>
      </w:tr>
      <w:tr w14:paraId="40BC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shd w:val="clear" w:color="auto" w:fill="auto"/>
            <w:noWrap w:val="0"/>
            <w:vAlign w:val="center"/>
          </w:tcPr>
          <w:p w14:paraId="49B080C7">
            <w:pPr>
              <w:spacing w:line="440" w:lineRule="exact"/>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lang w:eastAsia="zh-CN"/>
              </w:rPr>
              <w:t>服务承诺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tc>
        <w:tc>
          <w:tcPr>
            <w:tcW w:w="7975" w:type="dxa"/>
            <w:shd w:val="clear" w:color="auto" w:fill="auto"/>
            <w:noWrap w:val="0"/>
            <w:vAlign w:val="center"/>
          </w:tcPr>
          <w:p w14:paraId="00163D09">
            <w:pPr>
              <w:numPr>
                <w:ilvl w:val="0"/>
                <w:numId w:val="0"/>
              </w:numPr>
              <w:adjustRightInd w:val="0"/>
              <w:snapToGrid w:val="0"/>
              <w:spacing w:line="360" w:lineRule="auto"/>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根据本项目提供服务响应时限等的售后服务，有明确的承诺且具体、切实可行。按其响应程度计1～4分，未提供不得分。</w:t>
            </w:r>
          </w:p>
        </w:tc>
      </w:tr>
      <w:tr w14:paraId="0A94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11" w:type="dxa"/>
            <w:noWrap w:val="0"/>
            <w:vAlign w:val="center"/>
          </w:tcPr>
          <w:p w14:paraId="2D29A646">
            <w:pPr>
              <w:spacing w:line="480" w:lineRule="exact"/>
              <w:ind w:left="-157" w:leftChars="-56" w:right="-126" w:rightChars="-45"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业绩</w:t>
            </w:r>
          </w:p>
          <w:p w14:paraId="137BFEC4">
            <w:pPr>
              <w:spacing w:line="480" w:lineRule="exact"/>
              <w:ind w:left="-157" w:leftChars="-56" w:right="-126" w:rightChars="-45"/>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cs="宋体"/>
                <w:color w:val="auto"/>
                <w:sz w:val="24"/>
                <w:szCs w:val="24"/>
                <w:lang w:val="en-US" w:eastAsia="zh-CN"/>
              </w:rPr>
              <w:t>)</w:t>
            </w:r>
          </w:p>
        </w:tc>
        <w:tc>
          <w:tcPr>
            <w:tcW w:w="7975" w:type="dxa"/>
            <w:noWrap w:val="0"/>
            <w:vAlign w:val="center"/>
          </w:tcPr>
          <w:p w14:paraId="7AAC97C0">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供应商近三年（2022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1月1日</w:t>
            </w:r>
            <w:r>
              <w:rPr>
                <w:rFonts w:hint="eastAsia" w:ascii="宋体" w:hAnsi="宋体" w:eastAsia="宋体" w:cs="宋体"/>
                <w:color w:val="auto"/>
                <w:sz w:val="24"/>
                <w:szCs w:val="24"/>
              </w:rPr>
              <w:t>至今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类似</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业绩，每提供一个得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分，共计</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分。（以</w:t>
            </w:r>
            <w:r>
              <w:rPr>
                <w:rFonts w:hint="eastAsia" w:ascii="宋体" w:hAnsi="宋体" w:cs="宋体"/>
                <w:color w:val="auto"/>
                <w:sz w:val="24"/>
                <w:szCs w:val="24"/>
                <w:lang w:val="en-US" w:eastAsia="zh-CN"/>
              </w:rPr>
              <w:t>协议书</w:t>
            </w:r>
            <w:r>
              <w:rPr>
                <w:rFonts w:hint="eastAsia" w:ascii="宋体" w:hAnsi="宋体" w:eastAsia="宋体" w:cs="宋体"/>
                <w:color w:val="auto"/>
                <w:sz w:val="24"/>
                <w:szCs w:val="24"/>
              </w:rPr>
              <w:t>为准，复印件加盖公章）</w:t>
            </w:r>
          </w:p>
        </w:tc>
      </w:tr>
    </w:tbl>
    <w:p w14:paraId="4D65955F">
      <w:pPr>
        <w:spacing w:line="365" w:lineRule="auto"/>
        <w:rPr>
          <w:rFonts w:hint="eastAsia" w:ascii="宋体" w:hAnsi="宋体" w:eastAsia="宋体" w:cs="宋体"/>
          <w:sz w:val="24"/>
          <w:szCs w:val="24"/>
        </w:rPr>
      </w:pPr>
      <w:r>
        <w:rPr>
          <w:rFonts w:hint="eastAsia" w:ascii="宋体" w:hAnsi="宋体" w:eastAsia="宋体" w:cs="宋体"/>
          <w:b/>
          <w:bCs/>
          <w:sz w:val="24"/>
          <w:szCs w:val="24"/>
        </w:rPr>
        <w:t>注：</w:t>
      </w:r>
    </w:p>
    <w:p w14:paraId="37FDF5C4">
      <w:pPr>
        <w:spacing w:line="365" w:lineRule="auto"/>
        <w:rPr>
          <w:rFonts w:hint="eastAsia" w:ascii="宋体" w:hAnsi="宋体" w:eastAsia="宋体" w:cs="宋体"/>
          <w:sz w:val="24"/>
          <w:szCs w:val="24"/>
        </w:rPr>
      </w:pPr>
      <w:r>
        <w:rPr>
          <w:rFonts w:hint="eastAsia" w:ascii="宋体" w:hAnsi="宋体" w:eastAsia="宋体" w:cs="宋体"/>
          <w:sz w:val="24"/>
          <w:szCs w:val="24"/>
        </w:rPr>
        <w:t>1）评委打分超过得分界限或未按本方法赋分时，该评委的打分按废标处理。</w:t>
      </w:r>
    </w:p>
    <w:p w14:paraId="3D22240B">
      <w:pPr>
        <w:spacing w:line="365" w:lineRule="auto"/>
        <w:rPr>
          <w:rFonts w:hint="eastAsia" w:ascii="宋体" w:hAnsi="宋体" w:eastAsia="宋体" w:cs="宋体"/>
          <w:sz w:val="24"/>
          <w:szCs w:val="24"/>
        </w:rPr>
      </w:pPr>
      <w:r>
        <w:rPr>
          <w:rFonts w:hint="eastAsia" w:ascii="宋体" w:hAnsi="宋体" w:eastAsia="宋体" w:cs="宋体"/>
          <w:sz w:val="24"/>
          <w:szCs w:val="24"/>
        </w:rPr>
        <w:t xml:space="preserve">2）各种计算数字均保留两位小数，第三位“四舍五入”。 </w:t>
      </w:r>
    </w:p>
    <w:p w14:paraId="7C66CAA0">
      <w:pPr>
        <w:spacing w:line="365" w:lineRule="auto"/>
        <w:rPr>
          <w:rFonts w:hint="eastAsia" w:ascii="宋体" w:hAnsi="宋体" w:eastAsia="宋体" w:cs="宋体"/>
          <w:sz w:val="24"/>
          <w:szCs w:val="24"/>
        </w:rPr>
      </w:pPr>
      <w:r>
        <w:rPr>
          <w:rFonts w:hint="eastAsia" w:ascii="宋体" w:hAnsi="宋体" w:eastAsia="宋体" w:cs="宋体"/>
          <w:b/>
          <w:bCs/>
          <w:sz w:val="24"/>
          <w:szCs w:val="24"/>
        </w:rPr>
        <w:t>3）特殊情况处理</w:t>
      </w:r>
      <w:r>
        <w:rPr>
          <w:rFonts w:hint="eastAsia" w:ascii="宋体" w:hAnsi="宋体" w:eastAsia="宋体" w:cs="宋体"/>
          <w:sz w:val="24"/>
          <w:szCs w:val="24"/>
        </w:rPr>
        <w:t>：</w:t>
      </w:r>
    </w:p>
    <w:p w14:paraId="5CAD8C8C">
      <w:pPr>
        <w:spacing w:line="365"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a、当投标人某评分项出现未报、漏报或零报价时，该分项得零分，并不参与投标报价分的计算。</w:t>
      </w:r>
    </w:p>
    <w:p w14:paraId="4AB57DB5">
      <w:pPr>
        <w:spacing w:line="365"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若出现综合得分相同时，投标报价得分高者为第一中标候选人，若投标报价得分相同，技术得分高者为第一中标候选人，若上述两项得分相同，则由全体评标委员会成员无记名投票，得票高者为第一中标候选人。</w:t>
      </w:r>
    </w:p>
    <w:p w14:paraId="22B8157B">
      <w:pPr>
        <w:spacing w:line="365"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、评标过程中，若出现本评标方法以外的特殊情况时，将暂停评标，待评委商榷后再进行复会。</w:t>
      </w:r>
    </w:p>
    <w:p w14:paraId="5792901A">
      <w:pPr>
        <w:spacing w:line="365" w:lineRule="auto"/>
        <w:ind w:firstLine="600" w:firstLineChars="249"/>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-7、政府采购政策评分标准</w:t>
      </w:r>
    </w:p>
    <w:p w14:paraId="0E0F6955">
      <w:pPr>
        <w:spacing w:line="365"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2-7-1、小微企业的价格评分标准</w:t>
      </w:r>
    </w:p>
    <w:p w14:paraId="5EB8E71D">
      <w:pPr>
        <w:spacing w:line="365"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（1）根据《政府采购促进中小企业发展管理办法》（财库〔2020〕46号）、关于进一步加大政府采购支持中小企业力度的通知财库〔2022〕19号；符合条件的中小企业，享受政府采购扶持政策。</w:t>
      </w:r>
    </w:p>
    <w:p w14:paraId="59E99ACC">
      <w:pPr>
        <w:spacing w:line="365"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享受政府采购扶持政策的中小企业，应当符合以下条件：</w:t>
      </w:r>
    </w:p>
    <w:p w14:paraId="1FB24BE2">
      <w:pPr>
        <w:spacing w:line="365"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①符合中小企业划分标准（中小企业划分标准是指国务院有关部门根据企业从业人员、营业收入、资产总额等指标制定的中小企业划型标准（工信部联企业〔2011〕300号））。</w:t>
      </w:r>
    </w:p>
    <w:p w14:paraId="5F8826D0">
      <w:pPr>
        <w:spacing w:line="365"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②需提供《中小企业声明函》的投标人，未提供或提供有瑕疵的，在评审时不享受政府采购优惠政策。</w:t>
      </w:r>
    </w:p>
    <w:p w14:paraId="1E2356AE">
      <w:pPr>
        <w:spacing w:line="365"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2在服务采购项目中，服务由中小企业承接，即提供服务的人员为中小企业依照《中华人民共和国劳动合同法》订立劳动合同的从业人员。对符合要求的小微企业报价给予10％的扣除，用扣除后的价格参与评审。</w:t>
      </w:r>
    </w:p>
    <w:p w14:paraId="3D59077B">
      <w:pPr>
        <w:spacing w:line="365"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2-7-2、监狱企业的价格评分标准</w:t>
      </w:r>
    </w:p>
    <w:p w14:paraId="0991FFA2">
      <w:pPr>
        <w:spacing w:line="365"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财库[2014]68号《财政部司法部关于政府采购支持监狱企业发展有关问题的通知》规定，符合条件的监狱企业，享受政府采购扶持政策。在政府采购活动中，监狱企业视同小型、微型企业，享受预留份额、评审中报价给予10％的扣除，用扣除后的价格参与报价计算，如同时属于小型、微型企业的，其享受的价格不重复计算。</w:t>
      </w:r>
    </w:p>
    <w:p w14:paraId="415E1C07">
      <w:pPr>
        <w:spacing w:line="365"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2-7-3、残疾人福利性单位的价格评分标准</w:t>
      </w:r>
    </w:p>
    <w:p w14:paraId="2B2EFCD0">
      <w:pPr>
        <w:spacing w:line="365"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投标人是残疾人福利性单位的，其报价给予一定比例的扣除，其报价给予 10％的扣除，用扣除后的价格参与投标报价计算。残疾人福利性单位同时属于小型、微型企业的，其享受的价格优惠不重复计算。</w:t>
      </w:r>
    </w:p>
    <w:p w14:paraId="106ECF56">
      <w:pPr>
        <w:shd w:val="clea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2-8、</w:t>
      </w:r>
      <w:r>
        <w:rPr>
          <w:rFonts w:hint="eastAsia" w:ascii="宋体" w:hAnsi="宋体" w:eastAsia="宋体" w:cs="宋体"/>
          <w:b w:val="0"/>
          <w:bCs/>
          <w:color w:val="auto"/>
          <w:sz w:val="24"/>
          <w:szCs w:val="24"/>
          <w:highlight w:val="none"/>
        </w:rPr>
        <w:t>落实政府采购信用融资有关政策要求</w:t>
      </w:r>
    </w:p>
    <w:p w14:paraId="46B8A32C">
      <w:pPr>
        <w:shd w:val="clear"/>
        <w:spacing w:line="360" w:lineRule="auto"/>
        <w:ind w:firstLine="480" w:firstLineChars="200"/>
        <w:rPr>
          <w:rFonts w:hint="eastAsia"/>
          <w:lang w:val="en-US" w:eastAsia="zh-CN"/>
        </w:rPr>
      </w:pPr>
      <w:r>
        <w:rPr>
          <w:rFonts w:hint="eastAsia" w:ascii="宋体" w:hAnsi="宋体" w:eastAsia="宋体" w:cs="宋体"/>
          <w:color w:val="auto"/>
          <w:sz w:val="24"/>
          <w:szCs w:val="24"/>
          <w:highlight w:val="none"/>
          <w:lang w:val="en-US" w:eastAsia="zh-CN"/>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071E513A">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3、定标</w:t>
      </w:r>
    </w:p>
    <w:p w14:paraId="600093B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3-1、定标程序</w:t>
      </w:r>
    </w:p>
    <w:p w14:paraId="63C30B7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依据磋商文件的要求，对供应商进行认真评审。经过评审、澄清、磋商、最后报价等程序后，从响应文件满足磋商文件全部实质性要求的供应商中，按照评审得分由高到低顺序推荐3名以上成交候选供应商，并编写评审报告。</w:t>
      </w:r>
    </w:p>
    <w:p w14:paraId="32E3C79A">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（2）</w:t>
      </w:r>
      <w:bookmarkStart w:id="29" w:name="OLE_LINK12"/>
      <w:r>
        <w:rPr>
          <w:rFonts w:hint="eastAsia" w:ascii="宋体" w:hAnsi="宋体" w:eastAsia="宋体" w:cs="宋体"/>
          <w:sz w:val="24"/>
          <w:szCs w:val="24"/>
        </w:rPr>
        <w:t>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bookmarkEnd w:id="29"/>
    <w:p w14:paraId="6DDF95D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采购代理机构应当自评审结束之日起2个工作日内将评审报告送交采购人。采购人在收到评审报告5个工作日内，根据磋商小组提交的评审报告和推荐的成交候选供应商，按照排序由高到低的原则确定成交供应商。确定结果后，采购人向采购代理机构出具《成交复函》。采购人逾期未确定成交供应商且不提出异议的，视为确定评审报告推荐的排名第一的供应商为成交供应商。</w:t>
      </w:r>
    </w:p>
    <w:p w14:paraId="33A9FC34">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3-2、成交供应商确定后，采购人和采购代理机构对未成交原因不作任何解释，竞争性磋商响应文件不予退还。</w:t>
      </w:r>
    </w:p>
    <w:p w14:paraId="17DEF7E7">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4、磋商无效的情形：</w:t>
      </w:r>
    </w:p>
    <w:p w14:paraId="31B17AA0">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4-1、未按照磋商文件的规定提交磋商保证金的；</w:t>
      </w:r>
    </w:p>
    <w:p w14:paraId="39A3CBDA">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4-2、磋商响应文件未按磋商文件要求签署、盖章的；</w:t>
      </w:r>
    </w:p>
    <w:p w14:paraId="0BE2C4D6">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4-3、不具备磋商文件中规定的资格要求的；</w:t>
      </w:r>
    </w:p>
    <w:p w14:paraId="09DB8DDF">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4-4、报价超过磋商文件中规定的</w:t>
      </w:r>
      <w:r>
        <w:rPr>
          <w:rFonts w:hint="eastAsia" w:ascii="宋体" w:hAnsi="宋体" w:eastAsia="宋体" w:cs="宋体"/>
          <w:sz w:val="24"/>
          <w:szCs w:val="24"/>
          <w:lang w:val="en-US" w:eastAsia="zh-CN"/>
        </w:rPr>
        <w:t>采购预算或限价</w:t>
      </w:r>
      <w:r>
        <w:rPr>
          <w:rFonts w:hint="eastAsia" w:ascii="宋体" w:hAnsi="宋体" w:eastAsia="宋体" w:cs="宋体"/>
          <w:sz w:val="24"/>
          <w:szCs w:val="24"/>
        </w:rPr>
        <w:t>金额的；</w:t>
      </w:r>
    </w:p>
    <w:p w14:paraId="21B135C0">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4-5、磋商响应文件含有采购人不能接受的附加条件的；</w:t>
      </w:r>
    </w:p>
    <w:p w14:paraId="184CB336">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4-6、提供虚假材料谋取成交的；</w:t>
      </w:r>
    </w:p>
    <w:p w14:paraId="3A6EB85C">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4-7、采取不正当手段诋毁、排挤其他供应商的；</w:t>
      </w:r>
    </w:p>
    <w:p w14:paraId="3B320A30">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4-8、法律、法规和磋商文件规定的其他无效情形。</w:t>
      </w:r>
    </w:p>
    <w:p w14:paraId="1E508EB0">
      <w:pPr>
        <w:adjustRightInd w:val="0"/>
        <w:snapToGrid w:val="0"/>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5、成交通知书</w:t>
      </w:r>
    </w:p>
    <w:p w14:paraId="1C956F2C">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成交通知书由采购代理机构向成交人发出，成交供应商应在接到采购代理机构通知之日起七日内领取成交通知书。未在规定时间内领取成交通知书的，磋商保证金不予退还。提供磋商担保的供应商将由专业担保机构先行偿付采购人损失。</w:t>
      </w:r>
    </w:p>
    <w:p w14:paraId="23CEF952">
      <w:pPr>
        <w:pStyle w:val="42"/>
        <w:spacing w:line="360"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5-2、成交通知书发出后，采购人不得违法改变成交结果，成交人无正当理由不得放弃成交。</w:t>
      </w:r>
    </w:p>
    <w:p w14:paraId="31AED296">
      <w:pPr>
        <w:pStyle w:val="5"/>
        <w:shd w:val="clear"/>
        <w:spacing w:before="0" w:after="0" w:line="480" w:lineRule="exact"/>
        <w:rPr>
          <w:rFonts w:hint="eastAsia" w:ascii="宋体" w:hAnsi="宋体" w:eastAsia="宋体" w:cs="宋体"/>
          <w:kern w:val="0"/>
          <w:sz w:val="24"/>
          <w:szCs w:val="24"/>
        </w:rPr>
      </w:pPr>
      <w:bookmarkStart w:id="30" w:name="_Toc7453878"/>
      <w:bookmarkStart w:id="31" w:name="_Toc5781523"/>
      <w:r>
        <w:rPr>
          <w:rFonts w:hint="eastAsia" w:ascii="宋体" w:hAnsi="宋体" w:eastAsia="宋体" w:cs="宋体"/>
          <w:kern w:val="0"/>
          <w:sz w:val="24"/>
          <w:szCs w:val="24"/>
        </w:rPr>
        <w:t>八、履约保证金</w:t>
      </w:r>
      <w:bookmarkEnd w:id="30"/>
      <w:bookmarkEnd w:id="31"/>
      <w:r>
        <w:rPr>
          <w:rFonts w:hint="eastAsia" w:ascii="宋体" w:hAnsi="宋体" w:eastAsia="宋体" w:cs="宋体"/>
          <w:kern w:val="0"/>
          <w:sz w:val="24"/>
          <w:szCs w:val="24"/>
        </w:rPr>
        <w:t>（无）</w:t>
      </w:r>
    </w:p>
    <w:p w14:paraId="2818C600">
      <w:pPr>
        <w:pStyle w:val="5"/>
        <w:spacing w:before="0" w:after="0" w:line="480" w:lineRule="exact"/>
        <w:rPr>
          <w:rFonts w:hint="eastAsia" w:ascii="宋体" w:hAnsi="宋体" w:eastAsia="宋体" w:cs="宋体"/>
          <w:sz w:val="24"/>
          <w:szCs w:val="24"/>
        </w:rPr>
      </w:pPr>
      <w:bookmarkStart w:id="32" w:name="_Toc7453879"/>
      <w:r>
        <w:rPr>
          <w:rFonts w:hint="eastAsia" w:ascii="宋体" w:hAnsi="宋体" w:eastAsia="宋体" w:cs="宋体"/>
          <w:sz w:val="24"/>
          <w:szCs w:val="24"/>
        </w:rPr>
        <w:t>九、合同</w:t>
      </w:r>
      <w:bookmarkEnd w:id="32"/>
    </w:p>
    <w:p w14:paraId="41FC703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1、成交供应商在收到成交通知书后</w:t>
      </w:r>
      <w:r>
        <w:rPr>
          <w:rFonts w:hint="eastAsia" w:ascii="宋体" w:hAnsi="宋体" w:eastAsia="宋体" w:cs="宋体"/>
          <w:sz w:val="24"/>
          <w:szCs w:val="24"/>
          <w:lang w:val="en-US" w:eastAsia="zh-CN"/>
        </w:rPr>
        <w:t>二十五</w:t>
      </w:r>
      <w:r>
        <w:rPr>
          <w:rFonts w:hint="eastAsia" w:ascii="宋体" w:hAnsi="宋体" w:eastAsia="宋体" w:cs="宋体"/>
          <w:sz w:val="24"/>
          <w:szCs w:val="24"/>
        </w:rPr>
        <w:t>（</w:t>
      </w:r>
      <w:r>
        <w:rPr>
          <w:rFonts w:hint="eastAsia" w:ascii="宋体" w:hAnsi="宋体" w:eastAsia="宋体" w:cs="宋体"/>
          <w:sz w:val="24"/>
          <w:szCs w:val="24"/>
          <w:lang w:val="en-US" w:eastAsia="zh-CN"/>
        </w:rPr>
        <w:t>25</w:t>
      </w:r>
      <w:r>
        <w:rPr>
          <w:rFonts w:hint="eastAsia" w:ascii="宋体" w:hAnsi="宋体" w:eastAsia="宋体" w:cs="宋体"/>
          <w:sz w:val="24"/>
          <w:szCs w:val="24"/>
        </w:rPr>
        <w:t>）个日历日内，应按竞争性磋商文件的要求与采购人</w:t>
      </w:r>
      <w:r>
        <w:rPr>
          <w:rFonts w:hint="eastAsia" w:ascii="宋体" w:hAnsi="宋体" w:cs="宋体"/>
          <w:sz w:val="24"/>
          <w:szCs w:val="24"/>
          <w:lang w:val="en-US" w:eastAsia="zh-CN"/>
        </w:rPr>
        <w:t>及采购人指定的项目实施单位</w:t>
      </w:r>
      <w:r>
        <w:rPr>
          <w:rFonts w:hint="eastAsia" w:ascii="宋体" w:hAnsi="宋体" w:eastAsia="宋体" w:cs="宋体"/>
          <w:sz w:val="24"/>
          <w:szCs w:val="24"/>
        </w:rPr>
        <w:t>签订合同。成交供应商因自身原因不按规定与采购人</w:t>
      </w:r>
      <w:r>
        <w:rPr>
          <w:rFonts w:hint="eastAsia" w:ascii="宋体" w:hAnsi="宋体" w:cs="宋体"/>
          <w:sz w:val="24"/>
          <w:szCs w:val="24"/>
          <w:lang w:val="en-US" w:eastAsia="zh-CN"/>
        </w:rPr>
        <w:t>及采购人指定的实施单位</w:t>
      </w:r>
      <w:r>
        <w:rPr>
          <w:rFonts w:hint="eastAsia" w:ascii="宋体" w:hAnsi="宋体" w:eastAsia="宋体" w:cs="宋体"/>
          <w:sz w:val="24"/>
          <w:szCs w:val="24"/>
        </w:rPr>
        <w:t>签订合同，则采购人将废除授标，磋商保证金不予退还。给采购人造成损失超过磋商保证金额的，还应当对超过部分予以赔偿，并依法承担相应法律责任；</w:t>
      </w:r>
    </w:p>
    <w:p w14:paraId="1C5E360A">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因不可抗力或者自身原因不能履行政府采购合同的，采购人可以与排位在成交供应商之后第一位的成交候选供应商签订政府采购合同，以此类推，也可以重新开展采购活动。因自身原因拒绝签订采购合同的或者未按合同约定进行履约的，成交人不得参加对该项目重新开展的</w:t>
      </w:r>
      <w:r>
        <w:rPr>
          <w:rFonts w:hint="eastAsia" w:ascii="宋体" w:hAnsi="宋体" w:eastAsia="宋体" w:cs="宋体"/>
          <w:sz w:val="24"/>
          <w:szCs w:val="24"/>
          <w:lang w:val="en-US" w:eastAsia="zh-CN"/>
        </w:rPr>
        <w:t>采购</w:t>
      </w:r>
      <w:r>
        <w:rPr>
          <w:rFonts w:hint="eastAsia" w:ascii="宋体" w:hAnsi="宋体" w:eastAsia="宋体" w:cs="宋体"/>
          <w:sz w:val="24"/>
          <w:szCs w:val="24"/>
        </w:rPr>
        <w:t>活动。</w:t>
      </w:r>
    </w:p>
    <w:p w14:paraId="4E1E953D">
      <w:pPr>
        <w:adjustRightInd w:val="0"/>
        <w:snapToGrid w:val="0"/>
        <w:spacing w:line="4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3、成交通知书将是合同的重要组成部分。竞争性磋商文件、成交供应商的竞争性磋商响应文件及评议过程中有关的澄清文件均作为合同附件。</w:t>
      </w:r>
    </w:p>
    <w:p w14:paraId="76AC339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4、成交后，成交人应按照合同约定履行义务，完成磋商项目的供货</w:t>
      </w:r>
      <w:r>
        <w:rPr>
          <w:rFonts w:hint="eastAsia" w:ascii="宋体" w:hAnsi="宋体" w:eastAsia="宋体" w:cs="宋体"/>
          <w:sz w:val="24"/>
          <w:szCs w:val="24"/>
          <w:lang w:val="en-US" w:eastAsia="zh-CN"/>
        </w:rPr>
        <w:t>及服务</w:t>
      </w:r>
      <w:r>
        <w:rPr>
          <w:rFonts w:hint="eastAsia" w:ascii="宋体" w:hAnsi="宋体" w:eastAsia="宋体" w:cs="宋体"/>
          <w:sz w:val="24"/>
          <w:szCs w:val="24"/>
        </w:rPr>
        <w:t>。成交人不得向他人转让成交项目，也不得将成交项目肢解后分别向他人转让。成交人按照合同约定或者经采购人同意，成交人可以将成交项目的部分非主体、非关键性工作分包给他人完成。接受分包的供应商应当具备相应的资格条件，并不得再次分包。分包履行的，成交人就采购项目和分包项目向采购人负责，分包供应商就分包项目承担责任。中小企业根据《政府采购促进中小企业发展管理办法》（财库(2020)46号）规定的政策获取政府采购合同后，小型、微型企业不得分包或转包给大型、中型企业，中型企业不得分包或转包给大型企业。</w:t>
      </w:r>
    </w:p>
    <w:p w14:paraId="7287881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5、所签订的合同不得对磋商文件确定的事项和成交人磋商响应文件作实质性修改。</w:t>
      </w:r>
    </w:p>
    <w:p w14:paraId="09E3876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6、采购人</w:t>
      </w:r>
      <w:r>
        <w:rPr>
          <w:rFonts w:hint="eastAsia" w:ascii="宋体" w:hAnsi="宋体" w:eastAsia="宋体" w:cs="宋体"/>
          <w:sz w:val="24"/>
          <w:szCs w:val="24"/>
          <w:lang w:val="en-US" w:eastAsia="zh-CN"/>
        </w:rPr>
        <w:t>如</w:t>
      </w:r>
      <w:r>
        <w:rPr>
          <w:rFonts w:hint="eastAsia" w:ascii="宋体" w:hAnsi="宋体" w:eastAsia="宋体" w:cs="宋体"/>
          <w:sz w:val="24"/>
          <w:szCs w:val="24"/>
        </w:rPr>
        <w:t>需追加</w:t>
      </w:r>
      <w:r>
        <w:rPr>
          <w:rFonts w:hint="eastAsia" w:ascii="宋体" w:hAnsi="宋体" w:eastAsia="宋体" w:cs="宋体"/>
          <w:sz w:val="24"/>
          <w:szCs w:val="24"/>
          <w:lang w:val="en-US" w:eastAsia="zh-CN"/>
        </w:rPr>
        <w:t>后期服务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期满后依据采购人的需求按相关政策要求进行续签</w:t>
      </w:r>
      <w:r>
        <w:rPr>
          <w:rFonts w:hint="eastAsia" w:ascii="宋体" w:hAnsi="宋体" w:eastAsia="宋体" w:cs="宋体"/>
          <w:sz w:val="24"/>
          <w:szCs w:val="24"/>
        </w:rPr>
        <w:t>。</w:t>
      </w:r>
    </w:p>
    <w:p w14:paraId="5FEA6143">
      <w:pPr>
        <w:pStyle w:val="5"/>
        <w:spacing w:before="0" w:after="0" w:line="480" w:lineRule="exact"/>
        <w:rPr>
          <w:rFonts w:hint="eastAsia" w:ascii="宋体" w:hAnsi="宋体" w:eastAsia="宋体" w:cs="宋体"/>
          <w:kern w:val="0"/>
          <w:sz w:val="24"/>
          <w:szCs w:val="24"/>
        </w:rPr>
      </w:pPr>
      <w:bookmarkStart w:id="33" w:name="_Toc7453880"/>
      <w:bookmarkStart w:id="34" w:name="_Toc493247321"/>
      <w:bookmarkStart w:id="35" w:name="_Toc493074178"/>
      <w:r>
        <w:rPr>
          <w:rFonts w:hint="eastAsia" w:ascii="宋体" w:hAnsi="宋体" w:eastAsia="宋体" w:cs="宋体"/>
          <w:kern w:val="0"/>
          <w:sz w:val="24"/>
          <w:szCs w:val="24"/>
        </w:rPr>
        <w:t>十、合同的履约</w:t>
      </w:r>
      <w:bookmarkEnd w:id="33"/>
      <w:bookmarkEnd w:id="34"/>
      <w:bookmarkEnd w:id="35"/>
    </w:p>
    <w:p w14:paraId="115100C4">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确定成交单位后，成交供应商因自身原因未按程序签订合同，采购人将取消其成交资格，同时报请监督机构备案，没收其保证金。在此情况下，采购人可按评审结果顺序将合同授予下一成交候选人或重新采购。</w:t>
      </w:r>
    </w:p>
    <w:p w14:paraId="539B962C">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2、成交供应商签订合同后，</w:t>
      </w:r>
      <w:r>
        <w:rPr>
          <w:rFonts w:hint="eastAsia" w:ascii="宋体" w:hAnsi="宋体" w:eastAsia="宋体" w:cs="宋体"/>
          <w:kern w:val="0"/>
          <w:sz w:val="24"/>
          <w:szCs w:val="24"/>
          <w:lang w:val="en-US" w:eastAsia="zh-CN"/>
        </w:rPr>
        <w:t>须提交</w:t>
      </w:r>
      <w:r>
        <w:rPr>
          <w:rFonts w:hint="eastAsia" w:ascii="宋体" w:hAnsi="宋体" w:eastAsia="宋体" w:cs="宋体"/>
          <w:kern w:val="0"/>
          <w:sz w:val="24"/>
          <w:szCs w:val="24"/>
        </w:rPr>
        <w:t>合同办理保证金退</w:t>
      </w:r>
      <w:r>
        <w:rPr>
          <w:rFonts w:hint="eastAsia" w:ascii="宋体" w:hAnsi="宋体" w:eastAsia="宋体" w:cs="宋体"/>
          <w:kern w:val="0"/>
          <w:sz w:val="24"/>
          <w:szCs w:val="24"/>
          <w:lang w:val="en-US" w:eastAsia="zh-CN"/>
        </w:rPr>
        <w:t>还</w:t>
      </w:r>
      <w:r>
        <w:rPr>
          <w:rFonts w:hint="eastAsia" w:ascii="宋体" w:hAnsi="宋体" w:eastAsia="宋体" w:cs="宋体"/>
          <w:kern w:val="0"/>
          <w:sz w:val="24"/>
          <w:szCs w:val="24"/>
        </w:rPr>
        <w:t>手续。</w:t>
      </w:r>
    </w:p>
    <w:p w14:paraId="2C211CEC">
      <w:pPr>
        <w:pStyle w:val="5"/>
        <w:spacing w:before="0" w:after="0" w:line="480" w:lineRule="exact"/>
        <w:rPr>
          <w:rFonts w:hint="eastAsia" w:ascii="宋体" w:hAnsi="宋体" w:eastAsia="宋体" w:cs="宋体"/>
          <w:sz w:val="24"/>
          <w:szCs w:val="24"/>
        </w:rPr>
      </w:pPr>
      <w:bookmarkStart w:id="36" w:name="_Toc7453881"/>
      <w:r>
        <w:rPr>
          <w:rFonts w:hint="eastAsia" w:ascii="宋体" w:hAnsi="宋体" w:eastAsia="宋体" w:cs="宋体"/>
          <w:sz w:val="24"/>
          <w:szCs w:val="24"/>
        </w:rPr>
        <w:t>十一、招标服务费</w:t>
      </w:r>
      <w:bookmarkEnd w:id="36"/>
    </w:p>
    <w:p w14:paraId="6E9286B0">
      <w:pPr>
        <w:spacing w:line="480" w:lineRule="exact"/>
        <w:ind w:firstLine="480" w:firstLineChars="200"/>
        <w:rPr>
          <w:rFonts w:hint="eastAsia" w:ascii="宋体" w:hAnsi="宋体" w:eastAsia="宋体" w:cs="宋体"/>
          <w:b w:val="0"/>
          <w:kern w:val="0"/>
          <w:sz w:val="24"/>
          <w:szCs w:val="24"/>
          <w:lang w:val="en-US" w:eastAsia="zh-CN" w:bidi="ar-SA"/>
        </w:rPr>
      </w:pPr>
      <w:bookmarkStart w:id="37" w:name="_Toc494556652"/>
      <w:bookmarkStart w:id="38" w:name="_Toc458848826"/>
      <w:bookmarkStart w:id="39" w:name="_Toc458848741"/>
      <w:bookmarkStart w:id="40" w:name="_Toc7453882"/>
      <w:bookmarkStart w:id="41" w:name="_Toc458848827"/>
      <w:bookmarkStart w:id="42" w:name="_Toc458848742"/>
      <w:bookmarkStart w:id="43" w:name="_Toc493247324"/>
      <w:r>
        <w:rPr>
          <w:rFonts w:hint="eastAsia" w:ascii="宋体" w:hAnsi="宋体" w:eastAsia="宋体" w:cs="宋体"/>
          <w:b w:val="0"/>
          <w:kern w:val="0"/>
          <w:sz w:val="24"/>
          <w:szCs w:val="24"/>
          <w:lang w:val="en-US" w:eastAsia="zh-CN" w:bidi="ar-SA"/>
        </w:rPr>
        <w:t>本项目代理服务费</w:t>
      </w:r>
      <w:r>
        <w:rPr>
          <w:rFonts w:hint="eastAsia" w:ascii="宋体" w:hAnsi="宋体" w:cs="宋体"/>
          <w:b w:val="0"/>
          <w:kern w:val="0"/>
          <w:sz w:val="24"/>
          <w:szCs w:val="24"/>
          <w:lang w:val="en-US" w:eastAsia="zh-CN" w:bidi="ar-SA"/>
        </w:rPr>
        <w:t>叁仟元整（3000.00元）</w:t>
      </w:r>
      <w:r>
        <w:rPr>
          <w:rFonts w:hint="eastAsia" w:ascii="宋体" w:hAnsi="宋体" w:eastAsia="宋体" w:cs="宋体"/>
          <w:b w:val="0"/>
          <w:kern w:val="0"/>
          <w:sz w:val="24"/>
          <w:szCs w:val="24"/>
          <w:lang w:val="en-US" w:eastAsia="zh-CN" w:bidi="ar-SA"/>
        </w:rPr>
        <w:t>。在本采购项目磋商结果公示期满后七日内,由</w:t>
      </w:r>
      <w:r>
        <w:rPr>
          <w:rFonts w:hint="eastAsia" w:ascii="宋体" w:hAnsi="宋体" w:cs="宋体"/>
          <w:b w:val="0"/>
          <w:kern w:val="0"/>
          <w:sz w:val="24"/>
          <w:szCs w:val="24"/>
          <w:lang w:val="en-US" w:eastAsia="zh-CN" w:bidi="ar-SA"/>
        </w:rPr>
        <w:t>成交</w:t>
      </w:r>
      <w:r>
        <w:rPr>
          <w:rFonts w:hint="eastAsia" w:ascii="宋体" w:hAnsi="宋体" w:eastAsia="宋体" w:cs="宋体"/>
          <w:b w:val="0"/>
          <w:kern w:val="0"/>
          <w:sz w:val="24"/>
          <w:szCs w:val="24"/>
          <w:lang w:val="en-US" w:eastAsia="zh-CN" w:bidi="ar-SA"/>
        </w:rPr>
        <w:t>单位一次性向采购代理机构缴纳服务费。该项费用</w:t>
      </w:r>
      <w:r>
        <w:rPr>
          <w:rFonts w:hint="eastAsia" w:ascii="宋体" w:hAnsi="宋体" w:cs="宋体"/>
          <w:b w:val="0"/>
          <w:kern w:val="0"/>
          <w:sz w:val="24"/>
          <w:szCs w:val="24"/>
          <w:lang w:val="en-US" w:eastAsia="zh-CN" w:bidi="ar-SA"/>
        </w:rPr>
        <w:t>成交</w:t>
      </w:r>
      <w:r>
        <w:rPr>
          <w:rFonts w:hint="eastAsia" w:ascii="宋体" w:hAnsi="宋体" w:eastAsia="宋体" w:cs="宋体"/>
          <w:b w:val="0"/>
          <w:kern w:val="0"/>
          <w:sz w:val="24"/>
          <w:szCs w:val="24"/>
          <w:lang w:val="en-US" w:eastAsia="zh-CN" w:bidi="ar-SA"/>
        </w:rPr>
        <w:t>人应充分考虑并包含在投标报价内，采购人不再单独列项支付。</w:t>
      </w:r>
    </w:p>
    <w:p w14:paraId="6B31B692">
      <w:pPr>
        <w:pStyle w:val="5"/>
        <w:spacing w:before="0" w:after="0" w:line="480" w:lineRule="exact"/>
        <w:rPr>
          <w:rFonts w:hint="eastAsia" w:ascii="宋体" w:hAnsi="宋体" w:eastAsia="宋体" w:cs="宋体"/>
          <w:sz w:val="24"/>
          <w:szCs w:val="24"/>
        </w:rPr>
      </w:pPr>
      <w:r>
        <w:rPr>
          <w:rFonts w:hint="eastAsia" w:ascii="宋体" w:hAnsi="宋体" w:eastAsia="宋体" w:cs="宋体"/>
          <w:sz w:val="24"/>
          <w:szCs w:val="24"/>
        </w:rPr>
        <w:t>十二、</w:t>
      </w:r>
      <w:bookmarkEnd w:id="37"/>
      <w:bookmarkEnd w:id="38"/>
      <w:bookmarkEnd w:id="39"/>
      <w:r>
        <w:rPr>
          <w:rFonts w:hint="eastAsia" w:ascii="宋体" w:hAnsi="宋体" w:eastAsia="宋体" w:cs="宋体"/>
          <w:sz w:val="24"/>
          <w:szCs w:val="24"/>
        </w:rPr>
        <w:t>重新开展采购活动</w:t>
      </w:r>
      <w:bookmarkEnd w:id="40"/>
    </w:p>
    <w:p w14:paraId="7459854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如果发生下列情况之一的，采购人或采购代理机构将按《政府采购竞争性磋商采购方式管理暂行办法》等有关规定终止竞争性磋商采购活动，发布项目终止公告并说明原因，重新开展采购活动：</w:t>
      </w:r>
    </w:p>
    <w:p w14:paraId="2AD18B62">
      <w:pPr>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49CB5A96">
      <w:pPr>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2623B193">
      <w:pPr>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（3）磋商小组三分之二以上的专家认定所有磋商报价存在价格不实的现象；</w:t>
      </w:r>
    </w:p>
    <w:p w14:paraId="5A0A660F">
      <w:pPr>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除《政府采购竞争性磋商采购方式管理暂行办法》（财库〔2014〕214号）除本办法第二十一条第三款规定及《财政部关于政府采购竞争性磋商采购方式管理暂行办法有关问题的补充通知》（财库〔2015〕124号）规定的情形外，在采购过程中符合要求的供应商或者报价未超过</w:t>
      </w:r>
      <w:r>
        <w:rPr>
          <w:rFonts w:hint="eastAsia" w:ascii="宋体" w:hAnsi="宋体" w:eastAsia="宋体" w:cs="宋体"/>
          <w:sz w:val="24"/>
          <w:szCs w:val="24"/>
          <w:lang w:val="en-US" w:eastAsia="zh-CN"/>
        </w:rPr>
        <w:t>最高限价</w:t>
      </w:r>
      <w:r>
        <w:rPr>
          <w:rFonts w:hint="eastAsia" w:ascii="宋体" w:hAnsi="宋体" w:eastAsia="宋体" w:cs="宋体"/>
          <w:sz w:val="24"/>
          <w:szCs w:val="24"/>
        </w:rPr>
        <w:t>的供应商不足3家的。</w:t>
      </w:r>
    </w:p>
    <w:p w14:paraId="48766A66">
      <w:pPr>
        <w:pStyle w:val="5"/>
        <w:spacing w:before="0" w:after="0" w:line="480" w:lineRule="exact"/>
        <w:rPr>
          <w:rFonts w:hint="eastAsia" w:ascii="宋体" w:hAnsi="宋体" w:eastAsia="宋体" w:cs="宋体"/>
          <w:sz w:val="24"/>
          <w:szCs w:val="24"/>
        </w:rPr>
      </w:pPr>
      <w:bookmarkStart w:id="44" w:name="_Toc7453883"/>
      <w:r>
        <w:rPr>
          <w:rFonts w:hint="eastAsia" w:ascii="宋体" w:hAnsi="宋体" w:eastAsia="宋体" w:cs="宋体"/>
          <w:sz w:val="24"/>
          <w:szCs w:val="24"/>
        </w:rPr>
        <w:t>十三、询问、质疑与投诉</w:t>
      </w:r>
      <w:bookmarkEnd w:id="41"/>
      <w:bookmarkEnd w:id="42"/>
      <w:bookmarkEnd w:id="43"/>
      <w:bookmarkEnd w:id="44"/>
    </w:p>
    <w:p w14:paraId="0E4EDDDE">
      <w:pPr>
        <w:spacing w:line="520" w:lineRule="exact"/>
        <w:ind w:firstLine="480" w:firstLineChars="200"/>
        <w:rPr>
          <w:rFonts w:hint="eastAsia" w:ascii="宋体" w:hAnsi="宋体" w:eastAsia="宋体" w:cs="宋体"/>
          <w:sz w:val="24"/>
          <w:szCs w:val="24"/>
        </w:rPr>
      </w:pPr>
      <w:bookmarkStart w:id="45" w:name="_Toc493247325"/>
      <w:bookmarkStart w:id="46" w:name="_Toc458848743"/>
      <w:bookmarkStart w:id="47" w:name="_Toc458848828"/>
      <w:bookmarkStart w:id="48" w:name="_Toc7453884"/>
      <w:r>
        <w:rPr>
          <w:rFonts w:hint="eastAsia" w:ascii="宋体" w:hAnsi="宋体" w:eastAsia="宋体" w:cs="宋体"/>
          <w:sz w:val="24"/>
          <w:szCs w:val="24"/>
        </w:rPr>
        <w:t>1.询问</w:t>
      </w:r>
    </w:p>
    <w:p w14:paraId="4671C8EA">
      <w:pPr>
        <w:spacing w:line="52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投标供应商对政府采购活动事项有疑问的，可以向采购代理机构或采购人提出询问。采购代理机构或采购人将在3个工作日内对投标供应商依法提出的询问作出答复。</w:t>
      </w:r>
    </w:p>
    <w:p w14:paraId="4B833C8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2"/>
        </w:rPr>
        <w:t>投标供应商</w:t>
      </w:r>
      <w:r>
        <w:rPr>
          <w:rFonts w:hint="eastAsia" w:ascii="宋体" w:hAnsi="宋体" w:eastAsia="宋体" w:cs="宋体"/>
          <w:sz w:val="24"/>
          <w:szCs w:val="24"/>
        </w:rPr>
        <w:t>提出的询问超出采购人对采购代理机构委托授权范围的，采购代理机构将告知</w:t>
      </w:r>
      <w:r>
        <w:rPr>
          <w:rFonts w:hint="eastAsia" w:ascii="宋体" w:hAnsi="宋体" w:eastAsia="宋体" w:cs="宋体"/>
          <w:sz w:val="24"/>
          <w:szCs w:val="22"/>
        </w:rPr>
        <w:t>投标供应商</w:t>
      </w:r>
      <w:r>
        <w:rPr>
          <w:rFonts w:hint="eastAsia" w:ascii="宋体" w:hAnsi="宋体" w:eastAsia="宋体" w:cs="宋体"/>
          <w:sz w:val="24"/>
          <w:szCs w:val="24"/>
        </w:rPr>
        <w:t>向采购人提出。</w:t>
      </w:r>
    </w:p>
    <w:p w14:paraId="667EE766">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2.质疑和投诉</w:t>
      </w:r>
    </w:p>
    <w:p w14:paraId="50A19CE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2"/>
        </w:rPr>
        <w:t>投标供应商</w:t>
      </w:r>
      <w:r>
        <w:rPr>
          <w:rFonts w:hint="eastAsia" w:ascii="宋体" w:hAnsi="宋体" w:eastAsia="宋体" w:cs="宋体"/>
          <w:sz w:val="24"/>
          <w:szCs w:val="24"/>
        </w:rPr>
        <w:t>认为磋商文件、磋商过程使自身的合法权益受到损害，可以在知道或者应当知道其自身权益收到损害之日起七个工作日，以书面形式（纸质版加盖公章）向采购代理机构或采购人提出质疑。</w:t>
      </w:r>
      <w:r>
        <w:rPr>
          <w:rFonts w:hint="eastAsia" w:ascii="宋体" w:hAnsi="宋体" w:eastAsia="宋体" w:cs="宋体"/>
          <w:sz w:val="24"/>
          <w:szCs w:val="22"/>
        </w:rPr>
        <w:t>投标供应商</w:t>
      </w:r>
      <w:r>
        <w:rPr>
          <w:rFonts w:hint="eastAsia" w:ascii="宋体" w:hAnsi="宋体" w:eastAsia="宋体" w:cs="宋体"/>
          <w:sz w:val="24"/>
          <w:szCs w:val="24"/>
        </w:rPr>
        <w:t>认为磋商结果使自身的合法权益受到损害，可以在磋商结束后7日内前，以书面形式（纸质版加盖公章）向采购代理机构或采购人提出质疑。</w:t>
      </w:r>
    </w:p>
    <w:p w14:paraId="6F343C4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2.1、质疑书应当包括以下主要内容：被质疑项目名称、项目编号、标段、竞争性磋商公告/中标公告发布时间、质疑事项、证据材料、法律依据（具体条款）、质疑人有效联系方式等。</w:t>
      </w:r>
    </w:p>
    <w:p w14:paraId="1B87BF47">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4439B67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2.3.有下列情形之一的，属于无效质疑，采购代理机构和采购人不予受理：</w:t>
      </w:r>
    </w:p>
    <w:p w14:paraId="24CE789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（1）质疑人不是参与本次政府采购项目的投标单位/投标单位或潜在投标单位/投标单位；</w:t>
      </w:r>
    </w:p>
    <w:p w14:paraId="70E360F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（2）质疑人与质疑事项不存在利害关系的；</w:t>
      </w:r>
    </w:p>
    <w:p w14:paraId="76B7622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（3）未在法定期限内提出质疑的；</w:t>
      </w:r>
    </w:p>
    <w:p w14:paraId="52B4194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（4）质疑未以书面形式提出，或质疑书主要内容构成不完整的；</w:t>
      </w:r>
    </w:p>
    <w:p w14:paraId="3DFBC80C">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（5）质疑书没有合法有效的签字、盖章或授权的；</w:t>
      </w:r>
    </w:p>
    <w:p w14:paraId="69195E6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（6）以非法手段取得证据、材料的；</w:t>
      </w:r>
    </w:p>
    <w:p w14:paraId="000A6A97">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（7）质疑答复后，同一质疑人就同一事项再次提出质疑的；</w:t>
      </w:r>
    </w:p>
    <w:p w14:paraId="13AB637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（8）不符合法律、法规、规章和监管机构规定的其他条件的。</w:t>
      </w:r>
    </w:p>
    <w:p w14:paraId="5FA2353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2.4、采购代理机构或采购人将在收到书面质疑后7个工作日内做出答复，并以书面形式通知质疑人和其他有关投标单位。</w:t>
      </w:r>
    </w:p>
    <w:p w14:paraId="2C6DDEA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投标供应商投诉的事项不得超出已质疑事项的范围。</w:t>
      </w:r>
    </w:p>
    <w:p w14:paraId="3DD4DD5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2.6、对捏造事实、提供虚假材料进行质疑、投诉的行为予以严肃处理：</w:t>
      </w:r>
    </w:p>
    <w:p w14:paraId="454BD6D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6DB72A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2.7、对捏造事实诬告陷害他人、诽谤他人的法律适用：</w:t>
      </w:r>
    </w:p>
    <w:p w14:paraId="67C06BE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《中华人民共和国刑法》第243条【诬告陷害罪】捏造事实诬告陷害他人，意图使他人受刑事追究，情节严重的，处三年以下有期徒刑、拘役或者管制；造成严重后果的，处三年以上十年以下有期徒刑。</w:t>
      </w:r>
    </w:p>
    <w:bookmarkEnd w:id="45"/>
    <w:bookmarkEnd w:id="46"/>
    <w:bookmarkEnd w:id="47"/>
    <w:bookmarkEnd w:id="48"/>
    <w:p w14:paraId="1A80E11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《中华人民共和国刑法》第246条【侮辱罪、诽谤罪】以暴力或者其他方法公然侮辱他人或者捏造事实诽谤他人，情节严重的，处三年以下有期徒刑、拘役、管制或者剥夺政治权利。</w:t>
      </w:r>
    </w:p>
    <w:p w14:paraId="52202074">
      <w:pPr>
        <w:pStyle w:val="4"/>
        <w:spacing w:before="0" w:after="0" w:line="360" w:lineRule="auto"/>
        <w:jc w:val="both"/>
        <w:rPr>
          <w:rFonts w:hint="eastAsia" w:ascii="宋体" w:hAnsi="宋体" w:eastAsia="宋体" w:cs="宋体"/>
          <w:bCs/>
          <w:kern w:val="0"/>
        </w:rPr>
        <w:sectPr>
          <w:footerReference r:id="rId8" w:type="first"/>
          <w:headerReference r:id="rId6" w:type="default"/>
          <w:footerReference r:id="rId7" w:type="default"/>
          <w:pgSz w:w="11849" w:h="16781"/>
          <w:pgMar w:top="1440" w:right="1080" w:bottom="1440" w:left="1080" w:header="720" w:footer="850" w:gutter="0"/>
          <w:pgBorders>
            <w:top w:val="none" w:sz="0" w:space="0"/>
            <w:left w:val="none" w:sz="0" w:space="0"/>
            <w:bottom w:val="none" w:sz="0" w:space="0"/>
            <w:right w:val="none" w:sz="0" w:space="0"/>
          </w:pgBorders>
          <w:pgNumType w:start="1"/>
          <w:cols w:space="720" w:num="1"/>
          <w:docGrid w:linePitch="312" w:charSpace="0"/>
        </w:sectPr>
      </w:pPr>
    </w:p>
    <w:p w14:paraId="6CCA2135">
      <w:pPr>
        <w:pStyle w:val="4"/>
        <w:numPr>
          <w:ilvl w:val="0"/>
          <w:numId w:val="5"/>
        </w:numPr>
        <w:shd w:val="clear"/>
        <w:spacing w:before="0" w:beforeAutospacing="0" w:after="0" w:afterAutospacing="0" w:line="240" w:lineRule="auto"/>
        <w:jc w:val="center"/>
        <w:rPr>
          <w:rFonts w:hint="eastAsia" w:ascii="宋体" w:hAnsi="宋体" w:eastAsia="宋体" w:cs="宋体"/>
        </w:rPr>
      </w:pPr>
      <w:bookmarkStart w:id="49" w:name="_Toc7893"/>
      <w:r>
        <w:rPr>
          <w:rFonts w:hint="eastAsia" w:ascii="宋体" w:hAnsi="宋体" w:eastAsia="宋体" w:cs="宋体"/>
          <w:bCs/>
          <w:kern w:val="0"/>
          <w:lang w:val="en-US" w:eastAsia="zh-CN"/>
        </w:rPr>
        <w:t xml:space="preserve"> </w:t>
      </w:r>
      <w:bookmarkStart w:id="50" w:name="_Toc8363"/>
      <w:r>
        <w:rPr>
          <w:rFonts w:hint="eastAsia" w:ascii="宋体" w:hAnsi="宋体" w:eastAsia="宋体" w:cs="宋体"/>
          <w:bCs/>
          <w:kern w:val="0"/>
        </w:rPr>
        <w:t>采购内</w:t>
      </w:r>
      <w:r>
        <w:rPr>
          <w:rFonts w:hint="eastAsia" w:ascii="宋体" w:hAnsi="宋体" w:eastAsia="宋体" w:cs="宋体"/>
          <w:bCs/>
          <w:kern w:val="0"/>
          <w:shd w:val="clear" w:color="auto" w:fill="FFFFFF" w:themeFill="background1"/>
        </w:rPr>
        <w:t>容及要求</w:t>
      </w:r>
      <w:bookmarkEnd w:id="49"/>
      <w:bookmarkEnd w:id="50"/>
      <w:bookmarkStart w:id="51" w:name="_Toc838"/>
      <w:bookmarkStart w:id="52" w:name="_Toc7453886"/>
    </w:p>
    <w:p w14:paraId="596E9E0F">
      <w:pPr>
        <w:spacing w:line="360" w:lineRule="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一、服务内容</w:t>
      </w:r>
      <w:r>
        <w:rPr>
          <w:rFonts w:hint="eastAsia" w:ascii="宋体" w:hAnsi="宋体" w:cs="宋体"/>
          <w:b w:val="0"/>
          <w:bCs w:val="0"/>
          <w:color w:val="000000"/>
          <w:kern w:val="2"/>
          <w:sz w:val="24"/>
          <w:szCs w:val="24"/>
          <w:lang w:val="en-US" w:eastAsia="zh-CN" w:bidi="ar-SA"/>
        </w:rPr>
        <w:t>及要求</w:t>
      </w:r>
    </w:p>
    <w:p w14:paraId="11CEB8BF">
      <w:pPr>
        <w:shd w:val="clea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lang w:val="en-US" w:eastAsia="zh-CN" w:bidi="ar-SA"/>
        </w:rPr>
        <w:t>为千阳县9所学校提供足够的光纤宽带网络</w:t>
      </w:r>
      <w:r>
        <w:rPr>
          <w:rFonts w:hint="eastAsia" w:ascii="宋体" w:hAnsi="宋体" w:cs="宋体"/>
          <w:b w:val="0"/>
          <w:bCs w:val="0"/>
          <w:color w:val="auto"/>
          <w:kern w:val="2"/>
          <w:sz w:val="24"/>
          <w:szCs w:val="24"/>
          <w:lang w:val="en-US" w:eastAsia="zh-CN" w:bidi="ar-SA"/>
        </w:rPr>
        <w:t>和名厨亮灶网络支持</w:t>
      </w:r>
      <w:r>
        <w:rPr>
          <w:rFonts w:hint="eastAsia" w:ascii="宋体" w:hAnsi="宋体" w:eastAsia="宋体" w:cs="宋体"/>
          <w:b w:val="0"/>
          <w:bCs w:val="0"/>
          <w:color w:val="auto"/>
          <w:kern w:val="2"/>
          <w:sz w:val="24"/>
          <w:szCs w:val="24"/>
          <w:lang w:val="en-US" w:eastAsia="zh-CN" w:bidi="ar-SA"/>
        </w:rPr>
        <w:t xml:space="preserve">。 </w:t>
      </w:r>
    </w:p>
    <w:p w14:paraId="6B71DAC7">
      <w:pPr>
        <w:shd w:val="clea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、保证接入光纤网络宽带达到要求，【互联网】专用数据传输光纤（大于等于1个公网IP地址）。</w:t>
      </w:r>
    </w:p>
    <w:p w14:paraId="612089A1">
      <w:pPr>
        <w:shd w:val="clea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、配合学校对所提供的100M/300M/1000M【互联网】进行压力测试，以确保接口速率满足对应要求。</w:t>
      </w:r>
    </w:p>
    <w:p w14:paraId="1CE702EE">
      <w:pPr>
        <w:shd w:val="clea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en-US" w:eastAsia="zh-CN" w:bidi="ar-SA"/>
        </w:rPr>
        <w:t>、100M/300M/1000M【互联网】接口需互联至省内城域网骨干环网上。</w:t>
      </w:r>
    </w:p>
    <w:p w14:paraId="5D7C1DE7">
      <w:p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二、服务地点：千阳县指定的各学校</w:t>
      </w:r>
    </w:p>
    <w:p w14:paraId="38C15C69">
      <w:pPr>
        <w:spacing w:line="360" w:lineRule="auto"/>
        <w:jc w:val="center"/>
        <w:rPr>
          <w:rFonts w:hint="eastAsia" w:ascii="宋体" w:hAnsi="宋体" w:eastAsia="宋体" w:cs="宋体"/>
          <w:sz w:val="32"/>
          <w:szCs w:val="32"/>
        </w:rPr>
      </w:pPr>
      <w:r>
        <w:rPr>
          <w:rFonts w:hint="eastAsia" w:ascii="宋体" w:hAnsi="宋体" w:eastAsia="宋体" w:cs="宋体"/>
          <w:b w:val="0"/>
          <w:bCs w:val="0"/>
          <w:color w:val="000000"/>
          <w:kern w:val="2"/>
          <w:sz w:val="24"/>
          <w:szCs w:val="24"/>
          <w:lang w:val="en-US" w:eastAsia="zh-CN" w:bidi="ar-SA"/>
        </w:rPr>
        <w:t>各学校宽带网络统计</w:t>
      </w:r>
    </w:p>
    <w:tbl>
      <w:tblPr>
        <w:tblStyle w:val="24"/>
        <w:tblpPr w:leftFromText="180" w:rightFromText="180" w:vertAnchor="text" w:horzAnchor="page" w:tblpX="1118" w:tblpY="77"/>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7"/>
        <w:gridCol w:w="4461"/>
        <w:gridCol w:w="3926"/>
      </w:tblGrid>
      <w:tr w14:paraId="4F85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7" w:type="pct"/>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4D546518">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序号</w:t>
            </w:r>
          </w:p>
        </w:tc>
        <w:tc>
          <w:tcPr>
            <w:tcW w:w="22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B99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项目实施学校</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692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2025年</w:t>
            </w:r>
          </w:p>
        </w:tc>
      </w:tr>
      <w:tr w14:paraId="6E44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7" w:type="pct"/>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3CAD4187">
            <w:pPr>
              <w:spacing w:line="360" w:lineRule="auto"/>
              <w:jc w:val="left"/>
              <w:rPr>
                <w:rFonts w:hint="eastAsia" w:ascii="宋体" w:hAnsi="宋体" w:eastAsia="宋体" w:cs="宋体"/>
                <w:b/>
                <w:bCs/>
                <w:i w:val="0"/>
                <w:iCs w:val="0"/>
                <w:color w:val="000000"/>
                <w:sz w:val="22"/>
                <w:szCs w:val="22"/>
                <w:u w:val="none"/>
              </w:rPr>
            </w:pPr>
          </w:p>
        </w:tc>
        <w:tc>
          <w:tcPr>
            <w:tcW w:w="22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F909">
            <w:pPr>
              <w:spacing w:line="360" w:lineRule="auto"/>
              <w:jc w:val="center"/>
              <w:rPr>
                <w:rFonts w:hint="eastAsia" w:ascii="宋体" w:hAnsi="宋体" w:eastAsia="宋体" w:cs="宋体"/>
                <w:b/>
                <w:bCs/>
                <w:i w:val="0"/>
                <w:iCs w:val="0"/>
                <w:color w:val="000000"/>
                <w:sz w:val="22"/>
                <w:szCs w:val="22"/>
                <w:u w:val="none"/>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94A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带宽（兆）</w:t>
            </w:r>
          </w:p>
        </w:tc>
      </w:tr>
      <w:tr w14:paraId="671A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1C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A1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千阳县职业中等专业学校</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54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713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28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2F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千阳县燕伋小学</w:t>
            </w:r>
          </w:p>
        </w:tc>
        <w:tc>
          <w:tcPr>
            <w:tcW w:w="1971" w:type="pct"/>
            <w:tcBorders>
              <w:top w:val="nil"/>
              <w:left w:val="single" w:color="000000" w:sz="4" w:space="0"/>
              <w:bottom w:val="single" w:color="000000" w:sz="4" w:space="0"/>
              <w:right w:val="single" w:color="000000" w:sz="4" w:space="0"/>
            </w:tcBorders>
            <w:shd w:val="clear" w:color="auto" w:fill="auto"/>
            <w:noWrap/>
            <w:vAlign w:val="center"/>
          </w:tcPr>
          <w:p w14:paraId="067A93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207D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C3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3B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千阳县南寨镇初级中学</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E3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97E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3B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EB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千阳县南寨镇中心小学</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4B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ADB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59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18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千阳县城关镇中心小学</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A2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3C14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00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FA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千阳县幼儿园</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06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7CE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99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96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千阳县崔家头镇中心小学</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26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47C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EA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11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千阳县南寨镇中心幼儿园</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98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B6D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04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2D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千阳县崔家头镇中心幼儿园</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06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54F36A15">
      <w:pPr>
        <w:pStyle w:val="11"/>
        <w:rPr>
          <w:rFonts w:hint="eastAsia" w:ascii="宋体" w:hAnsi="宋体" w:eastAsia="宋体" w:cs="宋体"/>
          <w:sz w:val="32"/>
          <w:szCs w:val="32"/>
        </w:rPr>
      </w:pPr>
    </w:p>
    <w:p w14:paraId="513A4CC1">
      <w:pPr>
        <w:rPr>
          <w:rFonts w:hint="eastAsia" w:ascii="宋体" w:hAnsi="宋体" w:eastAsia="宋体" w:cs="宋体"/>
          <w:sz w:val="32"/>
          <w:szCs w:val="32"/>
        </w:rPr>
      </w:pPr>
    </w:p>
    <w:p w14:paraId="1FC5F533">
      <w:pPr>
        <w:rPr>
          <w:rFonts w:hint="eastAsia" w:ascii="宋体" w:hAnsi="宋体" w:eastAsia="宋体" w:cs="宋体"/>
          <w:sz w:val="32"/>
          <w:szCs w:val="32"/>
        </w:rPr>
      </w:pPr>
    </w:p>
    <w:p w14:paraId="7FE512D1">
      <w:pPr>
        <w:pStyle w:val="2"/>
        <w:rPr>
          <w:rFonts w:hint="eastAsia" w:ascii="宋体" w:hAnsi="宋体" w:eastAsia="宋体" w:cs="宋体"/>
          <w:sz w:val="32"/>
          <w:szCs w:val="32"/>
        </w:rPr>
      </w:pPr>
    </w:p>
    <w:p w14:paraId="759FD28D">
      <w:pPr>
        <w:pStyle w:val="2"/>
        <w:rPr>
          <w:rFonts w:hint="eastAsia" w:ascii="宋体" w:hAnsi="宋体" w:eastAsia="宋体" w:cs="宋体"/>
          <w:sz w:val="32"/>
          <w:szCs w:val="32"/>
        </w:rPr>
      </w:pPr>
    </w:p>
    <w:p w14:paraId="7FEE1AA2">
      <w:pPr>
        <w:rPr>
          <w:rFonts w:hint="eastAsia" w:ascii="宋体" w:hAnsi="宋体" w:eastAsia="宋体" w:cs="宋体"/>
          <w:sz w:val="32"/>
          <w:szCs w:val="32"/>
        </w:rPr>
      </w:pPr>
    </w:p>
    <w:p w14:paraId="6CD1DF83">
      <w:pPr>
        <w:rPr>
          <w:rFonts w:hint="eastAsia" w:ascii="宋体" w:hAnsi="宋体" w:eastAsia="宋体" w:cs="宋体"/>
          <w:sz w:val="32"/>
          <w:szCs w:val="32"/>
        </w:rPr>
      </w:pPr>
    </w:p>
    <w:p w14:paraId="33A1961C">
      <w:pPr>
        <w:rPr>
          <w:rFonts w:hint="eastAsia" w:ascii="宋体" w:hAnsi="宋体" w:eastAsia="宋体" w:cs="宋体"/>
          <w:sz w:val="32"/>
          <w:szCs w:val="32"/>
        </w:rPr>
      </w:pPr>
    </w:p>
    <w:p w14:paraId="51E30FC0">
      <w:pPr>
        <w:pStyle w:val="4"/>
        <w:spacing w:before="0" w:beforeAutospacing="0" w:after="0" w:afterAutospacing="0" w:line="240" w:lineRule="auto"/>
        <w:jc w:val="center"/>
        <w:rPr>
          <w:rFonts w:hint="eastAsia" w:ascii="宋体" w:hAnsi="宋体" w:eastAsia="宋体" w:cs="宋体"/>
          <w:bCs/>
          <w:kern w:val="0"/>
          <w:highlight w:val="none"/>
        </w:rPr>
      </w:pPr>
      <w:bookmarkStart w:id="53" w:name="_Toc17383"/>
      <w:r>
        <w:rPr>
          <w:rFonts w:hint="eastAsia" w:ascii="宋体" w:hAnsi="宋体" w:eastAsia="宋体" w:cs="宋体"/>
          <w:bCs/>
          <w:kern w:val="0"/>
          <w:highlight w:val="none"/>
          <w:lang w:eastAsia="zh-CN"/>
        </w:rPr>
        <w:t>第四章</w:t>
      </w:r>
      <w:r>
        <w:rPr>
          <w:rFonts w:hint="eastAsia" w:ascii="宋体" w:hAnsi="宋体" w:eastAsia="宋体" w:cs="宋体"/>
          <w:bCs/>
          <w:kern w:val="0"/>
          <w:highlight w:val="none"/>
          <w:lang w:val="en-US" w:eastAsia="zh-CN"/>
        </w:rPr>
        <w:t xml:space="preserve"> </w:t>
      </w:r>
      <w:r>
        <w:rPr>
          <w:rFonts w:hint="eastAsia" w:ascii="宋体" w:hAnsi="宋体" w:eastAsia="宋体" w:cs="宋体"/>
          <w:bCs/>
          <w:kern w:val="0"/>
          <w:highlight w:val="none"/>
        </w:rPr>
        <w:t>商务要求</w:t>
      </w:r>
      <w:bookmarkEnd w:id="51"/>
      <w:bookmarkEnd w:id="52"/>
      <w:bookmarkEnd w:id="53"/>
    </w:p>
    <w:p w14:paraId="198133BA">
      <w:pPr>
        <w:pStyle w:val="55"/>
        <w:widowControl/>
        <w:tabs>
          <w:tab w:val="clear" w:pos="420"/>
        </w:tabs>
        <w:spacing w:before="0" w:after="0" w:line="360" w:lineRule="auto"/>
        <w:ind w:left="0" w:firstLine="0"/>
        <w:outlineLvl w:val="9"/>
        <w:rPr>
          <w:rFonts w:hint="eastAsia" w:ascii="宋体" w:hAnsi="宋体" w:eastAsia="宋体" w:cs="宋体"/>
          <w:b w:val="0"/>
          <w:bCs w:val="0"/>
          <w:color w:val="000000"/>
          <w:kern w:val="2"/>
          <w:sz w:val="24"/>
          <w:szCs w:val="24"/>
          <w:lang w:val="en-US" w:eastAsia="zh-CN" w:bidi="ar-SA"/>
        </w:rPr>
      </w:pPr>
      <w:bookmarkStart w:id="54" w:name="_Toc7453889"/>
      <w:bookmarkStart w:id="55" w:name="_Toc31878"/>
      <w:r>
        <w:rPr>
          <w:rFonts w:hint="eastAsia" w:ascii="宋体" w:hAnsi="宋体" w:eastAsia="宋体" w:cs="宋体"/>
          <w:b w:val="0"/>
          <w:bCs w:val="0"/>
          <w:color w:val="000000"/>
          <w:kern w:val="2"/>
          <w:sz w:val="24"/>
          <w:szCs w:val="24"/>
          <w:lang w:val="zh-CN" w:eastAsia="zh-CN" w:bidi="ar-SA"/>
        </w:rPr>
        <w:t>一、</w:t>
      </w:r>
      <w:r>
        <w:rPr>
          <w:rFonts w:hint="eastAsia" w:ascii="宋体" w:eastAsia="宋体" w:cs="宋体"/>
          <w:b w:val="0"/>
          <w:bCs w:val="0"/>
          <w:color w:val="000000"/>
          <w:kern w:val="2"/>
          <w:sz w:val="24"/>
          <w:szCs w:val="24"/>
          <w:lang w:val="en-US" w:eastAsia="zh-CN" w:bidi="ar-SA"/>
        </w:rPr>
        <w:t>服务</w:t>
      </w:r>
      <w:r>
        <w:rPr>
          <w:rFonts w:hint="eastAsia" w:ascii="宋体" w:hAnsi="宋体" w:eastAsia="宋体" w:cs="宋体"/>
          <w:b w:val="0"/>
          <w:bCs w:val="0"/>
          <w:color w:val="000000"/>
          <w:kern w:val="2"/>
          <w:sz w:val="24"/>
          <w:szCs w:val="24"/>
          <w:lang w:val="en-US" w:eastAsia="zh-CN" w:bidi="ar-SA"/>
        </w:rPr>
        <w:t>期、服务地点</w:t>
      </w:r>
    </w:p>
    <w:p w14:paraId="52C58CCF">
      <w:pPr>
        <w:pStyle w:val="55"/>
        <w:widowControl/>
        <w:shd w:val="clear"/>
        <w:tabs>
          <w:tab w:val="clear" w:pos="420"/>
        </w:tabs>
        <w:spacing w:before="0" w:after="0" w:line="360" w:lineRule="auto"/>
        <w:ind w:left="0" w:firstLine="480" w:firstLineChars="200"/>
        <w:outlineLvl w:val="9"/>
        <w:rPr>
          <w:rFonts w:hint="default" w:ascii="宋体" w:hAnsi="宋体" w:eastAsia="宋体" w:cs="宋体"/>
          <w:b w:val="0"/>
          <w:bCs w:val="0"/>
          <w:color w:val="000000"/>
          <w:kern w:val="2"/>
          <w:sz w:val="24"/>
          <w:szCs w:val="24"/>
          <w:lang w:val="en-US" w:eastAsia="zh-CN" w:bidi="ar-SA"/>
        </w:rPr>
      </w:pPr>
      <w:r>
        <w:rPr>
          <w:rFonts w:hint="eastAsia" w:ascii="宋体" w:eastAsia="宋体" w:cs="宋体"/>
          <w:b w:val="0"/>
          <w:bCs w:val="0"/>
          <w:color w:val="000000"/>
          <w:kern w:val="2"/>
          <w:sz w:val="24"/>
          <w:szCs w:val="24"/>
          <w:lang w:val="en-US" w:eastAsia="zh-CN" w:bidi="ar-SA"/>
        </w:rPr>
        <w:t>1、服务期：1年</w:t>
      </w:r>
    </w:p>
    <w:p w14:paraId="195A835C">
      <w:pPr>
        <w:pStyle w:val="55"/>
        <w:widowControl/>
        <w:shd w:val="clear"/>
        <w:tabs>
          <w:tab w:val="clear" w:pos="420"/>
        </w:tabs>
        <w:spacing w:before="0" w:after="0" w:line="360" w:lineRule="auto"/>
        <w:ind w:left="0" w:firstLine="480" w:firstLineChars="200"/>
        <w:outlineLvl w:val="9"/>
        <w:rPr>
          <w:rFonts w:hint="eastAsia" w:ascii="宋体" w:hAnsi="宋体" w:eastAsia="宋体" w:cs="宋体"/>
          <w:b w:val="0"/>
          <w:bCs w:val="0"/>
          <w:color w:val="000000"/>
          <w:kern w:val="2"/>
          <w:sz w:val="24"/>
          <w:szCs w:val="24"/>
          <w:lang w:val="en-US" w:eastAsia="ar-SA" w:bidi="ar-SA"/>
        </w:rPr>
      </w:pPr>
      <w:r>
        <w:rPr>
          <w:rFonts w:hint="eastAsia" w:ascii="宋体" w:eastAsia="宋体" w:cs="宋体"/>
          <w:b w:val="0"/>
          <w:bCs w:val="0"/>
          <w:color w:val="000000"/>
          <w:kern w:val="2"/>
          <w:sz w:val="24"/>
          <w:szCs w:val="24"/>
          <w:lang w:val="en-US" w:eastAsia="zh-CN" w:bidi="ar-SA"/>
        </w:rPr>
        <w:t>2</w:t>
      </w:r>
      <w:r>
        <w:rPr>
          <w:rFonts w:hint="eastAsia" w:ascii="宋体" w:hAnsi="宋体" w:eastAsia="宋体" w:cs="宋体"/>
          <w:b w:val="0"/>
          <w:bCs w:val="0"/>
          <w:color w:val="000000"/>
          <w:kern w:val="2"/>
          <w:sz w:val="24"/>
          <w:szCs w:val="24"/>
          <w:lang w:val="en-US" w:eastAsia="zh-CN" w:bidi="ar-SA"/>
        </w:rPr>
        <w:t xml:space="preserve">、服务地点：采购人指定的各学校 </w:t>
      </w:r>
    </w:p>
    <w:p w14:paraId="56416530">
      <w:pPr>
        <w:pStyle w:val="55"/>
        <w:widowControl/>
        <w:tabs>
          <w:tab w:val="clear" w:pos="420"/>
        </w:tabs>
        <w:spacing w:before="0" w:after="0" w:line="360" w:lineRule="auto"/>
        <w:ind w:left="0" w:firstLine="0"/>
        <w:outlineLvl w:val="9"/>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t>二、</w:t>
      </w:r>
      <w:r>
        <w:rPr>
          <w:rFonts w:hint="eastAsia" w:ascii="宋体" w:hAnsi="宋体" w:eastAsia="宋体" w:cs="宋体"/>
          <w:b w:val="0"/>
          <w:bCs w:val="0"/>
          <w:color w:val="000000"/>
          <w:kern w:val="2"/>
          <w:sz w:val="24"/>
          <w:szCs w:val="24"/>
          <w:lang w:val="zh-CN" w:eastAsia="ar-SA" w:bidi="ar-SA"/>
        </w:rPr>
        <w:t>付款方式</w:t>
      </w:r>
    </w:p>
    <w:p w14:paraId="03B2D9C9">
      <w:pPr>
        <w:pStyle w:val="55"/>
        <w:widowControl/>
        <w:shd w:val="clear"/>
        <w:tabs>
          <w:tab w:val="clear" w:pos="420"/>
        </w:tabs>
        <w:spacing w:before="0" w:after="0" w:line="360" w:lineRule="auto"/>
        <w:ind w:left="0" w:firstLine="480" w:firstLineChars="200"/>
        <w:outlineLvl w:val="9"/>
        <w:rPr>
          <w:rFonts w:hint="eastAsia" w:ascii="宋体" w:hAnsi="宋体" w:eastAsia="宋体" w:cs="宋体"/>
          <w:b w:val="0"/>
          <w:bCs w:val="0"/>
          <w:color w:val="000000"/>
          <w:kern w:val="2"/>
          <w:sz w:val="24"/>
          <w:szCs w:val="24"/>
          <w:lang w:val="zh-CN" w:eastAsia="zh-CN" w:bidi="ar-SA"/>
        </w:rPr>
      </w:pPr>
      <w:r>
        <w:rPr>
          <w:rFonts w:hint="eastAsia" w:ascii="宋体" w:eastAsia="宋体" w:cs="宋体"/>
          <w:b w:val="0"/>
          <w:bCs w:val="0"/>
          <w:color w:val="000000"/>
          <w:kern w:val="2"/>
          <w:sz w:val="24"/>
          <w:szCs w:val="24"/>
          <w:lang w:val="en-US" w:eastAsia="zh-CN" w:bidi="ar-SA"/>
        </w:rPr>
        <w:t>成交供应商与采购人指定的项目实施单位签订合同时自行协商</w:t>
      </w:r>
      <w:r>
        <w:rPr>
          <w:rFonts w:hint="eastAsia" w:ascii="宋体" w:hAnsi="宋体" w:eastAsia="宋体"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zh-CN" w:eastAsia="zh-CN" w:bidi="ar-SA"/>
        </w:rPr>
        <w:tab/>
      </w:r>
    </w:p>
    <w:p w14:paraId="7188D7AF">
      <w:pPr>
        <w:spacing w:line="360" w:lineRule="auto"/>
        <w:rPr>
          <w:rFonts w:hint="eastAsia" w:ascii="宋体" w:hAnsi="宋体" w:eastAsia="宋体" w:cs="宋体"/>
          <w:b w:val="0"/>
          <w:bCs w:val="0"/>
          <w:color w:val="000000"/>
          <w:kern w:val="2"/>
          <w:sz w:val="24"/>
          <w:szCs w:val="24"/>
          <w:lang w:val="zh-CN" w:eastAsia="zh-CN" w:bidi="ar-SA"/>
        </w:rPr>
      </w:pPr>
      <w:r>
        <w:rPr>
          <w:rFonts w:hint="eastAsia" w:ascii="宋体" w:hAnsi="宋体" w:cs="宋体"/>
          <w:b w:val="0"/>
          <w:bCs w:val="0"/>
          <w:color w:val="000000"/>
          <w:kern w:val="2"/>
          <w:sz w:val="24"/>
          <w:szCs w:val="24"/>
          <w:lang w:val="en-US" w:eastAsia="zh-CN" w:bidi="ar-SA"/>
        </w:rPr>
        <w:t>三</w:t>
      </w:r>
      <w:r>
        <w:rPr>
          <w:rFonts w:hint="eastAsia" w:ascii="宋体" w:hAnsi="宋体" w:eastAsia="宋体" w:cs="宋体"/>
          <w:b w:val="0"/>
          <w:bCs w:val="0"/>
          <w:color w:val="000000"/>
          <w:kern w:val="2"/>
          <w:sz w:val="24"/>
          <w:szCs w:val="24"/>
          <w:lang w:val="zh-CN" w:eastAsia="zh-CN" w:bidi="ar-SA"/>
        </w:rPr>
        <w:t>、质量保证</w:t>
      </w:r>
    </w:p>
    <w:p w14:paraId="0C1A114A">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1.保证网络覆盖全面满足采购要求。</w:t>
      </w:r>
    </w:p>
    <w:p w14:paraId="3632C174">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2.符合国家有关规范要求，确保达到最佳运行状态。</w:t>
      </w:r>
    </w:p>
    <w:p w14:paraId="65F50BED">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3.当出现故障时有备选方案。</w:t>
      </w:r>
    </w:p>
    <w:p w14:paraId="7AE4A3C5">
      <w:pPr>
        <w:spacing w:line="360" w:lineRule="auto"/>
        <w:rPr>
          <w:rFonts w:hint="eastAsia" w:ascii="宋体" w:hAnsi="宋体" w:eastAsia="宋体" w:cs="宋体"/>
          <w:b w:val="0"/>
          <w:bCs w:val="0"/>
          <w:color w:val="000000"/>
          <w:kern w:val="2"/>
          <w:sz w:val="24"/>
          <w:szCs w:val="24"/>
          <w:lang w:val="zh-CN" w:eastAsia="zh-CN" w:bidi="ar-SA"/>
        </w:rPr>
      </w:pPr>
      <w:r>
        <w:rPr>
          <w:rFonts w:hint="eastAsia" w:ascii="宋体" w:hAnsi="宋体" w:cs="宋体"/>
          <w:b w:val="0"/>
          <w:bCs w:val="0"/>
          <w:color w:val="000000"/>
          <w:kern w:val="2"/>
          <w:sz w:val="24"/>
          <w:szCs w:val="24"/>
          <w:lang w:val="en-US" w:eastAsia="zh-CN" w:bidi="ar-SA"/>
        </w:rPr>
        <w:t>四</w:t>
      </w:r>
      <w:r>
        <w:rPr>
          <w:rFonts w:hint="eastAsia" w:ascii="宋体" w:hAnsi="宋体" w:eastAsia="宋体" w:cs="宋体"/>
          <w:b w:val="0"/>
          <w:bCs w:val="0"/>
          <w:color w:val="000000"/>
          <w:kern w:val="2"/>
          <w:sz w:val="24"/>
          <w:szCs w:val="24"/>
          <w:lang w:val="zh-CN" w:eastAsia="zh-CN" w:bidi="ar-SA"/>
        </w:rPr>
        <w:t>、验收</w:t>
      </w:r>
    </w:p>
    <w:p w14:paraId="0097CCB4">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t>（1）安装部署并正常使用后，由供应商进行自检合格后，准备验收文件，并书面通知采购人。</w:t>
      </w:r>
    </w:p>
    <w:p w14:paraId="6C1D7C17">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t>（</w:t>
      </w:r>
      <w:r>
        <w:rPr>
          <w:rFonts w:hint="eastAsia" w:ascii="宋体" w:hAnsi="宋体" w:cs="宋体"/>
          <w:b w:val="0"/>
          <w:bCs w:val="0"/>
          <w:color w:val="000000"/>
          <w:kern w:val="2"/>
          <w:sz w:val="24"/>
          <w:szCs w:val="24"/>
          <w:lang w:val="en-US" w:eastAsia="zh-CN" w:bidi="ar-SA"/>
        </w:rPr>
        <w:t>2</w:t>
      </w:r>
      <w:r>
        <w:rPr>
          <w:rFonts w:hint="eastAsia" w:ascii="宋体" w:hAnsi="宋体" w:eastAsia="宋体" w:cs="宋体"/>
          <w:b w:val="0"/>
          <w:bCs w:val="0"/>
          <w:color w:val="000000"/>
          <w:kern w:val="2"/>
          <w:sz w:val="24"/>
          <w:szCs w:val="24"/>
          <w:lang w:val="zh-CN" w:eastAsia="zh-CN" w:bidi="ar-SA"/>
        </w:rPr>
        <w:t>）采购人确认供应商</w:t>
      </w:r>
      <w:r>
        <w:rPr>
          <w:rFonts w:hint="eastAsia" w:ascii="宋体" w:hAnsi="宋体" w:eastAsia="宋体" w:cs="宋体"/>
          <w:b w:val="0"/>
          <w:bCs w:val="0"/>
          <w:color w:val="000000"/>
          <w:kern w:val="2"/>
          <w:sz w:val="24"/>
          <w:szCs w:val="24"/>
          <w:lang w:val="en-US" w:eastAsia="zh-CN" w:bidi="ar-SA"/>
        </w:rPr>
        <w:t>服务</w:t>
      </w:r>
      <w:r>
        <w:rPr>
          <w:rFonts w:hint="eastAsia" w:ascii="宋体" w:hAnsi="宋体" w:eastAsia="宋体" w:cs="宋体"/>
          <w:b w:val="0"/>
          <w:bCs w:val="0"/>
          <w:color w:val="000000"/>
          <w:kern w:val="2"/>
          <w:sz w:val="24"/>
          <w:szCs w:val="24"/>
          <w:lang w:val="zh-CN" w:eastAsia="zh-CN" w:bidi="ar-SA"/>
        </w:rPr>
        <w:t>能够达到采购要求后，组织供应商（必要时请有关专家）进行项目验收，验收合格后，填写项目验收单作为对项目的最终认可。</w:t>
      </w:r>
    </w:p>
    <w:p w14:paraId="4E71E370">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t>（</w:t>
      </w:r>
      <w:r>
        <w:rPr>
          <w:rFonts w:hint="eastAsia" w:ascii="宋体" w:hAnsi="宋体" w:cs="宋体"/>
          <w:b w:val="0"/>
          <w:bCs w:val="0"/>
          <w:color w:val="000000"/>
          <w:kern w:val="2"/>
          <w:sz w:val="24"/>
          <w:szCs w:val="24"/>
          <w:lang w:val="en-US" w:eastAsia="zh-CN" w:bidi="ar-SA"/>
        </w:rPr>
        <w:t>3</w:t>
      </w:r>
      <w:r>
        <w:rPr>
          <w:rFonts w:hint="eastAsia" w:ascii="宋体" w:hAnsi="宋体" w:eastAsia="宋体" w:cs="宋体"/>
          <w:b w:val="0"/>
          <w:bCs w:val="0"/>
          <w:color w:val="000000"/>
          <w:kern w:val="2"/>
          <w:sz w:val="24"/>
          <w:szCs w:val="24"/>
          <w:lang w:val="zh-CN" w:eastAsia="zh-CN" w:bidi="ar-SA"/>
        </w:rPr>
        <w:t>）验收依据</w:t>
      </w:r>
    </w:p>
    <w:p w14:paraId="1EF049A6">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fldChar w:fldCharType="begin"/>
      </w:r>
      <w:r>
        <w:rPr>
          <w:rFonts w:hint="eastAsia" w:ascii="宋体" w:hAnsi="宋体" w:eastAsia="宋体" w:cs="宋体"/>
          <w:b w:val="0"/>
          <w:bCs w:val="0"/>
          <w:color w:val="000000"/>
          <w:kern w:val="2"/>
          <w:sz w:val="24"/>
          <w:szCs w:val="24"/>
          <w:lang w:val="zh-CN" w:eastAsia="zh-CN" w:bidi="ar-SA"/>
        </w:rPr>
        <w:instrText xml:space="preserve"> = 1 \* GB3 </w:instrText>
      </w:r>
      <w:r>
        <w:rPr>
          <w:rFonts w:hint="eastAsia" w:ascii="宋体" w:hAnsi="宋体" w:eastAsia="宋体" w:cs="宋体"/>
          <w:b w:val="0"/>
          <w:bCs w:val="0"/>
          <w:color w:val="000000"/>
          <w:kern w:val="2"/>
          <w:sz w:val="24"/>
          <w:szCs w:val="24"/>
          <w:lang w:val="zh-CN" w:eastAsia="zh-CN" w:bidi="ar-SA"/>
        </w:rPr>
        <w:fldChar w:fldCharType="separate"/>
      </w:r>
      <w:r>
        <w:rPr>
          <w:rFonts w:hint="eastAsia" w:ascii="宋体" w:hAnsi="宋体" w:eastAsia="宋体" w:cs="宋体"/>
          <w:b w:val="0"/>
          <w:bCs w:val="0"/>
          <w:color w:val="000000"/>
          <w:kern w:val="2"/>
          <w:sz w:val="24"/>
          <w:szCs w:val="24"/>
          <w:lang w:val="zh-CN" w:eastAsia="zh-CN" w:bidi="ar-SA"/>
        </w:rPr>
        <w:t>①</w:t>
      </w:r>
      <w:r>
        <w:rPr>
          <w:rFonts w:hint="eastAsia" w:ascii="宋体" w:hAnsi="宋体" w:eastAsia="宋体" w:cs="宋体"/>
          <w:b w:val="0"/>
          <w:bCs w:val="0"/>
          <w:color w:val="000000"/>
          <w:kern w:val="2"/>
          <w:sz w:val="24"/>
          <w:szCs w:val="24"/>
          <w:lang w:val="zh-CN" w:eastAsia="zh-CN" w:bidi="ar-SA"/>
        </w:rPr>
        <w:fldChar w:fldCharType="end"/>
      </w:r>
      <w:r>
        <w:rPr>
          <w:rFonts w:hint="eastAsia" w:ascii="宋体" w:hAnsi="宋体" w:eastAsia="宋体" w:cs="宋体"/>
          <w:b w:val="0"/>
          <w:bCs w:val="0"/>
          <w:color w:val="000000"/>
          <w:kern w:val="2"/>
          <w:sz w:val="24"/>
          <w:szCs w:val="24"/>
          <w:lang w:val="zh-CN" w:eastAsia="zh-CN" w:bidi="ar-SA"/>
        </w:rPr>
        <w:t>采购文件、竞争性磋商响应文件、澄清表（函）；</w:t>
      </w:r>
    </w:p>
    <w:p w14:paraId="7EB700D6">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fldChar w:fldCharType="begin"/>
      </w:r>
      <w:r>
        <w:rPr>
          <w:rFonts w:hint="eastAsia" w:ascii="宋体" w:hAnsi="宋体" w:eastAsia="宋体" w:cs="宋体"/>
          <w:b w:val="0"/>
          <w:bCs w:val="0"/>
          <w:color w:val="000000"/>
          <w:kern w:val="2"/>
          <w:sz w:val="24"/>
          <w:szCs w:val="24"/>
          <w:lang w:val="zh-CN" w:eastAsia="zh-CN" w:bidi="ar-SA"/>
        </w:rPr>
        <w:instrText xml:space="preserve"> = 2 \* GB3 </w:instrText>
      </w:r>
      <w:r>
        <w:rPr>
          <w:rFonts w:hint="eastAsia" w:ascii="宋体" w:hAnsi="宋体" w:eastAsia="宋体" w:cs="宋体"/>
          <w:b w:val="0"/>
          <w:bCs w:val="0"/>
          <w:color w:val="000000"/>
          <w:kern w:val="2"/>
          <w:sz w:val="24"/>
          <w:szCs w:val="24"/>
          <w:lang w:val="zh-CN" w:eastAsia="zh-CN" w:bidi="ar-SA"/>
        </w:rPr>
        <w:fldChar w:fldCharType="separate"/>
      </w:r>
      <w:r>
        <w:rPr>
          <w:rFonts w:hint="eastAsia" w:ascii="宋体" w:hAnsi="宋体" w:eastAsia="宋体" w:cs="宋体"/>
          <w:b w:val="0"/>
          <w:bCs w:val="0"/>
          <w:color w:val="000000"/>
          <w:kern w:val="2"/>
          <w:sz w:val="24"/>
          <w:szCs w:val="24"/>
          <w:lang w:val="zh-CN" w:eastAsia="zh-CN" w:bidi="ar-SA"/>
        </w:rPr>
        <w:t>②</w:t>
      </w:r>
      <w:r>
        <w:rPr>
          <w:rFonts w:hint="eastAsia" w:ascii="宋体" w:hAnsi="宋体" w:eastAsia="宋体" w:cs="宋体"/>
          <w:b w:val="0"/>
          <w:bCs w:val="0"/>
          <w:color w:val="000000"/>
          <w:kern w:val="2"/>
          <w:sz w:val="24"/>
          <w:szCs w:val="24"/>
          <w:lang w:val="zh-CN" w:eastAsia="zh-CN" w:bidi="ar-SA"/>
        </w:rPr>
        <w:fldChar w:fldCharType="end"/>
      </w:r>
      <w:r>
        <w:rPr>
          <w:rFonts w:hint="eastAsia" w:ascii="宋体" w:hAnsi="宋体" w:eastAsia="宋体" w:cs="宋体"/>
          <w:b w:val="0"/>
          <w:bCs w:val="0"/>
          <w:color w:val="000000"/>
          <w:kern w:val="2"/>
          <w:sz w:val="24"/>
          <w:szCs w:val="24"/>
          <w:lang w:val="zh-CN" w:eastAsia="zh-CN" w:bidi="ar-SA"/>
        </w:rPr>
        <w:t>本合同及附件文本；</w:t>
      </w:r>
    </w:p>
    <w:p w14:paraId="2549F0EA">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fldChar w:fldCharType="begin"/>
      </w:r>
      <w:r>
        <w:rPr>
          <w:rFonts w:hint="eastAsia" w:ascii="宋体" w:hAnsi="宋体" w:eastAsia="宋体" w:cs="宋体"/>
          <w:b w:val="0"/>
          <w:bCs w:val="0"/>
          <w:color w:val="000000"/>
          <w:kern w:val="2"/>
          <w:sz w:val="24"/>
          <w:szCs w:val="24"/>
          <w:lang w:val="zh-CN" w:eastAsia="zh-CN" w:bidi="ar-SA"/>
        </w:rPr>
        <w:instrText xml:space="preserve"> = 3 \* GB3 </w:instrText>
      </w:r>
      <w:r>
        <w:rPr>
          <w:rFonts w:hint="eastAsia" w:ascii="宋体" w:hAnsi="宋体" w:eastAsia="宋体" w:cs="宋体"/>
          <w:b w:val="0"/>
          <w:bCs w:val="0"/>
          <w:color w:val="000000"/>
          <w:kern w:val="2"/>
          <w:sz w:val="24"/>
          <w:szCs w:val="24"/>
          <w:lang w:val="zh-CN" w:eastAsia="zh-CN" w:bidi="ar-SA"/>
        </w:rPr>
        <w:fldChar w:fldCharType="separate"/>
      </w:r>
      <w:r>
        <w:rPr>
          <w:rFonts w:hint="eastAsia" w:ascii="宋体" w:hAnsi="宋体" w:eastAsia="宋体" w:cs="宋体"/>
          <w:b w:val="0"/>
          <w:bCs w:val="0"/>
          <w:color w:val="000000"/>
          <w:kern w:val="2"/>
          <w:sz w:val="24"/>
          <w:szCs w:val="24"/>
          <w:lang w:val="zh-CN" w:eastAsia="zh-CN" w:bidi="ar-SA"/>
        </w:rPr>
        <w:t>③</w:t>
      </w:r>
      <w:r>
        <w:rPr>
          <w:rFonts w:hint="eastAsia" w:ascii="宋体" w:hAnsi="宋体" w:eastAsia="宋体" w:cs="宋体"/>
          <w:b w:val="0"/>
          <w:bCs w:val="0"/>
          <w:color w:val="000000"/>
          <w:kern w:val="2"/>
          <w:sz w:val="24"/>
          <w:szCs w:val="24"/>
          <w:lang w:val="zh-CN" w:eastAsia="zh-CN" w:bidi="ar-SA"/>
        </w:rPr>
        <w:fldChar w:fldCharType="end"/>
      </w:r>
      <w:r>
        <w:rPr>
          <w:rFonts w:hint="eastAsia" w:ascii="宋体" w:hAnsi="宋体" w:eastAsia="宋体" w:cs="宋体"/>
          <w:b w:val="0"/>
          <w:bCs w:val="0"/>
          <w:color w:val="000000"/>
          <w:kern w:val="2"/>
          <w:sz w:val="24"/>
          <w:szCs w:val="24"/>
          <w:lang w:val="zh-CN" w:eastAsia="zh-CN" w:bidi="ar-SA"/>
        </w:rPr>
        <w:t>国家相应的标准、规范。</w:t>
      </w:r>
    </w:p>
    <w:p w14:paraId="486AAFFB">
      <w:pPr>
        <w:spacing w:line="360" w:lineRule="auto"/>
        <w:rPr>
          <w:rFonts w:hint="eastAsia" w:ascii="宋体" w:hAnsi="宋体" w:eastAsia="宋体" w:cs="宋体"/>
          <w:b w:val="0"/>
          <w:bCs w:val="0"/>
          <w:color w:val="000000"/>
          <w:kern w:val="2"/>
          <w:sz w:val="24"/>
          <w:szCs w:val="24"/>
          <w:lang w:val="zh-CN" w:eastAsia="zh-CN" w:bidi="ar-SA"/>
        </w:rPr>
      </w:pPr>
      <w:r>
        <w:rPr>
          <w:rFonts w:hint="eastAsia" w:ascii="宋体" w:hAnsi="宋体" w:cs="宋体"/>
          <w:b w:val="0"/>
          <w:bCs w:val="0"/>
          <w:color w:val="000000"/>
          <w:kern w:val="2"/>
          <w:sz w:val="24"/>
          <w:szCs w:val="24"/>
          <w:lang w:val="en-US" w:eastAsia="zh-CN" w:bidi="ar-SA"/>
        </w:rPr>
        <w:t>五</w:t>
      </w:r>
      <w:r>
        <w:rPr>
          <w:rFonts w:hint="eastAsia" w:ascii="宋体" w:hAnsi="宋体" w:eastAsia="宋体" w:cs="宋体"/>
          <w:b w:val="0"/>
          <w:bCs w:val="0"/>
          <w:color w:val="000000"/>
          <w:kern w:val="2"/>
          <w:sz w:val="24"/>
          <w:szCs w:val="24"/>
          <w:lang w:val="zh-CN" w:eastAsia="zh-CN" w:bidi="ar-SA"/>
        </w:rPr>
        <w:t>、违约责任</w:t>
      </w:r>
    </w:p>
    <w:p w14:paraId="5FB51E72">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t>（1）按《</w:t>
      </w:r>
      <w:r>
        <w:rPr>
          <w:rFonts w:hint="eastAsia" w:ascii="宋体" w:hAnsi="宋体" w:eastAsia="宋体" w:cs="宋体"/>
          <w:b w:val="0"/>
          <w:bCs w:val="0"/>
          <w:color w:val="000000"/>
          <w:kern w:val="2"/>
          <w:sz w:val="24"/>
          <w:szCs w:val="24"/>
          <w:lang w:val="en-US" w:eastAsia="zh-CN" w:bidi="ar-SA"/>
        </w:rPr>
        <w:t>中华人民共和国民法典</w:t>
      </w:r>
      <w:r>
        <w:rPr>
          <w:rFonts w:hint="eastAsia" w:ascii="宋体" w:hAnsi="宋体" w:eastAsia="宋体" w:cs="宋体"/>
          <w:b w:val="0"/>
          <w:bCs w:val="0"/>
          <w:color w:val="000000"/>
          <w:kern w:val="2"/>
          <w:sz w:val="24"/>
          <w:szCs w:val="24"/>
          <w:lang w:val="zh-CN" w:eastAsia="zh-CN" w:bidi="ar-SA"/>
        </w:rPr>
        <w:t>》中的相关条款执行。</w:t>
      </w:r>
    </w:p>
    <w:p w14:paraId="4676EEC2">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t>（2）未按合同要求提供的</w:t>
      </w:r>
      <w:r>
        <w:rPr>
          <w:rFonts w:hint="eastAsia" w:ascii="宋体" w:hAnsi="宋体" w:eastAsia="宋体" w:cs="宋体"/>
          <w:b w:val="0"/>
          <w:bCs w:val="0"/>
          <w:color w:val="000000"/>
          <w:kern w:val="2"/>
          <w:sz w:val="24"/>
          <w:szCs w:val="24"/>
          <w:lang w:val="en-US" w:eastAsia="zh-CN" w:bidi="ar-SA"/>
        </w:rPr>
        <w:t>服务</w:t>
      </w:r>
      <w:r>
        <w:rPr>
          <w:rFonts w:hint="eastAsia" w:ascii="宋体" w:hAnsi="宋体" w:eastAsia="宋体" w:cs="宋体"/>
          <w:b w:val="0"/>
          <w:bCs w:val="0"/>
          <w:color w:val="000000"/>
          <w:kern w:val="2"/>
          <w:sz w:val="24"/>
          <w:szCs w:val="24"/>
          <w:lang w:val="zh-CN" w:eastAsia="zh-CN" w:bidi="ar-SA"/>
        </w:rPr>
        <w:t>质量不能满足合同技术要求，采购人有权终止合同和对供应商的违约行为进行追究。</w:t>
      </w:r>
    </w:p>
    <w:p w14:paraId="24289F3E">
      <w:pPr>
        <w:spacing w:line="4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注：商务要求为实质性要求，不得负偏离。</w:t>
      </w:r>
      <w:bookmarkStart w:id="56" w:name="_Toc18923"/>
    </w:p>
    <w:p w14:paraId="51EDA410">
      <w:pPr>
        <w:pStyle w:val="2"/>
        <w:ind w:firstLine="482"/>
        <w:rPr>
          <w:rFonts w:hint="eastAsia" w:ascii="宋体" w:hAnsi="宋体" w:eastAsia="宋体" w:cs="宋体"/>
          <w:b/>
          <w:color w:val="000000"/>
          <w:sz w:val="24"/>
          <w:szCs w:val="24"/>
        </w:rPr>
      </w:pPr>
    </w:p>
    <w:p w14:paraId="31CE0743">
      <w:pPr>
        <w:pStyle w:val="2"/>
        <w:ind w:firstLine="482"/>
        <w:rPr>
          <w:rFonts w:hint="eastAsia" w:ascii="宋体" w:hAnsi="宋体" w:eastAsia="宋体" w:cs="宋体"/>
          <w:b/>
          <w:color w:val="000000"/>
          <w:sz w:val="24"/>
          <w:szCs w:val="24"/>
        </w:rPr>
      </w:pPr>
    </w:p>
    <w:p w14:paraId="335AEF08">
      <w:pPr>
        <w:pStyle w:val="2"/>
        <w:ind w:firstLine="482"/>
        <w:rPr>
          <w:rFonts w:hint="eastAsia" w:ascii="宋体" w:hAnsi="宋体" w:eastAsia="宋体" w:cs="宋体"/>
          <w:b/>
          <w:color w:val="000000"/>
          <w:sz w:val="24"/>
          <w:szCs w:val="24"/>
        </w:rPr>
      </w:pPr>
    </w:p>
    <w:p w14:paraId="1051CBB5">
      <w:pPr>
        <w:pStyle w:val="2"/>
        <w:ind w:left="0" w:firstLine="0" w:firstLineChars="0"/>
        <w:jc w:val="both"/>
        <w:rPr>
          <w:rFonts w:hint="eastAsia" w:ascii="宋体" w:hAnsi="宋体" w:eastAsia="宋体" w:cs="宋体"/>
          <w:b/>
          <w:color w:val="000000"/>
          <w:sz w:val="24"/>
          <w:szCs w:val="24"/>
        </w:rPr>
      </w:pPr>
    </w:p>
    <w:p w14:paraId="06D1B2B0">
      <w:pPr>
        <w:pStyle w:val="2"/>
        <w:ind w:left="0" w:firstLine="0" w:firstLineChars="0"/>
        <w:jc w:val="center"/>
        <w:outlineLvl w:val="0"/>
        <w:rPr>
          <w:rFonts w:hint="eastAsia" w:ascii="宋体" w:hAnsi="宋体" w:eastAsia="宋体" w:cs="宋体"/>
          <w:b/>
          <w:color w:val="000000"/>
          <w:kern w:val="44"/>
          <w:sz w:val="44"/>
          <w:szCs w:val="44"/>
          <w:lang w:bidi="ar"/>
        </w:rPr>
      </w:pPr>
      <w:r>
        <w:rPr>
          <w:rFonts w:hint="eastAsia" w:ascii="宋体" w:hAnsi="宋体" w:eastAsia="宋体" w:cs="宋体"/>
          <w:b/>
          <w:color w:val="000000"/>
          <w:kern w:val="44"/>
          <w:sz w:val="44"/>
          <w:szCs w:val="44"/>
          <w:lang w:bidi="ar"/>
        </w:rPr>
        <w:br w:type="page"/>
      </w:r>
      <w:bookmarkStart w:id="57" w:name="_Toc3403"/>
      <w:bookmarkStart w:id="58" w:name="_Toc7029"/>
      <w:r>
        <w:rPr>
          <w:rFonts w:hint="eastAsia" w:ascii="宋体" w:hAnsi="宋体" w:eastAsia="宋体" w:cs="宋体"/>
          <w:b/>
          <w:color w:val="000000"/>
          <w:kern w:val="44"/>
          <w:sz w:val="44"/>
          <w:szCs w:val="44"/>
          <w:lang w:bidi="ar"/>
        </w:rPr>
        <w:t>第五章 合同协议书（</w:t>
      </w:r>
      <w:r>
        <w:rPr>
          <w:rFonts w:hint="eastAsia" w:hAnsi="宋体" w:cs="宋体"/>
          <w:b/>
          <w:color w:val="000000"/>
          <w:kern w:val="44"/>
          <w:sz w:val="44"/>
          <w:szCs w:val="44"/>
          <w:lang w:val="en-US" w:eastAsia="zh-CN" w:bidi="ar"/>
        </w:rPr>
        <w:t>仅供</w:t>
      </w:r>
      <w:r>
        <w:rPr>
          <w:rFonts w:hint="eastAsia" w:ascii="宋体" w:hAnsi="宋体" w:eastAsia="宋体" w:cs="宋体"/>
          <w:b/>
          <w:color w:val="000000"/>
          <w:kern w:val="44"/>
          <w:sz w:val="44"/>
          <w:szCs w:val="44"/>
          <w:lang w:bidi="ar"/>
        </w:rPr>
        <w:t>参考）</w:t>
      </w:r>
      <w:bookmarkEnd w:id="57"/>
      <w:bookmarkEnd w:id="58"/>
    </w:p>
    <w:p w14:paraId="6F7B0D8E">
      <w:pPr>
        <w:pStyle w:val="2"/>
        <w:ind w:firstLine="482"/>
        <w:rPr>
          <w:rFonts w:hint="eastAsia" w:ascii="宋体" w:hAnsi="宋体" w:eastAsia="宋体" w:cs="宋体"/>
          <w:b/>
          <w:color w:val="000000"/>
          <w:sz w:val="24"/>
          <w:szCs w:val="24"/>
        </w:rPr>
      </w:pPr>
    </w:p>
    <w:bookmarkEnd w:id="56"/>
    <w:p w14:paraId="7D1EB628">
      <w:pPr>
        <w:spacing w:before="120"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第一部分  协议书</w:t>
      </w:r>
    </w:p>
    <w:p w14:paraId="3AEF53BE">
      <w:pPr>
        <w:adjustRightInd w:val="0"/>
        <w:snapToGrid w:val="0"/>
        <w:spacing w:line="5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采购人</w:t>
      </w:r>
      <w:r>
        <w:rPr>
          <w:rFonts w:hint="eastAsia" w:ascii="宋体" w:hAnsi="宋体" w:eastAsia="宋体" w:cs="宋体"/>
          <w:b/>
          <w:sz w:val="24"/>
          <w:szCs w:val="24"/>
        </w:rPr>
        <w:t>（全称）：</w:t>
      </w:r>
      <w:r>
        <w:rPr>
          <w:rFonts w:hint="eastAsia" w:ascii="宋体" w:hAnsi="宋体" w:eastAsia="宋体" w:cs="宋体"/>
          <w:b/>
          <w:sz w:val="24"/>
          <w:szCs w:val="24"/>
          <w:u w:val="single"/>
        </w:rPr>
        <w:t xml:space="preserve">                                      </w:t>
      </w:r>
    </w:p>
    <w:p w14:paraId="51BA9A5C">
      <w:pPr>
        <w:adjustRightInd w:val="0"/>
        <w:snapToGrid w:val="0"/>
        <w:spacing w:line="58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成交人（全称）：</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p>
    <w:p w14:paraId="1D78E56B">
      <w:pPr>
        <w:adjustRightInd w:val="0"/>
        <w:snapToGrid w:val="0"/>
        <w:spacing w:line="5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根据《中华人民共和国民法典》及其他有关法律、法规，遵循平等、自愿、公平和诚信的原则，双方就下述项目范围与相关服务事项协商一致，订立本合同。</w:t>
      </w:r>
    </w:p>
    <w:p w14:paraId="62AF6CFD">
      <w:pPr>
        <w:spacing w:line="580" w:lineRule="exact"/>
        <w:rPr>
          <w:rFonts w:hint="eastAsia" w:ascii="宋体" w:hAnsi="宋体" w:eastAsia="宋体" w:cs="宋体"/>
          <w:b/>
          <w:sz w:val="24"/>
          <w:szCs w:val="24"/>
        </w:rPr>
      </w:pPr>
      <w:r>
        <w:rPr>
          <w:rFonts w:hint="eastAsia" w:ascii="宋体" w:hAnsi="宋体" w:eastAsia="宋体" w:cs="宋体"/>
          <w:b/>
          <w:sz w:val="24"/>
          <w:szCs w:val="24"/>
        </w:rPr>
        <w:t>一、项目概况</w:t>
      </w:r>
    </w:p>
    <w:p w14:paraId="6370CA32">
      <w:pP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5C5A1C3">
      <w:pP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 项目地点：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2C1E8EE">
      <w:pPr>
        <w:spacing w:line="580" w:lineRule="exact"/>
        <w:rPr>
          <w:rFonts w:hint="eastAsia" w:ascii="宋体" w:hAnsi="宋体" w:eastAsia="宋体" w:cs="宋体"/>
          <w:b/>
          <w:sz w:val="24"/>
          <w:szCs w:val="24"/>
        </w:rPr>
      </w:pPr>
      <w:r>
        <w:rPr>
          <w:rFonts w:hint="eastAsia" w:ascii="宋体" w:hAnsi="宋体" w:eastAsia="宋体" w:cs="宋体"/>
          <w:b/>
          <w:sz w:val="24"/>
          <w:szCs w:val="24"/>
        </w:rPr>
        <w:t>二、组成本合同的文件</w:t>
      </w:r>
    </w:p>
    <w:p w14:paraId="1518D9C9">
      <w:pP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 协议书；</w:t>
      </w:r>
    </w:p>
    <w:p w14:paraId="69FC8265">
      <w:pP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 成交通知书、磋商响应文件、磋商文件、澄清、补充文件；</w:t>
      </w:r>
    </w:p>
    <w:p w14:paraId="0445BE26">
      <w:pPr>
        <w:adjustRightInd w:val="0"/>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相关服务建议书；</w:t>
      </w:r>
    </w:p>
    <w:p w14:paraId="1B0A1C7A">
      <w:pPr>
        <w:adjustRightInd w:val="0"/>
        <w:snapToGrid w:val="0"/>
        <w:spacing w:line="580" w:lineRule="exact"/>
        <w:rPr>
          <w:rFonts w:hint="eastAsia" w:ascii="宋体" w:hAnsi="宋体" w:eastAsia="宋体" w:cs="宋体"/>
          <w:sz w:val="24"/>
          <w:szCs w:val="24"/>
        </w:rPr>
      </w:pPr>
      <w:r>
        <w:rPr>
          <w:rFonts w:hint="eastAsia" w:ascii="宋体" w:hAnsi="宋体" w:eastAsia="宋体" w:cs="宋体"/>
          <w:sz w:val="24"/>
          <w:szCs w:val="24"/>
        </w:rPr>
        <w:t xml:space="preserve">    4. 附录，即：附表内相关服务的范围和内容；</w:t>
      </w:r>
    </w:p>
    <w:p w14:paraId="7469A496">
      <w:pP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本合同签订后，双方依法签订的补充协议也是本合同文件的组成部分。</w:t>
      </w:r>
    </w:p>
    <w:p w14:paraId="15192DC3">
      <w:pPr>
        <w:spacing w:line="580" w:lineRule="exact"/>
        <w:rPr>
          <w:rFonts w:hint="eastAsia" w:ascii="宋体" w:hAnsi="宋体" w:eastAsia="宋体" w:cs="宋体"/>
          <w:b/>
          <w:sz w:val="24"/>
          <w:szCs w:val="24"/>
        </w:rPr>
      </w:pPr>
      <w:r>
        <w:rPr>
          <w:rFonts w:hint="eastAsia" w:ascii="宋体" w:hAnsi="宋体" w:eastAsia="宋体" w:cs="宋体"/>
          <w:b/>
          <w:sz w:val="24"/>
          <w:szCs w:val="24"/>
        </w:rPr>
        <w:t>三、合同金额及服务期</w:t>
      </w:r>
    </w:p>
    <w:p w14:paraId="40E149B7">
      <w:pP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合同金额（大写）：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        ）。</w:t>
      </w:r>
    </w:p>
    <w:p w14:paraId="670EDB3E">
      <w:pPr>
        <w:adjustRightInd w:val="0"/>
        <w:snapToGrid w:val="0"/>
        <w:spacing w:line="52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合同总价即成交价，为一次性报价，不受市场价变化或实际工作量变化的影响。合同价格为含税价。</w:t>
      </w:r>
    </w:p>
    <w:p w14:paraId="77A4E896">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服务期：</w:t>
      </w:r>
      <w:r>
        <w:rPr>
          <w:rFonts w:hint="eastAsia" w:ascii="宋体" w:hAnsi="宋体" w:eastAsia="宋体" w:cs="宋体"/>
          <w:sz w:val="24"/>
          <w:szCs w:val="24"/>
          <w:lang w:val="en-US" w:eastAsia="zh-CN"/>
        </w:rPr>
        <w:t>一</w:t>
      </w:r>
      <w:r>
        <w:rPr>
          <w:rFonts w:hint="eastAsia" w:ascii="宋体" w:hAnsi="宋体" w:eastAsia="宋体" w:cs="宋体"/>
          <w:sz w:val="24"/>
          <w:szCs w:val="24"/>
        </w:rPr>
        <w:t>年</w:t>
      </w:r>
    </w:p>
    <w:p w14:paraId="25A263CE">
      <w:pPr>
        <w:numPr>
          <w:ilvl w:val="0"/>
          <w:numId w:val="6"/>
        </w:numPr>
        <w:adjustRightInd w:val="0"/>
        <w:snapToGrid w:val="0"/>
        <w:spacing w:line="520" w:lineRule="exact"/>
        <w:rPr>
          <w:rFonts w:hint="eastAsia" w:ascii="宋体" w:eastAsia="宋体" w:cs="宋体"/>
          <w:b w:val="0"/>
          <w:bCs w:val="0"/>
          <w:color w:val="000000"/>
          <w:kern w:val="2"/>
          <w:sz w:val="24"/>
          <w:szCs w:val="24"/>
          <w:lang w:val="en-US" w:eastAsia="zh-CN" w:bidi="ar-SA"/>
        </w:rPr>
      </w:pPr>
      <w:r>
        <w:rPr>
          <w:rFonts w:hint="eastAsia" w:ascii="宋体" w:hAnsi="宋体" w:eastAsia="宋体" w:cs="宋体"/>
          <w:b/>
          <w:sz w:val="24"/>
          <w:szCs w:val="24"/>
        </w:rPr>
        <w:t>结算方式</w:t>
      </w:r>
      <w:r>
        <w:rPr>
          <w:rFonts w:hint="eastAsia" w:ascii="宋体" w:hAnsi="宋体" w:cs="宋体"/>
          <w:b/>
          <w:sz w:val="24"/>
          <w:szCs w:val="24"/>
          <w:lang w:eastAsia="zh-CN"/>
        </w:rPr>
        <w:t>：</w:t>
      </w:r>
      <w:r>
        <w:rPr>
          <w:rFonts w:hint="eastAsia" w:ascii="宋体" w:eastAsia="宋体" w:cs="宋体"/>
          <w:b w:val="0"/>
          <w:bCs w:val="0"/>
          <w:color w:val="000000"/>
          <w:kern w:val="2"/>
          <w:sz w:val="24"/>
          <w:szCs w:val="24"/>
          <w:lang w:val="en-US" w:eastAsia="zh-CN" w:bidi="ar-SA"/>
        </w:rPr>
        <w:t>成交供应商与采购人指定的项目实施单位签订合同时自行协商</w:t>
      </w:r>
    </w:p>
    <w:p w14:paraId="5D098B1E">
      <w:pPr>
        <w:tabs>
          <w:tab w:val="left" w:pos="840"/>
        </w:tabs>
        <w:spacing w:line="520" w:lineRule="exact"/>
        <w:rPr>
          <w:rFonts w:hint="eastAsia" w:ascii="宋体" w:hAnsi="宋体" w:eastAsia="宋体" w:cs="宋体"/>
          <w:b/>
          <w:sz w:val="24"/>
          <w:szCs w:val="24"/>
        </w:rPr>
      </w:pPr>
      <w:r>
        <w:rPr>
          <w:rFonts w:hint="eastAsia" w:ascii="宋体" w:hAnsi="宋体" w:cs="宋体"/>
          <w:b/>
          <w:sz w:val="24"/>
          <w:szCs w:val="24"/>
          <w:lang w:val="en-US" w:eastAsia="zh-CN"/>
        </w:rPr>
        <w:t>五</w:t>
      </w:r>
      <w:r>
        <w:rPr>
          <w:rFonts w:hint="eastAsia" w:ascii="宋体" w:hAnsi="宋体" w:eastAsia="宋体" w:cs="宋体"/>
          <w:b/>
          <w:sz w:val="24"/>
          <w:szCs w:val="24"/>
        </w:rPr>
        <w:t>、质量保证：</w:t>
      </w:r>
    </w:p>
    <w:p w14:paraId="50CC6587">
      <w:pPr>
        <w:pStyle w:val="11"/>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成交人提供的服务，应全面满足磋商文件的要求，磋商文件未明确要求的内容，成交人须按采购人</w:t>
      </w:r>
      <w:r>
        <w:rPr>
          <w:rFonts w:hint="eastAsia" w:ascii="宋体" w:hAnsi="宋体" w:cs="宋体"/>
          <w:sz w:val="24"/>
          <w:szCs w:val="24"/>
          <w:lang w:val="en-US" w:eastAsia="zh-CN"/>
        </w:rPr>
        <w:t>及采购人指定的实施单位</w:t>
      </w:r>
      <w:r>
        <w:rPr>
          <w:rFonts w:hint="eastAsia" w:ascii="宋体" w:hAnsi="宋体" w:eastAsia="宋体" w:cs="宋体"/>
          <w:sz w:val="24"/>
          <w:szCs w:val="24"/>
        </w:rPr>
        <w:t>的补充要求为准。</w:t>
      </w:r>
    </w:p>
    <w:p w14:paraId="51CBF400">
      <w:pPr>
        <w:tabs>
          <w:tab w:val="left" w:pos="840"/>
        </w:tabs>
        <w:spacing w:line="520" w:lineRule="exact"/>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、验收</w:t>
      </w:r>
    </w:p>
    <w:p w14:paraId="6028A5C6">
      <w:pPr>
        <w:tabs>
          <w:tab w:val="left" w:pos="840"/>
        </w:tabs>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详见磋商文件及成交供应商的磋商响应文件及相关的澄清资料。</w:t>
      </w:r>
    </w:p>
    <w:p w14:paraId="4244D517">
      <w:pPr>
        <w:spacing w:line="520" w:lineRule="exact"/>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、保密</w:t>
      </w:r>
    </w:p>
    <w:p w14:paraId="5E66F416">
      <w:pPr>
        <w:tabs>
          <w:tab w:val="left" w:pos="1080"/>
        </w:tabs>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对工作中了解到的</w:t>
      </w:r>
      <w:r>
        <w:rPr>
          <w:rFonts w:hint="eastAsia" w:ascii="宋体" w:hAnsi="宋体" w:eastAsia="宋体" w:cs="宋体"/>
          <w:sz w:val="24"/>
          <w:szCs w:val="24"/>
          <w:lang w:eastAsia="zh-CN"/>
        </w:rPr>
        <w:t>采购人</w:t>
      </w:r>
      <w:r>
        <w:rPr>
          <w:rFonts w:hint="eastAsia" w:ascii="宋体" w:hAnsi="宋体" w:eastAsia="宋体" w:cs="宋体"/>
          <w:sz w:val="24"/>
          <w:szCs w:val="24"/>
        </w:rPr>
        <w:t>的技术、机密等进行严格保密，不得向他人泄漏。本合同的解除或终止不免除供应商应承担的保密义务。</w:t>
      </w:r>
    </w:p>
    <w:p w14:paraId="2DAF3F60">
      <w:pPr>
        <w:spacing w:line="520" w:lineRule="exact"/>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、合同争议的解决</w:t>
      </w:r>
    </w:p>
    <w:p w14:paraId="2DC5926F">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    合同执行中发生争议的，当事人双方应协商解决。协商达不成一致时，可向宝鸡市行政仲裁机关申请仲裁。</w:t>
      </w:r>
    </w:p>
    <w:p w14:paraId="2A98A727">
      <w:pPr>
        <w:spacing w:line="520" w:lineRule="exact"/>
        <w:jc w:val="left"/>
        <w:rPr>
          <w:rFonts w:hint="eastAsia" w:ascii="宋体" w:hAnsi="宋体" w:eastAsia="宋体" w:cs="宋体"/>
          <w:b/>
          <w:bCs/>
          <w:sz w:val="24"/>
          <w:szCs w:val="24"/>
        </w:rPr>
      </w:pPr>
      <w:r>
        <w:rPr>
          <w:rFonts w:hint="eastAsia" w:ascii="宋体" w:hAnsi="宋体" w:cs="宋体"/>
          <w:b/>
          <w:bCs/>
          <w:sz w:val="24"/>
          <w:szCs w:val="24"/>
          <w:lang w:val="en-US" w:eastAsia="zh-CN"/>
        </w:rPr>
        <w:t>九</w:t>
      </w:r>
      <w:r>
        <w:rPr>
          <w:rFonts w:hint="eastAsia" w:ascii="宋体" w:hAnsi="宋体" w:eastAsia="宋体" w:cs="宋体"/>
          <w:b/>
          <w:bCs/>
          <w:sz w:val="24"/>
          <w:szCs w:val="24"/>
        </w:rPr>
        <w:t>、不可抗力情况下的免责约定</w:t>
      </w:r>
    </w:p>
    <w:p w14:paraId="5D98A879">
      <w:pPr>
        <w:spacing w:line="520" w:lineRule="exact"/>
        <w:jc w:val="left"/>
        <w:rPr>
          <w:rFonts w:hint="eastAsia" w:ascii="宋体" w:hAnsi="宋体" w:eastAsia="宋体" w:cs="宋体"/>
          <w:sz w:val="24"/>
          <w:szCs w:val="24"/>
        </w:rPr>
      </w:pPr>
      <w:r>
        <w:rPr>
          <w:rFonts w:hint="eastAsia" w:ascii="宋体" w:hAnsi="宋体" w:eastAsia="宋体" w:cs="宋体"/>
          <w:sz w:val="24"/>
          <w:szCs w:val="24"/>
        </w:rPr>
        <w:t xml:space="preserve">    双方约定不可抗力情况指：双方不可预见、不可避免、不可克服的客观情况，但不包括双方的违约或疏忽。这些事件包括但不限于：战争、严重火灾、洪水、台风、地震等。</w:t>
      </w:r>
    </w:p>
    <w:p w14:paraId="61C6B755">
      <w:pPr>
        <w:spacing w:line="520" w:lineRule="exact"/>
        <w:rPr>
          <w:rFonts w:hint="eastAsia" w:ascii="宋体" w:hAnsi="宋体" w:eastAsia="宋体" w:cs="宋体"/>
          <w:b/>
          <w:sz w:val="24"/>
          <w:szCs w:val="24"/>
        </w:rPr>
      </w:pPr>
      <w:r>
        <w:rPr>
          <w:rFonts w:hint="eastAsia" w:ascii="宋体" w:hAnsi="宋体" w:eastAsia="宋体" w:cs="宋体"/>
          <w:b/>
          <w:sz w:val="24"/>
          <w:szCs w:val="24"/>
        </w:rPr>
        <w:t>十、违约责任</w:t>
      </w:r>
    </w:p>
    <w:p w14:paraId="5579F362">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    依据《中华人民共和国民法典》、《中华人民共和国政府采购法》、《中华人民共和国政府采购法实施条例》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14:paraId="35F3E1C6">
      <w:pPr>
        <w:spacing w:line="52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cs="宋体"/>
          <w:b/>
          <w:sz w:val="24"/>
          <w:szCs w:val="24"/>
          <w:lang w:val="en-US" w:eastAsia="zh-CN"/>
        </w:rPr>
        <w:t>一</w:t>
      </w:r>
      <w:r>
        <w:rPr>
          <w:rFonts w:hint="eastAsia" w:ascii="宋体" w:hAnsi="宋体" w:eastAsia="宋体" w:cs="宋体"/>
          <w:b/>
          <w:sz w:val="24"/>
          <w:szCs w:val="24"/>
        </w:rPr>
        <w:t>、其他（</w:t>
      </w:r>
      <w:r>
        <w:rPr>
          <w:rFonts w:hint="eastAsia" w:ascii="宋体" w:hAnsi="宋体" w:eastAsia="宋体" w:cs="宋体"/>
          <w:sz w:val="24"/>
          <w:szCs w:val="24"/>
        </w:rPr>
        <w:t>在合同中具体明确）</w:t>
      </w:r>
    </w:p>
    <w:p w14:paraId="44F914AF">
      <w:pPr>
        <w:spacing w:line="580" w:lineRule="exact"/>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cs="宋体"/>
          <w:b/>
          <w:sz w:val="24"/>
          <w:szCs w:val="24"/>
          <w:lang w:val="en-US" w:eastAsia="zh-CN"/>
        </w:rPr>
        <w:t>二</w:t>
      </w:r>
      <w:r>
        <w:rPr>
          <w:rFonts w:hint="eastAsia" w:ascii="宋体" w:hAnsi="宋体" w:eastAsia="宋体" w:cs="宋体"/>
          <w:b/>
          <w:sz w:val="24"/>
          <w:szCs w:val="24"/>
        </w:rPr>
        <w:t>、合同订立</w:t>
      </w:r>
    </w:p>
    <w:p w14:paraId="43D87F56">
      <w:pP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 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BEC2A30">
      <w:pP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 订立地点：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BF005BB">
      <w:pPr>
        <w:tabs>
          <w:tab w:val="left" w:pos="980"/>
        </w:tabs>
        <w:kinsoku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份，具有同等法律效力，双方各执</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份，监管部门备案   </w:t>
      </w:r>
      <w:r>
        <w:rPr>
          <w:rFonts w:hint="eastAsia" w:ascii="宋体" w:hAnsi="宋体" w:eastAsia="宋体" w:cs="宋体"/>
          <w:sz w:val="24"/>
          <w:szCs w:val="24"/>
          <w:u w:val="single"/>
        </w:rPr>
        <w:t xml:space="preserve"> </w:t>
      </w:r>
      <w:r>
        <w:rPr>
          <w:rFonts w:hint="eastAsia" w:ascii="宋体" w:hAnsi="宋体" w:eastAsia="宋体" w:cs="宋体"/>
          <w:sz w:val="24"/>
          <w:szCs w:val="24"/>
        </w:rPr>
        <w:t>份。各方签字盖章后生效，合同执行完毕自动失效。（合同的服务承诺则长期有效）。</w:t>
      </w:r>
    </w:p>
    <w:p w14:paraId="6BC56A5E">
      <w:pPr>
        <w:tabs>
          <w:tab w:val="left" w:pos="980"/>
        </w:tabs>
        <w:kinsoku w:val="0"/>
        <w:spacing w:line="360" w:lineRule="auto"/>
        <w:ind w:firstLine="480" w:firstLineChars="200"/>
        <w:rPr>
          <w:rFonts w:hint="eastAsia" w:ascii="宋体" w:hAnsi="宋体" w:eastAsia="宋体" w:cs="宋体"/>
          <w:sz w:val="24"/>
          <w:szCs w:val="24"/>
        </w:rPr>
      </w:pPr>
    </w:p>
    <w:p w14:paraId="354ABE0D">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eastAsia="宋体" w:cs="宋体"/>
          <w:sz w:val="24"/>
          <w:szCs w:val="24"/>
          <w:u w:val="single"/>
        </w:rPr>
        <w:t xml:space="preserve">   （盖章）     </w:t>
      </w:r>
      <w:r>
        <w:rPr>
          <w:rFonts w:hint="eastAsia" w:ascii="宋体" w:hAnsi="宋体" w:eastAsia="宋体" w:cs="宋体"/>
          <w:sz w:val="24"/>
          <w:szCs w:val="24"/>
        </w:rPr>
        <w:t xml:space="preserve">           成交人：</w:t>
      </w:r>
      <w:r>
        <w:rPr>
          <w:rFonts w:hint="eastAsia" w:ascii="宋体" w:hAnsi="宋体" w:eastAsia="宋体" w:cs="宋体"/>
          <w:sz w:val="24"/>
          <w:szCs w:val="24"/>
          <w:u w:val="single"/>
        </w:rPr>
        <w:t xml:space="preserve">   （盖章）    </w:t>
      </w:r>
    </w:p>
    <w:p w14:paraId="629B2F8E">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 </w:t>
      </w:r>
      <w:r>
        <w:rPr>
          <w:rFonts w:hint="eastAsia" w:ascii="宋体" w:hAnsi="宋体" w:eastAsia="宋体" w:cs="宋体"/>
          <w:sz w:val="24"/>
          <w:szCs w:val="24"/>
          <w:u w:val="single"/>
        </w:rPr>
        <w:t xml:space="preserve">                      </w:t>
      </w:r>
    </w:p>
    <w:p w14:paraId="2D0F545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14:paraId="6D7A45C0">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法定代表人或其授权                 法定代表人或其授权</w:t>
      </w:r>
    </w:p>
    <w:p w14:paraId="6CBFF89B">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的代理人：</w:t>
      </w:r>
      <w:r>
        <w:rPr>
          <w:rFonts w:hint="eastAsia" w:ascii="宋体" w:hAnsi="宋体" w:eastAsia="宋体" w:cs="宋体"/>
          <w:sz w:val="24"/>
          <w:szCs w:val="24"/>
          <w:u w:val="single"/>
        </w:rPr>
        <w:t xml:space="preserve">（签字）      </w:t>
      </w:r>
      <w:r>
        <w:rPr>
          <w:rFonts w:hint="eastAsia" w:ascii="宋体" w:hAnsi="宋体" w:eastAsia="宋体" w:cs="宋体"/>
          <w:sz w:val="24"/>
          <w:szCs w:val="24"/>
        </w:rPr>
        <w:t xml:space="preserve">           的代理人：</w:t>
      </w:r>
      <w:r>
        <w:rPr>
          <w:rFonts w:hint="eastAsia" w:ascii="宋体" w:hAnsi="宋体" w:eastAsia="宋体" w:cs="宋体"/>
          <w:sz w:val="24"/>
          <w:szCs w:val="24"/>
          <w:u w:val="single"/>
        </w:rPr>
        <w:t xml:space="preserve">（签字）          </w:t>
      </w:r>
    </w:p>
    <w:p w14:paraId="18BD60E8">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14:paraId="74B4C720">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账号：</w:t>
      </w:r>
      <w:r>
        <w:rPr>
          <w:rFonts w:hint="eastAsia" w:ascii="宋体" w:hAnsi="宋体" w:eastAsia="宋体" w:cs="宋体"/>
          <w:sz w:val="24"/>
          <w:szCs w:val="24"/>
          <w:u w:val="single"/>
        </w:rPr>
        <w:t xml:space="preserve">                       </w:t>
      </w:r>
    </w:p>
    <w:p w14:paraId="17A17740">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14:paraId="0EA118A9">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14:paraId="65E20575">
      <w:pPr>
        <w:adjustRightInd w:val="0"/>
        <w:snapToGrid w:val="0"/>
        <w:spacing w:line="360" w:lineRule="auto"/>
        <w:ind w:firstLine="475" w:firstLineChars="198"/>
        <w:rPr>
          <w:rFonts w:hint="eastAsia" w:ascii="宋体" w:hAnsi="宋体" w:eastAsia="宋体" w:cs="宋体"/>
          <w:sz w:val="24"/>
          <w:szCs w:val="24"/>
          <w:u w:val="single"/>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14:paraId="1CEA7A7F">
      <w:pPr>
        <w:adjustRightInd w:val="0"/>
        <w:snapToGrid w:val="0"/>
        <w:spacing w:line="400" w:lineRule="exact"/>
        <w:ind w:firstLine="475" w:firstLineChars="198"/>
        <w:rPr>
          <w:rFonts w:hint="eastAsia" w:ascii="宋体" w:hAnsi="宋体" w:eastAsia="宋体" w:cs="宋体"/>
          <w:sz w:val="24"/>
          <w:szCs w:val="24"/>
        </w:rPr>
      </w:pPr>
    </w:p>
    <w:p w14:paraId="4B6CE5C7">
      <w:pPr>
        <w:spacing w:before="0" w:after="0" w:line="480" w:lineRule="auto"/>
        <w:jc w:val="center"/>
        <w:outlineLvl w:val="9"/>
        <w:rPr>
          <w:rFonts w:hint="eastAsia" w:ascii="宋体" w:hAnsi="宋体" w:eastAsia="宋体" w:cs="宋体"/>
          <w:color w:val="000000"/>
          <w:sz w:val="44"/>
          <w:szCs w:val="44"/>
        </w:rPr>
      </w:pPr>
    </w:p>
    <w:p w14:paraId="3C16165A">
      <w:pPr>
        <w:outlineLvl w:val="9"/>
        <w:rPr>
          <w:rFonts w:hint="eastAsia" w:ascii="宋体" w:hAnsi="宋体" w:eastAsia="宋体" w:cs="宋体"/>
          <w:color w:val="000000"/>
          <w:sz w:val="44"/>
          <w:szCs w:val="44"/>
        </w:rPr>
      </w:pPr>
    </w:p>
    <w:p w14:paraId="0007CB17">
      <w:pPr>
        <w:pStyle w:val="11"/>
        <w:outlineLvl w:val="9"/>
        <w:rPr>
          <w:rFonts w:hint="eastAsia" w:ascii="宋体" w:hAnsi="宋体" w:eastAsia="宋体" w:cs="宋体"/>
        </w:rPr>
      </w:pPr>
    </w:p>
    <w:p w14:paraId="3DE8970B">
      <w:pPr>
        <w:spacing w:before="0" w:after="0" w:line="480" w:lineRule="auto"/>
        <w:jc w:val="center"/>
        <w:outlineLvl w:val="9"/>
        <w:rPr>
          <w:rFonts w:hint="eastAsia" w:ascii="宋体" w:hAnsi="宋体" w:eastAsia="宋体" w:cs="宋体"/>
          <w:color w:val="000000"/>
          <w:sz w:val="44"/>
          <w:szCs w:val="44"/>
        </w:rPr>
      </w:pPr>
    </w:p>
    <w:p w14:paraId="7F9BE4E3">
      <w:pPr>
        <w:pStyle w:val="11"/>
        <w:rPr>
          <w:rFonts w:hint="eastAsia" w:ascii="宋体" w:hAnsi="宋体" w:eastAsia="宋体" w:cs="宋体"/>
          <w:color w:val="000000"/>
          <w:sz w:val="44"/>
          <w:szCs w:val="44"/>
        </w:rPr>
      </w:pPr>
    </w:p>
    <w:p w14:paraId="1637DE34">
      <w:pPr>
        <w:rPr>
          <w:rFonts w:hint="eastAsia" w:ascii="宋体" w:hAnsi="宋体" w:eastAsia="宋体" w:cs="宋体"/>
          <w:color w:val="000000"/>
          <w:sz w:val="44"/>
          <w:szCs w:val="44"/>
        </w:rPr>
      </w:pPr>
    </w:p>
    <w:p w14:paraId="4F5B342E">
      <w:pPr>
        <w:rPr>
          <w:rFonts w:hint="eastAsia" w:ascii="宋体" w:hAnsi="宋体" w:eastAsia="宋体" w:cs="宋体"/>
          <w:color w:val="000000"/>
          <w:sz w:val="44"/>
          <w:szCs w:val="44"/>
        </w:rPr>
      </w:pPr>
    </w:p>
    <w:p w14:paraId="6985F189">
      <w:pPr>
        <w:rPr>
          <w:rFonts w:hint="eastAsia" w:ascii="宋体" w:hAnsi="宋体" w:eastAsia="宋体" w:cs="宋体"/>
          <w:color w:val="000000"/>
          <w:sz w:val="44"/>
          <w:szCs w:val="44"/>
        </w:rPr>
      </w:pPr>
    </w:p>
    <w:p w14:paraId="2CCB834A">
      <w:pPr>
        <w:pStyle w:val="11"/>
        <w:rPr>
          <w:rFonts w:hint="eastAsia" w:ascii="宋体" w:hAnsi="宋体" w:eastAsia="宋体" w:cs="宋体"/>
          <w:color w:val="000000"/>
          <w:sz w:val="44"/>
          <w:szCs w:val="44"/>
        </w:rPr>
      </w:pPr>
    </w:p>
    <w:p w14:paraId="2A931204">
      <w:pPr>
        <w:rPr>
          <w:rFonts w:hint="eastAsia" w:ascii="宋体" w:hAnsi="宋体" w:eastAsia="宋体" w:cs="宋体"/>
          <w:color w:val="000000"/>
          <w:sz w:val="44"/>
          <w:szCs w:val="44"/>
        </w:rPr>
      </w:pPr>
    </w:p>
    <w:p w14:paraId="00F8CBE0">
      <w:pPr>
        <w:pStyle w:val="11"/>
        <w:rPr>
          <w:rFonts w:hint="eastAsia" w:ascii="宋体" w:hAnsi="宋体" w:eastAsia="宋体" w:cs="宋体"/>
          <w:color w:val="000000"/>
          <w:sz w:val="44"/>
          <w:szCs w:val="44"/>
        </w:rPr>
      </w:pPr>
    </w:p>
    <w:p w14:paraId="66BF302F">
      <w:pPr>
        <w:rPr>
          <w:rFonts w:hint="eastAsia" w:ascii="宋体" w:hAnsi="宋体" w:eastAsia="宋体" w:cs="宋体"/>
          <w:color w:val="000000"/>
          <w:sz w:val="44"/>
          <w:szCs w:val="44"/>
        </w:rPr>
      </w:pPr>
    </w:p>
    <w:p w14:paraId="10F1F66D">
      <w:pPr>
        <w:pStyle w:val="11"/>
        <w:rPr>
          <w:rFonts w:hint="eastAsia" w:ascii="宋体" w:hAnsi="宋体" w:eastAsia="宋体" w:cs="宋体"/>
          <w:color w:val="000000"/>
          <w:sz w:val="44"/>
          <w:szCs w:val="44"/>
        </w:rPr>
      </w:pPr>
    </w:p>
    <w:p w14:paraId="00057554">
      <w:pPr>
        <w:rPr>
          <w:rFonts w:hint="eastAsia" w:ascii="宋体" w:hAnsi="宋体" w:eastAsia="宋体" w:cs="宋体"/>
        </w:rPr>
      </w:pPr>
    </w:p>
    <w:p w14:paraId="64E0EDEA">
      <w:pPr>
        <w:pStyle w:val="4"/>
        <w:spacing w:before="0" w:after="0" w:line="480" w:lineRule="auto"/>
        <w:jc w:val="center"/>
        <w:rPr>
          <w:rFonts w:hint="eastAsia" w:ascii="宋体" w:hAnsi="宋体" w:eastAsia="宋体" w:cs="宋体"/>
          <w:lang w:eastAsia="zh-CN"/>
        </w:rPr>
      </w:pPr>
      <w:bookmarkStart w:id="59" w:name="_Toc21432"/>
      <w:r>
        <w:rPr>
          <w:rFonts w:hint="eastAsia" w:ascii="宋体" w:hAnsi="宋体" w:eastAsia="宋体" w:cs="宋体"/>
        </w:rPr>
        <w:t>第六章 竞争性磋商响应文件</w:t>
      </w:r>
      <w:bookmarkEnd w:id="54"/>
      <w:r>
        <w:rPr>
          <w:rFonts w:hint="eastAsia" w:ascii="宋体" w:hAnsi="宋体" w:eastAsia="宋体" w:cs="宋体"/>
          <w:lang w:eastAsia="zh-CN"/>
        </w:rPr>
        <w:t>组成</w:t>
      </w:r>
      <w:bookmarkEnd w:id="55"/>
      <w:bookmarkEnd w:id="59"/>
    </w:p>
    <w:p w14:paraId="10A234BA">
      <w:pPr>
        <w:spacing w:line="480" w:lineRule="auto"/>
        <w:rPr>
          <w:rFonts w:hint="eastAsia" w:ascii="宋体" w:hAnsi="宋体" w:eastAsia="宋体" w:cs="宋体"/>
          <w:b/>
          <w:bCs/>
          <w:szCs w:val="28"/>
        </w:rPr>
      </w:pPr>
      <w:r>
        <w:rPr>
          <w:rFonts w:hint="eastAsia" w:ascii="宋体" w:hAnsi="宋体" w:eastAsia="宋体" w:cs="宋体"/>
          <w:b/>
          <w:bCs/>
          <w:szCs w:val="28"/>
        </w:rPr>
        <w:t>一、响应文件格式</w:t>
      </w:r>
    </w:p>
    <w:p w14:paraId="78AB531F">
      <w:pPr>
        <w:spacing w:line="480" w:lineRule="auto"/>
        <w:rPr>
          <w:rFonts w:hint="eastAsia" w:ascii="宋体" w:hAnsi="宋体" w:eastAsia="宋体" w:cs="宋体"/>
          <w:b/>
          <w:bCs/>
          <w:szCs w:val="28"/>
        </w:rPr>
      </w:pPr>
      <w:r>
        <w:rPr>
          <w:rFonts w:hint="eastAsia" w:ascii="宋体" w:hAnsi="宋体" w:eastAsia="宋体" w:cs="宋体"/>
          <w:b/>
          <w:bCs/>
          <w:szCs w:val="28"/>
        </w:rPr>
        <w:t>二、资质证明文件</w:t>
      </w:r>
    </w:p>
    <w:p w14:paraId="20F6CB41">
      <w:pPr>
        <w:spacing w:line="480" w:lineRule="auto"/>
        <w:rPr>
          <w:rFonts w:hint="eastAsia" w:ascii="宋体" w:hAnsi="宋体" w:eastAsia="宋体" w:cs="宋体"/>
          <w:b/>
          <w:bCs/>
          <w:szCs w:val="28"/>
        </w:rPr>
      </w:pPr>
      <w:r>
        <w:rPr>
          <w:rFonts w:hint="eastAsia" w:ascii="宋体" w:hAnsi="宋体" w:eastAsia="宋体" w:cs="宋体"/>
          <w:b/>
          <w:bCs/>
          <w:szCs w:val="28"/>
        </w:rPr>
        <w:t>三、符合性证明文件</w:t>
      </w:r>
    </w:p>
    <w:p w14:paraId="19274FEF">
      <w:pPr>
        <w:spacing w:line="480" w:lineRule="auto"/>
        <w:rPr>
          <w:rFonts w:hint="eastAsia" w:ascii="宋体" w:hAnsi="宋体" w:eastAsia="宋体" w:cs="宋体"/>
          <w:b/>
          <w:bCs/>
          <w:szCs w:val="28"/>
        </w:rPr>
      </w:pPr>
      <w:r>
        <w:rPr>
          <w:rFonts w:hint="eastAsia" w:ascii="宋体" w:hAnsi="宋体" w:eastAsia="宋体" w:cs="宋体"/>
          <w:b/>
          <w:bCs/>
          <w:szCs w:val="28"/>
        </w:rPr>
        <w:t>四、响应方案</w:t>
      </w:r>
    </w:p>
    <w:p w14:paraId="519CC091">
      <w:pPr>
        <w:pStyle w:val="11"/>
        <w:spacing w:line="360" w:lineRule="auto"/>
        <w:rPr>
          <w:rFonts w:hint="eastAsia" w:ascii="宋体" w:hAnsi="宋体" w:eastAsia="宋体" w:cs="宋体"/>
          <w:sz w:val="24"/>
        </w:rPr>
      </w:pPr>
    </w:p>
    <w:p w14:paraId="024D635B">
      <w:pPr>
        <w:rPr>
          <w:rFonts w:hint="eastAsia" w:ascii="宋体" w:hAnsi="宋体" w:eastAsia="宋体" w:cs="宋体"/>
          <w:sz w:val="24"/>
        </w:rPr>
      </w:pPr>
    </w:p>
    <w:p w14:paraId="0FA6CFBD">
      <w:pPr>
        <w:spacing w:line="360" w:lineRule="auto"/>
        <w:rPr>
          <w:rFonts w:hint="eastAsia" w:ascii="宋体" w:hAnsi="宋体" w:eastAsia="宋体" w:cs="宋体"/>
          <w:b/>
          <w:bCs/>
        </w:rPr>
      </w:pPr>
    </w:p>
    <w:p w14:paraId="4B9A1A7B">
      <w:pPr>
        <w:spacing w:line="360" w:lineRule="auto"/>
        <w:rPr>
          <w:rFonts w:hint="eastAsia" w:ascii="宋体" w:hAnsi="宋体" w:eastAsia="宋体" w:cs="宋体"/>
          <w:b/>
          <w:bCs/>
        </w:rPr>
      </w:pPr>
    </w:p>
    <w:p w14:paraId="49FC0381">
      <w:pPr>
        <w:spacing w:line="360" w:lineRule="auto"/>
        <w:rPr>
          <w:rFonts w:hint="eastAsia" w:ascii="宋体" w:hAnsi="宋体" w:eastAsia="宋体" w:cs="宋体"/>
          <w:b/>
          <w:bCs/>
        </w:rPr>
      </w:pPr>
    </w:p>
    <w:p w14:paraId="70B36019">
      <w:pPr>
        <w:spacing w:line="360" w:lineRule="auto"/>
        <w:rPr>
          <w:rFonts w:hint="eastAsia" w:ascii="宋体" w:hAnsi="宋体" w:eastAsia="宋体" w:cs="宋体"/>
          <w:b/>
          <w:bCs/>
          <w:szCs w:val="24"/>
        </w:rPr>
      </w:pPr>
      <w:r>
        <w:rPr>
          <w:rFonts w:hint="eastAsia" w:ascii="宋体" w:hAnsi="宋体" w:eastAsia="宋体" w:cs="宋体"/>
          <w:b/>
          <w:bCs/>
        </w:rPr>
        <w:t>注：</w:t>
      </w:r>
      <w:r>
        <w:rPr>
          <w:rFonts w:hint="eastAsia" w:ascii="宋体" w:hAnsi="宋体" w:eastAsia="宋体" w:cs="宋体"/>
          <w:b/>
          <w:bCs/>
          <w:szCs w:val="24"/>
        </w:rPr>
        <w:t>响应文件编制说明</w:t>
      </w:r>
    </w:p>
    <w:p w14:paraId="5F044201">
      <w:pPr>
        <w:spacing w:line="360" w:lineRule="auto"/>
        <w:ind w:left="280" w:leftChars="100" w:firstLine="422" w:firstLineChars="150"/>
        <w:rPr>
          <w:rFonts w:hint="eastAsia" w:ascii="宋体" w:hAnsi="宋体" w:eastAsia="宋体" w:cs="宋体"/>
          <w:b/>
          <w:bCs/>
          <w:szCs w:val="24"/>
        </w:rPr>
      </w:pPr>
      <w:r>
        <w:rPr>
          <w:rFonts w:hint="eastAsia" w:ascii="宋体" w:hAnsi="宋体" w:eastAsia="宋体" w:cs="宋体"/>
          <w:b/>
          <w:bCs/>
          <w:szCs w:val="24"/>
        </w:rPr>
        <w:t>1、响应文件的编制应按照样本格式提供的内容，做出逐一明确的答复；供应商认为有必要，还可以做其它补充说明。</w:t>
      </w:r>
      <w:r>
        <w:rPr>
          <w:rFonts w:hint="eastAsia" w:ascii="宋体" w:hAnsi="宋体" w:eastAsia="宋体" w:cs="宋体"/>
          <w:b/>
          <w:bCs/>
          <w:szCs w:val="24"/>
        </w:rPr>
        <w:cr/>
      </w:r>
      <w:r>
        <w:rPr>
          <w:rFonts w:hint="eastAsia" w:ascii="宋体" w:hAnsi="宋体" w:eastAsia="宋体" w:cs="宋体"/>
          <w:b/>
          <w:bCs/>
          <w:szCs w:val="24"/>
        </w:rPr>
        <w:t xml:space="preserve">   2、供应商必须按照磋商文件的规定和要求由法定代表人或被授权人签字（或盖章），并逐页加盖供应商公章。</w:t>
      </w:r>
    </w:p>
    <w:p w14:paraId="67A52C64">
      <w:pPr>
        <w:rPr>
          <w:rFonts w:hint="eastAsia" w:ascii="宋体" w:hAnsi="宋体" w:eastAsia="宋体" w:cs="宋体"/>
          <w:sz w:val="24"/>
        </w:rPr>
      </w:pP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br w:type="page"/>
      </w:r>
    </w:p>
    <w:p w14:paraId="1F46CB75">
      <w:pPr>
        <w:spacing w:line="480" w:lineRule="auto"/>
        <w:outlineLvl w:val="1"/>
        <w:rPr>
          <w:rFonts w:hint="eastAsia" w:ascii="宋体" w:hAnsi="宋体" w:eastAsia="宋体" w:cs="宋体"/>
          <w:b/>
          <w:bCs/>
          <w:szCs w:val="28"/>
        </w:rPr>
      </w:pPr>
      <w:r>
        <w:rPr>
          <w:rFonts w:hint="eastAsia" w:ascii="宋体" w:hAnsi="宋体" w:eastAsia="宋体" w:cs="宋体"/>
          <w:b/>
          <w:bCs/>
          <w:szCs w:val="28"/>
        </w:rPr>
        <w:t>一、响应文件格式</w:t>
      </w:r>
    </w:p>
    <w:p w14:paraId="7A81FFC5">
      <w:pPr>
        <w:spacing w:line="360" w:lineRule="auto"/>
        <w:jc w:val="both"/>
        <w:rPr>
          <w:rFonts w:hint="eastAsia" w:ascii="宋体" w:hAnsi="宋体" w:eastAsia="宋体" w:cs="宋体"/>
          <w:b/>
          <w:color w:val="auto"/>
          <w:sz w:val="36"/>
          <w:szCs w:val="36"/>
          <w:highlight w:val="none"/>
          <w:bdr w:val="single" w:color="auto" w:sz="4" w:space="0"/>
          <w:shd w:val="pct10" w:color="auto" w:fill="FFFFFF"/>
        </w:rPr>
      </w:pPr>
      <w:bookmarkStart w:id="60" w:name="_Toc30897"/>
      <w:r>
        <w:rPr>
          <w:rFonts w:hint="eastAsia" w:ascii="宋体" w:hAnsi="宋体" w:eastAsia="宋体" w:cs="宋体"/>
          <w:b/>
          <w:bCs/>
          <w:szCs w:val="28"/>
        </w:rPr>
        <w:t>1、封面</w:t>
      </w:r>
      <w:bookmarkEnd w:id="60"/>
      <w:r>
        <w:rPr>
          <w:rFonts w:hint="eastAsia" w:ascii="宋体" w:hAnsi="宋体" w:eastAsia="宋体" w:cs="宋体"/>
          <w:b/>
          <w:bCs/>
          <w:szCs w:val="28"/>
          <w:lang w:val="en-US" w:eastAsia="zh-CN"/>
        </w:rPr>
        <w:t xml:space="preserve">                                    </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6"/>
          <w:szCs w:val="36"/>
          <w:highlight w:val="none"/>
          <w:bdr w:val="single" w:color="auto" w:sz="4" w:space="0"/>
          <w:shd w:val="pct10" w:color="auto" w:fill="FFFFFF"/>
        </w:rPr>
        <w:t>政府采购项目</w:t>
      </w:r>
    </w:p>
    <w:p w14:paraId="0B829D6A">
      <w:pPr>
        <w:autoSpaceDE w:val="0"/>
        <w:autoSpaceDN w:val="0"/>
        <w:adjustRightInd w:val="0"/>
        <w:snapToGrid w:val="0"/>
        <w:spacing w:line="360" w:lineRule="auto"/>
        <w:jc w:val="left"/>
        <w:rPr>
          <w:rFonts w:hint="eastAsia" w:ascii="宋体" w:hAnsi="宋体" w:eastAsia="宋体" w:cs="宋体"/>
          <w:b/>
          <w:sz w:val="36"/>
          <w:szCs w:val="36"/>
        </w:rPr>
      </w:pPr>
    </w:p>
    <w:p w14:paraId="661D60D3">
      <w:pPr>
        <w:autoSpaceDE w:val="0"/>
        <w:autoSpaceDN w:val="0"/>
        <w:adjustRightInd w:val="0"/>
        <w:snapToGrid w:val="0"/>
        <w:spacing w:line="360" w:lineRule="auto"/>
        <w:jc w:val="left"/>
        <w:rPr>
          <w:rFonts w:hint="eastAsia" w:ascii="宋体" w:hAnsi="宋体" w:eastAsia="宋体" w:cs="宋体"/>
          <w:b/>
          <w:bCs/>
          <w:sz w:val="30"/>
          <w:szCs w:val="30"/>
          <w:lang w:eastAsia="zh-CN"/>
        </w:rPr>
      </w:pPr>
      <w:r>
        <w:rPr>
          <w:rFonts w:hint="eastAsia" w:ascii="宋体" w:hAnsi="宋体" w:eastAsia="宋体" w:cs="宋体"/>
          <w:b/>
          <w:sz w:val="36"/>
          <w:szCs w:val="36"/>
        </w:rPr>
        <w:t>文件编号:</w:t>
      </w:r>
      <w:r>
        <w:rPr>
          <w:rFonts w:hint="eastAsia" w:ascii="宋体" w:hAnsi="宋体" w:eastAsia="宋体" w:cs="宋体"/>
          <w:b/>
          <w:sz w:val="36"/>
          <w:szCs w:val="36"/>
          <w:lang w:val="zh-CN" w:eastAsia="zh-CN"/>
        </w:rPr>
        <w:t>BJFMT2025(014)号</w:t>
      </w:r>
    </w:p>
    <w:p w14:paraId="76CAFE0F">
      <w:pPr>
        <w:rPr>
          <w:rFonts w:hint="eastAsia" w:ascii="宋体" w:hAnsi="宋体" w:eastAsia="宋体" w:cs="宋体"/>
          <w:b/>
          <w:bCs/>
          <w:spacing w:val="52"/>
          <w:kern w:val="0"/>
          <w:sz w:val="15"/>
          <w:szCs w:val="15"/>
        </w:rPr>
      </w:pPr>
      <w:r>
        <w:rPr>
          <w:rFonts w:hint="eastAsia" w:ascii="宋体" w:hAnsi="宋体" w:eastAsia="宋体" w:cs="宋体"/>
          <w:b/>
          <w:sz w:val="36"/>
          <w:szCs w:val="36"/>
        </w:rPr>
        <w:t xml:space="preserve"> </w:t>
      </w:r>
    </w:p>
    <w:p w14:paraId="0BD728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240" w:lineRule="auto"/>
        <w:ind w:left="0" w:right="0"/>
        <w:jc w:val="center"/>
        <w:rPr>
          <w:rFonts w:hint="eastAsia" w:ascii="宋体" w:hAnsi="宋体" w:eastAsia="宋体" w:cs="宋体"/>
          <w:b/>
          <w:bCs/>
          <w:kern w:val="0"/>
          <w:sz w:val="52"/>
          <w:szCs w:val="52"/>
          <w:shd w:val="clear" w:fill="FFFFFF"/>
          <w:lang w:val="en-US" w:eastAsia="zh-CN" w:bidi="ar"/>
        </w:rPr>
      </w:pPr>
      <w:r>
        <w:rPr>
          <w:rFonts w:hint="eastAsia" w:ascii="宋体" w:hAnsi="宋体" w:eastAsia="宋体" w:cs="宋体"/>
          <w:b/>
          <w:bCs/>
          <w:kern w:val="0"/>
          <w:sz w:val="52"/>
          <w:szCs w:val="52"/>
          <w:shd w:val="clear" w:fill="FFFFFF"/>
          <w:lang w:val="en-US" w:eastAsia="zh-CN" w:bidi="ar"/>
        </w:rPr>
        <w:t>千阳县学校互联网光纤接入项目</w:t>
      </w:r>
    </w:p>
    <w:p w14:paraId="1EF61C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240" w:lineRule="auto"/>
        <w:ind w:left="0" w:right="0"/>
        <w:jc w:val="center"/>
        <w:rPr>
          <w:rFonts w:hint="eastAsia" w:ascii="宋体" w:hAnsi="宋体" w:eastAsia="宋体" w:cs="宋体"/>
          <w:b/>
          <w:bCs/>
          <w:kern w:val="0"/>
          <w:sz w:val="52"/>
          <w:szCs w:val="52"/>
          <w:shd w:val="clear" w:fill="FFFFFF"/>
          <w:lang w:val="en-US" w:eastAsia="zh-CN" w:bidi="ar"/>
        </w:rPr>
      </w:pPr>
      <w:r>
        <w:rPr>
          <w:rFonts w:hint="eastAsia" w:ascii="宋体" w:hAnsi="宋体" w:eastAsia="宋体" w:cs="宋体"/>
          <w:b/>
          <w:bCs/>
          <w:kern w:val="0"/>
          <w:sz w:val="52"/>
          <w:szCs w:val="52"/>
          <w:shd w:val="clear" w:fill="FFFFFF"/>
          <w:lang w:val="en-US" w:eastAsia="zh-CN" w:bidi="ar"/>
        </w:rPr>
        <w:t>第1包</w:t>
      </w:r>
    </w:p>
    <w:p w14:paraId="7BD996FA">
      <w:pPr>
        <w:spacing w:beforeLines="50" w:line="800" w:lineRule="exact"/>
        <w:ind w:right="-1165" w:rightChars="-416" w:firstLine="1526" w:firstLineChars="200"/>
        <w:rPr>
          <w:rFonts w:hint="eastAsia" w:ascii="宋体" w:hAnsi="宋体" w:eastAsia="宋体" w:cs="宋体"/>
          <w:b/>
          <w:bCs/>
          <w:spacing w:val="20"/>
          <w:kern w:val="0"/>
          <w:sz w:val="72"/>
          <w:szCs w:val="72"/>
        </w:rPr>
      </w:pPr>
    </w:p>
    <w:p w14:paraId="35178061">
      <w:pPr>
        <w:spacing w:beforeLines="50" w:line="800" w:lineRule="exact"/>
        <w:ind w:right="-1165" w:rightChars="-416" w:firstLine="1526" w:firstLineChars="200"/>
        <w:rPr>
          <w:rFonts w:hint="eastAsia" w:ascii="宋体" w:hAnsi="宋体" w:eastAsia="宋体" w:cs="宋体"/>
          <w:b/>
          <w:bCs/>
          <w:spacing w:val="20"/>
          <w:kern w:val="0"/>
          <w:sz w:val="72"/>
          <w:szCs w:val="72"/>
        </w:rPr>
      </w:pPr>
    </w:p>
    <w:p w14:paraId="0BC3F72C">
      <w:pPr>
        <w:pStyle w:val="11"/>
        <w:rPr>
          <w:rFonts w:hint="eastAsia" w:ascii="宋体" w:hAnsi="宋体" w:eastAsia="宋体" w:cs="宋体"/>
        </w:rPr>
      </w:pPr>
    </w:p>
    <w:p w14:paraId="64D483D1">
      <w:pPr>
        <w:spacing w:beforeLines="50" w:line="800" w:lineRule="exact"/>
        <w:ind w:right="-1165" w:rightChars="-416" w:firstLine="3051" w:firstLineChars="400"/>
        <w:jc w:val="both"/>
        <w:rPr>
          <w:rFonts w:hint="eastAsia" w:ascii="宋体" w:hAnsi="宋体" w:eastAsia="宋体" w:cs="宋体"/>
          <w:b/>
          <w:bCs/>
          <w:spacing w:val="20"/>
          <w:kern w:val="0"/>
          <w:sz w:val="72"/>
          <w:szCs w:val="72"/>
        </w:rPr>
      </w:pPr>
      <w:r>
        <w:rPr>
          <w:rFonts w:hint="eastAsia" w:ascii="宋体" w:hAnsi="宋体" w:eastAsia="宋体" w:cs="宋体"/>
          <w:b/>
          <w:bCs/>
          <w:spacing w:val="20"/>
          <w:kern w:val="0"/>
          <w:sz w:val="72"/>
          <w:szCs w:val="72"/>
        </w:rPr>
        <w:t>磋商响应文件</w:t>
      </w:r>
    </w:p>
    <w:p w14:paraId="3005042E">
      <w:pPr>
        <w:rPr>
          <w:rFonts w:hint="eastAsia" w:ascii="宋体" w:hAnsi="宋体" w:eastAsia="宋体" w:cs="宋体"/>
          <w:sz w:val="32"/>
        </w:rPr>
      </w:pPr>
    </w:p>
    <w:p w14:paraId="35563002">
      <w:pPr>
        <w:spacing w:beforeLines="70"/>
        <w:rPr>
          <w:rFonts w:hint="eastAsia" w:ascii="宋体" w:hAnsi="宋体" w:eastAsia="宋体" w:cs="宋体"/>
          <w:b/>
          <w:spacing w:val="8"/>
          <w:szCs w:val="28"/>
        </w:rPr>
      </w:pPr>
    </w:p>
    <w:p w14:paraId="606985F7">
      <w:pPr>
        <w:pStyle w:val="11"/>
        <w:rPr>
          <w:rFonts w:hint="eastAsia" w:ascii="宋体" w:hAnsi="宋体" w:eastAsia="宋体" w:cs="宋体"/>
        </w:rPr>
      </w:pPr>
    </w:p>
    <w:p w14:paraId="78C7CA78">
      <w:pPr>
        <w:pStyle w:val="11"/>
        <w:rPr>
          <w:rFonts w:hint="eastAsia" w:ascii="宋体" w:hAnsi="宋体" w:eastAsia="宋体" w:cs="宋体"/>
        </w:rPr>
      </w:pPr>
    </w:p>
    <w:p w14:paraId="5BA0B3F4">
      <w:pPr>
        <w:pStyle w:val="2"/>
        <w:ind w:left="0" w:leftChars="0" w:firstLine="0" w:firstLineChars="0"/>
        <w:rPr>
          <w:rFonts w:hint="eastAsia" w:ascii="宋体" w:hAnsi="宋体" w:eastAsia="宋体" w:cs="宋体"/>
        </w:rPr>
      </w:pPr>
    </w:p>
    <w:p w14:paraId="7C8D2CED">
      <w:pPr>
        <w:spacing w:beforeLines="70"/>
        <w:ind w:firstLine="2080" w:firstLineChars="700"/>
        <w:rPr>
          <w:rFonts w:hint="eastAsia" w:ascii="宋体" w:hAnsi="宋体" w:eastAsia="宋体" w:cs="宋体"/>
          <w:b/>
          <w:spacing w:val="8"/>
          <w:szCs w:val="28"/>
        </w:rPr>
      </w:pPr>
    </w:p>
    <w:p w14:paraId="14696774">
      <w:pPr>
        <w:spacing w:beforeLines="70" w:line="360" w:lineRule="auto"/>
        <w:ind w:firstLine="1634" w:firstLineChars="550"/>
        <w:rPr>
          <w:rFonts w:hint="eastAsia" w:ascii="宋体" w:hAnsi="宋体" w:eastAsia="宋体" w:cs="宋体"/>
          <w:b/>
          <w:bCs/>
          <w:spacing w:val="8"/>
          <w:szCs w:val="28"/>
          <w:u w:val="single"/>
        </w:rPr>
      </w:pPr>
      <w:r>
        <w:rPr>
          <w:rFonts w:hint="eastAsia" w:ascii="宋体" w:hAnsi="宋体" w:eastAsia="宋体" w:cs="宋体"/>
          <w:b/>
          <w:spacing w:val="8"/>
          <w:szCs w:val="28"/>
        </w:rPr>
        <w:t>供应商：</w:t>
      </w:r>
      <w:r>
        <w:rPr>
          <w:rFonts w:hint="eastAsia" w:ascii="宋体" w:hAnsi="宋体" w:eastAsia="宋体" w:cs="宋体"/>
          <w:b/>
          <w:spacing w:val="8"/>
          <w:szCs w:val="28"/>
          <w:u w:val="single"/>
        </w:rPr>
        <w:t xml:space="preserve">               </w:t>
      </w:r>
      <w:r>
        <w:rPr>
          <w:rFonts w:hint="eastAsia" w:ascii="宋体" w:hAnsi="宋体" w:eastAsia="宋体" w:cs="宋体"/>
          <w:b/>
          <w:spacing w:val="8"/>
          <w:szCs w:val="28"/>
        </w:rPr>
        <w:t>（盖单位章）</w:t>
      </w:r>
    </w:p>
    <w:p w14:paraId="7212C0F1">
      <w:pPr>
        <w:spacing w:line="360" w:lineRule="auto"/>
        <w:ind w:firstLine="1661" w:firstLineChars="591"/>
        <w:rPr>
          <w:rFonts w:hint="eastAsia" w:ascii="宋体" w:hAnsi="宋体" w:eastAsia="宋体" w:cs="宋体"/>
          <w:b/>
          <w:szCs w:val="28"/>
        </w:rPr>
      </w:pPr>
    </w:p>
    <w:p w14:paraId="17E768B9">
      <w:pPr>
        <w:spacing w:line="360" w:lineRule="auto"/>
        <w:ind w:firstLine="1661" w:firstLineChars="591"/>
        <w:rPr>
          <w:rFonts w:hint="eastAsia" w:ascii="宋体" w:hAnsi="宋体" w:eastAsia="宋体" w:cs="宋体"/>
          <w:b/>
          <w:szCs w:val="28"/>
          <w:u w:val="single"/>
          <w:lang w:val="en-US" w:eastAsia="zh-CN"/>
        </w:rPr>
      </w:pPr>
      <w:r>
        <w:rPr>
          <w:rFonts w:hint="eastAsia" w:ascii="宋体" w:hAnsi="宋体" w:eastAsia="宋体" w:cs="宋体"/>
          <w:b/>
          <w:szCs w:val="28"/>
        </w:rPr>
        <w:t>时  间：</w:t>
      </w:r>
      <w:r>
        <w:rPr>
          <w:rFonts w:hint="eastAsia" w:ascii="宋体" w:hAnsi="宋体" w:eastAsia="宋体" w:cs="宋体"/>
          <w:b/>
          <w:szCs w:val="28"/>
          <w:u w:val="single"/>
          <w:lang w:val="en-US" w:eastAsia="zh-CN"/>
        </w:rPr>
        <w:t xml:space="preserve">                  </w:t>
      </w:r>
    </w:p>
    <w:p w14:paraId="6ECD2B3D">
      <w:pPr>
        <w:spacing w:line="360" w:lineRule="auto"/>
        <w:ind w:firstLine="1661" w:firstLineChars="591"/>
        <w:rPr>
          <w:rFonts w:hint="eastAsia" w:ascii="宋体" w:hAnsi="宋体" w:eastAsia="宋体" w:cs="宋体"/>
          <w:b/>
          <w:szCs w:val="28"/>
          <w:u w:val="single"/>
          <w:lang w:val="en-US" w:eastAsia="zh-CN"/>
        </w:rPr>
      </w:pPr>
    </w:p>
    <w:p w14:paraId="3825E60E">
      <w:pPr>
        <w:spacing w:line="360" w:lineRule="auto"/>
        <w:ind w:firstLine="1661" w:firstLineChars="591"/>
        <w:rPr>
          <w:rFonts w:hint="eastAsia" w:ascii="宋体" w:hAnsi="宋体" w:eastAsia="宋体" w:cs="宋体"/>
          <w:b/>
          <w:szCs w:val="28"/>
          <w:u w:val="single"/>
          <w:lang w:val="en-US" w:eastAsia="zh-CN"/>
        </w:rPr>
      </w:pPr>
    </w:p>
    <w:p w14:paraId="746B8C21">
      <w:pPr>
        <w:spacing w:line="360" w:lineRule="auto"/>
        <w:ind w:firstLine="1661" w:firstLineChars="591"/>
        <w:rPr>
          <w:rFonts w:hint="eastAsia" w:ascii="宋体" w:hAnsi="宋体" w:eastAsia="宋体" w:cs="宋体"/>
          <w:b/>
          <w:szCs w:val="28"/>
          <w:u w:val="single"/>
          <w:lang w:val="en-US" w:eastAsia="zh-CN"/>
        </w:rPr>
      </w:pPr>
    </w:p>
    <w:p w14:paraId="7A29D9BC">
      <w:pPr>
        <w:spacing w:line="480" w:lineRule="auto"/>
        <w:outlineLvl w:val="1"/>
        <w:rPr>
          <w:rFonts w:hint="eastAsia" w:ascii="宋体" w:hAnsi="宋体" w:eastAsia="宋体" w:cs="宋体"/>
          <w:b/>
          <w:bCs/>
          <w:szCs w:val="28"/>
        </w:rPr>
      </w:pPr>
      <w:bookmarkStart w:id="61" w:name="_Toc167849360"/>
      <w:bookmarkStart w:id="62" w:name="_Toc154482479"/>
      <w:bookmarkStart w:id="63" w:name="_Toc170980552"/>
      <w:bookmarkStart w:id="64" w:name="_Toc193187097"/>
      <w:bookmarkStart w:id="65" w:name="_Toc169846776"/>
      <w:bookmarkStart w:id="66" w:name="_Toc169846873"/>
      <w:bookmarkStart w:id="67" w:name="_Toc175032437"/>
      <w:bookmarkStart w:id="68" w:name="_Toc170980453"/>
      <w:bookmarkStart w:id="69" w:name="_Toc188808833"/>
      <w:bookmarkStart w:id="70" w:name="_Toc173549978"/>
      <w:bookmarkStart w:id="71" w:name="_Toc193126881"/>
      <w:bookmarkStart w:id="72" w:name="_Toc167591492"/>
      <w:bookmarkStart w:id="73" w:name="_Toc167591043"/>
      <w:bookmarkStart w:id="74" w:name="_Toc175033592"/>
      <w:bookmarkStart w:id="75" w:name="_Toc167591144"/>
      <w:bookmarkStart w:id="76" w:name="_Toc169838532"/>
      <w:bookmarkStart w:id="77" w:name="_Toc194663918"/>
      <w:bookmarkStart w:id="78" w:name="_Toc167590775"/>
      <w:bookmarkStart w:id="79" w:name="_Toc167591330"/>
      <w:r>
        <w:rPr>
          <w:rFonts w:hint="eastAsia" w:ascii="宋体" w:hAnsi="宋体" w:eastAsia="宋体" w:cs="宋体"/>
          <w:b/>
          <w:bCs/>
          <w:szCs w:val="28"/>
        </w:rPr>
        <w:t>二、资质证明文件</w:t>
      </w:r>
    </w:p>
    <w:p w14:paraId="0ADD4B14">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rPr>
        <w:t>1.营业执照等主体资格证明文件</w:t>
      </w:r>
    </w:p>
    <w:p w14:paraId="6486E3FD">
      <w:pPr>
        <w:spacing w:line="360" w:lineRule="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rPr>
        <w:t>2.财务状况报告</w:t>
      </w:r>
      <w:r>
        <w:rPr>
          <w:rFonts w:hint="eastAsia" w:ascii="宋体" w:hAnsi="宋体" w:eastAsia="宋体" w:cs="宋体"/>
          <w:b w:val="0"/>
          <w:sz w:val="24"/>
          <w:szCs w:val="24"/>
          <w:lang w:val="en-US" w:eastAsia="zh-CN"/>
        </w:rPr>
        <w:t>或资信证明</w:t>
      </w:r>
    </w:p>
    <w:p w14:paraId="037AB647">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rPr>
        <w:t>3.社保缴纳证明</w:t>
      </w:r>
    </w:p>
    <w:p w14:paraId="05D3811E">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rPr>
        <w:t>4.税收缴纳证明</w:t>
      </w:r>
    </w:p>
    <w:p w14:paraId="5473C144">
      <w:pPr>
        <w:spacing w:line="360" w:lineRule="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rPr>
        <w:t>5.信用记录</w:t>
      </w:r>
      <w:r>
        <w:rPr>
          <w:rFonts w:hint="eastAsia" w:ascii="宋体" w:hAnsi="宋体" w:eastAsia="宋体" w:cs="宋体"/>
          <w:b w:val="0"/>
          <w:sz w:val="24"/>
          <w:szCs w:val="24"/>
          <w:lang w:val="en-US" w:eastAsia="zh-CN"/>
        </w:rPr>
        <w:t>承诺</w:t>
      </w:r>
    </w:p>
    <w:p w14:paraId="3CDBD076">
      <w:pPr>
        <w:spacing w:line="360" w:lineRule="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rPr>
        <w:t>6.控股管理关系</w:t>
      </w:r>
      <w:r>
        <w:rPr>
          <w:rFonts w:hint="eastAsia" w:ascii="宋体" w:hAnsi="宋体" w:eastAsia="宋体" w:cs="宋体"/>
          <w:b w:val="0"/>
          <w:sz w:val="24"/>
          <w:szCs w:val="24"/>
          <w:lang w:val="en-US" w:eastAsia="zh-CN"/>
        </w:rPr>
        <w:t>承诺</w:t>
      </w:r>
    </w:p>
    <w:p w14:paraId="376408F4">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7.</w:t>
      </w:r>
      <w:r>
        <w:rPr>
          <w:rFonts w:hint="eastAsia" w:ascii="宋体" w:hAnsi="宋体" w:eastAsia="宋体" w:cs="宋体"/>
          <w:b w:val="0"/>
          <w:sz w:val="24"/>
          <w:szCs w:val="24"/>
        </w:rPr>
        <w:t>书面声明（格式见附</w:t>
      </w:r>
      <w:r>
        <w:rPr>
          <w:rFonts w:hint="eastAsia" w:ascii="宋体" w:hAnsi="宋体" w:eastAsia="宋体" w:cs="宋体"/>
          <w:b w:val="0"/>
          <w:sz w:val="24"/>
          <w:szCs w:val="24"/>
          <w:lang w:val="en-US" w:eastAsia="zh-CN"/>
        </w:rPr>
        <w:t>件一</w:t>
      </w:r>
      <w:r>
        <w:rPr>
          <w:rFonts w:hint="eastAsia" w:ascii="宋体" w:hAnsi="宋体" w:eastAsia="宋体" w:cs="宋体"/>
          <w:b w:val="0"/>
          <w:sz w:val="24"/>
          <w:szCs w:val="24"/>
        </w:rPr>
        <w:t>）</w:t>
      </w:r>
    </w:p>
    <w:p w14:paraId="35EBA2AE">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8</w:t>
      </w:r>
      <w:r>
        <w:rPr>
          <w:rFonts w:hint="eastAsia" w:ascii="宋体" w:hAnsi="宋体" w:eastAsia="宋体" w:cs="宋体"/>
          <w:b w:val="0"/>
          <w:sz w:val="24"/>
          <w:szCs w:val="24"/>
        </w:rPr>
        <w:t>.法定代表人授权委托书（格式见附</w:t>
      </w:r>
      <w:r>
        <w:rPr>
          <w:rFonts w:hint="eastAsia" w:ascii="宋体" w:hAnsi="宋体" w:eastAsia="宋体" w:cs="宋体"/>
          <w:b w:val="0"/>
          <w:sz w:val="24"/>
          <w:szCs w:val="24"/>
          <w:lang w:eastAsia="zh-CN"/>
        </w:rPr>
        <w:t>件</w:t>
      </w:r>
      <w:r>
        <w:rPr>
          <w:rFonts w:hint="eastAsia" w:ascii="宋体" w:hAnsi="宋体" w:eastAsia="宋体" w:cs="宋体"/>
          <w:b w:val="0"/>
          <w:sz w:val="24"/>
          <w:szCs w:val="24"/>
          <w:lang w:val="en-US" w:eastAsia="zh-CN"/>
        </w:rPr>
        <w:t>二</w:t>
      </w:r>
      <w:r>
        <w:rPr>
          <w:rFonts w:hint="eastAsia" w:ascii="宋体" w:hAnsi="宋体" w:eastAsia="宋体" w:cs="宋体"/>
          <w:b w:val="0"/>
          <w:sz w:val="24"/>
          <w:szCs w:val="24"/>
        </w:rPr>
        <w:t>）</w:t>
      </w:r>
    </w:p>
    <w:p w14:paraId="3A2DA97E">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9</w:t>
      </w:r>
      <w:r>
        <w:rPr>
          <w:rFonts w:hint="eastAsia" w:ascii="宋体" w:hAnsi="宋体" w:eastAsia="宋体" w:cs="宋体"/>
          <w:b w:val="0"/>
          <w:sz w:val="24"/>
          <w:szCs w:val="24"/>
        </w:rPr>
        <w:t>.所必需的设备和专业技术能力的承诺书</w:t>
      </w:r>
    </w:p>
    <w:p w14:paraId="2D978BAE">
      <w:pPr>
        <w:pStyle w:val="11"/>
        <w:rPr>
          <w:rFonts w:hint="default" w:eastAsia="宋体"/>
          <w:lang w:val="en-US" w:eastAsia="zh-CN"/>
        </w:rPr>
      </w:pPr>
      <w:r>
        <w:rPr>
          <w:rFonts w:hint="eastAsia" w:ascii="宋体" w:hAnsi="宋体" w:eastAsia="宋体" w:cs="宋体"/>
          <w:b w:val="0"/>
          <w:sz w:val="24"/>
          <w:szCs w:val="24"/>
          <w:lang w:val="en-US" w:eastAsia="zh-CN"/>
        </w:rPr>
        <w:t>10.企业资质</w:t>
      </w:r>
    </w:p>
    <w:p w14:paraId="2629D567">
      <w:pPr>
        <w:spacing w:line="360" w:lineRule="auto"/>
        <w:outlineLvl w:val="9"/>
        <w:rPr>
          <w:rFonts w:hint="eastAsia" w:ascii="宋体" w:hAnsi="宋体" w:eastAsia="宋体" w:cs="宋体"/>
          <w:b w:val="0"/>
          <w:sz w:val="24"/>
          <w:szCs w:val="24"/>
          <w:lang w:val="en-US" w:eastAsia="zh-CN"/>
        </w:rPr>
      </w:pPr>
    </w:p>
    <w:p w14:paraId="1899E9E2">
      <w:pPr>
        <w:rPr>
          <w:rFonts w:hint="eastAsia" w:ascii="宋体" w:hAnsi="宋体" w:eastAsia="宋体" w:cs="宋体"/>
          <w:b w:val="0"/>
          <w:sz w:val="28"/>
          <w:szCs w:val="28"/>
          <w:lang w:val="en-US" w:eastAsia="zh-CN"/>
        </w:rPr>
      </w:pPr>
    </w:p>
    <w:p w14:paraId="51F5C025">
      <w:pPr>
        <w:pStyle w:val="2"/>
        <w:rPr>
          <w:rFonts w:hint="eastAsia" w:ascii="宋体" w:hAnsi="宋体" w:eastAsia="宋体" w:cs="宋体"/>
          <w:b w:val="0"/>
          <w:sz w:val="28"/>
          <w:szCs w:val="28"/>
          <w:lang w:val="en-US" w:eastAsia="zh-CN"/>
        </w:rPr>
      </w:pPr>
    </w:p>
    <w:p w14:paraId="4A83AE5E">
      <w:pPr>
        <w:rPr>
          <w:rFonts w:hint="eastAsia" w:ascii="宋体" w:hAnsi="宋体" w:eastAsia="宋体" w:cs="宋体"/>
          <w:lang w:val="en-US" w:eastAsia="zh-CN"/>
        </w:rPr>
      </w:pPr>
    </w:p>
    <w:p w14:paraId="21ED0E77">
      <w:pPr>
        <w:spacing w:line="480" w:lineRule="exact"/>
        <w:rPr>
          <w:rFonts w:hint="eastAsia" w:ascii="宋体" w:hAnsi="宋体" w:eastAsia="宋体" w:cs="宋体"/>
          <w:szCs w:val="28"/>
        </w:rPr>
      </w:pPr>
    </w:p>
    <w:p w14:paraId="7BA67F7E">
      <w:pPr>
        <w:spacing w:line="480" w:lineRule="exact"/>
        <w:rPr>
          <w:rFonts w:hint="eastAsia" w:ascii="宋体" w:hAnsi="宋体" w:eastAsia="宋体" w:cs="宋体"/>
          <w:szCs w:val="28"/>
        </w:rPr>
      </w:pPr>
    </w:p>
    <w:p w14:paraId="4F9277AC">
      <w:pPr>
        <w:pStyle w:val="11"/>
        <w:rPr>
          <w:rFonts w:hint="eastAsia" w:ascii="宋体" w:hAnsi="宋体" w:eastAsia="宋体" w:cs="宋体"/>
          <w:szCs w:val="28"/>
        </w:rPr>
      </w:pPr>
    </w:p>
    <w:p w14:paraId="3C94017D">
      <w:pPr>
        <w:rPr>
          <w:rFonts w:hint="eastAsia" w:ascii="宋体" w:hAnsi="宋体" w:eastAsia="宋体" w:cs="宋体"/>
          <w:szCs w:val="28"/>
        </w:rPr>
      </w:pPr>
    </w:p>
    <w:p w14:paraId="0A8426E0">
      <w:pPr>
        <w:pStyle w:val="11"/>
        <w:rPr>
          <w:rFonts w:hint="eastAsia" w:ascii="宋体" w:hAnsi="宋体" w:eastAsia="宋体" w:cs="宋体"/>
        </w:rPr>
      </w:pPr>
    </w:p>
    <w:p w14:paraId="76811346">
      <w:pPr>
        <w:rPr>
          <w:rFonts w:hint="eastAsia" w:ascii="宋体" w:hAnsi="宋体" w:eastAsia="宋体" w:cs="宋体"/>
          <w:szCs w:val="28"/>
        </w:rPr>
      </w:pPr>
    </w:p>
    <w:p w14:paraId="79784750">
      <w:pPr>
        <w:pStyle w:val="11"/>
        <w:rPr>
          <w:rFonts w:hint="eastAsia" w:ascii="宋体" w:hAnsi="宋体" w:eastAsia="宋体" w:cs="宋体"/>
          <w:szCs w:val="28"/>
        </w:rPr>
      </w:pPr>
    </w:p>
    <w:p w14:paraId="6F972811">
      <w:pPr>
        <w:rPr>
          <w:rFonts w:hint="eastAsia" w:ascii="宋体" w:hAnsi="宋体" w:eastAsia="宋体" w:cs="宋体"/>
          <w:szCs w:val="28"/>
        </w:rPr>
      </w:pPr>
    </w:p>
    <w:p w14:paraId="69115503">
      <w:pPr>
        <w:pStyle w:val="11"/>
        <w:rPr>
          <w:rFonts w:hint="eastAsia" w:ascii="宋体" w:hAnsi="宋体" w:eastAsia="宋体" w:cs="宋体"/>
          <w:szCs w:val="28"/>
        </w:rPr>
      </w:pPr>
    </w:p>
    <w:p w14:paraId="581B6066">
      <w:pPr>
        <w:rPr>
          <w:rFonts w:hint="eastAsia" w:ascii="宋体" w:hAnsi="宋体" w:eastAsia="宋体" w:cs="宋体"/>
          <w:szCs w:val="28"/>
        </w:rPr>
      </w:pPr>
    </w:p>
    <w:p w14:paraId="0AFC7E5D">
      <w:pPr>
        <w:pStyle w:val="11"/>
        <w:rPr>
          <w:rFonts w:hint="eastAsia" w:ascii="宋体" w:hAnsi="宋体" w:eastAsia="宋体" w:cs="宋体"/>
        </w:rPr>
      </w:pPr>
    </w:p>
    <w:p w14:paraId="790A7321">
      <w:pPr>
        <w:pStyle w:val="11"/>
        <w:rPr>
          <w:rFonts w:hint="eastAsia" w:ascii="宋体" w:hAnsi="宋体" w:eastAsia="宋体" w:cs="宋体"/>
          <w:szCs w:val="28"/>
        </w:rPr>
      </w:pPr>
    </w:p>
    <w:p w14:paraId="40A3774B">
      <w:pPr>
        <w:rPr>
          <w:rFonts w:hint="eastAsia" w:ascii="宋体" w:hAnsi="宋体" w:eastAsia="宋体" w:cs="宋体"/>
        </w:rPr>
      </w:pP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7283C509">
      <w:pPr>
        <w:numPr>
          <w:ilvl w:val="0"/>
          <w:numId w:val="0"/>
        </w:numPr>
        <w:shd w:val="clear"/>
        <w:ind w:left="480" w:leftChars="0"/>
        <w:jc w:val="center"/>
        <w:outlineLvl w:val="9"/>
        <w:rPr>
          <w:rFonts w:hint="eastAsia" w:ascii="宋体" w:hAnsi="宋体" w:eastAsia="宋体" w:cs="宋体"/>
          <w:b/>
          <w:bCs/>
          <w:sz w:val="28"/>
          <w:szCs w:val="28"/>
          <w:highlight w:val="none"/>
        </w:rPr>
      </w:pPr>
    </w:p>
    <w:p w14:paraId="7BD3C1F3">
      <w:pPr>
        <w:numPr>
          <w:ilvl w:val="0"/>
          <w:numId w:val="0"/>
        </w:numPr>
        <w:shd w:val="clear"/>
        <w:ind w:left="480" w:leftChars="0"/>
        <w:jc w:val="both"/>
        <w:outlineLvl w:val="9"/>
        <w:rPr>
          <w:rFonts w:hint="eastAsia" w:ascii="宋体" w:hAnsi="宋体" w:eastAsia="宋体" w:cs="宋体"/>
          <w:b/>
          <w:bCs/>
          <w:sz w:val="28"/>
          <w:szCs w:val="28"/>
          <w:highlight w:val="none"/>
        </w:rPr>
      </w:pPr>
    </w:p>
    <w:p w14:paraId="2AFD460E">
      <w:pPr>
        <w:pStyle w:val="11"/>
        <w:rPr>
          <w:rFonts w:hint="eastAsia" w:ascii="宋体" w:hAnsi="宋体" w:eastAsia="宋体" w:cs="宋体"/>
        </w:rPr>
      </w:pPr>
    </w:p>
    <w:p w14:paraId="20ED7043">
      <w:pPr>
        <w:numPr>
          <w:ilvl w:val="0"/>
          <w:numId w:val="0"/>
        </w:numPr>
        <w:shd w:val="clear"/>
        <w:ind w:left="480" w:leftChars="0"/>
        <w:jc w:val="both"/>
        <w:outlineLvl w:val="9"/>
        <w:rPr>
          <w:rFonts w:hint="eastAsia" w:ascii="宋体" w:hAnsi="宋体" w:eastAsia="宋体" w:cs="宋体"/>
          <w:b/>
          <w:bCs/>
          <w:sz w:val="28"/>
          <w:szCs w:val="28"/>
          <w:highlight w:val="none"/>
        </w:rPr>
      </w:pPr>
    </w:p>
    <w:p w14:paraId="3F74479C">
      <w:pPr>
        <w:pStyle w:val="9"/>
        <w:ind w:firstLine="0"/>
        <w:jc w:val="both"/>
        <w:outlineLvl w:val="9"/>
        <w:rPr>
          <w:rFonts w:hint="eastAsia" w:ascii="宋体" w:hAnsi="宋体" w:eastAsia="宋体" w:cs="宋体"/>
          <w:szCs w:val="28"/>
          <w:lang w:eastAsia="zh-CN"/>
        </w:rPr>
      </w:pPr>
      <w:r>
        <w:rPr>
          <w:rFonts w:hint="eastAsia" w:ascii="宋体" w:hAnsi="宋体" w:eastAsia="宋体" w:cs="宋体"/>
          <w:szCs w:val="28"/>
          <w:lang w:eastAsia="zh-CN"/>
        </w:rPr>
        <w:t>附件</w:t>
      </w:r>
      <w:r>
        <w:rPr>
          <w:rFonts w:hint="eastAsia" w:ascii="宋体" w:hAnsi="宋体" w:eastAsia="宋体" w:cs="宋体"/>
          <w:szCs w:val="28"/>
          <w:lang w:val="en-US" w:eastAsia="zh-CN"/>
        </w:rPr>
        <w:t>一</w:t>
      </w:r>
      <w:r>
        <w:rPr>
          <w:rFonts w:hint="eastAsia" w:ascii="宋体" w:hAnsi="宋体" w:eastAsia="宋体" w:cs="宋体"/>
          <w:szCs w:val="28"/>
          <w:lang w:eastAsia="zh-CN"/>
        </w:rPr>
        <w:t>：</w:t>
      </w:r>
    </w:p>
    <w:p w14:paraId="7AB7F165">
      <w:pPr>
        <w:pStyle w:val="9"/>
        <w:ind w:firstLine="0"/>
        <w:jc w:val="center"/>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无重大违法记录声明</w:t>
      </w:r>
    </w:p>
    <w:p w14:paraId="2A498DB3">
      <w:pPr>
        <w:spacing w:line="360" w:lineRule="auto"/>
        <w:ind w:firstLine="240" w:firstLineChars="100"/>
        <w:outlineLvl w:val="9"/>
        <w:rPr>
          <w:rFonts w:hint="eastAsia" w:ascii="宋体" w:hAnsi="宋体" w:eastAsia="宋体" w:cs="宋体"/>
          <w:color w:val="auto"/>
          <w:sz w:val="24"/>
          <w:highlight w:val="none"/>
        </w:rPr>
      </w:pPr>
    </w:p>
    <w:p w14:paraId="084C1BFF">
      <w:pPr>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宝鸡福美特项目管理有限公司</w:t>
      </w:r>
    </w:p>
    <w:p w14:paraId="6522C121">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（供应商名称）郑重声明，我方参加贵公司组织的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活动前三年内无重大违法活动记录，符合《中华人民共和国政府采购法》规定的供应商资格条件。我方对此声明负全部法律责任。</w:t>
      </w:r>
    </w:p>
    <w:p w14:paraId="4FC171E0">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特此声明。</w:t>
      </w:r>
    </w:p>
    <w:p w14:paraId="11E3A39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注：成立不足三年的供应商提供自成立之日起至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之日止的无重大违法记录声明。</w:t>
      </w:r>
    </w:p>
    <w:p w14:paraId="4DAB0C4B">
      <w:pPr>
        <w:spacing w:line="360" w:lineRule="auto"/>
        <w:ind w:firstLine="4759" w:firstLineChars="1983"/>
        <w:outlineLvl w:val="9"/>
        <w:rPr>
          <w:rFonts w:hint="eastAsia" w:ascii="宋体" w:hAnsi="宋体" w:eastAsia="宋体" w:cs="宋体"/>
          <w:color w:val="auto"/>
          <w:sz w:val="24"/>
          <w:szCs w:val="24"/>
          <w:highlight w:val="none"/>
        </w:rPr>
      </w:pPr>
    </w:p>
    <w:p w14:paraId="66BA9440">
      <w:pPr>
        <w:spacing w:line="360" w:lineRule="auto"/>
        <w:ind w:firstLine="4759" w:firstLineChars="1983"/>
        <w:outlineLvl w:val="9"/>
        <w:rPr>
          <w:rFonts w:hint="eastAsia" w:ascii="宋体" w:hAnsi="宋体" w:eastAsia="宋体" w:cs="宋体"/>
          <w:color w:val="auto"/>
          <w:sz w:val="24"/>
          <w:szCs w:val="24"/>
          <w:highlight w:val="none"/>
        </w:rPr>
      </w:pPr>
    </w:p>
    <w:p w14:paraId="7C1A76E4">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2DE5792E">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法定代表人或授权代表人(签字或盖章)：</w:t>
      </w:r>
    </w:p>
    <w:p w14:paraId="62EA3F6A">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0A0FAE1">
      <w:pPr>
        <w:spacing w:line="360" w:lineRule="auto"/>
        <w:outlineLvl w:val="9"/>
        <w:rPr>
          <w:rFonts w:hint="eastAsia" w:ascii="宋体" w:hAnsi="宋体" w:eastAsia="宋体" w:cs="宋体"/>
          <w:color w:val="auto"/>
          <w:sz w:val="24"/>
          <w:szCs w:val="24"/>
          <w:highlight w:val="none"/>
        </w:rPr>
      </w:pPr>
    </w:p>
    <w:p w14:paraId="7932186D">
      <w:pPr>
        <w:spacing w:line="360" w:lineRule="auto"/>
        <w:ind w:left="280" w:leftChars="100"/>
        <w:jc w:val="left"/>
        <w:rPr>
          <w:rFonts w:hint="eastAsia" w:ascii="宋体" w:hAnsi="宋体" w:eastAsia="宋体" w:cs="宋体"/>
          <w:sz w:val="24"/>
          <w:szCs w:val="24"/>
          <w:lang w:eastAsia="zh-CN"/>
        </w:rPr>
        <w:sectPr>
          <w:headerReference r:id="rId9" w:type="defaul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cols w:space="720" w:num="1"/>
        </w:sectPr>
      </w:pPr>
    </w:p>
    <w:p w14:paraId="708284A3">
      <w:pPr>
        <w:spacing w:line="360" w:lineRule="auto"/>
        <w:jc w:val="left"/>
        <w:rPr>
          <w:rFonts w:hint="eastAsia" w:ascii="宋体" w:hAnsi="宋体" w:eastAsia="宋体" w:cs="宋体"/>
          <w:szCs w:val="28"/>
        </w:rPr>
      </w:pPr>
      <w:r>
        <w:rPr>
          <w:rFonts w:hint="eastAsia" w:ascii="宋体" w:hAnsi="宋体" w:eastAsia="宋体" w:cs="宋体"/>
          <w:szCs w:val="28"/>
        </w:rPr>
        <w:t>附</w:t>
      </w:r>
      <w:r>
        <w:rPr>
          <w:rFonts w:hint="eastAsia" w:ascii="宋体" w:hAnsi="宋体" w:eastAsia="宋体" w:cs="宋体"/>
          <w:szCs w:val="28"/>
          <w:lang w:eastAsia="zh-CN"/>
        </w:rPr>
        <w:t>件</w:t>
      </w:r>
      <w:r>
        <w:rPr>
          <w:rFonts w:hint="eastAsia" w:ascii="宋体" w:hAnsi="宋体" w:eastAsia="宋体" w:cs="宋体"/>
          <w:szCs w:val="28"/>
          <w:lang w:val="en-US" w:eastAsia="zh-CN"/>
        </w:rPr>
        <w:t>二</w:t>
      </w:r>
      <w:r>
        <w:rPr>
          <w:rFonts w:hint="eastAsia" w:ascii="宋体" w:hAnsi="宋体" w:eastAsia="宋体" w:cs="宋体"/>
          <w:szCs w:val="28"/>
        </w:rPr>
        <w:t>：</w:t>
      </w:r>
    </w:p>
    <w:p w14:paraId="012BDBAC">
      <w:pPr>
        <w:spacing w:line="480" w:lineRule="exact"/>
        <w:ind w:left="280" w:leftChars="100"/>
        <w:jc w:val="center"/>
        <w:rPr>
          <w:rFonts w:hint="eastAsia" w:ascii="宋体" w:hAnsi="宋体" w:eastAsia="宋体" w:cs="宋体"/>
          <w:b/>
          <w:bCs/>
          <w:sz w:val="24"/>
          <w:szCs w:val="22"/>
        </w:rPr>
      </w:pPr>
      <w:r>
        <w:rPr>
          <w:rFonts w:hint="eastAsia" w:ascii="宋体" w:hAnsi="宋体" w:eastAsia="宋体" w:cs="宋体"/>
          <w:b/>
          <w:bCs/>
          <w:sz w:val="24"/>
          <w:szCs w:val="22"/>
        </w:rPr>
        <w:t>法定代表人资格证明书</w:t>
      </w:r>
    </w:p>
    <w:tbl>
      <w:tblPr>
        <w:tblStyle w:val="24"/>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464"/>
        <w:gridCol w:w="1960"/>
        <w:gridCol w:w="1333"/>
        <w:gridCol w:w="2417"/>
      </w:tblGrid>
      <w:tr w14:paraId="0F61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80" w:type="dxa"/>
            <w:gridSpan w:val="5"/>
            <w:noWrap/>
          </w:tcPr>
          <w:p w14:paraId="11ECEB8F">
            <w:pPr>
              <w:tabs>
                <w:tab w:val="right" w:leader="dot" w:pos="9022"/>
              </w:tabs>
              <w:autoSpaceDE w:val="0"/>
              <w:autoSpaceDN w:val="0"/>
              <w:adjustRightInd w:val="0"/>
              <w:spacing w:line="500" w:lineRule="exact"/>
              <w:jc w:val="left"/>
              <w:rPr>
                <w:rFonts w:hint="eastAsia" w:ascii="宋体" w:hAnsi="宋体" w:eastAsia="宋体" w:cs="宋体"/>
                <w:bCs/>
                <w:caps/>
                <w:sz w:val="24"/>
                <w:szCs w:val="24"/>
                <w:lang w:eastAsia="zh-CN"/>
              </w:rPr>
            </w:pPr>
            <w:r>
              <w:rPr>
                <w:rFonts w:hint="eastAsia" w:ascii="宋体" w:hAnsi="宋体" w:eastAsia="宋体" w:cs="宋体"/>
                <w:bCs/>
                <w:caps/>
                <w:sz w:val="24"/>
                <w:szCs w:val="24"/>
              </w:rPr>
              <w:t xml:space="preserve">致： </w:t>
            </w:r>
            <w:r>
              <w:rPr>
                <w:rFonts w:hint="eastAsia" w:ascii="宋体" w:hAnsi="宋体" w:eastAsia="宋体" w:cs="宋体"/>
                <w:color w:val="000000"/>
                <w:sz w:val="24"/>
                <w:szCs w:val="24"/>
                <w:lang w:val="en-US" w:eastAsia="zh-CN"/>
              </w:rPr>
              <w:t>宝鸡福美特项目管理有限公司</w:t>
            </w:r>
          </w:p>
        </w:tc>
      </w:tr>
      <w:tr w14:paraId="2B90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7599EBEF">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项目名称</w:t>
            </w:r>
          </w:p>
        </w:tc>
        <w:tc>
          <w:tcPr>
            <w:tcW w:w="8174" w:type="dxa"/>
            <w:gridSpan w:val="4"/>
            <w:noWrap/>
          </w:tcPr>
          <w:p w14:paraId="29F8E92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2C4E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1F5D3F1D">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文件编号</w:t>
            </w:r>
          </w:p>
        </w:tc>
        <w:tc>
          <w:tcPr>
            <w:tcW w:w="8174" w:type="dxa"/>
            <w:gridSpan w:val="4"/>
            <w:noWrap/>
          </w:tcPr>
          <w:p w14:paraId="1F9529A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4751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6" w:type="dxa"/>
            <w:noWrap/>
            <w:vAlign w:val="center"/>
          </w:tcPr>
          <w:p w14:paraId="08BD3DDD">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权   限</w:t>
            </w:r>
          </w:p>
        </w:tc>
        <w:tc>
          <w:tcPr>
            <w:tcW w:w="8174" w:type="dxa"/>
            <w:gridSpan w:val="4"/>
            <w:noWrap/>
            <w:vAlign w:val="center"/>
          </w:tcPr>
          <w:p w14:paraId="5F1D9D66">
            <w:pPr>
              <w:tabs>
                <w:tab w:val="right" w:leader="dot" w:pos="9022"/>
              </w:tabs>
              <w:autoSpaceDE w:val="0"/>
              <w:autoSpaceDN w:val="0"/>
              <w:adjustRightInd w:val="0"/>
              <w:spacing w:line="400" w:lineRule="exact"/>
              <w:jc w:val="left"/>
              <w:rPr>
                <w:rFonts w:hint="eastAsia" w:ascii="宋体" w:hAnsi="宋体" w:eastAsia="宋体" w:cs="宋体"/>
                <w:bCs/>
                <w:caps/>
                <w:sz w:val="24"/>
                <w:szCs w:val="24"/>
              </w:rPr>
            </w:pPr>
            <w:r>
              <w:rPr>
                <w:rFonts w:hint="eastAsia" w:ascii="宋体" w:hAnsi="宋体" w:eastAsia="宋体" w:cs="宋体"/>
                <w:bCs/>
                <w:caps/>
                <w:sz w:val="24"/>
                <w:szCs w:val="24"/>
              </w:rPr>
              <w:t>办理本次采购项目的磋商、联系、洽谈、签约、执行等具体事务，签署全部有关文件、文书、协议及合同。</w:t>
            </w:r>
          </w:p>
        </w:tc>
      </w:tr>
      <w:tr w14:paraId="2757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3E7673BE">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有效期</w:t>
            </w:r>
          </w:p>
        </w:tc>
        <w:tc>
          <w:tcPr>
            <w:tcW w:w="8174" w:type="dxa"/>
            <w:gridSpan w:val="4"/>
            <w:noWrap/>
            <w:vAlign w:val="center"/>
          </w:tcPr>
          <w:p w14:paraId="7B78C23A">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sz w:val="24"/>
                <w:szCs w:val="24"/>
              </w:rPr>
              <w:t>自提交磋商响应文件的截止之日起90个日历日</w:t>
            </w:r>
          </w:p>
        </w:tc>
      </w:tr>
      <w:tr w14:paraId="651C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restart"/>
            <w:noWrap/>
            <w:vAlign w:val="center"/>
          </w:tcPr>
          <w:p w14:paraId="66CF9663">
            <w:pPr>
              <w:tabs>
                <w:tab w:val="right" w:leader="dot" w:pos="9022"/>
              </w:tabs>
              <w:autoSpaceDE w:val="0"/>
              <w:autoSpaceDN w:val="0"/>
              <w:adjustRightInd w:val="0"/>
              <w:spacing w:line="500" w:lineRule="exact"/>
              <w:ind w:firstLine="240" w:firstLineChars="100"/>
              <w:rPr>
                <w:rFonts w:hint="eastAsia" w:ascii="宋体" w:hAnsi="宋体" w:eastAsia="宋体" w:cs="宋体"/>
                <w:bCs/>
                <w:caps/>
                <w:sz w:val="24"/>
                <w:szCs w:val="24"/>
              </w:rPr>
            </w:pPr>
            <w:r>
              <w:rPr>
                <w:rFonts w:hint="eastAsia" w:ascii="宋体" w:hAnsi="宋体" w:eastAsia="宋体" w:cs="宋体"/>
                <w:bCs/>
                <w:caps/>
                <w:sz w:val="24"/>
                <w:szCs w:val="24"/>
              </w:rPr>
              <w:t>企业</w:t>
            </w:r>
          </w:p>
          <w:p w14:paraId="7B4C1F4E">
            <w:pPr>
              <w:tabs>
                <w:tab w:val="right" w:leader="dot" w:pos="9022"/>
              </w:tabs>
              <w:autoSpaceDE w:val="0"/>
              <w:autoSpaceDN w:val="0"/>
              <w:adjustRightInd w:val="0"/>
              <w:spacing w:line="500" w:lineRule="exact"/>
              <w:ind w:firstLine="240" w:firstLineChars="100"/>
              <w:rPr>
                <w:rFonts w:hint="eastAsia" w:ascii="宋体" w:hAnsi="宋体" w:eastAsia="宋体" w:cs="宋体"/>
                <w:bCs/>
                <w:caps/>
                <w:sz w:val="24"/>
                <w:szCs w:val="24"/>
              </w:rPr>
            </w:pPr>
            <w:r>
              <w:rPr>
                <w:rFonts w:hint="eastAsia" w:ascii="宋体" w:hAnsi="宋体" w:eastAsia="宋体" w:cs="宋体"/>
                <w:bCs/>
                <w:caps/>
                <w:sz w:val="24"/>
                <w:szCs w:val="24"/>
              </w:rPr>
              <w:t>信息</w:t>
            </w:r>
          </w:p>
        </w:tc>
        <w:tc>
          <w:tcPr>
            <w:tcW w:w="2464" w:type="dxa"/>
            <w:noWrap/>
          </w:tcPr>
          <w:p w14:paraId="360F761D">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 xml:space="preserve">企 业 名 称 </w:t>
            </w:r>
          </w:p>
        </w:tc>
        <w:tc>
          <w:tcPr>
            <w:tcW w:w="5710" w:type="dxa"/>
            <w:gridSpan w:val="3"/>
            <w:noWrap/>
          </w:tcPr>
          <w:p w14:paraId="5075374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29AD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455A51D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712DCFB0">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 定 地 址</w:t>
            </w:r>
          </w:p>
        </w:tc>
        <w:tc>
          <w:tcPr>
            <w:tcW w:w="5710" w:type="dxa"/>
            <w:gridSpan w:val="3"/>
            <w:noWrap/>
          </w:tcPr>
          <w:p w14:paraId="51CDFF2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05E6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6BB107E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62AD56FC">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统一社会信用代码</w:t>
            </w:r>
          </w:p>
        </w:tc>
        <w:tc>
          <w:tcPr>
            <w:tcW w:w="5710" w:type="dxa"/>
            <w:gridSpan w:val="3"/>
            <w:noWrap/>
          </w:tcPr>
          <w:p w14:paraId="0B74067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23F2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3EE9ADF5">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535F66A5">
            <w:pPr>
              <w:tabs>
                <w:tab w:val="right" w:leader="dot" w:pos="9022"/>
              </w:tabs>
              <w:spacing w:line="500" w:lineRule="exact"/>
              <w:rPr>
                <w:rFonts w:hint="eastAsia" w:ascii="宋体" w:hAnsi="宋体" w:eastAsia="宋体" w:cs="宋体"/>
                <w:bCs/>
                <w:caps/>
                <w:sz w:val="24"/>
                <w:szCs w:val="24"/>
              </w:rPr>
            </w:pPr>
            <w:r>
              <w:rPr>
                <w:rFonts w:hint="eastAsia" w:ascii="宋体" w:hAnsi="宋体" w:eastAsia="宋体" w:cs="宋体"/>
                <w:bCs/>
                <w:caps/>
                <w:sz w:val="24"/>
                <w:szCs w:val="24"/>
              </w:rPr>
              <w:t>工商登记机关</w:t>
            </w:r>
          </w:p>
        </w:tc>
        <w:tc>
          <w:tcPr>
            <w:tcW w:w="5710" w:type="dxa"/>
            <w:gridSpan w:val="3"/>
            <w:noWrap/>
          </w:tcPr>
          <w:p w14:paraId="05DD2CF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2723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08C0F6A8">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5576227C">
            <w:pPr>
              <w:tabs>
                <w:tab w:val="right" w:leader="dot" w:pos="9022"/>
              </w:tabs>
              <w:spacing w:line="500" w:lineRule="exact"/>
              <w:rPr>
                <w:rFonts w:hint="eastAsia" w:ascii="宋体" w:hAnsi="宋体" w:eastAsia="宋体" w:cs="宋体"/>
                <w:bCs/>
                <w:caps/>
                <w:sz w:val="24"/>
                <w:szCs w:val="24"/>
              </w:rPr>
            </w:pPr>
            <w:r>
              <w:rPr>
                <w:rFonts w:hint="eastAsia" w:ascii="宋体" w:hAnsi="宋体" w:eastAsia="宋体" w:cs="宋体"/>
                <w:bCs/>
                <w:caps/>
                <w:sz w:val="24"/>
                <w:szCs w:val="24"/>
              </w:rPr>
              <w:t>网        址</w:t>
            </w:r>
          </w:p>
        </w:tc>
        <w:tc>
          <w:tcPr>
            <w:tcW w:w="5710" w:type="dxa"/>
            <w:gridSpan w:val="3"/>
            <w:noWrap/>
          </w:tcPr>
          <w:p w14:paraId="5B54A03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19B0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restart"/>
            <w:noWrap/>
            <w:vAlign w:val="center"/>
          </w:tcPr>
          <w:p w14:paraId="64C92BF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法定代</w:t>
            </w:r>
          </w:p>
          <w:p w14:paraId="7FA51384">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表人</w:t>
            </w:r>
          </w:p>
        </w:tc>
        <w:tc>
          <w:tcPr>
            <w:tcW w:w="2464" w:type="dxa"/>
            <w:noWrap/>
          </w:tcPr>
          <w:p w14:paraId="234850D4">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姓    名</w:t>
            </w:r>
          </w:p>
        </w:tc>
        <w:tc>
          <w:tcPr>
            <w:tcW w:w="1960" w:type="dxa"/>
            <w:noWrap/>
          </w:tcPr>
          <w:p w14:paraId="2950377E">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333" w:type="dxa"/>
            <w:noWrap/>
          </w:tcPr>
          <w:p w14:paraId="7CF942B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性    别</w:t>
            </w:r>
          </w:p>
        </w:tc>
        <w:tc>
          <w:tcPr>
            <w:tcW w:w="2417" w:type="dxa"/>
            <w:noWrap/>
          </w:tcPr>
          <w:p w14:paraId="62D84D4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0B13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6317B1D5">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028D5BA3">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职    务</w:t>
            </w:r>
          </w:p>
        </w:tc>
        <w:tc>
          <w:tcPr>
            <w:tcW w:w="1960" w:type="dxa"/>
            <w:noWrap/>
          </w:tcPr>
          <w:p w14:paraId="2420985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333" w:type="dxa"/>
            <w:noWrap/>
          </w:tcPr>
          <w:p w14:paraId="6F58BB7D">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联系电话</w:t>
            </w:r>
          </w:p>
        </w:tc>
        <w:tc>
          <w:tcPr>
            <w:tcW w:w="2417" w:type="dxa"/>
            <w:noWrap/>
          </w:tcPr>
          <w:p w14:paraId="5559CCF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79A2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3139CA0D">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5E580CB0">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传    真</w:t>
            </w:r>
          </w:p>
        </w:tc>
        <w:tc>
          <w:tcPr>
            <w:tcW w:w="5710" w:type="dxa"/>
            <w:gridSpan w:val="3"/>
            <w:noWrap/>
          </w:tcPr>
          <w:p w14:paraId="6BE3650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3D0E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332CEBAB">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4A60C9B6">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通讯地址</w:t>
            </w:r>
          </w:p>
        </w:tc>
        <w:tc>
          <w:tcPr>
            <w:tcW w:w="5710" w:type="dxa"/>
            <w:gridSpan w:val="3"/>
            <w:noWrap/>
          </w:tcPr>
          <w:p w14:paraId="5A463C7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46AB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9380" w:type="dxa"/>
            <w:gridSpan w:val="5"/>
            <w:noWrap/>
          </w:tcPr>
          <w:p w14:paraId="7BC9146B">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3B1E6980">
            <w:pPr>
              <w:tabs>
                <w:tab w:val="right" w:leader="dot" w:pos="9022"/>
              </w:tabs>
              <w:autoSpaceDE w:val="0"/>
              <w:autoSpaceDN w:val="0"/>
              <w:adjustRightInd w:val="0"/>
              <w:spacing w:line="500" w:lineRule="exact"/>
              <w:jc w:val="center"/>
              <w:rPr>
                <w:rFonts w:hint="eastAsia" w:ascii="宋体" w:hAnsi="宋体" w:eastAsia="宋体" w:cs="宋体"/>
                <w:spacing w:val="-4"/>
                <w:sz w:val="24"/>
                <w:szCs w:val="24"/>
              </w:rPr>
            </w:pPr>
            <w:r>
              <w:rPr>
                <w:rFonts w:hint="eastAsia" w:ascii="宋体" w:hAnsi="宋体" w:eastAsia="宋体" w:cs="宋体"/>
                <w:bCs/>
                <w:caps/>
                <w:sz w:val="24"/>
                <w:szCs w:val="24"/>
              </w:rPr>
              <w:t>法定代表人身份证</w:t>
            </w:r>
            <w:r>
              <w:rPr>
                <w:rFonts w:hint="eastAsia" w:ascii="宋体" w:hAnsi="宋体" w:eastAsia="宋体" w:cs="宋体"/>
                <w:bCs/>
                <w:caps/>
                <w:sz w:val="24"/>
                <w:szCs w:val="24"/>
                <w:lang w:val="en-US" w:eastAsia="zh-CN"/>
              </w:rPr>
              <w:t>正反面</w:t>
            </w:r>
            <w:r>
              <w:rPr>
                <w:rFonts w:hint="eastAsia" w:ascii="宋体" w:hAnsi="宋体" w:eastAsia="宋体" w:cs="宋体"/>
                <w:bCs/>
                <w:caps/>
                <w:sz w:val="24"/>
                <w:szCs w:val="24"/>
              </w:rPr>
              <w:t>复印件</w:t>
            </w:r>
          </w:p>
          <w:p w14:paraId="18CD8269">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（粘贴处）</w:t>
            </w:r>
          </w:p>
          <w:p w14:paraId="6690EA6D">
            <w:pPr>
              <w:tabs>
                <w:tab w:val="right" w:leader="dot" w:pos="9022"/>
              </w:tabs>
              <w:autoSpaceDE w:val="0"/>
              <w:autoSpaceDN w:val="0"/>
              <w:adjustRightInd w:val="0"/>
              <w:spacing w:line="500" w:lineRule="exact"/>
              <w:jc w:val="both"/>
              <w:rPr>
                <w:rFonts w:hint="eastAsia" w:ascii="宋体" w:hAnsi="宋体" w:eastAsia="宋体" w:cs="宋体"/>
                <w:bCs/>
                <w:caps/>
                <w:sz w:val="24"/>
                <w:szCs w:val="24"/>
              </w:rPr>
            </w:pPr>
          </w:p>
        </w:tc>
      </w:tr>
      <w:tr w14:paraId="03E5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80" w:type="dxa"/>
            <w:gridSpan w:val="5"/>
            <w:noWrap/>
          </w:tcPr>
          <w:p w14:paraId="4B8C1853">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法定代表人签字及盖章：</w:t>
            </w:r>
          </w:p>
        </w:tc>
      </w:tr>
    </w:tbl>
    <w:p w14:paraId="32E92EC8">
      <w:pPr>
        <w:spacing w:line="480" w:lineRule="exact"/>
        <w:rPr>
          <w:rFonts w:hint="eastAsia" w:ascii="宋体" w:hAnsi="宋体" w:eastAsia="宋体" w:cs="宋体"/>
          <w:b/>
          <w:bCs/>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（供应商单位公章）      日 期：</w:t>
      </w:r>
    </w:p>
    <w:p w14:paraId="05467048">
      <w:pPr>
        <w:rPr>
          <w:rFonts w:hint="eastAsia" w:ascii="宋体" w:hAnsi="宋体" w:eastAsia="宋体" w:cs="宋体"/>
          <w:b/>
          <w:bCs/>
          <w:sz w:val="24"/>
          <w:szCs w:val="24"/>
        </w:rPr>
      </w:pPr>
      <w:r>
        <w:rPr>
          <w:rFonts w:hint="eastAsia" w:ascii="宋体" w:hAnsi="宋体" w:eastAsia="宋体" w:cs="宋体"/>
          <w:b/>
          <w:bCs/>
          <w:sz w:val="24"/>
          <w:szCs w:val="24"/>
        </w:rPr>
        <w:br w:type="page"/>
      </w:r>
    </w:p>
    <w:p w14:paraId="437A8DEE">
      <w:pPr>
        <w:spacing w:line="480" w:lineRule="exact"/>
        <w:ind w:left="280" w:leftChars="100"/>
        <w:jc w:val="center"/>
        <w:rPr>
          <w:rFonts w:hint="eastAsia" w:ascii="宋体" w:hAnsi="宋体" w:eastAsia="宋体" w:cs="宋体"/>
          <w:b/>
          <w:bCs/>
          <w:sz w:val="24"/>
          <w:szCs w:val="24"/>
        </w:rPr>
      </w:pPr>
      <w:r>
        <w:rPr>
          <w:rFonts w:hint="eastAsia" w:ascii="宋体" w:hAnsi="宋体" w:eastAsia="宋体" w:cs="宋体"/>
          <w:b/>
          <w:bCs/>
          <w:sz w:val="24"/>
          <w:szCs w:val="24"/>
        </w:rPr>
        <w:t>法定代表人授权委托书</w:t>
      </w:r>
    </w:p>
    <w:tbl>
      <w:tblPr>
        <w:tblStyle w:val="2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187"/>
        <w:gridCol w:w="1134"/>
        <w:gridCol w:w="1064"/>
        <w:gridCol w:w="495"/>
        <w:gridCol w:w="1559"/>
        <w:gridCol w:w="2414"/>
      </w:tblGrid>
      <w:tr w14:paraId="3D12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25" w:type="dxa"/>
            <w:gridSpan w:val="7"/>
            <w:noWrap/>
          </w:tcPr>
          <w:p w14:paraId="351AEA76">
            <w:pPr>
              <w:tabs>
                <w:tab w:val="right" w:leader="dot" w:pos="9022"/>
              </w:tabs>
              <w:autoSpaceDE w:val="0"/>
              <w:autoSpaceDN w:val="0"/>
              <w:adjustRightInd w:val="0"/>
              <w:spacing w:line="500" w:lineRule="exact"/>
              <w:jc w:val="left"/>
              <w:rPr>
                <w:rFonts w:hint="eastAsia" w:ascii="宋体" w:hAnsi="宋体" w:eastAsia="宋体" w:cs="宋体"/>
                <w:bCs/>
                <w:caps/>
                <w:sz w:val="24"/>
                <w:szCs w:val="24"/>
                <w:lang w:eastAsia="zh-CN"/>
              </w:rPr>
            </w:pPr>
            <w:r>
              <w:rPr>
                <w:rFonts w:hint="eastAsia" w:ascii="宋体" w:hAnsi="宋体" w:eastAsia="宋体" w:cs="宋体"/>
                <w:bCs/>
                <w:caps/>
                <w:sz w:val="24"/>
                <w:szCs w:val="24"/>
              </w:rPr>
              <w:t xml:space="preserve">致： </w:t>
            </w:r>
            <w:r>
              <w:rPr>
                <w:rFonts w:hint="eastAsia" w:ascii="宋体" w:hAnsi="宋体" w:eastAsia="宋体" w:cs="宋体"/>
                <w:bCs/>
                <w:caps/>
                <w:sz w:val="24"/>
                <w:szCs w:val="24"/>
                <w:lang w:eastAsia="zh-CN"/>
              </w:rPr>
              <w:t>宝鸡福美特项目管理有限公司</w:t>
            </w:r>
          </w:p>
        </w:tc>
      </w:tr>
      <w:tr w14:paraId="46C8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3EBD0F5E">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被授</w:t>
            </w:r>
          </w:p>
          <w:p w14:paraId="566A9B46">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权项</w:t>
            </w:r>
          </w:p>
          <w:p w14:paraId="036F52F0">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目与</w:t>
            </w:r>
          </w:p>
          <w:p w14:paraId="5C42C08A">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内容</w:t>
            </w:r>
          </w:p>
        </w:tc>
        <w:tc>
          <w:tcPr>
            <w:tcW w:w="1187" w:type="dxa"/>
            <w:noWrap/>
          </w:tcPr>
          <w:p w14:paraId="7305651D">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项目名称</w:t>
            </w:r>
          </w:p>
        </w:tc>
        <w:tc>
          <w:tcPr>
            <w:tcW w:w="6666" w:type="dxa"/>
            <w:gridSpan w:val="5"/>
            <w:noWrap/>
          </w:tcPr>
          <w:p w14:paraId="0754F23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7399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03CF895D">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tcPr>
          <w:p w14:paraId="3A6DB64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文件编号</w:t>
            </w:r>
          </w:p>
        </w:tc>
        <w:tc>
          <w:tcPr>
            <w:tcW w:w="6666" w:type="dxa"/>
            <w:gridSpan w:val="5"/>
            <w:noWrap/>
          </w:tcPr>
          <w:p w14:paraId="766FCF00">
            <w:pPr>
              <w:tabs>
                <w:tab w:val="right" w:leader="dot" w:pos="9022"/>
              </w:tabs>
              <w:autoSpaceDE w:val="0"/>
              <w:autoSpaceDN w:val="0"/>
              <w:adjustRightInd w:val="0"/>
              <w:spacing w:line="500" w:lineRule="exact"/>
              <w:ind w:firstLine="1200" w:firstLineChars="500"/>
              <w:jc w:val="left"/>
              <w:rPr>
                <w:rFonts w:hint="eastAsia" w:ascii="宋体" w:hAnsi="宋体" w:eastAsia="宋体" w:cs="宋体"/>
                <w:bCs/>
                <w:caps/>
                <w:sz w:val="24"/>
                <w:szCs w:val="24"/>
              </w:rPr>
            </w:pPr>
          </w:p>
        </w:tc>
      </w:tr>
      <w:tr w14:paraId="63C9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72" w:type="dxa"/>
            <w:vMerge w:val="continue"/>
            <w:noWrap/>
          </w:tcPr>
          <w:p w14:paraId="3DE11C7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vAlign w:val="center"/>
          </w:tcPr>
          <w:p w14:paraId="734BFA04">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授权范围</w:t>
            </w:r>
          </w:p>
        </w:tc>
        <w:tc>
          <w:tcPr>
            <w:tcW w:w="6666" w:type="dxa"/>
            <w:gridSpan w:val="5"/>
            <w:noWrap/>
          </w:tcPr>
          <w:p w14:paraId="54C3A9CB">
            <w:pPr>
              <w:tabs>
                <w:tab w:val="right" w:leader="dot" w:pos="9022"/>
              </w:tabs>
              <w:autoSpaceDE w:val="0"/>
              <w:autoSpaceDN w:val="0"/>
              <w:adjustRightInd w:val="0"/>
              <w:spacing w:line="400" w:lineRule="exact"/>
              <w:jc w:val="left"/>
              <w:rPr>
                <w:rFonts w:hint="eastAsia" w:ascii="宋体" w:hAnsi="宋体" w:eastAsia="宋体" w:cs="宋体"/>
                <w:bCs/>
                <w:caps/>
                <w:sz w:val="24"/>
                <w:szCs w:val="24"/>
              </w:rPr>
            </w:pPr>
            <w:r>
              <w:rPr>
                <w:rFonts w:hint="eastAsia" w:ascii="宋体" w:hAnsi="宋体" w:eastAsia="宋体" w:cs="宋体"/>
                <w:bCs/>
                <w:caps/>
                <w:sz w:val="24"/>
                <w:szCs w:val="24"/>
              </w:rPr>
              <w:t>全权办理本次采购项目的磋商、联系、洽谈、签约、执行等具体事务，签署全部有关文件、文书、协议及合同。</w:t>
            </w:r>
          </w:p>
        </w:tc>
      </w:tr>
      <w:tr w14:paraId="269F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18E67E3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tcPr>
          <w:p w14:paraId="06BF1B6B">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法律责任</w:t>
            </w:r>
          </w:p>
        </w:tc>
        <w:tc>
          <w:tcPr>
            <w:tcW w:w="6666" w:type="dxa"/>
            <w:gridSpan w:val="5"/>
            <w:noWrap/>
          </w:tcPr>
          <w:p w14:paraId="3A8F3F66">
            <w:pPr>
              <w:tabs>
                <w:tab w:val="right" w:leader="dot" w:pos="9022"/>
              </w:tabs>
              <w:autoSpaceDE w:val="0"/>
              <w:autoSpaceDN w:val="0"/>
              <w:adjustRightInd w:val="0"/>
              <w:spacing w:line="4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本公司对被授权人在本项目中的签名承担全部法律责任。</w:t>
            </w:r>
          </w:p>
        </w:tc>
      </w:tr>
      <w:tr w14:paraId="1D83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628AD58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vAlign w:val="center"/>
          </w:tcPr>
          <w:p w14:paraId="3945D6CD">
            <w:pPr>
              <w:tabs>
                <w:tab w:val="right" w:leader="dot" w:pos="9022"/>
              </w:tabs>
              <w:autoSpaceDE w:val="0"/>
              <w:autoSpaceDN w:val="0"/>
              <w:adjustRightInd w:val="0"/>
              <w:spacing w:line="500" w:lineRule="exact"/>
              <w:rPr>
                <w:rFonts w:hint="eastAsia" w:ascii="宋体" w:hAnsi="宋体" w:eastAsia="宋体" w:cs="宋体"/>
                <w:bCs/>
                <w:caps/>
                <w:sz w:val="24"/>
                <w:szCs w:val="24"/>
              </w:rPr>
            </w:pPr>
            <w:r>
              <w:rPr>
                <w:rFonts w:hint="eastAsia" w:ascii="宋体" w:hAnsi="宋体" w:eastAsia="宋体" w:cs="宋体"/>
                <w:bCs/>
                <w:caps/>
                <w:sz w:val="24"/>
                <w:szCs w:val="24"/>
              </w:rPr>
              <w:t>授权期限</w:t>
            </w:r>
          </w:p>
        </w:tc>
        <w:tc>
          <w:tcPr>
            <w:tcW w:w="6666" w:type="dxa"/>
            <w:gridSpan w:val="5"/>
            <w:noWrap/>
            <w:vAlign w:val="center"/>
          </w:tcPr>
          <w:p w14:paraId="477E75DD">
            <w:pPr>
              <w:tabs>
                <w:tab w:val="right" w:leader="dot" w:pos="9022"/>
              </w:tabs>
              <w:autoSpaceDE w:val="0"/>
              <w:autoSpaceDN w:val="0"/>
              <w:adjustRightInd w:val="0"/>
              <w:spacing w:line="400" w:lineRule="exact"/>
              <w:rPr>
                <w:rFonts w:hint="eastAsia" w:ascii="宋体" w:hAnsi="宋体" w:eastAsia="宋体" w:cs="宋体"/>
                <w:bCs/>
                <w:caps/>
                <w:sz w:val="24"/>
                <w:szCs w:val="24"/>
              </w:rPr>
            </w:pPr>
            <w:r>
              <w:rPr>
                <w:rFonts w:hint="eastAsia" w:ascii="宋体" w:hAnsi="宋体" w:eastAsia="宋体" w:cs="宋体"/>
                <w:bCs/>
                <w:caps/>
                <w:sz w:val="24"/>
                <w:szCs w:val="24"/>
              </w:rPr>
              <w:t>本授权书</w:t>
            </w:r>
            <w:r>
              <w:rPr>
                <w:rFonts w:hint="eastAsia" w:ascii="宋体" w:hAnsi="宋体" w:eastAsia="宋体" w:cs="宋体"/>
                <w:sz w:val="24"/>
                <w:szCs w:val="24"/>
              </w:rPr>
              <w:t>自提交供应商的截止之日起90个日历日</w:t>
            </w:r>
          </w:p>
        </w:tc>
      </w:tr>
      <w:tr w14:paraId="37C6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restart"/>
            <w:noWrap/>
            <w:vAlign w:val="center"/>
          </w:tcPr>
          <w:p w14:paraId="4866948B">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企业信息</w:t>
            </w:r>
          </w:p>
        </w:tc>
        <w:tc>
          <w:tcPr>
            <w:tcW w:w="2321" w:type="dxa"/>
            <w:gridSpan w:val="2"/>
            <w:noWrap/>
          </w:tcPr>
          <w:p w14:paraId="1FE04A4C">
            <w:pPr>
              <w:tabs>
                <w:tab w:val="right" w:leader="dot" w:pos="9022"/>
              </w:tabs>
              <w:autoSpaceDE w:val="0"/>
              <w:autoSpaceDN w:val="0"/>
              <w:adjustRightInd w:val="0"/>
              <w:spacing w:line="400" w:lineRule="exact"/>
              <w:rPr>
                <w:rFonts w:hint="eastAsia" w:ascii="宋体" w:hAnsi="宋体" w:eastAsia="宋体" w:cs="宋体"/>
                <w:bCs/>
                <w:caps/>
                <w:sz w:val="24"/>
                <w:szCs w:val="24"/>
              </w:rPr>
            </w:pPr>
            <w:r>
              <w:rPr>
                <w:rFonts w:hint="eastAsia" w:ascii="宋体" w:hAnsi="宋体" w:eastAsia="宋体" w:cs="宋体"/>
                <w:bCs/>
                <w:caps/>
                <w:sz w:val="24"/>
                <w:szCs w:val="24"/>
              </w:rPr>
              <w:t xml:space="preserve">企 业 名 称 </w:t>
            </w:r>
          </w:p>
        </w:tc>
        <w:tc>
          <w:tcPr>
            <w:tcW w:w="5532" w:type="dxa"/>
            <w:gridSpan w:val="4"/>
            <w:noWrap/>
            <w:vAlign w:val="center"/>
          </w:tcPr>
          <w:p w14:paraId="16543038">
            <w:pPr>
              <w:tabs>
                <w:tab w:val="right" w:leader="dot" w:pos="9022"/>
              </w:tabs>
              <w:autoSpaceDE w:val="0"/>
              <w:autoSpaceDN w:val="0"/>
              <w:adjustRightInd w:val="0"/>
              <w:spacing w:line="400" w:lineRule="exact"/>
              <w:rPr>
                <w:rFonts w:hint="eastAsia" w:ascii="宋体" w:hAnsi="宋体" w:eastAsia="宋体" w:cs="宋体"/>
                <w:bCs/>
                <w:caps/>
                <w:sz w:val="24"/>
                <w:szCs w:val="24"/>
              </w:rPr>
            </w:pPr>
          </w:p>
        </w:tc>
      </w:tr>
      <w:tr w14:paraId="1E05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continue"/>
            <w:noWrap/>
          </w:tcPr>
          <w:p w14:paraId="4939403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2321" w:type="dxa"/>
            <w:gridSpan w:val="2"/>
            <w:noWrap/>
          </w:tcPr>
          <w:p w14:paraId="34AEA3F5">
            <w:pPr>
              <w:tabs>
                <w:tab w:val="right" w:leader="dot" w:pos="9022"/>
              </w:tabs>
              <w:autoSpaceDE w:val="0"/>
              <w:autoSpaceDN w:val="0"/>
              <w:adjustRightInd w:val="0"/>
              <w:spacing w:line="400" w:lineRule="exact"/>
              <w:rPr>
                <w:rFonts w:hint="eastAsia" w:ascii="宋体" w:hAnsi="宋体" w:eastAsia="宋体" w:cs="宋体"/>
                <w:bCs/>
                <w:caps/>
                <w:sz w:val="24"/>
                <w:szCs w:val="24"/>
              </w:rPr>
            </w:pPr>
            <w:r>
              <w:rPr>
                <w:rFonts w:hint="eastAsia" w:ascii="宋体" w:hAnsi="宋体" w:eastAsia="宋体" w:cs="宋体"/>
                <w:bCs/>
                <w:caps/>
                <w:sz w:val="24"/>
                <w:szCs w:val="24"/>
              </w:rPr>
              <w:t>法 定 地 址</w:t>
            </w:r>
          </w:p>
        </w:tc>
        <w:tc>
          <w:tcPr>
            <w:tcW w:w="5532" w:type="dxa"/>
            <w:gridSpan w:val="4"/>
            <w:noWrap/>
            <w:vAlign w:val="center"/>
          </w:tcPr>
          <w:p w14:paraId="4ED944BB">
            <w:pPr>
              <w:tabs>
                <w:tab w:val="right" w:leader="dot" w:pos="9022"/>
              </w:tabs>
              <w:autoSpaceDE w:val="0"/>
              <w:autoSpaceDN w:val="0"/>
              <w:adjustRightInd w:val="0"/>
              <w:spacing w:line="400" w:lineRule="exact"/>
              <w:rPr>
                <w:rFonts w:hint="eastAsia" w:ascii="宋体" w:hAnsi="宋体" w:eastAsia="宋体" w:cs="宋体"/>
                <w:bCs/>
                <w:caps/>
                <w:sz w:val="24"/>
                <w:szCs w:val="24"/>
              </w:rPr>
            </w:pPr>
          </w:p>
        </w:tc>
      </w:tr>
      <w:tr w14:paraId="15BC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continue"/>
            <w:noWrap/>
          </w:tcPr>
          <w:p w14:paraId="464395A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2321" w:type="dxa"/>
            <w:gridSpan w:val="2"/>
            <w:noWrap/>
          </w:tcPr>
          <w:p w14:paraId="7F7D2098">
            <w:pPr>
              <w:tabs>
                <w:tab w:val="right" w:leader="dot" w:pos="9022"/>
              </w:tabs>
              <w:autoSpaceDE w:val="0"/>
              <w:autoSpaceDN w:val="0"/>
              <w:adjustRightInd w:val="0"/>
              <w:spacing w:line="400" w:lineRule="exact"/>
              <w:rPr>
                <w:rFonts w:hint="eastAsia" w:ascii="宋体" w:hAnsi="宋体" w:eastAsia="宋体" w:cs="宋体"/>
                <w:bCs/>
                <w:caps/>
                <w:sz w:val="24"/>
                <w:szCs w:val="24"/>
              </w:rPr>
            </w:pPr>
            <w:r>
              <w:rPr>
                <w:rFonts w:hint="eastAsia" w:ascii="宋体" w:hAnsi="宋体" w:eastAsia="宋体" w:cs="宋体"/>
                <w:bCs/>
                <w:caps/>
                <w:sz w:val="24"/>
                <w:szCs w:val="24"/>
              </w:rPr>
              <w:t>统一社会信用代码</w:t>
            </w:r>
          </w:p>
        </w:tc>
        <w:tc>
          <w:tcPr>
            <w:tcW w:w="5532" w:type="dxa"/>
            <w:gridSpan w:val="4"/>
            <w:noWrap/>
            <w:vAlign w:val="center"/>
          </w:tcPr>
          <w:p w14:paraId="0C2740A7">
            <w:pPr>
              <w:tabs>
                <w:tab w:val="right" w:leader="dot" w:pos="9022"/>
              </w:tabs>
              <w:autoSpaceDE w:val="0"/>
              <w:autoSpaceDN w:val="0"/>
              <w:adjustRightInd w:val="0"/>
              <w:spacing w:line="400" w:lineRule="exact"/>
              <w:rPr>
                <w:rFonts w:hint="eastAsia" w:ascii="宋体" w:hAnsi="宋体" w:eastAsia="宋体" w:cs="宋体"/>
                <w:bCs/>
                <w:caps/>
                <w:sz w:val="24"/>
                <w:szCs w:val="24"/>
              </w:rPr>
            </w:pPr>
          </w:p>
        </w:tc>
      </w:tr>
      <w:tr w14:paraId="3772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0A30FD68">
            <w:pPr>
              <w:tabs>
                <w:tab w:val="right" w:leader="dot" w:pos="9022"/>
              </w:tabs>
              <w:autoSpaceDE w:val="0"/>
              <w:autoSpaceDN w:val="0"/>
              <w:adjustRightInd w:val="0"/>
              <w:spacing w:line="500" w:lineRule="exact"/>
              <w:rPr>
                <w:rFonts w:hint="eastAsia" w:ascii="宋体" w:hAnsi="宋体" w:eastAsia="宋体" w:cs="宋体"/>
                <w:bCs/>
                <w:caps/>
                <w:sz w:val="24"/>
                <w:szCs w:val="24"/>
              </w:rPr>
            </w:pPr>
            <w:r>
              <w:rPr>
                <w:rFonts w:hint="eastAsia" w:ascii="宋体" w:hAnsi="宋体" w:eastAsia="宋体" w:cs="宋体"/>
                <w:bCs/>
                <w:caps/>
                <w:sz w:val="24"/>
                <w:szCs w:val="24"/>
              </w:rPr>
              <w:t>法定代表人</w:t>
            </w:r>
          </w:p>
        </w:tc>
        <w:tc>
          <w:tcPr>
            <w:tcW w:w="1187" w:type="dxa"/>
            <w:noWrap/>
            <w:vAlign w:val="center"/>
          </w:tcPr>
          <w:p w14:paraId="3D80B1E1">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姓名</w:t>
            </w:r>
          </w:p>
        </w:tc>
        <w:tc>
          <w:tcPr>
            <w:tcW w:w="2693" w:type="dxa"/>
            <w:gridSpan w:val="3"/>
            <w:noWrap/>
            <w:vAlign w:val="center"/>
          </w:tcPr>
          <w:p w14:paraId="777C58AF">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1559" w:type="dxa"/>
            <w:noWrap/>
            <w:vAlign w:val="center"/>
          </w:tcPr>
          <w:p w14:paraId="53C86D72">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性    别</w:t>
            </w:r>
          </w:p>
        </w:tc>
        <w:tc>
          <w:tcPr>
            <w:tcW w:w="2414" w:type="dxa"/>
            <w:noWrap/>
            <w:vAlign w:val="center"/>
          </w:tcPr>
          <w:p w14:paraId="576202D7">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r>
      <w:tr w14:paraId="03FF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vAlign w:val="center"/>
          </w:tcPr>
          <w:p w14:paraId="3A3DA84E">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vAlign w:val="center"/>
          </w:tcPr>
          <w:p w14:paraId="3B56966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职务</w:t>
            </w:r>
          </w:p>
        </w:tc>
        <w:tc>
          <w:tcPr>
            <w:tcW w:w="2693" w:type="dxa"/>
            <w:gridSpan w:val="3"/>
            <w:noWrap/>
            <w:vAlign w:val="center"/>
          </w:tcPr>
          <w:p w14:paraId="534C5315">
            <w:pPr>
              <w:tabs>
                <w:tab w:val="right" w:leader="dot" w:pos="9022"/>
              </w:tabs>
              <w:autoSpaceDE w:val="0"/>
              <w:autoSpaceDN w:val="0"/>
              <w:adjustRightInd w:val="0"/>
              <w:spacing w:line="400" w:lineRule="exact"/>
              <w:jc w:val="center"/>
              <w:rPr>
                <w:rFonts w:hint="eastAsia" w:ascii="宋体" w:hAnsi="宋体" w:eastAsia="宋体" w:cs="宋体"/>
                <w:bCs/>
                <w:caps/>
                <w:sz w:val="24"/>
                <w:szCs w:val="24"/>
              </w:rPr>
            </w:pPr>
          </w:p>
        </w:tc>
        <w:tc>
          <w:tcPr>
            <w:tcW w:w="1559" w:type="dxa"/>
            <w:noWrap/>
            <w:vAlign w:val="center"/>
          </w:tcPr>
          <w:p w14:paraId="748E51E8">
            <w:pPr>
              <w:tabs>
                <w:tab w:val="right" w:leader="dot" w:pos="9022"/>
              </w:tabs>
              <w:autoSpaceDE w:val="0"/>
              <w:autoSpaceDN w:val="0"/>
              <w:adjustRightInd w:val="0"/>
              <w:spacing w:line="400" w:lineRule="exact"/>
              <w:jc w:val="center"/>
              <w:rPr>
                <w:rFonts w:hint="eastAsia" w:ascii="宋体" w:hAnsi="宋体" w:eastAsia="宋体" w:cs="宋体"/>
                <w:bCs/>
                <w:caps/>
                <w:sz w:val="24"/>
                <w:szCs w:val="24"/>
                <w:lang w:eastAsia="zh-CN"/>
              </w:rPr>
            </w:pPr>
            <w:r>
              <w:rPr>
                <w:rFonts w:hint="eastAsia" w:ascii="宋体" w:hAnsi="宋体" w:eastAsia="宋体" w:cs="宋体"/>
                <w:bCs/>
                <w:caps/>
                <w:sz w:val="24"/>
                <w:szCs w:val="24"/>
                <w:lang w:val="en-US" w:eastAsia="zh-CN"/>
              </w:rPr>
              <w:t>联系电话</w:t>
            </w:r>
          </w:p>
        </w:tc>
        <w:tc>
          <w:tcPr>
            <w:tcW w:w="2414" w:type="dxa"/>
            <w:noWrap/>
            <w:vAlign w:val="center"/>
          </w:tcPr>
          <w:p w14:paraId="70467B7F">
            <w:pPr>
              <w:tabs>
                <w:tab w:val="right" w:leader="dot" w:pos="9022"/>
              </w:tabs>
              <w:autoSpaceDE w:val="0"/>
              <w:autoSpaceDN w:val="0"/>
              <w:adjustRightInd w:val="0"/>
              <w:spacing w:line="400" w:lineRule="exact"/>
              <w:rPr>
                <w:rFonts w:hint="eastAsia" w:ascii="宋体" w:hAnsi="宋体" w:eastAsia="宋体" w:cs="宋体"/>
                <w:bCs/>
                <w:caps/>
                <w:sz w:val="24"/>
                <w:szCs w:val="24"/>
              </w:rPr>
            </w:pPr>
          </w:p>
        </w:tc>
      </w:tr>
      <w:tr w14:paraId="258A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0413E6CD">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被授权人</w:t>
            </w:r>
          </w:p>
        </w:tc>
        <w:tc>
          <w:tcPr>
            <w:tcW w:w="1187" w:type="dxa"/>
            <w:noWrap/>
            <w:vAlign w:val="center"/>
          </w:tcPr>
          <w:p w14:paraId="33125E5B">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姓名</w:t>
            </w:r>
          </w:p>
        </w:tc>
        <w:tc>
          <w:tcPr>
            <w:tcW w:w="2693" w:type="dxa"/>
            <w:gridSpan w:val="3"/>
            <w:noWrap/>
            <w:vAlign w:val="center"/>
          </w:tcPr>
          <w:p w14:paraId="7EBC1E9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1559" w:type="dxa"/>
            <w:noWrap/>
            <w:vAlign w:val="center"/>
          </w:tcPr>
          <w:p w14:paraId="43EFAC56">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性    别</w:t>
            </w:r>
          </w:p>
        </w:tc>
        <w:tc>
          <w:tcPr>
            <w:tcW w:w="2414" w:type="dxa"/>
            <w:noWrap/>
            <w:vAlign w:val="center"/>
          </w:tcPr>
          <w:p w14:paraId="5A6A99DF">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r>
      <w:tr w14:paraId="75BD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77B92A66">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vAlign w:val="center"/>
          </w:tcPr>
          <w:p w14:paraId="6C68031B">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职务</w:t>
            </w:r>
          </w:p>
        </w:tc>
        <w:tc>
          <w:tcPr>
            <w:tcW w:w="2693" w:type="dxa"/>
            <w:gridSpan w:val="3"/>
            <w:noWrap/>
            <w:vAlign w:val="center"/>
          </w:tcPr>
          <w:p w14:paraId="0029D6E9">
            <w:pPr>
              <w:tabs>
                <w:tab w:val="right" w:leader="dot" w:pos="9022"/>
              </w:tabs>
              <w:autoSpaceDE w:val="0"/>
              <w:autoSpaceDN w:val="0"/>
              <w:adjustRightInd w:val="0"/>
              <w:spacing w:line="400" w:lineRule="exact"/>
              <w:jc w:val="center"/>
              <w:rPr>
                <w:rFonts w:hint="eastAsia" w:ascii="宋体" w:hAnsi="宋体" w:eastAsia="宋体" w:cs="宋体"/>
                <w:bCs/>
                <w:caps/>
                <w:sz w:val="24"/>
                <w:szCs w:val="24"/>
              </w:rPr>
            </w:pPr>
          </w:p>
        </w:tc>
        <w:tc>
          <w:tcPr>
            <w:tcW w:w="1559" w:type="dxa"/>
            <w:noWrap/>
            <w:vAlign w:val="center"/>
          </w:tcPr>
          <w:p w14:paraId="224FE8DB">
            <w:pPr>
              <w:tabs>
                <w:tab w:val="right" w:leader="dot" w:pos="9022"/>
              </w:tabs>
              <w:autoSpaceDE w:val="0"/>
              <w:autoSpaceDN w:val="0"/>
              <w:adjustRightInd w:val="0"/>
              <w:spacing w:line="400" w:lineRule="exact"/>
              <w:jc w:val="center"/>
              <w:rPr>
                <w:rFonts w:hint="eastAsia" w:ascii="宋体" w:hAnsi="宋体" w:eastAsia="宋体" w:cs="宋体"/>
                <w:bCs/>
                <w:caps/>
                <w:sz w:val="24"/>
                <w:szCs w:val="24"/>
              </w:rPr>
            </w:pPr>
            <w:r>
              <w:rPr>
                <w:rFonts w:hint="eastAsia" w:ascii="宋体" w:hAnsi="宋体" w:eastAsia="宋体" w:cs="宋体"/>
                <w:bCs/>
                <w:caps/>
                <w:sz w:val="24"/>
                <w:szCs w:val="24"/>
                <w:lang w:val="en-US" w:eastAsia="zh-CN"/>
              </w:rPr>
              <w:t>联系电话</w:t>
            </w:r>
          </w:p>
        </w:tc>
        <w:tc>
          <w:tcPr>
            <w:tcW w:w="2414" w:type="dxa"/>
            <w:noWrap/>
          </w:tcPr>
          <w:p w14:paraId="175B24DD">
            <w:pPr>
              <w:tabs>
                <w:tab w:val="right" w:leader="dot" w:pos="9022"/>
              </w:tabs>
              <w:autoSpaceDE w:val="0"/>
              <w:autoSpaceDN w:val="0"/>
              <w:adjustRightInd w:val="0"/>
              <w:spacing w:line="400" w:lineRule="exact"/>
              <w:rPr>
                <w:rFonts w:hint="eastAsia" w:ascii="宋体" w:hAnsi="宋体" w:eastAsia="宋体" w:cs="宋体"/>
                <w:bCs/>
                <w:caps/>
                <w:sz w:val="24"/>
                <w:szCs w:val="24"/>
              </w:rPr>
            </w:pPr>
          </w:p>
        </w:tc>
      </w:tr>
      <w:tr w14:paraId="6FB2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noWrap/>
          </w:tcPr>
          <w:p w14:paraId="5D10DB29">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通讯地址</w:t>
            </w:r>
          </w:p>
        </w:tc>
        <w:tc>
          <w:tcPr>
            <w:tcW w:w="7853" w:type="dxa"/>
            <w:gridSpan w:val="6"/>
            <w:noWrap/>
          </w:tcPr>
          <w:p w14:paraId="7C2292C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0AF1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4957" w:type="dxa"/>
            <w:gridSpan w:val="4"/>
            <w:noWrap/>
            <w:vAlign w:val="center"/>
          </w:tcPr>
          <w:p w14:paraId="1215366A">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法定代表人身份证</w:t>
            </w:r>
            <w:r>
              <w:rPr>
                <w:rFonts w:hint="eastAsia" w:ascii="宋体" w:hAnsi="宋体" w:eastAsia="宋体" w:cs="宋体"/>
                <w:bCs/>
                <w:caps/>
                <w:sz w:val="24"/>
                <w:szCs w:val="24"/>
                <w:lang w:val="en-US" w:eastAsia="zh-CN"/>
              </w:rPr>
              <w:t>正反面</w:t>
            </w:r>
            <w:r>
              <w:rPr>
                <w:rFonts w:hint="eastAsia" w:ascii="宋体" w:hAnsi="宋体" w:eastAsia="宋体" w:cs="宋体"/>
                <w:bCs/>
                <w:caps/>
                <w:sz w:val="24"/>
                <w:szCs w:val="24"/>
              </w:rPr>
              <w:t>复印件</w:t>
            </w:r>
          </w:p>
          <w:p w14:paraId="41C077B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0F72EEBF">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（粘贴处）</w:t>
            </w:r>
          </w:p>
        </w:tc>
        <w:tc>
          <w:tcPr>
            <w:tcW w:w="4468" w:type="dxa"/>
            <w:gridSpan w:val="3"/>
            <w:noWrap/>
            <w:vAlign w:val="center"/>
          </w:tcPr>
          <w:p w14:paraId="75C65C4F">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被授权人身份证</w:t>
            </w:r>
            <w:r>
              <w:rPr>
                <w:rFonts w:hint="eastAsia" w:ascii="宋体" w:hAnsi="宋体" w:eastAsia="宋体" w:cs="宋体"/>
                <w:bCs/>
                <w:caps/>
                <w:sz w:val="24"/>
                <w:szCs w:val="24"/>
                <w:lang w:val="en-US" w:eastAsia="zh-CN"/>
              </w:rPr>
              <w:t>正反面</w:t>
            </w:r>
            <w:r>
              <w:rPr>
                <w:rFonts w:hint="eastAsia" w:ascii="宋体" w:hAnsi="宋体" w:eastAsia="宋体" w:cs="宋体"/>
                <w:bCs/>
                <w:caps/>
                <w:sz w:val="24"/>
                <w:szCs w:val="24"/>
              </w:rPr>
              <w:t>复印件</w:t>
            </w:r>
          </w:p>
          <w:p w14:paraId="15C9D72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6927FD76">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（粘贴处）</w:t>
            </w:r>
          </w:p>
        </w:tc>
      </w:tr>
      <w:tr w14:paraId="5C4D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425" w:type="dxa"/>
            <w:gridSpan w:val="7"/>
            <w:tcBorders>
              <w:bottom w:val="single" w:color="auto" w:sz="4" w:space="0"/>
            </w:tcBorders>
            <w:noWrap/>
            <w:vAlign w:val="center"/>
          </w:tcPr>
          <w:p w14:paraId="7F3C3FFC">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法定代表人及被授权人签字或盖章：</w:t>
            </w:r>
          </w:p>
        </w:tc>
      </w:tr>
    </w:tbl>
    <w:p w14:paraId="42A7550F">
      <w:pPr>
        <w:autoSpaceDE w:val="0"/>
        <w:autoSpaceDN w:val="0"/>
        <w:adjustRightInd w:val="0"/>
        <w:snapToGrid w:val="0"/>
        <w:spacing w:line="480" w:lineRule="exact"/>
        <w:rPr>
          <w:rFonts w:hint="eastAsia" w:ascii="宋体" w:hAnsi="宋体" w:eastAsia="宋体" w:cs="宋体"/>
          <w:bCs/>
          <w:caps/>
          <w:sz w:val="24"/>
          <w:szCs w:val="24"/>
        </w:rPr>
      </w:pPr>
      <w:r>
        <w:rPr>
          <w:rFonts w:hint="eastAsia" w:ascii="宋体" w:hAnsi="宋体" w:eastAsia="宋体" w:cs="宋体"/>
          <w:bCs/>
          <w:caps/>
          <w:sz w:val="24"/>
          <w:szCs w:val="24"/>
        </w:rPr>
        <w:t>供应商名称：</w:t>
      </w:r>
      <w:r>
        <w:rPr>
          <w:rFonts w:hint="eastAsia" w:ascii="宋体" w:hAnsi="宋体" w:eastAsia="宋体" w:cs="宋体"/>
          <w:bCs/>
          <w:caps/>
          <w:sz w:val="24"/>
          <w:szCs w:val="24"/>
          <w:u w:val="single"/>
        </w:rPr>
        <w:t xml:space="preserve">              </w:t>
      </w:r>
      <w:r>
        <w:rPr>
          <w:rFonts w:hint="eastAsia" w:ascii="宋体" w:hAnsi="宋体" w:eastAsia="宋体" w:cs="宋体"/>
          <w:bCs/>
          <w:caps/>
          <w:sz w:val="24"/>
          <w:szCs w:val="24"/>
        </w:rPr>
        <w:t xml:space="preserve"> （供应商单位公章）     日 期：  </w:t>
      </w:r>
    </w:p>
    <w:p w14:paraId="6559DB32">
      <w:pPr>
        <w:rPr>
          <w:rFonts w:hint="eastAsia" w:ascii="宋体" w:hAnsi="宋体" w:eastAsia="宋体" w:cs="宋体"/>
        </w:rPr>
        <w:sectPr>
          <w:pgSz w:w="11906" w:h="16838"/>
          <w:pgMar w:top="1440" w:right="1080" w:bottom="1440" w:left="1080" w:header="851" w:footer="992" w:gutter="0"/>
          <w:pgBorders>
            <w:top w:val="none" w:sz="0" w:space="0"/>
            <w:left w:val="none" w:sz="0" w:space="0"/>
            <w:bottom w:val="none" w:sz="0" w:space="0"/>
            <w:right w:val="none" w:sz="0" w:space="0"/>
          </w:pgBorders>
          <w:cols w:space="720" w:num="1"/>
        </w:sectPr>
      </w:pPr>
    </w:p>
    <w:p w14:paraId="6C172647">
      <w:pPr>
        <w:spacing w:line="480" w:lineRule="auto"/>
        <w:outlineLvl w:val="1"/>
        <w:rPr>
          <w:rFonts w:hint="eastAsia" w:ascii="宋体" w:hAnsi="宋体" w:eastAsia="宋体" w:cs="宋体"/>
          <w:b/>
          <w:bCs/>
          <w:sz w:val="24"/>
          <w:szCs w:val="24"/>
        </w:rPr>
      </w:pPr>
      <w:r>
        <w:rPr>
          <w:rFonts w:hint="eastAsia" w:ascii="宋体" w:hAnsi="宋体" w:eastAsia="宋体" w:cs="宋体"/>
          <w:b/>
          <w:bCs/>
          <w:sz w:val="24"/>
          <w:szCs w:val="24"/>
        </w:rPr>
        <w:t>三、符合性证明文件</w:t>
      </w:r>
    </w:p>
    <w:p w14:paraId="735A53E8">
      <w:pPr>
        <w:pStyle w:val="51"/>
        <w:autoSpaceDE w:val="0"/>
        <w:autoSpaceDN w:val="0"/>
        <w:adjustRightInd w:val="0"/>
        <w:snapToGrid w:val="0"/>
        <w:spacing w:line="312" w:lineRule="auto"/>
        <w:ind w:firstLine="0" w:firstLineChars="0"/>
        <w:outlineLvl w:val="2"/>
        <w:rPr>
          <w:rFonts w:hint="eastAsia" w:ascii="宋体" w:hAnsi="宋体" w:eastAsia="宋体" w:cs="宋体"/>
          <w:b/>
          <w:szCs w:val="24"/>
        </w:rPr>
      </w:pPr>
      <w:bookmarkStart w:id="80" w:name="_Toc6042"/>
      <w:bookmarkStart w:id="81" w:name="_Toc8436"/>
      <w:bookmarkStart w:id="82" w:name="_Toc1949"/>
      <w:bookmarkStart w:id="83" w:name="_Toc27820"/>
      <w:bookmarkStart w:id="84" w:name="_Toc5315"/>
      <w:bookmarkStart w:id="85" w:name="_Toc569"/>
      <w:bookmarkStart w:id="86" w:name="_Toc31858"/>
      <w:bookmarkStart w:id="87" w:name="_Toc26930"/>
      <w:bookmarkStart w:id="88" w:name="_Toc7447442"/>
      <w:r>
        <w:rPr>
          <w:rFonts w:hint="eastAsia" w:ascii="宋体" w:hAnsi="宋体" w:eastAsia="宋体" w:cs="宋体"/>
          <w:b/>
          <w:szCs w:val="24"/>
        </w:rPr>
        <w:t>1、</w:t>
      </w:r>
      <w:r>
        <w:rPr>
          <w:rFonts w:hint="eastAsia" w:ascii="宋体" w:hAnsi="宋体" w:eastAsia="宋体" w:cs="宋体"/>
          <w:b/>
          <w:szCs w:val="24"/>
          <w:lang w:val="zh-CN"/>
        </w:rPr>
        <w:t>响应</w:t>
      </w:r>
      <w:bookmarkEnd w:id="80"/>
      <w:bookmarkEnd w:id="81"/>
      <w:bookmarkEnd w:id="82"/>
      <w:bookmarkStart w:id="89" w:name="_Toc7447441"/>
      <w:bookmarkStart w:id="90" w:name="_Toc403027470"/>
      <w:r>
        <w:rPr>
          <w:rFonts w:hint="eastAsia" w:ascii="宋体" w:hAnsi="宋体" w:eastAsia="宋体" w:cs="宋体"/>
          <w:b/>
          <w:szCs w:val="24"/>
        </w:rPr>
        <w:t>函</w:t>
      </w:r>
      <w:bookmarkEnd w:id="83"/>
    </w:p>
    <w:p w14:paraId="2270CA49">
      <w:pPr>
        <w:pStyle w:val="51"/>
        <w:autoSpaceDE w:val="0"/>
        <w:autoSpaceDN w:val="0"/>
        <w:adjustRightInd w:val="0"/>
        <w:snapToGrid w:val="0"/>
        <w:spacing w:line="312" w:lineRule="auto"/>
        <w:ind w:firstLine="0" w:firstLineChars="0"/>
        <w:outlineLvl w:val="9"/>
        <w:rPr>
          <w:rFonts w:hint="eastAsia" w:ascii="宋体" w:hAnsi="宋体" w:eastAsia="宋体" w:cs="宋体"/>
          <w:szCs w:val="24"/>
          <w:lang w:eastAsia="zh-CN"/>
        </w:rPr>
      </w:pPr>
      <w:bookmarkStart w:id="91" w:name="_Toc14203"/>
      <w:r>
        <w:rPr>
          <w:rFonts w:hint="eastAsia" w:ascii="宋体" w:hAnsi="宋体" w:eastAsia="宋体" w:cs="宋体"/>
          <w:szCs w:val="24"/>
        </w:rPr>
        <w:t>致：</w:t>
      </w:r>
      <w:bookmarkEnd w:id="91"/>
      <w:r>
        <w:rPr>
          <w:rFonts w:hint="eastAsia" w:ascii="宋体" w:hAnsi="宋体" w:eastAsia="宋体" w:cs="宋体"/>
          <w:szCs w:val="24"/>
          <w:lang w:eastAsia="zh-CN"/>
        </w:rPr>
        <w:t>宝鸡福美特项目管理有限公司</w:t>
      </w:r>
    </w:p>
    <w:p w14:paraId="36B425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我单位收到贵公司</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竞争性磋商文件，经详细研究，我们决定参加组织</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项目的竞争性磋商活动，为此，我方郑重声明如下：</w:t>
      </w:r>
    </w:p>
    <w:p w14:paraId="5BEFC8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1、愿意按照磋商文件中的全部要求，提供符合采购内容要求的服务，履行合同的责任和义务。</w:t>
      </w:r>
    </w:p>
    <w:p w14:paraId="7586A3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2、按照磋商文件的规定，磋商</w:t>
      </w:r>
      <w:r>
        <w:rPr>
          <w:rFonts w:hint="eastAsia" w:ascii="宋体" w:hAnsi="宋体" w:eastAsia="宋体" w:cs="宋体"/>
          <w:sz w:val="24"/>
          <w:szCs w:val="24"/>
          <w:shd w:val="clear" w:color="auto" w:fill="FFFFFF"/>
        </w:rPr>
        <w:t>报价</w:t>
      </w:r>
      <w:r>
        <w:rPr>
          <w:rFonts w:hint="eastAsia" w:ascii="宋体" w:hAnsi="宋体" w:eastAsia="宋体" w:cs="宋体"/>
          <w:sz w:val="24"/>
          <w:szCs w:val="24"/>
        </w:rPr>
        <w:t>为(大写)</w:t>
      </w:r>
      <w:r>
        <w:rPr>
          <w:rFonts w:hint="eastAsia" w:ascii="宋体" w:hAnsi="宋体" w:eastAsia="宋体" w:cs="宋体"/>
          <w:sz w:val="24"/>
          <w:szCs w:val="24"/>
          <w:u w:val="single"/>
        </w:rPr>
        <w:t xml:space="preserve">             </w:t>
      </w:r>
      <w:r>
        <w:rPr>
          <w:rFonts w:hint="eastAsia" w:ascii="宋体" w:hAnsi="宋体" w:eastAsia="宋体" w:cs="宋体"/>
          <w:sz w:val="24"/>
          <w:szCs w:val="24"/>
        </w:rPr>
        <w:t>人民币（RMB￥</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3836D9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3、我方提交</w:t>
      </w:r>
      <w:r>
        <w:rPr>
          <w:rFonts w:hint="eastAsia" w:ascii="宋体" w:hAnsi="宋体" w:eastAsia="宋体" w:cs="宋体"/>
          <w:sz w:val="24"/>
          <w:szCs w:val="24"/>
          <w:lang w:eastAsia="zh-CN"/>
        </w:rPr>
        <w:t>电子版</w:t>
      </w:r>
      <w:r>
        <w:rPr>
          <w:rFonts w:hint="eastAsia" w:ascii="宋体" w:hAnsi="宋体" w:eastAsia="宋体" w:cs="宋体"/>
          <w:sz w:val="24"/>
          <w:szCs w:val="24"/>
        </w:rPr>
        <w:t>磋商</w:t>
      </w: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一</w:t>
      </w:r>
      <w:r>
        <w:rPr>
          <w:rFonts w:hint="eastAsia" w:ascii="宋体" w:hAnsi="宋体" w:eastAsia="宋体" w:cs="宋体"/>
          <w:sz w:val="24"/>
          <w:szCs w:val="24"/>
        </w:rPr>
        <w:t>份。</w:t>
      </w:r>
    </w:p>
    <w:p w14:paraId="063C28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4、如果我单位成交，我们将履行磋商文件中规定的每一项要求，完成项目采购内容。</w:t>
      </w:r>
    </w:p>
    <w:p w14:paraId="32185B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5、我们理解，最低报价不是成交的唯一条件，你们有选择供应商中标的权力。</w:t>
      </w:r>
    </w:p>
    <w:p w14:paraId="6C25F6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6、我方愿意按《中华人民共和国民法典》履行自己的全部义务和责任。</w:t>
      </w:r>
    </w:p>
    <w:p w14:paraId="4EC86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7、我方的磋商响文件有效期为磋商截止之日起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日历日，若我方成交，磋商响文件有效期延长至合同执行完毕。</w:t>
      </w:r>
    </w:p>
    <w:p w14:paraId="525EAE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8、我方已按磋商文件要求提交磋商保证金金额（大写）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，磋商保证金提交方式为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DE6EE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9、我方同意贵方可能另外要求的与本磋商有关的任何证据和资料的提交。</w:t>
      </w:r>
    </w:p>
    <w:p w14:paraId="6CC631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 我们同意，如果成交，向</w:t>
      </w:r>
      <w:r>
        <w:rPr>
          <w:rFonts w:hint="eastAsia" w:ascii="宋体" w:hAnsi="宋体" w:eastAsia="宋体" w:cs="宋体"/>
          <w:sz w:val="24"/>
          <w:szCs w:val="24"/>
          <w:lang w:eastAsia="zh-CN"/>
        </w:rPr>
        <w:t>宝鸡福美特项目管理有限公司</w:t>
      </w:r>
      <w:r>
        <w:rPr>
          <w:rFonts w:hint="eastAsia" w:ascii="宋体" w:hAnsi="宋体" w:eastAsia="宋体" w:cs="宋体"/>
          <w:sz w:val="24"/>
          <w:szCs w:val="24"/>
        </w:rPr>
        <w:t>缴纳成交服务费。</w:t>
      </w:r>
    </w:p>
    <w:p w14:paraId="4B2A7E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11、所有关于本次磋商的函电，请按下列地址联系。</w:t>
      </w:r>
    </w:p>
    <w:p w14:paraId="24D46839">
      <w:pPr>
        <w:spacing w:line="360" w:lineRule="auto"/>
        <w:ind w:firstLine="400" w:firstLineChars="200"/>
        <w:rPr>
          <w:rFonts w:hint="eastAsia" w:ascii="宋体" w:hAnsi="宋体" w:eastAsia="宋体" w:cs="宋体"/>
          <w:sz w:val="24"/>
        </w:rPr>
      </w:pPr>
      <w:r>
        <w:rPr>
          <w:rFonts w:hint="eastAsia" w:ascii="宋体" w:hAnsi="宋体" w:eastAsia="宋体" w:cs="宋体"/>
          <w:spacing w:val="-20"/>
          <w:sz w:val="24"/>
        </w:rPr>
        <w:t>注</w:t>
      </w:r>
      <w:r>
        <w:rPr>
          <w:rFonts w:hint="eastAsia" w:ascii="宋体" w:hAnsi="宋体" w:eastAsia="宋体" w:cs="宋体"/>
          <w:sz w:val="24"/>
        </w:rPr>
        <w:t>：磋商报价应与清单的报价汇总表数字一致。精确到元.角.分。</w:t>
      </w:r>
    </w:p>
    <w:p w14:paraId="0AED5143">
      <w:pPr>
        <w:spacing w:line="360" w:lineRule="auto"/>
        <w:ind w:firstLine="1200" w:firstLineChars="500"/>
        <w:rPr>
          <w:rFonts w:hint="eastAsia" w:ascii="宋体" w:hAnsi="宋体" w:eastAsia="宋体" w:cs="宋体"/>
          <w:sz w:val="24"/>
        </w:rPr>
      </w:pPr>
      <w:r>
        <w:rPr>
          <w:rFonts w:hint="eastAsia" w:ascii="宋体" w:hAnsi="宋体" w:eastAsia="宋体" w:cs="宋体"/>
          <w:sz w:val="24"/>
        </w:rPr>
        <w:t>供  应  商：</w:t>
      </w:r>
      <w:r>
        <w:rPr>
          <w:rFonts w:hint="eastAsia" w:ascii="宋体" w:hAnsi="宋体" w:eastAsia="宋体" w:cs="宋体"/>
          <w:sz w:val="24"/>
          <w:u w:val="single"/>
        </w:rPr>
        <w:t xml:space="preserve">                                 </w:t>
      </w:r>
      <w:r>
        <w:rPr>
          <w:rFonts w:hint="eastAsia" w:ascii="宋体" w:hAnsi="宋体" w:eastAsia="宋体" w:cs="宋体"/>
          <w:sz w:val="24"/>
        </w:rPr>
        <w:t xml:space="preserve">（盖章）   </w:t>
      </w:r>
    </w:p>
    <w:p w14:paraId="24157D63">
      <w:pPr>
        <w:spacing w:line="360" w:lineRule="auto"/>
        <w:ind w:firstLine="1200" w:firstLineChars="500"/>
        <w:rPr>
          <w:rFonts w:hint="eastAsia" w:ascii="宋体" w:hAnsi="宋体" w:eastAsia="宋体" w:cs="宋体"/>
          <w:sz w:val="24"/>
        </w:rPr>
      </w:pPr>
      <w:r>
        <w:rPr>
          <w:rFonts w:hint="eastAsia" w:ascii="宋体" w:hAnsi="宋体" w:eastAsia="宋体" w:cs="宋体"/>
          <w:sz w:val="24"/>
        </w:rPr>
        <w:t>单 位 地 址：</w:t>
      </w:r>
      <w:r>
        <w:rPr>
          <w:rFonts w:hint="eastAsia" w:ascii="宋体" w:hAnsi="宋体" w:eastAsia="宋体" w:cs="宋体"/>
          <w:sz w:val="24"/>
          <w:u w:val="single"/>
        </w:rPr>
        <w:t xml:space="preserve">                                           </w:t>
      </w:r>
    </w:p>
    <w:p w14:paraId="5F7D4846">
      <w:pPr>
        <w:spacing w:line="360" w:lineRule="auto"/>
        <w:ind w:firstLine="1200" w:firstLineChars="500"/>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3C2C6844">
      <w:pPr>
        <w:spacing w:line="360" w:lineRule="auto"/>
        <w:ind w:firstLine="1200" w:firstLineChars="500"/>
        <w:rPr>
          <w:rFonts w:hint="eastAsia" w:ascii="宋体" w:hAnsi="宋体" w:eastAsia="宋体" w:cs="宋体"/>
          <w:sz w:val="24"/>
        </w:rPr>
      </w:pPr>
      <w:r>
        <w:rPr>
          <w:rFonts w:hint="eastAsia" w:ascii="宋体" w:hAnsi="宋体" w:eastAsia="宋体" w:cs="宋体"/>
          <w:sz w:val="24"/>
        </w:rPr>
        <w:t>电</w:t>
      </w:r>
      <w:r>
        <w:rPr>
          <w:rFonts w:hint="eastAsia" w:ascii="宋体" w:hAnsi="宋体" w:eastAsia="宋体" w:cs="宋体"/>
          <w:sz w:val="24"/>
          <w:lang w:val="en-US" w:eastAsia="zh-CN"/>
        </w:rPr>
        <w:t xml:space="preserve">      </w:t>
      </w:r>
      <w:r>
        <w:rPr>
          <w:rFonts w:hint="eastAsia" w:ascii="宋体" w:hAnsi="宋体" w:eastAsia="宋体" w:cs="宋体"/>
          <w:sz w:val="24"/>
        </w:rPr>
        <w:t>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AB3D652">
      <w:pPr>
        <w:spacing w:line="360" w:lineRule="auto"/>
        <w:ind w:firstLine="1200" w:firstLineChars="500"/>
        <w:rPr>
          <w:rFonts w:hint="eastAsia" w:ascii="宋体" w:hAnsi="宋体" w:eastAsia="宋体" w:cs="宋体"/>
          <w:sz w:val="24"/>
          <w:u w:val="single"/>
        </w:rPr>
      </w:pPr>
      <w:r>
        <w:rPr>
          <w:rFonts w:hint="eastAsia" w:ascii="宋体" w:hAnsi="宋体" w:eastAsia="宋体" w:cs="宋体"/>
          <w:sz w:val="24"/>
        </w:rPr>
        <w:t xml:space="preserve">日      期： </w:t>
      </w: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bookmarkEnd w:id="89"/>
    <w:bookmarkEnd w:id="90"/>
    <w:p w14:paraId="5CE6DCED">
      <w:pPr>
        <w:autoSpaceDE w:val="0"/>
        <w:autoSpaceDN w:val="0"/>
        <w:adjustRightInd w:val="0"/>
        <w:snapToGrid w:val="0"/>
        <w:spacing w:line="360" w:lineRule="auto"/>
        <w:outlineLvl w:val="9"/>
        <w:rPr>
          <w:rFonts w:hint="eastAsia" w:ascii="宋体" w:hAnsi="宋体" w:eastAsia="宋体" w:cs="宋体"/>
          <w:b/>
          <w:bCs/>
          <w:sz w:val="24"/>
          <w:szCs w:val="24"/>
        </w:rPr>
      </w:pPr>
    </w:p>
    <w:p w14:paraId="332276A5">
      <w:pPr>
        <w:autoSpaceDE w:val="0"/>
        <w:autoSpaceDN w:val="0"/>
        <w:adjustRightInd w:val="0"/>
        <w:snapToGrid w:val="0"/>
        <w:spacing w:line="360" w:lineRule="auto"/>
        <w:outlineLvl w:val="9"/>
        <w:rPr>
          <w:rFonts w:hint="eastAsia" w:ascii="宋体" w:hAnsi="宋体" w:eastAsia="宋体" w:cs="宋体"/>
          <w:b/>
          <w:bCs/>
          <w:sz w:val="24"/>
          <w:szCs w:val="24"/>
        </w:rPr>
      </w:pPr>
    </w:p>
    <w:p w14:paraId="2A42B1E5">
      <w:pPr>
        <w:rPr>
          <w:rFonts w:hint="eastAsia" w:ascii="宋体" w:hAnsi="宋体" w:eastAsia="宋体" w:cs="宋体"/>
          <w:b/>
          <w:bCs/>
          <w:sz w:val="24"/>
          <w:szCs w:val="24"/>
        </w:rPr>
      </w:pPr>
      <w:r>
        <w:rPr>
          <w:rFonts w:hint="eastAsia" w:ascii="宋体" w:hAnsi="宋体" w:eastAsia="宋体" w:cs="宋体"/>
          <w:b/>
          <w:bCs/>
          <w:sz w:val="24"/>
          <w:szCs w:val="24"/>
        </w:rPr>
        <w:br w:type="page"/>
      </w:r>
    </w:p>
    <w:p w14:paraId="71767DB5">
      <w:pPr>
        <w:autoSpaceDE w:val="0"/>
        <w:autoSpaceDN w:val="0"/>
        <w:adjustRightInd w:val="0"/>
        <w:snapToGrid w:val="0"/>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2、第一次磋商报价表</w:t>
      </w:r>
      <w:bookmarkEnd w:id="84"/>
      <w:bookmarkEnd w:id="85"/>
      <w:bookmarkEnd w:id="86"/>
      <w:bookmarkEnd w:id="87"/>
    </w:p>
    <w:p w14:paraId="27D79C8D">
      <w:pPr>
        <w:jc w:val="center"/>
        <w:outlineLvl w:val="9"/>
        <w:rPr>
          <w:rFonts w:hint="eastAsia" w:ascii="宋体" w:hAnsi="宋体" w:eastAsia="宋体" w:cs="宋体"/>
          <w:b/>
          <w:bCs/>
          <w:sz w:val="24"/>
          <w:szCs w:val="24"/>
        </w:rPr>
      </w:pPr>
      <w:r>
        <w:rPr>
          <w:rFonts w:hint="eastAsia" w:ascii="宋体" w:hAnsi="宋体" w:eastAsia="宋体" w:cs="宋体"/>
          <w:b/>
          <w:bCs/>
          <w:sz w:val="24"/>
          <w:szCs w:val="24"/>
        </w:rPr>
        <w:t xml:space="preserve"> 磋商报价表</w:t>
      </w:r>
      <w:bookmarkEnd w:id="88"/>
    </w:p>
    <w:p w14:paraId="6BF6248C">
      <w:pPr>
        <w:pStyle w:val="12"/>
        <w:spacing w:line="360" w:lineRule="auto"/>
        <w:rPr>
          <w:rFonts w:hint="eastAsia" w:ascii="宋体" w:hAnsi="宋体" w:eastAsia="宋体" w:cs="宋体"/>
          <w:sz w:val="24"/>
        </w:rPr>
      </w:pPr>
    </w:p>
    <w:p w14:paraId="692F4296">
      <w:pPr>
        <w:pStyle w:val="12"/>
        <w:spacing w:line="360" w:lineRule="auto"/>
        <w:rPr>
          <w:rFonts w:hint="eastAsia" w:ascii="宋体" w:hAnsi="宋体" w:eastAsia="宋体" w:cs="宋体"/>
          <w:sz w:val="24"/>
          <w:szCs w:val="24"/>
        </w:rPr>
      </w:pP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p>
    <w:p w14:paraId="1F9F1A4F">
      <w:pPr>
        <w:pStyle w:val="12"/>
        <w:spacing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75749C5F">
      <w:pPr>
        <w:spacing w:line="360" w:lineRule="auto"/>
        <w:jc w:val="right"/>
        <w:rPr>
          <w:rFonts w:hint="eastAsia" w:ascii="宋体" w:hAnsi="宋体" w:eastAsia="宋体" w:cs="宋体"/>
          <w:bCs/>
          <w:sz w:val="24"/>
          <w:szCs w:val="24"/>
        </w:rPr>
      </w:pPr>
      <w:r>
        <w:rPr>
          <w:rFonts w:hint="eastAsia" w:ascii="宋体" w:hAnsi="宋体" w:eastAsia="宋体" w:cs="宋体"/>
          <w:sz w:val="24"/>
          <w:szCs w:val="24"/>
        </w:rPr>
        <w:t>单位 ：元（保留小数点后两位）</w:t>
      </w:r>
    </w:p>
    <w:tbl>
      <w:tblPr>
        <w:tblStyle w:val="24"/>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060"/>
      </w:tblGrid>
      <w:tr w14:paraId="5C8A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8" w:hRule="atLeast"/>
        </w:trPr>
        <w:tc>
          <w:tcPr>
            <w:tcW w:w="2245" w:type="dxa"/>
          </w:tcPr>
          <w:p w14:paraId="0AF50424">
            <w:pPr>
              <w:pStyle w:val="47"/>
              <w:tabs>
                <w:tab w:val="left" w:pos="1860"/>
                <w:tab w:val="center" w:pos="4680"/>
              </w:tabs>
              <w:spacing w:line="540" w:lineRule="exact"/>
              <w:rPr>
                <w:rFonts w:hint="eastAsia" w:ascii="宋体" w:hAnsi="宋体" w:eastAsia="宋体" w:cs="宋体"/>
                <w:b w:val="0"/>
                <w:sz w:val="24"/>
                <w:szCs w:val="24"/>
              </w:rPr>
            </w:pPr>
            <w:r>
              <w:rPr>
                <w:rFonts w:hint="eastAsia" w:ascii="宋体" w:hAnsi="宋体" w:eastAsia="宋体" w:cs="宋体"/>
                <w:b w:val="0"/>
                <w:sz w:val="24"/>
                <w:szCs w:val="24"/>
              </w:rPr>
              <w:t>磋商报价</w:t>
            </w:r>
          </w:p>
          <w:p w14:paraId="3B94EE95">
            <w:pPr>
              <w:pStyle w:val="47"/>
              <w:tabs>
                <w:tab w:val="left" w:pos="1860"/>
                <w:tab w:val="center" w:pos="4680"/>
              </w:tabs>
              <w:spacing w:line="540" w:lineRule="exact"/>
              <w:rPr>
                <w:rFonts w:hint="eastAsia" w:ascii="宋体" w:hAnsi="宋体" w:eastAsia="宋体" w:cs="宋体"/>
                <w:sz w:val="24"/>
                <w:szCs w:val="24"/>
              </w:rPr>
            </w:pPr>
            <w:r>
              <w:rPr>
                <w:rFonts w:hint="eastAsia" w:ascii="宋体" w:hAnsi="宋体" w:eastAsia="宋体" w:cs="宋体"/>
                <w:b w:val="0"/>
                <w:sz w:val="24"/>
                <w:szCs w:val="24"/>
              </w:rPr>
              <w:t>（人民币:元）</w:t>
            </w:r>
          </w:p>
        </w:tc>
        <w:tc>
          <w:tcPr>
            <w:tcW w:w="7060" w:type="dxa"/>
          </w:tcPr>
          <w:p w14:paraId="5A4A1BDD">
            <w:pPr>
              <w:pStyle w:val="47"/>
              <w:tabs>
                <w:tab w:val="left" w:pos="1860"/>
                <w:tab w:val="center" w:pos="4680"/>
              </w:tabs>
              <w:spacing w:line="540" w:lineRule="exact"/>
              <w:jc w:val="both"/>
              <w:rPr>
                <w:rFonts w:hint="eastAsia" w:ascii="宋体" w:hAnsi="宋体" w:eastAsia="宋体" w:cs="宋体"/>
                <w:b w:val="0"/>
                <w:sz w:val="24"/>
                <w:szCs w:val="24"/>
              </w:rPr>
            </w:pPr>
            <w:r>
              <w:rPr>
                <w:rFonts w:hint="eastAsia" w:ascii="宋体" w:hAnsi="宋体" w:eastAsia="宋体" w:cs="宋体"/>
                <w:b w:val="0"/>
                <w:sz w:val="24"/>
                <w:szCs w:val="24"/>
              </w:rPr>
              <w:t>大  写：</w:t>
            </w:r>
          </w:p>
          <w:p w14:paraId="0A528081">
            <w:pPr>
              <w:pStyle w:val="47"/>
              <w:tabs>
                <w:tab w:val="left" w:pos="1860"/>
                <w:tab w:val="center" w:pos="4680"/>
              </w:tabs>
              <w:spacing w:line="540" w:lineRule="exact"/>
              <w:jc w:val="both"/>
              <w:rPr>
                <w:rFonts w:hint="eastAsia" w:ascii="宋体" w:hAnsi="宋体" w:eastAsia="宋体" w:cs="宋体"/>
                <w:sz w:val="24"/>
                <w:szCs w:val="24"/>
              </w:rPr>
            </w:pPr>
            <w:r>
              <w:rPr>
                <w:rFonts w:hint="eastAsia" w:ascii="宋体" w:hAnsi="宋体" w:eastAsia="宋体" w:cs="宋体"/>
                <w:b w:val="0"/>
                <w:sz w:val="24"/>
                <w:szCs w:val="24"/>
              </w:rPr>
              <w:t>小  写：</w:t>
            </w:r>
          </w:p>
        </w:tc>
      </w:tr>
      <w:tr w14:paraId="5B3B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45" w:type="dxa"/>
            <w:vAlign w:val="center"/>
          </w:tcPr>
          <w:p w14:paraId="790B7413">
            <w:pPr>
              <w:pStyle w:val="47"/>
              <w:tabs>
                <w:tab w:val="left" w:pos="1860"/>
                <w:tab w:val="center" w:pos="4680"/>
              </w:tabs>
              <w:spacing w:line="540" w:lineRule="exact"/>
              <w:jc w:val="center"/>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服务期</w:t>
            </w:r>
          </w:p>
        </w:tc>
        <w:tc>
          <w:tcPr>
            <w:tcW w:w="7060" w:type="dxa"/>
            <w:vAlign w:val="center"/>
          </w:tcPr>
          <w:p w14:paraId="258E4AD6">
            <w:pPr>
              <w:pStyle w:val="47"/>
              <w:tabs>
                <w:tab w:val="left" w:pos="1860"/>
                <w:tab w:val="center" w:pos="4680"/>
              </w:tabs>
              <w:spacing w:line="540" w:lineRule="exact"/>
              <w:jc w:val="center"/>
              <w:rPr>
                <w:rFonts w:hint="eastAsia" w:ascii="宋体" w:hAnsi="宋体" w:eastAsia="宋体" w:cs="宋体"/>
                <w:sz w:val="24"/>
                <w:szCs w:val="24"/>
              </w:rPr>
            </w:pPr>
          </w:p>
        </w:tc>
      </w:tr>
      <w:tr w14:paraId="58ED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05" w:type="dxa"/>
            <w:gridSpan w:val="2"/>
            <w:shd w:val="clear" w:color="auto" w:fill="auto"/>
          </w:tcPr>
          <w:p w14:paraId="731BE1FC">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说明：</w:t>
            </w:r>
            <w:r>
              <w:rPr>
                <w:rFonts w:hint="eastAsia" w:ascii="宋体" w:hAnsi="宋体" w:eastAsia="宋体" w:cs="宋体"/>
                <w:kern w:val="0"/>
                <w:sz w:val="24"/>
                <w:szCs w:val="24"/>
                <w:lang w:val="en-US" w:eastAsia="zh-CN" w:bidi="ar-SA"/>
              </w:rPr>
              <w:t>1、磋商报价应是竞争性磋商响应文件所确定的磋商范围内的全部工作内容的价格体现，包括本项目所有相关伴随费用。</w:t>
            </w:r>
          </w:p>
          <w:p w14:paraId="14AD7ADC">
            <w:pPr>
              <w:pStyle w:val="12"/>
              <w:spacing w:line="360" w:lineRule="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2、所有报价保留小数点后两位，第三位按四舍五入计。大小写不一致时，以大写为准。</w:t>
            </w:r>
          </w:p>
        </w:tc>
      </w:tr>
    </w:tbl>
    <w:p w14:paraId="15AFB6E3">
      <w:pPr>
        <w:spacing w:beforeLines="50"/>
        <w:ind w:left="470" w:hanging="470" w:hangingChars="196"/>
        <w:jc w:val="left"/>
        <w:rPr>
          <w:rFonts w:hint="eastAsia" w:ascii="宋体" w:hAnsi="宋体" w:eastAsia="宋体" w:cs="宋体"/>
          <w:sz w:val="24"/>
          <w:szCs w:val="24"/>
        </w:rPr>
      </w:pPr>
      <w:bookmarkStart w:id="92" w:name="_Toc7447443"/>
      <w:bookmarkStart w:id="93" w:name="_Toc433961643"/>
    </w:p>
    <w:p w14:paraId="35601876">
      <w:pPr>
        <w:spacing w:beforeLines="50"/>
        <w:ind w:firstLine="720" w:firstLineChars="300"/>
        <w:jc w:val="left"/>
        <w:rPr>
          <w:rFonts w:hint="eastAsia" w:ascii="宋体" w:hAnsi="宋体" w:eastAsia="宋体" w:cs="宋体"/>
          <w:sz w:val="24"/>
          <w:szCs w:val="24"/>
        </w:rPr>
      </w:pPr>
    </w:p>
    <w:p w14:paraId="7D43091C">
      <w:pPr>
        <w:spacing w:line="360" w:lineRule="auto"/>
        <w:rPr>
          <w:rFonts w:hint="eastAsia" w:ascii="宋体" w:hAnsi="宋体" w:eastAsia="宋体" w:cs="宋体"/>
          <w:sz w:val="24"/>
          <w:szCs w:val="24"/>
        </w:rPr>
      </w:pPr>
    </w:p>
    <w:p w14:paraId="65F89C36">
      <w:pPr>
        <w:spacing w:line="360" w:lineRule="auto"/>
        <w:rPr>
          <w:rFonts w:hint="eastAsia" w:ascii="宋体" w:hAnsi="宋体" w:eastAsia="宋体" w:cs="宋体"/>
          <w:sz w:val="24"/>
          <w:szCs w:val="24"/>
        </w:rPr>
      </w:pPr>
    </w:p>
    <w:p w14:paraId="46AD2F3A">
      <w:pPr>
        <w:spacing w:line="360" w:lineRule="auto"/>
        <w:rPr>
          <w:rFonts w:hint="eastAsia" w:ascii="宋体" w:hAnsi="宋体" w:eastAsia="宋体" w:cs="宋体"/>
          <w:sz w:val="24"/>
          <w:szCs w:val="24"/>
        </w:rPr>
      </w:pPr>
      <w:r>
        <w:rPr>
          <w:rFonts w:hint="eastAsia" w:ascii="宋体" w:hAnsi="宋体" w:eastAsia="宋体" w:cs="宋体"/>
          <w:sz w:val="24"/>
          <w:szCs w:val="24"/>
        </w:rPr>
        <w:t>供应商全称(盖章)：</w:t>
      </w:r>
    </w:p>
    <w:p w14:paraId="6414E419">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法定代表人或授权代表人(签字或盖章)：</w:t>
      </w:r>
    </w:p>
    <w:p w14:paraId="26DF943A">
      <w:pPr>
        <w:spacing w:line="360" w:lineRule="auto"/>
        <w:rPr>
          <w:rFonts w:hint="eastAsia" w:ascii="宋体" w:hAnsi="宋体" w:eastAsia="宋体" w:cs="宋体"/>
          <w:sz w:val="24"/>
          <w:szCs w:val="24"/>
        </w:rPr>
      </w:pPr>
      <w:r>
        <w:rPr>
          <w:rFonts w:hint="eastAsia" w:ascii="宋体" w:hAnsi="宋体" w:eastAsia="宋体" w:cs="宋体"/>
          <w:sz w:val="24"/>
          <w:szCs w:val="24"/>
        </w:rPr>
        <w:t>日  期：</w:t>
      </w:r>
    </w:p>
    <w:p w14:paraId="1684392E">
      <w:pPr>
        <w:spacing w:line="360" w:lineRule="auto"/>
        <w:rPr>
          <w:rFonts w:hint="eastAsia" w:ascii="宋体" w:hAnsi="宋体" w:eastAsia="宋体" w:cs="宋体"/>
          <w:szCs w:val="28"/>
        </w:rPr>
        <w:sectPr>
          <w:headerReference r:id="rId12" w:type="first"/>
          <w:footerReference r:id="rId14" w:type="first"/>
          <w:headerReference r:id="rId11" w:type="default"/>
          <w:footerReference r:id="rId13" w:type="default"/>
          <w:pgSz w:w="11905" w:h="16838"/>
          <w:pgMar w:top="1440" w:right="1080" w:bottom="1440" w:left="1080" w:header="935" w:footer="771" w:gutter="567"/>
          <w:pgBorders>
            <w:top w:val="none" w:sz="0" w:space="0"/>
            <w:left w:val="none" w:sz="0" w:space="0"/>
            <w:bottom w:val="none" w:sz="0" w:space="0"/>
            <w:right w:val="none" w:sz="0" w:space="0"/>
          </w:pgBorders>
          <w:cols w:space="0" w:num="1"/>
          <w:titlePg/>
          <w:docGrid w:linePitch="312" w:charSpace="0"/>
        </w:sectPr>
      </w:pPr>
      <w:r>
        <w:rPr>
          <w:rFonts w:hint="eastAsia" w:ascii="宋体" w:hAnsi="宋体" w:eastAsia="宋体" w:cs="宋体"/>
          <w:szCs w:val="28"/>
        </w:rPr>
        <w:br w:type="page"/>
      </w:r>
      <w:bookmarkEnd w:id="92"/>
      <w:bookmarkEnd w:id="93"/>
      <w:bookmarkStart w:id="94" w:name="_Toc467246302"/>
    </w:p>
    <w:p w14:paraId="6D8B25FC">
      <w:pPr>
        <w:numPr>
          <w:ilvl w:val="0"/>
          <w:numId w:val="0"/>
        </w:numPr>
        <w:spacing w:line="360" w:lineRule="auto"/>
        <w:outlineLvl w:val="2"/>
        <w:rPr>
          <w:rFonts w:hint="eastAsia" w:ascii="宋体" w:hAnsi="宋体" w:eastAsia="宋体" w:cs="宋体"/>
          <w:b/>
          <w:bCs/>
          <w:sz w:val="24"/>
          <w:szCs w:val="24"/>
        </w:rPr>
      </w:pPr>
      <w:bookmarkStart w:id="95" w:name="_Toc7447445"/>
      <w:r>
        <w:rPr>
          <w:rFonts w:hint="eastAsia" w:ascii="宋体" w:hAnsi="宋体" w:eastAsia="宋体" w:cs="宋体"/>
          <w:b/>
          <w:bCs/>
          <w:sz w:val="24"/>
          <w:szCs w:val="24"/>
          <w:lang w:val="en-US" w:eastAsia="zh-CN"/>
        </w:rPr>
        <w:t>3</w:t>
      </w:r>
      <w:r>
        <w:rPr>
          <w:rFonts w:hint="eastAsia" w:ascii="宋体" w:hAnsi="宋体" w:eastAsia="宋体" w:cs="宋体"/>
          <w:b/>
          <w:szCs w:val="24"/>
        </w:rPr>
        <w:t>、</w:t>
      </w:r>
      <w:r>
        <w:rPr>
          <w:rFonts w:hint="eastAsia" w:ascii="宋体" w:hAnsi="宋体" w:eastAsia="宋体" w:cs="宋体"/>
          <w:b/>
          <w:bCs/>
          <w:sz w:val="24"/>
          <w:szCs w:val="24"/>
        </w:rPr>
        <w:t>磋商保证金缴纳凭证</w:t>
      </w:r>
    </w:p>
    <w:p w14:paraId="5F9FC461">
      <w:pPr>
        <w:numPr>
          <w:ilvl w:val="0"/>
          <w:numId w:val="0"/>
        </w:numPr>
        <w:spacing w:line="360" w:lineRule="auto"/>
        <w:rPr>
          <w:rFonts w:hint="eastAsia" w:ascii="宋体" w:hAnsi="宋体" w:eastAsia="宋体" w:cs="宋体"/>
          <w:sz w:val="24"/>
          <w:szCs w:val="28"/>
        </w:rPr>
      </w:pPr>
    </w:p>
    <w:p w14:paraId="0B35795B">
      <w:pPr>
        <w:numPr>
          <w:ilvl w:val="0"/>
          <w:numId w:val="0"/>
        </w:numPr>
        <w:spacing w:line="360" w:lineRule="auto"/>
        <w:rPr>
          <w:rFonts w:hint="eastAsia" w:ascii="宋体" w:hAnsi="宋体" w:eastAsia="宋体" w:cs="宋体"/>
          <w:sz w:val="24"/>
          <w:szCs w:val="28"/>
        </w:rPr>
      </w:pPr>
    </w:p>
    <w:p w14:paraId="2D27ECC0">
      <w:pPr>
        <w:numPr>
          <w:ilvl w:val="0"/>
          <w:numId w:val="0"/>
        </w:numPr>
        <w:spacing w:line="360" w:lineRule="auto"/>
        <w:rPr>
          <w:rFonts w:hint="eastAsia" w:ascii="宋体" w:hAnsi="宋体" w:eastAsia="宋体" w:cs="宋体"/>
          <w:sz w:val="24"/>
          <w:szCs w:val="28"/>
        </w:rPr>
      </w:pPr>
    </w:p>
    <w:p w14:paraId="138E4131">
      <w:pPr>
        <w:numPr>
          <w:ilvl w:val="0"/>
          <w:numId w:val="0"/>
        </w:numPr>
        <w:spacing w:line="360" w:lineRule="auto"/>
        <w:rPr>
          <w:rFonts w:hint="eastAsia" w:ascii="宋体" w:hAnsi="宋体" w:eastAsia="宋体" w:cs="宋体"/>
          <w:sz w:val="24"/>
          <w:szCs w:val="28"/>
        </w:rPr>
      </w:pPr>
    </w:p>
    <w:p w14:paraId="66D5AC50">
      <w:pPr>
        <w:numPr>
          <w:ilvl w:val="0"/>
          <w:numId w:val="7"/>
        </w:numPr>
        <w:spacing w:line="360" w:lineRule="auto"/>
        <w:rPr>
          <w:rFonts w:hint="eastAsia" w:ascii="宋体" w:hAnsi="宋体" w:eastAsia="宋体" w:cs="宋体"/>
          <w:sz w:val="24"/>
          <w:szCs w:val="28"/>
        </w:rPr>
      </w:pPr>
      <w:r>
        <w:rPr>
          <w:rFonts w:hint="eastAsia" w:ascii="宋体" w:hAnsi="宋体" w:eastAsia="宋体" w:cs="宋体"/>
          <w:bCs/>
          <w:kern w:val="0"/>
          <w:sz w:val="22"/>
          <w:szCs w:val="22"/>
        </w:rPr>
        <w:br w:type="page"/>
      </w:r>
      <w:bookmarkEnd w:id="94"/>
      <w:bookmarkEnd w:id="95"/>
    </w:p>
    <w:p w14:paraId="5020B40F">
      <w:pPr>
        <w:rPr>
          <w:rFonts w:hint="eastAsia" w:ascii="宋体" w:hAnsi="宋体" w:eastAsia="宋体" w:cs="宋体"/>
          <w:b/>
          <w:bCs/>
          <w:sz w:val="24"/>
          <w:szCs w:val="24"/>
          <w:lang w:val="zh-CN"/>
        </w:rPr>
        <w:sectPr>
          <w:headerReference r:id="rId16" w:type="first"/>
          <w:footerReference r:id="rId18" w:type="first"/>
          <w:headerReference r:id="rId15" w:type="default"/>
          <w:footerReference r:id="rId17" w:type="default"/>
          <w:pgSz w:w="11905" w:h="16838"/>
          <w:pgMar w:top="1440" w:right="1080" w:bottom="1440" w:left="1080" w:header="624" w:footer="771" w:gutter="567"/>
          <w:pgBorders>
            <w:top w:val="none" w:sz="0" w:space="0"/>
            <w:left w:val="none" w:sz="0" w:space="0"/>
            <w:bottom w:val="none" w:sz="0" w:space="0"/>
            <w:right w:val="none" w:sz="0" w:space="0"/>
          </w:pgBorders>
          <w:cols w:space="0" w:num="1"/>
          <w:titlePg/>
          <w:rtlGutter w:val="0"/>
          <w:docGrid w:linePitch="312" w:charSpace="0"/>
        </w:sectPr>
      </w:pPr>
    </w:p>
    <w:p w14:paraId="1C7DF32C">
      <w:pPr>
        <w:widowControl/>
        <w:spacing w:line="360" w:lineRule="auto"/>
        <w:outlineLvl w:val="2"/>
        <w:rPr>
          <w:rFonts w:hint="eastAsia" w:ascii="宋体" w:hAnsi="宋体" w:eastAsia="宋体" w:cs="宋体"/>
          <w:color w:val="auto"/>
          <w:sz w:val="22"/>
          <w:szCs w:val="18"/>
          <w:highlight w:val="none"/>
          <w:lang w:val="en-US" w:eastAsia="zh-CN"/>
        </w:rPr>
      </w:pPr>
      <w:bookmarkStart w:id="96" w:name="_Toc7447451"/>
      <w:r>
        <w:rPr>
          <w:rFonts w:hint="eastAsia" w:ascii="宋体" w:hAnsi="宋体" w:eastAsia="宋体" w:cs="宋体"/>
          <w:b/>
          <w:bCs/>
          <w:color w:val="auto"/>
          <w:sz w:val="24"/>
          <w:szCs w:val="20"/>
          <w:highlight w:val="none"/>
          <w:lang w:val="en-US" w:eastAsia="zh-CN"/>
        </w:rPr>
        <w:t>4</w:t>
      </w:r>
      <w:r>
        <w:rPr>
          <w:rFonts w:hint="eastAsia" w:ascii="宋体" w:hAnsi="宋体" w:eastAsia="宋体" w:cs="宋体"/>
          <w:b/>
          <w:szCs w:val="24"/>
        </w:rPr>
        <w:t>、</w:t>
      </w:r>
      <w:r>
        <w:rPr>
          <w:rFonts w:hint="eastAsia" w:ascii="宋体" w:hAnsi="宋体" w:eastAsia="宋体" w:cs="宋体"/>
          <w:b/>
          <w:bCs/>
          <w:color w:val="auto"/>
          <w:sz w:val="24"/>
          <w:szCs w:val="20"/>
          <w:highlight w:val="none"/>
          <w:lang w:val="en-US" w:eastAsia="zh-CN"/>
        </w:rPr>
        <w:t>供应商承诺书</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2"/>
          <w:szCs w:val="18"/>
          <w:highlight w:val="none"/>
          <w:lang w:val="en-US" w:eastAsia="zh-CN"/>
        </w:rPr>
        <w:t xml:space="preserve">    </w:t>
      </w:r>
    </w:p>
    <w:p w14:paraId="38BB560F">
      <w:pPr>
        <w:widowControl/>
        <w:spacing w:line="360" w:lineRule="auto"/>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eastAsia="宋体" w:cs="宋体"/>
          <w:b/>
          <w:bCs/>
          <w:color w:val="auto"/>
          <w:kern w:val="0"/>
          <w:sz w:val="28"/>
          <w:szCs w:val="28"/>
          <w:highlight w:val="none"/>
          <w:lang w:eastAsia="zh-CN"/>
        </w:rPr>
        <w:t>供应商</w:t>
      </w:r>
    </w:p>
    <w:p w14:paraId="7505FA58">
      <w:pPr>
        <w:widowControl/>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23D40D96">
      <w:pPr>
        <w:pStyle w:val="50"/>
        <w:spacing w:line="360" w:lineRule="auto"/>
        <w:ind w:left="239" w:firstLine="470"/>
        <w:jc w:val="left"/>
        <w:outlineLvl w:val="9"/>
        <w:rPr>
          <w:rFonts w:hint="eastAsia" w:ascii="宋体" w:hAnsi="宋体" w:eastAsia="宋体" w:cs="宋体"/>
          <w:color w:val="auto"/>
          <w:sz w:val="24"/>
          <w:szCs w:val="24"/>
          <w:highlight w:val="none"/>
        </w:rPr>
      </w:pPr>
    </w:p>
    <w:p w14:paraId="47C04561">
      <w:pPr>
        <w:pStyle w:val="5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为响应党中央、国务院关于治理政府采购领域商业贿赂行为的号召，我公司在此庄严承诺：</w:t>
      </w:r>
    </w:p>
    <w:p w14:paraId="03DEC429">
      <w:pPr>
        <w:pStyle w:val="5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1、在参与政府采购活动中遵纪守法、诚信经营、公平竞标。</w:t>
      </w:r>
    </w:p>
    <w:p w14:paraId="612AE9A8">
      <w:pPr>
        <w:pStyle w:val="5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2、不向政府采购人、采购代理机构和政府采购评审专家进行任何形式的商业贿赂以谋取交易机会。</w:t>
      </w:r>
    </w:p>
    <w:p w14:paraId="6B3D9205">
      <w:pPr>
        <w:pStyle w:val="5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3、不向政府采购代理机构和采购人提供虚假资质文件或采用虚假应标方式参与政府采购市场竞争并谋取中标、成交。</w:t>
      </w:r>
    </w:p>
    <w:p w14:paraId="7E69653B">
      <w:pPr>
        <w:pStyle w:val="5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4、不采取“围标、陪标”等商业欺诈手段获得政府采购定单。</w:t>
      </w:r>
    </w:p>
    <w:p w14:paraId="523CA203">
      <w:pPr>
        <w:pStyle w:val="5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5、不采取不正当手段诋毁、排挤其他供应商。</w:t>
      </w:r>
    </w:p>
    <w:p w14:paraId="6B18A116">
      <w:pPr>
        <w:pStyle w:val="5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6、不在提供商品和服务时“偷梁换柱、以次充好”损害采购人的合法权益。</w:t>
      </w:r>
    </w:p>
    <w:p w14:paraId="5571B4DE">
      <w:pPr>
        <w:pStyle w:val="5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7、不与采购人、采购代理机构政府采购评审专家或其它供应商恶意串通，进行质疑和投诉，维护政府采购市场秩序。</w:t>
      </w:r>
    </w:p>
    <w:p w14:paraId="779EF430">
      <w:pPr>
        <w:pStyle w:val="5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8、尊重和接受政府采购监督管理部门的监督和政府采购代理机构招标采购要求，承担因违约行为给采购人造成的损失。</w:t>
      </w:r>
    </w:p>
    <w:p w14:paraId="12131573">
      <w:pPr>
        <w:pStyle w:val="5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14:paraId="2B217329">
      <w:pPr>
        <w:pStyle w:val="50"/>
        <w:spacing w:line="360" w:lineRule="auto"/>
        <w:jc w:val="left"/>
        <w:outlineLvl w:val="9"/>
        <w:rPr>
          <w:rFonts w:hint="eastAsia" w:ascii="宋体" w:hAnsi="宋体" w:eastAsia="宋体" w:cs="宋体"/>
          <w:color w:val="auto"/>
          <w:sz w:val="24"/>
          <w:szCs w:val="24"/>
          <w:highlight w:val="none"/>
        </w:rPr>
      </w:pPr>
    </w:p>
    <w:p w14:paraId="64691FDB">
      <w:pPr>
        <w:pStyle w:val="50"/>
        <w:spacing w:line="360" w:lineRule="auto"/>
        <w:jc w:val="left"/>
        <w:outlineLvl w:val="9"/>
        <w:rPr>
          <w:rFonts w:hint="eastAsia" w:ascii="宋体" w:hAnsi="宋体" w:eastAsia="宋体" w:cs="宋体"/>
          <w:color w:val="auto"/>
          <w:sz w:val="24"/>
          <w:szCs w:val="24"/>
          <w:highlight w:val="none"/>
        </w:rPr>
      </w:pPr>
    </w:p>
    <w:p w14:paraId="6008952B">
      <w:pPr>
        <w:spacing w:line="360" w:lineRule="auto"/>
        <w:ind w:firstLine="480" w:firstLineChars="200"/>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承诺单位：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lang w:val="en-US" w:eastAsia="zh-CN" w:bidi="ar-SA"/>
        </w:rPr>
        <w:t>（盖章）</w:t>
      </w:r>
    </w:p>
    <w:p w14:paraId="6E5A9FCF">
      <w:pPr>
        <w:widowControl w:val="0"/>
        <w:numPr>
          <w:ilvl w:val="0"/>
          <w:numId w:val="0"/>
        </w:numPr>
        <w:spacing w:line="360" w:lineRule="auto"/>
        <w:jc w:val="center"/>
        <w:outlineLvl w:val="9"/>
        <w:rPr>
          <w:rFonts w:hint="eastAsia" w:ascii="宋体" w:hAnsi="宋体" w:eastAsia="宋体" w:cs="宋体"/>
          <w:b/>
          <w:bCs/>
          <w:color w:val="auto"/>
          <w:sz w:val="24"/>
          <w:szCs w:val="24"/>
          <w:highlight w:val="none"/>
          <w:lang w:eastAsia="zh-CN"/>
        </w:rPr>
      </w:pPr>
      <w:bookmarkStart w:id="97" w:name="_Toc7447450"/>
    </w:p>
    <w:p w14:paraId="2C7AC588">
      <w:pPr>
        <w:spacing w:line="360" w:lineRule="auto"/>
        <w:ind w:firstLine="2160" w:firstLineChars="900"/>
        <w:rPr>
          <w:rFonts w:hint="eastAsia" w:ascii="宋体" w:hAnsi="宋体" w:eastAsia="宋体" w:cs="宋体"/>
          <w:color w:val="auto"/>
          <w:kern w:val="0"/>
          <w:sz w:val="24"/>
          <w:szCs w:val="24"/>
          <w:highlight w:val="none"/>
          <w:lang w:val="en-US" w:eastAsia="zh-CN" w:bidi="ar-SA"/>
        </w:rPr>
        <w:sectPr>
          <w:headerReference r:id="rId20" w:type="first"/>
          <w:footerReference r:id="rId22" w:type="first"/>
          <w:headerReference r:id="rId19" w:type="default"/>
          <w:footerReference r:id="rId21" w:type="default"/>
          <w:pgSz w:w="11905" w:h="16838"/>
          <w:pgMar w:top="1440" w:right="1080" w:bottom="1440" w:left="1080" w:header="624" w:footer="771"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kern w:val="0"/>
          <w:sz w:val="24"/>
          <w:szCs w:val="24"/>
          <w:highlight w:val="none"/>
          <w:lang w:val="en-US" w:eastAsia="zh-CN" w:bidi="ar-SA"/>
        </w:rPr>
        <w:t xml:space="preserve">年　　月　　日 </w:t>
      </w:r>
    </w:p>
    <w:bookmarkEnd w:id="96"/>
    <w:bookmarkEnd w:id="97"/>
    <w:p w14:paraId="3641A217">
      <w:pPr>
        <w:spacing w:line="360" w:lineRule="auto"/>
        <w:outlineLvl w:val="2"/>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szCs w:val="24"/>
        </w:rPr>
        <w:t>、</w:t>
      </w:r>
      <w:r>
        <w:rPr>
          <w:rFonts w:hint="eastAsia" w:ascii="宋体" w:hAnsi="宋体" w:eastAsia="宋体" w:cs="宋体"/>
          <w:b/>
          <w:bCs/>
          <w:sz w:val="24"/>
          <w:szCs w:val="24"/>
        </w:rPr>
        <w:t>商务响应</w:t>
      </w:r>
      <w:r>
        <w:rPr>
          <w:rFonts w:hint="eastAsia" w:ascii="宋体" w:hAnsi="宋体" w:eastAsia="宋体" w:cs="宋体"/>
          <w:b/>
          <w:bCs/>
          <w:sz w:val="24"/>
          <w:szCs w:val="24"/>
          <w:lang w:val="en-US" w:eastAsia="zh-CN"/>
        </w:rPr>
        <w:t>偏离</w:t>
      </w:r>
      <w:r>
        <w:rPr>
          <w:rFonts w:hint="eastAsia" w:ascii="宋体" w:hAnsi="宋体" w:eastAsia="宋体" w:cs="宋体"/>
          <w:b/>
          <w:bCs/>
          <w:sz w:val="24"/>
          <w:szCs w:val="24"/>
        </w:rPr>
        <w:t>表</w:t>
      </w:r>
    </w:p>
    <w:p w14:paraId="4175420E">
      <w:pPr>
        <w:pStyle w:val="12"/>
        <w:spacing w:line="360" w:lineRule="auto"/>
        <w:rPr>
          <w:rFonts w:hint="eastAsia" w:ascii="宋体" w:hAnsi="宋体" w:eastAsia="宋体" w:cs="宋体"/>
          <w:sz w:val="24"/>
        </w:rPr>
      </w:pPr>
    </w:p>
    <w:p w14:paraId="32C9AC13">
      <w:pPr>
        <w:pStyle w:val="12"/>
        <w:spacing w:line="360" w:lineRule="auto"/>
        <w:rPr>
          <w:rFonts w:hint="eastAsia" w:ascii="宋体" w:hAnsi="宋体" w:eastAsia="宋体" w:cs="宋体"/>
          <w:sz w:val="24"/>
          <w:szCs w:val="24"/>
        </w:rPr>
      </w:pP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p>
    <w:p w14:paraId="483B82BC">
      <w:pPr>
        <w:pStyle w:val="12"/>
        <w:spacing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tbl>
      <w:tblPr>
        <w:tblStyle w:val="2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3709"/>
        <w:gridCol w:w="3484"/>
        <w:gridCol w:w="1060"/>
      </w:tblGrid>
      <w:tr w14:paraId="2B6E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 w:hRule="atLeast"/>
          <w:jc w:val="center"/>
        </w:trPr>
        <w:tc>
          <w:tcPr>
            <w:tcW w:w="528" w:type="pct"/>
            <w:vAlign w:val="center"/>
          </w:tcPr>
          <w:p w14:paraId="5FD98A9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2009" w:type="pct"/>
            <w:vAlign w:val="center"/>
          </w:tcPr>
          <w:p w14:paraId="605AC8C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磋商文件商务要求</w:t>
            </w:r>
          </w:p>
        </w:tc>
        <w:tc>
          <w:tcPr>
            <w:tcW w:w="1887" w:type="pct"/>
            <w:vAlign w:val="center"/>
          </w:tcPr>
          <w:p w14:paraId="4693E86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磋商响应文件商务响应描述</w:t>
            </w:r>
          </w:p>
        </w:tc>
        <w:tc>
          <w:tcPr>
            <w:tcW w:w="574" w:type="pct"/>
            <w:vAlign w:val="center"/>
          </w:tcPr>
          <w:p w14:paraId="63D759D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偏离</w:t>
            </w:r>
          </w:p>
        </w:tc>
      </w:tr>
      <w:tr w14:paraId="40A5A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528" w:type="pct"/>
            <w:vAlign w:val="center"/>
          </w:tcPr>
          <w:p w14:paraId="5BE1A8EF">
            <w:pPr>
              <w:spacing w:line="360" w:lineRule="auto"/>
              <w:jc w:val="center"/>
              <w:rPr>
                <w:rFonts w:hint="eastAsia" w:ascii="宋体" w:hAnsi="宋体" w:eastAsia="宋体" w:cs="宋体"/>
                <w:sz w:val="24"/>
                <w:szCs w:val="24"/>
              </w:rPr>
            </w:pPr>
          </w:p>
        </w:tc>
        <w:tc>
          <w:tcPr>
            <w:tcW w:w="2009" w:type="pct"/>
            <w:vAlign w:val="center"/>
          </w:tcPr>
          <w:p w14:paraId="6D0B1836">
            <w:pPr>
              <w:spacing w:line="360" w:lineRule="auto"/>
              <w:jc w:val="center"/>
              <w:rPr>
                <w:rFonts w:hint="eastAsia" w:ascii="宋体" w:hAnsi="宋体" w:eastAsia="宋体" w:cs="宋体"/>
                <w:sz w:val="24"/>
                <w:szCs w:val="24"/>
              </w:rPr>
            </w:pPr>
          </w:p>
        </w:tc>
        <w:tc>
          <w:tcPr>
            <w:tcW w:w="1887" w:type="pct"/>
            <w:vAlign w:val="center"/>
          </w:tcPr>
          <w:p w14:paraId="4C48FEE2">
            <w:pPr>
              <w:spacing w:line="360" w:lineRule="auto"/>
              <w:jc w:val="center"/>
              <w:rPr>
                <w:rFonts w:hint="eastAsia" w:ascii="宋体" w:hAnsi="宋体" w:eastAsia="宋体" w:cs="宋体"/>
                <w:sz w:val="24"/>
                <w:szCs w:val="24"/>
              </w:rPr>
            </w:pPr>
          </w:p>
        </w:tc>
        <w:tc>
          <w:tcPr>
            <w:tcW w:w="574" w:type="pct"/>
            <w:vAlign w:val="center"/>
          </w:tcPr>
          <w:p w14:paraId="08D85E09">
            <w:pPr>
              <w:spacing w:line="360" w:lineRule="auto"/>
              <w:jc w:val="center"/>
              <w:rPr>
                <w:rFonts w:hint="eastAsia" w:ascii="宋体" w:hAnsi="宋体" w:eastAsia="宋体" w:cs="宋体"/>
                <w:b/>
                <w:sz w:val="24"/>
                <w:szCs w:val="24"/>
              </w:rPr>
            </w:pPr>
          </w:p>
        </w:tc>
      </w:tr>
      <w:tr w14:paraId="26847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528" w:type="pct"/>
            <w:vAlign w:val="center"/>
          </w:tcPr>
          <w:p w14:paraId="37F62E9E">
            <w:pPr>
              <w:spacing w:line="360" w:lineRule="auto"/>
              <w:jc w:val="center"/>
              <w:rPr>
                <w:rFonts w:hint="eastAsia" w:ascii="宋体" w:hAnsi="宋体" w:eastAsia="宋体" w:cs="宋体"/>
                <w:sz w:val="24"/>
                <w:szCs w:val="24"/>
              </w:rPr>
            </w:pPr>
          </w:p>
        </w:tc>
        <w:tc>
          <w:tcPr>
            <w:tcW w:w="2009" w:type="pct"/>
            <w:vAlign w:val="center"/>
          </w:tcPr>
          <w:p w14:paraId="554E45BC">
            <w:pPr>
              <w:spacing w:line="360" w:lineRule="auto"/>
              <w:jc w:val="center"/>
              <w:rPr>
                <w:rFonts w:hint="eastAsia" w:ascii="宋体" w:hAnsi="宋体" w:eastAsia="宋体" w:cs="宋体"/>
                <w:sz w:val="24"/>
                <w:szCs w:val="24"/>
              </w:rPr>
            </w:pPr>
          </w:p>
        </w:tc>
        <w:tc>
          <w:tcPr>
            <w:tcW w:w="1887" w:type="pct"/>
            <w:vAlign w:val="center"/>
          </w:tcPr>
          <w:p w14:paraId="700D56FB">
            <w:pPr>
              <w:spacing w:line="360" w:lineRule="auto"/>
              <w:jc w:val="center"/>
              <w:rPr>
                <w:rFonts w:hint="eastAsia" w:ascii="宋体" w:hAnsi="宋体" w:eastAsia="宋体" w:cs="宋体"/>
                <w:sz w:val="24"/>
                <w:szCs w:val="24"/>
              </w:rPr>
            </w:pPr>
          </w:p>
        </w:tc>
        <w:tc>
          <w:tcPr>
            <w:tcW w:w="574" w:type="pct"/>
            <w:vAlign w:val="center"/>
          </w:tcPr>
          <w:p w14:paraId="0D209576">
            <w:pPr>
              <w:spacing w:line="360" w:lineRule="auto"/>
              <w:jc w:val="center"/>
              <w:rPr>
                <w:rFonts w:hint="eastAsia" w:ascii="宋体" w:hAnsi="宋体" w:eastAsia="宋体" w:cs="宋体"/>
                <w:b/>
                <w:sz w:val="24"/>
                <w:szCs w:val="24"/>
              </w:rPr>
            </w:pPr>
          </w:p>
        </w:tc>
      </w:tr>
      <w:tr w14:paraId="3236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528" w:type="pct"/>
            <w:vAlign w:val="center"/>
          </w:tcPr>
          <w:p w14:paraId="69E260ED">
            <w:pPr>
              <w:spacing w:line="360" w:lineRule="auto"/>
              <w:jc w:val="center"/>
              <w:rPr>
                <w:rFonts w:hint="eastAsia" w:ascii="宋体" w:hAnsi="宋体" w:eastAsia="宋体" w:cs="宋体"/>
                <w:sz w:val="24"/>
                <w:szCs w:val="24"/>
              </w:rPr>
            </w:pPr>
          </w:p>
        </w:tc>
        <w:tc>
          <w:tcPr>
            <w:tcW w:w="2009" w:type="pct"/>
            <w:vAlign w:val="center"/>
          </w:tcPr>
          <w:p w14:paraId="65A26688">
            <w:pPr>
              <w:spacing w:line="360" w:lineRule="auto"/>
              <w:jc w:val="center"/>
              <w:rPr>
                <w:rFonts w:hint="eastAsia" w:ascii="宋体" w:hAnsi="宋体" w:eastAsia="宋体" w:cs="宋体"/>
                <w:sz w:val="24"/>
                <w:szCs w:val="24"/>
              </w:rPr>
            </w:pPr>
          </w:p>
        </w:tc>
        <w:tc>
          <w:tcPr>
            <w:tcW w:w="1887" w:type="pct"/>
            <w:vAlign w:val="center"/>
          </w:tcPr>
          <w:p w14:paraId="1D516B4B">
            <w:pPr>
              <w:spacing w:line="360" w:lineRule="auto"/>
              <w:jc w:val="center"/>
              <w:rPr>
                <w:rFonts w:hint="eastAsia" w:ascii="宋体" w:hAnsi="宋体" w:eastAsia="宋体" w:cs="宋体"/>
                <w:sz w:val="24"/>
                <w:szCs w:val="24"/>
              </w:rPr>
            </w:pPr>
          </w:p>
        </w:tc>
        <w:tc>
          <w:tcPr>
            <w:tcW w:w="574" w:type="pct"/>
            <w:vAlign w:val="center"/>
          </w:tcPr>
          <w:p w14:paraId="190E9365">
            <w:pPr>
              <w:spacing w:line="360" w:lineRule="auto"/>
              <w:jc w:val="center"/>
              <w:rPr>
                <w:rFonts w:hint="eastAsia" w:ascii="宋体" w:hAnsi="宋体" w:eastAsia="宋体" w:cs="宋体"/>
                <w:b/>
                <w:sz w:val="24"/>
                <w:szCs w:val="24"/>
              </w:rPr>
            </w:pPr>
          </w:p>
        </w:tc>
      </w:tr>
      <w:tr w14:paraId="48EBE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528" w:type="pct"/>
            <w:vAlign w:val="center"/>
          </w:tcPr>
          <w:p w14:paraId="0DA9A3E0">
            <w:pPr>
              <w:spacing w:line="360" w:lineRule="auto"/>
              <w:jc w:val="center"/>
              <w:rPr>
                <w:rFonts w:hint="eastAsia" w:ascii="宋体" w:hAnsi="宋体" w:eastAsia="宋体" w:cs="宋体"/>
                <w:sz w:val="24"/>
                <w:szCs w:val="24"/>
              </w:rPr>
            </w:pPr>
          </w:p>
        </w:tc>
        <w:tc>
          <w:tcPr>
            <w:tcW w:w="2009" w:type="pct"/>
            <w:vAlign w:val="center"/>
          </w:tcPr>
          <w:p w14:paraId="60DD6D70">
            <w:pPr>
              <w:spacing w:line="360" w:lineRule="auto"/>
              <w:jc w:val="center"/>
              <w:rPr>
                <w:rFonts w:hint="eastAsia" w:ascii="宋体" w:hAnsi="宋体" w:eastAsia="宋体" w:cs="宋体"/>
                <w:sz w:val="24"/>
                <w:szCs w:val="24"/>
              </w:rPr>
            </w:pPr>
          </w:p>
        </w:tc>
        <w:tc>
          <w:tcPr>
            <w:tcW w:w="1887" w:type="pct"/>
            <w:vAlign w:val="center"/>
          </w:tcPr>
          <w:p w14:paraId="4174E4B2">
            <w:pPr>
              <w:spacing w:line="360" w:lineRule="auto"/>
              <w:jc w:val="center"/>
              <w:rPr>
                <w:rFonts w:hint="eastAsia" w:ascii="宋体" w:hAnsi="宋体" w:eastAsia="宋体" w:cs="宋体"/>
                <w:sz w:val="24"/>
                <w:szCs w:val="24"/>
              </w:rPr>
            </w:pPr>
          </w:p>
        </w:tc>
        <w:tc>
          <w:tcPr>
            <w:tcW w:w="574" w:type="pct"/>
            <w:vAlign w:val="center"/>
          </w:tcPr>
          <w:p w14:paraId="3B54B459">
            <w:pPr>
              <w:spacing w:line="360" w:lineRule="auto"/>
              <w:jc w:val="center"/>
              <w:rPr>
                <w:rFonts w:hint="eastAsia" w:ascii="宋体" w:hAnsi="宋体" w:eastAsia="宋体" w:cs="宋体"/>
                <w:b/>
                <w:sz w:val="24"/>
                <w:szCs w:val="24"/>
              </w:rPr>
            </w:pPr>
          </w:p>
        </w:tc>
      </w:tr>
    </w:tbl>
    <w:p w14:paraId="23B58BB7">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注：1、商务合同条款各条目是对供应商提出的最低要求，将作为采购人与成交人签定合同的基本要求。</w:t>
      </w:r>
    </w:p>
    <w:p w14:paraId="56665EA9">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2、凡是磋商响应文件的商务条款与磋商文件的商务条款之间存在负偏离（即不能满足磋商文件要求）的，按无效响应处理。</w:t>
      </w:r>
    </w:p>
    <w:p w14:paraId="063CDCA1">
      <w:pPr>
        <w:pStyle w:val="12"/>
        <w:spacing w:line="360" w:lineRule="auto"/>
        <w:rPr>
          <w:rFonts w:hint="eastAsia" w:ascii="宋体" w:hAnsi="宋体" w:eastAsia="宋体" w:cs="宋体"/>
          <w:sz w:val="24"/>
          <w:szCs w:val="24"/>
        </w:rPr>
      </w:pPr>
    </w:p>
    <w:p w14:paraId="467D738E">
      <w:pPr>
        <w:spacing w:line="360" w:lineRule="auto"/>
        <w:ind w:firstLine="4759" w:firstLineChars="1983"/>
        <w:rPr>
          <w:rFonts w:hint="eastAsia" w:ascii="宋体" w:hAnsi="宋体" w:eastAsia="宋体" w:cs="宋体"/>
          <w:sz w:val="24"/>
          <w:szCs w:val="24"/>
        </w:rPr>
      </w:pPr>
    </w:p>
    <w:p w14:paraId="62DF9D14">
      <w:pPr>
        <w:spacing w:line="360" w:lineRule="auto"/>
        <w:rPr>
          <w:rFonts w:hint="eastAsia" w:ascii="宋体" w:hAnsi="宋体" w:eastAsia="宋体" w:cs="宋体"/>
          <w:sz w:val="24"/>
          <w:szCs w:val="24"/>
        </w:rPr>
      </w:pPr>
      <w:r>
        <w:rPr>
          <w:rFonts w:hint="eastAsia" w:ascii="宋体" w:hAnsi="宋体" w:eastAsia="宋体" w:cs="宋体"/>
          <w:sz w:val="24"/>
          <w:szCs w:val="24"/>
        </w:rPr>
        <w:t>供应商全称(盖章)：</w:t>
      </w:r>
    </w:p>
    <w:p w14:paraId="3B1EBCA7">
      <w:pPr>
        <w:spacing w:line="360" w:lineRule="auto"/>
        <w:rPr>
          <w:rFonts w:hint="eastAsia" w:ascii="宋体" w:hAnsi="宋体" w:eastAsia="宋体" w:cs="宋体"/>
          <w:sz w:val="24"/>
          <w:szCs w:val="24"/>
        </w:rPr>
      </w:pPr>
      <w:r>
        <w:rPr>
          <w:rFonts w:hint="eastAsia" w:ascii="宋体" w:hAnsi="宋体" w:eastAsia="宋体" w:cs="宋体"/>
          <w:sz w:val="24"/>
          <w:szCs w:val="24"/>
        </w:rPr>
        <w:t>日  期：</w:t>
      </w:r>
    </w:p>
    <w:p w14:paraId="1E7E297D">
      <w:pPr>
        <w:pStyle w:val="11"/>
        <w:rPr>
          <w:rFonts w:hint="eastAsia" w:ascii="宋体" w:hAnsi="宋体" w:eastAsia="宋体" w:cs="宋体"/>
          <w:lang w:val="en-US" w:eastAsia="zh-CN"/>
        </w:rPr>
        <w:sectPr>
          <w:pgSz w:w="11905" w:h="16838"/>
          <w:pgMar w:top="1440" w:right="1080" w:bottom="1440" w:left="1080" w:header="624" w:footer="771" w:gutter="567"/>
          <w:pgBorders>
            <w:top w:val="none" w:sz="0" w:space="0"/>
            <w:left w:val="none" w:sz="0" w:space="0"/>
            <w:bottom w:val="none" w:sz="0" w:space="0"/>
            <w:right w:val="none" w:sz="0" w:space="0"/>
          </w:pgBorders>
          <w:cols w:space="0" w:num="1"/>
          <w:titlePg/>
          <w:rtlGutter w:val="0"/>
          <w:docGrid w:linePitch="312" w:charSpace="0"/>
        </w:sectPr>
      </w:pPr>
    </w:p>
    <w:p w14:paraId="4EECEC1A">
      <w:pPr>
        <w:outlineLvl w:val="1"/>
        <w:rPr>
          <w:rFonts w:hint="eastAsia" w:ascii="宋体" w:hAnsi="宋体" w:eastAsia="宋体" w:cs="宋体"/>
        </w:rPr>
      </w:pPr>
      <w:r>
        <w:rPr>
          <w:rFonts w:hint="eastAsia" w:ascii="宋体" w:hAnsi="宋体" w:eastAsia="宋体" w:cs="宋体"/>
          <w:b/>
          <w:bCs/>
          <w:sz w:val="24"/>
          <w:szCs w:val="24"/>
          <w:lang w:val="zh-CN"/>
        </w:rPr>
        <w:t>四、响应方案</w:t>
      </w:r>
    </w:p>
    <w:p w14:paraId="283AF6AA">
      <w:pPr>
        <w:outlineLvl w:val="2"/>
        <w:rPr>
          <w:rFonts w:hint="eastAsia" w:ascii="宋体" w:hAnsi="宋体" w:eastAsia="宋体" w:cs="宋体"/>
          <w:b/>
          <w:sz w:val="28"/>
          <w:szCs w:val="28"/>
          <w:lang w:eastAsia="zh-CN"/>
        </w:rPr>
      </w:pPr>
      <w:r>
        <w:rPr>
          <w:rFonts w:hint="eastAsia" w:ascii="宋体" w:hAnsi="宋体" w:eastAsia="宋体" w:cs="宋体"/>
          <w:b/>
          <w:bCs/>
          <w:sz w:val="24"/>
          <w:szCs w:val="24"/>
        </w:rPr>
        <w:t>1、供应商概况</w:t>
      </w:r>
      <w:r>
        <w:rPr>
          <w:rFonts w:hint="eastAsia" w:ascii="宋体" w:hAnsi="宋体" w:eastAsia="宋体" w:cs="宋体"/>
          <w:b/>
          <w:bCs/>
          <w:sz w:val="24"/>
          <w:szCs w:val="24"/>
          <w:lang w:eastAsia="zh-CN"/>
        </w:rPr>
        <w:t>及其性质</w:t>
      </w:r>
    </w:p>
    <w:tbl>
      <w:tblPr>
        <w:tblStyle w:val="24"/>
        <w:tblW w:w="88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88"/>
        <w:gridCol w:w="1536"/>
        <w:gridCol w:w="1925"/>
        <w:gridCol w:w="1428"/>
        <w:gridCol w:w="2462"/>
      </w:tblGrid>
      <w:tr w14:paraId="3DD563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488" w:type="dxa"/>
            <w:vAlign w:val="center"/>
          </w:tcPr>
          <w:p w14:paraId="73202054">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供应商名称</w:t>
            </w:r>
          </w:p>
        </w:tc>
        <w:tc>
          <w:tcPr>
            <w:tcW w:w="7351" w:type="dxa"/>
            <w:gridSpan w:val="4"/>
            <w:vAlign w:val="center"/>
          </w:tcPr>
          <w:p w14:paraId="3DD899D4">
            <w:pPr>
              <w:keepNext/>
              <w:keepLines/>
              <w:autoSpaceDE w:val="0"/>
              <w:autoSpaceDN w:val="0"/>
              <w:adjustRightInd w:val="0"/>
              <w:spacing w:line="400" w:lineRule="exact"/>
              <w:jc w:val="center"/>
              <w:rPr>
                <w:rFonts w:hint="eastAsia" w:ascii="宋体" w:hAnsi="宋体" w:eastAsia="宋体" w:cs="宋体"/>
                <w:kern w:val="0"/>
                <w:sz w:val="24"/>
                <w:szCs w:val="24"/>
              </w:rPr>
            </w:pPr>
          </w:p>
        </w:tc>
      </w:tr>
      <w:tr w14:paraId="3A7D6C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88" w:type="dxa"/>
            <w:vAlign w:val="center"/>
          </w:tcPr>
          <w:p w14:paraId="58AD4505">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461" w:type="dxa"/>
            <w:gridSpan w:val="2"/>
            <w:vAlign w:val="center"/>
          </w:tcPr>
          <w:p w14:paraId="1D9C0B6C">
            <w:pPr>
              <w:keepNext/>
              <w:keepLines/>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6AA39F58">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462" w:type="dxa"/>
            <w:vAlign w:val="center"/>
          </w:tcPr>
          <w:p w14:paraId="1376F8DD">
            <w:pPr>
              <w:keepNext/>
              <w:keepLines/>
              <w:autoSpaceDE w:val="0"/>
              <w:autoSpaceDN w:val="0"/>
              <w:adjustRightInd w:val="0"/>
              <w:spacing w:line="400" w:lineRule="exact"/>
              <w:jc w:val="center"/>
              <w:rPr>
                <w:rFonts w:hint="eastAsia" w:ascii="宋体" w:hAnsi="宋体" w:eastAsia="宋体" w:cs="宋体"/>
                <w:kern w:val="0"/>
                <w:sz w:val="24"/>
                <w:szCs w:val="24"/>
              </w:rPr>
            </w:pPr>
          </w:p>
        </w:tc>
      </w:tr>
      <w:tr w14:paraId="764DE4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488" w:type="dxa"/>
            <w:vMerge w:val="restart"/>
            <w:vAlign w:val="center"/>
          </w:tcPr>
          <w:p w14:paraId="7F5213B0">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联系方式</w:t>
            </w:r>
          </w:p>
        </w:tc>
        <w:tc>
          <w:tcPr>
            <w:tcW w:w="1536" w:type="dxa"/>
            <w:vAlign w:val="center"/>
          </w:tcPr>
          <w:p w14:paraId="0D2BB2A7">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925" w:type="dxa"/>
            <w:vAlign w:val="center"/>
          </w:tcPr>
          <w:p w14:paraId="44F0DDE3">
            <w:pPr>
              <w:keepNext/>
              <w:keepLines/>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571B67B4">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462" w:type="dxa"/>
            <w:vAlign w:val="center"/>
          </w:tcPr>
          <w:p w14:paraId="67BEE121">
            <w:pPr>
              <w:keepNext/>
              <w:keepLines/>
              <w:autoSpaceDE w:val="0"/>
              <w:autoSpaceDN w:val="0"/>
              <w:adjustRightInd w:val="0"/>
              <w:spacing w:line="400" w:lineRule="exact"/>
              <w:jc w:val="center"/>
              <w:rPr>
                <w:rFonts w:hint="eastAsia" w:ascii="宋体" w:hAnsi="宋体" w:eastAsia="宋体" w:cs="宋体"/>
                <w:kern w:val="0"/>
                <w:sz w:val="24"/>
                <w:szCs w:val="24"/>
              </w:rPr>
            </w:pPr>
          </w:p>
        </w:tc>
      </w:tr>
      <w:tr w14:paraId="04FB84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88" w:type="dxa"/>
            <w:vMerge w:val="continue"/>
            <w:vAlign w:val="center"/>
          </w:tcPr>
          <w:p w14:paraId="4E457C1F">
            <w:pPr>
              <w:autoSpaceDE w:val="0"/>
              <w:autoSpaceDN w:val="0"/>
              <w:adjustRightInd w:val="0"/>
              <w:spacing w:line="400" w:lineRule="exact"/>
              <w:jc w:val="center"/>
              <w:rPr>
                <w:rFonts w:hint="eastAsia" w:ascii="宋体" w:hAnsi="宋体" w:eastAsia="宋体" w:cs="宋体"/>
                <w:kern w:val="0"/>
                <w:sz w:val="24"/>
                <w:szCs w:val="24"/>
              </w:rPr>
            </w:pPr>
          </w:p>
        </w:tc>
        <w:tc>
          <w:tcPr>
            <w:tcW w:w="1536" w:type="dxa"/>
            <w:vAlign w:val="center"/>
          </w:tcPr>
          <w:p w14:paraId="476254E3">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传真</w:t>
            </w:r>
          </w:p>
        </w:tc>
        <w:tc>
          <w:tcPr>
            <w:tcW w:w="1925" w:type="dxa"/>
            <w:vAlign w:val="center"/>
          </w:tcPr>
          <w:p w14:paraId="0367B115">
            <w:pPr>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5E6B3016">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462" w:type="dxa"/>
            <w:vAlign w:val="center"/>
          </w:tcPr>
          <w:p w14:paraId="2E6C95BC">
            <w:pPr>
              <w:autoSpaceDE w:val="0"/>
              <w:autoSpaceDN w:val="0"/>
              <w:adjustRightInd w:val="0"/>
              <w:spacing w:line="400" w:lineRule="exact"/>
              <w:jc w:val="center"/>
              <w:rPr>
                <w:rFonts w:hint="eastAsia" w:ascii="宋体" w:hAnsi="宋体" w:eastAsia="宋体" w:cs="宋体"/>
                <w:kern w:val="0"/>
                <w:sz w:val="24"/>
                <w:szCs w:val="24"/>
              </w:rPr>
            </w:pPr>
          </w:p>
        </w:tc>
      </w:tr>
      <w:tr w14:paraId="6BBDFD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488" w:type="dxa"/>
            <w:vAlign w:val="center"/>
          </w:tcPr>
          <w:p w14:paraId="320D980F">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536" w:type="dxa"/>
            <w:vAlign w:val="center"/>
          </w:tcPr>
          <w:p w14:paraId="7912B2F6">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925" w:type="dxa"/>
            <w:vAlign w:val="center"/>
          </w:tcPr>
          <w:p w14:paraId="3BF27F8E">
            <w:pPr>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576D8156">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462" w:type="dxa"/>
            <w:vAlign w:val="center"/>
          </w:tcPr>
          <w:p w14:paraId="3DFD63B8">
            <w:pPr>
              <w:autoSpaceDE w:val="0"/>
              <w:autoSpaceDN w:val="0"/>
              <w:adjustRightInd w:val="0"/>
              <w:spacing w:line="400" w:lineRule="exact"/>
              <w:jc w:val="center"/>
              <w:rPr>
                <w:rFonts w:hint="eastAsia" w:ascii="宋体" w:hAnsi="宋体" w:eastAsia="宋体" w:cs="宋体"/>
                <w:b/>
                <w:bCs/>
                <w:kern w:val="0"/>
                <w:sz w:val="24"/>
                <w:szCs w:val="24"/>
              </w:rPr>
            </w:pPr>
          </w:p>
        </w:tc>
      </w:tr>
      <w:tr w14:paraId="7A8E32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488" w:type="dxa"/>
            <w:vAlign w:val="center"/>
          </w:tcPr>
          <w:p w14:paraId="20853D23">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tc>
        <w:tc>
          <w:tcPr>
            <w:tcW w:w="1536" w:type="dxa"/>
            <w:vAlign w:val="center"/>
          </w:tcPr>
          <w:p w14:paraId="75240B5A">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925" w:type="dxa"/>
            <w:vAlign w:val="center"/>
          </w:tcPr>
          <w:p w14:paraId="4ADFFC79">
            <w:pPr>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7F35AC66">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462" w:type="dxa"/>
            <w:vAlign w:val="center"/>
          </w:tcPr>
          <w:p w14:paraId="17BCE584">
            <w:pPr>
              <w:autoSpaceDE w:val="0"/>
              <w:autoSpaceDN w:val="0"/>
              <w:adjustRightInd w:val="0"/>
              <w:spacing w:line="400" w:lineRule="exact"/>
              <w:jc w:val="center"/>
              <w:rPr>
                <w:rFonts w:hint="eastAsia" w:ascii="宋体" w:hAnsi="宋体" w:eastAsia="宋体" w:cs="宋体"/>
                <w:b/>
                <w:bCs/>
                <w:kern w:val="0"/>
                <w:sz w:val="24"/>
                <w:szCs w:val="24"/>
              </w:rPr>
            </w:pPr>
          </w:p>
        </w:tc>
      </w:tr>
      <w:tr w14:paraId="326F41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88" w:type="dxa"/>
            <w:vAlign w:val="center"/>
          </w:tcPr>
          <w:p w14:paraId="26D9757A">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3461" w:type="dxa"/>
            <w:gridSpan w:val="2"/>
            <w:vAlign w:val="center"/>
          </w:tcPr>
          <w:p w14:paraId="7538D5CF">
            <w:pPr>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3BF28271">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2462" w:type="dxa"/>
            <w:vAlign w:val="center"/>
          </w:tcPr>
          <w:p w14:paraId="27D65368">
            <w:pPr>
              <w:autoSpaceDE w:val="0"/>
              <w:autoSpaceDN w:val="0"/>
              <w:adjustRightInd w:val="0"/>
              <w:spacing w:line="400" w:lineRule="exact"/>
              <w:jc w:val="center"/>
              <w:rPr>
                <w:rFonts w:hint="eastAsia" w:ascii="宋体" w:hAnsi="宋体" w:eastAsia="宋体" w:cs="宋体"/>
                <w:b/>
                <w:bCs/>
                <w:kern w:val="0"/>
                <w:sz w:val="24"/>
                <w:szCs w:val="24"/>
              </w:rPr>
            </w:pPr>
          </w:p>
        </w:tc>
      </w:tr>
      <w:tr w14:paraId="31C8B5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488" w:type="dxa"/>
            <w:vAlign w:val="center"/>
          </w:tcPr>
          <w:p w14:paraId="054B4E58">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统一社会信用代码</w:t>
            </w:r>
          </w:p>
        </w:tc>
        <w:tc>
          <w:tcPr>
            <w:tcW w:w="3461" w:type="dxa"/>
            <w:gridSpan w:val="2"/>
            <w:vAlign w:val="center"/>
          </w:tcPr>
          <w:p w14:paraId="2E9C4342">
            <w:pPr>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2EBA40D0">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2462" w:type="dxa"/>
            <w:vAlign w:val="center"/>
          </w:tcPr>
          <w:p w14:paraId="004B2CEB">
            <w:pPr>
              <w:autoSpaceDE w:val="0"/>
              <w:autoSpaceDN w:val="0"/>
              <w:adjustRightInd w:val="0"/>
              <w:spacing w:line="400" w:lineRule="exact"/>
              <w:jc w:val="center"/>
              <w:rPr>
                <w:rFonts w:hint="eastAsia" w:ascii="宋体" w:hAnsi="宋体" w:eastAsia="宋体" w:cs="宋体"/>
                <w:b/>
                <w:bCs/>
                <w:kern w:val="0"/>
                <w:sz w:val="24"/>
                <w:szCs w:val="24"/>
              </w:rPr>
            </w:pPr>
          </w:p>
        </w:tc>
      </w:tr>
      <w:tr w14:paraId="08894E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92" w:hRule="atLeast"/>
          <w:jc w:val="center"/>
        </w:trPr>
        <w:tc>
          <w:tcPr>
            <w:tcW w:w="1488" w:type="dxa"/>
            <w:vAlign w:val="center"/>
          </w:tcPr>
          <w:p w14:paraId="39DA45EF">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351" w:type="dxa"/>
            <w:gridSpan w:val="4"/>
            <w:vAlign w:val="center"/>
          </w:tcPr>
          <w:p w14:paraId="5E20B561">
            <w:pPr>
              <w:autoSpaceDE w:val="0"/>
              <w:autoSpaceDN w:val="0"/>
              <w:adjustRightInd w:val="0"/>
              <w:spacing w:line="400" w:lineRule="exact"/>
              <w:rPr>
                <w:rFonts w:hint="eastAsia" w:ascii="宋体" w:hAnsi="宋体" w:eastAsia="宋体" w:cs="宋体"/>
                <w:b/>
                <w:bCs/>
                <w:kern w:val="0"/>
                <w:sz w:val="24"/>
                <w:szCs w:val="24"/>
              </w:rPr>
            </w:pPr>
          </w:p>
        </w:tc>
      </w:tr>
      <w:tr w14:paraId="623D78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488" w:type="dxa"/>
          </w:tcPr>
          <w:p w14:paraId="1B74E017">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351" w:type="dxa"/>
            <w:gridSpan w:val="4"/>
          </w:tcPr>
          <w:p w14:paraId="3C53B882">
            <w:pPr>
              <w:autoSpaceDE w:val="0"/>
              <w:autoSpaceDN w:val="0"/>
              <w:adjustRightInd w:val="0"/>
              <w:spacing w:line="400" w:lineRule="exact"/>
              <w:jc w:val="left"/>
              <w:rPr>
                <w:rFonts w:hint="eastAsia" w:ascii="宋体" w:hAnsi="宋体" w:eastAsia="宋体" w:cs="宋体"/>
                <w:kern w:val="0"/>
                <w:sz w:val="24"/>
                <w:szCs w:val="24"/>
              </w:rPr>
            </w:pPr>
          </w:p>
        </w:tc>
      </w:tr>
    </w:tbl>
    <w:p w14:paraId="5544472B">
      <w:pPr>
        <w:rPr>
          <w:rFonts w:hint="eastAsia" w:ascii="宋体" w:hAnsi="宋体" w:eastAsia="宋体" w:cs="宋体"/>
          <w:b/>
          <w:sz w:val="24"/>
          <w:szCs w:val="24"/>
        </w:rPr>
      </w:pPr>
    </w:p>
    <w:p w14:paraId="52AB1E0D">
      <w:pPr>
        <w:pStyle w:val="23"/>
        <w:ind w:firstLine="0" w:firstLineChars="0"/>
        <w:rPr>
          <w:rFonts w:hint="eastAsia" w:ascii="宋体" w:hAnsi="宋体" w:eastAsia="宋体" w:cs="宋体"/>
          <w:sz w:val="24"/>
          <w:szCs w:val="24"/>
        </w:rPr>
      </w:pPr>
    </w:p>
    <w:p w14:paraId="0F00E29F">
      <w:pPr>
        <w:pStyle w:val="23"/>
        <w:ind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供应商名称：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（加盖公章）  </w:t>
      </w:r>
    </w:p>
    <w:p w14:paraId="2E147687">
      <w:pPr>
        <w:autoSpaceDE w:val="0"/>
        <w:autoSpaceDN w:val="0"/>
        <w:adjustRightInd w:val="0"/>
        <w:snapToGrid w:val="0"/>
        <w:spacing w:line="360" w:lineRule="auto"/>
        <w:outlineLvl w:val="9"/>
        <w:rPr>
          <w:rFonts w:hint="eastAsia" w:ascii="宋体" w:hAnsi="宋体" w:eastAsia="宋体" w:cs="宋体"/>
          <w:b/>
          <w:bCs/>
          <w:sz w:val="24"/>
          <w:szCs w:val="24"/>
        </w:rPr>
      </w:pPr>
      <w:bookmarkStart w:id="98" w:name="_Toc554"/>
      <w:r>
        <w:rPr>
          <w:rFonts w:hint="eastAsia" w:ascii="宋体" w:hAnsi="宋体" w:eastAsia="宋体" w:cs="宋体"/>
          <w:sz w:val="24"/>
          <w:szCs w:val="24"/>
        </w:rPr>
        <w:t>日  期：</w:t>
      </w:r>
      <w:bookmarkEnd w:id="98"/>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28B87B64">
      <w:pPr>
        <w:pStyle w:val="42"/>
        <w:spacing w:line="360" w:lineRule="auto"/>
        <w:ind w:firstLine="149" w:firstLineChars="62"/>
        <w:jc w:val="left"/>
        <w:outlineLvl w:val="9"/>
        <w:rPr>
          <w:rFonts w:hint="eastAsia" w:ascii="宋体" w:hAnsi="宋体" w:eastAsia="宋体" w:cs="宋体"/>
          <w:b/>
          <w:bCs/>
          <w:color w:val="auto"/>
          <w:sz w:val="24"/>
          <w:szCs w:val="24"/>
          <w:highlight w:val="none"/>
          <w:lang w:eastAsia="zh-CN"/>
        </w:rPr>
      </w:pPr>
    </w:p>
    <w:p w14:paraId="2A37BD6C">
      <w:pPr>
        <w:pStyle w:val="42"/>
        <w:spacing w:line="360" w:lineRule="auto"/>
        <w:ind w:firstLine="149" w:firstLineChars="62"/>
        <w:jc w:val="left"/>
        <w:outlineLvl w:val="9"/>
        <w:rPr>
          <w:rFonts w:hint="eastAsia" w:ascii="宋体" w:hAnsi="宋体" w:eastAsia="宋体" w:cs="宋体"/>
          <w:b/>
          <w:bCs/>
          <w:i w:val="0"/>
          <w:iCs w:val="0"/>
          <w:color w:val="auto"/>
          <w:sz w:val="24"/>
          <w:szCs w:val="24"/>
        </w:rPr>
      </w:pPr>
      <w:bookmarkStart w:id="99" w:name="_Toc31256"/>
      <w:r>
        <w:rPr>
          <w:rFonts w:hint="eastAsia" w:ascii="宋体" w:hAnsi="宋体" w:eastAsia="宋体" w:cs="宋体"/>
          <w:b/>
          <w:bCs/>
          <w:i w:val="0"/>
          <w:iCs w:val="0"/>
          <w:color w:val="auto"/>
          <w:sz w:val="24"/>
          <w:szCs w:val="24"/>
        </w:rPr>
        <w:t>注：后附下列资料</w:t>
      </w:r>
      <w:bookmarkEnd w:id="99"/>
    </w:p>
    <w:p w14:paraId="1A6AECD0">
      <w:pPr>
        <w:pStyle w:val="42"/>
        <w:spacing w:line="360" w:lineRule="auto"/>
        <w:ind w:firstLine="149" w:firstLineChars="62"/>
        <w:jc w:val="left"/>
        <w:outlineLvl w:val="9"/>
        <w:rPr>
          <w:rFonts w:hint="eastAsia" w:ascii="宋体" w:hAnsi="宋体" w:eastAsia="宋体" w:cs="宋体"/>
          <w:b/>
          <w:bCs/>
          <w:i w:val="0"/>
          <w:iCs w:val="0"/>
          <w:color w:val="auto"/>
          <w:sz w:val="24"/>
          <w:szCs w:val="24"/>
          <w:lang w:val="en-US" w:eastAsia="zh-CN"/>
        </w:rPr>
      </w:pPr>
      <w:bookmarkStart w:id="100" w:name="_Toc8805"/>
      <w:r>
        <w:rPr>
          <w:rFonts w:hint="eastAsia" w:ascii="宋体" w:hAnsi="宋体" w:eastAsia="宋体" w:cs="宋体"/>
          <w:b/>
          <w:bCs/>
          <w:i w:val="0"/>
          <w:iCs w:val="0"/>
          <w:color w:val="auto"/>
          <w:sz w:val="24"/>
          <w:szCs w:val="24"/>
          <w:lang w:val="en-US" w:eastAsia="zh-CN"/>
        </w:rPr>
        <w:t>1、中小企业声明函（</w:t>
      </w:r>
      <w:r>
        <w:rPr>
          <w:rFonts w:hint="eastAsia" w:ascii="宋体" w:hAnsi="宋体" w:eastAsia="宋体" w:cs="宋体"/>
          <w:b/>
          <w:bCs/>
          <w:i w:val="0"/>
          <w:iCs w:val="0"/>
          <w:color w:val="auto"/>
          <w:sz w:val="24"/>
          <w:szCs w:val="24"/>
        </w:rPr>
        <w:t>如适用，请提供，格式见</w:t>
      </w:r>
      <w:r>
        <w:rPr>
          <w:rFonts w:hint="eastAsia" w:ascii="宋体" w:hAnsi="宋体" w:eastAsia="宋体" w:cs="宋体"/>
          <w:b/>
          <w:bCs/>
          <w:i w:val="0"/>
          <w:iCs w:val="0"/>
          <w:color w:val="auto"/>
          <w:sz w:val="24"/>
          <w:szCs w:val="24"/>
          <w:lang w:val="en-US" w:eastAsia="zh-CN"/>
        </w:rPr>
        <w:t>后</w:t>
      </w:r>
      <w:r>
        <w:rPr>
          <w:rFonts w:hint="eastAsia" w:ascii="宋体" w:hAnsi="宋体" w:eastAsia="宋体" w:cs="宋体"/>
          <w:b/>
          <w:bCs/>
          <w:i w:val="0"/>
          <w:iCs w:val="0"/>
          <w:color w:val="auto"/>
          <w:sz w:val="24"/>
          <w:szCs w:val="24"/>
        </w:rPr>
        <w:t>附件</w:t>
      </w:r>
      <w:r>
        <w:rPr>
          <w:rFonts w:hint="eastAsia" w:ascii="宋体" w:hAnsi="宋体" w:eastAsia="宋体" w:cs="宋体"/>
          <w:b/>
          <w:bCs/>
          <w:i w:val="0"/>
          <w:iCs w:val="0"/>
          <w:color w:val="auto"/>
          <w:sz w:val="24"/>
          <w:szCs w:val="24"/>
          <w:lang w:val="en-US" w:eastAsia="zh-CN"/>
        </w:rPr>
        <w:t>一）</w:t>
      </w:r>
    </w:p>
    <w:p w14:paraId="412830E0">
      <w:pPr>
        <w:pStyle w:val="42"/>
        <w:spacing w:line="360" w:lineRule="auto"/>
        <w:ind w:firstLine="149" w:firstLineChars="62"/>
        <w:jc w:val="left"/>
        <w:outlineLvl w:val="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lang w:val="en-US" w:eastAsia="zh-CN"/>
        </w:rPr>
        <w:t>1.</w:t>
      </w:r>
      <w:r>
        <w:rPr>
          <w:rFonts w:hint="eastAsia" w:ascii="宋体" w:hAnsi="宋体" w:eastAsia="宋体" w:cs="宋体"/>
          <w:b/>
          <w:bCs/>
          <w:i w:val="0"/>
          <w:iCs w:val="0"/>
          <w:color w:val="auto"/>
          <w:sz w:val="24"/>
          <w:szCs w:val="24"/>
        </w:rPr>
        <w:t>残疾人福利性单位声明函（如适用，请提供，格式见</w:t>
      </w:r>
      <w:r>
        <w:rPr>
          <w:rFonts w:hint="eastAsia" w:ascii="宋体" w:hAnsi="宋体" w:eastAsia="宋体" w:cs="宋体"/>
          <w:b/>
          <w:bCs/>
          <w:i w:val="0"/>
          <w:iCs w:val="0"/>
          <w:color w:val="auto"/>
          <w:sz w:val="24"/>
          <w:szCs w:val="24"/>
          <w:lang w:val="en-US" w:eastAsia="zh-CN"/>
        </w:rPr>
        <w:t>后</w:t>
      </w:r>
      <w:r>
        <w:rPr>
          <w:rFonts w:hint="eastAsia" w:ascii="宋体" w:hAnsi="宋体" w:eastAsia="宋体" w:cs="宋体"/>
          <w:b/>
          <w:bCs/>
          <w:i w:val="0"/>
          <w:iCs w:val="0"/>
          <w:color w:val="auto"/>
          <w:sz w:val="24"/>
          <w:szCs w:val="24"/>
        </w:rPr>
        <w:t>附件</w:t>
      </w:r>
      <w:r>
        <w:rPr>
          <w:rFonts w:hint="eastAsia" w:ascii="宋体" w:hAnsi="宋体" w:eastAsia="宋体" w:cs="宋体"/>
          <w:b/>
          <w:bCs/>
          <w:i w:val="0"/>
          <w:iCs w:val="0"/>
          <w:color w:val="auto"/>
          <w:sz w:val="24"/>
          <w:szCs w:val="24"/>
          <w:lang w:val="en-US" w:eastAsia="zh-CN"/>
        </w:rPr>
        <w:t>二</w:t>
      </w:r>
      <w:r>
        <w:rPr>
          <w:rFonts w:hint="eastAsia" w:ascii="宋体" w:hAnsi="宋体" w:eastAsia="宋体" w:cs="宋体"/>
          <w:b/>
          <w:bCs/>
          <w:i w:val="0"/>
          <w:iCs w:val="0"/>
          <w:color w:val="auto"/>
          <w:sz w:val="24"/>
          <w:szCs w:val="24"/>
        </w:rPr>
        <w:t>）；</w:t>
      </w:r>
      <w:bookmarkEnd w:id="100"/>
    </w:p>
    <w:p w14:paraId="652EF076">
      <w:pPr>
        <w:pStyle w:val="42"/>
        <w:spacing w:line="360" w:lineRule="auto"/>
        <w:ind w:firstLine="149" w:firstLineChars="62"/>
        <w:jc w:val="left"/>
        <w:outlineLvl w:val="9"/>
        <w:rPr>
          <w:rFonts w:hint="eastAsia" w:ascii="宋体" w:hAnsi="宋体" w:eastAsia="宋体" w:cs="宋体"/>
          <w:b/>
          <w:bCs/>
          <w:i w:val="0"/>
          <w:iCs w:val="0"/>
          <w:color w:val="auto"/>
          <w:sz w:val="24"/>
          <w:szCs w:val="24"/>
        </w:rPr>
      </w:pPr>
      <w:bookmarkStart w:id="101" w:name="_Toc2125"/>
      <w:r>
        <w:rPr>
          <w:rFonts w:hint="eastAsia" w:ascii="宋体" w:hAnsi="宋体" w:eastAsia="宋体" w:cs="宋体"/>
          <w:b/>
          <w:bCs/>
          <w:i w:val="0"/>
          <w:iCs w:val="0"/>
          <w:color w:val="auto"/>
          <w:sz w:val="24"/>
          <w:szCs w:val="24"/>
          <w:lang w:val="en-US" w:eastAsia="zh-CN"/>
        </w:rPr>
        <w:t>2</w:t>
      </w:r>
      <w:r>
        <w:rPr>
          <w:rFonts w:hint="eastAsia" w:ascii="宋体" w:hAnsi="宋体" w:eastAsia="宋体" w:cs="宋体"/>
          <w:b/>
          <w:bCs/>
          <w:i w:val="0"/>
          <w:iCs w:val="0"/>
          <w:color w:val="auto"/>
          <w:sz w:val="24"/>
          <w:szCs w:val="24"/>
        </w:rPr>
        <w:t>.监狱企业证明文件（如适用，请提供证明材料）；</w:t>
      </w:r>
      <w:bookmarkEnd w:id="101"/>
    </w:p>
    <w:p w14:paraId="3391D762">
      <w:pPr>
        <w:pStyle w:val="42"/>
        <w:spacing w:line="360" w:lineRule="auto"/>
        <w:ind w:firstLine="149" w:firstLineChars="62"/>
        <w:jc w:val="left"/>
        <w:outlineLvl w:val="9"/>
        <w:rPr>
          <w:rFonts w:hint="eastAsia" w:ascii="宋体" w:hAnsi="宋体" w:eastAsia="宋体" w:cs="宋体"/>
          <w:b/>
          <w:bCs/>
          <w:i w:val="0"/>
          <w:iCs w:val="0"/>
          <w:color w:val="auto"/>
          <w:sz w:val="24"/>
          <w:szCs w:val="24"/>
        </w:rPr>
      </w:pPr>
      <w:bookmarkStart w:id="102" w:name="_Toc29452"/>
      <w:r>
        <w:rPr>
          <w:rFonts w:hint="eastAsia" w:ascii="宋体" w:hAnsi="宋体" w:eastAsia="宋体" w:cs="宋体"/>
          <w:b/>
          <w:bCs/>
          <w:i w:val="0"/>
          <w:iCs w:val="0"/>
          <w:color w:val="auto"/>
          <w:sz w:val="24"/>
          <w:szCs w:val="24"/>
          <w:lang w:val="en-US" w:eastAsia="zh-CN"/>
        </w:rPr>
        <w:t>3</w:t>
      </w:r>
      <w:r>
        <w:rPr>
          <w:rFonts w:hint="eastAsia" w:ascii="宋体" w:hAnsi="宋体" w:eastAsia="宋体" w:cs="宋体"/>
          <w:b/>
          <w:bCs/>
          <w:i w:val="0"/>
          <w:iCs w:val="0"/>
          <w:color w:val="auto"/>
          <w:sz w:val="24"/>
          <w:szCs w:val="24"/>
        </w:rPr>
        <w:t>.节能产品和环境标志产品证明材料（如适用，请提供相关证明材料）；</w:t>
      </w:r>
      <w:bookmarkEnd w:id="102"/>
    </w:p>
    <w:p w14:paraId="785C5963">
      <w:pPr>
        <w:pStyle w:val="42"/>
        <w:spacing w:line="360" w:lineRule="auto"/>
        <w:ind w:firstLine="149" w:firstLineChars="62"/>
        <w:jc w:val="left"/>
        <w:outlineLvl w:val="9"/>
        <w:rPr>
          <w:rFonts w:hint="eastAsia" w:ascii="宋体" w:hAnsi="宋体" w:eastAsia="宋体" w:cs="宋体"/>
          <w:b/>
          <w:bCs/>
          <w:i w:val="0"/>
          <w:iCs w:val="0"/>
          <w:color w:val="auto"/>
          <w:sz w:val="24"/>
          <w:szCs w:val="24"/>
        </w:rPr>
        <w:sectPr>
          <w:headerReference r:id="rId24" w:type="first"/>
          <w:footerReference r:id="rId26" w:type="first"/>
          <w:headerReference r:id="rId23" w:type="default"/>
          <w:footerReference r:id="rId25" w:type="default"/>
          <w:pgSz w:w="11905" w:h="16838"/>
          <w:pgMar w:top="1440" w:right="1080" w:bottom="1440" w:left="1080" w:header="935" w:footer="771" w:gutter="567"/>
          <w:pgNumType w:fmt="decimal"/>
          <w:cols w:space="0" w:num="1"/>
          <w:titlePg/>
          <w:docGrid w:linePitch="312" w:charSpace="0"/>
        </w:sectPr>
      </w:pPr>
      <w:bookmarkStart w:id="103" w:name="_Toc23064"/>
      <w:r>
        <w:rPr>
          <w:rFonts w:hint="eastAsia" w:ascii="宋体" w:hAnsi="宋体" w:eastAsia="宋体" w:cs="宋体"/>
          <w:b/>
          <w:bCs/>
          <w:i w:val="0"/>
          <w:iCs w:val="0"/>
          <w:color w:val="auto"/>
          <w:sz w:val="24"/>
          <w:szCs w:val="24"/>
          <w:lang w:val="en-US" w:eastAsia="zh-CN"/>
        </w:rPr>
        <w:t>4</w:t>
      </w:r>
      <w:r>
        <w:rPr>
          <w:rFonts w:hint="eastAsia" w:ascii="宋体" w:hAnsi="宋体" w:eastAsia="宋体" w:cs="宋体"/>
          <w:b/>
          <w:bCs/>
          <w:i w:val="0"/>
          <w:iCs w:val="0"/>
          <w:color w:val="auto"/>
          <w:sz w:val="24"/>
          <w:szCs w:val="24"/>
        </w:rPr>
        <w:t>.其他资料。</w:t>
      </w:r>
      <w:bookmarkEnd w:id="103"/>
    </w:p>
    <w:p w14:paraId="4CCA675D">
      <w:pPr>
        <w:pStyle w:val="9"/>
        <w:numPr>
          <w:ilvl w:val="0"/>
          <w:numId w:val="0"/>
        </w:numPr>
        <w:spacing w:line="360" w:lineRule="auto"/>
        <w:jc w:val="both"/>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附件一《</w:t>
      </w:r>
      <w:r>
        <w:rPr>
          <w:rFonts w:hint="eastAsia" w:ascii="宋体" w:hAnsi="宋体" w:eastAsia="宋体" w:cs="宋体"/>
          <w:b w:val="0"/>
          <w:bCs w:val="0"/>
          <w:color w:val="auto"/>
          <w:kern w:val="0"/>
          <w:sz w:val="24"/>
          <w:szCs w:val="24"/>
          <w:highlight w:val="none"/>
          <w:lang w:val="en-US" w:eastAsia="en-US" w:bidi="ar-SA"/>
        </w:rPr>
        <w:t>中小企业声明函</w:t>
      </w:r>
      <w:r>
        <w:rPr>
          <w:rFonts w:hint="eastAsia" w:ascii="宋体" w:hAnsi="宋体" w:eastAsia="宋体" w:cs="宋体"/>
          <w:b w:val="0"/>
          <w:bCs w:val="0"/>
          <w:color w:val="auto"/>
          <w:kern w:val="0"/>
          <w:sz w:val="24"/>
          <w:szCs w:val="24"/>
          <w:highlight w:val="none"/>
          <w:lang w:val="en-US" w:eastAsia="zh-CN" w:bidi="ar-SA"/>
        </w:rPr>
        <w:t>》</w:t>
      </w:r>
    </w:p>
    <w:p w14:paraId="79BC838D">
      <w:pPr>
        <w:pStyle w:val="9"/>
        <w:numPr>
          <w:ilvl w:val="0"/>
          <w:numId w:val="0"/>
        </w:numPr>
        <w:spacing w:line="360" w:lineRule="auto"/>
        <w:jc w:val="center"/>
        <w:outlineLvl w:val="9"/>
        <w:rPr>
          <w:rFonts w:hint="eastAsia" w:ascii="宋体" w:hAnsi="宋体" w:eastAsia="宋体" w:cs="宋体"/>
          <w:b/>
          <w:bCs/>
          <w:color w:val="auto"/>
          <w:highlight w:val="none"/>
          <w:lang w:eastAsia="zh-CN"/>
        </w:rPr>
      </w:pPr>
      <w:r>
        <w:rPr>
          <w:rFonts w:hint="eastAsia" w:ascii="宋体" w:hAnsi="宋体" w:eastAsia="宋体" w:cs="宋体"/>
          <w:b/>
          <w:bCs/>
          <w:color w:val="auto"/>
          <w:kern w:val="2"/>
          <w:sz w:val="28"/>
          <w:szCs w:val="28"/>
          <w:highlight w:val="none"/>
          <w:lang w:val="en-US" w:eastAsia="en-US" w:bidi="ar-SA"/>
        </w:rPr>
        <w:t>中小企业声明函</w:t>
      </w:r>
      <w:r>
        <w:rPr>
          <w:rFonts w:hint="eastAsia" w:ascii="宋体" w:hAnsi="宋体" w:eastAsia="宋体" w:cs="宋体"/>
          <w:b/>
          <w:bCs/>
          <w:color w:val="auto"/>
          <w:kern w:val="2"/>
          <w:sz w:val="28"/>
          <w:szCs w:val="28"/>
          <w:highlight w:val="none"/>
          <w:lang w:val="en-US" w:eastAsia="zh-CN" w:bidi="ar-SA"/>
        </w:rPr>
        <w:t>（服务）</w:t>
      </w:r>
    </w:p>
    <w:p w14:paraId="1DEC51B4">
      <w:pPr>
        <w:numPr>
          <w:ilvl w:val="0"/>
          <w:numId w:val="0"/>
        </w:numPr>
        <w:spacing w:line="360" w:lineRule="auto"/>
        <w:ind w:firstLine="496" w:firstLineChars="200"/>
        <w:rPr>
          <w:rFonts w:hint="eastAsia" w:ascii="宋体" w:hAnsi="宋体" w:eastAsia="宋体" w:cs="宋体"/>
          <w:color w:val="auto"/>
          <w:spacing w:val="4"/>
          <w:sz w:val="24"/>
          <w:szCs w:val="20"/>
          <w:highlight w:val="none"/>
          <w:lang w:eastAsia="zh-CN"/>
        </w:rPr>
      </w:pPr>
      <w:r>
        <w:rPr>
          <w:rFonts w:hint="eastAsia" w:ascii="宋体" w:hAnsi="宋体" w:eastAsia="宋体" w:cs="宋体"/>
          <w:color w:val="auto"/>
          <w:spacing w:val="4"/>
          <w:sz w:val="24"/>
          <w:szCs w:val="20"/>
          <w:highlight w:val="none"/>
        </w:rPr>
        <w:t>本公司郑重声明，根据《政府采购促进中小企业发展管理办法》(财库( 2020 ) 46 号)的规定，本公司(联合体)参加</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rPr>
        <w:t xml:space="preserve"> (单位名称)的</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rPr>
        <w:t xml:space="preserve"> (项目名称)采购活动，服务全部由符合政策要求的中小企业承接)。相关企业(含联合体中的中小企业、签订分包意向协议的中小企业)的具体情况如下</w:t>
      </w:r>
      <w:r>
        <w:rPr>
          <w:rFonts w:hint="eastAsia" w:ascii="宋体" w:hAnsi="宋体" w:eastAsia="宋体" w:cs="宋体"/>
          <w:color w:val="auto"/>
          <w:spacing w:val="4"/>
          <w:sz w:val="24"/>
          <w:szCs w:val="20"/>
          <w:highlight w:val="none"/>
          <w:lang w:eastAsia="zh-CN"/>
        </w:rPr>
        <w:t>：</w:t>
      </w:r>
    </w:p>
    <w:p w14:paraId="53884686">
      <w:pPr>
        <w:numPr>
          <w:ilvl w:val="0"/>
          <w:numId w:val="8"/>
        </w:numPr>
        <w:spacing w:line="360" w:lineRule="auto"/>
        <w:ind w:firstLine="496" w:firstLineChars="200"/>
        <w:rPr>
          <w:rFonts w:hint="eastAsia" w:ascii="宋体" w:hAnsi="宋体" w:eastAsia="宋体" w:cs="宋体"/>
          <w:color w:val="auto"/>
          <w:spacing w:val="4"/>
          <w:sz w:val="24"/>
          <w:szCs w:val="20"/>
          <w:highlight w:val="none"/>
        </w:rPr>
      </w:pP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none"/>
        </w:rPr>
        <w:t>(</w:t>
      </w:r>
      <w:r>
        <w:rPr>
          <w:rFonts w:hint="eastAsia" w:ascii="宋体" w:hAnsi="宋体" w:eastAsia="宋体" w:cs="宋体"/>
          <w:color w:val="auto"/>
          <w:spacing w:val="4"/>
          <w:sz w:val="24"/>
          <w:szCs w:val="20"/>
          <w:highlight w:val="none"/>
        </w:rPr>
        <w:t>标的名称)，属于</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lang w:val="en-US" w:eastAsia="zh-CN"/>
        </w:rPr>
        <w:t xml:space="preserve"> </w:t>
      </w:r>
      <w:r>
        <w:rPr>
          <w:rFonts w:hint="eastAsia" w:ascii="宋体" w:hAnsi="宋体" w:eastAsia="宋体" w:cs="宋体"/>
          <w:color w:val="auto"/>
          <w:spacing w:val="4"/>
          <w:sz w:val="24"/>
          <w:szCs w:val="20"/>
          <w:highlight w:val="none"/>
        </w:rPr>
        <w:t>(采购文件中明确的所属行业)</w:t>
      </w:r>
      <w:r>
        <w:rPr>
          <w:rFonts w:hint="eastAsia" w:ascii="宋体" w:hAnsi="宋体" w:eastAsia="宋体" w:cs="宋体"/>
          <w:color w:val="auto"/>
          <w:spacing w:val="4"/>
          <w:sz w:val="24"/>
          <w:szCs w:val="20"/>
          <w:highlight w:val="none"/>
          <w:lang w:eastAsia="zh-CN"/>
        </w:rPr>
        <w:t>；</w:t>
      </w:r>
      <w:r>
        <w:rPr>
          <w:rFonts w:hint="eastAsia" w:ascii="宋体" w:hAnsi="宋体" w:eastAsia="宋体" w:cs="宋体"/>
          <w:color w:val="auto"/>
          <w:spacing w:val="4"/>
          <w:sz w:val="24"/>
          <w:szCs w:val="20"/>
          <w:highlight w:val="none"/>
        </w:rPr>
        <w:t>承接企业为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none"/>
        </w:rPr>
        <w:t>(企业名称)，从业人员</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人，营业收入为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万元， 资产总额为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万元， 属于</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 xml:space="preserve"> (中型企业</w:t>
      </w:r>
      <w:r>
        <w:rPr>
          <w:rFonts w:hint="eastAsia" w:ascii="宋体" w:hAnsi="宋体" w:eastAsia="宋体" w:cs="宋体"/>
          <w:color w:val="auto"/>
          <w:spacing w:val="4"/>
          <w:sz w:val="24"/>
          <w:szCs w:val="20"/>
          <w:highlight w:val="none"/>
        </w:rPr>
        <w:t>、小型企业、微型企业);</w:t>
      </w:r>
    </w:p>
    <w:p w14:paraId="4563296A">
      <w:pPr>
        <w:numPr>
          <w:ilvl w:val="0"/>
          <w:numId w:val="8"/>
        </w:numPr>
        <w:spacing w:line="360" w:lineRule="auto"/>
        <w:ind w:firstLine="496" w:firstLineChars="200"/>
        <w:rPr>
          <w:rFonts w:hint="eastAsia" w:ascii="宋体" w:hAnsi="宋体" w:eastAsia="宋体" w:cs="宋体"/>
          <w:color w:val="auto"/>
          <w:spacing w:val="4"/>
          <w:sz w:val="24"/>
          <w:szCs w:val="20"/>
          <w:highlight w:val="none"/>
        </w:rPr>
      </w:pP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none"/>
        </w:rPr>
        <w:t>(</w:t>
      </w:r>
      <w:r>
        <w:rPr>
          <w:rFonts w:hint="eastAsia" w:ascii="宋体" w:hAnsi="宋体" w:eastAsia="宋体" w:cs="宋体"/>
          <w:color w:val="auto"/>
          <w:spacing w:val="4"/>
          <w:sz w:val="24"/>
          <w:szCs w:val="20"/>
          <w:highlight w:val="none"/>
        </w:rPr>
        <w:t>标的名称)，属于</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lang w:val="en-US" w:eastAsia="zh-CN"/>
        </w:rPr>
        <w:t xml:space="preserve"> </w:t>
      </w:r>
      <w:r>
        <w:rPr>
          <w:rFonts w:hint="eastAsia" w:ascii="宋体" w:hAnsi="宋体" w:eastAsia="宋体" w:cs="宋体"/>
          <w:color w:val="auto"/>
          <w:spacing w:val="4"/>
          <w:sz w:val="24"/>
          <w:szCs w:val="20"/>
          <w:highlight w:val="none"/>
        </w:rPr>
        <w:t>(采购文件中明确的所属行业)</w:t>
      </w:r>
      <w:r>
        <w:rPr>
          <w:rFonts w:hint="eastAsia" w:ascii="宋体" w:hAnsi="宋体" w:eastAsia="宋体" w:cs="宋体"/>
          <w:color w:val="auto"/>
          <w:spacing w:val="4"/>
          <w:sz w:val="24"/>
          <w:szCs w:val="20"/>
          <w:highlight w:val="none"/>
          <w:lang w:eastAsia="zh-CN"/>
        </w:rPr>
        <w:t>；</w:t>
      </w:r>
      <w:r>
        <w:rPr>
          <w:rFonts w:hint="eastAsia" w:ascii="宋体" w:hAnsi="宋体" w:eastAsia="宋体" w:cs="宋体"/>
          <w:color w:val="auto"/>
          <w:spacing w:val="4"/>
          <w:sz w:val="24"/>
          <w:szCs w:val="20"/>
          <w:highlight w:val="none"/>
        </w:rPr>
        <w:t>承接企业为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none"/>
        </w:rPr>
        <w:t>(企业名称)，从业人员</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人，营业收入为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万元， 资产总额为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万元， 属于</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 xml:space="preserve"> (中型企业</w:t>
      </w:r>
      <w:r>
        <w:rPr>
          <w:rFonts w:hint="eastAsia" w:ascii="宋体" w:hAnsi="宋体" w:eastAsia="宋体" w:cs="宋体"/>
          <w:color w:val="auto"/>
          <w:spacing w:val="4"/>
          <w:sz w:val="24"/>
          <w:szCs w:val="20"/>
          <w:highlight w:val="none"/>
        </w:rPr>
        <w:t>、小型企业、微型企业);</w:t>
      </w:r>
    </w:p>
    <w:p w14:paraId="69E4BE93">
      <w:pPr>
        <w:spacing w:line="360" w:lineRule="auto"/>
        <w:ind w:firstLine="496" w:firstLineChars="200"/>
        <w:rPr>
          <w:rFonts w:hint="eastAsia" w:ascii="宋体" w:hAnsi="宋体" w:eastAsia="宋体" w:cs="宋体"/>
          <w:color w:val="auto"/>
          <w:spacing w:val="4"/>
          <w:sz w:val="24"/>
          <w:szCs w:val="20"/>
          <w:highlight w:val="none"/>
        </w:rPr>
      </w:pPr>
      <w:r>
        <w:rPr>
          <w:rFonts w:hint="eastAsia" w:ascii="宋体" w:hAnsi="宋体" w:eastAsia="宋体" w:cs="宋体"/>
          <w:color w:val="auto"/>
          <w:spacing w:val="4"/>
          <w:sz w:val="24"/>
          <w:szCs w:val="20"/>
          <w:highlight w:val="none"/>
        </w:rPr>
        <w:t>以上企业，不属于大企业的分支机构，不存在控股股东为大企业的情形，也不存在与大企业的负责人为同一人的情形。</w:t>
      </w:r>
    </w:p>
    <w:p w14:paraId="2E3A6411">
      <w:pPr>
        <w:spacing w:line="360" w:lineRule="auto"/>
        <w:ind w:firstLine="496" w:firstLineChars="200"/>
        <w:rPr>
          <w:rFonts w:hint="eastAsia" w:ascii="宋体" w:hAnsi="宋体" w:eastAsia="宋体" w:cs="宋体"/>
          <w:color w:val="auto"/>
          <w:spacing w:val="4"/>
          <w:sz w:val="24"/>
          <w:szCs w:val="20"/>
          <w:highlight w:val="none"/>
        </w:rPr>
      </w:pPr>
      <w:r>
        <w:rPr>
          <w:rFonts w:hint="eastAsia" w:ascii="宋体" w:hAnsi="宋体" w:eastAsia="宋体" w:cs="宋体"/>
          <w:color w:val="auto"/>
          <w:spacing w:val="4"/>
          <w:sz w:val="24"/>
          <w:szCs w:val="20"/>
          <w:highlight w:val="none"/>
        </w:rPr>
        <w:t xml:space="preserve">本企业对，上述声明内容的真实性负责。如有虚假，将依法承担相应责任。             </w:t>
      </w:r>
    </w:p>
    <w:p w14:paraId="78E85C3A">
      <w:pPr>
        <w:tabs>
          <w:tab w:val="left" w:pos="4860"/>
        </w:tabs>
        <w:spacing w:line="360" w:lineRule="auto"/>
        <w:ind w:right="1560" w:firstLine="496" w:firstLineChars="200"/>
        <w:jc w:val="center"/>
        <w:rPr>
          <w:rFonts w:hint="eastAsia" w:ascii="宋体" w:hAnsi="宋体" w:eastAsia="宋体" w:cs="宋体"/>
          <w:color w:val="auto"/>
          <w:spacing w:val="4"/>
          <w:sz w:val="24"/>
          <w:szCs w:val="20"/>
          <w:highlight w:val="none"/>
        </w:rPr>
      </w:pPr>
    </w:p>
    <w:p w14:paraId="2BAD9184">
      <w:pPr>
        <w:spacing w:before="156" w:beforeLines="50" w:after="156" w:afterLines="50" w:line="360" w:lineRule="auto"/>
        <w:ind w:left="4896" w:hanging="4896" w:hangingChars="1700"/>
        <w:rPr>
          <w:rFonts w:hint="eastAsia" w:ascii="宋体" w:hAnsi="宋体" w:eastAsia="宋体" w:cs="宋体"/>
          <w:color w:val="auto"/>
          <w:sz w:val="24"/>
          <w:szCs w:val="20"/>
          <w:highlight w:val="none"/>
        </w:rPr>
      </w:pP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4"/>
          <w:sz w:val="24"/>
          <w:szCs w:val="20"/>
          <w:highlight w:val="none"/>
          <w:lang w:val="en-US" w:eastAsia="zh-CN"/>
        </w:rPr>
        <w:t>供应商</w:t>
      </w:r>
      <w:r>
        <w:rPr>
          <w:rFonts w:hint="eastAsia" w:ascii="宋体" w:hAnsi="宋体" w:eastAsia="宋体" w:cs="宋体"/>
          <w:color w:val="auto"/>
          <w:spacing w:val="4"/>
          <w:sz w:val="24"/>
          <w:szCs w:val="20"/>
          <w:highlight w:val="none"/>
        </w:rPr>
        <w:t>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单位公章）</w:t>
      </w:r>
    </w:p>
    <w:p w14:paraId="77D610A2">
      <w:pPr>
        <w:spacing w:before="156" w:beforeLines="50" w:after="156" w:afterLines="50" w:line="360" w:lineRule="auto"/>
        <w:ind w:left="4640" w:leftChars="140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rPr>
        <w:t>日期：    年   月   日</w:t>
      </w:r>
    </w:p>
    <w:p w14:paraId="2AF10091">
      <w:pPr>
        <w:pStyle w:val="42"/>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p w14:paraId="1C51A942">
      <w:pPr>
        <w:pStyle w:val="42"/>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olor w:val="auto"/>
          <w:spacing w:val="4"/>
          <w:kern w:val="2"/>
          <w:sz w:val="24"/>
          <w:szCs w:val="24"/>
          <w:lang w:val="en-US" w:eastAsia="zh-CN" w:bidi="ar-SA"/>
        </w:rPr>
      </w:pPr>
      <w:r>
        <w:rPr>
          <w:rFonts w:hint="eastAsia" w:ascii="宋体" w:hAnsi="宋体" w:eastAsia="宋体" w:cs="宋体"/>
          <w:i w:val="0"/>
          <w:iCs w:val="0"/>
          <w:color w:val="auto"/>
          <w:spacing w:val="4"/>
          <w:kern w:val="2"/>
          <w:sz w:val="24"/>
          <w:szCs w:val="24"/>
          <w:lang w:val="en-US" w:eastAsia="zh-CN" w:bidi="ar-SA"/>
        </w:rPr>
        <w:t>1.从业人员、营业收入、资产总额填报上一年度数据，无上一年度数据的新成立企业可不填报。</w:t>
      </w:r>
    </w:p>
    <w:p w14:paraId="4FCF2E06">
      <w:pPr>
        <w:pStyle w:val="42"/>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olor w:val="auto"/>
          <w:spacing w:val="4"/>
          <w:kern w:val="2"/>
          <w:sz w:val="24"/>
          <w:szCs w:val="24"/>
          <w:lang w:val="en-US" w:eastAsia="zh-CN" w:bidi="ar-SA"/>
        </w:rPr>
      </w:pPr>
      <w:r>
        <w:rPr>
          <w:rFonts w:hint="eastAsia" w:ascii="宋体" w:hAnsi="宋体" w:eastAsia="宋体" w:cs="宋体"/>
          <w:i w:val="0"/>
          <w:iCs w:val="0"/>
          <w:color w:val="auto"/>
          <w:spacing w:val="4"/>
          <w:kern w:val="2"/>
          <w:sz w:val="24"/>
          <w:szCs w:val="24"/>
          <w:lang w:val="en-US" w:eastAsia="zh-CN" w:bidi="ar-SA"/>
        </w:rPr>
        <w:t>2.填写前请认真阅读《工业和信息化部、国家统计局、国家发展和改革委员会　财政部关于印发中小企业划型标准规定的通知》(工信部联企业〔2011〕300号)和《财政部、工业和信息化部关于印发〈政府采购促进中小企业发展管理办法〉的通知》（财库﹝2020﹞46 号）相关规定。</w:t>
      </w:r>
    </w:p>
    <w:p w14:paraId="279E1F08">
      <w:pPr>
        <w:pStyle w:val="42"/>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3.本项目采购标的对应的中小企业划分标准所属行业为</w:t>
      </w:r>
      <w:r>
        <w:rPr>
          <w:rFonts w:hint="eastAsia" w:ascii="宋体" w:hAnsi="宋体" w:cs="宋体"/>
          <w:b/>
          <w:bCs w:val="0"/>
          <w:color w:val="auto"/>
          <w:sz w:val="24"/>
          <w:szCs w:val="24"/>
          <w:highlight w:val="none"/>
          <w:lang w:val="en-US" w:eastAsia="zh-CN"/>
        </w:rPr>
        <w:t>信息传输业</w:t>
      </w:r>
      <w:r>
        <w:rPr>
          <w:rFonts w:hint="eastAsia" w:ascii="宋体" w:hAnsi="宋体" w:eastAsia="宋体" w:cs="宋体"/>
          <w:b/>
          <w:bCs w:val="0"/>
          <w:color w:val="auto"/>
          <w:sz w:val="24"/>
          <w:szCs w:val="24"/>
          <w:highlight w:val="none"/>
          <w:lang w:val="en-US" w:eastAsia="zh-CN"/>
        </w:rPr>
        <w:t>。（所属行业类别供应商不得更改，否则，造成不利影响供应商自行承担）</w:t>
      </w:r>
    </w:p>
    <w:p w14:paraId="6B2B5033">
      <w:pPr>
        <w:pStyle w:val="42"/>
        <w:spacing w:line="360" w:lineRule="auto"/>
        <w:ind w:firstLine="0" w:firstLineChars="0"/>
        <w:rPr>
          <w:rFonts w:hint="eastAsia" w:ascii="宋体" w:hAnsi="宋体" w:eastAsia="宋体" w:cs="宋体"/>
          <w:b/>
          <w:color w:val="auto"/>
          <w:sz w:val="20"/>
          <w:szCs w:val="16"/>
          <w:highlight w:val="none"/>
          <w:lang w:val="en-US" w:eastAsia="zh-CN"/>
        </w:rPr>
      </w:pPr>
    </w:p>
    <w:p w14:paraId="1CB7BC2D">
      <w:pPr>
        <w:pStyle w:val="42"/>
        <w:spacing w:line="360" w:lineRule="auto"/>
        <w:ind w:firstLine="0" w:firstLineChars="0"/>
        <w:rPr>
          <w:rFonts w:hint="eastAsia" w:ascii="宋体" w:hAnsi="宋体" w:eastAsia="宋体" w:cs="宋体"/>
          <w:b/>
          <w:color w:val="auto"/>
          <w:sz w:val="20"/>
          <w:szCs w:val="16"/>
          <w:highlight w:val="none"/>
          <w:lang w:val="en-US" w:eastAsia="zh-CN"/>
        </w:rPr>
      </w:pPr>
    </w:p>
    <w:p w14:paraId="2B63C5A5">
      <w:pPr>
        <w:pStyle w:val="42"/>
        <w:spacing w:line="360" w:lineRule="auto"/>
        <w:ind w:firstLine="0" w:firstLineChars="0"/>
        <w:rPr>
          <w:rFonts w:hint="eastAsia" w:ascii="宋体" w:hAnsi="宋体" w:eastAsia="宋体" w:cs="宋体"/>
          <w:b/>
          <w:color w:val="auto"/>
          <w:sz w:val="20"/>
          <w:szCs w:val="16"/>
          <w:highlight w:val="none"/>
          <w:lang w:val="en-US" w:eastAsia="zh-CN"/>
        </w:rPr>
      </w:pPr>
    </w:p>
    <w:p w14:paraId="4DAFD3D5">
      <w:pPr>
        <w:pStyle w:val="42"/>
        <w:spacing w:line="360" w:lineRule="auto"/>
        <w:ind w:firstLine="149" w:firstLineChars="62"/>
        <w:jc w:val="both"/>
        <w:outlineLvl w:val="9"/>
        <w:rPr>
          <w:rFonts w:hint="eastAsia" w:ascii="宋体" w:hAnsi="宋体" w:eastAsia="宋体" w:cs="宋体"/>
          <w:b/>
          <w:color w:val="auto"/>
          <w:spacing w:val="6"/>
          <w:szCs w:val="24"/>
          <w:highlight w:val="none"/>
        </w:rPr>
      </w:pPr>
      <w:r>
        <w:rPr>
          <w:rFonts w:hint="eastAsia" w:ascii="宋体" w:hAnsi="宋体" w:eastAsia="宋体" w:cs="宋体"/>
          <w:b/>
          <w:bCs/>
          <w:color w:val="auto"/>
          <w:kern w:val="0"/>
          <w:sz w:val="24"/>
          <w:szCs w:val="24"/>
          <w:highlight w:val="none"/>
          <w:lang w:val="en-US" w:eastAsia="zh-CN" w:bidi="ar-SA"/>
        </w:rPr>
        <w:t>附件二：《残疾人福利性单位声明函》（若有）</w:t>
      </w:r>
    </w:p>
    <w:p w14:paraId="28692F06">
      <w:pPr>
        <w:spacing w:line="360" w:lineRule="auto"/>
        <w:jc w:val="center"/>
        <w:rPr>
          <w:rFonts w:hint="eastAsia" w:ascii="宋体" w:hAnsi="宋体" w:eastAsia="宋体" w:cs="宋体"/>
          <w:b w:val="0"/>
          <w:bCs w:val="0"/>
          <w:color w:val="auto"/>
          <w:kern w:val="2"/>
          <w:sz w:val="24"/>
          <w:szCs w:val="24"/>
          <w:highlight w:val="none"/>
          <w:lang w:val="en-US" w:eastAsia="en-US" w:bidi="ar-SA"/>
        </w:rPr>
      </w:pPr>
    </w:p>
    <w:p w14:paraId="49D30792">
      <w:pPr>
        <w:spacing w:line="360" w:lineRule="auto"/>
        <w:jc w:val="center"/>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kern w:val="2"/>
          <w:sz w:val="24"/>
          <w:szCs w:val="24"/>
          <w:highlight w:val="none"/>
          <w:lang w:val="en-US" w:eastAsia="en-US" w:bidi="ar-SA"/>
        </w:rPr>
        <w:t>残疾人福利性单位声明函</w:t>
      </w:r>
    </w:p>
    <w:p w14:paraId="7BA72A1D">
      <w:pPr>
        <w:spacing w:line="360" w:lineRule="auto"/>
        <w:rPr>
          <w:rFonts w:hint="eastAsia" w:ascii="宋体" w:hAnsi="宋体" w:eastAsia="宋体" w:cs="宋体"/>
          <w:b/>
          <w:bCs/>
          <w:color w:val="auto"/>
          <w:kern w:val="2"/>
          <w:sz w:val="24"/>
          <w:szCs w:val="24"/>
          <w:highlight w:val="none"/>
          <w:lang w:val="en-US" w:eastAsia="en-US" w:bidi="ar-SA"/>
        </w:rPr>
      </w:pPr>
    </w:p>
    <w:p w14:paraId="1D3AFAA4">
      <w:pPr>
        <w:spacing w:line="360" w:lineRule="auto"/>
        <w:ind w:firstLine="504" w:firstLineChars="200"/>
        <w:rPr>
          <w:rFonts w:hint="eastAsia" w:ascii="宋体" w:hAnsi="宋体" w:eastAsia="宋体" w:cs="宋体"/>
          <w:color w:val="auto"/>
          <w:spacing w:val="6"/>
          <w:sz w:val="24"/>
          <w:szCs w:val="22"/>
          <w:highlight w:val="none"/>
        </w:rPr>
      </w:pPr>
      <w:r>
        <w:rPr>
          <w:rFonts w:hint="eastAsia" w:ascii="宋体" w:hAnsi="宋体" w:eastAsia="宋体" w:cs="宋体"/>
          <w:color w:val="auto"/>
          <w:spacing w:val="6"/>
          <w:sz w:val="24"/>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2"/>
          <w:highlight w:val="none"/>
        </w:rPr>
        <w:t>〔2017〕 141</w:t>
      </w:r>
      <w:r>
        <w:rPr>
          <w:rFonts w:hint="eastAsia" w:ascii="宋体" w:hAnsi="宋体" w:eastAsia="宋体" w:cs="宋体"/>
          <w:color w:val="auto"/>
          <w:spacing w:val="6"/>
          <w:sz w:val="24"/>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CB8085">
      <w:pPr>
        <w:spacing w:line="360" w:lineRule="auto"/>
        <w:ind w:firstLine="504" w:firstLineChars="200"/>
        <w:rPr>
          <w:rFonts w:hint="eastAsia" w:ascii="宋体" w:hAnsi="宋体" w:eastAsia="宋体" w:cs="宋体"/>
          <w:color w:val="auto"/>
          <w:spacing w:val="6"/>
          <w:sz w:val="24"/>
          <w:szCs w:val="22"/>
          <w:highlight w:val="none"/>
        </w:rPr>
      </w:pPr>
      <w:r>
        <w:rPr>
          <w:rFonts w:hint="eastAsia" w:ascii="宋体" w:hAnsi="宋体" w:eastAsia="宋体" w:cs="宋体"/>
          <w:color w:val="auto"/>
          <w:spacing w:val="6"/>
          <w:sz w:val="24"/>
          <w:szCs w:val="22"/>
          <w:highlight w:val="none"/>
        </w:rPr>
        <w:t>本单位对上述声明的真实性负责。如有虚假，将依法承担相应责任。</w:t>
      </w:r>
    </w:p>
    <w:p w14:paraId="18D45E36">
      <w:pPr>
        <w:spacing w:line="360" w:lineRule="auto"/>
        <w:ind w:firstLine="584" w:firstLineChars="200"/>
        <w:rPr>
          <w:rFonts w:hint="eastAsia" w:ascii="宋体" w:hAnsi="宋体" w:eastAsia="宋体" w:cs="宋体"/>
          <w:color w:val="auto"/>
          <w:spacing w:val="6"/>
          <w:szCs w:val="24"/>
          <w:highlight w:val="none"/>
        </w:rPr>
      </w:pPr>
    </w:p>
    <w:p w14:paraId="07CA6B4F">
      <w:pPr>
        <w:spacing w:line="360" w:lineRule="auto"/>
        <w:ind w:firstLine="584" w:firstLineChars="200"/>
        <w:rPr>
          <w:rFonts w:hint="eastAsia" w:ascii="宋体" w:hAnsi="宋体" w:eastAsia="宋体" w:cs="宋体"/>
          <w:color w:val="auto"/>
          <w:spacing w:val="6"/>
          <w:szCs w:val="24"/>
          <w:highlight w:val="none"/>
        </w:rPr>
      </w:pPr>
    </w:p>
    <w:p w14:paraId="7FAECBD2">
      <w:pPr>
        <w:spacing w:before="156" w:beforeLines="50" w:after="156" w:afterLines="50"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val="en-US" w:eastAsia="zh-CN"/>
        </w:rPr>
        <w:t xml:space="preserve">      供应商</w:t>
      </w:r>
      <w:r>
        <w:rPr>
          <w:rFonts w:hint="eastAsia" w:ascii="宋体" w:hAnsi="宋体" w:eastAsia="宋体" w:cs="宋体"/>
          <w:bCs/>
          <w:color w:val="auto"/>
          <w:sz w:val="24"/>
          <w:szCs w:val="24"/>
          <w:highlight w:val="none"/>
        </w:rPr>
        <w:t>名称</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06E61BD6">
      <w:pPr>
        <w:adjustRightInd w:val="0"/>
        <w:snapToGrid w:val="0"/>
        <w:spacing w:line="360" w:lineRule="auto"/>
        <w:ind w:right="420"/>
        <w:jc w:val="center"/>
        <w:rPr>
          <w:rFonts w:hint="eastAsia" w:ascii="宋体" w:hAnsi="宋体" w:eastAsia="宋体" w:cs="宋体"/>
        </w:rPr>
        <w:sectPr>
          <w:headerReference r:id="rId28" w:type="first"/>
          <w:footerReference r:id="rId30" w:type="first"/>
          <w:headerReference r:id="rId27" w:type="default"/>
          <w:footerReference r:id="rId29" w:type="default"/>
          <w:pgSz w:w="11905" w:h="16838"/>
          <w:pgMar w:top="1440" w:right="1080" w:bottom="1440" w:left="1080" w:header="624" w:footer="771" w:gutter="567"/>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14:paraId="4861BEA3">
      <w:pPr>
        <w:spacing w:line="600" w:lineRule="exact"/>
        <w:jc w:val="both"/>
        <w:rPr>
          <w:rFonts w:hint="eastAsia" w:ascii="宋体" w:hAnsi="宋体" w:eastAsia="宋体" w:cs="宋体"/>
          <w:b/>
          <w:sz w:val="24"/>
        </w:rPr>
      </w:pPr>
      <w:r>
        <w:rPr>
          <w:rFonts w:hint="eastAsia" w:ascii="宋体" w:hAnsi="宋体" w:eastAsia="宋体" w:cs="宋体"/>
          <w:b/>
          <w:sz w:val="24"/>
        </w:rPr>
        <w:t>监狱企业证明文件（若有）</w:t>
      </w:r>
    </w:p>
    <w:p w14:paraId="51D406F5">
      <w:pPr>
        <w:snapToGrid w:val="0"/>
        <w:spacing w:line="360" w:lineRule="auto"/>
        <w:ind w:firstLine="504" w:firstLineChars="200"/>
        <w:rPr>
          <w:rFonts w:hint="eastAsia" w:ascii="宋体" w:hAnsi="宋体" w:eastAsia="宋体" w:cs="宋体"/>
          <w:spacing w:val="6"/>
          <w:sz w:val="24"/>
        </w:rPr>
      </w:pPr>
    </w:p>
    <w:p w14:paraId="4959D84D">
      <w:pPr>
        <w:snapToGrid w:val="0"/>
        <w:spacing w:line="360" w:lineRule="auto"/>
        <w:ind w:firstLine="504" w:firstLineChars="200"/>
        <w:rPr>
          <w:rFonts w:hint="eastAsia" w:ascii="宋体" w:hAnsi="宋体" w:eastAsia="宋体" w:cs="宋体"/>
          <w:sz w:val="24"/>
        </w:rPr>
      </w:pPr>
      <w:r>
        <w:rPr>
          <w:rFonts w:hint="eastAsia" w:ascii="宋体" w:hAnsi="宋体" w:eastAsia="宋体" w:cs="宋体"/>
          <w:spacing w:val="6"/>
          <w:sz w:val="24"/>
        </w:rPr>
        <w:t xml:space="preserve"> 说明：根据</w:t>
      </w:r>
      <w:r>
        <w:rPr>
          <w:rFonts w:hint="eastAsia" w:ascii="宋体" w:hAnsi="宋体" w:eastAsia="宋体" w:cs="宋体"/>
          <w:sz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0F360C5C">
      <w:pPr>
        <w:spacing w:line="360" w:lineRule="auto"/>
        <w:outlineLvl w:val="1"/>
        <w:rPr>
          <w:rFonts w:hint="eastAsia" w:ascii="宋体" w:hAnsi="宋体" w:eastAsia="宋体" w:cs="宋体"/>
          <w:b/>
          <w:bCs/>
          <w:sz w:val="24"/>
          <w:szCs w:val="24"/>
        </w:rPr>
        <w:sectPr>
          <w:pgSz w:w="11905" w:h="16838"/>
          <w:pgMar w:top="1440" w:right="1080" w:bottom="1440" w:left="1080" w:header="624" w:footer="771" w:gutter="567"/>
          <w:pgBorders>
            <w:top w:val="none" w:sz="0" w:space="0"/>
            <w:left w:val="none" w:sz="0" w:space="0"/>
            <w:bottom w:val="none" w:sz="0" w:space="0"/>
            <w:right w:val="none" w:sz="0" w:space="0"/>
          </w:pgBorders>
          <w:cols w:space="0" w:num="1"/>
          <w:titlePg/>
          <w:rtlGutter w:val="0"/>
          <w:docGrid w:linePitch="312" w:charSpace="0"/>
        </w:sectPr>
      </w:pPr>
    </w:p>
    <w:p w14:paraId="0B31B335">
      <w:p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技术</w:t>
      </w:r>
      <w:r>
        <w:rPr>
          <w:rFonts w:hint="eastAsia" w:ascii="宋体" w:hAnsi="宋体" w:eastAsia="宋体" w:cs="宋体"/>
          <w:b/>
          <w:bCs/>
          <w:sz w:val="24"/>
          <w:szCs w:val="24"/>
        </w:rPr>
        <w:t>方案</w:t>
      </w:r>
    </w:p>
    <w:p w14:paraId="5D0A391D">
      <w:pPr>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（供应商根据评标办法及评分标准所有细则自拟、自行阐述）</w:t>
      </w:r>
    </w:p>
    <w:p w14:paraId="5F742E95">
      <w:pPr>
        <w:rPr>
          <w:rFonts w:hint="eastAsia" w:ascii="宋体" w:hAnsi="宋体" w:eastAsia="宋体" w:cs="宋体"/>
          <w:sz w:val="24"/>
          <w:szCs w:val="24"/>
        </w:rPr>
      </w:pPr>
    </w:p>
    <w:p w14:paraId="1514F2AA">
      <w:pPr>
        <w:rPr>
          <w:rFonts w:hint="eastAsia" w:ascii="宋体" w:hAnsi="宋体" w:eastAsia="宋体" w:cs="宋体"/>
          <w:b/>
          <w:bCs/>
          <w:sz w:val="24"/>
          <w:szCs w:val="24"/>
        </w:rPr>
      </w:pPr>
    </w:p>
    <w:p w14:paraId="15EDF04C">
      <w:pPr>
        <w:pStyle w:val="20"/>
        <w:rPr>
          <w:rFonts w:hint="eastAsia" w:ascii="宋体" w:hAnsi="宋体" w:eastAsia="宋体" w:cs="宋体"/>
          <w:sz w:val="24"/>
          <w:szCs w:val="24"/>
        </w:rPr>
      </w:pPr>
    </w:p>
    <w:p w14:paraId="479BB63B">
      <w:pPr>
        <w:pStyle w:val="20"/>
        <w:rPr>
          <w:rFonts w:hint="eastAsia" w:ascii="宋体" w:hAnsi="宋体" w:eastAsia="宋体" w:cs="宋体"/>
          <w:sz w:val="24"/>
          <w:szCs w:val="24"/>
        </w:rPr>
      </w:pPr>
    </w:p>
    <w:p w14:paraId="0E5C6EF0">
      <w:pPr>
        <w:pStyle w:val="20"/>
        <w:rPr>
          <w:rFonts w:hint="eastAsia" w:ascii="宋体" w:hAnsi="宋体" w:eastAsia="宋体" w:cs="宋体"/>
          <w:sz w:val="24"/>
          <w:szCs w:val="24"/>
        </w:rPr>
      </w:pPr>
    </w:p>
    <w:p w14:paraId="2C744513">
      <w:pPr>
        <w:pStyle w:val="20"/>
        <w:rPr>
          <w:rFonts w:hint="eastAsia" w:ascii="宋体" w:hAnsi="宋体" w:eastAsia="宋体" w:cs="宋体"/>
          <w:sz w:val="24"/>
          <w:szCs w:val="24"/>
        </w:rPr>
      </w:pPr>
    </w:p>
    <w:p w14:paraId="526607BC">
      <w:pPr>
        <w:pStyle w:val="20"/>
        <w:rPr>
          <w:rFonts w:hint="eastAsia" w:ascii="宋体" w:hAnsi="宋体" w:eastAsia="宋体" w:cs="宋体"/>
          <w:sz w:val="24"/>
          <w:szCs w:val="24"/>
        </w:rPr>
      </w:pPr>
    </w:p>
    <w:p w14:paraId="78693C83">
      <w:pPr>
        <w:pStyle w:val="20"/>
        <w:rPr>
          <w:rFonts w:hint="eastAsia" w:ascii="宋体" w:hAnsi="宋体" w:eastAsia="宋体" w:cs="宋体"/>
          <w:sz w:val="24"/>
          <w:szCs w:val="24"/>
        </w:rPr>
      </w:pPr>
    </w:p>
    <w:p w14:paraId="7D237C5C">
      <w:pPr>
        <w:pStyle w:val="20"/>
        <w:rPr>
          <w:rFonts w:hint="eastAsia" w:ascii="宋体" w:hAnsi="宋体" w:eastAsia="宋体" w:cs="宋体"/>
          <w:sz w:val="24"/>
          <w:szCs w:val="24"/>
        </w:rPr>
      </w:pPr>
    </w:p>
    <w:p w14:paraId="2D7088B2">
      <w:pPr>
        <w:pStyle w:val="11"/>
        <w:rPr>
          <w:rFonts w:hint="eastAsia" w:ascii="宋体" w:hAnsi="宋体" w:eastAsia="宋体" w:cs="宋体"/>
          <w:b/>
          <w:sz w:val="24"/>
          <w:szCs w:val="24"/>
        </w:rPr>
      </w:pPr>
    </w:p>
    <w:p w14:paraId="5E1C534A">
      <w:pPr>
        <w:rPr>
          <w:rFonts w:hint="eastAsia" w:ascii="宋体" w:hAnsi="宋体" w:eastAsia="宋体" w:cs="宋体"/>
          <w:b/>
          <w:sz w:val="24"/>
          <w:szCs w:val="24"/>
        </w:rPr>
      </w:pPr>
    </w:p>
    <w:p w14:paraId="7BA25EC8">
      <w:pPr>
        <w:pStyle w:val="2"/>
        <w:rPr>
          <w:rFonts w:hint="eastAsia" w:ascii="宋体" w:hAnsi="宋体" w:eastAsia="宋体" w:cs="宋体"/>
          <w:b/>
          <w:sz w:val="24"/>
          <w:szCs w:val="24"/>
        </w:rPr>
      </w:pPr>
    </w:p>
    <w:p w14:paraId="0A4E25D5">
      <w:pPr>
        <w:pStyle w:val="23"/>
        <w:rPr>
          <w:rFonts w:hint="eastAsia" w:ascii="宋体" w:hAnsi="宋体" w:eastAsia="宋体" w:cs="宋体"/>
          <w:b/>
          <w:sz w:val="24"/>
          <w:szCs w:val="24"/>
        </w:rPr>
      </w:pPr>
    </w:p>
    <w:p w14:paraId="5441D852">
      <w:pPr>
        <w:pStyle w:val="2"/>
        <w:rPr>
          <w:rFonts w:hint="eastAsia" w:ascii="宋体" w:hAnsi="宋体" w:eastAsia="宋体" w:cs="宋体"/>
          <w:b/>
          <w:sz w:val="24"/>
          <w:szCs w:val="24"/>
        </w:rPr>
      </w:pPr>
    </w:p>
    <w:p w14:paraId="1578E156">
      <w:pPr>
        <w:pStyle w:val="23"/>
        <w:rPr>
          <w:rFonts w:hint="eastAsia" w:ascii="宋体" w:hAnsi="宋体" w:eastAsia="宋体" w:cs="宋体"/>
          <w:b/>
          <w:sz w:val="24"/>
          <w:szCs w:val="24"/>
        </w:rPr>
      </w:pPr>
    </w:p>
    <w:p w14:paraId="23EDF6D9">
      <w:pPr>
        <w:pStyle w:val="2"/>
        <w:rPr>
          <w:rFonts w:hint="eastAsia" w:ascii="宋体" w:hAnsi="宋体" w:eastAsia="宋体" w:cs="宋体"/>
          <w:b/>
          <w:sz w:val="24"/>
          <w:szCs w:val="24"/>
        </w:rPr>
      </w:pPr>
    </w:p>
    <w:p w14:paraId="117F7F57">
      <w:pPr>
        <w:pStyle w:val="23"/>
        <w:rPr>
          <w:rFonts w:hint="eastAsia" w:ascii="宋体" w:hAnsi="宋体" w:eastAsia="宋体" w:cs="宋体"/>
          <w:b/>
          <w:sz w:val="24"/>
          <w:szCs w:val="24"/>
        </w:rPr>
      </w:pPr>
    </w:p>
    <w:p w14:paraId="4292B5E6">
      <w:pPr>
        <w:pStyle w:val="2"/>
        <w:rPr>
          <w:rFonts w:hint="eastAsia" w:ascii="宋体" w:hAnsi="宋体" w:eastAsia="宋体" w:cs="宋体"/>
          <w:b/>
          <w:sz w:val="24"/>
          <w:szCs w:val="24"/>
        </w:rPr>
      </w:pPr>
    </w:p>
    <w:p w14:paraId="1423E219">
      <w:pPr>
        <w:pStyle w:val="23"/>
        <w:rPr>
          <w:rFonts w:hint="eastAsia" w:ascii="宋体" w:hAnsi="宋体" w:eastAsia="宋体" w:cs="宋体"/>
          <w:b/>
          <w:sz w:val="24"/>
          <w:szCs w:val="24"/>
        </w:rPr>
      </w:pPr>
    </w:p>
    <w:p w14:paraId="49D9113D">
      <w:pPr>
        <w:pStyle w:val="2"/>
        <w:rPr>
          <w:rFonts w:hint="eastAsia" w:ascii="宋体" w:hAnsi="宋体" w:eastAsia="宋体" w:cs="宋体"/>
          <w:b/>
          <w:sz w:val="24"/>
          <w:szCs w:val="24"/>
        </w:rPr>
      </w:pPr>
    </w:p>
    <w:p w14:paraId="53B9074F">
      <w:pPr>
        <w:rPr>
          <w:rFonts w:hint="eastAsia" w:ascii="宋体" w:hAnsi="宋体" w:eastAsia="宋体" w:cs="宋体"/>
          <w:sz w:val="24"/>
          <w:szCs w:val="24"/>
        </w:rPr>
      </w:pPr>
    </w:p>
    <w:p w14:paraId="53C5C33A">
      <w:pPr>
        <w:pStyle w:val="2"/>
        <w:ind w:left="0" w:leftChars="0" w:firstLine="0" w:firstLineChars="0"/>
        <w:rPr>
          <w:rFonts w:hint="eastAsia" w:ascii="宋体" w:hAnsi="宋体" w:eastAsia="宋体" w:cs="宋体"/>
          <w:b/>
          <w:bCs/>
          <w:kern w:val="2"/>
          <w:sz w:val="24"/>
          <w:szCs w:val="24"/>
          <w:lang w:val="en-US" w:eastAsia="zh-CN" w:bidi="ar-SA"/>
        </w:rPr>
      </w:pPr>
    </w:p>
    <w:p w14:paraId="394DEE8E">
      <w:pPr>
        <w:pStyle w:val="2"/>
        <w:ind w:left="0" w:leftChars="0" w:firstLine="0" w:firstLineChars="0"/>
        <w:rPr>
          <w:rFonts w:hint="eastAsia" w:ascii="宋体" w:hAnsi="宋体" w:eastAsia="宋体" w:cs="宋体"/>
          <w:b/>
          <w:bCs/>
          <w:kern w:val="2"/>
          <w:sz w:val="24"/>
          <w:szCs w:val="24"/>
          <w:lang w:val="en-US" w:eastAsia="zh-CN" w:bidi="ar-SA"/>
        </w:rPr>
      </w:pPr>
    </w:p>
    <w:p w14:paraId="4279A6B4">
      <w:pPr>
        <w:pStyle w:val="2"/>
        <w:ind w:left="0" w:leftChars="0" w:firstLine="0" w:firstLineChars="0"/>
        <w:rPr>
          <w:rFonts w:hint="eastAsia" w:ascii="宋体" w:hAnsi="宋体" w:eastAsia="宋体" w:cs="宋体"/>
          <w:b/>
          <w:bCs/>
          <w:kern w:val="2"/>
          <w:sz w:val="24"/>
          <w:szCs w:val="24"/>
          <w:lang w:val="en-US" w:eastAsia="zh-CN" w:bidi="ar-SA"/>
        </w:rPr>
      </w:pPr>
    </w:p>
    <w:p w14:paraId="116BEFF1">
      <w:pPr>
        <w:pStyle w:val="2"/>
        <w:ind w:left="0" w:leftChars="0" w:firstLine="0" w:firstLineChars="0"/>
        <w:rPr>
          <w:rFonts w:hint="eastAsia" w:ascii="宋体" w:hAnsi="宋体" w:eastAsia="宋体" w:cs="宋体"/>
          <w:b/>
          <w:bCs/>
          <w:kern w:val="2"/>
          <w:sz w:val="24"/>
          <w:szCs w:val="24"/>
          <w:lang w:val="en-US" w:eastAsia="zh-CN" w:bidi="ar-SA"/>
        </w:rPr>
      </w:pPr>
    </w:p>
    <w:p w14:paraId="7DA3F063">
      <w:pPr>
        <w:jc w:val="center"/>
        <w:rPr>
          <w:rFonts w:hint="eastAsia" w:ascii="宋体" w:hAnsi="宋体" w:eastAsia="宋体" w:cs="宋体"/>
        </w:rPr>
      </w:pPr>
    </w:p>
    <w:p w14:paraId="52059751">
      <w:pPr>
        <w:jc w:val="center"/>
        <w:rPr>
          <w:rFonts w:hint="eastAsia" w:ascii="宋体" w:hAnsi="宋体" w:eastAsia="宋体" w:cs="宋体"/>
        </w:rPr>
      </w:pPr>
    </w:p>
    <w:p w14:paraId="458412B2">
      <w:pPr>
        <w:jc w:val="center"/>
        <w:rPr>
          <w:rFonts w:hint="eastAsia" w:ascii="宋体" w:hAnsi="宋体" w:eastAsia="宋体" w:cs="宋体"/>
        </w:rPr>
      </w:pPr>
    </w:p>
    <w:p w14:paraId="5A98B5C1">
      <w:pPr>
        <w:jc w:val="center"/>
        <w:rPr>
          <w:rFonts w:hint="eastAsia" w:ascii="宋体" w:hAnsi="宋体" w:eastAsia="宋体" w:cs="宋体"/>
        </w:rPr>
      </w:pPr>
    </w:p>
    <w:p w14:paraId="2BACB9B3">
      <w:pPr>
        <w:jc w:val="center"/>
        <w:rPr>
          <w:rFonts w:hint="eastAsia" w:ascii="宋体" w:hAnsi="宋体" w:eastAsia="宋体" w:cs="宋体"/>
        </w:rPr>
      </w:pPr>
    </w:p>
    <w:p w14:paraId="6872269B">
      <w:pPr>
        <w:jc w:val="center"/>
        <w:rPr>
          <w:rFonts w:hint="eastAsia" w:ascii="宋体" w:hAnsi="宋体" w:eastAsia="宋体" w:cs="宋体"/>
        </w:rPr>
      </w:pPr>
    </w:p>
    <w:p w14:paraId="3DFFB2F8">
      <w:pPr>
        <w:jc w:val="center"/>
        <w:rPr>
          <w:rFonts w:hint="eastAsia" w:ascii="宋体" w:hAnsi="宋体" w:eastAsia="宋体" w:cs="宋体"/>
        </w:rPr>
      </w:pPr>
    </w:p>
    <w:p w14:paraId="4EF2D57D">
      <w:pPr>
        <w:jc w:val="center"/>
        <w:rPr>
          <w:rFonts w:hint="eastAsia" w:ascii="宋体" w:hAnsi="宋体" w:eastAsia="宋体" w:cs="宋体"/>
        </w:rPr>
      </w:pPr>
    </w:p>
    <w:p w14:paraId="548D5B0D">
      <w:pPr>
        <w:jc w:val="center"/>
        <w:rPr>
          <w:rFonts w:hint="eastAsia" w:ascii="宋体" w:hAnsi="宋体" w:eastAsia="宋体" w:cs="宋体"/>
        </w:rPr>
      </w:pPr>
    </w:p>
    <w:p w14:paraId="4EA7565F">
      <w:pPr>
        <w:jc w:val="center"/>
        <w:rPr>
          <w:rFonts w:hint="eastAsia" w:ascii="宋体" w:hAnsi="宋体" w:eastAsia="宋体" w:cs="宋体"/>
        </w:rPr>
      </w:pPr>
    </w:p>
    <w:p w14:paraId="046DFF5E">
      <w:pPr>
        <w:jc w:val="center"/>
        <w:rPr>
          <w:rFonts w:hint="eastAsia" w:ascii="宋体" w:hAnsi="宋体" w:eastAsia="宋体" w:cs="宋体"/>
        </w:rPr>
      </w:pPr>
    </w:p>
    <w:p w14:paraId="1431224B">
      <w:pPr>
        <w:jc w:val="center"/>
        <w:rPr>
          <w:rFonts w:hint="eastAsia" w:ascii="宋体" w:hAnsi="宋体" w:eastAsia="宋体" w:cs="宋体"/>
        </w:rPr>
      </w:pPr>
    </w:p>
    <w:p w14:paraId="5F821F8B">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7ABA3A2A">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拟投入本项目专业人员及情况汇总表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028"/>
        <w:gridCol w:w="1050"/>
        <w:gridCol w:w="1072"/>
        <w:gridCol w:w="1628"/>
        <w:gridCol w:w="1972"/>
        <w:gridCol w:w="1092"/>
      </w:tblGrid>
      <w:tr w14:paraId="5CE6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243E04C0">
            <w:pPr>
              <w:pStyle w:val="11"/>
              <w:jc w:val="center"/>
              <w:rPr>
                <w:rFonts w:hint="default"/>
                <w:vertAlign w:val="baseline"/>
                <w:lang w:val="en-US" w:eastAsia="zh-CN"/>
              </w:rPr>
            </w:pPr>
            <w:r>
              <w:rPr>
                <w:rFonts w:hint="eastAsia"/>
                <w:vertAlign w:val="baseline"/>
                <w:lang w:val="en-US" w:eastAsia="zh-CN"/>
              </w:rPr>
              <w:t>序号</w:t>
            </w:r>
          </w:p>
        </w:tc>
        <w:tc>
          <w:tcPr>
            <w:tcW w:w="1028" w:type="dxa"/>
            <w:vAlign w:val="center"/>
          </w:tcPr>
          <w:p w14:paraId="0FA739AD">
            <w:pPr>
              <w:pStyle w:val="11"/>
              <w:jc w:val="center"/>
              <w:rPr>
                <w:rFonts w:hint="default"/>
                <w:vertAlign w:val="baseline"/>
                <w:lang w:val="en-US" w:eastAsia="zh-CN"/>
              </w:rPr>
            </w:pPr>
            <w:r>
              <w:rPr>
                <w:rFonts w:hint="eastAsia"/>
                <w:vertAlign w:val="baseline"/>
                <w:lang w:val="en-US" w:eastAsia="zh-CN"/>
              </w:rPr>
              <w:t>姓名</w:t>
            </w:r>
          </w:p>
        </w:tc>
        <w:tc>
          <w:tcPr>
            <w:tcW w:w="1050" w:type="dxa"/>
            <w:vAlign w:val="center"/>
          </w:tcPr>
          <w:p w14:paraId="605B3592">
            <w:pPr>
              <w:pStyle w:val="11"/>
              <w:jc w:val="center"/>
              <w:rPr>
                <w:rFonts w:hint="default"/>
                <w:vertAlign w:val="baseline"/>
                <w:lang w:val="en-US" w:eastAsia="zh-CN"/>
              </w:rPr>
            </w:pPr>
            <w:r>
              <w:rPr>
                <w:rFonts w:hint="eastAsia"/>
                <w:vertAlign w:val="baseline"/>
                <w:lang w:val="en-US" w:eastAsia="zh-CN"/>
              </w:rPr>
              <w:t>年龄</w:t>
            </w:r>
          </w:p>
        </w:tc>
        <w:tc>
          <w:tcPr>
            <w:tcW w:w="1072" w:type="dxa"/>
            <w:vAlign w:val="center"/>
          </w:tcPr>
          <w:p w14:paraId="5BE5AE3E">
            <w:pPr>
              <w:pStyle w:val="11"/>
              <w:jc w:val="center"/>
              <w:rPr>
                <w:rFonts w:hint="default"/>
                <w:vertAlign w:val="baseline"/>
                <w:lang w:val="en-US" w:eastAsia="zh-CN"/>
              </w:rPr>
            </w:pPr>
            <w:r>
              <w:rPr>
                <w:rFonts w:hint="eastAsia"/>
                <w:vertAlign w:val="baseline"/>
                <w:lang w:val="en-US" w:eastAsia="zh-CN"/>
              </w:rPr>
              <w:t>专业</w:t>
            </w:r>
          </w:p>
        </w:tc>
        <w:tc>
          <w:tcPr>
            <w:tcW w:w="1628" w:type="dxa"/>
            <w:vAlign w:val="center"/>
          </w:tcPr>
          <w:p w14:paraId="03643E46">
            <w:pPr>
              <w:pStyle w:val="11"/>
              <w:jc w:val="center"/>
              <w:rPr>
                <w:rFonts w:hint="default"/>
                <w:vertAlign w:val="baseline"/>
                <w:lang w:val="en-US" w:eastAsia="zh-CN"/>
              </w:rPr>
            </w:pPr>
            <w:r>
              <w:rPr>
                <w:rFonts w:hint="eastAsia"/>
                <w:vertAlign w:val="baseline"/>
                <w:lang w:val="en-US" w:eastAsia="zh-CN"/>
              </w:rPr>
              <w:t>在本项目担任职务</w:t>
            </w:r>
          </w:p>
        </w:tc>
        <w:tc>
          <w:tcPr>
            <w:tcW w:w="1972" w:type="dxa"/>
            <w:vAlign w:val="center"/>
          </w:tcPr>
          <w:p w14:paraId="7FE0579A">
            <w:pPr>
              <w:pStyle w:val="11"/>
              <w:jc w:val="center"/>
              <w:rPr>
                <w:rFonts w:hint="default"/>
                <w:vertAlign w:val="baseline"/>
                <w:lang w:val="en-US" w:eastAsia="zh-CN"/>
              </w:rPr>
            </w:pPr>
            <w:r>
              <w:rPr>
                <w:rFonts w:hint="eastAsia"/>
                <w:vertAlign w:val="baseline"/>
                <w:lang w:val="en-US" w:eastAsia="zh-CN"/>
              </w:rPr>
              <w:t>从事相关行业年限</w:t>
            </w:r>
          </w:p>
        </w:tc>
        <w:tc>
          <w:tcPr>
            <w:tcW w:w="1092" w:type="dxa"/>
            <w:vAlign w:val="center"/>
          </w:tcPr>
          <w:p w14:paraId="7FA0CC4C">
            <w:pPr>
              <w:pStyle w:val="11"/>
              <w:jc w:val="center"/>
              <w:rPr>
                <w:rFonts w:hint="default"/>
                <w:vertAlign w:val="baseline"/>
                <w:lang w:val="en-US" w:eastAsia="zh-CN"/>
              </w:rPr>
            </w:pPr>
            <w:r>
              <w:rPr>
                <w:rFonts w:hint="eastAsia"/>
                <w:vertAlign w:val="baseline"/>
                <w:lang w:val="en-US" w:eastAsia="zh-CN"/>
              </w:rPr>
              <w:t>备注</w:t>
            </w:r>
          </w:p>
        </w:tc>
      </w:tr>
      <w:tr w14:paraId="5F00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C16D6DF">
            <w:pPr>
              <w:pStyle w:val="11"/>
              <w:rPr>
                <w:rFonts w:hint="eastAsia"/>
                <w:vertAlign w:val="baseline"/>
                <w:lang w:val="en-US" w:eastAsia="zh-CN"/>
              </w:rPr>
            </w:pPr>
          </w:p>
        </w:tc>
        <w:tc>
          <w:tcPr>
            <w:tcW w:w="1028" w:type="dxa"/>
          </w:tcPr>
          <w:p w14:paraId="0411D157">
            <w:pPr>
              <w:pStyle w:val="11"/>
              <w:rPr>
                <w:rFonts w:hint="eastAsia"/>
                <w:vertAlign w:val="baseline"/>
                <w:lang w:val="en-US" w:eastAsia="zh-CN"/>
              </w:rPr>
            </w:pPr>
          </w:p>
        </w:tc>
        <w:tc>
          <w:tcPr>
            <w:tcW w:w="1050" w:type="dxa"/>
          </w:tcPr>
          <w:p w14:paraId="3528D52C">
            <w:pPr>
              <w:pStyle w:val="11"/>
              <w:rPr>
                <w:rFonts w:hint="eastAsia"/>
                <w:vertAlign w:val="baseline"/>
                <w:lang w:val="en-US" w:eastAsia="zh-CN"/>
              </w:rPr>
            </w:pPr>
          </w:p>
        </w:tc>
        <w:tc>
          <w:tcPr>
            <w:tcW w:w="1072" w:type="dxa"/>
          </w:tcPr>
          <w:p w14:paraId="25DE14C4">
            <w:pPr>
              <w:pStyle w:val="11"/>
              <w:rPr>
                <w:rFonts w:hint="eastAsia"/>
                <w:vertAlign w:val="baseline"/>
                <w:lang w:val="en-US" w:eastAsia="zh-CN"/>
              </w:rPr>
            </w:pPr>
          </w:p>
        </w:tc>
        <w:tc>
          <w:tcPr>
            <w:tcW w:w="1628" w:type="dxa"/>
          </w:tcPr>
          <w:p w14:paraId="4E515B26">
            <w:pPr>
              <w:pStyle w:val="11"/>
              <w:rPr>
                <w:rFonts w:hint="eastAsia"/>
                <w:vertAlign w:val="baseline"/>
                <w:lang w:val="en-US" w:eastAsia="zh-CN"/>
              </w:rPr>
            </w:pPr>
          </w:p>
        </w:tc>
        <w:tc>
          <w:tcPr>
            <w:tcW w:w="1972" w:type="dxa"/>
          </w:tcPr>
          <w:p w14:paraId="658AF34E">
            <w:pPr>
              <w:pStyle w:val="11"/>
              <w:rPr>
                <w:rFonts w:hint="eastAsia"/>
                <w:vertAlign w:val="baseline"/>
                <w:lang w:val="en-US" w:eastAsia="zh-CN"/>
              </w:rPr>
            </w:pPr>
          </w:p>
        </w:tc>
        <w:tc>
          <w:tcPr>
            <w:tcW w:w="1092" w:type="dxa"/>
          </w:tcPr>
          <w:p w14:paraId="31F6D059">
            <w:pPr>
              <w:pStyle w:val="11"/>
              <w:rPr>
                <w:rFonts w:hint="eastAsia"/>
                <w:vertAlign w:val="baseline"/>
                <w:lang w:val="en-US" w:eastAsia="zh-CN"/>
              </w:rPr>
            </w:pPr>
          </w:p>
        </w:tc>
      </w:tr>
      <w:tr w14:paraId="44A2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2D9E75F8">
            <w:pPr>
              <w:pStyle w:val="11"/>
              <w:rPr>
                <w:rFonts w:hint="eastAsia"/>
                <w:vertAlign w:val="baseline"/>
                <w:lang w:val="en-US" w:eastAsia="zh-CN"/>
              </w:rPr>
            </w:pPr>
          </w:p>
        </w:tc>
        <w:tc>
          <w:tcPr>
            <w:tcW w:w="1028" w:type="dxa"/>
          </w:tcPr>
          <w:p w14:paraId="7E34589A">
            <w:pPr>
              <w:pStyle w:val="11"/>
              <w:rPr>
                <w:rFonts w:hint="eastAsia"/>
                <w:vertAlign w:val="baseline"/>
                <w:lang w:val="en-US" w:eastAsia="zh-CN"/>
              </w:rPr>
            </w:pPr>
          </w:p>
        </w:tc>
        <w:tc>
          <w:tcPr>
            <w:tcW w:w="1050" w:type="dxa"/>
          </w:tcPr>
          <w:p w14:paraId="7EC5AB7F">
            <w:pPr>
              <w:pStyle w:val="11"/>
              <w:rPr>
                <w:rFonts w:hint="eastAsia"/>
                <w:vertAlign w:val="baseline"/>
                <w:lang w:val="en-US" w:eastAsia="zh-CN"/>
              </w:rPr>
            </w:pPr>
          </w:p>
        </w:tc>
        <w:tc>
          <w:tcPr>
            <w:tcW w:w="1072" w:type="dxa"/>
          </w:tcPr>
          <w:p w14:paraId="57D78A74">
            <w:pPr>
              <w:pStyle w:val="11"/>
              <w:rPr>
                <w:rFonts w:hint="eastAsia"/>
                <w:vertAlign w:val="baseline"/>
                <w:lang w:val="en-US" w:eastAsia="zh-CN"/>
              </w:rPr>
            </w:pPr>
          </w:p>
        </w:tc>
        <w:tc>
          <w:tcPr>
            <w:tcW w:w="1628" w:type="dxa"/>
          </w:tcPr>
          <w:p w14:paraId="741A43C0">
            <w:pPr>
              <w:pStyle w:val="11"/>
              <w:rPr>
                <w:rFonts w:hint="eastAsia"/>
                <w:vertAlign w:val="baseline"/>
                <w:lang w:val="en-US" w:eastAsia="zh-CN"/>
              </w:rPr>
            </w:pPr>
          </w:p>
        </w:tc>
        <w:tc>
          <w:tcPr>
            <w:tcW w:w="1972" w:type="dxa"/>
          </w:tcPr>
          <w:p w14:paraId="20ED64ED">
            <w:pPr>
              <w:pStyle w:val="11"/>
              <w:rPr>
                <w:rFonts w:hint="eastAsia"/>
                <w:vertAlign w:val="baseline"/>
                <w:lang w:val="en-US" w:eastAsia="zh-CN"/>
              </w:rPr>
            </w:pPr>
          </w:p>
        </w:tc>
        <w:tc>
          <w:tcPr>
            <w:tcW w:w="1092" w:type="dxa"/>
          </w:tcPr>
          <w:p w14:paraId="7A033BB1">
            <w:pPr>
              <w:pStyle w:val="11"/>
              <w:rPr>
                <w:rFonts w:hint="eastAsia"/>
                <w:vertAlign w:val="baseline"/>
                <w:lang w:val="en-US" w:eastAsia="zh-CN"/>
              </w:rPr>
            </w:pPr>
          </w:p>
        </w:tc>
      </w:tr>
      <w:tr w14:paraId="69E9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20038FF8">
            <w:pPr>
              <w:pStyle w:val="11"/>
              <w:rPr>
                <w:rFonts w:hint="eastAsia"/>
                <w:vertAlign w:val="baseline"/>
                <w:lang w:val="en-US" w:eastAsia="zh-CN"/>
              </w:rPr>
            </w:pPr>
          </w:p>
        </w:tc>
        <w:tc>
          <w:tcPr>
            <w:tcW w:w="1028" w:type="dxa"/>
          </w:tcPr>
          <w:p w14:paraId="2B99830B">
            <w:pPr>
              <w:pStyle w:val="11"/>
              <w:rPr>
                <w:rFonts w:hint="eastAsia"/>
                <w:vertAlign w:val="baseline"/>
                <w:lang w:val="en-US" w:eastAsia="zh-CN"/>
              </w:rPr>
            </w:pPr>
          </w:p>
        </w:tc>
        <w:tc>
          <w:tcPr>
            <w:tcW w:w="1050" w:type="dxa"/>
          </w:tcPr>
          <w:p w14:paraId="4660B68F">
            <w:pPr>
              <w:pStyle w:val="11"/>
              <w:rPr>
                <w:rFonts w:hint="eastAsia"/>
                <w:vertAlign w:val="baseline"/>
                <w:lang w:val="en-US" w:eastAsia="zh-CN"/>
              </w:rPr>
            </w:pPr>
          </w:p>
        </w:tc>
        <w:tc>
          <w:tcPr>
            <w:tcW w:w="1072" w:type="dxa"/>
          </w:tcPr>
          <w:p w14:paraId="6FEE5D18">
            <w:pPr>
              <w:pStyle w:val="11"/>
              <w:rPr>
                <w:rFonts w:hint="eastAsia"/>
                <w:vertAlign w:val="baseline"/>
                <w:lang w:val="en-US" w:eastAsia="zh-CN"/>
              </w:rPr>
            </w:pPr>
          </w:p>
        </w:tc>
        <w:tc>
          <w:tcPr>
            <w:tcW w:w="1628" w:type="dxa"/>
          </w:tcPr>
          <w:p w14:paraId="09189D92">
            <w:pPr>
              <w:pStyle w:val="11"/>
              <w:rPr>
                <w:rFonts w:hint="eastAsia"/>
                <w:vertAlign w:val="baseline"/>
                <w:lang w:val="en-US" w:eastAsia="zh-CN"/>
              </w:rPr>
            </w:pPr>
          </w:p>
        </w:tc>
        <w:tc>
          <w:tcPr>
            <w:tcW w:w="1972" w:type="dxa"/>
          </w:tcPr>
          <w:p w14:paraId="4B39C597">
            <w:pPr>
              <w:pStyle w:val="11"/>
              <w:rPr>
                <w:rFonts w:hint="eastAsia"/>
                <w:vertAlign w:val="baseline"/>
                <w:lang w:val="en-US" w:eastAsia="zh-CN"/>
              </w:rPr>
            </w:pPr>
          </w:p>
        </w:tc>
        <w:tc>
          <w:tcPr>
            <w:tcW w:w="1092" w:type="dxa"/>
          </w:tcPr>
          <w:p w14:paraId="4DDEFAAE">
            <w:pPr>
              <w:pStyle w:val="11"/>
              <w:rPr>
                <w:rFonts w:hint="eastAsia"/>
                <w:vertAlign w:val="baseline"/>
                <w:lang w:val="en-US" w:eastAsia="zh-CN"/>
              </w:rPr>
            </w:pPr>
          </w:p>
        </w:tc>
      </w:tr>
      <w:tr w14:paraId="4D7C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DE80662">
            <w:pPr>
              <w:pStyle w:val="11"/>
              <w:rPr>
                <w:rFonts w:hint="eastAsia"/>
                <w:vertAlign w:val="baseline"/>
                <w:lang w:val="en-US" w:eastAsia="zh-CN"/>
              </w:rPr>
            </w:pPr>
          </w:p>
        </w:tc>
        <w:tc>
          <w:tcPr>
            <w:tcW w:w="1028" w:type="dxa"/>
          </w:tcPr>
          <w:p w14:paraId="3AD6EB9A">
            <w:pPr>
              <w:pStyle w:val="11"/>
              <w:rPr>
                <w:rFonts w:hint="eastAsia"/>
                <w:vertAlign w:val="baseline"/>
                <w:lang w:val="en-US" w:eastAsia="zh-CN"/>
              </w:rPr>
            </w:pPr>
          </w:p>
        </w:tc>
        <w:tc>
          <w:tcPr>
            <w:tcW w:w="1050" w:type="dxa"/>
          </w:tcPr>
          <w:p w14:paraId="1654BF9A">
            <w:pPr>
              <w:pStyle w:val="11"/>
              <w:rPr>
                <w:rFonts w:hint="eastAsia"/>
                <w:vertAlign w:val="baseline"/>
                <w:lang w:val="en-US" w:eastAsia="zh-CN"/>
              </w:rPr>
            </w:pPr>
          </w:p>
        </w:tc>
        <w:tc>
          <w:tcPr>
            <w:tcW w:w="1072" w:type="dxa"/>
          </w:tcPr>
          <w:p w14:paraId="5BDF2633">
            <w:pPr>
              <w:pStyle w:val="11"/>
              <w:rPr>
                <w:rFonts w:hint="eastAsia"/>
                <w:vertAlign w:val="baseline"/>
                <w:lang w:val="en-US" w:eastAsia="zh-CN"/>
              </w:rPr>
            </w:pPr>
          </w:p>
        </w:tc>
        <w:tc>
          <w:tcPr>
            <w:tcW w:w="1628" w:type="dxa"/>
          </w:tcPr>
          <w:p w14:paraId="25CF23CF">
            <w:pPr>
              <w:pStyle w:val="11"/>
              <w:rPr>
                <w:rFonts w:hint="eastAsia"/>
                <w:vertAlign w:val="baseline"/>
                <w:lang w:val="en-US" w:eastAsia="zh-CN"/>
              </w:rPr>
            </w:pPr>
          </w:p>
        </w:tc>
        <w:tc>
          <w:tcPr>
            <w:tcW w:w="1972" w:type="dxa"/>
          </w:tcPr>
          <w:p w14:paraId="184C9ED1">
            <w:pPr>
              <w:pStyle w:val="11"/>
              <w:rPr>
                <w:rFonts w:hint="eastAsia"/>
                <w:vertAlign w:val="baseline"/>
                <w:lang w:val="en-US" w:eastAsia="zh-CN"/>
              </w:rPr>
            </w:pPr>
          </w:p>
        </w:tc>
        <w:tc>
          <w:tcPr>
            <w:tcW w:w="1092" w:type="dxa"/>
          </w:tcPr>
          <w:p w14:paraId="66808361">
            <w:pPr>
              <w:pStyle w:val="11"/>
              <w:rPr>
                <w:rFonts w:hint="eastAsia"/>
                <w:vertAlign w:val="baseline"/>
                <w:lang w:val="en-US" w:eastAsia="zh-CN"/>
              </w:rPr>
            </w:pPr>
          </w:p>
        </w:tc>
      </w:tr>
      <w:tr w14:paraId="1876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1DE3A67">
            <w:pPr>
              <w:pStyle w:val="11"/>
              <w:rPr>
                <w:rFonts w:hint="eastAsia"/>
                <w:vertAlign w:val="baseline"/>
                <w:lang w:val="en-US" w:eastAsia="zh-CN"/>
              </w:rPr>
            </w:pPr>
          </w:p>
        </w:tc>
        <w:tc>
          <w:tcPr>
            <w:tcW w:w="1028" w:type="dxa"/>
          </w:tcPr>
          <w:p w14:paraId="0E0D98FC">
            <w:pPr>
              <w:pStyle w:val="11"/>
              <w:rPr>
                <w:rFonts w:hint="eastAsia"/>
                <w:vertAlign w:val="baseline"/>
                <w:lang w:val="en-US" w:eastAsia="zh-CN"/>
              </w:rPr>
            </w:pPr>
          </w:p>
        </w:tc>
        <w:tc>
          <w:tcPr>
            <w:tcW w:w="1050" w:type="dxa"/>
          </w:tcPr>
          <w:p w14:paraId="5872D3D2">
            <w:pPr>
              <w:pStyle w:val="11"/>
              <w:rPr>
                <w:rFonts w:hint="eastAsia"/>
                <w:vertAlign w:val="baseline"/>
                <w:lang w:val="en-US" w:eastAsia="zh-CN"/>
              </w:rPr>
            </w:pPr>
          </w:p>
        </w:tc>
        <w:tc>
          <w:tcPr>
            <w:tcW w:w="1072" w:type="dxa"/>
          </w:tcPr>
          <w:p w14:paraId="5CED94DC">
            <w:pPr>
              <w:pStyle w:val="11"/>
              <w:rPr>
                <w:rFonts w:hint="eastAsia"/>
                <w:vertAlign w:val="baseline"/>
                <w:lang w:val="en-US" w:eastAsia="zh-CN"/>
              </w:rPr>
            </w:pPr>
          </w:p>
        </w:tc>
        <w:tc>
          <w:tcPr>
            <w:tcW w:w="1628" w:type="dxa"/>
          </w:tcPr>
          <w:p w14:paraId="7DD48BEC">
            <w:pPr>
              <w:pStyle w:val="11"/>
              <w:rPr>
                <w:rFonts w:hint="eastAsia"/>
                <w:vertAlign w:val="baseline"/>
                <w:lang w:val="en-US" w:eastAsia="zh-CN"/>
              </w:rPr>
            </w:pPr>
          </w:p>
        </w:tc>
        <w:tc>
          <w:tcPr>
            <w:tcW w:w="1972" w:type="dxa"/>
          </w:tcPr>
          <w:p w14:paraId="6BBA90B1">
            <w:pPr>
              <w:pStyle w:val="11"/>
              <w:rPr>
                <w:rFonts w:hint="eastAsia"/>
                <w:vertAlign w:val="baseline"/>
                <w:lang w:val="en-US" w:eastAsia="zh-CN"/>
              </w:rPr>
            </w:pPr>
          </w:p>
        </w:tc>
        <w:tc>
          <w:tcPr>
            <w:tcW w:w="1092" w:type="dxa"/>
          </w:tcPr>
          <w:p w14:paraId="5181BD99">
            <w:pPr>
              <w:pStyle w:val="11"/>
              <w:rPr>
                <w:rFonts w:hint="eastAsia"/>
                <w:vertAlign w:val="baseline"/>
                <w:lang w:val="en-US" w:eastAsia="zh-CN"/>
              </w:rPr>
            </w:pPr>
          </w:p>
        </w:tc>
      </w:tr>
      <w:tr w14:paraId="3685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B40F56D">
            <w:pPr>
              <w:pStyle w:val="11"/>
              <w:rPr>
                <w:rFonts w:hint="eastAsia"/>
                <w:vertAlign w:val="baseline"/>
                <w:lang w:val="en-US" w:eastAsia="zh-CN"/>
              </w:rPr>
            </w:pPr>
          </w:p>
        </w:tc>
        <w:tc>
          <w:tcPr>
            <w:tcW w:w="1028" w:type="dxa"/>
          </w:tcPr>
          <w:p w14:paraId="1DE50DBB">
            <w:pPr>
              <w:pStyle w:val="11"/>
              <w:rPr>
                <w:rFonts w:hint="eastAsia"/>
                <w:vertAlign w:val="baseline"/>
                <w:lang w:val="en-US" w:eastAsia="zh-CN"/>
              </w:rPr>
            </w:pPr>
          </w:p>
        </w:tc>
        <w:tc>
          <w:tcPr>
            <w:tcW w:w="1050" w:type="dxa"/>
          </w:tcPr>
          <w:p w14:paraId="09EBCF2B">
            <w:pPr>
              <w:pStyle w:val="11"/>
              <w:rPr>
                <w:rFonts w:hint="eastAsia"/>
                <w:vertAlign w:val="baseline"/>
                <w:lang w:val="en-US" w:eastAsia="zh-CN"/>
              </w:rPr>
            </w:pPr>
          </w:p>
        </w:tc>
        <w:tc>
          <w:tcPr>
            <w:tcW w:w="1072" w:type="dxa"/>
          </w:tcPr>
          <w:p w14:paraId="03A10106">
            <w:pPr>
              <w:pStyle w:val="11"/>
              <w:rPr>
                <w:rFonts w:hint="eastAsia"/>
                <w:vertAlign w:val="baseline"/>
                <w:lang w:val="en-US" w:eastAsia="zh-CN"/>
              </w:rPr>
            </w:pPr>
          </w:p>
        </w:tc>
        <w:tc>
          <w:tcPr>
            <w:tcW w:w="1628" w:type="dxa"/>
          </w:tcPr>
          <w:p w14:paraId="61DB21A8">
            <w:pPr>
              <w:pStyle w:val="11"/>
              <w:rPr>
                <w:rFonts w:hint="eastAsia"/>
                <w:vertAlign w:val="baseline"/>
                <w:lang w:val="en-US" w:eastAsia="zh-CN"/>
              </w:rPr>
            </w:pPr>
          </w:p>
        </w:tc>
        <w:tc>
          <w:tcPr>
            <w:tcW w:w="1972" w:type="dxa"/>
          </w:tcPr>
          <w:p w14:paraId="6009611B">
            <w:pPr>
              <w:pStyle w:val="11"/>
              <w:rPr>
                <w:rFonts w:hint="eastAsia"/>
                <w:vertAlign w:val="baseline"/>
                <w:lang w:val="en-US" w:eastAsia="zh-CN"/>
              </w:rPr>
            </w:pPr>
          </w:p>
        </w:tc>
        <w:tc>
          <w:tcPr>
            <w:tcW w:w="1092" w:type="dxa"/>
          </w:tcPr>
          <w:p w14:paraId="73372E45">
            <w:pPr>
              <w:pStyle w:val="11"/>
              <w:rPr>
                <w:rFonts w:hint="eastAsia"/>
                <w:vertAlign w:val="baseline"/>
                <w:lang w:val="en-US" w:eastAsia="zh-CN"/>
              </w:rPr>
            </w:pPr>
          </w:p>
        </w:tc>
      </w:tr>
      <w:tr w14:paraId="2084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6335C29F">
            <w:pPr>
              <w:pStyle w:val="11"/>
              <w:rPr>
                <w:rFonts w:hint="eastAsia"/>
                <w:vertAlign w:val="baseline"/>
                <w:lang w:val="en-US" w:eastAsia="zh-CN"/>
              </w:rPr>
            </w:pPr>
          </w:p>
        </w:tc>
        <w:tc>
          <w:tcPr>
            <w:tcW w:w="1028" w:type="dxa"/>
          </w:tcPr>
          <w:p w14:paraId="46243AAF">
            <w:pPr>
              <w:pStyle w:val="11"/>
              <w:rPr>
                <w:rFonts w:hint="eastAsia"/>
                <w:vertAlign w:val="baseline"/>
                <w:lang w:val="en-US" w:eastAsia="zh-CN"/>
              </w:rPr>
            </w:pPr>
          </w:p>
        </w:tc>
        <w:tc>
          <w:tcPr>
            <w:tcW w:w="1050" w:type="dxa"/>
          </w:tcPr>
          <w:p w14:paraId="4FC55B2B">
            <w:pPr>
              <w:pStyle w:val="11"/>
              <w:rPr>
                <w:rFonts w:hint="eastAsia"/>
                <w:vertAlign w:val="baseline"/>
                <w:lang w:val="en-US" w:eastAsia="zh-CN"/>
              </w:rPr>
            </w:pPr>
          </w:p>
        </w:tc>
        <w:tc>
          <w:tcPr>
            <w:tcW w:w="1072" w:type="dxa"/>
          </w:tcPr>
          <w:p w14:paraId="3EA5DF92">
            <w:pPr>
              <w:pStyle w:val="11"/>
              <w:rPr>
                <w:rFonts w:hint="eastAsia"/>
                <w:vertAlign w:val="baseline"/>
                <w:lang w:val="en-US" w:eastAsia="zh-CN"/>
              </w:rPr>
            </w:pPr>
          </w:p>
        </w:tc>
        <w:tc>
          <w:tcPr>
            <w:tcW w:w="1628" w:type="dxa"/>
          </w:tcPr>
          <w:p w14:paraId="215D4CC0">
            <w:pPr>
              <w:pStyle w:val="11"/>
              <w:rPr>
                <w:rFonts w:hint="eastAsia"/>
                <w:vertAlign w:val="baseline"/>
                <w:lang w:val="en-US" w:eastAsia="zh-CN"/>
              </w:rPr>
            </w:pPr>
          </w:p>
        </w:tc>
        <w:tc>
          <w:tcPr>
            <w:tcW w:w="1972" w:type="dxa"/>
          </w:tcPr>
          <w:p w14:paraId="763270BD">
            <w:pPr>
              <w:pStyle w:val="11"/>
              <w:rPr>
                <w:rFonts w:hint="eastAsia"/>
                <w:vertAlign w:val="baseline"/>
                <w:lang w:val="en-US" w:eastAsia="zh-CN"/>
              </w:rPr>
            </w:pPr>
          </w:p>
        </w:tc>
        <w:tc>
          <w:tcPr>
            <w:tcW w:w="1092" w:type="dxa"/>
          </w:tcPr>
          <w:p w14:paraId="619396F9">
            <w:pPr>
              <w:pStyle w:val="11"/>
              <w:rPr>
                <w:rFonts w:hint="eastAsia"/>
                <w:vertAlign w:val="baseline"/>
                <w:lang w:val="en-US" w:eastAsia="zh-CN"/>
              </w:rPr>
            </w:pPr>
          </w:p>
        </w:tc>
      </w:tr>
      <w:tr w14:paraId="5980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96CDBE1">
            <w:pPr>
              <w:pStyle w:val="11"/>
              <w:rPr>
                <w:rFonts w:hint="eastAsia"/>
                <w:vertAlign w:val="baseline"/>
                <w:lang w:val="en-US" w:eastAsia="zh-CN"/>
              </w:rPr>
            </w:pPr>
          </w:p>
        </w:tc>
        <w:tc>
          <w:tcPr>
            <w:tcW w:w="1028" w:type="dxa"/>
          </w:tcPr>
          <w:p w14:paraId="5184C5EE">
            <w:pPr>
              <w:pStyle w:val="11"/>
              <w:rPr>
                <w:rFonts w:hint="eastAsia"/>
                <w:vertAlign w:val="baseline"/>
                <w:lang w:val="en-US" w:eastAsia="zh-CN"/>
              </w:rPr>
            </w:pPr>
          </w:p>
        </w:tc>
        <w:tc>
          <w:tcPr>
            <w:tcW w:w="1050" w:type="dxa"/>
          </w:tcPr>
          <w:p w14:paraId="36B434BB">
            <w:pPr>
              <w:pStyle w:val="11"/>
              <w:rPr>
                <w:rFonts w:hint="eastAsia"/>
                <w:vertAlign w:val="baseline"/>
                <w:lang w:val="en-US" w:eastAsia="zh-CN"/>
              </w:rPr>
            </w:pPr>
          </w:p>
        </w:tc>
        <w:tc>
          <w:tcPr>
            <w:tcW w:w="1072" w:type="dxa"/>
          </w:tcPr>
          <w:p w14:paraId="35E66FA0">
            <w:pPr>
              <w:pStyle w:val="11"/>
              <w:rPr>
                <w:rFonts w:hint="eastAsia"/>
                <w:vertAlign w:val="baseline"/>
                <w:lang w:val="en-US" w:eastAsia="zh-CN"/>
              </w:rPr>
            </w:pPr>
          </w:p>
        </w:tc>
        <w:tc>
          <w:tcPr>
            <w:tcW w:w="1628" w:type="dxa"/>
          </w:tcPr>
          <w:p w14:paraId="105184FB">
            <w:pPr>
              <w:pStyle w:val="11"/>
              <w:rPr>
                <w:rFonts w:hint="eastAsia"/>
                <w:vertAlign w:val="baseline"/>
                <w:lang w:val="en-US" w:eastAsia="zh-CN"/>
              </w:rPr>
            </w:pPr>
          </w:p>
        </w:tc>
        <w:tc>
          <w:tcPr>
            <w:tcW w:w="1972" w:type="dxa"/>
          </w:tcPr>
          <w:p w14:paraId="353EC3BB">
            <w:pPr>
              <w:pStyle w:val="11"/>
              <w:rPr>
                <w:rFonts w:hint="eastAsia"/>
                <w:vertAlign w:val="baseline"/>
                <w:lang w:val="en-US" w:eastAsia="zh-CN"/>
              </w:rPr>
            </w:pPr>
          </w:p>
        </w:tc>
        <w:tc>
          <w:tcPr>
            <w:tcW w:w="1092" w:type="dxa"/>
          </w:tcPr>
          <w:p w14:paraId="70A186B3">
            <w:pPr>
              <w:pStyle w:val="11"/>
              <w:rPr>
                <w:rFonts w:hint="eastAsia"/>
                <w:vertAlign w:val="baseline"/>
                <w:lang w:val="en-US" w:eastAsia="zh-CN"/>
              </w:rPr>
            </w:pPr>
          </w:p>
        </w:tc>
      </w:tr>
    </w:tbl>
    <w:p w14:paraId="20D41006">
      <w:pPr>
        <w:pStyle w:val="11"/>
        <w:rPr>
          <w:rFonts w:hint="eastAsia"/>
          <w:lang w:val="en-US" w:eastAsia="zh-CN"/>
        </w:rPr>
      </w:pPr>
    </w:p>
    <w:p w14:paraId="01FC3A8F">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335ED4BF">
      <w:pPr>
        <w:pStyle w:val="11"/>
        <w:rPr>
          <w:rFonts w:hint="default"/>
          <w:lang w:val="en-US" w:eastAsia="zh-CN"/>
        </w:rPr>
      </w:pPr>
    </w:p>
    <w:p w14:paraId="4C72C28E">
      <w:pPr>
        <w:spacing w:line="360" w:lineRule="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类似业绩</w:t>
      </w:r>
    </w:p>
    <w:p w14:paraId="032F61F7">
      <w:pPr>
        <w:spacing w:line="360" w:lineRule="auto"/>
        <w:ind w:firstLine="960" w:firstLineChars="400"/>
        <w:outlineLvl w:val="2"/>
        <w:rPr>
          <w:rFonts w:hint="eastAsia" w:ascii="宋体" w:hAnsi="宋体" w:eastAsia="宋体" w:cs="宋体"/>
          <w:b/>
          <w:bCs/>
          <w:sz w:val="24"/>
          <w:szCs w:val="24"/>
        </w:rPr>
      </w:pPr>
      <w:r>
        <w:rPr>
          <w:rFonts w:hint="eastAsia" w:ascii="宋体" w:hAnsi="宋体" w:eastAsia="宋体" w:cs="宋体"/>
          <w:sz w:val="24"/>
          <w:szCs w:val="24"/>
          <w:highlight w:val="none"/>
          <w:lang w:val="en-US" w:eastAsia="zh-CN"/>
        </w:rPr>
        <w:t>（提供2022年1月1日至今提供</w:t>
      </w:r>
      <w:r>
        <w:rPr>
          <w:rFonts w:hint="eastAsia" w:ascii="宋体" w:hAnsi="宋体" w:eastAsia="宋体" w:cs="宋体"/>
          <w:i w:val="0"/>
          <w:iCs w:val="0"/>
          <w:caps w:val="0"/>
          <w:spacing w:val="0"/>
          <w:sz w:val="24"/>
          <w:szCs w:val="24"/>
          <w:shd w:val="clear" w:fill="FFFFFF"/>
          <w:lang w:val="en-US" w:eastAsia="zh-CN"/>
        </w:rPr>
        <w:t>类似项目业绩</w:t>
      </w:r>
      <w:r>
        <w:rPr>
          <w:rFonts w:hint="eastAsia" w:ascii="宋体" w:hAnsi="宋体" w:eastAsia="宋体" w:cs="宋体"/>
          <w:i w:val="0"/>
          <w:iCs w:val="0"/>
          <w:caps w:val="0"/>
          <w:spacing w:val="0"/>
          <w:sz w:val="24"/>
          <w:szCs w:val="24"/>
          <w:shd w:val="clear" w:fill="FFFFFF"/>
          <w:lang w:eastAsia="zh-CN"/>
        </w:rPr>
        <w:t>）</w:t>
      </w:r>
    </w:p>
    <w:p w14:paraId="5B8261FB">
      <w:pPr>
        <w:jc w:val="center"/>
        <w:rPr>
          <w:rFonts w:hint="eastAsia" w:ascii="宋体" w:hAnsi="宋体" w:eastAsia="宋体" w:cs="宋体"/>
          <w:b/>
          <w:sz w:val="44"/>
          <w:szCs w:val="44"/>
        </w:rPr>
      </w:pPr>
    </w:p>
    <w:p w14:paraId="3132242B">
      <w:pPr>
        <w:jc w:val="center"/>
        <w:rPr>
          <w:rFonts w:hint="eastAsia" w:ascii="宋体" w:hAnsi="宋体" w:eastAsia="宋体" w:cs="宋体"/>
          <w:b/>
          <w:sz w:val="44"/>
          <w:szCs w:val="44"/>
        </w:rPr>
      </w:pPr>
    </w:p>
    <w:p w14:paraId="5A6D4DAD">
      <w:pPr>
        <w:jc w:val="center"/>
        <w:rPr>
          <w:rFonts w:hint="eastAsia" w:ascii="宋体" w:hAnsi="宋体" w:eastAsia="宋体" w:cs="宋体"/>
          <w:b/>
          <w:sz w:val="44"/>
          <w:szCs w:val="44"/>
        </w:rPr>
      </w:pPr>
    </w:p>
    <w:p w14:paraId="1D33D6E8">
      <w:pPr>
        <w:jc w:val="center"/>
        <w:rPr>
          <w:rFonts w:hint="eastAsia" w:ascii="宋体" w:hAnsi="宋体" w:eastAsia="宋体" w:cs="宋体"/>
          <w:b/>
          <w:sz w:val="44"/>
          <w:szCs w:val="44"/>
        </w:rPr>
      </w:pPr>
    </w:p>
    <w:p w14:paraId="7C6A7904">
      <w:pPr>
        <w:jc w:val="center"/>
        <w:rPr>
          <w:rFonts w:hint="eastAsia" w:ascii="宋体" w:hAnsi="宋体" w:eastAsia="宋体" w:cs="宋体"/>
          <w:b/>
          <w:sz w:val="44"/>
          <w:szCs w:val="44"/>
        </w:rPr>
      </w:pPr>
    </w:p>
    <w:p w14:paraId="035C6475">
      <w:pPr>
        <w:jc w:val="center"/>
        <w:rPr>
          <w:rFonts w:hint="eastAsia" w:ascii="宋体" w:hAnsi="宋体" w:eastAsia="宋体" w:cs="宋体"/>
          <w:b/>
          <w:sz w:val="44"/>
          <w:szCs w:val="44"/>
        </w:rPr>
      </w:pPr>
    </w:p>
    <w:p w14:paraId="5F479B93">
      <w:pPr>
        <w:jc w:val="center"/>
        <w:rPr>
          <w:rFonts w:hint="eastAsia" w:ascii="宋体" w:hAnsi="宋体" w:eastAsia="宋体" w:cs="宋体"/>
          <w:b/>
          <w:sz w:val="44"/>
          <w:szCs w:val="44"/>
        </w:rPr>
      </w:pPr>
    </w:p>
    <w:p w14:paraId="0B8534D6">
      <w:pPr>
        <w:jc w:val="center"/>
        <w:rPr>
          <w:rFonts w:hint="eastAsia" w:ascii="宋体" w:hAnsi="宋体" w:eastAsia="宋体" w:cs="宋体"/>
          <w:b/>
          <w:sz w:val="44"/>
          <w:szCs w:val="44"/>
        </w:rPr>
      </w:pPr>
    </w:p>
    <w:p w14:paraId="76C80E30">
      <w:pPr>
        <w:jc w:val="center"/>
        <w:rPr>
          <w:rFonts w:hint="eastAsia" w:ascii="宋体" w:hAnsi="宋体" w:eastAsia="宋体" w:cs="宋体"/>
          <w:b/>
          <w:sz w:val="44"/>
          <w:szCs w:val="44"/>
        </w:rPr>
      </w:pPr>
    </w:p>
    <w:p w14:paraId="7994FE70">
      <w:pPr>
        <w:jc w:val="center"/>
        <w:rPr>
          <w:rFonts w:hint="eastAsia" w:ascii="宋体" w:hAnsi="宋体" w:eastAsia="宋体" w:cs="宋体"/>
          <w:b/>
          <w:sz w:val="44"/>
          <w:szCs w:val="44"/>
        </w:rPr>
      </w:pPr>
    </w:p>
    <w:p w14:paraId="5A910688">
      <w:pPr>
        <w:pStyle w:val="11"/>
        <w:rPr>
          <w:rFonts w:hint="eastAsia" w:ascii="宋体" w:hAnsi="宋体" w:eastAsia="宋体" w:cs="宋体"/>
        </w:rPr>
      </w:pPr>
    </w:p>
    <w:p w14:paraId="717897B7">
      <w:pPr>
        <w:jc w:val="center"/>
        <w:rPr>
          <w:rFonts w:hint="eastAsia" w:ascii="宋体" w:hAnsi="宋体" w:eastAsia="宋体" w:cs="宋体"/>
          <w:b/>
          <w:sz w:val="44"/>
          <w:szCs w:val="44"/>
        </w:rPr>
      </w:pPr>
    </w:p>
    <w:p w14:paraId="76E5AF69">
      <w:pPr>
        <w:jc w:val="center"/>
        <w:rPr>
          <w:rFonts w:hint="eastAsia" w:ascii="宋体" w:hAnsi="宋体" w:eastAsia="宋体" w:cs="宋体"/>
          <w:b/>
          <w:sz w:val="44"/>
          <w:szCs w:val="44"/>
        </w:rPr>
      </w:pPr>
    </w:p>
    <w:p w14:paraId="401C2656">
      <w:pPr>
        <w:jc w:val="center"/>
        <w:rPr>
          <w:rFonts w:hint="eastAsia" w:ascii="宋体" w:hAnsi="宋体" w:eastAsia="宋体" w:cs="宋体"/>
        </w:rPr>
      </w:pPr>
      <w:r>
        <w:rPr>
          <w:rFonts w:hint="eastAsia" w:ascii="宋体" w:hAnsi="宋体" w:eastAsia="宋体" w:cs="宋体"/>
          <w:b/>
          <w:sz w:val="44"/>
          <w:szCs w:val="44"/>
        </w:rPr>
        <w:t>本页以下无内容</w:t>
      </w:r>
    </w:p>
    <w:p w14:paraId="788AC2A2">
      <w:pPr>
        <w:jc w:val="center"/>
        <w:rPr>
          <w:rFonts w:hint="eastAsia" w:ascii="宋体" w:hAnsi="宋体" w:eastAsia="宋体" w:cs="宋体"/>
        </w:rPr>
      </w:pPr>
    </w:p>
    <w:sectPr>
      <w:headerReference r:id="rId31" w:type="default"/>
      <w:footerReference r:id="rId32" w:type="default"/>
      <w:pgSz w:w="11905" w:h="16838"/>
      <w:pgMar w:top="1440" w:right="1080" w:bottom="1440" w:left="1080" w:header="624" w:footer="771" w:gutter="567"/>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B07C">
    <w:pPr>
      <w:spacing w:line="280" w:lineRule="exact"/>
      <w:jc w:val="center"/>
      <w:rPr>
        <w:rFonts w:ascii="宋体" w:hAnsi="宋体"/>
        <w:b/>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EC52">
    <w:pPr>
      <w:pStyle w:val="15"/>
      <w:rPr>
        <w:rFonts w:hint="eastAsia" w:ascii="楷体" w:hAnsi="楷体" w:eastAsia="楷体" w:cs="楷体"/>
        <w:b/>
      </w:rPr>
    </w:pPr>
    <w:r>
      <w:rPr>
        <w:sz w:val="18"/>
      </w:rPr>
      <w:pict>
        <v:shape id="_x0000_s3092" o:spid="_x0000_s3092"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v:imagedata o:title=""/>
          <o:lock v:ext="edit" aspectratio="f"/>
          <v:textbox inset="0mm,0mm,0mm,0mm" style="mso-fit-shape-to-text:t;">
            <w:txbxContent>
              <w:p w14:paraId="0927C09A">
                <w:pPr>
                  <w:pStyle w:val="15"/>
                </w:pPr>
                <w:r>
                  <w:fldChar w:fldCharType="begin"/>
                </w:r>
                <w:r>
                  <w:instrText xml:space="preserve"> PAGE  \* MERGEFORMAT </w:instrText>
                </w:r>
                <w:r>
                  <w:fldChar w:fldCharType="separate"/>
                </w:r>
                <w:r>
                  <w:t>46</w:t>
                </w:r>
                <w:r>
                  <w:fldChar w:fldCharType="end"/>
                </w:r>
              </w:p>
            </w:txbxContent>
          </v:textbox>
        </v:shape>
      </w:pict>
    </w:r>
  </w:p>
  <w:p w14:paraId="56B03F81">
    <w:pPr>
      <w:pStyle w:val="15"/>
      <w:tabs>
        <w:tab w:val="left" w:pos="8415"/>
        <w:tab w:val="clear" w:pos="4153"/>
      </w:tabs>
      <w:rPr>
        <w:rFonts w:hint="eastAsia" w:ascii="楷体" w:hAnsi="楷体" w:eastAsia="楷体" w:cs="楷体"/>
        <w:b/>
        <w:sz w:val="18"/>
        <w:szCs w:val="18"/>
        <w:u w:val="single"/>
        <w:lang w:val="en-US" w:eastAsia="zh-C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3116">
    <w:pPr>
      <w:pStyle w:val="15"/>
      <w:rPr>
        <w:rFonts w:ascii="宋体" w:hAnsi="宋体" w:cs="宋体"/>
        <w:b/>
        <w:u w:val="single"/>
      </w:rPr>
    </w:pPr>
    <w:r>
      <w:rPr>
        <w:sz w:val="18"/>
      </w:rPr>
      <w:pict>
        <v:shape id="文本框 9" o:spid="_x0000_s309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v:imagedata o:title=""/>
          <o:lock v:ext="edit" aspectratio="f"/>
          <v:textbox inset="0mm,0mm,0mm,0mm" style="mso-fit-shape-to-text:t;">
            <w:txbxContent>
              <w:p w14:paraId="4A8F44BA">
                <w:pPr>
                  <w:pStyle w:val="15"/>
                </w:pPr>
                <w:r>
                  <w:fldChar w:fldCharType="begin"/>
                </w:r>
                <w:r>
                  <w:instrText xml:space="preserve"> PAGE  \* MERGEFORMAT </w:instrText>
                </w:r>
                <w:r>
                  <w:fldChar w:fldCharType="separate"/>
                </w:r>
                <w:r>
                  <w:t>65</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B19E">
    <w:pPr>
      <w:pStyle w:val="15"/>
      <w:jc w:val="center"/>
      <w:rPr>
        <w:rFonts w:ascii="宋体" w:hAnsi="宋体" w:cs="宋体"/>
        <w:b/>
      </w:rPr>
    </w:pPr>
    <w:r>
      <w:rPr>
        <w:sz w:val="18"/>
      </w:rPr>
      <w:pict>
        <v:shape id="文本框 10" o:spid="_x0000_s3098"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v:imagedata o:title=""/>
          <o:lock v:ext="edit" aspectratio="f"/>
          <v:textbox inset="0mm,0mm,0mm,0mm" style="mso-fit-shape-to-text:t;">
            <w:txbxContent>
              <w:p w14:paraId="10A731B7">
                <w:pPr>
                  <w:pStyle w:val="15"/>
                </w:pPr>
                <w:r>
                  <w:fldChar w:fldCharType="begin"/>
                </w:r>
                <w:r>
                  <w:instrText xml:space="preserve"> PAGE  \* MERGEFORMAT </w:instrText>
                </w:r>
                <w:r>
                  <w:fldChar w:fldCharType="separate"/>
                </w:r>
                <w:r>
                  <w:t>64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A9E3">
    <w:pPr>
      <w:pStyle w:val="15"/>
      <w:ind w:right="360"/>
    </w:pPr>
    <w:r>
      <w:pict>
        <v:shape id="_x0000_s3096" o:spid="_x0000_s309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LqJ8EtABAACkAwAADgAAAAAAAAABACAAAAAeAQAAZHJz&#10;L2Uyb0RvYy54bWxQSwUGAAAAAAYABgBZAQAAYAUAAAAA&#10;">
          <v:path/>
          <v:fill on="f" focussize="0,0"/>
          <v:stroke on="f" joinstyle="miter"/>
          <v:imagedata o:title=""/>
          <o:lock v:ext="edit"/>
          <v:textbox inset="0mm,0mm,0mm,0mm" style="mso-fit-shape-to-text:t;">
            <w:txbxContent>
              <w:p w14:paraId="2A653E97">
                <w:pPr>
                  <w:pStyle w:val="15"/>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B72E8">
    <w:pPr>
      <w:pStyle w:val="15"/>
      <w:jc w:val="center"/>
      <w:rPr>
        <w:rFonts w:hint="eastAsia" w:ascii="宋体" w:hAnsi="宋体" w:eastAsia="宋体" w:cs="宋体"/>
        <w:b/>
        <w:sz w:val="18"/>
        <w:szCs w:val="18"/>
        <w:lang w:val="en-US" w:eastAsia="zh-CN"/>
      </w:rPr>
    </w:pPr>
    <w:r>
      <w:rPr>
        <w:sz w:val="18"/>
      </w:rPr>
      <w:pict>
        <v:shape id="文本框 34" o:spid="_x0000_s3094"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path/>
          <v:fill on="f" focussize="0,0"/>
          <v:stroke on="f" weight="0.5pt"/>
          <v:imagedata o:title=""/>
          <o:lock v:ext="edit" aspectratio="f"/>
          <v:textbox inset="0mm,0mm,0mm,0mm" style="mso-fit-shape-to-text:t;">
            <w:txbxContent>
              <w:p w14:paraId="2E249D72">
                <w:pPr>
                  <w:pStyle w:val="15"/>
                </w:pPr>
                <w:r>
                  <w:fldChar w:fldCharType="begin"/>
                </w:r>
                <w:r>
                  <w:instrText xml:space="preserve"> PAGE  \* MERGEFORMAT </w:instrText>
                </w:r>
                <w:r>
                  <w:fldChar w:fldCharType="separate"/>
                </w:r>
                <w:r>
                  <w:t>61</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6FD4">
    <w:pPr>
      <w:pStyle w:val="15"/>
      <w:ind w:right="360"/>
    </w:pPr>
    <w:r>
      <w:pict>
        <v:shape id="文本框 5"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LqJ8EtABAACkAwAADgAAAAAAAAABACAAAAAeAQAAZHJz&#10;L2Uyb0RvYy54bWxQSwUGAAAAAAYABgBZAQAAYAUAAAAA&#10;">
          <v:path/>
          <v:fill on="f" focussize="0,0"/>
          <v:stroke on="f" joinstyle="miter"/>
          <v:imagedata o:title=""/>
          <o:lock v:ext="edit"/>
          <v:textbox inset="0mm,0mm,0mm,0mm" style="mso-fit-shape-to-text:t;">
            <w:txbxContent>
              <w:p w14:paraId="3A689EB0">
                <w:pPr>
                  <w:pStyle w:val="15"/>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8851">
    <w:pPr>
      <w:spacing w:line="280" w:lineRule="exact"/>
      <w:jc w:val="center"/>
      <w:rPr>
        <w:rFonts w:ascii="宋体" w:hAnsi="宋体"/>
        <w:b/>
        <w:sz w:val="18"/>
        <w:szCs w:val="18"/>
      </w:rPr>
    </w:pPr>
    <w:r>
      <w:rPr>
        <w:sz w:val="18"/>
      </w:rPr>
      <w:pict>
        <v:shape id="_x0000_s3086" o:spid="_x0000_s308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path/>
          <v:fill on="f" focussize="0,0"/>
          <v:stroke on="f" joinstyle="miter"/>
          <v:imagedata o:title=""/>
          <o:lock v:ext="edit"/>
          <v:textbox inset="0mm,0mm,0mm,0mm" style="mso-fit-shape-to-text:t;">
            <w:txbxContent>
              <w:p w14:paraId="0041396E">
                <w:pPr>
                  <w:pStyle w:val="15"/>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65EB3">
    <w:pPr>
      <w:pStyle w:val="15"/>
    </w:pPr>
    <w:r>
      <w:pict>
        <v:shape id="_x0000_s3085" o:spid="_x0000_s3085"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11DD1264">
                <w:pPr>
                  <w:pStyle w:val="15"/>
                </w:pPr>
                <w:r>
                  <w:fldChar w:fldCharType="begin"/>
                </w:r>
                <w:r>
                  <w:instrText xml:space="preserve"> PAGE  \* MERGEFORMAT </w:instrText>
                </w:r>
                <w:r>
                  <w:fldChar w:fldCharType="separate"/>
                </w:r>
                <w:r>
                  <w:t>33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01D6">
    <w:pPr>
      <w:pStyle w:val="15"/>
      <w:tabs>
        <w:tab w:val="center" w:pos="4588"/>
        <w:tab w:val="clear" w:pos="4153"/>
        <w:tab w:val="clear" w:pos="8306"/>
      </w:tabs>
      <w:ind w:right="360"/>
    </w:pPr>
    <w:r>
      <w:pict>
        <v:shape id="_x0000_s3087" o:spid="_x0000_s3087" o:spt="202" type="#_x0000_t202" style="position:absolute;left:0pt;margin-top:0pt;height:11.75pt;width:15.8pt;mso-position-horizontal:center;mso-position-horizontal-relative:margin;z-index:251662336;mso-width-relative:page;mso-height-relative:page;" filled="f" stroked="f" coordsize="21600,21600">
          <v:path/>
          <v:fill on="f" focussize="0,0"/>
          <v:stroke on="f"/>
          <v:imagedata o:title=""/>
          <o:lock v:ext="edit" aspectratio="f"/>
          <v:textbox inset="0mm,0mm,0mm,0mm">
            <w:txbxContent>
              <w:p w14:paraId="6B3F78B9">
                <w:pPr>
                  <w:pStyle w:val="15"/>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2A7A">
    <w:pPr>
      <w:pStyle w:val="15"/>
      <w:rPr>
        <w:rFonts w:ascii="宋体" w:hAnsi="宋体" w:cs="宋体"/>
        <w:b/>
        <w:u w:val="single"/>
      </w:rPr>
    </w:pPr>
    <w:r>
      <w:pict>
        <v:shape id="_x0000_s3089" o:spid="_x0000_s308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ZFACV0QEAAKQDAAAOAAAAAAAAAAEAIAAAAB8BAABk&#10;cnMvZTJvRG9jLnhtbFBLBQYAAAAABgAGAFkBAABiBQAAAAA=&#10;">
          <v:path/>
          <v:fill on="f" focussize="0,0"/>
          <v:stroke on="f" weight="0.5pt" joinstyle="miter"/>
          <v:imagedata o:title=""/>
          <o:lock v:ext="edit"/>
          <v:textbox inset="0mm,0mm,0mm,0mm" style="mso-fit-shape-to-text:t;">
            <w:txbxContent>
              <w:p w14:paraId="25894ACD">
                <w:pPr>
                  <w:pStyle w:val="15"/>
                </w:pPr>
                <w:r>
                  <w:fldChar w:fldCharType="begin"/>
                </w:r>
                <w:r>
                  <w:instrText xml:space="preserve"> PAGE  \* MERGEFORMAT </w:instrText>
                </w:r>
                <w:r>
                  <w:fldChar w:fldCharType="separate"/>
                </w:r>
                <w:r>
                  <w:t>66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CC84">
    <w:pPr>
      <w:pStyle w:val="15"/>
      <w:jc w:val="center"/>
      <w:rPr>
        <w:rFonts w:ascii="宋体" w:hAnsi="宋体" w:cs="宋体"/>
        <w:b/>
      </w:rPr>
    </w:pPr>
    <w: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path/>
          <v:fill on="f" focussize="0,0"/>
          <v:stroke on="f" weight="0.5pt" joinstyle="miter"/>
          <v:imagedata o:title=""/>
          <o:lock v:ext="edit"/>
          <v:textbox inset="0mm,0mm,0mm,0mm" style="mso-fit-shape-to-text:t;">
            <w:txbxContent>
              <w:p w14:paraId="3E3D07E4">
                <w:pPr>
                  <w:pStyle w:val="15"/>
                </w:pPr>
                <w:r>
                  <w:fldChar w:fldCharType="begin"/>
                </w:r>
                <w:r>
                  <w:instrText xml:space="preserve"> PAGE  \* MERGEFORMAT </w:instrText>
                </w:r>
                <w:r>
                  <w:fldChar w:fldCharType="separate"/>
                </w:r>
                <w:r>
                  <w:t>62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06815">
    <w:pPr>
      <w:pStyle w:val="15"/>
      <w:rPr>
        <w:rFonts w:hint="eastAsia" w:ascii="宋体" w:hAnsi="宋体"/>
        <w:b/>
      </w:rPr>
    </w:pPr>
    <w:r>
      <w:rPr>
        <w:sz w:val="18"/>
      </w:rPr>
      <w:pict>
        <v:shape id="_x0000_s3091" o:spid="_x0000_s309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v:imagedata o:title=""/>
          <o:lock v:ext="edit" aspectratio="f"/>
          <v:textbox inset="0mm,0mm,0mm,0mm" style="mso-fit-shape-to-text:t;">
            <w:txbxContent>
              <w:p w14:paraId="0C45E29F">
                <w:pPr>
                  <w:pStyle w:val="15"/>
                </w:pPr>
                <w:r>
                  <w:fldChar w:fldCharType="begin"/>
                </w:r>
                <w:r>
                  <w:instrText xml:space="preserve"> PAGE  \* MERGEFORMAT </w:instrText>
                </w:r>
                <w:r>
                  <w:fldChar w:fldCharType="separate"/>
                </w:r>
                <w:r>
                  <w:t>63</w:t>
                </w:r>
                <w:r>
                  <w:fldChar w:fldCharType="end"/>
                </w:r>
              </w:p>
            </w:txbxContent>
          </v:textbox>
        </v:shape>
      </w:pict>
    </w:r>
  </w:p>
  <w:p w14:paraId="028F97DF">
    <w:pPr>
      <w:spacing w:line="280" w:lineRule="exact"/>
      <w:jc w:val="left"/>
      <w:rPr>
        <w:rFonts w:hint="eastAsia" w:ascii="楷体" w:hAnsi="楷体" w:eastAsia="楷体" w:cs="楷体"/>
        <w:b/>
        <w:sz w:val="18"/>
        <w:szCs w:val="18"/>
        <w:u w:val="single"/>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3DEF">
    <w:pPr>
      <w:pStyle w:val="15"/>
      <w:rPr>
        <w:rFonts w:hint="eastAsia" w:ascii="楷体" w:hAnsi="楷体" w:eastAsia="楷体" w:cs="楷体"/>
        <w:b/>
      </w:rPr>
    </w:pPr>
    <w:r>
      <w:rPr>
        <w:sz w:val="18"/>
      </w:rPr>
      <w:pict>
        <v:shape id="_x0000_s3090" o:spid="_x0000_s309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v:imagedata o:title=""/>
          <o:lock v:ext="edit" aspectratio="f"/>
          <v:textbox inset="0mm,0mm,0mm,0mm" style="mso-fit-shape-to-text:t;">
            <w:txbxContent>
              <w:p w14:paraId="3AE0739A">
                <w:pPr>
                  <w:pStyle w:val="15"/>
                </w:pPr>
                <w:r>
                  <w:fldChar w:fldCharType="begin"/>
                </w:r>
                <w:r>
                  <w:instrText xml:space="preserve"> PAGE  \* MERGEFORMAT </w:instrText>
                </w:r>
                <w:r>
                  <w:fldChar w:fldCharType="separate"/>
                </w:r>
                <w:r>
                  <w:t>62</w:t>
                </w:r>
                <w:r>
                  <w:fldChar w:fldCharType="end"/>
                </w:r>
              </w:p>
            </w:txbxContent>
          </v:textbox>
        </v:shape>
      </w:pict>
    </w:r>
  </w:p>
  <w:p w14:paraId="05CD657C">
    <w:pPr>
      <w:pStyle w:val="15"/>
      <w:tabs>
        <w:tab w:val="left" w:pos="8415"/>
        <w:tab w:val="clear" w:pos="4153"/>
      </w:tabs>
      <w:rPr>
        <w:rFonts w:hint="eastAsia" w:ascii="楷体" w:hAnsi="楷体" w:eastAsia="楷体" w:cs="楷体"/>
        <w:b/>
        <w:sz w:val="18"/>
        <w:szCs w:val="18"/>
        <w:u w:val="single"/>
        <w:lang w:val="en-US"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E250D">
    <w:pPr>
      <w:pStyle w:val="15"/>
      <w:rPr>
        <w:rFonts w:hint="eastAsia" w:ascii="宋体" w:hAnsi="宋体"/>
        <w:b/>
      </w:rPr>
    </w:pPr>
    <w:r>
      <w:rPr>
        <w:sz w:val="18"/>
      </w:rPr>
      <w:pict>
        <v:shape id="_x0000_s3093" o:spid="_x0000_s3093"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v:imagedata o:title=""/>
          <o:lock v:ext="edit" aspectratio="f"/>
          <v:textbox inset="0mm,0mm,0mm,0mm" style="mso-fit-shape-to-text:t;">
            <w:txbxContent>
              <w:p w14:paraId="5C3C2A0E">
                <w:pPr>
                  <w:pStyle w:val="15"/>
                </w:pPr>
                <w:r>
                  <w:fldChar w:fldCharType="begin"/>
                </w:r>
                <w:r>
                  <w:instrText xml:space="preserve"> PAGE  \* MERGEFORMAT </w:instrText>
                </w:r>
                <w:r>
                  <w:fldChar w:fldCharType="separate"/>
                </w:r>
                <w:r>
                  <w:t>48</w:t>
                </w:r>
                <w:r>
                  <w:fldChar w:fldCharType="end"/>
                </w:r>
              </w:p>
            </w:txbxContent>
          </v:textbox>
        </v:shape>
      </w:pict>
    </w:r>
  </w:p>
  <w:p w14:paraId="3B7D296A">
    <w:pPr>
      <w:spacing w:line="280" w:lineRule="exact"/>
      <w:jc w:val="left"/>
      <w:rPr>
        <w:rFonts w:hint="eastAsia" w:ascii="楷体" w:hAnsi="楷体" w:eastAsia="楷体" w:cs="楷体"/>
        <w:b/>
        <w:sz w:val="18"/>
        <w:szCs w:val="18"/>
        <w:u w:val="single"/>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A095">
    <w:pPr>
      <w:spacing w:line="480" w:lineRule="exact"/>
      <w:rPr>
        <w:rFonts w:hint="eastAsia" w:ascii="宋体" w:hAnsi="宋体" w:cs="宋体"/>
        <w:bCs/>
        <w:sz w:val="16"/>
        <w:szCs w:val="16"/>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7061">
    <w:pPr>
      <w:spacing w:line="480" w:lineRule="exact"/>
      <w:rPr>
        <w:rFonts w:hint="eastAsia" w:ascii="宋体" w:hAnsi="宋体" w:eastAsia="宋体" w:cs="宋体"/>
        <w:b/>
        <w:sz w:val="18"/>
        <w:szCs w:val="18"/>
        <w:u w:val="single"/>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ECF1">
    <w:pPr>
      <w:spacing w:line="480" w:lineRule="exact"/>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CF54">
    <w:pPr>
      <w:spacing w:line="480" w:lineRule="exact"/>
      <w:rPr>
        <w:rFonts w:ascii="宋体" w:hAnsi="宋体" w:eastAsia="宋体" w:cs="宋体"/>
        <w:b/>
        <w:sz w:val="18"/>
        <w:szCs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9AA3">
    <w:pPr>
      <w:spacing w:line="480" w:lineRule="exact"/>
      <w:rPr>
        <w:rFonts w:ascii="黑体" w:hAnsi="黑体" w:eastAsia="黑体"/>
        <w:bCs/>
        <w:color w:val="000000"/>
        <w:sz w:val="20"/>
        <w:szCs w:val="36"/>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E7D6">
    <w:pPr>
      <w:spacing w:line="480" w:lineRule="exact"/>
      <w:rPr>
        <w:rFonts w:hint="eastAsia" w:ascii="宋体" w:hAnsi="宋体" w:eastAsia="宋体" w:cs="宋体"/>
        <w:b/>
        <w:sz w:val="18"/>
        <w:szCs w:val="18"/>
        <w:u w:val="single"/>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CB8E">
    <w:pPr>
      <w:spacing w:line="480" w:lineRule="exact"/>
      <w:rPr>
        <w:rFonts w:ascii="黑体" w:hAnsi="黑体" w:eastAsia="黑体"/>
        <w:bCs/>
        <w:color w:val="000000"/>
        <w:sz w:val="20"/>
        <w:szCs w:val="3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980EF">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F1EB">
    <w:pPr>
      <w:spacing w:line="480" w:lineRule="exact"/>
      <w:rPr>
        <w:rFonts w:hint="eastAsia" w:ascii="宋体" w:hAnsi="宋体" w:cs="宋体"/>
        <w:bCs/>
        <w:sz w:val="16"/>
        <w:szCs w:val="16"/>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770C">
    <w:pPr>
      <w:autoSpaceDE w:val="0"/>
      <w:autoSpaceDN w:val="0"/>
      <w:adjustRightInd w:val="0"/>
      <w:snapToGrid w:val="0"/>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9E45">
    <w:pPr>
      <w:spacing w:line="48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EE6D">
    <w:pPr>
      <w:spacing w:line="480" w:lineRule="exact"/>
      <w:rPr>
        <w:rFonts w:hint="eastAsia" w:ascii="宋体" w:hAnsi="宋体" w:eastAsia="宋体" w:cs="宋体"/>
        <w:b/>
        <w:sz w:val="18"/>
        <w:szCs w:val="18"/>
        <w:u w:val="single"/>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82F85">
    <w:pPr>
      <w:spacing w:line="480" w:lineRule="exact"/>
      <w:jc w:val="left"/>
      <w:rPr>
        <w:rFonts w:hint="eastAsia"/>
        <w:u w:val="non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7BFF9">
    <w:pPr>
      <w:spacing w:line="480" w:lineRule="exact"/>
      <w:rPr>
        <w:rFonts w:hint="eastAsia" w:ascii="宋体" w:hAnsi="宋体" w:eastAsia="宋体" w:cs="宋体"/>
        <w:b/>
        <w:sz w:val="18"/>
        <w:szCs w:val="18"/>
        <w:u w:val="single"/>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2688">
    <w:pPr>
      <w:spacing w:line="480" w:lineRule="exact"/>
      <w:jc w:val="left"/>
      <w:rPr>
        <w:rFonts w:hint="eastAsia"/>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27697"/>
    <w:multiLevelType w:val="singleLevel"/>
    <w:tmpl w:val="A4F27697"/>
    <w:lvl w:ilvl="0" w:tentative="0">
      <w:start w:val="1"/>
      <w:numFmt w:val="decimal"/>
      <w:suff w:val="nothing"/>
      <w:lvlText w:val="（%1）"/>
      <w:lvlJc w:val="left"/>
    </w:lvl>
  </w:abstractNum>
  <w:abstractNum w:abstractNumId="1">
    <w:nsid w:val="C1F692B9"/>
    <w:multiLevelType w:val="singleLevel"/>
    <w:tmpl w:val="C1F692B9"/>
    <w:lvl w:ilvl="0" w:tentative="0">
      <w:start w:val="3"/>
      <w:numFmt w:val="chineseCounting"/>
      <w:suff w:val="space"/>
      <w:lvlText w:val="第%1章"/>
      <w:lvlJc w:val="left"/>
      <w:rPr>
        <w:rFonts w:hint="eastAsia"/>
      </w:rPr>
    </w:lvl>
  </w:abstractNum>
  <w:abstractNum w:abstractNumId="2">
    <w:nsid w:val="FEF83CE8"/>
    <w:multiLevelType w:val="singleLevel"/>
    <w:tmpl w:val="FEF83CE8"/>
    <w:lvl w:ilvl="0" w:tentative="0">
      <w:start w:val="1"/>
      <w:numFmt w:val="decimal"/>
      <w:suff w:val="space"/>
      <w:lvlText w:val="%1."/>
      <w:lvlJc w:val="left"/>
    </w:lvl>
  </w:abstractNum>
  <w:abstractNum w:abstractNumId="3">
    <w:nsid w:val="09084DF0"/>
    <w:multiLevelType w:val="singleLevel"/>
    <w:tmpl w:val="09084DF0"/>
    <w:lvl w:ilvl="0" w:tentative="0">
      <w:start w:val="1"/>
      <w:numFmt w:val="decimal"/>
      <w:suff w:val="nothing"/>
      <w:lvlText w:val="%1、"/>
      <w:lvlJc w:val="left"/>
    </w:lvl>
  </w:abstractNum>
  <w:abstractNum w:abstractNumId="4">
    <w:nsid w:val="125C41C3"/>
    <w:multiLevelType w:val="singleLevel"/>
    <w:tmpl w:val="125C41C3"/>
    <w:lvl w:ilvl="0" w:tentative="0">
      <w:start w:val="4"/>
      <w:numFmt w:val="chineseCounting"/>
      <w:suff w:val="nothing"/>
      <w:lvlText w:val="%1、"/>
      <w:lvlJc w:val="left"/>
      <w:rPr>
        <w:rFonts w:hint="eastAsia"/>
      </w:rPr>
    </w:lvl>
  </w:abstractNum>
  <w:abstractNum w:abstractNumId="5">
    <w:nsid w:val="3F5ADD05"/>
    <w:multiLevelType w:val="singleLevel"/>
    <w:tmpl w:val="3F5ADD05"/>
    <w:lvl w:ilvl="0" w:tentative="0">
      <w:start w:val="1"/>
      <w:numFmt w:val="decimal"/>
      <w:suff w:val="nothing"/>
      <w:lvlText w:val="（%1）"/>
      <w:lvlJc w:val="left"/>
    </w:lvl>
  </w:abstractNum>
  <w:abstractNum w:abstractNumId="6">
    <w:nsid w:val="44B6A82E"/>
    <w:multiLevelType w:val="singleLevel"/>
    <w:tmpl w:val="44B6A82E"/>
    <w:lvl w:ilvl="0" w:tentative="0">
      <w:start w:val="3"/>
      <w:numFmt w:val="decimal"/>
      <w:suff w:val="nothing"/>
      <w:lvlText w:val="%1、"/>
      <w:lvlJc w:val="left"/>
    </w:lvl>
  </w:abstractNum>
  <w:abstractNum w:abstractNumId="7">
    <w:nsid w:val="74466E67"/>
    <w:multiLevelType w:val="singleLevel"/>
    <w:tmpl w:val="74466E67"/>
    <w:lvl w:ilvl="0" w:tentative="0">
      <w:start w:val="9"/>
      <w:numFmt w:val="decimal"/>
      <w:suff w:val="nothing"/>
      <w:lvlText w:val="（%1）"/>
      <w:lvlJc w:val="left"/>
    </w:lvl>
  </w:abstractNum>
  <w:num w:numId="1">
    <w:abstractNumId w:val="0"/>
  </w:num>
  <w:num w:numId="2">
    <w:abstractNumId w:val="3"/>
  </w:num>
  <w:num w:numId="3">
    <w:abstractNumId w:val="5"/>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trackRevisions w:val="1"/>
  <w:documentProtection w:edit="trackedChanges" w:enforcement="1" w:cryptProviderType="rsaFull" w:cryptAlgorithmClass="hash" w:cryptAlgorithmType="typeAny" w:cryptAlgorithmSid="4" w:cryptSpinCount="0" w:hash="Uyz71aTw5i6d0g/S9SMUnBtfkC4=" w:salt="fUXORn0fd0mcqMKybaiB8Q=="/>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RlN2Y2MTkzNmMwM2JjZmE2ZjhjY2Q2ZjhiMTA2OTMifQ=="/>
  </w:docVars>
  <w:rsids>
    <w:rsidRoot w:val="00172A27"/>
    <w:rsid w:val="000327F6"/>
    <w:rsid w:val="00045065"/>
    <w:rsid w:val="000727C9"/>
    <w:rsid w:val="000A5622"/>
    <w:rsid w:val="000B6C73"/>
    <w:rsid w:val="000C2BD6"/>
    <w:rsid w:val="000C4415"/>
    <w:rsid w:val="00100064"/>
    <w:rsid w:val="00115AAC"/>
    <w:rsid w:val="0011644B"/>
    <w:rsid w:val="00122C37"/>
    <w:rsid w:val="00171711"/>
    <w:rsid w:val="00172A27"/>
    <w:rsid w:val="00185B7D"/>
    <w:rsid w:val="0019698F"/>
    <w:rsid w:val="001A4716"/>
    <w:rsid w:val="001B22D4"/>
    <w:rsid w:val="001C06FB"/>
    <w:rsid w:val="001C1ABD"/>
    <w:rsid w:val="001D2BD3"/>
    <w:rsid w:val="001D426C"/>
    <w:rsid w:val="001E4660"/>
    <w:rsid w:val="0020267C"/>
    <w:rsid w:val="002033ED"/>
    <w:rsid w:val="00207591"/>
    <w:rsid w:val="0022181C"/>
    <w:rsid w:val="002235CA"/>
    <w:rsid w:val="00226DAE"/>
    <w:rsid w:val="00240E88"/>
    <w:rsid w:val="002535DB"/>
    <w:rsid w:val="0027327C"/>
    <w:rsid w:val="002838FF"/>
    <w:rsid w:val="002A34CB"/>
    <w:rsid w:val="002B4F45"/>
    <w:rsid w:val="002F0354"/>
    <w:rsid w:val="002F2353"/>
    <w:rsid w:val="003002FF"/>
    <w:rsid w:val="00343467"/>
    <w:rsid w:val="003B0418"/>
    <w:rsid w:val="003C12E5"/>
    <w:rsid w:val="003D6B36"/>
    <w:rsid w:val="004154A2"/>
    <w:rsid w:val="0042300E"/>
    <w:rsid w:val="004240D3"/>
    <w:rsid w:val="00440BD6"/>
    <w:rsid w:val="00451D19"/>
    <w:rsid w:val="0046550B"/>
    <w:rsid w:val="0049673E"/>
    <w:rsid w:val="004A15BB"/>
    <w:rsid w:val="004A1C92"/>
    <w:rsid w:val="004A2CEB"/>
    <w:rsid w:val="004B0F3F"/>
    <w:rsid w:val="004F2018"/>
    <w:rsid w:val="0050445E"/>
    <w:rsid w:val="005212ED"/>
    <w:rsid w:val="005322C2"/>
    <w:rsid w:val="005614EC"/>
    <w:rsid w:val="00561A71"/>
    <w:rsid w:val="005644F0"/>
    <w:rsid w:val="00593135"/>
    <w:rsid w:val="00593DC2"/>
    <w:rsid w:val="005D40F4"/>
    <w:rsid w:val="005D4C63"/>
    <w:rsid w:val="005D6F65"/>
    <w:rsid w:val="005E6C89"/>
    <w:rsid w:val="005E73F8"/>
    <w:rsid w:val="00612345"/>
    <w:rsid w:val="00670BE6"/>
    <w:rsid w:val="00696295"/>
    <w:rsid w:val="006D228F"/>
    <w:rsid w:val="006D7968"/>
    <w:rsid w:val="0071157D"/>
    <w:rsid w:val="00716C3B"/>
    <w:rsid w:val="00717621"/>
    <w:rsid w:val="00764BA1"/>
    <w:rsid w:val="00773939"/>
    <w:rsid w:val="007807AC"/>
    <w:rsid w:val="007848F5"/>
    <w:rsid w:val="0078569D"/>
    <w:rsid w:val="007A5641"/>
    <w:rsid w:val="007C661F"/>
    <w:rsid w:val="007E2899"/>
    <w:rsid w:val="007F0790"/>
    <w:rsid w:val="007F728E"/>
    <w:rsid w:val="0080580E"/>
    <w:rsid w:val="00815F66"/>
    <w:rsid w:val="008233A0"/>
    <w:rsid w:val="00827953"/>
    <w:rsid w:val="008367A0"/>
    <w:rsid w:val="00836F53"/>
    <w:rsid w:val="00841734"/>
    <w:rsid w:val="00852266"/>
    <w:rsid w:val="008540C9"/>
    <w:rsid w:val="008624DE"/>
    <w:rsid w:val="00873D7C"/>
    <w:rsid w:val="008A5B2E"/>
    <w:rsid w:val="008C0B23"/>
    <w:rsid w:val="008C4A57"/>
    <w:rsid w:val="008F2B4E"/>
    <w:rsid w:val="0090097E"/>
    <w:rsid w:val="00953321"/>
    <w:rsid w:val="00975801"/>
    <w:rsid w:val="00987446"/>
    <w:rsid w:val="009C06B1"/>
    <w:rsid w:val="009D02D1"/>
    <w:rsid w:val="009E68AC"/>
    <w:rsid w:val="009F2E6D"/>
    <w:rsid w:val="00A3396F"/>
    <w:rsid w:val="00A33C3E"/>
    <w:rsid w:val="00A54F18"/>
    <w:rsid w:val="00A64246"/>
    <w:rsid w:val="00A77550"/>
    <w:rsid w:val="00A83DDA"/>
    <w:rsid w:val="00A948D4"/>
    <w:rsid w:val="00AB4B44"/>
    <w:rsid w:val="00AB7CBD"/>
    <w:rsid w:val="00AD2ECE"/>
    <w:rsid w:val="00AF4AE0"/>
    <w:rsid w:val="00AF5B67"/>
    <w:rsid w:val="00B04B38"/>
    <w:rsid w:val="00B11373"/>
    <w:rsid w:val="00B12E38"/>
    <w:rsid w:val="00B5117E"/>
    <w:rsid w:val="00B83327"/>
    <w:rsid w:val="00B8680E"/>
    <w:rsid w:val="00BA0FA9"/>
    <w:rsid w:val="00BB6708"/>
    <w:rsid w:val="00BC3A6C"/>
    <w:rsid w:val="00BD09FC"/>
    <w:rsid w:val="00C45AF9"/>
    <w:rsid w:val="00C577DE"/>
    <w:rsid w:val="00C62A64"/>
    <w:rsid w:val="00CA303A"/>
    <w:rsid w:val="00CB5577"/>
    <w:rsid w:val="00CC7B04"/>
    <w:rsid w:val="00CF2944"/>
    <w:rsid w:val="00D061D0"/>
    <w:rsid w:val="00D11DA0"/>
    <w:rsid w:val="00D1355C"/>
    <w:rsid w:val="00D52F63"/>
    <w:rsid w:val="00D533F8"/>
    <w:rsid w:val="00D86811"/>
    <w:rsid w:val="00D97E9A"/>
    <w:rsid w:val="00DA2E3D"/>
    <w:rsid w:val="00DB5E90"/>
    <w:rsid w:val="00DC01F9"/>
    <w:rsid w:val="00DC6AF9"/>
    <w:rsid w:val="00E17760"/>
    <w:rsid w:val="00E17F64"/>
    <w:rsid w:val="00E255C8"/>
    <w:rsid w:val="00EA5DF1"/>
    <w:rsid w:val="00EB4222"/>
    <w:rsid w:val="00EC04CE"/>
    <w:rsid w:val="00EC4B0F"/>
    <w:rsid w:val="00EC5246"/>
    <w:rsid w:val="00ED3BFA"/>
    <w:rsid w:val="00EF5DC7"/>
    <w:rsid w:val="00F24C3F"/>
    <w:rsid w:val="00F440D8"/>
    <w:rsid w:val="00F54007"/>
    <w:rsid w:val="00F56EA8"/>
    <w:rsid w:val="00F87796"/>
    <w:rsid w:val="00FA380A"/>
    <w:rsid w:val="00FA7B49"/>
    <w:rsid w:val="00FB2306"/>
    <w:rsid w:val="00FC2388"/>
    <w:rsid w:val="00FD1BB0"/>
    <w:rsid w:val="011B6335"/>
    <w:rsid w:val="01247E92"/>
    <w:rsid w:val="012515C4"/>
    <w:rsid w:val="013B0DE8"/>
    <w:rsid w:val="013C690E"/>
    <w:rsid w:val="013D01DA"/>
    <w:rsid w:val="0146666F"/>
    <w:rsid w:val="01537696"/>
    <w:rsid w:val="01626374"/>
    <w:rsid w:val="016E79BB"/>
    <w:rsid w:val="017165B7"/>
    <w:rsid w:val="01787946"/>
    <w:rsid w:val="017B0014"/>
    <w:rsid w:val="017F3B76"/>
    <w:rsid w:val="0189362A"/>
    <w:rsid w:val="01957E27"/>
    <w:rsid w:val="01D3571A"/>
    <w:rsid w:val="01D74973"/>
    <w:rsid w:val="01DB7EBC"/>
    <w:rsid w:val="01ED2EAC"/>
    <w:rsid w:val="01EE0F89"/>
    <w:rsid w:val="01F63E18"/>
    <w:rsid w:val="01F9035B"/>
    <w:rsid w:val="020E7FE4"/>
    <w:rsid w:val="02330D66"/>
    <w:rsid w:val="02402483"/>
    <w:rsid w:val="025F7AF4"/>
    <w:rsid w:val="02777BFD"/>
    <w:rsid w:val="027F4D04"/>
    <w:rsid w:val="0284056C"/>
    <w:rsid w:val="028E2239"/>
    <w:rsid w:val="028E4F47"/>
    <w:rsid w:val="029929F4"/>
    <w:rsid w:val="02A42221"/>
    <w:rsid w:val="02B34123"/>
    <w:rsid w:val="02B96008"/>
    <w:rsid w:val="02BA5F5E"/>
    <w:rsid w:val="03037514"/>
    <w:rsid w:val="03154BFE"/>
    <w:rsid w:val="031B7704"/>
    <w:rsid w:val="03284584"/>
    <w:rsid w:val="0328714A"/>
    <w:rsid w:val="032D4760"/>
    <w:rsid w:val="032E6589"/>
    <w:rsid w:val="0337542F"/>
    <w:rsid w:val="03555A65"/>
    <w:rsid w:val="03631A11"/>
    <w:rsid w:val="037F2CA6"/>
    <w:rsid w:val="0384101C"/>
    <w:rsid w:val="03863E70"/>
    <w:rsid w:val="0389225D"/>
    <w:rsid w:val="038B5BC4"/>
    <w:rsid w:val="03A21034"/>
    <w:rsid w:val="03B15391"/>
    <w:rsid w:val="03B64756"/>
    <w:rsid w:val="03BE185C"/>
    <w:rsid w:val="03C351AA"/>
    <w:rsid w:val="03D27EB0"/>
    <w:rsid w:val="03DB240E"/>
    <w:rsid w:val="03F54682"/>
    <w:rsid w:val="04022BFE"/>
    <w:rsid w:val="0468068E"/>
    <w:rsid w:val="046D4438"/>
    <w:rsid w:val="04810C66"/>
    <w:rsid w:val="0482288A"/>
    <w:rsid w:val="04A06914"/>
    <w:rsid w:val="04AF3C14"/>
    <w:rsid w:val="04C20084"/>
    <w:rsid w:val="04CB0091"/>
    <w:rsid w:val="04CD0710"/>
    <w:rsid w:val="04E56551"/>
    <w:rsid w:val="04E92909"/>
    <w:rsid w:val="05031C1C"/>
    <w:rsid w:val="050665A2"/>
    <w:rsid w:val="050A3B09"/>
    <w:rsid w:val="051A7389"/>
    <w:rsid w:val="052C47CE"/>
    <w:rsid w:val="053D6438"/>
    <w:rsid w:val="054479A4"/>
    <w:rsid w:val="05471E36"/>
    <w:rsid w:val="054933A7"/>
    <w:rsid w:val="0583125F"/>
    <w:rsid w:val="058C5B63"/>
    <w:rsid w:val="059211F2"/>
    <w:rsid w:val="0593682F"/>
    <w:rsid w:val="05A63BA7"/>
    <w:rsid w:val="05A90737"/>
    <w:rsid w:val="05B20F4D"/>
    <w:rsid w:val="05C018BB"/>
    <w:rsid w:val="05CF6454"/>
    <w:rsid w:val="05DA305B"/>
    <w:rsid w:val="05DC1650"/>
    <w:rsid w:val="05E63E64"/>
    <w:rsid w:val="05EF21D2"/>
    <w:rsid w:val="05F41C11"/>
    <w:rsid w:val="05F93A16"/>
    <w:rsid w:val="05FB0B46"/>
    <w:rsid w:val="060834FC"/>
    <w:rsid w:val="06107E61"/>
    <w:rsid w:val="06152050"/>
    <w:rsid w:val="061B574F"/>
    <w:rsid w:val="062539FF"/>
    <w:rsid w:val="06313475"/>
    <w:rsid w:val="063E2174"/>
    <w:rsid w:val="064029FC"/>
    <w:rsid w:val="06465301"/>
    <w:rsid w:val="064B142F"/>
    <w:rsid w:val="065456E8"/>
    <w:rsid w:val="066761DB"/>
    <w:rsid w:val="067A55E5"/>
    <w:rsid w:val="067F3398"/>
    <w:rsid w:val="06805006"/>
    <w:rsid w:val="0680729D"/>
    <w:rsid w:val="068F173C"/>
    <w:rsid w:val="06946962"/>
    <w:rsid w:val="06AC0092"/>
    <w:rsid w:val="06E92D95"/>
    <w:rsid w:val="06EA4413"/>
    <w:rsid w:val="06ED0F82"/>
    <w:rsid w:val="06F84E27"/>
    <w:rsid w:val="06FA011B"/>
    <w:rsid w:val="070A0C8B"/>
    <w:rsid w:val="070A34A0"/>
    <w:rsid w:val="071F3C81"/>
    <w:rsid w:val="07274993"/>
    <w:rsid w:val="073B34E2"/>
    <w:rsid w:val="073F0AAA"/>
    <w:rsid w:val="074A2F16"/>
    <w:rsid w:val="076158D7"/>
    <w:rsid w:val="076A5EBC"/>
    <w:rsid w:val="076D638D"/>
    <w:rsid w:val="07744E5F"/>
    <w:rsid w:val="077A2252"/>
    <w:rsid w:val="07A22D90"/>
    <w:rsid w:val="07B1083A"/>
    <w:rsid w:val="07B30AD6"/>
    <w:rsid w:val="07DA257E"/>
    <w:rsid w:val="07DF5C96"/>
    <w:rsid w:val="07FE491D"/>
    <w:rsid w:val="08074D9A"/>
    <w:rsid w:val="08147C2D"/>
    <w:rsid w:val="08237D7E"/>
    <w:rsid w:val="082A7231"/>
    <w:rsid w:val="083F4163"/>
    <w:rsid w:val="084558C8"/>
    <w:rsid w:val="08477B23"/>
    <w:rsid w:val="0867222F"/>
    <w:rsid w:val="086D2DAD"/>
    <w:rsid w:val="088E55AF"/>
    <w:rsid w:val="08915791"/>
    <w:rsid w:val="089820E6"/>
    <w:rsid w:val="08B43636"/>
    <w:rsid w:val="08B5088C"/>
    <w:rsid w:val="08B81AB7"/>
    <w:rsid w:val="08CE4F66"/>
    <w:rsid w:val="08D13DE0"/>
    <w:rsid w:val="08F2432F"/>
    <w:rsid w:val="08F57ACE"/>
    <w:rsid w:val="091B46C8"/>
    <w:rsid w:val="0933033E"/>
    <w:rsid w:val="09447444"/>
    <w:rsid w:val="09472B84"/>
    <w:rsid w:val="09606A75"/>
    <w:rsid w:val="09717ADB"/>
    <w:rsid w:val="097C14E4"/>
    <w:rsid w:val="09B13158"/>
    <w:rsid w:val="09C35018"/>
    <w:rsid w:val="09CA0D26"/>
    <w:rsid w:val="09CB04E0"/>
    <w:rsid w:val="09DE594A"/>
    <w:rsid w:val="09FA315E"/>
    <w:rsid w:val="0A000297"/>
    <w:rsid w:val="0A0328E2"/>
    <w:rsid w:val="0A147843"/>
    <w:rsid w:val="0A193C90"/>
    <w:rsid w:val="0A2166A1"/>
    <w:rsid w:val="0A25011B"/>
    <w:rsid w:val="0A381EFB"/>
    <w:rsid w:val="0A39513C"/>
    <w:rsid w:val="0A411229"/>
    <w:rsid w:val="0A4A67CC"/>
    <w:rsid w:val="0A4F4254"/>
    <w:rsid w:val="0A6846F0"/>
    <w:rsid w:val="0A6D18E6"/>
    <w:rsid w:val="0A704A0A"/>
    <w:rsid w:val="0A831501"/>
    <w:rsid w:val="0AA634B8"/>
    <w:rsid w:val="0AA97D04"/>
    <w:rsid w:val="0ABA1FAF"/>
    <w:rsid w:val="0AC567DB"/>
    <w:rsid w:val="0AC97464"/>
    <w:rsid w:val="0AD54E41"/>
    <w:rsid w:val="0AE709DF"/>
    <w:rsid w:val="0AEA2F37"/>
    <w:rsid w:val="0AF67B2D"/>
    <w:rsid w:val="0AF7675C"/>
    <w:rsid w:val="0AFA72AE"/>
    <w:rsid w:val="0B0D2A56"/>
    <w:rsid w:val="0B0E58C2"/>
    <w:rsid w:val="0B200E5B"/>
    <w:rsid w:val="0B4765DB"/>
    <w:rsid w:val="0B50723E"/>
    <w:rsid w:val="0B513759"/>
    <w:rsid w:val="0B6E6D14"/>
    <w:rsid w:val="0B77312B"/>
    <w:rsid w:val="0B7F3FC7"/>
    <w:rsid w:val="0B884C29"/>
    <w:rsid w:val="0B9C6927"/>
    <w:rsid w:val="0BAD28E2"/>
    <w:rsid w:val="0BCC2F96"/>
    <w:rsid w:val="0BD04822"/>
    <w:rsid w:val="0BF00A21"/>
    <w:rsid w:val="0C2F012D"/>
    <w:rsid w:val="0C3B56A2"/>
    <w:rsid w:val="0C3D3FF4"/>
    <w:rsid w:val="0C4D19CF"/>
    <w:rsid w:val="0CAF61E6"/>
    <w:rsid w:val="0CB25A78"/>
    <w:rsid w:val="0CB4281B"/>
    <w:rsid w:val="0CBD6B55"/>
    <w:rsid w:val="0CD77550"/>
    <w:rsid w:val="0CD96BAA"/>
    <w:rsid w:val="0CDB347F"/>
    <w:rsid w:val="0CE15B30"/>
    <w:rsid w:val="0CFB142B"/>
    <w:rsid w:val="0D046532"/>
    <w:rsid w:val="0D1D75F3"/>
    <w:rsid w:val="0D3606B5"/>
    <w:rsid w:val="0D565170"/>
    <w:rsid w:val="0DA25EB9"/>
    <w:rsid w:val="0DA87805"/>
    <w:rsid w:val="0DC20E8F"/>
    <w:rsid w:val="0DC465E5"/>
    <w:rsid w:val="0DD136ED"/>
    <w:rsid w:val="0DDC125D"/>
    <w:rsid w:val="0DE53ECB"/>
    <w:rsid w:val="0DF143AE"/>
    <w:rsid w:val="0E001623"/>
    <w:rsid w:val="0E2A6683"/>
    <w:rsid w:val="0E381816"/>
    <w:rsid w:val="0E3C2E78"/>
    <w:rsid w:val="0E457A83"/>
    <w:rsid w:val="0E547045"/>
    <w:rsid w:val="0E5F3AD9"/>
    <w:rsid w:val="0E67019E"/>
    <w:rsid w:val="0E763266"/>
    <w:rsid w:val="0E7A1FAF"/>
    <w:rsid w:val="0E7D2086"/>
    <w:rsid w:val="0E8D07A9"/>
    <w:rsid w:val="0E930ADC"/>
    <w:rsid w:val="0E951C6F"/>
    <w:rsid w:val="0E9C09EC"/>
    <w:rsid w:val="0EAF71B9"/>
    <w:rsid w:val="0EB472AB"/>
    <w:rsid w:val="0EB9334C"/>
    <w:rsid w:val="0EBA4655"/>
    <w:rsid w:val="0EBD3686"/>
    <w:rsid w:val="0ED5373C"/>
    <w:rsid w:val="0ED8043D"/>
    <w:rsid w:val="0EDF39E8"/>
    <w:rsid w:val="0EEE110C"/>
    <w:rsid w:val="0F136F00"/>
    <w:rsid w:val="0F153475"/>
    <w:rsid w:val="0F1A1CEB"/>
    <w:rsid w:val="0F403A6D"/>
    <w:rsid w:val="0F5E5D8C"/>
    <w:rsid w:val="0F6459AD"/>
    <w:rsid w:val="0F8366B0"/>
    <w:rsid w:val="0F921E5B"/>
    <w:rsid w:val="0F960548"/>
    <w:rsid w:val="0F9C51B3"/>
    <w:rsid w:val="0FB241F9"/>
    <w:rsid w:val="0FDB1E05"/>
    <w:rsid w:val="0FDC029C"/>
    <w:rsid w:val="101A0148"/>
    <w:rsid w:val="10220057"/>
    <w:rsid w:val="10246EEB"/>
    <w:rsid w:val="102E38C6"/>
    <w:rsid w:val="103E3BC2"/>
    <w:rsid w:val="104D6442"/>
    <w:rsid w:val="10596B94"/>
    <w:rsid w:val="107A5A50"/>
    <w:rsid w:val="1097352B"/>
    <w:rsid w:val="10B04957"/>
    <w:rsid w:val="10B265D2"/>
    <w:rsid w:val="10C347AE"/>
    <w:rsid w:val="10C44735"/>
    <w:rsid w:val="10C910D8"/>
    <w:rsid w:val="10CD30DE"/>
    <w:rsid w:val="10D9656E"/>
    <w:rsid w:val="10DC65A3"/>
    <w:rsid w:val="10E52127"/>
    <w:rsid w:val="10F16E41"/>
    <w:rsid w:val="10F5774F"/>
    <w:rsid w:val="11050ACA"/>
    <w:rsid w:val="11147358"/>
    <w:rsid w:val="11410EBA"/>
    <w:rsid w:val="11427674"/>
    <w:rsid w:val="116F149C"/>
    <w:rsid w:val="11981101"/>
    <w:rsid w:val="11AB78C4"/>
    <w:rsid w:val="11B568C8"/>
    <w:rsid w:val="11C4650B"/>
    <w:rsid w:val="11C664AC"/>
    <w:rsid w:val="11CE5360"/>
    <w:rsid w:val="11D0238A"/>
    <w:rsid w:val="11D566EF"/>
    <w:rsid w:val="11FC2DD6"/>
    <w:rsid w:val="11FD0FCC"/>
    <w:rsid w:val="121D3BF2"/>
    <w:rsid w:val="122519E7"/>
    <w:rsid w:val="122A4C8C"/>
    <w:rsid w:val="123A0387"/>
    <w:rsid w:val="123F1DBA"/>
    <w:rsid w:val="124D5887"/>
    <w:rsid w:val="125624A5"/>
    <w:rsid w:val="126D73FC"/>
    <w:rsid w:val="127B6546"/>
    <w:rsid w:val="127E0B34"/>
    <w:rsid w:val="12836D9F"/>
    <w:rsid w:val="12866890"/>
    <w:rsid w:val="12890C4A"/>
    <w:rsid w:val="128A0C76"/>
    <w:rsid w:val="1293075D"/>
    <w:rsid w:val="12A156A8"/>
    <w:rsid w:val="12B35490"/>
    <w:rsid w:val="12B409A5"/>
    <w:rsid w:val="12B66520"/>
    <w:rsid w:val="12B97435"/>
    <w:rsid w:val="12C74322"/>
    <w:rsid w:val="12DD347B"/>
    <w:rsid w:val="1305613B"/>
    <w:rsid w:val="13193128"/>
    <w:rsid w:val="131C52B5"/>
    <w:rsid w:val="131F54E6"/>
    <w:rsid w:val="13235868"/>
    <w:rsid w:val="13346CAC"/>
    <w:rsid w:val="1336396D"/>
    <w:rsid w:val="13533D6F"/>
    <w:rsid w:val="13596EAB"/>
    <w:rsid w:val="135B0E75"/>
    <w:rsid w:val="135E5D77"/>
    <w:rsid w:val="13643A08"/>
    <w:rsid w:val="136D627A"/>
    <w:rsid w:val="138111EE"/>
    <w:rsid w:val="138A4EA7"/>
    <w:rsid w:val="138C2043"/>
    <w:rsid w:val="13B3017F"/>
    <w:rsid w:val="13C33F86"/>
    <w:rsid w:val="13C7475D"/>
    <w:rsid w:val="13E929AC"/>
    <w:rsid w:val="13E930BA"/>
    <w:rsid w:val="13F16E5E"/>
    <w:rsid w:val="13FC5058"/>
    <w:rsid w:val="1416492A"/>
    <w:rsid w:val="142C5957"/>
    <w:rsid w:val="14355A25"/>
    <w:rsid w:val="143771ED"/>
    <w:rsid w:val="1446686F"/>
    <w:rsid w:val="145A737F"/>
    <w:rsid w:val="14660439"/>
    <w:rsid w:val="146C35B2"/>
    <w:rsid w:val="146C5222"/>
    <w:rsid w:val="146D2ACB"/>
    <w:rsid w:val="1489757B"/>
    <w:rsid w:val="149743A5"/>
    <w:rsid w:val="14A00B4C"/>
    <w:rsid w:val="14CD4D0C"/>
    <w:rsid w:val="14D233B9"/>
    <w:rsid w:val="150C32EC"/>
    <w:rsid w:val="151117F4"/>
    <w:rsid w:val="15167956"/>
    <w:rsid w:val="152139F9"/>
    <w:rsid w:val="153E27FD"/>
    <w:rsid w:val="154D33BD"/>
    <w:rsid w:val="15500D3E"/>
    <w:rsid w:val="15512C1A"/>
    <w:rsid w:val="15545B7C"/>
    <w:rsid w:val="15690045"/>
    <w:rsid w:val="157E709D"/>
    <w:rsid w:val="15940F8F"/>
    <w:rsid w:val="15973CBB"/>
    <w:rsid w:val="159B37AB"/>
    <w:rsid w:val="15BD7BC5"/>
    <w:rsid w:val="15D37B32"/>
    <w:rsid w:val="15D72551"/>
    <w:rsid w:val="15DC3758"/>
    <w:rsid w:val="15EB77CB"/>
    <w:rsid w:val="15ED414A"/>
    <w:rsid w:val="15F03BC4"/>
    <w:rsid w:val="160550C9"/>
    <w:rsid w:val="16242ACF"/>
    <w:rsid w:val="163C264A"/>
    <w:rsid w:val="163C4F8E"/>
    <w:rsid w:val="16443E43"/>
    <w:rsid w:val="16493F29"/>
    <w:rsid w:val="164A09B4"/>
    <w:rsid w:val="16554771"/>
    <w:rsid w:val="16585CCF"/>
    <w:rsid w:val="165967D8"/>
    <w:rsid w:val="165D1EF2"/>
    <w:rsid w:val="166938A9"/>
    <w:rsid w:val="168A1109"/>
    <w:rsid w:val="169225DB"/>
    <w:rsid w:val="16AE0DFA"/>
    <w:rsid w:val="16B14A23"/>
    <w:rsid w:val="16BA18F3"/>
    <w:rsid w:val="16BB7FDD"/>
    <w:rsid w:val="16C35E35"/>
    <w:rsid w:val="16C80BA2"/>
    <w:rsid w:val="16D058F4"/>
    <w:rsid w:val="16D927DD"/>
    <w:rsid w:val="16E8283F"/>
    <w:rsid w:val="16FB6BF7"/>
    <w:rsid w:val="16FD38E2"/>
    <w:rsid w:val="17035AAC"/>
    <w:rsid w:val="170F4521"/>
    <w:rsid w:val="171C4DC0"/>
    <w:rsid w:val="171E1B23"/>
    <w:rsid w:val="171F40CB"/>
    <w:rsid w:val="17255A22"/>
    <w:rsid w:val="172942B2"/>
    <w:rsid w:val="17302FB6"/>
    <w:rsid w:val="17407A9A"/>
    <w:rsid w:val="17485BB5"/>
    <w:rsid w:val="17621017"/>
    <w:rsid w:val="17667DE9"/>
    <w:rsid w:val="176F07FB"/>
    <w:rsid w:val="177C171E"/>
    <w:rsid w:val="178B4A91"/>
    <w:rsid w:val="17A42169"/>
    <w:rsid w:val="17AF2C3B"/>
    <w:rsid w:val="17B13C76"/>
    <w:rsid w:val="17B40C26"/>
    <w:rsid w:val="17BA0860"/>
    <w:rsid w:val="17BC1C5C"/>
    <w:rsid w:val="17C074F9"/>
    <w:rsid w:val="17C50FB3"/>
    <w:rsid w:val="17C76AD9"/>
    <w:rsid w:val="17D92194"/>
    <w:rsid w:val="17E23913"/>
    <w:rsid w:val="17EB1309"/>
    <w:rsid w:val="17F513E1"/>
    <w:rsid w:val="17FB00E8"/>
    <w:rsid w:val="17FC5493"/>
    <w:rsid w:val="18004664"/>
    <w:rsid w:val="18096C97"/>
    <w:rsid w:val="1812319A"/>
    <w:rsid w:val="181746F0"/>
    <w:rsid w:val="182757CA"/>
    <w:rsid w:val="182E6B59"/>
    <w:rsid w:val="18433922"/>
    <w:rsid w:val="18502F88"/>
    <w:rsid w:val="188B2A8E"/>
    <w:rsid w:val="188C1B9A"/>
    <w:rsid w:val="18922161"/>
    <w:rsid w:val="18CE3E98"/>
    <w:rsid w:val="19124546"/>
    <w:rsid w:val="19143FA0"/>
    <w:rsid w:val="191E39FF"/>
    <w:rsid w:val="191E489B"/>
    <w:rsid w:val="19241D0A"/>
    <w:rsid w:val="19320D13"/>
    <w:rsid w:val="194A24B2"/>
    <w:rsid w:val="195257A2"/>
    <w:rsid w:val="198146A5"/>
    <w:rsid w:val="199852BB"/>
    <w:rsid w:val="199F78EA"/>
    <w:rsid w:val="19BE56ED"/>
    <w:rsid w:val="19F12DAF"/>
    <w:rsid w:val="19F81081"/>
    <w:rsid w:val="19FC3BBB"/>
    <w:rsid w:val="1A0C2EC9"/>
    <w:rsid w:val="1A135C0D"/>
    <w:rsid w:val="1A2E72EB"/>
    <w:rsid w:val="1A4968EB"/>
    <w:rsid w:val="1A6333FE"/>
    <w:rsid w:val="1A7F6362"/>
    <w:rsid w:val="1A922568"/>
    <w:rsid w:val="1AA678B9"/>
    <w:rsid w:val="1AA827BF"/>
    <w:rsid w:val="1AAC1492"/>
    <w:rsid w:val="1AAC5EFB"/>
    <w:rsid w:val="1AAE28D2"/>
    <w:rsid w:val="1AAE3F81"/>
    <w:rsid w:val="1ABF12A4"/>
    <w:rsid w:val="1AC90DBB"/>
    <w:rsid w:val="1AD968F1"/>
    <w:rsid w:val="1ADA0917"/>
    <w:rsid w:val="1AED191D"/>
    <w:rsid w:val="1AFA293C"/>
    <w:rsid w:val="1B075D1D"/>
    <w:rsid w:val="1B122762"/>
    <w:rsid w:val="1B141CEE"/>
    <w:rsid w:val="1B1C538E"/>
    <w:rsid w:val="1B1E69E8"/>
    <w:rsid w:val="1B24410A"/>
    <w:rsid w:val="1B2770C4"/>
    <w:rsid w:val="1B2D71D1"/>
    <w:rsid w:val="1B371349"/>
    <w:rsid w:val="1B375D24"/>
    <w:rsid w:val="1B4346C9"/>
    <w:rsid w:val="1B542B81"/>
    <w:rsid w:val="1B56062E"/>
    <w:rsid w:val="1B634E28"/>
    <w:rsid w:val="1B68176B"/>
    <w:rsid w:val="1B862808"/>
    <w:rsid w:val="1B8865E6"/>
    <w:rsid w:val="1BAA0724"/>
    <w:rsid w:val="1BB80002"/>
    <w:rsid w:val="1BD21EF1"/>
    <w:rsid w:val="1BDC68CC"/>
    <w:rsid w:val="1BFF3836"/>
    <w:rsid w:val="1C052A7D"/>
    <w:rsid w:val="1C1E0C92"/>
    <w:rsid w:val="1C2D168A"/>
    <w:rsid w:val="1C2D19DF"/>
    <w:rsid w:val="1C5015D9"/>
    <w:rsid w:val="1C5F782F"/>
    <w:rsid w:val="1C6F4E53"/>
    <w:rsid w:val="1C7B4A4F"/>
    <w:rsid w:val="1C9468DC"/>
    <w:rsid w:val="1CA75D01"/>
    <w:rsid w:val="1CAB2142"/>
    <w:rsid w:val="1CAE0268"/>
    <w:rsid w:val="1CC17F9B"/>
    <w:rsid w:val="1CC42BDF"/>
    <w:rsid w:val="1CDB243D"/>
    <w:rsid w:val="1CE6771E"/>
    <w:rsid w:val="1CE8451F"/>
    <w:rsid w:val="1CEE2D5A"/>
    <w:rsid w:val="1D037CB9"/>
    <w:rsid w:val="1D0B2038"/>
    <w:rsid w:val="1D175E0D"/>
    <w:rsid w:val="1D2C6FF5"/>
    <w:rsid w:val="1D312395"/>
    <w:rsid w:val="1D3520E4"/>
    <w:rsid w:val="1D396D4A"/>
    <w:rsid w:val="1D3F5364"/>
    <w:rsid w:val="1D4973CD"/>
    <w:rsid w:val="1D542100"/>
    <w:rsid w:val="1D5B0857"/>
    <w:rsid w:val="1D6A3F1B"/>
    <w:rsid w:val="1D6D1775"/>
    <w:rsid w:val="1D853C9F"/>
    <w:rsid w:val="1D8E2134"/>
    <w:rsid w:val="1D927929"/>
    <w:rsid w:val="1DA32FFE"/>
    <w:rsid w:val="1DB52A07"/>
    <w:rsid w:val="1DB679B6"/>
    <w:rsid w:val="1DC01001"/>
    <w:rsid w:val="1DC0379C"/>
    <w:rsid w:val="1DDE06FD"/>
    <w:rsid w:val="1DE46B66"/>
    <w:rsid w:val="1DE81B9C"/>
    <w:rsid w:val="1E283E93"/>
    <w:rsid w:val="1E320A25"/>
    <w:rsid w:val="1E334EC9"/>
    <w:rsid w:val="1E3E5514"/>
    <w:rsid w:val="1E546BED"/>
    <w:rsid w:val="1E576198"/>
    <w:rsid w:val="1E6037E4"/>
    <w:rsid w:val="1E6B5FBF"/>
    <w:rsid w:val="1E6E5F01"/>
    <w:rsid w:val="1E71154D"/>
    <w:rsid w:val="1E776FA8"/>
    <w:rsid w:val="1E976754"/>
    <w:rsid w:val="1EC02DEE"/>
    <w:rsid w:val="1ECB7DAD"/>
    <w:rsid w:val="1EE36AF5"/>
    <w:rsid w:val="1EFA59E6"/>
    <w:rsid w:val="1F232988"/>
    <w:rsid w:val="1F3200E5"/>
    <w:rsid w:val="1F330EF8"/>
    <w:rsid w:val="1F39012D"/>
    <w:rsid w:val="1F3B231E"/>
    <w:rsid w:val="1F522A00"/>
    <w:rsid w:val="1F774B6C"/>
    <w:rsid w:val="1F7D51C6"/>
    <w:rsid w:val="1F872D60"/>
    <w:rsid w:val="1FB913FE"/>
    <w:rsid w:val="1FC63844"/>
    <w:rsid w:val="1FC76194"/>
    <w:rsid w:val="1FD35166"/>
    <w:rsid w:val="1FD60D4C"/>
    <w:rsid w:val="1FD61EA2"/>
    <w:rsid w:val="1FD926CB"/>
    <w:rsid w:val="1FDE0E75"/>
    <w:rsid w:val="1FE37FA8"/>
    <w:rsid w:val="1FE6737E"/>
    <w:rsid w:val="1FE87B63"/>
    <w:rsid w:val="1FF12140"/>
    <w:rsid w:val="1FF71F26"/>
    <w:rsid w:val="20295438"/>
    <w:rsid w:val="202C474F"/>
    <w:rsid w:val="20322043"/>
    <w:rsid w:val="2035677C"/>
    <w:rsid w:val="204D4CD3"/>
    <w:rsid w:val="2059562E"/>
    <w:rsid w:val="207417C9"/>
    <w:rsid w:val="20847771"/>
    <w:rsid w:val="208732AA"/>
    <w:rsid w:val="208A4B48"/>
    <w:rsid w:val="209F0569"/>
    <w:rsid w:val="20B56086"/>
    <w:rsid w:val="20C216BE"/>
    <w:rsid w:val="20C5313C"/>
    <w:rsid w:val="20D67D8D"/>
    <w:rsid w:val="20DE02E1"/>
    <w:rsid w:val="20E467EA"/>
    <w:rsid w:val="20F578AD"/>
    <w:rsid w:val="210757FE"/>
    <w:rsid w:val="21113BF7"/>
    <w:rsid w:val="211C7E96"/>
    <w:rsid w:val="212A3A32"/>
    <w:rsid w:val="21465993"/>
    <w:rsid w:val="21495E9E"/>
    <w:rsid w:val="21701E78"/>
    <w:rsid w:val="217869A3"/>
    <w:rsid w:val="21A23645"/>
    <w:rsid w:val="21A8172A"/>
    <w:rsid w:val="21A82479"/>
    <w:rsid w:val="21D91DC1"/>
    <w:rsid w:val="21E1488C"/>
    <w:rsid w:val="220D4F50"/>
    <w:rsid w:val="220E2B44"/>
    <w:rsid w:val="221A59A6"/>
    <w:rsid w:val="221C3EC6"/>
    <w:rsid w:val="222839F2"/>
    <w:rsid w:val="223011CA"/>
    <w:rsid w:val="224079F9"/>
    <w:rsid w:val="224551CB"/>
    <w:rsid w:val="22696476"/>
    <w:rsid w:val="22736D94"/>
    <w:rsid w:val="227975A9"/>
    <w:rsid w:val="227C3D97"/>
    <w:rsid w:val="22844BA2"/>
    <w:rsid w:val="22965A26"/>
    <w:rsid w:val="22BA2AC9"/>
    <w:rsid w:val="23111926"/>
    <w:rsid w:val="231C1863"/>
    <w:rsid w:val="231D4C95"/>
    <w:rsid w:val="232C638A"/>
    <w:rsid w:val="232F2E19"/>
    <w:rsid w:val="23332F05"/>
    <w:rsid w:val="23492FEA"/>
    <w:rsid w:val="2371604F"/>
    <w:rsid w:val="237D6BE6"/>
    <w:rsid w:val="239E692A"/>
    <w:rsid w:val="23A46882"/>
    <w:rsid w:val="23B90326"/>
    <w:rsid w:val="23BA683B"/>
    <w:rsid w:val="23BD043D"/>
    <w:rsid w:val="23DD1CA1"/>
    <w:rsid w:val="23F01166"/>
    <w:rsid w:val="23F24841"/>
    <w:rsid w:val="23FA1861"/>
    <w:rsid w:val="243769C2"/>
    <w:rsid w:val="243D7A29"/>
    <w:rsid w:val="24423D78"/>
    <w:rsid w:val="24455865"/>
    <w:rsid w:val="246A40FC"/>
    <w:rsid w:val="247E6772"/>
    <w:rsid w:val="24812E02"/>
    <w:rsid w:val="248D2E59"/>
    <w:rsid w:val="24AA6BDC"/>
    <w:rsid w:val="24AF0749"/>
    <w:rsid w:val="24AF12B2"/>
    <w:rsid w:val="24BE0243"/>
    <w:rsid w:val="24CC0250"/>
    <w:rsid w:val="24CF3471"/>
    <w:rsid w:val="24D16FC9"/>
    <w:rsid w:val="24D3608E"/>
    <w:rsid w:val="24D701A9"/>
    <w:rsid w:val="24F0333E"/>
    <w:rsid w:val="24F370CF"/>
    <w:rsid w:val="24F55290"/>
    <w:rsid w:val="24F8107D"/>
    <w:rsid w:val="2503311B"/>
    <w:rsid w:val="25130217"/>
    <w:rsid w:val="252058E2"/>
    <w:rsid w:val="25471B1B"/>
    <w:rsid w:val="255236F4"/>
    <w:rsid w:val="25570F74"/>
    <w:rsid w:val="255913B1"/>
    <w:rsid w:val="255D6714"/>
    <w:rsid w:val="257432E3"/>
    <w:rsid w:val="25755904"/>
    <w:rsid w:val="2577464B"/>
    <w:rsid w:val="25AA73F4"/>
    <w:rsid w:val="25B679B8"/>
    <w:rsid w:val="25DE4890"/>
    <w:rsid w:val="25ED7C21"/>
    <w:rsid w:val="260F2758"/>
    <w:rsid w:val="26137BEB"/>
    <w:rsid w:val="26197880"/>
    <w:rsid w:val="26243349"/>
    <w:rsid w:val="262D48F3"/>
    <w:rsid w:val="264F6618"/>
    <w:rsid w:val="266046AC"/>
    <w:rsid w:val="266A6148"/>
    <w:rsid w:val="266E1611"/>
    <w:rsid w:val="26945741"/>
    <w:rsid w:val="26AD20FF"/>
    <w:rsid w:val="26EB3E67"/>
    <w:rsid w:val="26F431BA"/>
    <w:rsid w:val="26F471BF"/>
    <w:rsid w:val="270311B0"/>
    <w:rsid w:val="271E1A50"/>
    <w:rsid w:val="27263CA1"/>
    <w:rsid w:val="27291636"/>
    <w:rsid w:val="272A4721"/>
    <w:rsid w:val="272C0D3F"/>
    <w:rsid w:val="272D3F2A"/>
    <w:rsid w:val="27391066"/>
    <w:rsid w:val="27547C5E"/>
    <w:rsid w:val="275F43DA"/>
    <w:rsid w:val="27732C02"/>
    <w:rsid w:val="279E4EF7"/>
    <w:rsid w:val="27A97FAA"/>
    <w:rsid w:val="27AE639B"/>
    <w:rsid w:val="27B079C1"/>
    <w:rsid w:val="27D17500"/>
    <w:rsid w:val="27D642F4"/>
    <w:rsid w:val="27E3288F"/>
    <w:rsid w:val="28133675"/>
    <w:rsid w:val="281F5DBD"/>
    <w:rsid w:val="282B2177"/>
    <w:rsid w:val="282F71E1"/>
    <w:rsid w:val="285A74F6"/>
    <w:rsid w:val="28610762"/>
    <w:rsid w:val="286C41F3"/>
    <w:rsid w:val="287211CA"/>
    <w:rsid w:val="28757E8C"/>
    <w:rsid w:val="287E20ED"/>
    <w:rsid w:val="28811E52"/>
    <w:rsid w:val="2883240B"/>
    <w:rsid w:val="28AF2C05"/>
    <w:rsid w:val="28C57A7A"/>
    <w:rsid w:val="28CB4DDC"/>
    <w:rsid w:val="28D178EA"/>
    <w:rsid w:val="28DE47A4"/>
    <w:rsid w:val="28E45DF1"/>
    <w:rsid w:val="28F80E75"/>
    <w:rsid w:val="29025905"/>
    <w:rsid w:val="291E3799"/>
    <w:rsid w:val="293164A9"/>
    <w:rsid w:val="29513E9D"/>
    <w:rsid w:val="29591D3F"/>
    <w:rsid w:val="296323DF"/>
    <w:rsid w:val="297B5976"/>
    <w:rsid w:val="297B7724"/>
    <w:rsid w:val="298C36DF"/>
    <w:rsid w:val="2990381D"/>
    <w:rsid w:val="29905216"/>
    <w:rsid w:val="29A0362E"/>
    <w:rsid w:val="29B16187"/>
    <w:rsid w:val="29CF2848"/>
    <w:rsid w:val="29E54E2D"/>
    <w:rsid w:val="29E658FB"/>
    <w:rsid w:val="29F01EC0"/>
    <w:rsid w:val="29F8108E"/>
    <w:rsid w:val="29FE3F5A"/>
    <w:rsid w:val="2A063491"/>
    <w:rsid w:val="2A297180"/>
    <w:rsid w:val="2A3A75DF"/>
    <w:rsid w:val="2A3C7518"/>
    <w:rsid w:val="2A3E2EBF"/>
    <w:rsid w:val="2A484A56"/>
    <w:rsid w:val="2A72150C"/>
    <w:rsid w:val="2A73489F"/>
    <w:rsid w:val="2A754076"/>
    <w:rsid w:val="2AA10AF4"/>
    <w:rsid w:val="2AE141B6"/>
    <w:rsid w:val="2AF03B34"/>
    <w:rsid w:val="2B1E2CD5"/>
    <w:rsid w:val="2B275DB5"/>
    <w:rsid w:val="2B303442"/>
    <w:rsid w:val="2B345CDB"/>
    <w:rsid w:val="2B37601D"/>
    <w:rsid w:val="2B451883"/>
    <w:rsid w:val="2B512E9C"/>
    <w:rsid w:val="2B594297"/>
    <w:rsid w:val="2B5F5ABE"/>
    <w:rsid w:val="2B6228C3"/>
    <w:rsid w:val="2B6761B2"/>
    <w:rsid w:val="2B892DDD"/>
    <w:rsid w:val="2B9C3BB7"/>
    <w:rsid w:val="2BA300A1"/>
    <w:rsid w:val="2BA967CA"/>
    <w:rsid w:val="2BAA0794"/>
    <w:rsid w:val="2BAD7356"/>
    <w:rsid w:val="2BAD7CE4"/>
    <w:rsid w:val="2BBE7D9C"/>
    <w:rsid w:val="2BCA63E5"/>
    <w:rsid w:val="2BCC4C6B"/>
    <w:rsid w:val="2BD25E8D"/>
    <w:rsid w:val="2BD33847"/>
    <w:rsid w:val="2BD44863"/>
    <w:rsid w:val="2BD85ABC"/>
    <w:rsid w:val="2BDF28B4"/>
    <w:rsid w:val="2BE91B3D"/>
    <w:rsid w:val="2C0D56DE"/>
    <w:rsid w:val="2C0F631D"/>
    <w:rsid w:val="2C153E60"/>
    <w:rsid w:val="2C195BCB"/>
    <w:rsid w:val="2C2E396A"/>
    <w:rsid w:val="2C31676C"/>
    <w:rsid w:val="2C3D3EC5"/>
    <w:rsid w:val="2C48780C"/>
    <w:rsid w:val="2C564D86"/>
    <w:rsid w:val="2C5801F0"/>
    <w:rsid w:val="2C5B4E2B"/>
    <w:rsid w:val="2C6721E1"/>
    <w:rsid w:val="2C6941AB"/>
    <w:rsid w:val="2C797B17"/>
    <w:rsid w:val="2C9224AC"/>
    <w:rsid w:val="2C9B12CE"/>
    <w:rsid w:val="2CA8303D"/>
    <w:rsid w:val="2CA86A82"/>
    <w:rsid w:val="2CB35427"/>
    <w:rsid w:val="2CBE6142"/>
    <w:rsid w:val="2CC46C39"/>
    <w:rsid w:val="2CC656B3"/>
    <w:rsid w:val="2CD00DE0"/>
    <w:rsid w:val="2CD61401"/>
    <w:rsid w:val="2CF123CB"/>
    <w:rsid w:val="2D012636"/>
    <w:rsid w:val="2D085772"/>
    <w:rsid w:val="2D0D656C"/>
    <w:rsid w:val="2D1C6DA5"/>
    <w:rsid w:val="2D1E3E67"/>
    <w:rsid w:val="2D2D0D2A"/>
    <w:rsid w:val="2D2F0ED7"/>
    <w:rsid w:val="2D641E53"/>
    <w:rsid w:val="2D64734A"/>
    <w:rsid w:val="2D6A1F89"/>
    <w:rsid w:val="2D6C3387"/>
    <w:rsid w:val="2D7C0D07"/>
    <w:rsid w:val="2D964DEF"/>
    <w:rsid w:val="2D99461C"/>
    <w:rsid w:val="2DB07F59"/>
    <w:rsid w:val="2DB87198"/>
    <w:rsid w:val="2DBB27E5"/>
    <w:rsid w:val="2DCE44C2"/>
    <w:rsid w:val="2DFE26D1"/>
    <w:rsid w:val="2E151B50"/>
    <w:rsid w:val="2E1F2D74"/>
    <w:rsid w:val="2E200FA9"/>
    <w:rsid w:val="2E257331"/>
    <w:rsid w:val="2E3256A1"/>
    <w:rsid w:val="2E370DEE"/>
    <w:rsid w:val="2E382DE5"/>
    <w:rsid w:val="2E383E35"/>
    <w:rsid w:val="2E4D6547"/>
    <w:rsid w:val="2E4E3659"/>
    <w:rsid w:val="2E5753DA"/>
    <w:rsid w:val="2E74387D"/>
    <w:rsid w:val="2E7806D6"/>
    <w:rsid w:val="2E7B05F7"/>
    <w:rsid w:val="2E7D4E58"/>
    <w:rsid w:val="2E930F46"/>
    <w:rsid w:val="2E9C2616"/>
    <w:rsid w:val="2E9E2C80"/>
    <w:rsid w:val="2EA57831"/>
    <w:rsid w:val="2EAD4823"/>
    <w:rsid w:val="2EAE482B"/>
    <w:rsid w:val="2EB95320"/>
    <w:rsid w:val="2EBB4650"/>
    <w:rsid w:val="2EBD1E5E"/>
    <w:rsid w:val="2ECE640C"/>
    <w:rsid w:val="2ED0406E"/>
    <w:rsid w:val="2ED26038"/>
    <w:rsid w:val="2EE21B01"/>
    <w:rsid w:val="2EE356A6"/>
    <w:rsid w:val="2EEC0DD1"/>
    <w:rsid w:val="2EF24461"/>
    <w:rsid w:val="2EF91817"/>
    <w:rsid w:val="2EFD2D39"/>
    <w:rsid w:val="2EFF109D"/>
    <w:rsid w:val="2F0158C0"/>
    <w:rsid w:val="2F236894"/>
    <w:rsid w:val="2F2E01CA"/>
    <w:rsid w:val="2F324093"/>
    <w:rsid w:val="2F6A2443"/>
    <w:rsid w:val="2F7A4D80"/>
    <w:rsid w:val="2F8256E8"/>
    <w:rsid w:val="2F94032C"/>
    <w:rsid w:val="2FB36078"/>
    <w:rsid w:val="2FC524E1"/>
    <w:rsid w:val="2FCC5E07"/>
    <w:rsid w:val="2FE0721C"/>
    <w:rsid w:val="300D740D"/>
    <w:rsid w:val="301047AD"/>
    <w:rsid w:val="3015291F"/>
    <w:rsid w:val="302B7D68"/>
    <w:rsid w:val="3036148E"/>
    <w:rsid w:val="303F0287"/>
    <w:rsid w:val="30420F9B"/>
    <w:rsid w:val="30567D0A"/>
    <w:rsid w:val="30600615"/>
    <w:rsid w:val="306B6744"/>
    <w:rsid w:val="307B42B2"/>
    <w:rsid w:val="307E7949"/>
    <w:rsid w:val="308A7D8A"/>
    <w:rsid w:val="30B2178C"/>
    <w:rsid w:val="30BE41F9"/>
    <w:rsid w:val="30BF6B2B"/>
    <w:rsid w:val="30D02144"/>
    <w:rsid w:val="30D16392"/>
    <w:rsid w:val="30DC319E"/>
    <w:rsid w:val="30DF4157"/>
    <w:rsid w:val="30EA42FD"/>
    <w:rsid w:val="31371E66"/>
    <w:rsid w:val="313B4EF9"/>
    <w:rsid w:val="314F4AAE"/>
    <w:rsid w:val="31501496"/>
    <w:rsid w:val="3157339C"/>
    <w:rsid w:val="31630BBA"/>
    <w:rsid w:val="317E61DA"/>
    <w:rsid w:val="319637E8"/>
    <w:rsid w:val="31AC5F6D"/>
    <w:rsid w:val="31BC773E"/>
    <w:rsid w:val="31C31761"/>
    <w:rsid w:val="31C5610F"/>
    <w:rsid w:val="31CC63F4"/>
    <w:rsid w:val="31D71BB7"/>
    <w:rsid w:val="31DA376C"/>
    <w:rsid w:val="31F02BF1"/>
    <w:rsid w:val="32090E37"/>
    <w:rsid w:val="32155EF0"/>
    <w:rsid w:val="322D2641"/>
    <w:rsid w:val="323B661A"/>
    <w:rsid w:val="323E0027"/>
    <w:rsid w:val="32506261"/>
    <w:rsid w:val="325B7388"/>
    <w:rsid w:val="326C191E"/>
    <w:rsid w:val="3273368E"/>
    <w:rsid w:val="32895D67"/>
    <w:rsid w:val="3293193F"/>
    <w:rsid w:val="32936E35"/>
    <w:rsid w:val="32A4602F"/>
    <w:rsid w:val="32A46771"/>
    <w:rsid w:val="32A63A63"/>
    <w:rsid w:val="32B13C6D"/>
    <w:rsid w:val="32CA6456"/>
    <w:rsid w:val="32CC3B66"/>
    <w:rsid w:val="32CF18CC"/>
    <w:rsid w:val="32F07E9E"/>
    <w:rsid w:val="32FB2F34"/>
    <w:rsid w:val="330975F6"/>
    <w:rsid w:val="330D0BEB"/>
    <w:rsid w:val="330D25C6"/>
    <w:rsid w:val="330D738E"/>
    <w:rsid w:val="3314149D"/>
    <w:rsid w:val="331A2870"/>
    <w:rsid w:val="33287688"/>
    <w:rsid w:val="334024C5"/>
    <w:rsid w:val="33434310"/>
    <w:rsid w:val="334B3FAB"/>
    <w:rsid w:val="33527747"/>
    <w:rsid w:val="33541711"/>
    <w:rsid w:val="335A2349"/>
    <w:rsid w:val="33635381"/>
    <w:rsid w:val="33752891"/>
    <w:rsid w:val="338656E4"/>
    <w:rsid w:val="339133B6"/>
    <w:rsid w:val="33955886"/>
    <w:rsid w:val="33AD0E22"/>
    <w:rsid w:val="33B50C44"/>
    <w:rsid w:val="33C07AF4"/>
    <w:rsid w:val="33F057B3"/>
    <w:rsid w:val="342A5E41"/>
    <w:rsid w:val="344B6ED4"/>
    <w:rsid w:val="344C4197"/>
    <w:rsid w:val="34673B12"/>
    <w:rsid w:val="3476002E"/>
    <w:rsid w:val="34887B2C"/>
    <w:rsid w:val="349B16E9"/>
    <w:rsid w:val="34A76F0A"/>
    <w:rsid w:val="34B624CD"/>
    <w:rsid w:val="34BE1690"/>
    <w:rsid w:val="34DB2F73"/>
    <w:rsid w:val="34E03DB5"/>
    <w:rsid w:val="34E21963"/>
    <w:rsid w:val="35041D35"/>
    <w:rsid w:val="350807A8"/>
    <w:rsid w:val="3510672F"/>
    <w:rsid w:val="35224BBB"/>
    <w:rsid w:val="352819E8"/>
    <w:rsid w:val="35450298"/>
    <w:rsid w:val="355B616C"/>
    <w:rsid w:val="355B7C45"/>
    <w:rsid w:val="35802D60"/>
    <w:rsid w:val="358D55F1"/>
    <w:rsid w:val="3590064E"/>
    <w:rsid w:val="35972A5A"/>
    <w:rsid w:val="35A31D3A"/>
    <w:rsid w:val="35B069A7"/>
    <w:rsid w:val="35B93CDA"/>
    <w:rsid w:val="35CF32D1"/>
    <w:rsid w:val="35E61BC9"/>
    <w:rsid w:val="360D1836"/>
    <w:rsid w:val="361A0C8A"/>
    <w:rsid w:val="362152FD"/>
    <w:rsid w:val="362241CC"/>
    <w:rsid w:val="363A5D48"/>
    <w:rsid w:val="364451C4"/>
    <w:rsid w:val="36675EE2"/>
    <w:rsid w:val="36712425"/>
    <w:rsid w:val="367528E0"/>
    <w:rsid w:val="367857C3"/>
    <w:rsid w:val="36967ADA"/>
    <w:rsid w:val="369B64AE"/>
    <w:rsid w:val="36A6210C"/>
    <w:rsid w:val="36BE599C"/>
    <w:rsid w:val="36C54343"/>
    <w:rsid w:val="36E47938"/>
    <w:rsid w:val="36EB5659"/>
    <w:rsid w:val="36F87994"/>
    <w:rsid w:val="36FD7B0D"/>
    <w:rsid w:val="37082CF7"/>
    <w:rsid w:val="37154F64"/>
    <w:rsid w:val="37217B5C"/>
    <w:rsid w:val="37276F67"/>
    <w:rsid w:val="37277667"/>
    <w:rsid w:val="37313B18"/>
    <w:rsid w:val="37346646"/>
    <w:rsid w:val="373C66E6"/>
    <w:rsid w:val="37427AD3"/>
    <w:rsid w:val="37464DA1"/>
    <w:rsid w:val="37621F23"/>
    <w:rsid w:val="37995199"/>
    <w:rsid w:val="37B564F7"/>
    <w:rsid w:val="37D5242B"/>
    <w:rsid w:val="37FD7D7C"/>
    <w:rsid w:val="381E13AC"/>
    <w:rsid w:val="38267191"/>
    <w:rsid w:val="383704C4"/>
    <w:rsid w:val="38415FDC"/>
    <w:rsid w:val="386A108F"/>
    <w:rsid w:val="38782A52"/>
    <w:rsid w:val="38867B64"/>
    <w:rsid w:val="38936236"/>
    <w:rsid w:val="38AC78FA"/>
    <w:rsid w:val="38B70A56"/>
    <w:rsid w:val="38D17360"/>
    <w:rsid w:val="38D536BD"/>
    <w:rsid w:val="38DC150C"/>
    <w:rsid w:val="38FC59F0"/>
    <w:rsid w:val="38FE5C7B"/>
    <w:rsid w:val="39005CE7"/>
    <w:rsid w:val="39007C46"/>
    <w:rsid w:val="390B1242"/>
    <w:rsid w:val="3962620A"/>
    <w:rsid w:val="39680B72"/>
    <w:rsid w:val="398217F2"/>
    <w:rsid w:val="39850192"/>
    <w:rsid w:val="399E405C"/>
    <w:rsid w:val="39AE41DE"/>
    <w:rsid w:val="39C5756A"/>
    <w:rsid w:val="39D2513E"/>
    <w:rsid w:val="39D36E4D"/>
    <w:rsid w:val="39DB6ED1"/>
    <w:rsid w:val="39E62C55"/>
    <w:rsid w:val="39EA208D"/>
    <w:rsid w:val="39F50E33"/>
    <w:rsid w:val="3A030CCA"/>
    <w:rsid w:val="3A06784F"/>
    <w:rsid w:val="3A092EFA"/>
    <w:rsid w:val="3A56357A"/>
    <w:rsid w:val="3A576C59"/>
    <w:rsid w:val="3A6D3E8C"/>
    <w:rsid w:val="3A707CC0"/>
    <w:rsid w:val="3A77338E"/>
    <w:rsid w:val="3A851961"/>
    <w:rsid w:val="3A863A18"/>
    <w:rsid w:val="3A9875CD"/>
    <w:rsid w:val="3AB5279B"/>
    <w:rsid w:val="3AC27A31"/>
    <w:rsid w:val="3AD51B36"/>
    <w:rsid w:val="3AE93E68"/>
    <w:rsid w:val="3AEC54A8"/>
    <w:rsid w:val="3AF2458C"/>
    <w:rsid w:val="3AF30F35"/>
    <w:rsid w:val="3B0D14D6"/>
    <w:rsid w:val="3B186BAE"/>
    <w:rsid w:val="3B1B0D67"/>
    <w:rsid w:val="3B3616FD"/>
    <w:rsid w:val="3B415444"/>
    <w:rsid w:val="3B44499C"/>
    <w:rsid w:val="3B4E2997"/>
    <w:rsid w:val="3B58732D"/>
    <w:rsid w:val="3B655A3A"/>
    <w:rsid w:val="3B810D68"/>
    <w:rsid w:val="3B954675"/>
    <w:rsid w:val="3BBF0221"/>
    <w:rsid w:val="3BCF4AA0"/>
    <w:rsid w:val="3BD62D21"/>
    <w:rsid w:val="3BE677F1"/>
    <w:rsid w:val="3BE858FF"/>
    <w:rsid w:val="3BFF4A3E"/>
    <w:rsid w:val="3C0F1D99"/>
    <w:rsid w:val="3C117AFC"/>
    <w:rsid w:val="3C196564"/>
    <w:rsid w:val="3C1E1F51"/>
    <w:rsid w:val="3C244F05"/>
    <w:rsid w:val="3C31002E"/>
    <w:rsid w:val="3C3927B0"/>
    <w:rsid w:val="3C626BC9"/>
    <w:rsid w:val="3C672E60"/>
    <w:rsid w:val="3C694662"/>
    <w:rsid w:val="3C975A23"/>
    <w:rsid w:val="3C9F5166"/>
    <w:rsid w:val="3CB44FCF"/>
    <w:rsid w:val="3CBF0DCB"/>
    <w:rsid w:val="3CCF5D27"/>
    <w:rsid w:val="3CD127FC"/>
    <w:rsid w:val="3CDE0DDF"/>
    <w:rsid w:val="3CE533DA"/>
    <w:rsid w:val="3CEB6971"/>
    <w:rsid w:val="3CEE62D5"/>
    <w:rsid w:val="3D1612F6"/>
    <w:rsid w:val="3D1D0DC6"/>
    <w:rsid w:val="3D232155"/>
    <w:rsid w:val="3D3C3AED"/>
    <w:rsid w:val="3D49491C"/>
    <w:rsid w:val="3D4C4951"/>
    <w:rsid w:val="3D4E71D1"/>
    <w:rsid w:val="3D506198"/>
    <w:rsid w:val="3D6A4FE8"/>
    <w:rsid w:val="3D7B5AED"/>
    <w:rsid w:val="3D7D1865"/>
    <w:rsid w:val="3D8166A2"/>
    <w:rsid w:val="3D822082"/>
    <w:rsid w:val="3D982CB1"/>
    <w:rsid w:val="3DA51518"/>
    <w:rsid w:val="3DA74B34"/>
    <w:rsid w:val="3DAA0345"/>
    <w:rsid w:val="3DB334D8"/>
    <w:rsid w:val="3DB64C6E"/>
    <w:rsid w:val="3DBF5617"/>
    <w:rsid w:val="3DC01453"/>
    <w:rsid w:val="3DD85298"/>
    <w:rsid w:val="3DF75171"/>
    <w:rsid w:val="3DFD1F83"/>
    <w:rsid w:val="3DFE042B"/>
    <w:rsid w:val="3E051DE8"/>
    <w:rsid w:val="3E064613"/>
    <w:rsid w:val="3E1D67D6"/>
    <w:rsid w:val="3E3E516D"/>
    <w:rsid w:val="3E453D00"/>
    <w:rsid w:val="3E4D2EF7"/>
    <w:rsid w:val="3E4F60C2"/>
    <w:rsid w:val="3E5139E4"/>
    <w:rsid w:val="3E684914"/>
    <w:rsid w:val="3E6A4E52"/>
    <w:rsid w:val="3E6D40DE"/>
    <w:rsid w:val="3EA52AE3"/>
    <w:rsid w:val="3EB017C6"/>
    <w:rsid w:val="3EB0577A"/>
    <w:rsid w:val="3EEB25DB"/>
    <w:rsid w:val="3EF23B8C"/>
    <w:rsid w:val="3EF267BD"/>
    <w:rsid w:val="3EF9255F"/>
    <w:rsid w:val="3EF95FFE"/>
    <w:rsid w:val="3F1261A4"/>
    <w:rsid w:val="3F1D7BCF"/>
    <w:rsid w:val="3F204A99"/>
    <w:rsid w:val="3F2D7071"/>
    <w:rsid w:val="3F2F4DE1"/>
    <w:rsid w:val="3F32132C"/>
    <w:rsid w:val="3F332837"/>
    <w:rsid w:val="3F38621C"/>
    <w:rsid w:val="3F57699B"/>
    <w:rsid w:val="3F8E13DE"/>
    <w:rsid w:val="3F9907C4"/>
    <w:rsid w:val="3FA13DEA"/>
    <w:rsid w:val="3FA43E3E"/>
    <w:rsid w:val="3FAC1A48"/>
    <w:rsid w:val="3FB1682D"/>
    <w:rsid w:val="3FB3410F"/>
    <w:rsid w:val="3FC84C9E"/>
    <w:rsid w:val="3FCA1B42"/>
    <w:rsid w:val="3FD41E4F"/>
    <w:rsid w:val="3FDA14C3"/>
    <w:rsid w:val="3FE756BB"/>
    <w:rsid w:val="3FF51B86"/>
    <w:rsid w:val="3FF651C6"/>
    <w:rsid w:val="3FF9748E"/>
    <w:rsid w:val="4008024D"/>
    <w:rsid w:val="40090017"/>
    <w:rsid w:val="402146F9"/>
    <w:rsid w:val="403365E8"/>
    <w:rsid w:val="403B383F"/>
    <w:rsid w:val="404F3A05"/>
    <w:rsid w:val="40646D0C"/>
    <w:rsid w:val="40684300"/>
    <w:rsid w:val="406C464C"/>
    <w:rsid w:val="40840CD2"/>
    <w:rsid w:val="409C70B2"/>
    <w:rsid w:val="40B2779A"/>
    <w:rsid w:val="40BC4B81"/>
    <w:rsid w:val="40C477AB"/>
    <w:rsid w:val="40CD59A9"/>
    <w:rsid w:val="40D53766"/>
    <w:rsid w:val="40ED4F53"/>
    <w:rsid w:val="40F94FF7"/>
    <w:rsid w:val="410302D3"/>
    <w:rsid w:val="411150E1"/>
    <w:rsid w:val="411E0EED"/>
    <w:rsid w:val="41322966"/>
    <w:rsid w:val="41342F1C"/>
    <w:rsid w:val="413A43FF"/>
    <w:rsid w:val="41594AAB"/>
    <w:rsid w:val="416255A9"/>
    <w:rsid w:val="416408B3"/>
    <w:rsid w:val="41746D4A"/>
    <w:rsid w:val="417B26FB"/>
    <w:rsid w:val="41850CE8"/>
    <w:rsid w:val="41967399"/>
    <w:rsid w:val="41986C6D"/>
    <w:rsid w:val="41A926E2"/>
    <w:rsid w:val="41C7462F"/>
    <w:rsid w:val="41DA54D8"/>
    <w:rsid w:val="41DA6BD5"/>
    <w:rsid w:val="41E66E11"/>
    <w:rsid w:val="41F12FE5"/>
    <w:rsid w:val="41FA4A3C"/>
    <w:rsid w:val="42254279"/>
    <w:rsid w:val="42312482"/>
    <w:rsid w:val="4234358D"/>
    <w:rsid w:val="42424EE2"/>
    <w:rsid w:val="42483274"/>
    <w:rsid w:val="42555CF4"/>
    <w:rsid w:val="425B0788"/>
    <w:rsid w:val="426E6B65"/>
    <w:rsid w:val="42756FAE"/>
    <w:rsid w:val="42C43F0C"/>
    <w:rsid w:val="42DE47BD"/>
    <w:rsid w:val="42E566F8"/>
    <w:rsid w:val="42E8372F"/>
    <w:rsid w:val="430D78C6"/>
    <w:rsid w:val="431033BD"/>
    <w:rsid w:val="43400B59"/>
    <w:rsid w:val="434101C4"/>
    <w:rsid w:val="434626F9"/>
    <w:rsid w:val="434A21E9"/>
    <w:rsid w:val="434B19EE"/>
    <w:rsid w:val="43584C70"/>
    <w:rsid w:val="4381785E"/>
    <w:rsid w:val="4383495D"/>
    <w:rsid w:val="438376F3"/>
    <w:rsid w:val="4387467C"/>
    <w:rsid w:val="43956DE7"/>
    <w:rsid w:val="43A60DED"/>
    <w:rsid w:val="43B835F7"/>
    <w:rsid w:val="43BD3D85"/>
    <w:rsid w:val="43DF347A"/>
    <w:rsid w:val="43F665B9"/>
    <w:rsid w:val="44240331"/>
    <w:rsid w:val="44343752"/>
    <w:rsid w:val="443D58AA"/>
    <w:rsid w:val="444A101C"/>
    <w:rsid w:val="445E66A7"/>
    <w:rsid w:val="446F759B"/>
    <w:rsid w:val="447F09DF"/>
    <w:rsid w:val="44816F9D"/>
    <w:rsid w:val="448C4B7D"/>
    <w:rsid w:val="44AB5D13"/>
    <w:rsid w:val="44B44858"/>
    <w:rsid w:val="44F91551"/>
    <w:rsid w:val="450665E4"/>
    <w:rsid w:val="45332247"/>
    <w:rsid w:val="454A0A68"/>
    <w:rsid w:val="45570BED"/>
    <w:rsid w:val="458E23F3"/>
    <w:rsid w:val="45A35BE1"/>
    <w:rsid w:val="45C34DF0"/>
    <w:rsid w:val="45C36C83"/>
    <w:rsid w:val="45CE2A73"/>
    <w:rsid w:val="45D93CF8"/>
    <w:rsid w:val="45E96AEC"/>
    <w:rsid w:val="45F21FD3"/>
    <w:rsid w:val="46026DAB"/>
    <w:rsid w:val="460348D1"/>
    <w:rsid w:val="46094EB3"/>
    <w:rsid w:val="46162E4E"/>
    <w:rsid w:val="461A17B1"/>
    <w:rsid w:val="46205E07"/>
    <w:rsid w:val="46262D58"/>
    <w:rsid w:val="46334018"/>
    <w:rsid w:val="4638462A"/>
    <w:rsid w:val="464C5F6E"/>
    <w:rsid w:val="464E7278"/>
    <w:rsid w:val="46517D32"/>
    <w:rsid w:val="4659191C"/>
    <w:rsid w:val="465B53CD"/>
    <w:rsid w:val="46613679"/>
    <w:rsid w:val="468518EA"/>
    <w:rsid w:val="4689127A"/>
    <w:rsid w:val="46A40B14"/>
    <w:rsid w:val="46A9191C"/>
    <w:rsid w:val="46BF2EEE"/>
    <w:rsid w:val="46CE47EC"/>
    <w:rsid w:val="46DC24F1"/>
    <w:rsid w:val="47082795"/>
    <w:rsid w:val="471144A8"/>
    <w:rsid w:val="471F398D"/>
    <w:rsid w:val="47226130"/>
    <w:rsid w:val="4778684C"/>
    <w:rsid w:val="477F53F3"/>
    <w:rsid w:val="47890EBA"/>
    <w:rsid w:val="479144EB"/>
    <w:rsid w:val="47923B78"/>
    <w:rsid w:val="47A619B8"/>
    <w:rsid w:val="47AF3744"/>
    <w:rsid w:val="47B16F0D"/>
    <w:rsid w:val="47B24801"/>
    <w:rsid w:val="47B265AF"/>
    <w:rsid w:val="47BC5371"/>
    <w:rsid w:val="47CD6B6F"/>
    <w:rsid w:val="47D60F4A"/>
    <w:rsid w:val="47EB3DDE"/>
    <w:rsid w:val="47F36CDA"/>
    <w:rsid w:val="482617AF"/>
    <w:rsid w:val="482E032B"/>
    <w:rsid w:val="48380285"/>
    <w:rsid w:val="48401776"/>
    <w:rsid w:val="48414E86"/>
    <w:rsid w:val="48546305"/>
    <w:rsid w:val="485F5CAF"/>
    <w:rsid w:val="489B7650"/>
    <w:rsid w:val="48A04659"/>
    <w:rsid w:val="48A56114"/>
    <w:rsid w:val="48C53DC3"/>
    <w:rsid w:val="48C96EBA"/>
    <w:rsid w:val="48CB08FD"/>
    <w:rsid w:val="48CB3CE3"/>
    <w:rsid w:val="48D373C6"/>
    <w:rsid w:val="48D61428"/>
    <w:rsid w:val="48D77B39"/>
    <w:rsid w:val="49025314"/>
    <w:rsid w:val="49166B47"/>
    <w:rsid w:val="491D58A0"/>
    <w:rsid w:val="492152F7"/>
    <w:rsid w:val="49275E34"/>
    <w:rsid w:val="492E0B35"/>
    <w:rsid w:val="494C4442"/>
    <w:rsid w:val="49521CA9"/>
    <w:rsid w:val="49544A87"/>
    <w:rsid w:val="4967648B"/>
    <w:rsid w:val="49870D1A"/>
    <w:rsid w:val="498F599D"/>
    <w:rsid w:val="499B5CB2"/>
    <w:rsid w:val="49A36F87"/>
    <w:rsid w:val="49A93BD9"/>
    <w:rsid w:val="49B303BC"/>
    <w:rsid w:val="49CB1FFE"/>
    <w:rsid w:val="49D97E23"/>
    <w:rsid w:val="49DE18DD"/>
    <w:rsid w:val="49E37654"/>
    <w:rsid w:val="49E77726"/>
    <w:rsid w:val="49EE37B0"/>
    <w:rsid w:val="49F51EDB"/>
    <w:rsid w:val="49F904C5"/>
    <w:rsid w:val="4A0B01F8"/>
    <w:rsid w:val="4A0F6F03"/>
    <w:rsid w:val="4A1277D9"/>
    <w:rsid w:val="4A1A56B6"/>
    <w:rsid w:val="4A232B65"/>
    <w:rsid w:val="4A256B80"/>
    <w:rsid w:val="4A2D016F"/>
    <w:rsid w:val="4A2F6758"/>
    <w:rsid w:val="4A3A2304"/>
    <w:rsid w:val="4A417D43"/>
    <w:rsid w:val="4A45195C"/>
    <w:rsid w:val="4A480887"/>
    <w:rsid w:val="4A4B0B6E"/>
    <w:rsid w:val="4A6B0275"/>
    <w:rsid w:val="4A791606"/>
    <w:rsid w:val="4A7B074B"/>
    <w:rsid w:val="4A8107D4"/>
    <w:rsid w:val="4A885999"/>
    <w:rsid w:val="4A8E50B1"/>
    <w:rsid w:val="4A9641DF"/>
    <w:rsid w:val="4AC61B15"/>
    <w:rsid w:val="4AD90A31"/>
    <w:rsid w:val="4AE74C1E"/>
    <w:rsid w:val="4AFE6B89"/>
    <w:rsid w:val="4B02784D"/>
    <w:rsid w:val="4B097BAB"/>
    <w:rsid w:val="4B0A3436"/>
    <w:rsid w:val="4B150E0C"/>
    <w:rsid w:val="4B1B26BD"/>
    <w:rsid w:val="4B1D2F8C"/>
    <w:rsid w:val="4B1D4687"/>
    <w:rsid w:val="4B271062"/>
    <w:rsid w:val="4B33411D"/>
    <w:rsid w:val="4B461F2B"/>
    <w:rsid w:val="4B4A12C3"/>
    <w:rsid w:val="4B6C16A6"/>
    <w:rsid w:val="4B8B5A92"/>
    <w:rsid w:val="4BA14D61"/>
    <w:rsid w:val="4BA52C90"/>
    <w:rsid w:val="4BA77ED2"/>
    <w:rsid w:val="4BB1347D"/>
    <w:rsid w:val="4BBA72B0"/>
    <w:rsid w:val="4BBB075B"/>
    <w:rsid w:val="4BC32129"/>
    <w:rsid w:val="4BC36FDC"/>
    <w:rsid w:val="4BC54262"/>
    <w:rsid w:val="4BDA0ED5"/>
    <w:rsid w:val="4BDF599F"/>
    <w:rsid w:val="4BF46E98"/>
    <w:rsid w:val="4C030443"/>
    <w:rsid w:val="4C040C28"/>
    <w:rsid w:val="4C097B79"/>
    <w:rsid w:val="4C0A0767"/>
    <w:rsid w:val="4C0F2222"/>
    <w:rsid w:val="4C105695"/>
    <w:rsid w:val="4C3677AE"/>
    <w:rsid w:val="4C3C7455"/>
    <w:rsid w:val="4C553FE1"/>
    <w:rsid w:val="4C5639AD"/>
    <w:rsid w:val="4C5D40AD"/>
    <w:rsid w:val="4C6A119A"/>
    <w:rsid w:val="4C742085"/>
    <w:rsid w:val="4C773B54"/>
    <w:rsid w:val="4C997D3D"/>
    <w:rsid w:val="4C9C45AC"/>
    <w:rsid w:val="4CA846DC"/>
    <w:rsid w:val="4CA94BB7"/>
    <w:rsid w:val="4CAF5386"/>
    <w:rsid w:val="4CB30DFF"/>
    <w:rsid w:val="4CBA50E3"/>
    <w:rsid w:val="4CC85386"/>
    <w:rsid w:val="4CED3ADF"/>
    <w:rsid w:val="4D037ABE"/>
    <w:rsid w:val="4D06044C"/>
    <w:rsid w:val="4D200FBF"/>
    <w:rsid w:val="4D3211E1"/>
    <w:rsid w:val="4D3505C9"/>
    <w:rsid w:val="4D465DA8"/>
    <w:rsid w:val="4D4C6B4F"/>
    <w:rsid w:val="4D537083"/>
    <w:rsid w:val="4D554986"/>
    <w:rsid w:val="4D557D51"/>
    <w:rsid w:val="4D5932DC"/>
    <w:rsid w:val="4D6B1A42"/>
    <w:rsid w:val="4D7378CF"/>
    <w:rsid w:val="4D9B33CB"/>
    <w:rsid w:val="4DA82DA2"/>
    <w:rsid w:val="4DBB14D7"/>
    <w:rsid w:val="4DBF4737"/>
    <w:rsid w:val="4DC22576"/>
    <w:rsid w:val="4E0260A9"/>
    <w:rsid w:val="4E074369"/>
    <w:rsid w:val="4E322FBF"/>
    <w:rsid w:val="4E6924D8"/>
    <w:rsid w:val="4E853B08"/>
    <w:rsid w:val="4E9407BC"/>
    <w:rsid w:val="4E9E23DD"/>
    <w:rsid w:val="4EA54396"/>
    <w:rsid w:val="4EA62C8C"/>
    <w:rsid w:val="4EB4216F"/>
    <w:rsid w:val="4EBA52B1"/>
    <w:rsid w:val="4EC40568"/>
    <w:rsid w:val="4F0202C8"/>
    <w:rsid w:val="4F021BCA"/>
    <w:rsid w:val="4F0F42E7"/>
    <w:rsid w:val="4F115764"/>
    <w:rsid w:val="4F371340"/>
    <w:rsid w:val="4F4601D7"/>
    <w:rsid w:val="4F546152"/>
    <w:rsid w:val="4F5C0387"/>
    <w:rsid w:val="4F6E3703"/>
    <w:rsid w:val="4F7A7412"/>
    <w:rsid w:val="4F7B2E66"/>
    <w:rsid w:val="4F837021"/>
    <w:rsid w:val="4FBA3ACA"/>
    <w:rsid w:val="4FBB4517"/>
    <w:rsid w:val="4FCB3237"/>
    <w:rsid w:val="4FCE44B1"/>
    <w:rsid w:val="4FE007A6"/>
    <w:rsid w:val="4FF16AEC"/>
    <w:rsid w:val="4FFD256E"/>
    <w:rsid w:val="50037246"/>
    <w:rsid w:val="500D2F12"/>
    <w:rsid w:val="501039DF"/>
    <w:rsid w:val="50151DD1"/>
    <w:rsid w:val="50424664"/>
    <w:rsid w:val="504274B2"/>
    <w:rsid w:val="5043693E"/>
    <w:rsid w:val="50454464"/>
    <w:rsid w:val="504D47CC"/>
    <w:rsid w:val="50624FF5"/>
    <w:rsid w:val="507032D0"/>
    <w:rsid w:val="50760251"/>
    <w:rsid w:val="508769D8"/>
    <w:rsid w:val="508B02F3"/>
    <w:rsid w:val="508E7F3C"/>
    <w:rsid w:val="50927935"/>
    <w:rsid w:val="509E3B74"/>
    <w:rsid w:val="50A839D1"/>
    <w:rsid w:val="50AA3EE6"/>
    <w:rsid w:val="50D72926"/>
    <w:rsid w:val="50DE31B0"/>
    <w:rsid w:val="50E269EF"/>
    <w:rsid w:val="50EC2BCA"/>
    <w:rsid w:val="510F5CB6"/>
    <w:rsid w:val="5126166B"/>
    <w:rsid w:val="512C2E00"/>
    <w:rsid w:val="513242BC"/>
    <w:rsid w:val="514C175F"/>
    <w:rsid w:val="515B5BEE"/>
    <w:rsid w:val="519035B6"/>
    <w:rsid w:val="5191496F"/>
    <w:rsid w:val="51951DEF"/>
    <w:rsid w:val="519B2FFB"/>
    <w:rsid w:val="51AE4DB8"/>
    <w:rsid w:val="51D92FE7"/>
    <w:rsid w:val="51DC3F8A"/>
    <w:rsid w:val="51E608FC"/>
    <w:rsid w:val="51ED5F84"/>
    <w:rsid w:val="51F50FAE"/>
    <w:rsid w:val="51F903FC"/>
    <w:rsid w:val="51FB1986"/>
    <w:rsid w:val="520B1386"/>
    <w:rsid w:val="52203413"/>
    <w:rsid w:val="5222639A"/>
    <w:rsid w:val="52272346"/>
    <w:rsid w:val="522741A6"/>
    <w:rsid w:val="52583B2C"/>
    <w:rsid w:val="525A1D1D"/>
    <w:rsid w:val="52614A8E"/>
    <w:rsid w:val="52776CE2"/>
    <w:rsid w:val="527F656A"/>
    <w:rsid w:val="528F1931"/>
    <w:rsid w:val="529B5B9D"/>
    <w:rsid w:val="529F5124"/>
    <w:rsid w:val="52A00ECB"/>
    <w:rsid w:val="52A70384"/>
    <w:rsid w:val="52B14033"/>
    <w:rsid w:val="52B636DD"/>
    <w:rsid w:val="52C43E23"/>
    <w:rsid w:val="52C71500"/>
    <w:rsid w:val="52C74E1E"/>
    <w:rsid w:val="52D03D8D"/>
    <w:rsid w:val="52D3090B"/>
    <w:rsid w:val="52E34DBC"/>
    <w:rsid w:val="52F14884"/>
    <w:rsid w:val="532E7196"/>
    <w:rsid w:val="53371F50"/>
    <w:rsid w:val="535733B5"/>
    <w:rsid w:val="53576453"/>
    <w:rsid w:val="536275BE"/>
    <w:rsid w:val="5372614B"/>
    <w:rsid w:val="537644A3"/>
    <w:rsid w:val="5387235B"/>
    <w:rsid w:val="5393457C"/>
    <w:rsid w:val="53AC1D52"/>
    <w:rsid w:val="53B05DCE"/>
    <w:rsid w:val="53B46C9D"/>
    <w:rsid w:val="53B65CA7"/>
    <w:rsid w:val="53CA4429"/>
    <w:rsid w:val="53D963A2"/>
    <w:rsid w:val="53E21FCA"/>
    <w:rsid w:val="53E50B71"/>
    <w:rsid w:val="540B5711"/>
    <w:rsid w:val="54324CFF"/>
    <w:rsid w:val="54325F10"/>
    <w:rsid w:val="5440264B"/>
    <w:rsid w:val="54501629"/>
    <w:rsid w:val="545A4256"/>
    <w:rsid w:val="545E17F4"/>
    <w:rsid w:val="546143E9"/>
    <w:rsid w:val="546E1AAF"/>
    <w:rsid w:val="5475299E"/>
    <w:rsid w:val="54761801"/>
    <w:rsid w:val="547B37BB"/>
    <w:rsid w:val="54841300"/>
    <w:rsid w:val="54880DC3"/>
    <w:rsid w:val="5489250E"/>
    <w:rsid w:val="54985506"/>
    <w:rsid w:val="54B03E76"/>
    <w:rsid w:val="54B5784B"/>
    <w:rsid w:val="54BA7EA4"/>
    <w:rsid w:val="54BF2D11"/>
    <w:rsid w:val="54E41CA2"/>
    <w:rsid w:val="54E921AD"/>
    <w:rsid w:val="54F55D2D"/>
    <w:rsid w:val="54FF79A8"/>
    <w:rsid w:val="55056BCC"/>
    <w:rsid w:val="552B2379"/>
    <w:rsid w:val="55610682"/>
    <w:rsid w:val="559B524A"/>
    <w:rsid w:val="55AE4B76"/>
    <w:rsid w:val="55BB5298"/>
    <w:rsid w:val="55BD52C8"/>
    <w:rsid w:val="55CC551E"/>
    <w:rsid w:val="55EC390A"/>
    <w:rsid w:val="55F06C20"/>
    <w:rsid w:val="55F10BEA"/>
    <w:rsid w:val="55F32475"/>
    <w:rsid w:val="55F6001A"/>
    <w:rsid w:val="560839BA"/>
    <w:rsid w:val="560E1C75"/>
    <w:rsid w:val="56134213"/>
    <w:rsid w:val="562A168B"/>
    <w:rsid w:val="56301712"/>
    <w:rsid w:val="566861D2"/>
    <w:rsid w:val="56927CD7"/>
    <w:rsid w:val="569B72DC"/>
    <w:rsid w:val="569E465D"/>
    <w:rsid w:val="56AB0D99"/>
    <w:rsid w:val="56BD725A"/>
    <w:rsid w:val="56BF08AB"/>
    <w:rsid w:val="56D36446"/>
    <w:rsid w:val="56F221ED"/>
    <w:rsid w:val="5704678E"/>
    <w:rsid w:val="57064096"/>
    <w:rsid w:val="57182EFE"/>
    <w:rsid w:val="57316FCA"/>
    <w:rsid w:val="574C5AC3"/>
    <w:rsid w:val="57654793"/>
    <w:rsid w:val="57743436"/>
    <w:rsid w:val="577D144A"/>
    <w:rsid w:val="577D428D"/>
    <w:rsid w:val="578E07D6"/>
    <w:rsid w:val="57A02FAD"/>
    <w:rsid w:val="57A61D96"/>
    <w:rsid w:val="57A95DBD"/>
    <w:rsid w:val="57AC4BFF"/>
    <w:rsid w:val="57B10004"/>
    <w:rsid w:val="57C00874"/>
    <w:rsid w:val="57C540DC"/>
    <w:rsid w:val="57CC4E3B"/>
    <w:rsid w:val="57E26B8D"/>
    <w:rsid w:val="57E81072"/>
    <w:rsid w:val="58123A8F"/>
    <w:rsid w:val="581559E9"/>
    <w:rsid w:val="581666E6"/>
    <w:rsid w:val="58201313"/>
    <w:rsid w:val="58233A9D"/>
    <w:rsid w:val="5824556F"/>
    <w:rsid w:val="58454D01"/>
    <w:rsid w:val="58501BF8"/>
    <w:rsid w:val="58564D34"/>
    <w:rsid w:val="585E53D0"/>
    <w:rsid w:val="586E26F4"/>
    <w:rsid w:val="58723C7C"/>
    <w:rsid w:val="58747421"/>
    <w:rsid w:val="587D4A6C"/>
    <w:rsid w:val="588949DD"/>
    <w:rsid w:val="58A62BA4"/>
    <w:rsid w:val="58D02D39"/>
    <w:rsid w:val="58D96D95"/>
    <w:rsid w:val="58E10AA2"/>
    <w:rsid w:val="58EA2684"/>
    <w:rsid w:val="58F75CB5"/>
    <w:rsid w:val="59017396"/>
    <w:rsid w:val="590D6558"/>
    <w:rsid w:val="59145DC3"/>
    <w:rsid w:val="59274A42"/>
    <w:rsid w:val="592F76F7"/>
    <w:rsid w:val="593F3293"/>
    <w:rsid w:val="594B6459"/>
    <w:rsid w:val="595079D6"/>
    <w:rsid w:val="5974265D"/>
    <w:rsid w:val="598221CE"/>
    <w:rsid w:val="598475E5"/>
    <w:rsid w:val="598853C1"/>
    <w:rsid w:val="598B6B18"/>
    <w:rsid w:val="59A77200"/>
    <w:rsid w:val="59AB01F8"/>
    <w:rsid w:val="59AF0404"/>
    <w:rsid w:val="59B811D2"/>
    <w:rsid w:val="59BE403A"/>
    <w:rsid w:val="59C14ADA"/>
    <w:rsid w:val="59C503C4"/>
    <w:rsid w:val="59CE54CA"/>
    <w:rsid w:val="59D40607"/>
    <w:rsid w:val="59D92F77"/>
    <w:rsid w:val="59E7556E"/>
    <w:rsid w:val="59F92E55"/>
    <w:rsid w:val="5A01761B"/>
    <w:rsid w:val="5A201F46"/>
    <w:rsid w:val="5A3C63D1"/>
    <w:rsid w:val="5A3D7BE8"/>
    <w:rsid w:val="5A3F1C9A"/>
    <w:rsid w:val="5A435B69"/>
    <w:rsid w:val="5A5974B5"/>
    <w:rsid w:val="5A6951F3"/>
    <w:rsid w:val="5A7F7417"/>
    <w:rsid w:val="5AB578A0"/>
    <w:rsid w:val="5AB81209"/>
    <w:rsid w:val="5AC468CD"/>
    <w:rsid w:val="5AC54F7B"/>
    <w:rsid w:val="5AC63126"/>
    <w:rsid w:val="5ACA61DE"/>
    <w:rsid w:val="5AE25D78"/>
    <w:rsid w:val="5AEB6E3E"/>
    <w:rsid w:val="5AF80757"/>
    <w:rsid w:val="5AFE2270"/>
    <w:rsid w:val="5B0359C4"/>
    <w:rsid w:val="5B092532"/>
    <w:rsid w:val="5B0C4CAD"/>
    <w:rsid w:val="5B0E72B6"/>
    <w:rsid w:val="5B1102A4"/>
    <w:rsid w:val="5B132DCD"/>
    <w:rsid w:val="5B340E49"/>
    <w:rsid w:val="5B3F3E24"/>
    <w:rsid w:val="5B413A7A"/>
    <w:rsid w:val="5B491B70"/>
    <w:rsid w:val="5B5C259B"/>
    <w:rsid w:val="5B6F4A8B"/>
    <w:rsid w:val="5B7871DF"/>
    <w:rsid w:val="5B830895"/>
    <w:rsid w:val="5B993137"/>
    <w:rsid w:val="5BA14C72"/>
    <w:rsid w:val="5BBB382C"/>
    <w:rsid w:val="5BC03756"/>
    <w:rsid w:val="5BF3378B"/>
    <w:rsid w:val="5BFF3207"/>
    <w:rsid w:val="5C063CBF"/>
    <w:rsid w:val="5C092DAD"/>
    <w:rsid w:val="5C096452"/>
    <w:rsid w:val="5C171A1B"/>
    <w:rsid w:val="5C1902CA"/>
    <w:rsid w:val="5C1B4CCD"/>
    <w:rsid w:val="5C270236"/>
    <w:rsid w:val="5C4833FA"/>
    <w:rsid w:val="5C533A65"/>
    <w:rsid w:val="5C6043D4"/>
    <w:rsid w:val="5C7514E3"/>
    <w:rsid w:val="5C760207"/>
    <w:rsid w:val="5C7F3569"/>
    <w:rsid w:val="5C806824"/>
    <w:rsid w:val="5CA009AE"/>
    <w:rsid w:val="5CB34038"/>
    <w:rsid w:val="5CBE5FD4"/>
    <w:rsid w:val="5CC02A2D"/>
    <w:rsid w:val="5CC10B53"/>
    <w:rsid w:val="5CD34A43"/>
    <w:rsid w:val="5CEC2016"/>
    <w:rsid w:val="5CF16BBD"/>
    <w:rsid w:val="5D157B4B"/>
    <w:rsid w:val="5D197C22"/>
    <w:rsid w:val="5D2E4F87"/>
    <w:rsid w:val="5D506423"/>
    <w:rsid w:val="5D8044CD"/>
    <w:rsid w:val="5D81063D"/>
    <w:rsid w:val="5D865323"/>
    <w:rsid w:val="5D8E0ABF"/>
    <w:rsid w:val="5D912BD6"/>
    <w:rsid w:val="5D944335"/>
    <w:rsid w:val="5DA02272"/>
    <w:rsid w:val="5DA16A52"/>
    <w:rsid w:val="5DA362FB"/>
    <w:rsid w:val="5DA36E72"/>
    <w:rsid w:val="5DBA19EB"/>
    <w:rsid w:val="5DBC5B7A"/>
    <w:rsid w:val="5DD44A34"/>
    <w:rsid w:val="5DEA5A02"/>
    <w:rsid w:val="5DF671F6"/>
    <w:rsid w:val="5DFD09B2"/>
    <w:rsid w:val="5E162F9C"/>
    <w:rsid w:val="5E3E2B7D"/>
    <w:rsid w:val="5E446844"/>
    <w:rsid w:val="5E7128C8"/>
    <w:rsid w:val="5E877319"/>
    <w:rsid w:val="5EA277F6"/>
    <w:rsid w:val="5EB033F0"/>
    <w:rsid w:val="5EB70430"/>
    <w:rsid w:val="5EBE2B1D"/>
    <w:rsid w:val="5EC56770"/>
    <w:rsid w:val="5ED00BDD"/>
    <w:rsid w:val="5EF56019"/>
    <w:rsid w:val="5EFD23AE"/>
    <w:rsid w:val="5F427DC1"/>
    <w:rsid w:val="5F4A1EEF"/>
    <w:rsid w:val="5F69507D"/>
    <w:rsid w:val="5F742670"/>
    <w:rsid w:val="5F8A1C50"/>
    <w:rsid w:val="5F8E0142"/>
    <w:rsid w:val="5F965F3F"/>
    <w:rsid w:val="5F9E149B"/>
    <w:rsid w:val="5FA12037"/>
    <w:rsid w:val="5FB55316"/>
    <w:rsid w:val="5FCD1325"/>
    <w:rsid w:val="5FD72BFF"/>
    <w:rsid w:val="5FEB66AA"/>
    <w:rsid w:val="601856F1"/>
    <w:rsid w:val="602005D7"/>
    <w:rsid w:val="602C4BB5"/>
    <w:rsid w:val="603349F6"/>
    <w:rsid w:val="60373A03"/>
    <w:rsid w:val="60485260"/>
    <w:rsid w:val="604C7106"/>
    <w:rsid w:val="60531502"/>
    <w:rsid w:val="60550939"/>
    <w:rsid w:val="60636507"/>
    <w:rsid w:val="60760CD7"/>
    <w:rsid w:val="607E60DD"/>
    <w:rsid w:val="60874625"/>
    <w:rsid w:val="608A1236"/>
    <w:rsid w:val="60912CAB"/>
    <w:rsid w:val="60AF6A08"/>
    <w:rsid w:val="60B028DC"/>
    <w:rsid w:val="60C50EA7"/>
    <w:rsid w:val="60E8781E"/>
    <w:rsid w:val="60FF065F"/>
    <w:rsid w:val="6100700C"/>
    <w:rsid w:val="61146CF4"/>
    <w:rsid w:val="61182CED"/>
    <w:rsid w:val="611934DB"/>
    <w:rsid w:val="611F7157"/>
    <w:rsid w:val="61277B90"/>
    <w:rsid w:val="612B00AD"/>
    <w:rsid w:val="6146003C"/>
    <w:rsid w:val="61516DE0"/>
    <w:rsid w:val="61534507"/>
    <w:rsid w:val="615545F7"/>
    <w:rsid w:val="615C44CF"/>
    <w:rsid w:val="61660A6E"/>
    <w:rsid w:val="617912AD"/>
    <w:rsid w:val="618958B2"/>
    <w:rsid w:val="61902523"/>
    <w:rsid w:val="61BE1DA1"/>
    <w:rsid w:val="61D11C46"/>
    <w:rsid w:val="61E80774"/>
    <w:rsid w:val="61F90087"/>
    <w:rsid w:val="622B7371"/>
    <w:rsid w:val="62326812"/>
    <w:rsid w:val="62552403"/>
    <w:rsid w:val="625737B6"/>
    <w:rsid w:val="627B2C7E"/>
    <w:rsid w:val="628B309E"/>
    <w:rsid w:val="629D16DF"/>
    <w:rsid w:val="62B81781"/>
    <w:rsid w:val="62CA25A7"/>
    <w:rsid w:val="62CD7D0E"/>
    <w:rsid w:val="62D1763C"/>
    <w:rsid w:val="62DE42A4"/>
    <w:rsid w:val="62DF384D"/>
    <w:rsid w:val="62E80C7F"/>
    <w:rsid w:val="62FD6821"/>
    <w:rsid w:val="6306375E"/>
    <w:rsid w:val="63145DAC"/>
    <w:rsid w:val="63216698"/>
    <w:rsid w:val="632A4DA3"/>
    <w:rsid w:val="63491078"/>
    <w:rsid w:val="634A37D1"/>
    <w:rsid w:val="63605AB8"/>
    <w:rsid w:val="63620A31"/>
    <w:rsid w:val="63651355"/>
    <w:rsid w:val="637F15E3"/>
    <w:rsid w:val="638210D3"/>
    <w:rsid w:val="639420DB"/>
    <w:rsid w:val="6397584A"/>
    <w:rsid w:val="63B15515"/>
    <w:rsid w:val="63B303C2"/>
    <w:rsid w:val="63BF40D6"/>
    <w:rsid w:val="63CC1042"/>
    <w:rsid w:val="63D90944"/>
    <w:rsid w:val="63E13BC5"/>
    <w:rsid w:val="64035A9B"/>
    <w:rsid w:val="640B10C9"/>
    <w:rsid w:val="640E58D1"/>
    <w:rsid w:val="641461CF"/>
    <w:rsid w:val="642D2C6F"/>
    <w:rsid w:val="64326D27"/>
    <w:rsid w:val="64374055"/>
    <w:rsid w:val="6448099E"/>
    <w:rsid w:val="6448736A"/>
    <w:rsid w:val="64504D2E"/>
    <w:rsid w:val="64650188"/>
    <w:rsid w:val="64913B23"/>
    <w:rsid w:val="64AC4960"/>
    <w:rsid w:val="64BE5FF1"/>
    <w:rsid w:val="64C645DF"/>
    <w:rsid w:val="64CF03AB"/>
    <w:rsid w:val="64DB0A9B"/>
    <w:rsid w:val="64DD3919"/>
    <w:rsid w:val="64FB113D"/>
    <w:rsid w:val="650136CD"/>
    <w:rsid w:val="65071890"/>
    <w:rsid w:val="651925FD"/>
    <w:rsid w:val="651F307E"/>
    <w:rsid w:val="652017A8"/>
    <w:rsid w:val="65381C0E"/>
    <w:rsid w:val="6547272E"/>
    <w:rsid w:val="655B17E2"/>
    <w:rsid w:val="65644F35"/>
    <w:rsid w:val="656575FE"/>
    <w:rsid w:val="656755AB"/>
    <w:rsid w:val="65716C34"/>
    <w:rsid w:val="65766A16"/>
    <w:rsid w:val="657D59D8"/>
    <w:rsid w:val="65852BD6"/>
    <w:rsid w:val="65A06CCA"/>
    <w:rsid w:val="65A96DEB"/>
    <w:rsid w:val="65AB2B63"/>
    <w:rsid w:val="65AE4402"/>
    <w:rsid w:val="65BA4B36"/>
    <w:rsid w:val="65C567D0"/>
    <w:rsid w:val="65C60C19"/>
    <w:rsid w:val="65D522B9"/>
    <w:rsid w:val="660101C9"/>
    <w:rsid w:val="66153231"/>
    <w:rsid w:val="66261918"/>
    <w:rsid w:val="66284820"/>
    <w:rsid w:val="662B2A66"/>
    <w:rsid w:val="662F72F1"/>
    <w:rsid w:val="66401D55"/>
    <w:rsid w:val="66402691"/>
    <w:rsid w:val="666F1DE3"/>
    <w:rsid w:val="66846F11"/>
    <w:rsid w:val="669335F3"/>
    <w:rsid w:val="66951DEB"/>
    <w:rsid w:val="669B1E03"/>
    <w:rsid w:val="669B2BD8"/>
    <w:rsid w:val="66AB16A8"/>
    <w:rsid w:val="66BC2660"/>
    <w:rsid w:val="66BD0D09"/>
    <w:rsid w:val="66D06C26"/>
    <w:rsid w:val="66D103A8"/>
    <w:rsid w:val="66E84077"/>
    <w:rsid w:val="66EA286B"/>
    <w:rsid w:val="66F62740"/>
    <w:rsid w:val="670818F0"/>
    <w:rsid w:val="672A5D0A"/>
    <w:rsid w:val="67340937"/>
    <w:rsid w:val="673B1CC5"/>
    <w:rsid w:val="67441E1C"/>
    <w:rsid w:val="674857F6"/>
    <w:rsid w:val="674F678A"/>
    <w:rsid w:val="67535248"/>
    <w:rsid w:val="67650AF0"/>
    <w:rsid w:val="677127D1"/>
    <w:rsid w:val="6791557B"/>
    <w:rsid w:val="679305D0"/>
    <w:rsid w:val="679B287B"/>
    <w:rsid w:val="67D64059"/>
    <w:rsid w:val="67DD5D11"/>
    <w:rsid w:val="67DE35A2"/>
    <w:rsid w:val="67E34E14"/>
    <w:rsid w:val="67E46CB1"/>
    <w:rsid w:val="67FB1B8B"/>
    <w:rsid w:val="67FD7926"/>
    <w:rsid w:val="680D3662"/>
    <w:rsid w:val="68180529"/>
    <w:rsid w:val="684400AB"/>
    <w:rsid w:val="684B23DC"/>
    <w:rsid w:val="68937E00"/>
    <w:rsid w:val="6898252F"/>
    <w:rsid w:val="689D55EC"/>
    <w:rsid w:val="68AB6102"/>
    <w:rsid w:val="68AF6678"/>
    <w:rsid w:val="68B34466"/>
    <w:rsid w:val="68B55D06"/>
    <w:rsid w:val="68B952A7"/>
    <w:rsid w:val="68BD37F2"/>
    <w:rsid w:val="68C83A2C"/>
    <w:rsid w:val="68E62FDC"/>
    <w:rsid w:val="68E76E46"/>
    <w:rsid w:val="6906180C"/>
    <w:rsid w:val="690D484B"/>
    <w:rsid w:val="692C024E"/>
    <w:rsid w:val="69396506"/>
    <w:rsid w:val="69450BD9"/>
    <w:rsid w:val="69500B79"/>
    <w:rsid w:val="695157D0"/>
    <w:rsid w:val="69584526"/>
    <w:rsid w:val="69730836"/>
    <w:rsid w:val="69766FE4"/>
    <w:rsid w:val="69A237F1"/>
    <w:rsid w:val="69A27DD9"/>
    <w:rsid w:val="69A47FF6"/>
    <w:rsid w:val="69BB710C"/>
    <w:rsid w:val="69D163C0"/>
    <w:rsid w:val="69DC1BB5"/>
    <w:rsid w:val="69E345E8"/>
    <w:rsid w:val="69EC3867"/>
    <w:rsid w:val="6A1004EA"/>
    <w:rsid w:val="6A3953BC"/>
    <w:rsid w:val="6A3F5A69"/>
    <w:rsid w:val="6A4031C4"/>
    <w:rsid w:val="6A49294B"/>
    <w:rsid w:val="6A5449E6"/>
    <w:rsid w:val="6A5869A8"/>
    <w:rsid w:val="6A623161"/>
    <w:rsid w:val="6A7F33A9"/>
    <w:rsid w:val="6A905F36"/>
    <w:rsid w:val="6A916F52"/>
    <w:rsid w:val="6A97383E"/>
    <w:rsid w:val="6A9F1D97"/>
    <w:rsid w:val="6ABA1979"/>
    <w:rsid w:val="6ACE260D"/>
    <w:rsid w:val="6B02105A"/>
    <w:rsid w:val="6B2018FE"/>
    <w:rsid w:val="6B241461"/>
    <w:rsid w:val="6B241C6B"/>
    <w:rsid w:val="6B343C45"/>
    <w:rsid w:val="6B4C44A1"/>
    <w:rsid w:val="6B525520"/>
    <w:rsid w:val="6B752EC5"/>
    <w:rsid w:val="6B83565B"/>
    <w:rsid w:val="6B9E58E7"/>
    <w:rsid w:val="6B9F3924"/>
    <w:rsid w:val="6BA3608B"/>
    <w:rsid w:val="6BA442DD"/>
    <w:rsid w:val="6BB829F7"/>
    <w:rsid w:val="6BD91E39"/>
    <w:rsid w:val="6BD9508A"/>
    <w:rsid w:val="6BDF3567"/>
    <w:rsid w:val="6C045B35"/>
    <w:rsid w:val="6C117498"/>
    <w:rsid w:val="6C1720CA"/>
    <w:rsid w:val="6C3E1D8C"/>
    <w:rsid w:val="6C4F1D22"/>
    <w:rsid w:val="6C53185F"/>
    <w:rsid w:val="6C5B77B1"/>
    <w:rsid w:val="6C691082"/>
    <w:rsid w:val="6C6E7361"/>
    <w:rsid w:val="6C7C7E4B"/>
    <w:rsid w:val="6C977F2F"/>
    <w:rsid w:val="6CAD0F6F"/>
    <w:rsid w:val="6CAE0D30"/>
    <w:rsid w:val="6CB05520"/>
    <w:rsid w:val="6CB93EE7"/>
    <w:rsid w:val="6CC12AE2"/>
    <w:rsid w:val="6CC84FD3"/>
    <w:rsid w:val="6CDA55DB"/>
    <w:rsid w:val="6CF46B9E"/>
    <w:rsid w:val="6CF5432A"/>
    <w:rsid w:val="6D093871"/>
    <w:rsid w:val="6D21370B"/>
    <w:rsid w:val="6D3A754E"/>
    <w:rsid w:val="6D400035"/>
    <w:rsid w:val="6D4C3285"/>
    <w:rsid w:val="6D573318"/>
    <w:rsid w:val="6D5767B8"/>
    <w:rsid w:val="6D8310A2"/>
    <w:rsid w:val="6DAF3888"/>
    <w:rsid w:val="6DB91B96"/>
    <w:rsid w:val="6DBC2EBB"/>
    <w:rsid w:val="6DDD5884"/>
    <w:rsid w:val="6DF40E20"/>
    <w:rsid w:val="6DF8799B"/>
    <w:rsid w:val="6E014B77"/>
    <w:rsid w:val="6E0476FE"/>
    <w:rsid w:val="6E2C3AD0"/>
    <w:rsid w:val="6E3D50AC"/>
    <w:rsid w:val="6E5B2C4D"/>
    <w:rsid w:val="6E601A68"/>
    <w:rsid w:val="6E61395E"/>
    <w:rsid w:val="6E7770F6"/>
    <w:rsid w:val="6E8D72AA"/>
    <w:rsid w:val="6EC66318"/>
    <w:rsid w:val="6ED01875"/>
    <w:rsid w:val="6EDE1629"/>
    <w:rsid w:val="6EE3511C"/>
    <w:rsid w:val="6EE82E5B"/>
    <w:rsid w:val="6EF50254"/>
    <w:rsid w:val="6EF50DEC"/>
    <w:rsid w:val="6EFC14BD"/>
    <w:rsid w:val="6F046E40"/>
    <w:rsid w:val="6F060E0B"/>
    <w:rsid w:val="6F0B58D2"/>
    <w:rsid w:val="6F0D666B"/>
    <w:rsid w:val="6F1352D6"/>
    <w:rsid w:val="6F187315"/>
    <w:rsid w:val="6F1F7EE2"/>
    <w:rsid w:val="6F2430DF"/>
    <w:rsid w:val="6F250C8F"/>
    <w:rsid w:val="6F3A0AB4"/>
    <w:rsid w:val="6F6618A9"/>
    <w:rsid w:val="6F671BDB"/>
    <w:rsid w:val="6F6A4777"/>
    <w:rsid w:val="6F6F326D"/>
    <w:rsid w:val="6F777EAE"/>
    <w:rsid w:val="6F7B6482"/>
    <w:rsid w:val="6F7B7A02"/>
    <w:rsid w:val="6F806276"/>
    <w:rsid w:val="6F9D22F1"/>
    <w:rsid w:val="6FC37F08"/>
    <w:rsid w:val="6FCD36D6"/>
    <w:rsid w:val="6FEE5EBE"/>
    <w:rsid w:val="6FF9271D"/>
    <w:rsid w:val="700E11FB"/>
    <w:rsid w:val="70180558"/>
    <w:rsid w:val="7018215C"/>
    <w:rsid w:val="70200BFC"/>
    <w:rsid w:val="702F4391"/>
    <w:rsid w:val="705B5186"/>
    <w:rsid w:val="70630281"/>
    <w:rsid w:val="706A53C9"/>
    <w:rsid w:val="70704677"/>
    <w:rsid w:val="70716758"/>
    <w:rsid w:val="7096077F"/>
    <w:rsid w:val="70990584"/>
    <w:rsid w:val="70AE379B"/>
    <w:rsid w:val="70BE1773"/>
    <w:rsid w:val="70C464AE"/>
    <w:rsid w:val="70CE142D"/>
    <w:rsid w:val="70E138DD"/>
    <w:rsid w:val="70E826D9"/>
    <w:rsid w:val="70F537D8"/>
    <w:rsid w:val="70F9789F"/>
    <w:rsid w:val="710A100B"/>
    <w:rsid w:val="71112066"/>
    <w:rsid w:val="71216126"/>
    <w:rsid w:val="713A23A1"/>
    <w:rsid w:val="71517EE3"/>
    <w:rsid w:val="716B764B"/>
    <w:rsid w:val="717E2663"/>
    <w:rsid w:val="71822412"/>
    <w:rsid w:val="71863E99"/>
    <w:rsid w:val="71A14E1B"/>
    <w:rsid w:val="71B720D9"/>
    <w:rsid w:val="71CD3E62"/>
    <w:rsid w:val="71EC078C"/>
    <w:rsid w:val="71FB5DE1"/>
    <w:rsid w:val="72035716"/>
    <w:rsid w:val="7207180A"/>
    <w:rsid w:val="721101F2"/>
    <w:rsid w:val="72146978"/>
    <w:rsid w:val="722874FA"/>
    <w:rsid w:val="7240783D"/>
    <w:rsid w:val="72477770"/>
    <w:rsid w:val="725B45AE"/>
    <w:rsid w:val="725D51E5"/>
    <w:rsid w:val="72671BC0"/>
    <w:rsid w:val="72810791"/>
    <w:rsid w:val="72A72905"/>
    <w:rsid w:val="72CA2587"/>
    <w:rsid w:val="72D229A4"/>
    <w:rsid w:val="72D27193"/>
    <w:rsid w:val="72D51220"/>
    <w:rsid w:val="730E0277"/>
    <w:rsid w:val="7310553B"/>
    <w:rsid w:val="73243F55"/>
    <w:rsid w:val="732D4BB8"/>
    <w:rsid w:val="733D059E"/>
    <w:rsid w:val="73416402"/>
    <w:rsid w:val="73477F69"/>
    <w:rsid w:val="73553298"/>
    <w:rsid w:val="735D61C9"/>
    <w:rsid w:val="735E7467"/>
    <w:rsid w:val="7361512A"/>
    <w:rsid w:val="73696C7E"/>
    <w:rsid w:val="736B1B84"/>
    <w:rsid w:val="737C1B7D"/>
    <w:rsid w:val="73852C46"/>
    <w:rsid w:val="73A0012B"/>
    <w:rsid w:val="73B21197"/>
    <w:rsid w:val="73C22C5E"/>
    <w:rsid w:val="73E07E7C"/>
    <w:rsid w:val="73E51333"/>
    <w:rsid w:val="73E613F5"/>
    <w:rsid w:val="73F97679"/>
    <w:rsid w:val="74025CA1"/>
    <w:rsid w:val="740F0863"/>
    <w:rsid w:val="741445C2"/>
    <w:rsid w:val="7419315D"/>
    <w:rsid w:val="74341F76"/>
    <w:rsid w:val="744C64FD"/>
    <w:rsid w:val="745B11C0"/>
    <w:rsid w:val="74716BB5"/>
    <w:rsid w:val="747D3BF3"/>
    <w:rsid w:val="749420DC"/>
    <w:rsid w:val="74A96AE7"/>
    <w:rsid w:val="74AE6FA0"/>
    <w:rsid w:val="74E120FE"/>
    <w:rsid w:val="74E41BEE"/>
    <w:rsid w:val="74FE7827"/>
    <w:rsid w:val="756D0BFC"/>
    <w:rsid w:val="757A3FB0"/>
    <w:rsid w:val="759C73E8"/>
    <w:rsid w:val="759F7141"/>
    <w:rsid w:val="75AA5940"/>
    <w:rsid w:val="75AB0AA6"/>
    <w:rsid w:val="75C630A2"/>
    <w:rsid w:val="75C839E5"/>
    <w:rsid w:val="75CF09BA"/>
    <w:rsid w:val="75D364D7"/>
    <w:rsid w:val="75D9535A"/>
    <w:rsid w:val="75DE488F"/>
    <w:rsid w:val="75DF4163"/>
    <w:rsid w:val="75E147C3"/>
    <w:rsid w:val="75E7607C"/>
    <w:rsid w:val="75F220E9"/>
    <w:rsid w:val="76040BF4"/>
    <w:rsid w:val="7625426C"/>
    <w:rsid w:val="762C626B"/>
    <w:rsid w:val="76391AC6"/>
    <w:rsid w:val="76426BCC"/>
    <w:rsid w:val="766D6295"/>
    <w:rsid w:val="7671300D"/>
    <w:rsid w:val="76764AC8"/>
    <w:rsid w:val="767A1407"/>
    <w:rsid w:val="76831738"/>
    <w:rsid w:val="768A78DE"/>
    <w:rsid w:val="7692546B"/>
    <w:rsid w:val="76A21126"/>
    <w:rsid w:val="76B70F18"/>
    <w:rsid w:val="76CA684A"/>
    <w:rsid w:val="76D87B0D"/>
    <w:rsid w:val="76F21123"/>
    <w:rsid w:val="76F8372F"/>
    <w:rsid w:val="77171366"/>
    <w:rsid w:val="771D2B87"/>
    <w:rsid w:val="771F5DAD"/>
    <w:rsid w:val="77256998"/>
    <w:rsid w:val="772F023A"/>
    <w:rsid w:val="77556600"/>
    <w:rsid w:val="77660933"/>
    <w:rsid w:val="776C1A27"/>
    <w:rsid w:val="77843214"/>
    <w:rsid w:val="779C055E"/>
    <w:rsid w:val="779F420C"/>
    <w:rsid w:val="77B45455"/>
    <w:rsid w:val="77B770C7"/>
    <w:rsid w:val="77B83E65"/>
    <w:rsid w:val="77BC475C"/>
    <w:rsid w:val="77C3668D"/>
    <w:rsid w:val="77FB0A5B"/>
    <w:rsid w:val="77FC48C6"/>
    <w:rsid w:val="780E2EA7"/>
    <w:rsid w:val="781833D7"/>
    <w:rsid w:val="78281DF2"/>
    <w:rsid w:val="78287F4D"/>
    <w:rsid w:val="78323777"/>
    <w:rsid w:val="784529A4"/>
    <w:rsid w:val="786100F2"/>
    <w:rsid w:val="78622141"/>
    <w:rsid w:val="786E00B9"/>
    <w:rsid w:val="7882385F"/>
    <w:rsid w:val="788E574F"/>
    <w:rsid w:val="78986E25"/>
    <w:rsid w:val="78B404DC"/>
    <w:rsid w:val="78CD7DE0"/>
    <w:rsid w:val="78EA52F9"/>
    <w:rsid w:val="78EA70A7"/>
    <w:rsid w:val="78F90A0C"/>
    <w:rsid w:val="790311D7"/>
    <w:rsid w:val="792D123F"/>
    <w:rsid w:val="79524DA4"/>
    <w:rsid w:val="796F4F68"/>
    <w:rsid w:val="79796CE2"/>
    <w:rsid w:val="79812BB1"/>
    <w:rsid w:val="7984196A"/>
    <w:rsid w:val="798C5A9C"/>
    <w:rsid w:val="79A72DAD"/>
    <w:rsid w:val="79B778D1"/>
    <w:rsid w:val="79C43282"/>
    <w:rsid w:val="79DA711C"/>
    <w:rsid w:val="79DF2984"/>
    <w:rsid w:val="79F04B91"/>
    <w:rsid w:val="79F0693F"/>
    <w:rsid w:val="79F74903"/>
    <w:rsid w:val="7A261C3A"/>
    <w:rsid w:val="7A2F5B83"/>
    <w:rsid w:val="7A3F3423"/>
    <w:rsid w:val="7A475B7A"/>
    <w:rsid w:val="7A4D387C"/>
    <w:rsid w:val="7A4E5D81"/>
    <w:rsid w:val="7A560E98"/>
    <w:rsid w:val="7AA37C6A"/>
    <w:rsid w:val="7AA62D8E"/>
    <w:rsid w:val="7AA95740"/>
    <w:rsid w:val="7ABA52F4"/>
    <w:rsid w:val="7AC027B5"/>
    <w:rsid w:val="7ACB1B9D"/>
    <w:rsid w:val="7AD3235D"/>
    <w:rsid w:val="7AD445A1"/>
    <w:rsid w:val="7AE3103E"/>
    <w:rsid w:val="7AF24A8F"/>
    <w:rsid w:val="7AF97A75"/>
    <w:rsid w:val="7B105B71"/>
    <w:rsid w:val="7B116B6D"/>
    <w:rsid w:val="7B157BF2"/>
    <w:rsid w:val="7B1E0BE4"/>
    <w:rsid w:val="7B2368A0"/>
    <w:rsid w:val="7B241EFA"/>
    <w:rsid w:val="7B3C3442"/>
    <w:rsid w:val="7B433220"/>
    <w:rsid w:val="7B462B56"/>
    <w:rsid w:val="7B551150"/>
    <w:rsid w:val="7B5C7E9F"/>
    <w:rsid w:val="7B656EB9"/>
    <w:rsid w:val="7B746733"/>
    <w:rsid w:val="7B7A78AA"/>
    <w:rsid w:val="7B7E5ABE"/>
    <w:rsid w:val="7B8414B2"/>
    <w:rsid w:val="7B896288"/>
    <w:rsid w:val="7B9B585B"/>
    <w:rsid w:val="7BA23C69"/>
    <w:rsid w:val="7BB51EF2"/>
    <w:rsid w:val="7BBA6099"/>
    <w:rsid w:val="7BBB5161"/>
    <w:rsid w:val="7BBC4E09"/>
    <w:rsid w:val="7BC11BFB"/>
    <w:rsid w:val="7BD14D95"/>
    <w:rsid w:val="7BD34D19"/>
    <w:rsid w:val="7BEB3800"/>
    <w:rsid w:val="7C035163"/>
    <w:rsid w:val="7C0B3DB1"/>
    <w:rsid w:val="7C192DB2"/>
    <w:rsid w:val="7C2F3340"/>
    <w:rsid w:val="7C3D4512"/>
    <w:rsid w:val="7C454601"/>
    <w:rsid w:val="7C650823"/>
    <w:rsid w:val="7C6E25C8"/>
    <w:rsid w:val="7C730367"/>
    <w:rsid w:val="7CAF31F7"/>
    <w:rsid w:val="7CC77E2B"/>
    <w:rsid w:val="7CF36E72"/>
    <w:rsid w:val="7CFB5D27"/>
    <w:rsid w:val="7CFF64A5"/>
    <w:rsid w:val="7D1D3160"/>
    <w:rsid w:val="7D242E7E"/>
    <w:rsid w:val="7D2E7EAA"/>
    <w:rsid w:val="7D382AD7"/>
    <w:rsid w:val="7D6353C5"/>
    <w:rsid w:val="7D677AB7"/>
    <w:rsid w:val="7D864362"/>
    <w:rsid w:val="7DC87CFA"/>
    <w:rsid w:val="7DDF61F2"/>
    <w:rsid w:val="7DE81ADB"/>
    <w:rsid w:val="7DF41B05"/>
    <w:rsid w:val="7DF72FDB"/>
    <w:rsid w:val="7E1D666F"/>
    <w:rsid w:val="7E372623"/>
    <w:rsid w:val="7E3C2153"/>
    <w:rsid w:val="7E4C0500"/>
    <w:rsid w:val="7E6A36E6"/>
    <w:rsid w:val="7E7C2950"/>
    <w:rsid w:val="7E9958A6"/>
    <w:rsid w:val="7EAA17B2"/>
    <w:rsid w:val="7EB74AC2"/>
    <w:rsid w:val="7EB77A2B"/>
    <w:rsid w:val="7EB937A4"/>
    <w:rsid w:val="7EB96B62"/>
    <w:rsid w:val="7ECD0781"/>
    <w:rsid w:val="7ECD74CA"/>
    <w:rsid w:val="7EF94661"/>
    <w:rsid w:val="7EFC5D86"/>
    <w:rsid w:val="7F0B7D77"/>
    <w:rsid w:val="7F115112"/>
    <w:rsid w:val="7F1C2A22"/>
    <w:rsid w:val="7F3C10EB"/>
    <w:rsid w:val="7F3E6020"/>
    <w:rsid w:val="7F434318"/>
    <w:rsid w:val="7F522778"/>
    <w:rsid w:val="7F5B2CBA"/>
    <w:rsid w:val="7F5C5679"/>
    <w:rsid w:val="7F771520"/>
    <w:rsid w:val="7FB43907"/>
    <w:rsid w:val="7FBB614D"/>
    <w:rsid w:val="7FC20EB5"/>
    <w:rsid w:val="7FC407E2"/>
    <w:rsid w:val="7FC70142"/>
    <w:rsid w:val="7FC71EF0"/>
    <w:rsid w:val="7FDC354E"/>
    <w:rsid w:val="7FE74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Cs w:val="28"/>
    </w:rPr>
  </w:style>
  <w:style w:type="paragraph" w:styleId="8">
    <w:name w:val="heading 6"/>
    <w:basedOn w:val="1"/>
    <w:next w:val="1"/>
    <w:semiHidden/>
    <w:unhideWhenUsed/>
    <w:qFormat/>
    <w:uiPriority w:val="0"/>
    <w:pPr>
      <w:spacing w:line="17" w:lineRule="atLeast"/>
      <w:jc w:val="left"/>
      <w:outlineLvl w:val="5"/>
    </w:pPr>
    <w:rPr>
      <w:rFonts w:hint="eastAsia" w:ascii="宋体" w:hAnsi="宋体"/>
      <w:b/>
      <w:kern w:val="0"/>
      <w:sz w:val="24"/>
      <w:szCs w:val="24"/>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2"/>
    <w:qFormat/>
    <w:uiPriority w:val="0"/>
    <w:pPr>
      <w:widowControl/>
      <w:ind w:left="426" w:hanging="426" w:hangingChars="152"/>
      <w:jc w:val="left"/>
    </w:pPr>
    <w:rPr>
      <w:rFonts w:ascii="宋体"/>
      <w:kern w:val="0"/>
    </w:rPr>
  </w:style>
  <w:style w:type="paragraph" w:styleId="9">
    <w:name w:val="Normal Indent"/>
    <w:basedOn w:val="1"/>
    <w:qFormat/>
    <w:uiPriority w:val="0"/>
    <w:pPr>
      <w:ind w:firstLine="420"/>
    </w:pPr>
  </w:style>
  <w:style w:type="paragraph" w:styleId="10">
    <w:name w:val="Salutation"/>
    <w:basedOn w:val="1"/>
    <w:next w:val="1"/>
    <w:qFormat/>
    <w:uiPriority w:val="0"/>
  </w:style>
  <w:style w:type="paragraph" w:styleId="11">
    <w:name w:val="Body Text"/>
    <w:basedOn w:val="1"/>
    <w:next w:val="1"/>
    <w:qFormat/>
    <w:uiPriority w:val="0"/>
    <w:pPr>
      <w:spacing w:after="120"/>
    </w:pPr>
  </w:style>
  <w:style w:type="paragraph" w:styleId="12">
    <w:name w:val="Plain Text"/>
    <w:basedOn w:val="1"/>
    <w:qFormat/>
    <w:uiPriority w:val="0"/>
    <w:rPr>
      <w:rFonts w:ascii="宋体" w:hAnsi="Courier New"/>
    </w:rPr>
  </w:style>
  <w:style w:type="paragraph" w:styleId="13">
    <w:name w:val="Date"/>
    <w:basedOn w:val="1"/>
    <w:next w:val="1"/>
    <w:link w:val="67"/>
    <w:qFormat/>
    <w:uiPriority w:val="0"/>
  </w:style>
  <w:style w:type="paragraph" w:styleId="14">
    <w:name w:val="Body Text Indent 2"/>
    <w:basedOn w:val="1"/>
    <w:qFormat/>
    <w:uiPriority w:val="0"/>
    <w:pPr>
      <w:spacing w:after="120" w:line="480" w:lineRule="auto"/>
      <w:ind w:left="420" w:leftChars="200"/>
    </w:pPr>
  </w:style>
  <w:style w:type="paragraph" w:styleId="15">
    <w:name w:val="footer"/>
    <w:basedOn w:val="1"/>
    <w:link w:val="65"/>
    <w:qFormat/>
    <w:uiPriority w:val="99"/>
    <w:pPr>
      <w:tabs>
        <w:tab w:val="center" w:pos="4153"/>
        <w:tab w:val="right" w:pos="8306"/>
      </w:tabs>
      <w:snapToGrid w:val="0"/>
      <w:jc w:val="left"/>
    </w:pPr>
    <w:rPr>
      <w:sz w:val="18"/>
      <w:szCs w:val="18"/>
    </w:rPr>
  </w:style>
  <w:style w:type="paragraph" w:styleId="16">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4"/>
    <w:basedOn w:val="1"/>
    <w:next w:val="1"/>
    <w:qFormat/>
    <w:uiPriority w:val="39"/>
    <w:pPr>
      <w:ind w:left="630"/>
      <w:jc w:val="left"/>
    </w:pPr>
    <w:rPr>
      <w:rFonts w:cs="Calibri"/>
      <w:sz w:val="18"/>
      <w:szCs w:val="18"/>
    </w:rPr>
  </w:style>
  <w:style w:type="paragraph" w:styleId="19">
    <w:name w:val="Body Text Indent 3"/>
    <w:basedOn w:val="1"/>
    <w:qFormat/>
    <w:uiPriority w:val="0"/>
    <w:pPr>
      <w:spacing w:line="440" w:lineRule="exact"/>
      <w:ind w:firstLine="480" w:firstLineChars="200"/>
    </w:pPr>
    <w:rPr>
      <w:rFonts w:ascii="宋体" w:hAnsi="宋体"/>
      <w:color w:val="000000"/>
      <w:sz w:val="24"/>
    </w:rPr>
  </w:style>
  <w:style w:type="paragraph" w:styleId="20">
    <w:name w:val="Body Text 2"/>
    <w:basedOn w:val="1"/>
    <w:unhideWhenUsed/>
    <w:qFormat/>
    <w:uiPriority w:val="99"/>
    <w:rPr>
      <w:rFonts w:ascii="楷体_GB2312" w:hAnsi="Copperplate Gothic Bold" w:eastAsia="楷体_GB2312"/>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11"/>
    <w:next w:val="2"/>
    <w:qFormat/>
    <w:uiPriority w:val="0"/>
    <w:pPr>
      <w:ind w:firstLine="420" w:firstLineChars="100"/>
    </w:pPr>
    <w:rPr>
      <w:rFonts w:eastAsia="仿宋_GB231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rPr>
      <w:i/>
      <w:iCs/>
    </w:rPr>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rPr>
      <w:rFonts w:ascii="ActionIcon ! important" w:hAnsi="ActionIcon ! important" w:eastAsia="ActionIcon ! important" w:cs="ActionIcon ! important"/>
      <w:vanish/>
      <w:color w:val="3D4B62"/>
      <w:sz w:val="24"/>
      <w:szCs w:val="24"/>
    </w:rPr>
  </w:style>
  <w:style w:type="character" w:styleId="34">
    <w:name w:val="HTML Variable"/>
    <w:basedOn w:val="26"/>
    <w:qFormat/>
    <w:uiPriority w:val="0"/>
    <w:rPr>
      <w:sz w:val="0"/>
      <w:szCs w:val="0"/>
      <w:bdr w:val="single" w:color="auto" w:sz="2" w:space="0"/>
    </w:rPr>
  </w:style>
  <w:style w:type="character" w:styleId="35">
    <w:name w:val="Hyperlink"/>
    <w:basedOn w:val="26"/>
    <w:qFormat/>
    <w:uiPriority w:val="0"/>
    <w:rPr>
      <w:color w:val="0000FF"/>
      <w:u w:val="none"/>
    </w:rPr>
  </w:style>
  <w:style w:type="character" w:styleId="36">
    <w:name w:val="HTML Code"/>
    <w:basedOn w:val="26"/>
    <w:qFormat/>
    <w:uiPriority w:val="0"/>
    <w:rPr>
      <w:rFonts w:hint="default" w:ascii="Consolas" w:hAnsi="Consolas" w:eastAsia="Consolas" w:cs="Consolas"/>
      <w:color w:val="C7254E"/>
      <w:sz w:val="21"/>
      <w:szCs w:val="21"/>
      <w:shd w:val="clear" w:color="auto" w:fill="F9F2F4"/>
    </w:rPr>
  </w:style>
  <w:style w:type="character" w:styleId="37">
    <w:name w:val="HTML Cite"/>
    <w:basedOn w:val="26"/>
    <w:qFormat/>
    <w:uiPriority w:val="0"/>
  </w:style>
  <w:style w:type="character" w:styleId="38">
    <w:name w:val="HTML Keyboard"/>
    <w:basedOn w:val="26"/>
    <w:qFormat/>
    <w:uiPriority w:val="0"/>
    <w:rPr>
      <w:rFonts w:ascii="Consolas" w:hAnsi="Consolas" w:eastAsia="Consolas" w:cs="Consolas"/>
      <w:color w:val="FFFFFF"/>
      <w:sz w:val="21"/>
      <w:szCs w:val="21"/>
      <w:shd w:val="clear" w:color="auto" w:fill="333333"/>
    </w:rPr>
  </w:style>
  <w:style w:type="character" w:styleId="39">
    <w:name w:val="HTML Sample"/>
    <w:basedOn w:val="26"/>
    <w:qFormat/>
    <w:uiPriority w:val="0"/>
    <w:rPr>
      <w:rFonts w:hint="default" w:ascii="Consolas" w:hAnsi="Consolas" w:eastAsia="Consolas" w:cs="Consolas"/>
      <w:sz w:val="21"/>
      <w:szCs w:val="21"/>
    </w:rPr>
  </w:style>
  <w:style w:type="paragraph" w:customStyle="1" w:styleId="40">
    <w:name w:val="列出段落1"/>
    <w:basedOn w:val="1"/>
    <w:qFormat/>
    <w:uiPriority w:val="34"/>
    <w:pPr>
      <w:ind w:firstLine="420" w:firstLineChars="200"/>
      <w:jc w:val="left"/>
    </w:pPr>
    <w:rPr>
      <w:rFonts w:ascii="Times New Roman" w:hAnsi="Times New Roman"/>
      <w:szCs w:val="24"/>
    </w:rPr>
  </w:style>
  <w:style w:type="paragraph" w:customStyle="1" w:styleId="41">
    <w:name w:val="正文缩进1"/>
    <w:basedOn w:val="1"/>
    <w:qFormat/>
    <w:uiPriority w:val="0"/>
    <w:pPr>
      <w:ind w:firstLine="420" w:firstLineChars="200"/>
    </w:pPr>
  </w:style>
  <w:style w:type="paragraph" w:customStyle="1" w:styleId="42">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43">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szCs w:val="24"/>
    </w:rPr>
  </w:style>
  <w:style w:type="paragraph" w:customStyle="1" w:styleId="44">
    <w:name w:val="（符号）二标题总则"/>
    <w:basedOn w:val="1"/>
    <w:qFormat/>
    <w:uiPriority w:val="0"/>
    <w:pPr>
      <w:spacing w:beforeLines="100" w:line="500" w:lineRule="atLeast"/>
      <w:jc w:val="center"/>
      <w:outlineLvl w:val="1"/>
    </w:pPr>
    <w:rPr>
      <w:rFonts w:ascii="华文中宋" w:hAnsi="华文中宋" w:eastAsia="华文中宋"/>
      <w:b/>
      <w:bCs/>
      <w:sz w:val="32"/>
      <w:szCs w:val="32"/>
    </w:rPr>
  </w:style>
  <w:style w:type="paragraph" w:customStyle="1" w:styleId="4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6">
    <w:name w:val="(符号)四标题1.1"/>
    <w:basedOn w:val="1"/>
    <w:qFormat/>
    <w:uiPriority w:val="0"/>
    <w:pPr>
      <w:tabs>
        <w:tab w:val="left" w:pos="700"/>
      </w:tabs>
      <w:spacing w:line="500" w:lineRule="atLeast"/>
      <w:ind w:left="700" w:hanging="700"/>
    </w:pPr>
    <w:rPr>
      <w:rFonts w:ascii="宋体" w:hAnsi="宋体"/>
      <w:color w:val="000000"/>
      <w:kern w:val="0"/>
      <w:sz w:val="24"/>
    </w:rPr>
  </w:style>
  <w:style w:type="paragraph" w:customStyle="1" w:styleId="47">
    <w:name w:val="目录"/>
    <w:basedOn w:val="1"/>
    <w:qFormat/>
    <w:uiPriority w:val="0"/>
    <w:pPr>
      <w:widowControl/>
      <w:jc w:val="center"/>
    </w:pPr>
    <w:rPr>
      <w:rFonts w:ascii="宋体"/>
      <w:b/>
      <w:kern w:val="0"/>
      <w:sz w:val="36"/>
    </w:rPr>
  </w:style>
  <w:style w:type="paragraph" w:customStyle="1" w:styleId="48">
    <w:name w:val="目录文字"/>
    <w:basedOn w:val="1"/>
    <w:qFormat/>
    <w:uiPriority w:val="0"/>
    <w:pPr>
      <w:widowControl/>
      <w:spacing w:line="480" w:lineRule="auto"/>
      <w:jc w:val="left"/>
    </w:pPr>
    <w:rPr>
      <w:rFonts w:ascii="宋体" w:hAnsi="宋体"/>
      <w:kern w:val="0"/>
      <w:sz w:val="24"/>
    </w:rPr>
  </w:style>
  <w:style w:type="paragraph" w:customStyle="1" w:styleId="49">
    <w:name w:val="默认段落字体 Para Char Char Char Char"/>
    <w:basedOn w:val="1"/>
    <w:qFormat/>
    <w:uiPriority w:val="0"/>
  </w:style>
  <w:style w:type="paragraph" w:customStyle="1" w:styleId="50">
    <w:name w:val="p0"/>
    <w:basedOn w:val="1"/>
    <w:qFormat/>
    <w:uiPriority w:val="0"/>
    <w:pPr>
      <w:widowControl/>
    </w:pPr>
    <w:rPr>
      <w:kern w:val="0"/>
      <w:szCs w:val="21"/>
    </w:rPr>
  </w:style>
  <w:style w:type="paragraph" w:customStyle="1" w:styleId="51">
    <w:name w:val="列表段落1"/>
    <w:basedOn w:val="1"/>
    <w:qFormat/>
    <w:uiPriority w:val="0"/>
    <w:pPr>
      <w:ind w:firstLine="420" w:firstLineChars="200"/>
    </w:pPr>
    <w:rPr>
      <w:rFonts w:ascii="宋体"/>
      <w:kern w:val="0"/>
      <w:sz w:val="24"/>
    </w:rPr>
  </w:style>
  <w:style w:type="paragraph" w:customStyle="1" w:styleId="52">
    <w:name w:val="Table Paragraph"/>
    <w:basedOn w:val="1"/>
    <w:qFormat/>
    <w:uiPriority w:val="99"/>
    <w:pPr>
      <w:spacing w:before="13" w:line="192" w:lineRule="exact"/>
      <w:ind w:left="20"/>
      <w:jc w:val="center"/>
    </w:pPr>
    <w:rPr>
      <w:rFonts w:ascii="微软雅黑" w:hAnsi="微软雅黑" w:eastAsia="微软雅黑" w:cs="微软雅黑"/>
      <w:lang w:val="pt-PT" w:eastAsia="pt-PT"/>
    </w:rPr>
  </w:style>
  <w:style w:type="paragraph" w:customStyle="1" w:styleId="53">
    <w:name w:val="标书"/>
    <w:basedOn w:val="1"/>
    <w:qFormat/>
    <w:uiPriority w:val="0"/>
    <w:pPr>
      <w:shd w:val="clear" w:color="auto" w:fill="FFFFFF"/>
      <w:spacing w:line="360" w:lineRule="auto"/>
      <w:ind w:firstLine="480"/>
      <w:jc w:val="left"/>
    </w:pPr>
    <w:rPr>
      <w:rFonts w:ascii="宋体" w:hAnsi="宋体"/>
      <w:sz w:val="24"/>
      <w:shd w:val="clear" w:color="auto" w:fill="FFFFFF"/>
    </w:rPr>
  </w:style>
  <w:style w:type="paragraph" w:customStyle="1" w:styleId="54">
    <w:name w:val="表 靠左"/>
    <w:basedOn w:val="1"/>
    <w:qFormat/>
    <w:uiPriority w:val="0"/>
    <w:rPr>
      <w:rFonts w:ascii="宋体" w:hAnsi="宋体"/>
      <w:sz w:val="21"/>
      <w:szCs w:val="21"/>
    </w:rPr>
  </w:style>
  <w:style w:type="paragraph" w:customStyle="1" w:styleId="55">
    <w:name w:val="(符号)三标题1."/>
    <w:basedOn w:val="1"/>
    <w:qFormat/>
    <w:uiPriority w:val="0"/>
    <w:pPr>
      <w:tabs>
        <w:tab w:val="left" w:pos="420"/>
      </w:tabs>
      <w:spacing w:before="140" w:after="140" w:line="500" w:lineRule="atLeast"/>
      <w:ind w:left="430" w:hanging="430"/>
      <w:outlineLvl w:val="2"/>
    </w:pPr>
    <w:rPr>
      <w:rFonts w:ascii="楷体_GB2312" w:hAnsi="宋体" w:eastAsia="楷体_GB2312"/>
      <w:b/>
      <w:bCs/>
    </w:rPr>
  </w:style>
  <w:style w:type="paragraph" w:customStyle="1" w:styleId="56">
    <w:name w:val="xl36"/>
    <w:basedOn w:val="1"/>
    <w:qFormat/>
    <w:uiPriority w:val="0"/>
    <w:pPr>
      <w:widowControl/>
      <w:spacing w:before="100" w:after="100"/>
      <w:jc w:val="center"/>
    </w:pPr>
    <w:rPr>
      <w:rFonts w:hint="eastAsia" w:ascii="宋体" w:hAnsi="宋体"/>
      <w:kern w:val="0"/>
      <w:sz w:val="24"/>
    </w:rPr>
  </w:style>
  <w:style w:type="paragraph" w:customStyle="1" w:styleId="57">
    <w:name w:val="p15"/>
    <w:basedOn w:val="1"/>
    <w:qFormat/>
    <w:uiPriority w:val="99"/>
    <w:pPr>
      <w:widowControl/>
    </w:pPr>
    <w:rPr>
      <w:kern w:val="0"/>
      <w:szCs w:val="21"/>
    </w:rPr>
  </w:style>
  <w:style w:type="paragraph" w:customStyle="1" w:styleId="58">
    <w:name w:val="标题 11"/>
    <w:basedOn w:val="1"/>
    <w:qFormat/>
    <w:uiPriority w:val="0"/>
    <w:pPr>
      <w:autoSpaceDE w:val="0"/>
      <w:autoSpaceDN w:val="0"/>
      <w:adjustRightInd w:val="0"/>
      <w:ind w:left="1704"/>
      <w:jc w:val="left"/>
      <w:outlineLvl w:val="0"/>
    </w:pPr>
    <w:rPr>
      <w:rFonts w:ascii="黑体" w:eastAsia="黑体" w:cs="黑体"/>
      <w:b/>
      <w:bCs/>
      <w:kern w:val="0"/>
      <w:sz w:val="32"/>
      <w:szCs w:val="32"/>
    </w:rPr>
  </w:style>
  <w:style w:type="character" w:customStyle="1" w:styleId="59">
    <w:name w:val="font12"/>
    <w:basedOn w:val="26"/>
    <w:qFormat/>
    <w:uiPriority w:val="0"/>
    <w:rPr>
      <w:rFonts w:ascii="Calibri" w:hAnsi="Calibri" w:cs="Calibri"/>
      <w:color w:val="000000"/>
      <w:sz w:val="21"/>
      <w:szCs w:val="21"/>
      <w:u w:val="none"/>
    </w:rPr>
  </w:style>
  <w:style w:type="character" w:customStyle="1" w:styleId="60">
    <w:name w:val="font81"/>
    <w:basedOn w:val="26"/>
    <w:qFormat/>
    <w:uiPriority w:val="0"/>
    <w:rPr>
      <w:rFonts w:hint="eastAsia" w:ascii="宋体" w:hAnsi="宋体" w:eastAsia="宋体" w:cs="宋体"/>
      <w:color w:val="0070C0"/>
      <w:sz w:val="20"/>
      <w:szCs w:val="20"/>
      <w:u w:val="none"/>
    </w:rPr>
  </w:style>
  <w:style w:type="character" w:customStyle="1" w:styleId="61">
    <w:name w:val="font11"/>
    <w:qFormat/>
    <w:uiPriority w:val="0"/>
    <w:rPr>
      <w:rFonts w:hint="eastAsia" w:ascii="宋体" w:hAnsi="宋体" w:eastAsia="宋体" w:cs="宋体"/>
      <w:color w:val="000000"/>
      <w:sz w:val="24"/>
      <w:szCs w:val="24"/>
      <w:u w:val="none"/>
    </w:rPr>
  </w:style>
  <w:style w:type="character" w:customStyle="1" w:styleId="62">
    <w:name w:val="font41"/>
    <w:qFormat/>
    <w:uiPriority w:val="0"/>
    <w:rPr>
      <w:rFonts w:hint="eastAsia" w:ascii="仿宋" w:hAnsi="仿宋" w:eastAsia="仿宋" w:cs="仿宋"/>
      <w:color w:val="000000"/>
      <w:sz w:val="24"/>
      <w:szCs w:val="24"/>
      <w:u w:val="none"/>
    </w:rPr>
  </w:style>
  <w:style w:type="character" w:customStyle="1" w:styleId="63">
    <w:name w:val="font71"/>
    <w:qFormat/>
    <w:uiPriority w:val="0"/>
    <w:rPr>
      <w:rFonts w:hint="eastAsia" w:ascii="宋体" w:hAnsi="宋体" w:eastAsia="宋体" w:cs="宋体"/>
      <w:color w:val="000000"/>
      <w:sz w:val="20"/>
      <w:szCs w:val="20"/>
      <w:u w:val="none"/>
    </w:rPr>
  </w:style>
  <w:style w:type="character" w:customStyle="1" w:styleId="64">
    <w:name w:val="font131"/>
    <w:basedOn w:val="26"/>
    <w:qFormat/>
    <w:uiPriority w:val="0"/>
    <w:rPr>
      <w:rFonts w:hint="eastAsia" w:ascii="宋体" w:hAnsi="宋体" w:eastAsia="宋体" w:cs="宋体"/>
      <w:color w:val="000000"/>
      <w:sz w:val="20"/>
      <w:szCs w:val="20"/>
      <w:u w:val="none"/>
    </w:rPr>
  </w:style>
  <w:style w:type="character" w:customStyle="1" w:styleId="65">
    <w:name w:val="页脚 Char"/>
    <w:link w:val="15"/>
    <w:qFormat/>
    <w:uiPriority w:val="99"/>
    <w:rPr>
      <w:rFonts w:eastAsia="宋体"/>
      <w:kern w:val="2"/>
      <w:sz w:val="18"/>
      <w:szCs w:val="18"/>
      <w:lang w:val="en-US" w:eastAsia="zh-CN" w:bidi="ar-SA"/>
    </w:rPr>
  </w:style>
  <w:style w:type="character" w:customStyle="1" w:styleId="66">
    <w:name w:val="font31"/>
    <w:basedOn w:val="26"/>
    <w:qFormat/>
    <w:uiPriority w:val="0"/>
    <w:rPr>
      <w:rFonts w:hint="default" w:ascii="等线" w:hAnsi="等线" w:eastAsia="等线" w:cs="等线"/>
      <w:b/>
      <w:color w:val="000000"/>
      <w:sz w:val="20"/>
      <w:szCs w:val="20"/>
      <w:u w:val="none"/>
    </w:rPr>
  </w:style>
  <w:style w:type="character" w:customStyle="1" w:styleId="67">
    <w:name w:val="日期 Char"/>
    <w:link w:val="13"/>
    <w:qFormat/>
    <w:locked/>
    <w:uiPriority w:val="0"/>
    <w:rPr>
      <w:kern w:val="2"/>
      <w:sz w:val="28"/>
    </w:rPr>
  </w:style>
  <w:style w:type="character" w:customStyle="1" w:styleId="68">
    <w:name w:val="font51"/>
    <w:qFormat/>
    <w:uiPriority w:val="0"/>
    <w:rPr>
      <w:rFonts w:hint="eastAsia" w:ascii="宋体" w:hAnsi="宋体" w:eastAsia="宋体" w:cs="宋体"/>
      <w:color w:val="000000"/>
      <w:sz w:val="18"/>
      <w:szCs w:val="18"/>
      <w:u w:val="none"/>
    </w:rPr>
  </w:style>
  <w:style w:type="character" w:customStyle="1" w:styleId="69">
    <w:name w:val="font61"/>
    <w:qFormat/>
    <w:uiPriority w:val="0"/>
    <w:rPr>
      <w:rFonts w:hint="eastAsia" w:ascii="宋体" w:hAnsi="宋体" w:eastAsia="宋体" w:cs="宋体"/>
      <w:b/>
      <w:color w:val="000000"/>
      <w:sz w:val="28"/>
      <w:szCs w:val="28"/>
      <w:u w:val="none"/>
    </w:rPr>
  </w:style>
  <w:style w:type="character" w:customStyle="1" w:styleId="70">
    <w:name w:val="页眉 Char"/>
    <w:link w:val="16"/>
    <w:qFormat/>
    <w:uiPriority w:val="0"/>
    <w:rPr>
      <w:kern w:val="2"/>
      <w:sz w:val="18"/>
      <w:szCs w:val="18"/>
    </w:rPr>
  </w:style>
  <w:style w:type="character" w:customStyle="1" w:styleId="71">
    <w:name w:val="font141"/>
    <w:basedOn w:val="26"/>
    <w:qFormat/>
    <w:uiPriority w:val="0"/>
    <w:rPr>
      <w:rFonts w:hint="eastAsia" w:ascii="宋体" w:hAnsi="宋体" w:eastAsia="宋体" w:cs="宋体"/>
      <w:color w:val="FF0000"/>
      <w:sz w:val="20"/>
      <w:szCs w:val="20"/>
      <w:u w:val="none"/>
    </w:rPr>
  </w:style>
  <w:style w:type="character" w:customStyle="1" w:styleId="72">
    <w:name w:val="页码1"/>
    <w:basedOn w:val="26"/>
    <w:qFormat/>
    <w:uiPriority w:val="0"/>
  </w:style>
  <w:style w:type="character" w:customStyle="1" w:styleId="73">
    <w:name w:val="font01"/>
    <w:basedOn w:val="26"/>
    <w:qFormat/>
    <w:uiPriority w:val="0"/>
    <w:rPr>
      <w:rFonts w:hint="default" w:ascii="等线" w:hAnsi="等线" w:eastAsia="等线" w:cs="等线"/>
      <w:b/>
      <w:color w:val="FF0000"/>
      <w:sz w:val="20"/>
      <w:szCs w:val="20"/>
      <w:u w:val="none"/>
    </w:rPr>
  </w:style>
  <w:style w:type="paragraph" w:customStyle="1" w:styleId="74">
    <w:name w:val="12 Table Text"/>
    <w:basedOn w:val="1"/>
    <w:qFormat/>
    <w:uiPriority w:val="0"/>
    <w:pPr>
      <w:spacing w:beforeLines="10" w:afterLines="10"/>
      <w:jc w:val="left"/>
    </w:pPr>
    <w:rPr>
      <w:szCs w:val="24"/>
    </w:rPr>
  </w:style>
  <w:style w:type="character" w:customStyle="1" w:styleId="75">
    <w:name w:val="button"/>
    <w:basedOn w:val="26"/>
    <w:qFormat/>
    <w:uiPriority w:val="0"/>
  </w:style>
  <w:style w:type="character" w:customStyle="1" w:styleId="76">
    <w:name w:val="indent"/>
    <w:basedOn w:val="26"/>
    <w:qFormat/>
    <w:uiPriority w:val="0"/>
  </w:style>
  <w:style w:type="character" w:customStyle="1" w:styleId="77">
    <w:name w:val="old"/>
    <w:basedOn w:val="26"/>
    <w:qFormat/>
    <w:uiPriority w:val="0"/>
    <w:rPr>
      <w:color w:val="999999"/>
    </w:rPr>
  </w:style>
  <w:style w:type="character" w:customStyle="1" w:styleId="78">
    <w:name w:val="hour_am"/>
    <w:basedOn w:val="26"/>
    <w:qFormat/>
    <w:uiPriority w:val="0"/>
  </w:style>
  <w:style w:type="character" w:customStyle="1" w:styleId="79">
    <w:name w:val="hover3"/>
    <w:basedOn w:val="26"/>
    <w:qFormat/>
    <w:uiPriority w:val="0"/>
    <w:rPr>
      <w:shd w:val="clear" w:color="auto" w:fill="EEEEEE"/>
    </w:rPr>
  </w:style>
  <w:style w:type="character" w:customStyle="1" w:styleId="80">
    <w:name w:val="glyphicon4"/>
    <w:basedOn w:val="26"/>
    <w:qFormat/>
    <w:uiPriority w:val="0"/>
  </w:style>
  <w:style w:type="character" w:customStyle="1" w:styleId="81">
    <w:name w:val="hour_pm"/>
    <w:basedOn w:val="26"/>
    <w:qFormat/>
    <w:uiPriority w:val="0"/>
  </w:style>
  <w:style w:type="character" w:customStyle="1" w:styleId="82">
    <w:name w:val="tmpztreemove_arrow"/>
    <w:basedOn w:val="26"/>
    <w:qFormat/>
    <w:uiPriority w:val="0"/>
    <w:rPr>
      <w:shd w:val="clear" w:color="auto" w:fill="FFFFFF"/>
    </w:rPr>
  </w:style>
  <w:style w:type="character" w:customStyle="1" w:styleId="83">
    <w:name w:val="proollist"/>
    <w:basedOn w:val="26"/>
    <w:qFormat/>
    <w:uiPriority w:val="0"/>
  </w:style>
  <w:style w:type="character" w:customStyle="1" w:styleId="84">
    <w:name w:val="input-direction"/>
    <w:basedOn w:val="26"/>
    <w:qFormat/>
    <w:uiPriority w:val="0"/>
    <w:rPr>
      <w:color w:val="FF6600"/>
    </w:rPr>
  </w:style>
  <w:style w:type="character" w:customStyle="1" w:styleId="85">
    <w:name w:val="span-long"/>
    <w:basedOn w:val="26"/>
    <w:qFormat/>
    <w:uiPriority w:val="0"/>
  </w:style>
  <w:style w:type="character" w:customStyle="1" w:styleId="86">
    <w:name w:val="beforeinfotext"/>
    <w:basedOn w:val="26"/>
    <w:qFormat/>
    <w:uiPriority w:val="0"/>
    <w:rPr>
      <w:color w:val="666666"/>
    </w:rPr>
  </w:style>
  <w:style w:type="character" w:customStyle="1" w:styleId="87">
    <w:name w:val="phone"/>
    <w:basedOn w:val="26"/>
    <w:qFormat/>
    <w:uiPriority w:val="0"/>
    <w:rPr>
      <w:color w:val="FF8833"/>
      <w:sz w:val="18"/>
      <w:szCs w:val="18"/>
    </w:rPr>
  </w:style>
  <w:style w:type="character" w:customStyle="1" w:styleId="88">
    <w:name w:val="stclosebtn"/>
    <w:basedOn w:val="26"/>
    <w:qFormat/>
    <w:uiPriority w:val="0"/>
  </w:style>
  <w:style w:type="character" w:customStyle="1" w:styleId="89">
    <w:name w:val="number"/>
    <w:basedOn w:val="26"/>
    <w:qFormat/>
    <w:uiPriority w:val="0"/>
    <w:rPr>
      <w:color w:val="FF8833"/>
      <w:sz w:val="18"/>
      <w:szCs w:val="18"/>
    </w:rPr>
  </w:style>
  <w:style w:type="character" w:customStyle="1" w:styleId="90">
    <w:name w:val="hilite6"/>
    <w:basedOn w:val="26"/>
    <w:qFormat/>
    <w:uiPriority w:val="0"/>
    <w:rPr>
      <w:color w:val="FFFFFF"/>
      <w:shd w:val="clear" w:color="auto" w:fill="666677"/>
    </w:rPr>
  </w:style>
  <w:style w:type="character" w:customStyle="1" w:styleId="91">
    <w:name w:val="active6"/>
    <w:basedOn w:val="26"/>
    <w:qFormat/>
    <w:uiPriority w:val="0"/>
    <w:rPr>
      <w:color w:val="00FF00"/>
      <w:shd w:val="clear" w:color="auto" w:fill="000000"/>
    </w:rPr>
  </w:style>
  <w:style w:type="character" w:customStyle="1" w:styleId="92">
    <w:name w:val="hilite"/>
    <w:basedOn w:val="26"/>
    <w:qFormat/>
    <w:uiPriority w:val="0"/>
    <w:rPr>
      <w:color w:val="FFFFFF"/>
      <w:shd w:val="clear" w:color="auto" w:fill="666677"/>
    </w:rPr>
  </w:style>
  <w:style w:type="character" w:customStyle="1" w:styleId="93">
    <w:name w:val="button2"/>
    <w:basedOn w:val="26"/>
    <w:qFormat/>
    <w:uiPriority w:val="0"/>
  </w:style>
  <w:style w:type="character" w:customStyle="1" w:styleId="94">
    <w:name w:val="hilite5"/>
    <w:basedOn w:val="26"/>
    <w:qFormat/>
    <w:uiPriority w:val="0"/>
    <w:rPr>
      <w:color w:val="FFFFFF"/>
      <w:shd w:val="clear" w:color="auto" w:fill="666677"/>
    </w:rPr>
  </w:style>
  <w:style w:type="character" w:customStyle="1" w:styleId="95">
    <w:name w:val="active4"/>
    <w:basedOn w:val="26"/>
    <w:qFormat/>
    <w:uiPriority w:val="0"/>
    <w:rPr>
      <w:color w:val="00FF00"/>
      <w:shd w:val="clear" w:color="auto" w:fill="000000"/>
    </w:rPr>
  </w:style>
  <w:style w:type="character" w:customStyle="1" w:styleId="96">
    <w:name w:val="hilite4"/>
    <w:basedOn w:val="26"/>
    <w:qFormat/>
    <w:uiPriority w:val="0"/>
    <w:rPr>
      <w:color w:val="FFFFFF"/>
      <w:shd w:val="clear" w:color="auto" w:fill="666677"/>
    </w:rPr>
  </w:style>
  <w:style w:type="character" w:customStyle="1" w:styleId="97">
    <w:name w:val="active"/>
    <w:basedOn w:val="26"/>
    <w:qFormat/>
    <w:uiPriority w:val="0"/>
    <w:rPr>
      <w:color w:val="00FF00"/>
      <w:shd w:val="clear" w:color="auto" w:fill="000000"/>
    </w:rPr>
  </w:style>
  <w:style w:type="paragraph" w:customStyle="1" w:styleId="98">
    <w:name w:val="纯文本1"/>
    <w:basedOn w:val="1"/>
    <w:qFormat/>
    <w:uiPriority w:val="0"/>
    <w:rPr>
      <w:rFonts w:ascii="宋体" w:hAnsi="宋体" w:cs="Courier New"/>
      <w:szCs w:val="21"/>
    </w:rPr>
  </w:style>
  <w:style w:type="paragraph" w:customStyle="1" w:styleId="9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00">
    <w:name w:val="List Paragraph1"/>
    <w:qFormat/>
    <w:uiPriority w:val="99"/>
    <w:pPr>
      <w:ind w:firstLine="420" w:firstLineChars="200"/>
    </w:pPr>
    <w:rPr>
      <w:rFonts w:ascii="Calibri" w:hAnsi="Calibri" w:eastAsia="宋体" w:cs="Times New Roman"/>
      <w:sz w:val="21"/>
      <w:szCs w:val="22"/>
      <w:lang w:val="en-US" w:eastAsia="zh-CN" w:bidi="ar-SA"/>
    </w:rPr>
  </w:style>
  <w:style w:type="paragraph" w:styleId="101">
    <w:name w:val="List Paragraph"/>
    <w:basedOn w:val="1"/>
    <w:qFormat/>
    <w:uiPriority w:val="34"/>
    <w:pPr>
      <w:ind w:firstLine="420" w:firstLineChars="200"/>
    </w:pPr>
    <w:rPr>
      <w:sz w:val="21"/>
    </w:rPr>
  </w:style>
  <w:style w:type="character" w:customStyle="1" w:styleId="102">
    <w:name w:val="mini-tree-nodetext3"/>
    <w:basedOn w:val="26"/>
    <w:qFormat/>
    <w:uiPriority w:val="0"/>
  </w:style>
  <w:style w:type="character" w:customStyle="1" w:styleId="103">
    <w:name w:val="mini-tree-nodetext2"/>
    <w:basedOn w:val="26"/>
    <w:qFormat/>
    <w:uiPriority w:val="0"/>
  </w:style>
  <w:style w:type="paragraph" w:customStyle="1" w:styleId="1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5">
    <w:name w:val="表格样式居左"/>
    <w:qFormat/>
    <w:uiPriority w:val="0"/>
    <w:pPr>
      <w:adjustRightInd w:val="0"/>
      <w:snapToGrid w:val="0"/>
      <w:spacing w:line="360" w:lineRule="exact"/>
    </w:pPr>
    <w:rPr>
      <w:rFonts w:ascii="仿宋_GB2312" w:hAnsi="Calibri" w:eastAsia="仿宋_GB2312" w:cs="Times New Roman"/>
      <w:bCs/>
      <w:color w:val="000000"/>
      <w:szCs w:val="44"/>
      <w:lang w:val="en-US" w:eastAsia="zh-CN" w:bidi="ar-SA"/>
    </w:rPr>
  </w:style>
  <w:style w:type="paragraph" w:styleId="106">
    <w:name w:val="No Spacing"/>
    <w:qFormat/>
    <w:uiPriority w:val="1"/>
    <w:pPr>
      <w:widowControl w:val="0"/>
      <w:jc w:val="both"/>
    </w:pPr>
    <w:rPr>
      <w:rFonts w:ascii="Calibri" w:hAnsi="Calibri" w:eastAsia="宋体" w:cs="宋体"/>
      <w:kern w:val="2"/>
      <w:sz w:val="21"/>
      <w:szCs w:val="24"/>
      <w:lang w:val="en-US" w:eastAsia="zh-CN" w:bidi="ar-SA"/>
    </w:rPr>
  </w:style>
  <w:style w:type="paragraph" w:customStyle="1" w:styleId="107">
    <w:name w:val="null3"/>
    <w:hidden/>
    <w:qFormat/>
    <w:uiPriority w:val="0"/>
    <w:rPr>
      <w:rFonts w:hint="eastAsia" w:asciiTheme="minorHAnsi" w:hAnsiTheme="minorHAnsi" w:eastAsiaTheme="minorEastAsia" w:cstheme="minorBidi"/>
      <w:lang w:val="en-US" w:eastAsia="zh-Hans"/>
    </w:rPr>
  </w:style>
  <w:style w:type="paragraph" w:customStyle="1" w:styleId="108">
    <w:name w:val="表格内容"/>
    <w:basedOn w:val="1"/>
    <w:qFormat/>
    <w:uiPriority w:val="0"/>
    <w:pPr>
      <w:spacing w:before="260" w:beforeAutospacing="0" w:after="260" w:afterAutospacing="0" w:line="240" w:lineRule="auto"/>
      <w:ind w:firstLine="0" w:firstLineChars="0"/>
      <w:jc w:val="left"/>
    </w:pPr>
    <w:rPr>
      <w:rFonts w:hint="default" w:ascii="Times New Roman" w:hAnsi="Times New Roman" w:eastAsia="宋体" w:cs="Times New Roman"/>
      <w:kern w:val="2"/>
      <w:sz w:val="24"/>
      <w:szCs w:val="24"/>
      <w:lang w:val="en-US" w:eastAsia="zh-CN" w:bidi="ar"/>
    </w:rPr>
  </w:style>
  <w:style w:type="table" w:customStyle="1" w:styleId="109">
    <w:name w:val="Table Normal"/>
    <w:unhideWhenUsed/>
    <w:qFormat/>
    <w:uiPriority w:val="2"/>
    <w:pPr>
      <w:widowControl w:val="0"/>
      <w:autoSpaceDE w:val="0"/>
      <w:autoSpaceDN w:val="0"/>
    </w:pPr>
    <w:rPr>
      <w:rFonts w:ascii="Calibri" w:hAnsi="Calibri"/>
      <w:kern w:val="0"/>
      <w:sz w:val="22"/>
      <w:szCs w:val="22"/>
      <w:lang w:eastAsia="en-US"/>
    </w:rPr>
    <w:tblPr>
      <w:tblCellMar>
        <w:top w:w="0" w:type="dxa"/>
        <w:left w:w="0" w:type="dxa"/>
        <w:bottom w:w="0" w:type="dxa"/>
        <w:right w:w="0" w:type="dxa"/>
      </w:tblCellMar>
    </w:tblPr>
  </w:style>
  <w:style w:type="paragraph" w:customStyle="1" w:styleId="110">
    <w:name w:val="_Style 109"/>
    <w:basedOn w:val="1"/>
    <w:next w:val="1"/>
    <w:qFormat/>
    <w:uiPriority w:val="0"/>
    <w:pPr>
      <w:pBdr>
        <w:bottom w:val="single" w:color="auto" w:sz="6" w:space="1"/>
      </w:pBdr>
      <w:jc w:val="center"/>
    </w:pPr>
    <w:rPr>
      <w:rFonts w:ascii="Arial" w:eastAsia="宋体"/>
      <w:vanish/>
      <w:sz w:val="16"/>
    </w:rPr>
  </w:style>
  <w:style w:type="paragraph" w:customStyle="1" w:styleId="111">
    <w:name w:val="_Style 1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jpe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86"/>
    <customShpInfo spid="_x0000_s3085"/>
    <customShpInfo spid="_x0000_s3087"/>
    <customShpInfo spid="_x0000_s3089"/>
    <customShpInfo spid="_x0000_s3088"/>
    <customShpInfo spid="_x0000_s3091" textRotate="1"/>
    <customShpInfo spid="_x0000_s3090" textRotate="1"/>
    <customShpInfo spid="_x0000_s3093" textRotate="1"/>
    <customShpInfo spid="_x0000_s3092" textRotate="1"/>
    <customShpInfo spid="_x0000_s3097" textRotate="1"/>
    <customShpInfo spid="_x0000_s3098" textRotate="1"/>
    <customShpInfo spid="_x0000_s3096"/>
    <customShpInfo spid="_x0000_s3094"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57</Pages>
  <Words>17265</Words>
  <Characters>18669</Characters>
  <Lines>289</Lines>
  <Paragraphs>81</Paragraphs>
  <TotalTime>0</TotalTime>
  <ScaleCrop>false</ScaleCrop>
  <LinksUpToDate>false</LinksUpToDate>
  <CharactersWithSpaces>18808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2022-06-23T08:28:00Z</dcterms:created>
  <dc:creator>MC SYSTEM</dc:creator>
  <cp:lastModifiedBy>WPS_1658106135</cp:lastModifiedBy>
  <cp:lastPrinted>2024-08-23T06:37:00Z</cp:lastPrinted>
  <dcterms:modified xsi:type="dcterms:W3CDTF">2025-04-11T10:05:20Z</dcterms:modified>
  <dc:title>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BDF70206C648497BB595A1B70586996D_13</vt:lpwstr>
  </property>
  <property fmtid="{D5CDD505-2E9C-101B-9397-08002B2CF9AE}" pid="4" name="KSOTemplateDocerSaveRecord">
    <vt:lpwstr>eyJoZGlkIjoiZjRlN2Y2MTkzNmMwM2JjZmE2ZjhjY2Q2ZjhiMTA2OTMiLCJ1c2VySWQiOiIxMzg5MDA5NDczIn0=</vt:lpwstr>
  </property>
</Properties>
</file>