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39BD6">
      <w:pPr>
        <w:spacing w:line="300" w:lineRule="auto"/>
        <w:jc w:val="center"/>
        <w:rPr>
          <w:rFonts w:hint="eastAsia" w:ascii="黑体" w:hAnsi="宋体" w:eastAsia="黑体"/>
          <w:color w:val="auto"/>
          <w:sz w:val="40"/>
          <w:szCs w:val="40"/>
          <w:highlight w:val="none"/>
        </w:rPr>
      </w:pPr>
    </w:p>
    <w:p w14:paraId="0DC0D32B">
      <w:pPr>
        <w:spacing w:line="300" w:lineRule="auto"/>
        <w:jc w:val="center"/>
        <w:rPr>
          <w:rFonts w:hint="eastAsia" w:ascii="黑体" w:hAnsi="宋体" w:eastAsia="黑体"/>
          <w:color w:val="auto"/>
          <w:sz w:val="40"/>
          <w:szCs w:val="40"/>
          <w:highlight w:val="none"/>
        </w:rPr>
      </w:pPr>
    </w:p>
    <w:p w14:paraId="618B5747">
      <w:pPr>
        <w:spacing w:line="300" w:lineRule="auto"/>
        <w:jc w:val="center"/>
        <w:rPr>
          <w:rFonts w:hint="eastAsia" w:ascii="黑体" w:hAnsi="宋体" w:eastAsia="黑体"/>
          <w:color w:val="auto"/>
          <w:sz w:val="40"/>
          <w:szCs w:val="40"/>
          <w:highlight w:val="none"/>
        </w:rPr>
      </w:pPr>
    </w:p>
    <w:p w14:paraId="6405EA28">
      <w:pPr>
        <w:spacing w:line="300" w:lineRule="auto"/>
        <w:jc w:val="center"/>
        <w:rPr>
          <w:rFonts w:hint="eastAsia" w:ascii="黑体" w:hAnsi="宋体" w:eastAsia="黑体"/>
          <w:color w:val="auto"/>
          <w:sz w:val="40"/>
          <w:szCs w:val="40"/>
          <w:highlight w:val="none"/>
          <w:lang w:val="en-US" w:eastAsia="zh-CN"/>
        </w:rPr>
      </w:pPr>
      <w:bookmarkStart w:id="8" w:name="_GoBack"/>
      <w:bookmarkEnd w:id="8"/>
      <w:r>
        <w:rPr>
          <w:rFonts w:hint="eastAsia" w:ascii="黑体" w:hAnsi="宋体" w:eastAsia="黑体"/>
          <w:color w:val="auto"/>
          <w:sz w:val="40"/>
          <w:szCs w:val="40"/>
          <w:highlight w:val="none"/>
        </w:rPr>
        <w:t>西安市新城区长乐中路街道办事处街道机关东办公楼加固装修</w:t>
      </w:r>
      <w:r>
        <w:rPr>
          <w:rFonts w:hint="eastAsia" w:ascii="黑体" w:hAnsi="宋体" w:eastAsia="黑体"/>
          <w:color w:val="auto"/>
          <w:sz w:val="40"/>
          <w:szCs w:val="40"/>
          <w:highlight w:val="none"/>
          <w:lang w:val="en-US" w:eastAsia="zh-CN"/>
        </w:rPr>
        <w:t>项目</w:t>
      </w:r>
    </w:p>
    <w:p w14:paraId="59645597">
      <w:pPr>
        <w:widowControl/>
        <w:jc w:val="center"/>
        <w:rPr>
          <w:rFonts w:hint="eastAsia" w:ascii="黑体" w:hAnsi="宋体" w:eastAsia="黑体"/>
          <w:color w:val="auto"/>
          <w:sz w:val="44"/>
          <w:szCs w:val="44"/>
          <w:highlight w:val="none"/>
        </w:rPr>
      </w:pPr>
    </w:p>
    <w:p w14:paraId="0F084EA0">
      <w:pPr>
        <w:widowControl/>
        <w:jc w:val="center"/>
        <w:rPr>
          <w:rFonts w:hint="eastAsia" w:ascii="黑体" w:hAnsi="宋体" w:eastAsia="黑体"/>
          <w:color w:val="auto"/>
          <w:sz w:val="44"/>
          <w:szCs w:val="44"/>
          <w:highlight w:val="none"/>
        </w:rPr>
      </w:pPr>
      <w:r>
        <w:rPr>
          <w:rFonts w:hint="eastAsia" w:ascii="黑体" w:hAnsi="宋体" w:eastAsia="黑体"/>
          <w:color w:val="auto"/>
          <w:sz w:val="44"/>
          <w:szCs w:val="44"/>
          <w:highlight w:val="none"/>
        </w:rPr>
        <w:t>施工合同</w:t>
      </w:r>
    </w:p>
    <w:p w14:paraId="5A48A242">
      <w:pPr>
        <w:spacing w:line="360" w:lineRule="auto"/>
        <w:jc w:val="center"/>
        <w:rPr>
          <w:rFonts w:hint="eastAsia" w:ascii="黑体" w:hAnsi="宋体" w:eastAsia="黑体"/>
          <w:b/>
          <w:color w:val="auto"/>
          <w:sz w:val="44"/>
          <w:szCs w:val="44"/>
          <w:highlight w:val="none"/>
        </w:rPr>
      </w:pPr>
    </w:p>
    <w:p w14:paraId="625D1E24">
      <w:pPr>
        <w:spacing w:line="360" w:lineRule="auto"/>
        <w:jc w:val="center"/>
        <w:rPr>
          <w:rFonts w:hint="eastAsia" w:ascii="黑体" w:hAnsi="宋体" w:eastAsia="黑体"/>
          <w:b/>
          <w:color w:val="auto"/>
          <w:sz w:val="36"/>
          <w:szCs w:val="36"/>
          <w:highlight w:val="none"/>
        </w:rPr>
      </w:pPr>
    </w:p>
    <w:p w14:paraId="480C44A2">
      <w:pPr>
        <w:spacing w:line="300" w:lineRule="auto"/>
        <w:ind w:firstLine="2108" w:firstLineChars="700"/>
        <w:rPr>
          <w:rFonts w:hint="default" w:ascii="仿宋_GB2312" w:hAnsi="宋体" w:eastAsia="仿宋_GB2312"/>
          <w:b/>
          <w:color w:val="auto"/>
          <w:sz w:val="30"/>
          <w:szCs w:val="30"/>
          <w:highlight w:val="none"/>
          <w:u w:val="single"/>
          <w:lang w:val="en-US" w:eastAsia="zh-CN"/>
        </w:rPr>
      </w:pPr>
      <w:r>
        <w:rPr>
          <w:rFonts w:hint="eastAsia" w:ascii="仿宋_GB2312" w:hAnsi="宋体" w:eastAsia="仿宋_GB2312"/>
          <w:b/>
          <w:color w:val="auto"/>
          <w:sz w:val="30"/>
          <w:szCs w:val="30"/>
          <w:highlight w:val="none"/>
        </w:rPr>
        <w:t>合同编号：</w:t>
      </w:r>
      <w:r>
        <w:rPr>
          <w:rFonts w:hint="eastAsia" w:ascii="仿宋_GB2312" w:hAnsi="宋体" w:eastAsia="仿宋_GB2312"/>
          <w:b/>
          <w:color w:val="auto"/>
          <w:sz w:val="30"/>
          <w:szCs w:val="30"/>
          <w:highlight w:val="none"/>
          <w:u w:val="single"/>
          <w:lang w:val="en-US" w:eastAsia="zh-CN"/>
        </w:rPr>
        <w:t xml:space="preserve">                </w:t>
      </w:r>
    </w:p>
    <w:p w14:paraId="3CD7D31D">
      <w:pPr>
        <w:spacing w:line="360" w:lineRule="auto"/>
        <w:jc w:val="center"/>
        <w:rPr>
          <w:rFonts w:hint="eastAsia" w:ascii="黑体" w:hAnsi="宋体" w:eastAsia="黑体"/>
          <w:b/>
          <w:color w:val="auto"/>
          <w:sz w:val="36"/>
          <w:szCs w:val="36"/>
          <w:highlight w:val="none"/>
        </w:rPr>
      </w:pPr>
    </w:p>
    <w:p w14:paraId="6185120F">
      <w:pPr>
        <w:spacing w:line="360" w:lineRule="auto"/>
        <w:jc w:val="center"/>
        <w:rPr>
          <w:rFonts w:hint="eastAsia" w:ascii="黑体" w:hAnsi="宋体" w:eastAsia="黑体"/>
          <w:b/>
          <w:color w:val="auto"/>
          <w:sz w:val="36"/>
          <w:szCs w:val="36"/>
          <w:highlight w:val="none"/>
        </w:rPr>
      </w:pPr>
    </w:p>
    <w:p w14:paraId="6C9D74DA">
      <w:pPr>
        <w:spacing w:line="360" w:lineRule="auto"/>
        <w:jc w:val="center"/>
        <w:rPr>
          <w:rFonts w:hint="eastAsia" w:ascii="黑体" w:hAnsi="宋体" w:eastAsia="黑体"/>
          <w:b/>
          <w:color w:val="auto"/>
          <w:sz w:val="36"/>
          <w:szCs w:val="36"/>
          <w:highlight w:val="none"/>
        </w:rPr>
      </w:pPr>
    </w:p>
    <w:p w14:paraId="430B68CB">
      <w:pPr>
        <w:pStyle w:val="6"/>
        <w:rPr>
          <w:rFonts w:hint="eastAsia"/>
        </w:rPr>
      </w:pPr>
    </w:p>
    <w:p w14:paraId="78E5C532">
      <w:pPr>
        <w:rPr>
          <w:rFonts w:hint="eastAsia" w:ascii="黑体" w:eastAsia="黑体"/>
          <w:b/>
          <w:color w:val="auto"/>
          <w:sz w:val="36"/>
          <w:highlight w:val="none"/>
        </w:rPr>
      </w:pPr>
    </w:p>
    <w:p w14:paraId="77CDEE0D">
      <w:pPr>
        <w:rPr>
          <w:b/>
          <w:color w:val="auto"/>
          <w:sz w:val="32"/>
          <w:highlight w:val="none"/>
        </w:rPr>
      </w:pPr>
    </w:p>
    <w:p w14:paraId="3036DE06">
      <w:pPr>
        <w:pStyle w:val="2"/>
      </w:pPr>
    </w:p>
    <w:p w14:paraId="496A7080">
      <w:pPr>
        <w:rPr>
          <w:b/>
          <w:color w:val="auto"/>
          <w:sz w:val="32"/>
          <w:highlight w:val="none"/>
        </w:rPr>
      </w:pPr>
    </w:p>
    <w:p w14:paraId="5DC56DD5">
      <w:pPr>
        <w:jc w:val="center"/>
        <w:rPr>
          <w:rFonts w:hint="eastAsia" w:ascii="仿宋_GB2312" w:hAnsi="宋体" w:eastAsia="仿宋_GB2312"/>
          <w:b/>
          <w:color w:val="auto"/>
          <w:sz w:val="24"/>
          <w:highlight w:val="none"/>
        </w:rPr>
      </w:pPr>
      <w:r>
        <w:rPr>
          <w:rFonts w:hint="eastAsia" w:ascii="黑体" w:eastAsia="黑体"/>
          <w:b/>
          <w:color w:val="auto"/>
          <w:sz w:val="32"/>
          <w:highlight w:val="none"/>
        </w:rPr>
        <w:t>二○二</w:t>
      </w:r>
      <w:r>
        <w:rPr>
          <w:rFonts w:hint="eastAsia" w:ascii="黑体" w:eastAsia="黑体"/>
          <w:b/>
          <w:color w:val="auto"/>
          <w:sz w:val="32"/>
          <w:highlight w:val="none"/>
          <w:lang w:val="en-US" w:eastAsia="zh-CN"/>
        </w:rPr>
        <w:t>五</w:t>
      </w:r>
      <w:r>
        <w:rPr>
          <w:rFonts w:hint="eastAsia" w:ascii="黑体" w:eastAsia="黑体"/>
          <w:b/>
          <w:color w:val="auto"/>
          <w:sz w:val="32"/>
          <w:highlight w:val="none"/>
        </w:rPr>
        <w:t>年</w:t>
      </w:r>
      <w:r>
        <w:rPr>
          <w:rFonts w:hint="eastAsia" w:ascii="黑体" w:eastAsia="黑体"/>
          <w:b/>
          <w:color w:val="auto"/>
          <w:sz w:val="32"/>
          <w:highlight w:val="none"/>
          <w:lang w:val="en-US" w:eastAsia="zh-CN"/>
        </w:rPr>
        <w:t xml:space="preserve">  </w:t>
      </w:r>
      <w:r>
        <w:rPr>
          <w:rFonts w:hint="eastAsia" w:ascii="黑体" w:eastAsia="黑体"/>
          <w:b/>
          <w:color w:val="auto"/>
          <w:sz w:val="32"/>
          <w:highlight w:val="none"/>
        </w:rPr>
        <w:t>月</w:t>
      </w:r>
    </w:p>
    <w:p w14:paraId="40B6F93C">
      <w:pPr>
        <w:spacing w:line="300" w:lineRule="auto"/>
        <w:ind w:left="2382" w:leftChars="258" w:hanging="1840" w:hangingChars="611"/>
        <w:rPr>
          <w:rFonts w:hint="eastAsia" w:ascii="仿宋_GB2312" w:hAnsi="宋体" w:eastAsia="仿宋_GB2312"/>
          <w:b/>
          <w:color w:val="auto"/>
          <w:sz w:val="30"/>
          <w:szCs w:val="30"/>
          <w:highlight w:val="none"/>
        </w:rPr>
      </w:pPr>
    </w:p>
    <w:p w14:paraId="3269435F">
      <w:pPr>
        <w:spacing w:line="300" w:lineRule="auto"/>
        <w:ind w:left="2382" w:leftChars="258" w:hanging="1840" w:hangingChars="611"/>
        <w:rPr>
          <w:rFonts w:hint="eastAsia" w:ascii="仿宋_GB2312" w:hAnsi="宋体" w:eastAsia="仿宋_GB2312"/>
          <w:b/>
          <w:color w:val="auto"/>
          <w:sz w:val="30"/>
          <w:szCs w:val="30"/>
          <w:highlight w:val="none"/>
        </w:rPr>
      </w:pPr>
    </w:p>
    <w:p w14:paraId="65706028">
      <w:pPr>
        <w:spacing w:line="300" w:lineRule="auto"/>
        <w:ind w:left="2382" w:leftChars="258" w:hanging="1840" w:hangingChars="611"/>
        <w:rPr>
          <w:rFonts w:hint="eastAsia" w:ascii="仿宋_GB2312" w:hAnsi="宋体" w:eastAsia="仿宋_GB2312"/>
          <w:b/>
          <w:color w:val="auto"/>
          <w:sz w:val="30"/>
          <w:szCs w:val="30"/>
          <w:highlight w:val="none"/>
        </w:rPr>
      </w:pPr>
    </w:p>
    <w:p w14:paraId="30C59B2F">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6A71A675">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发包人</w:t>
      </w:r>
      <w:r>
        <w:rPr>
          <w:rFonts w:hint="eastAsia" w:ascii="宋体" w:hAnsi="宋体" w:eastAsia="宋体" w:cs="宋体"/>
          <w:b/>
          <w:color w:val="auto"/>
          <w:sz w:val="24"/>
          <w:szCs w:val="24"/>
          <w:highlight w:val="none"/>
        </w:rPr>
        <w:t>：西安市新城区长乐中路街道办事处</w:t>
      </w:r>
    </w:p>
    <w:p w14:paraId="30C97EC8">
      <w:pPr>
        <w:keepNext w:val="0"/>
        <w:keepLines w:val="0"/>
        <w:pageBreakBefore w:val="0"/>
        <w:widowControl w:val="0"/>
        <w:kinsoku/>
        <w:wordWrap/>
        <w:overflowPunct/>
        <w:topLinePunct w:val="0"/>
        <w:autoSpaceDE/>
        <w:autoSpaceDN/>
        <w:bidi w:val="0"/>
        <w:adjustRightInd/>
        <w:snapToGrid/>
        <w:spacing w:line="360" w:lineRule="auto"/>
        <w:ind w:left="2014" w:leftChars="258" w:hanging="1472" w:hangingChars="611"/>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承包人</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lang w:val="en-US" w:eastAsia="zh-CN"/>
        </w:rPr>
        <w:t xml:space="preserve"> </w:t>
      </w:r>
    </w:p>
    <w:p w14:paraId="27A98FB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《中华人民共和国建筑法》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为了明确</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的权利和义务，按照公开、公正、平等、自愿的原则，依据</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及响应文件</w:t>
      </w:r>
      <w:r>
        <w:rPr>
          <w:rFonts w:hint="eastAsia" w:ascii="宋体" w:hAnsi="宋体" w:eastAsia="宋体" w:cs="宋体"/>
          <w:color w:val="auto"/>
          <w:sz w:val="24"/>
          <w:szCs w:val="24"/>
          <w:highlight w:val="none"/>
        </w:rPr>
        <w:t>，在充分协商的基础上，特订立本合同。</w:t>
      </w:r>
    </w:p>
    <w:p w14:paraId="2813186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第1条</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工程概况</w:t>
      </w:r>
    </w:p>
    <w:p w14:paraId="1C2A457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1-1工程名称：街道机关东办公楼加固装修</w:t>
      </w:r>
      <w:r>
        <w:rPr>
          <w:rFonts w:hint="eastAsia" w:ascii="宋体" w:hAnsi="宋体" w:eastAsia="宋体" w:cs="宋体"/>
          <w:color w:val="auto"/>
          <w:sz w:val="24"/>
          <w:szCs w:val="24"/>
          <w:highlight w:val="none"/>
          <w:lang w:val="en-US" w:eastAsia="zh-CN"/>
        </w:rPr>
        <w:t>项目</w:t>
      </w:r>
    </w:p>
    <w:p w14:paraId="502E6FE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1-2工程地点： 西安市新城区万年路2号</w:t>
      </w:r>
      <w:r>
        <w:rPr>
          <w:rFonts w:hint="eastAsia" w:ascii="宋体" w:hAnsi="宋体" w:eastAsia="宋体" w:cs="宋体"/>
          <w:color w:val="auto"/>
          <w:sz w:val="24"/>
          <w:szCs w:val="24"/>
          <w:highlight w:val="none"/>
          <w:lang w:val="en-US" w:eastAsia="zh-CN"/>
        </w:rPr>
        <w:t>院内</w:t>
      </w:r>
    </w:p>
    <w:p w14:paraId="4AE4DBC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1-3承包方式：本工程由</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包工、包料，包安全。</w:t>
      </w:r>
    </w:p>
    <w:p w14:paraId="26C4DD2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第2条  承包范围</w:t>
      </w:r>
    </w:p>
    <w:p w14:paraId="182C095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2-1承包内容：街道机关东办公楼加固装修</w:t>
      </w:r>
      <w:r>
        <w:rPr>
          <w:rFonts w:hint="eastAsia" w:ascii="宋体" w:hAnsi="宋体" w:eastAsia="宋体" w:cs="宋体"/>
          <w:color w:val="auto"/>
          <w:sz w:val="24"/>
          <w:szCs w:val="24"/>
          <w:highlight w:val="none"/>
          <w:lang w:val="en-US" w:eastAsia="zh-CN"/>
        </w:rPr>
        <w:t>，不包括可移动的办公家具、“党徽及亚克力字”、“社区历史”及“读书”墙等的广告设计制作安装，具体详见工程量清单</w:t>
      </w:r>
      <w:r>
        <w:rPr>
          <w:rFonts w:hint="eastAsia" w:ascii="宋体" w:hAnsi="宋体" w:eastAsia="宋体" w:cs="宋体"/>
          <w:color w:val="auto"/>
          <w:sz w:val="24"/>
          <w:szCs w:val="24"/>
          <w:highlight w:val="none"/>
          <w:lang w:eastAsia="zh-CN"/>
        </w:rPr>
        <w:t>。</w:t>
      </w:r>
    </w:p>
    <w:p w14:paraId="7442554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2-2工程内容：详见已标价工程量清单。</w:t>
      </w:r>
    </w:p>
    <w:p w14:paraId="5B82EB1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2-3本次施工范围说明：</w:t>
      </w:r>
    </w:p>
    <w:p w14:paraId="6D31D44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①承包人在施工过程中应做好对街办原有设施保护，费用在响应报价中综合考虑。</w:t>
      </w:r>
    </w:p>
    <w:p w14:paraId="2C0163C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②施工场地(现场)临时供水和临时供电由承包人解决，费用含在响应报价中。服从街办进行安全生产、施工进度和工程质量管理。</w:t>
      </w:r>
    </w:p>
    <w:p w14:paraId="2D17162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③承包人被认为已在本工程投标阶段踏勘现场时充分了解本工程现场条件和周围环境，并已在其报价时就此给予了充分的考虑。</w:t>
      </w:r>
    </w:p>
    <w:p w14:paraId="7CC4638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④承包人应考虑现有人、材、机市场水平和供应、价格风险、不利的施工因素以及施工现场各种不利情况（如施工场地限制、职工上下班等），任何因忽视或误</w:t>
      </w:r>
      <w:r>
        <w:rPr>
          <w:rFonts w:hint="eastAsia" w:ascii="宋体" w:hAnsi="宋体" w:eastAsia="宋体" w:cs="宋体"/>
          <w:color w:val="000000" w:themeColor="text1"/>
          <w:sz w:val="24"/>
          <w:szCs w:val="24"/>
          <w:highlight w:val="none"/>
          <w:lang w:val="en-US" w:eastAsia="zh-CN"/>
          <w14:textFill>
            <w14:solidFill>
              <w14:schemeClr w14:val="tx1"/>
            </w14:solidFill>
          </w14:textFill>
        </w:rPr>
        <w:t>解工程情况而导致的工程量变更、索赔或工期延长申请将不获批准。</w:t>
      </w:r>
    </w:p>
    <w:p w14:paraId="612F746E">
      <w:pPr>
        <w:keepNext w:val="0"/>
        <w:keepLines w:val="0"/>
        <w:pageBreakBefore w:val="0"/>
        <w:kinsoku/>
        <w:overflowPunct/>
        <w:topLinePunct w:val="0"/>
        <w:autoSpaceDE/>
        <w:autoSpaceDN/>
        <w:bidi w:val="0"/>
        <w:adjustRightInd/>
        <w:snapToGrid/>
        <w:spacing w:line="360" w:lineRule="auto"/>
        <w:ind w:firstLine="241"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kern w:val="2"/>
          <w:sz w:val="24"/>
          <w:szCs w:val="24"/>
          <w:highlight w:val="none"/>
          <w:lang w:val="en-US" w:eastAsia="zh-CN" w:bidi="ar-SA"/>
          <w14:textFill>
            <w14:solidFill>
              <w14:schemeClr w14:val="tx1"/>
            </w14:solidFill>
          </w14:textFill>
        </w:rPr>
        <w:t>第3条  合同工期</w:t>
      </w:r>
      <w:r>
        <w:rPr>
          <w:rFonts w:hint="eastAsia" w:ascii="宋体" w:hAnsi="宋体" w:eastAsia="宋体" w:cs="宋体"/>
          <w:color w:val="000000" w:themeColor="text1"/>
          <w:sz w:val="24"/>
          <w:szCs w:val="24"/>
          <w:highlight w:val="none"/>
          <w14:textFill>
            <w14:solidFill>
              <w14:schemeClr w14:val="tx1"/>
            </w14:solidFill>
          </w14:textFill>
        </w:rPr>
        <w:t>：</w:t>
      </w:r>
    </w:p>
    <w:p w14:paraId="372EC0C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工期：90日历天</w:t>
      </w:r>
    </w:p>
    <w:p w14:paraId="4CECB39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开工日期2025年  月  日；</w:t>
      </w:r>
    </w:p>
    <w:p w14:paraId="6B6E228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竣工日期2025年  月  日。</w:t>
      </w:r>
    </w:p>
    <w:p w14:paraId="1F1865D5">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第4条  质量标准  </w:t>
      </w:r>
    </w:p>
    <w:p w14:paraId="2F8286E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合格。满足质量合格、安全、环保等国家规定的相关规范。</w:t>
      </w:r>
    </w:p>
    <w:p w14:paraId="368390F7">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第5条  合同价款及结算方式</w:t>
      </w:r>
    </w:p>
    <w:p w14:paraId="36E6C60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5-1本工程合同总价：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元人民币（大写：</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1D60630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其中：措施项目费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元，安全及文明施工措施项目费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p w14:paraId="182A118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-2本合同约定价格形式为固定综合单价合同。发承包双方以工程量清单及其综合单价进行合同价款计算、调整和确认。该综合单价包括但不限于人工费、材料费、机械费、管理费、利润、规费税金，以及本工程明示、暗示的所有风险、责任和义务等的全部费用，结算时固定综合单价不做任何调整，发承包双方根据合同约定，对承包人完成合同工程数量进行计算和确认，据实结算。</w:t>
      </w:r>
    </w:p>
    <w:p w14:paraId="6C01F14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auto"/>
          <w:sz w:val="24"/>
          <w:szCs w:val="24"/>
          <w:highlight w:val="none"/>
          <w:lang w:val="en-US" w:eastAsia="zh-CN"/>
        </w:rPr>
        <w:t>签约合同价（合同价款）为包括了分部分项工程费、措施项目费、其他项目费、规费和税金的合同总金额。</w:t>
      </w:r>
    </w:p>
    <w:p w14:paraId="2487B87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5-3结算方式：工程竣工验收后承包人应在 15 天内提出工程竣工结算，发包人收到工程竣工结算后提出审核意见。双方意见达成一致并经发包人审计完成，按合同约定支付工程结算余款。</w:t>
      </w:r>
    </w:p>
    <w:p w14:paraId="316F3F67">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301" w:firstLineChars="100"/>
        <w:jc w:val="left"/>
        <w:textAlignment w:val="auto"/>
        <w:rPr>
          <w:rFonts w:hint="eastAsia"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价格调整</w:t>
      </w:r>
    </w:p>
    <w:p w14:paraId="7B54052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-1调整原则：承包人采购的主材（钢筋、混凝土）以响应截止时间前28日对应的当期《陕西工程造价信息管理》为基准价，施工期间对应的《陕西工程造价信息管理》价格相比（算术平均值）上涨或下降幅度在风险承担幅度以内的，合同价款不予调整，其价差由承包人承担或受益。</w:t>
      </w:r>
    </w:p>
    <w:p w14:paraId="2750408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-2风险幅度：主材涨幅在±5%以内时（含5%）不调整，当超过±5%时，由发包人、承包人通过市场调查进行认质认价确认价格，对超出±5%以外部分进行调整，需调整部分的材料数量按承包人申报的进度款中的数量为准；材料价差部分执行陕建发[2009]3号文。其余自主报价的材料、设备的市场价格变化风险由承包人自行承担。</w:t>
      </w:r>
    </w:p>
    <w:p w14:paraId="6CAD6BF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-3本工程人工费按照陕建发〔2021〕1097号文件执行。合同履约期间如有新的人工费调价文件发布，发布日期前合同价格中的人工费不做调整，发布日期后，合同价格中的人工费参照新旧人工费调价文件之人工费价格差进行调整。</w:t>
      </w:r>
    </w:p>
    <w:p w14:paraId="02F3F298">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301" w:firstLineChars="100"/>
        <w:jc w:val="left"/>
        <w:textAlignment w:val="auto"/>
        <w:rPr>
          <w:rFonts w:hint="default" w:ascii="宋体" w:hAnsi="宋体" w:eastAsia="宋体" w:cs="宋体"/>
          <w:b/>
          <w:bCs/>
          <w:color w:val="auto"/>
          <w:kern w:val="2"/>
          <w:sz w:val="30"/>
          <w:szCs w:val="30"/>
          <w:highlight w:val="none"/>
          <w:lang w:val="en-US" w:eastAsia="zh-CN" w:bidi="ar-SA"/>
        </w:rPr>
      </w:pPr>
      <w:r>
        <w:rPr>
          <w:rFonts w:hint="eastAsia" w:ascii="宋体" w:hAnsi="宋体" w:eastAsia="宋体" w:cs="宋体"/>
          <w:b/>
          <w:bCs/>
          <w:color w:val="auto"/>
          <w:kern w:val="2"/>
          <w:sz w:val="30"/>
          <w:szCs w:val="30"/>
          <w:highlight w:val="none"/>
          <w:lang w:val="en-US" w:eastAsia="zh-CN" w:bidi="ar-SA"/>
        </w:rPr>
        <w:t xml:space="preserve"> 工程变更</w:t>
      </w:r>
    </w:p>
    <w:p w14:paraId="45E77D8E">
      <w:pPr>
        <w:widowControl w:val="0"/>
        <w:kinsoku/>
        <w:autoSpaceDE/>
        <w:autoSpaceDN/>
        <w:spacing w:line="360" w:lineRule="auto"/>
        <w:ind w:firstLine="480" w:firstLineChars="200"/>
        <w:textAlignment w:val="auto"/>
        <w:rPr>
          <w:rFonts w:hint="eastAsia" w:ascii="宋体" w:hAnsi="宋体" w:eastAsia="宋体" w:cs="宋体"/>
          <w:snapToGrid/>
          <w:kern w:val="2"/>
          <w:sz w:val="24"/>
          <w:szCs w:val="24"/>
          <w:lang w:eastAsia="zh-CN"/>
        </w:rPr>
      </w:pPr>
      <w:r>
        <w:rPr>
          <w:rFonts w:hint="eastAsia" w:ascii="宋体" w:hAnsi="宋体" w:eastAsia="宋体" w:cs="宋体"/>
          <w:snapToGrid/>
          <w:kern w:val="2"/>
          <w:sz w:val="24"/>
          <w:szCs w:val="24"/>
        </w:rPr>
        <w:t>因工程变更引起已标价工程量清单项目或其工程数量发生变化时，应按照下列规定调整</w:t>
      </w:r>
      <w:r>
        <w:rPr>
          <w:rFonts w:hint="eastAsia" w:ascii="宋体" w:hAnsi="宋体" w:eastAsia="宋体" w:cs="宋体"/>
          <w:snapToGrid/>
          <w:kern w:val="2"/>
          <w:sz w:val="24"/>
          <w:szCs w:val="24"/>
          <w:lang w:eastAsia="zh-CN"/>
        </w:rPr>
        <w:t>：</w:t>
      </w:r>
    </w:p>
    <w:p w14:paraId="62638D29">
      <w:pPr>
        <w:widowControl w:val="0"/>
        <w:kinsoku/>
        <w:autoSpaceDE/>
        <w:autoSpaceDN/>
        <w:spacing w:line="360" w:lineRule="auto"/>
        <w:ind w:firstLine="540"/>
        <w:jc w:val="both"/>
        <w:textAlignment w:val="auto"/>
        <w:rPr>
          <w:rFonts w:hint="eastAsia" w:ascii="宋体" w:hAnsi="宋体" w:eastAsia="宋体" w:cs="宋体"/>
          <w:snapToGrid/>
          <w:kern w:val="2"/>
          <w:sz w:val="24"/>
          <w:szCs w:val="24"/>
          <w:u w:val="none"/>
        </w:rPr>
      </w:pPr>
      <w:r>
        <w:rPr>
          <w:rFonts w:hint="eastAsia" w:ascii="宋体" w:hAnsi="宋体" w:eastAsia="宋体" w:cs="宋体"/>
          <w:snapToGrid/>
          <w:kern w:val="2"/>
          <w:sz w:val="24"/>
          <w:szCs w:val="24"/>
          <w:u w:val="none"/>
          <w:lang w:val="en-US" w:eastAsia="zh-CN"/>
        </w:rPr>
        <w:t>7-1</w:t>
      </w:r>
      <w:r>
        <w:rPr>
          <w:rFonts w:hint="eastAsia" w:ascii="宋体" w:hAnsi="宋体" w:eastAsia="宋体" w:cs="宋体"/>
          <w:snapToGrid/>
          <w:kern w:val="2"/>
          <w:sz w:val="24"/>
          <w:szCs w:val="24"/>
          <w:u w:val="none"/>
        </w:rPr>
        <w:t>已标价工程量清单中有适用于变更工程项目的，应采用该项目的单价；当工程变更导致该清单项目的工程数量发</w:t>
      </w:r>
      <w:r>
        <w:rPr>
          <w:rFonts w:hint="eastAsia" w:ascii="宋体" w:hAnsi="宋体" w:eastAsia="宋体" w:cs="宋体"/>
          <w:snapToGrid/>
          <w:kern w:val="2"/>
          <w:sz w:val="24"/>
          <w:szCs w:val="24"/>
          <w:u w:val="none"/>
          <w:lang w:val="en-US" w:eastAsia="zh-CN"/>
        </w:rPr>
        <w:t>生</w:t>
      </w:r>
      <w:r>
        <w:rPr>
          <w:rFonts w:hint="eastAsia" w:ascii="宋体" w:hAnsi="宋体" w:eastAsia="宋体" w:cs="宋体"/>
          <w:snapToGrid/>
          <w:kern w:val="2"/>
          <w:sz w:val="24"/>
          <w:szCs w:val="24"/>
          <w:u w:val="none"/>
        </w:rPr>
        <w:t>变化</w:t>
      </w:r>
      <w:r>
        <w:rPr>
          <w:rFonts w:hint="eastAsia" w:ascii="宋体" w:hAnsi="宋体" w:eastAsia="宋体" w:cs="宋体"/>
          <w:snapToGrid/>
          <w:kern w:val="2"/>
          <w:sz w:val="24"/>
          <w:szCs w:val="24"/>
          <w:u w:val="none"/>
          <w:lang w:val="en-US" w:eastAsia="zh-CN"/>
        </w:rPr>
        <w:t>时</w:t>
      </w:r>
      <w:r>
        <w:rPr>
          <w:rFonts w:hint="eastAsia" w:ascii="宋体" w:hAnsi="宋体" w:eastAsia="宋体" w:cs="宋体"/>
          <w:snapToGrid/>
          <w:kern w:val="2"/>
          <w:sz w:val="24"/>
          <w:szCs w:val="24"/>
          <w:u w:val="none"/>
        </w:rPr>
        <w:t>，</w:t>
      </w:r>
      <w:r>
        <w:rPr>
          <w:rFonts w:hint="eastAsia" w:ascii="宋体" w:hAnsi="宋体" w:eastAsia="宋体" w:cs="宋体"/>
          <w:snapToGrid/>
          <w:kern w:val="2"/>
          <w:sz w:val="24"/>
          <w:szCs w:val="24"/>
          <w:u w:val="none"/>
          <w:lang w:val="en-US" w:eastAsia="zh-CN"/>
        </w:rPr>
        <w:t>按照实际完成工程量据实结算。</w:t>
      </w:r>
    </w:p>
    <w:p w14:paraId="2104D840">
      <w:pPr>
        <w:widowControl w:val="0"/>
        <w:kinsoku/>
        <w:autoSpaceDE/>
        <w:autoSpaceDN/>
        <w:spacing w:line="360" w:lineRule="auto"/>
        <w:ind w:firstLine="540"/>
        <w:jc w:val="both"/>
        <w:textAlignment w:val="auto"/>
        <w:rPr>
          <w:rFonts w:hint="eastAsia" w:ascii="宋体" w:hAnsi="宋体" w:eastAsia="宋体" w:cs="宋体"/>
          <w:snapToGrid/>
          <w:kern w:val="2"/>
          <w:sz w:val="24"/>
          <w:szCs w:val="24"/>
          <w:u w:val="none"/>
          <w:lang w:eastAsia="zh-CN"/>
        </w:rPr>
      </w:pPr>
      <w:r>
        <w:rPr>
          <w:rFonts w:hint="eastAsia" w:ascii="宋体" w:hAnsi="宋体" w:eastAsia="宋体" w:cs="宋体"/>
          <w:snapToGrid/>
          <w:kern w:val="2"/>
          <w:sz w:val="24"/>
          <w:szCs w:val="24"/>
          <w:u w:val="none"/>
          <w:lang w:val="en-US" w:eastAsia="zh-CN"/>
        </w:rPr>
        <w:t>7-2</w:t>
      </w:r>
      <w:r>
        <w:rPr>
          <w:rFonts w:hint="eastAsia" w:ascii="宋体" w:hAnsi="宋体" w:eastAsia="宋体" w:cs="宋体"/>
          <w:snapToGrid/>
          <w:kern w:val="2"/>
          <w:sz w:val="24"/>
          <w:szCs w:val="24"/>
          <w:u w:val="none"/>
          <w:lang w:eastAsia="zh-CN"/>
        </w:rPr>
        <w:t>已标价工程量清单中没有适用但有类似于变更工程项目的，可在合理范围内参照类似项目的单价。</w:t>
      </w:r>
    </w:p>
    <w:p w14:paraId="4C38783A">
      <w:pPr>
        <w:widowControl w:val="0"/>
        <w:kinsoku/>
        <w:autoSpaceDE/>
        <w:autoSpaceDN/>
        <w:spacing w:line="360" w:lineRule="auto"/>
        <w:ind w:firstLine="540"/>
        <w:jc w:val="both"/>
        <w:textAlignment w:val="auto"/>
        <w:rPr>
          <w:rFonts w:hint="eastAsia" w:ascii="宋体" w:hAnsi="宋体" w:cs="宋体"/>
          <w:snapToGrid/>
          <w:kern w:val="2"/>
          <w:sz w:val="24"/>
          <w:szCs w:val="24"/>
          <w:u w:val="none"/>
          <w:lang w:eastAsia="zh-CN"/>
        </w:rPr>
      </w:pPr>
      <w:r>
        <w:rPr>
          <w:rFonts w:hint="eastAsia" w:ascii="宋体" w:hAnsi="宋体" w:eastAsia="宋体" w:cs="宋体"/>
          <w:snapToGrid/>
          <w:color w:val="000000"/>
          <w:kern w:val="2"/>
          <w:sz w:val="24"/>
          <w:szCs w:val="24"/>
          <w:u w:val="none"/>
          <w:lang w:val="en-US" w:eastAsia="zh-CN"/>
        </w:rPr>
        <w:t>7-3已标价工程量清单中没有适用也没有类似于变更工程项目的，应由承包人根据变更工程资</w:t>
      </w:r>
      <w:r>
        <w:rPr>
          <w:rFonts w:hint="eastAsia" w:ascii="宋体" w:hAnsi="宋体" w:cs="宋体"/>
          <w:snapToGrid/>
          <w:kern w:val="2"/>
          <w:sz w:val="24"/>
          <w:szCs w:val="24"/>
          <w:u w:val="none"/>
          <w:lang w:eastAsia="zh-CN"/>
        </w:rPr>
        <w:t>料、计量规则和计价办法、工程造价管理机构发布的信息价格和承包人报价浮动率提出变更工程项目的价，并应报发包人确认后调整。承包人报价浮动率按下列公式计算：承包人报价浮动率L＝（1－</w:t>
      </w:r>
      <w:r>
        <w:rPr>
          <w:rFonts w:hint="eastAsia" w:ascii="宋体" w:hAnsi="宋体" w:cs="宋体"/>
          <w:snapToGrid/>
          <w:kern w:val="2"/>
          <w:sz w:val="24"/>
          <w:szCs w:val="24"/>
          <w:u w:val="none"/>
          <w:lang w:val="en-US" w:eastAsia="zh-CN"/>
        </w:rPr>
        <w:t>成交</w:t>
      </w:r>
      <w:r>
        <w:rPr>
          <w:rFonts w:hint="eastAsia" w:ascii="宋体" w:hAnsi="宋体" w:cs="宋体"/>
          <w:snapToGrid/>
          <w:kern w:val="2"/>
          <w:sz w:val="24"/>
          <w:szCs w:val="24"/>
          <w:u w:val="none"/>
          <w:lang w:eastAsia="zh-CN"/>
        </w:rPr>
        <w:t>价／</w:t>
      </w:r>
      <w:r>
        <w:rPr>
          <w:rFonts w:hint="eastAsia" w:ascii="宋体" w:hAnsi="宋体" w:cs="宋体"/>
          <w:snapToGrid/>
          <w:kern w:val="2"/>
          <w:sz w:val="24"/>
          <w:szCs w:val="24"/>
          <w:u w:val="none"/>
          <w:lang w:val="en-US" w:eastAsia="zh-CN"/>
        </w:rPr>
        <w:t>采购预算</w:t>
      </w:r>
      <w:r>
        <w:rPr>
          <w:rFonts w:hint="eastAsia" w:ascii="宋体" w:hAnsi="宋体" w:cs="宋体"/>
          <w:snapToGrid/>
          <w:kern w:val="2"/>
          <w:sz w:val="24"/>
          <w:szCs w:val="24"/>
          <w:u w:val="none"/>
          <w:lang w:eastAsia="zh-CN"/>
        </w:rPr>
        <w:t>）×100%。</w:t>
      </w:r>
    </w:p>
    <w:p w14:paraId="518DBC9D">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第8条  发包人的责任</w:t>
      </w:r>
    </w:p>
    <w:p w14:paraId="390C69E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8-1负责开工后解决现场施工相关技术问题，施工期间外来政府单位的协调处理工作；</w:t>
      </w:r>
    </w:p>
    <w:p w14:paraId="434433D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8-2施工现场现状道路和交通设施可以提供给承包人，另有需要的由承包人自行解决，费用已包含在合同价款内。</w:t>
      </w:r>
    </w:p>
    <w:p w14:paraId="2E57C47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8-3按合同约定支付工程款。</w:t>
      </w:r>
    </w:p>
    <w:p w14:paraId="6A720CA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第9条  承包人的责任</w:t>
      </w:r>
    </w:p>
    <w:p w14:paraId="1A60CAF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9-1承包人负责本项目施工，按照政府有关安全、文明标准要求施工；</w:t>
      </w:r>
    </w:p>
    <w:p w14:paraId="681CE33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9-2负责施工使用的水、电线路、围栏和防护设施等；并提供施工用电、用水计划；</w:t>
      </w:r>
    </w:p>
    <w:p w14:paraId="6467E60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9-3遵守甲方及相关部门对施工场地交通、卫生和施工噪音、安全、施工进度管理规定；</w:t>
      </w:r>
    </w:p>
    <w:p w14:paraId="1E2663F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9-4在工程未交付使用之前，承包人负责已完成工程的成品保护工作，保护期间发生损坏，由承包人负责修复；</w:t>
      </w:r>
    </w:p>
    <w:p w14:paraId="2F9F620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9-5做好施工场地内的管线和构筑物的成品保护工作；损坏时由承包人自费负责修复；</w:t>
      </w:r>
    </w:p>
    <w:p w14:paraId="4FF9F2E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9-6保证施工现场清洁符合文明工地有关规定，交工前清理现场达无污染，现场无建筑垃圾；承担因此而造成的损失和罚款；</w:t>
      </w:r>
    </w:p>
    <w:p w14:paraId="555C470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9-7组织施工人员进行施工安全、防火、防盗安全交底等，指定专人负责施工现场安全工作，承担因此而造成的损失和罚款；</w:t>
      </w:r>
    </w:p>
    <w:p w14:paraId="64FF871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9-8承包人配合发包人办理与施工有关的手续。</w:t>
      </w:r>
    </w:p>
    <w:p w14:paraId="3DB21766">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第10条  工期和施工进度计划</w:t>
      </w:r>
    </w:p>
    <w:p w14:paraId="73B3521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10-1承包人应按时完工。</w:t>
      </w:r>
    </w:p>
    <w:p w14:paraId="3F30655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10-2承包人按批准的进度计划组织施工，接受发包人对进度的检查、监督；</w:t>
      </w:r>
    </w:p>
    <w:p w14:paraId="091A613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10-3因施工安全及工程质量问题，发包人确认有必要时，可要求暂停施工，并在48小时内提出整改意见，承包人按整改意见处理完成后提出复工要求，批准后继续施工；</w:t>
      </w:r>
    </w:p>
    <w:p w14:paraId="36F2BF3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10-4每周工程实际进度与施工进度计划不符时，承包人应按发包人的要求提出改工措施，总工期必须符合合同工期要求。</w:t>
      </w:r>
    </w:p>
    <w:p w14:paraId="3BE8CA4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10-5非承包人原因或当地政府统一活动造成延误的工期发包人应予以顺延。</w:t>
      </w:r>
    </w:p>
    <w:p w14:paraId="2A0A933B">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第11条  工程质量</w:t>
      </w:r>
    </w:p>
    <w:p w14:paraId="480E74B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11-1承包人应严格按照国家颁发工程验收规范标准、采购人要求进行施工，并应接受发包人、监理的检查、检验，对不合格的部分按发包人的要求整改，承担相应整改的费用； </w:t>
      </w:r>
    </w:p>
    <w:p w14:paraId="79CB2A1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11-2主要材料应采购大型企业合格产品，按发包人认定的样品进货，进货与样品质量不符时承包人无条件退换，并承担因此造成的一切经济损失费用。</w:t>
      </w:r>
    </w:p>
    <w:p w14:paraId="0971479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11-3隐蔽工程覆盖前需经发包人验收合格后才能进行下一道工序，否则承包人承担返工费用。</w:t>
      </w:r>
    </w:p>
    <w:p w14:paraId="1E691D3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第12条  合同价款的支付</w:t>
      </w:r>
    </w:p>
    <w:p w14:paraId="094843B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12-1合同签订进场后预付合同总价40%的工程款，工程过半付合同总价30%的工程款，工程审计结束后15日内剩余工程款一次性付清。</w:t>
      </w:r>
    </w:p>
    <w:p w14:paraId="6C5AB15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12-2合同款支付前，承包人需提供符合国家规定的发票。</w:t>
      </w:r>
    </w:p>
    <w:p w14:paraId="7443823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承包人必须为施工场地内施工人员办理建筑施工安全生产责任保险和工伤保险等国家和地方政府规定的相关保险，以及其他认为有必要自行办理的其他保险，承包人自行办理保险并承担保险费用支付保险费用。</w:t>
      </w:r>
    </w:p>
    <w:p w14:paraId="1C2F6556">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第13条  材料设备</w:t>
      </w:r>
    </w:p>
    <w:p w14:paraId="3F1D195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13-1本工程的所有材料由承包人负责采购供应，采购的材料、设备应该符合设计和规范要求，并通过质量监督部门认定的合格产品；承包人对所采购的设备、材料质量负有全部责任；</w:t>
      </w:r>
    </w:p>
    <w:p w14:paraId="4D17AC9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13-2主要材料必须严格按照发包人确认的样品采购；</w:t>
      </w:r>
    </w:p>
    <w:p w14:paraId="0704E2E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color w:val="auto"/>
          <w:sz w:val="24"/>
          <w:szCs w:val="24"/>
          <w:highlight w:val="none"/>
          <w:lang w:val="en-US" w:eastAsia="zh-CN"/>
        </w:rPr>
        <w:t>13-3若承包人在施工中使用假冒伪劣或未经发包人确认的主要材料，一经发现将按违规材料价格的1至3倍进行处罚，由此引起的相关经济损失由承包人自行承担</w:t>
      </w:r>
      <w:r>
        <w:rPr>
          <w:rFonts w:hint="eastAsia" w:ascii="宋体" w:hAnsi="宋体" w:eastAsia="宋体" w:cs="宋体"/>
          <w:snapToGrid w:val="0"/>
          <w:color w:val="auto"/>
          <w:kern w:val="0"/>
          <w:sz w:val="24"/>
          <w:szCs w:val="24"/>
          <w:highlight w:val="none"/>
          <w:lang w:val="en-US" w:eastAsia="zh-CN"/>
        </w:rPr>
        <w:t>，并且立即解除合同，承包人承担发包人按照合同标的额20%违约金。</w:t>
      </w:r>
    </w:p>
    <w:p w14:paraId="2ED23BEE">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第14条  工程竣工验收</w:t>
      </w:r>
    </w:p>
    <w:p w14:paraId="5BCDC6E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14-1竣工验收。</w:t>
      </w:r>
    </w:p>
    <w:p w14:paraId="5501FB13">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工程完工后承包人按国家工程竣工有关规定，向发包人提供完整竣工资料一式肆份（包含产品资料、技术资料和竣工图）和竣工验收报告。发包人收到竣工验收报告后，在10日内组织有关部门验收，承包人按验收要求进行整改，并承担由自身原因造成修改的费用。发包人接到验收报告或验收申请20个工作日后，发包人未组织竣工验收视为工程已通过验收。</w:t>
      </w:r>
    </w:p>
    <w:p w14:paraId="0386719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竣工日期为承包人送交竣工验收报告或验收申请的日期，需整改后才能达竣工要求的，应为承包人修改后提请发包人复验收的日期。</w:t>
      </w:r>
    </w:p>
    <w:p w14:paraId="67959A6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14-2已竣工未验收的工程，在交工前由承包人负责保管，在保管期间出现任何安全、质量、灭失问题，全部由承包人承担法律责任。</w:t>
      </w:r>
    </w:p>
    <w:p w14:paraId="274D6F8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14-3由于承包人原因，应交工验收而不交不验的工程，造成损失。赔偿发包人因此造成的经济损失</w:t>
      </w:r>
      <w:r>
        <w:rPr>
          <w:rFonts w:hint="eastAsia" w:ascii="宋体" w:hAnsi="宋体" w:eastAsia="宋体" w:cs="宋体"/>
          <w:snapToGrid w:val="0"/>
          <w:color w:val="auto"/>
          <w:kern w:val="0"/>
          <w:sz w:val="24"/>
          <w:szCs w:val="24"/>
          <w:highlight w:val="none"/>
          <w:lang w:val="en-US" w:eastAsia="zh-CN"/>
        </w:rPr>
        <w:t>，并且承担合同标的额20%违约金。</w:t>
      </w:r>
    </w:p>
    <w:p w14:paraId="6AA31E4C">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第15条  发包人、承包人工地代表</w:t>
      </w:r>
    </w:p>
    <w:p w14:paraId="7CC39BF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承包人（项目经理）：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2413861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双方各自委派工地代表，履行合同施工现场约定义务。若代表更换，后任继续承担前任应负的责任。</w:t>
      </w:r>
    </w:p>
    <w:p w14:paraId="4AB4DC04">
      <w:pPr>
        <w:pStyle w:val="3"/>
        <w:keepNext w:val="0"/>
        <w:keepLines w:val="0"/>
        <w:pageBreakBefore w:val="0"/>
        <w:widowControl w:val="0"/>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第16条  安全与文明施工</w:t>
      </w:r>
    </w:p>
    <w:p w14:paraId="2E5544E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16-1承包人应遵守安全操作和文明施工的规定，建立健全安全防护和文明施工的制度，对其在施工现场人员进行安全、防盗、文明施工教育，并对他们的安全负责；</w:t>
      </w:r>
    </w:p>
    <w:p w14:paraId="229E454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16-2承包人按有关规定采取严格的安全防护措施，承担由于安全措施不力造成事故的责任和赔偿费用</w:t>
      </w:r>
      <w:r>
        <w:rPr>
          <w:rFonts w:hint="eastAsia" w:ascii="宋体" w:hAnsi="宋体" w:eastAsia="宋体" w:cs="宋体"/>
          <w:snapToGrid w:val="0"/>
          <w:color w:val="auto"/>
          <w:kern w:val="0"/>
          <w:sz w:val="24"/>
          <w:szCs w:val="24"/>
          <w:highlight w:val="none"/>
          <w:lang w:val="en-US" w:eastAsia="zh-CN"/>
        </w:rPr>
        <w:t>，并且承担合同标的额20%违约金。</w:t>
      </w:r>
    </w:p>
    <w:p w14:paraId="1B92956F">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16-3承包人在施工中发生任何伤亡事故，责任和赔偿费用全部由承包人承担。</w:t>
      </w:r>
    </w:p>
    <w:p w14:paraId="11BD9AF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16-4施工材料和设备堆料场在</w:t>
      </w:r>
      <w:r>
        <w:rPr>
          <w:rFonts w:hint="eastAsia" w:ascii="宋体" w:hAnsi="宋体" w:eastAsia="宋体" w:cs="宋体"/>
          <w:color w:val="auto"/>
          <w:sz w:val="24"/>
          <w:szCs w:val="24"/>
          <w:highlight w:val="none"/>
          <w:u w:val="single"/>
          <w:lang w:val="en-US" w:eastAsia="zh-CN"/>
        </w:rPr>
        <w:t xml:space="preserve">  发包人指定位置   </w:t>
      </w:r>
      <w:r>
        <w:rPr>
          <w:rFonts w:hint="eastAsia" w:ascii="宋体" w:hAnsi="宋体" w:eastAsia="宋体" w:cs="宋体"/>
          <w:color w:val="auto"/>
          <w:sz w:val="24"/>
          <w:szCs w:val="24"/>
          <w:highlight w:val="none"/>
          <w:lang w:val="en-US" w:eastAsia="zh-CN"/>
        </w:rPr>
        <w:t>。</w:t>
      </w:r>
    </w:p>
    <w:p w14:paraId="3EBD3D28">
      <w:pPr>
        <w:keepNext w:val="0"/>
        <w:keepLines w:val="0"/>
        <w:pageBreakBefore w:val="0"/>
        <w:widowControl w:val="0"/>
        <w:kinsoku/>
        <w:wordWrap/>
        <w:overflowPunct/>
        <w:topLinePunct w:val="0"/>
        <w:autoSpaceDE/>
        <w:autoSpaceDN/>
        <w:bidi w:val="0"/>
        <w:adjustRightInd/>
        <w:snapToGrid/>
        <w:spacing w:line="360" w:lineRule="auto"/>
        <w:ind w:firstLine="241" w:firstLineChars="100"/>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 xml:space="preserve">第17条 </w:t>
      </w:r>
      <w:r>
        <w:rPr>
          <w:rFonts w:hint="eastAsia" w:ascii="宋体" w:hAnsi="宋体" w:eastAsia="宋体" w:cs="宋体"/>
          <w:bCs/>
          <w:color w:val="auto"/>
          <w:sz w:val="24"/>
          <w:szCs w:val="24"/>
          <w:highlight w:val="none"/>
        </w:rPr>
        <w:t xml:space="preserve"> </w:t>
      </w:r>
      <w:r>
        <w:rPr>
          <w:rFonts w:hint="eastAsia" w:ascii="宋体" w:hAnsi="宋体" w:eastAsia="宋体" w:cs="宋体"/>
          <w:snapToGrid w:val="0"/>
          <w:color w:val="auto"/>
          <w:kern w:val="0"/>
          <w:sz w:val="24"/>
          <w:szCs w:val="24"/>
          <w:highlight w:val="none"/>
          <w:lang w:val="en-US" w:eastAsia="zh-CN"/>
        </w:rPr>
        <w:t>承包人应按照与农民工签订的协议或合同按时发放工资。发包人有权监督承包人在支付当期进度款中发放农民工工资。如承包人未按照与农民工签订的协议或合同按时发放工资，影响到本工程的质量、进度以及发包人声誉时，发包人有权从剩余进度款中直接发放农民工工资，并按发放金额的50%从承包人的剩余工程款中扣除予以处罚。（按照陕西省政府主管部门关于农民工工资保证金管理办法执行）。</w:t>
      </w:r>
    </w:p>
    <w:p w14:paraId="4CE7E402">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SA"/>
        </w:rPr>
        <w:t>第18条  违约、索赔</w:t>
      </w:r>
    </w:p>
    <w:p w14:paraId="2A006EBF">
      <w:pPr>
        <w:pStyle w:val="3"/>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18-1  违约</w:t>
      </w:r>
    </w:p>
    <w:p w14:paraId="7AEF6C3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18-1-1发包人不按合同约定支付款项及发生其它严重影响合同履行的行为，应承担本合同约定的违约责任和顺延相应工期。</w:t>
      </w:r>
    </w:p>
    <w:p w14:paraId="67EC1AD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18-1-2承包人不能按合同工期竣工，主要材料不符合合同约定、施工质量未达到设计和合同要求，或发生其它影响合同履行的行为，按赔偿因其违约给发包人造成的损失</w:t>
      </w:r>
      <w:r>
        <w:rPr>
          <w:rFonts w:hint="eastAsia" w:ascii="宋体" w:hAnsi="宋体" w:eastAsia="宋体" w:cs="宋体"/>
          <w:snapToGrid w:val="0"/>
          <w:color w:val="auto"/>
          <w:kern w:val="0"/>
          <w:sz w:val="24"/>
          <w:szCs w:val="24"/>
          <w:highlight w:val="none"/>
          <w:lang w:val="en-US" w:eastAsia="zh-CN"/>
        </w:rPr>
        <w:t>，并且按照合同标的额承担20%违约金。</w:t>
      </w:r>
    </w:p>
    <w:p w14:paraId="633489B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18-1-3承包人应按照其响应文件中所承诺的项目经理、技术负责人及施工管理人员每周在施工现场5天，否则接受每人缺岗一次承担1000元/每天违约处罚。</w:t>
      </w:r>
    </w:p>
    <w:p w14:paraId="7A15C62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18-1-4除发包人认定的影响施工条件的时间外，若因承包人原因造成工期延期，则每延期1天，承包人承担合同价款的3%的违约金。承包人支付逾期竣工违约金后，不免除承包人继续完成工程及修补缺陷的义务。</w:t>
      </w:r>
    </w:p>
    <w:p w14:paraId="27666690">
      <w:pPr>
        <w:pStyle w:val="3"/>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19-2  索赔</w:t>
      </w:r>
    </w:p>
    <w:p w14:paraId="39BFDEB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承包人可按以下规定向发包人索赔。</w:t>
      </w:r>
    </w:p>
    <w:p w14:paraId="035EE98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19-2-1有正当索赔理由，且有索赔事件发生的有关证据；</w:t>
      </w:r>
    </w:p>
    <w:p w14:paraId="4E6BFE5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19-2-2索赔事件发生后20天内，向发包人发出要求索赔的通知；</w:t>
      </w:r>
    </w:p>
    <w:p w14:paraId="2D8D98F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19-2-3发包人在接到索赔通知后30天内给予批准，或要求承包人进一步补充索赔理由和证据；</w:t>
      </w:r>
    </w:p>
    <w:p w14:paraId="3AFCF83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19-3承包人未能按合同约定保质保量的完成本工程、应赔偿发包人损失</w:t>
      </w:r>
      <w:r>
        <w:rPr>
          <w:rFonts w:hint="eastAsia" w:ascii="宋体" w:hAnsi="宋体" w:eastAsia="宋体" w:cs="宋体"/>
          <w:snapToGrid w:val="0"/>
          <w:color w:val="auto"/>
          <w:kern w:val="0"/>
          <w:sz w:val="24"/>
          <w:szCs w:val="24"/>
          <w:highlight w:val="none"/>
          <w:lang w:val="en-US" w:eastAsia="zh-CN"/>
        </w:rPr>
        <w:t>，并且按照合同标的额承担发包人20%违约金。</w:t>
      </w:r>
    </w:p>
    <w:p w14:paraId="6BE72B24">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SA"/>
        </w:rPr>
        <w:t>第20条</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在施工过程中若遇不可抗力如特殊气象原因及自然灾害等发生时，承包人应在24小时内向发包人工地代表通报受害情况，甲乙双方应及时协商解决。</w:t>
      </w:r>
    </w:p>
    <w:p w14:paraId="4F0DE0E7">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default"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第21条</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承包人不得将工程倒手转包给其他施工单位，否则发包人有权解除合同，因此而造成的一切损失由承包人承担，并且按照合同标的额承担20%违约金。</w:t>
      </w:r>
    </w:p>
    <w:p w14:paraId="1FF4F273">
      <w:pPr>
        <w:keepNext w:val="0"/>
        <w:keepLines w:val="0"/>
        <w:pageBreakBefore w:val="0"/>
        <w:kinsoku/>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b/>
          <w:bCs/>
          <w:color w:val="auto"/>
          <w:kern w:val="2"/>
          <w:sz w:val="24"/>
          <w:szCs w:val="24"/>
          <w:highlight w:val="none"/>
          <w:lang w:val="en-US" w:eastAsia="zh-CN" w:bidi="ar-SA"/>
        </w:rPr>
        <w:t>第22条</w:t>
      </w:r>
      <w:r>
        <w:rPr>
          <w:rFonts w:hint="eastAsia" w:ascii="宋体" w:hAnsi="宋体" w:eastAsia="宋体" w:cs="宋体"/>
          <w:bCs/>
          <w:color w:val="auto"/>
          <w:sz w:val="24"/>
          <w:szCs w:val="24"/>
          <w:highlight w:val="none"/>
        </w:rPr>
        <w:t xml:space="preserve"> </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snapToGrid w:val="0"/>
          <w:color w:val="auto"/>
          <w:kern w:val="0"/>
          <w:sz w:val="24"/>
          <w:szCs w:val="24"/>
          <w:highlight w:val="none"/>
          <w:lang w:val="en-US" w:eastAsia="zh-CN"/>
        </w:rPr>
        <w:t>本合同履行过程中根据合同发生的补充协议等书面形式资料均作为合同条款的补充内容，竞争性磋商文件、响应文件、工程洽商纪要为合同附件；与合同条款具有同等同期效力。</w:t>
      </w:r>
    </w:p>
    <w:p w14:paraId="553AB045">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第23条  缺陷责任期</w:t>
      </w:r>
    </w:p>
    <w:p w14:paraId="12C59CB8">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23-1工程缺陷责任期为自验收合格之日起2年。缺陷责任期满并不免除承包人的保修责任。自验收之日起保修期内，因施工原因出现的全部质量问题，由承包人负责维修并承担全部费用。</w:t>
      </w:r>
    </w:p>
    <w:p w14:paraId="3ECC8CFA">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23-2在质保期内，如出现问题需要维修，承包人应在接到发包人通知后24个小时内派人前来维修。如不能按时到现场维修，则发包人另行委托单位维修，维修费由承包人承担。</w:t>
      </w:r>
    </w:p>
    <w:p w14:paraId="32168DBA">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23-3承包人负责对发包人相关人员的安全、技术培训、并建立相应的规程与制度。</w:t>
      </w:r>
    </w:p>
    <w:p w14:paraId="1BEB49F7">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23-4发生紧急事故需抢修的，承包人在接到事故通知后，应当立即到达事故现场抢修。</w:t>
      </w:r>
    </w:p>
    <w:p w14:paraId="01D604D9">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-5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22AA9EC">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23-6质量保修完成后，由发包人组织验收。</w:t>
      </w:r>
    </w:p>
    <w:p w14:paraId="7682E4FA">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第24条  争议</w:t>
      </w:r>
    </w:p>
    <w:p w14:paraId="5E32E1F8">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本合同执行过程发生争议，由各方友好协商解决。协商不成或当事人不愿协商时可向发包人所在地人民法院诉讼解决。</w:t>
      </w:r>
    </w:p>
    <w:p w14:paraId="20E22161">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第25条  合同的解除</w:t>
      </w:r>
    </w:p>
    <w:p w14:paraId="667B7195">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25-1合同生效后除履约完成，自行解除；</w:t>
      </w:r>
    </w:p>
    <w:p w14:paraId="66C7081B">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25-2任一方不得擅自解除，有以下情形时可以解除合同：</w:t>
      </w:r>
    </w:p>
    <w:p w14:paraId="2FE8B6B4">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（1）各方一致同意解除合同时；</w:t>
      </w:r>
    </w:p>
    <w:p w14:paraId="2FA7854B">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（2）承包人采购的主要材料未与发包人认可的样品一致或施工实际进度延误超过施工计划1个月时。发包人有权解除合同，由此造成的损失由承包人承担，并且承担按照合同标的额20%违约金。</w:t>
      </w:r>
    </w:p>
    <w:p w14:paraId="4DB5BA1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（3）承包人所施工的分部分项工程经验收不合格的；</w:t>
      </w:r>
    </w:p>
    <w:p w14:paraId="1FD439B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（4）承包人擅自更换本工程项目经理的；</w:t>
      </w:r>
    </w:p>
    <w:p w14:paraId="51C6C049">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（5）承包人未按照本合同约定及时移交工程和满足备案要求的完整竣工资料，逾期超过30天的；</w:t>
      </w:r>
    </w:p>
    <w:p w14:paraId="2402228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（6）承包人欠付农民工工资、劳务费、材料款等，导致相关人员围堵发包人工地或办公经营场所情形的；</w:t>
      </w:r>
    </w:p>
    <w:p w14:paraId="23B4DFE1">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25-3合同解除后，双方商定或确定承包人实际完成工作对应的合同价款，以及承包人已提供的材料、工程设备、施工设备和临时工程等的价值。并进行清算，出具最终结清付款证书，结清全部款项。</w:t>
      </w:r>
    </w:p>
    <w:p w14:paraId="185221F9">
      <w:pPr>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第26条  其它</w:t>
      </w:r>
    </w:p>
    <w:p w14:paraId="6239DA22">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26-1本合同自双方签名盖章后生效。</w:t>
      </w:r>
    </w:p>
    <w:p w14:paraId="01487D48">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26-2本合同其它未尽事宜，由各方友好协商解决。</w:t>
      </w:r>
    </w:p>
    <w:p w14:paraId="50A2FF40">
      <w:pPr>
        <w:keepNext w:val="0"/>
        <w:keepLines w:val="0"/>
        <w:pageBreakBefore w:val="0"/>
        <w:kinsoku/>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snapToGrid w:val="0"/>
          <w:color w:val="auto"/>
          <w:kern w:val="0"/>
          <w:sz w:val="24"/>
          <w:szCs w:val="24"/>
          <w:highlight w:val="none"/>
          <w:lang w:val="en-US" w:eastAsia="zh-CN"/>
        </w:rPr>
        <w:t>26-3本合同一式陆份，发包人执叁份、承包人执叁份，具有同等效力。</w:t>
      </w:r>
    </w:p>
    <w:p w14:paraId="36E3EA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p>
    <w:p w14:paraId="5D204446">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发包人</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承包人</w:t>
      </w:r>
      <w:r>
        <w:rPr>
          <w:rFonts w:hint="eastAsia" w:ascii="宋体" w:hAnsi="宋体" w:eastAsia="宋体" w:cs="宋体"/>
          <w:b/>
          <w:bCs/>
          <w:color w:val="auto"/>
          <w:sz w:val="24"/>
          <w:szCs w:val="24"/>
          <w:highlight w:val="none"/>
        </w:rPr>
        <w:t>：</w:t>
      </w:r>
    </w:p>
    <w:p w14:paraId="6CD214BD">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 xml:space="preserve"> </w:t>
      </w:r>
    </w:p>
    <w:p w14:paraId="00FDF17A">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z w:val="24"/>
          <w:szCs w:val="24"/>
          <w:highlight w:val="none"/>
        </w:rPr>
        <w:t>法定代表人</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pacing w:val="4"/>
          <w:sz w:val="24"/>
          <w:szCs w:val="24"/>
          <w:highlight w:val="none"/>
        </w:rPr>
        <w:t>委托人：</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法定代表人</w:t>
      </w:r>
      <w:r>
        <w:rPr>
          <w:rFonts w:hint="eastAsia" w:ascii="宋体" w:hAnsi="宋体" w:eastAsia="宋体" w:cs="宋体"/>
          <w:b/>
          <w:bCs/>
          <w:color w:val="auto"/>
          <w:spacing w:val="4"/>
          <w:sz w:val="24"/>
          <w:szCs w:val="24"/>
          <w:highlight w:val="none"/>
          <w:lang w:val="en-US" w:eastAsia="zh-CN"/>
        </w:rPr>
        <w:t>或</w:t>
      </w:r>
      <w:r>
        <w:rPr>
          <w:rFonts w:hint="eastAsia" w:ascii="宋体" w:hAnsi="宋体" w:eastAsia="宋体" w:cs="宋体"/>
          <w:b/>
          <w:bCs/>
          <w:color w:val="auto"/>
          <w:spacing w:val="4"/>
          <w:sz w:val="24"/>
          <w:szCs w:val="24"/>
          <w:highlight w:val="none"/>
        </w:rPr>
        <w:t>委托人：</w:t>
      </w:r>
    </w:p>
    <w:p w14:paraId="52165225">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 xml:space="preserve">联系电话：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联系电话：</w:t>
      </w:r>
    </w:p>
    <w:p w14:paraId="50AC7322">
      <w:pPr>
        <w:keepNext w:val="0"/>
        <w:keepLines w:val="0"/>
        <w:pageBreakBefore w:val="0"/>
        <w:widowControl/>
        <w:kinsoku/>
        <w:wordWrap/>
        <w:overflowPunct/>
        <w:topLinePunct w:val="0"/>
        <w:autoSpaceDE/>
        <w:autoSpaceDN/>
        <w:bidi w:val="0"/>
        <w:adjustRightInd/>
        <w:snapToGrid/>
        <w:spacing w:line="360" w:lineRule="auto"/>
        <w:ind w:firstLine="498" w:firstLineChars="200"/>
        <w:textAlignment w:val="auto"/>
        <w:rPr>
          <w:rFonts w:hint="eastAsia" w:ascii="宋体" w:hAnsi="宋体" w:eastAsia="宋体" w:cs="宋体"/>
          <w:b/>
          <w:bCs/>
          <w:color w:val="auto"/>
          <w:spacing w:val="4"/>
          <w:sz w:val="24"/>
          <w:szCs w:val="24"/>
          <w:highlight w:val="none"/>
        </w:rPr>
      </w:pPr>
      <w:r>
        <w:rPr>
          <w:rFonts w:hint="eastAsia" w:ascii="宋体" w:hAnsi="宋体" w:eastAsia="宋体" w:cs="宋体"/>
          <w:b/>
          <w:bCs/>
          <w:color w:val="auto"/>
          <w:spacing w:val="4"/>
          <w:sz w:val="24"/>
          <w:szCs w:val="24"/>
          <w:highlight w:val="none"/>
        </w:rPr>
        <w:t xml:space="preserve">邮政编码：               </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邮政编码：</w:t>
      </w:r>
    </w:p>
    <w:p w14:paraId="0A20B68D">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eastAsia="宋体" w:cs="宋体"/>
          <w:b/>
          <w:bCs/>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rPr>
        <w:t xml:space="preserve">                </w:t>
      </w:r>
      <w:r>
        <w:rPr>
          <w:rFonts w:hint="eastAsia" w:ascii="宋体" w:hAnsi="宋体" w:eastAsia="宋体" w:cs="宋体"/>
          <w:b/>
          <w:bCs/>
          <w:color w:val="auto"/>
          <w:spacing w:val="4"/>
          <w:sz w:val="24"/>
          <w:szCs w:val="24"/>
          <w:highlight w:val="none"/>
          <w:lang w:val="en-US" w:eastAsia="zh-CN"/>
        </w:rPr>
        <w:t xml:space="preserve">    </w:t>
      </w:r>
    </w:p>
    <w:p w14:paraId="6A4D7D7A">
      <w:pPr>
        <w:keepNext w:val="0"/>
        <w:keepLines w:val="0"/>
        <w:pageBreakBefore w:val="0"/>
        <w:kinsoku/>
        <w:overflowPunct/>
        <w:topLinePunct w:val="0"/>
        <w:autoSpaceDE/>
        <w:autoSpaceDN/>
        <w:bidi w:val="0"/>
        <w:adjustRightInd/>
        <w:snapToGrid/>
        <w:spacing w:line="360" w:lineRule="auto"/>
        <w:ind w:firstLine="747" w:firstLineChars="300"/>
        <w:jc w:val="center"/>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pacing w:val="4"/>
          <w:sz w:val="24"/>
          <w:szCs w:val="24"/>
          <w:highlight w:val="none"/>
        </w:rPr>
        <w:t>签订日期：</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年</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月</w:t>
      </w:r>
      <w:r>
        <w:rPr>
          <w:rFonts w:hint="eastAsia" w:ascii="宋体" w:hAnsi="宋体" w:eastAsia="宋体" w:cs="宋体"/>
          <w:b/>
          <w:bCs/>
          <w:color w:val="auto"/>
          <w:spacing w:val="4"/>
          <w:sz w:val="24"/>
          <w:szCs w:val="24"/>
          <w:highlight w:val="none"/>
          <w:lang w:val="en-US" w:eastAsia="zh-CN"/>
        </w:rPr>
        <w:t xml:space="preserve">  </w:t>
      </w:r>
      <w:r>
        <w:rPr>
          <w:rFonts w:hint="eastAsia" w:ascii="宋体" w:hAnsi="宋体" w:eastAsia="宋体" w:cs="宋体"/>
          <w:b/>
          <w:bCs/>
          <w:color w:val="auto"/>
          <w:spacing w:val="4"/>
          <w:sz w:val="24"/>
          <w:szCs w:val="24"/>
          <w:highlight w:val="none"/>
        </w:rPr>
        <w:t>日</w:t>
      </w:r>
    </w:p>
    <w:p w14:paraId="0B579FE2">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0" w:name="_Toc3548_WPSOffice_Level2"/>
      <w:r>
        <w:rPr>
          <w:rFonts w:hint="eastAsia" w:ascii="宋体" w:hAnsi="宋体" w:eastAsia="宋体" w:cs="宋体"/>
          <w:color w:val="auto"/>
          <w:sz w:val="24"/>
          <w:szCs w:val="24"/>
          <w:highlight w:val="none"/>
        </w:rPr>
        <w:t>附</w:t>
      </w:r>
      <w:bookmarkStart w:id="1" w:name="_Toc296944565"/>
      <w:bookmarkStart w:id="2" w:name="_Toc296503226"/>
      <w:bookmarkStart w:id="3" w:name="_Toc267261693"/>
      <w:bookmarkStart w:id="4" w:name="_Toc296891054"/>
      <w:bookmarkStart w:id="5" w:name="_Toc296346727"/>
      <w:bookmarkStart w:id="6" w:name="_Toc296891266"/>
      <w:bookmarkStart w:id="7" w:name="_Toc296347225"/>
      <w:r>
        <w:rPr>
          <w:rFonts w:hint="eastAsia" w:ascii="宋体" w:hAnsi="宋体" w:eastAsia="宋体" w:cs="宋体"/>
          <w:color w:val="auto"/>
          <w:sz w:val="24"/>
          <w:szCs w:val="24"/>
          <w:highlight w:val="none"/>
        </w:rPr>
        <w:t>件：</w:t>
      </w:r>
      <w:bookmarkEnd w:id="0"/>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w:t>
      </w:r>
    </w:p>
    <w:p w14:paraId="7A9F0F46">
      <w:pPr>
        <w:spacing w:before="120" w:beforeLines="50" w:after="120"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7C8411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CA7C2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CA0E3DD">
      <w:pPr>
        <w:spacing w:line="360" w:lineRule="auto"/>
        <w:rPr>
          <w:rFonts w:hint="eastAsia" w:ascii="宋体" w:hAnsi="宋体" w:eastAsia="宋体" w:cs="宋体"/>
          <w:color w:val="auto"/>
          <w:sz w:val="24"/>
          <w:szCs w:val="24"/>
          <w:highlight w:val="none"/>
        </w:rPr>
      </w:pPr>
    </w:p>
    <w:p w14:paraId="72AF2A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124B39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14:paraId="72F3E6CA">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7BBF61EC">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7C00A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p>
    <w:p w14:paraId="60934E82">
      <w:pPr>
        <w:spacing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14:paraId="423711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5F7201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673759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年；</w:t>
      </w:r>
    </w:p>
    <w:p w14:paraId="60AA00D3">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324E4228">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03361331">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个采暖期、供冷期；</w:t>
      </w:r>
    </w:p>
    <w:p w14:paraId="07C7C000">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年；</w:t>
      </w:r>
    </w:p>
    <w:p w14:paraId="5C93AD00">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工程质量保修期为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年，所有苗木养护期均为</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年；</w:t>
      </w:r>
    </w:p>
    <w:p w14:paraId="16F4E7EF">
      <w:pPr>
        <w:spacing w:line="360" w:lineRule="auto"/>
        <w:ind w:left="420" w:leftChars="200" w:firstLine="4" w:firstLineChars="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8．其他项目保修期限约定如下：</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334FC9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42BE93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14:paraId="260870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rPr>
        <w:t>个月，缺陷责任期自工程竣工验收合格之日起计算。单位工程先于全部工程进行验收，单位工程缺陷责任期自单位工程验收合格之日起算。</w:t>
      </w:r>
    </w:p>
    <w:p w14:paraId="737E1F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四、质量保修责任</w:t>
      </w:r>
    </w:p>
    <w:p w14:paraId="2787EBDB">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11312AD4">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1FB866F1">
      <w:pPr>
        <w:keepNext w:val="0"/>
        <w:keepLines w:val="0"/>
        <w:pageBreakBefore w:val="0"/>
        <w:widowControl/>
        <w:kinsoku/>
        <w:wordWrap/>
        <w:overflowPunct/>
        <w:topLinePunct w:val="0"/>
        <w:autoSpaceDE w:val="0"/>
        <w:autoSpaceDN w:val="0"/>
        <w:bidi w:val="0"/>
        <w:adjustRightInd w:val="0"/>
        <w:snapToGrid w:val="0"/>
        <w:spacing w:line="360" w:lineRule="auto"/>
        <w:ind w:left="105" w:leftChars="50" w:firstLine="491" w:firstLineChars="205"/>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D8C17F">
      <w:pPr>
        <w:keepNext w:val="0"/>
        <w:keepLines w:val="0"/>
        <w:pageBreakBefore w:val="0"/>
        <w:widowControl/>
        <w:kinsoku/>
        <w:wordWrap/>
        <w:overflowPunct/>
        <w:topLinePunct w:val="0"/>
        <w:autoSpaceDE w:val="0"/>
        <w:autoSpaceDN w:val="0"/>
        <w:bidi w:val="0"/>
        <w:adjustRightInd w:val="0"/>
        <w:snapToGrid w:val="0"/>
        <w:spacing w:line="360" w:lineRule="auto"/>
        <w:ind w:left="420" w:leftChars="200" w:firstLine="120" w:firstLineChars="5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37BCB2C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14:paraId="17A991AC">
      <w:pPr>
        <w:spacing w:line="360" w:lineRule="auto"/>
        <w:ind w:firstLine="4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保修费用由造成质量缺陷的责任方承担。</w:t>
      </w:r>
    </w:p>
    <w:p w14:paraId="1E32A598">
      <w:pPr>
        <w:spacing w:line="360" w:lineRule="auto"/>
        <w:ind w:firstLine="40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4026B1">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7D450A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w:t>
      </w:r>
    </w:p>
    <w:p w14:paraId="1F0C757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4DB7CD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28AB65D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0A0A4D2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BA5AD3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F29C9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0CF067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257B073E">
      <w:pPr>
        <w:spacing w:before="92" w:line="240" w:lineRule="exac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2F298BC3">
      <w:pPr>
        <w:spacing w:before="92" w:line="240" w:lineRule="exact"/>
        <w:ind w:left="4419"/>
        <w:rPr>
          <w:rFonts w:hint="eastAsia" w:ascii="宋体" w:hAnsi="宋体" w:eastAsia="宋体" w:cs="宋体"/>
          <w:color w:val="auto"/>
          <w:sz w:val="24"/>
          <w:szCs w:val="24"/>
          <w:highlight w:val="none"/>
          <w:u w:val="single"/>
        </w:rPr>
      </w:pPr>
    </w:p>
    <w:p w14:paraId="134CE8AB">
      <w:pPr>
        <w:rPr>
          <w:rFonts w:hint="eastAsia" w:ascii="宋体" w:hAnsi="宋体" w:eastAsia="宋体" w:cs="宋体"/>
          <w:sz w:val="24"/>
          <w:szCs w:val="24"/>
        </w:rPr>
      </w:pPr>
    </w:p>
    <w:p w14:paraId="19BB36A7">
      <w:pPr>
        <w:pStyle w:val="10"/>
        <w:rPr>
          <w:rFonts w:hint="eastAsia"/>
          <w:highlight w:val="none"/>
          <w:lang w:val="en-US" w:eastAsia="zh-Hans"/>
        </w:rPr>
      </w:pPr>
    </w:p>
    <w:p w14:paraId="3024563C">
      <w:pPr>
        <w:spacing w:line="300" w:lineRule="auto"/>
        <w:jc w:val="center"/>
        <w:rPr>
          <w:rFonts w:hint="eastAsia" w:ascii="黑体" w:hAnsi="宋体" w:eastAsia="黑体" w:cs="Times New Roman"/>
          <w:color w:val="auto"/>
          <w:sz w:val="44"/>
          <w:szCs w:val="44"/>
          <w:highlight w:val="none"/>
          <w:lang w:eastAsia="zh-CN"/>
        </w:rPr>
      </w:pPr>
    </w:p>
    <w:p w14:paraId="694AC11D">
      <w:pPr>
        <w:spacing w:line="300" w:lineRule="auto"/>
        <w:jc w:val="center"/>
        <w:rPr>
          <w:rFonts w:hint="eastAsia" w:ascii="黑体" w:hAnsi="宋体" w:eastAsia="黑体" w:cs="Times New Roman"/>
          <w:color w:val="auto"/>
          <w:sz w:val="44"/>
          <w:szCs w:val="44"/>
          <w:highlight w:val="none"/>
          <w:lang w:eastAsia="zh-CN"/>
        </w:rPr>
      </w:pPr>
    </w:p>
    <w:sectPr>
      <w:pgSz w:w="11906" w:h="16838"/>
      <w:pgMar w:top="1440" w:right="1800" w:bottom="1440" w:left="180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54EB78"/>
    <w:multiLevelType w:val="singleLevel"/>
    <w:tmpl w:val="8854EB78"/>
    <w:lvl w:ilvl="0" w:tentative="0">
      <w:start w:val="6"/>
      <w:numFmt w:val="decimal"/>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YTZmMTU4N2QwYjRmYjY2ZjgzZTgzODhmZDA2ZTkifQ=="/>
  </w:docVars>
  <w:rsids>
    <w:rsidRoot w:val="00000000"/>
    <w:rsid w:val="00617BAE"/>
    <w:rsid w:val="03431191"/>
    <w:rsid w:val="05704DD8"/>
    <w:rsid w:val="09BA7A15"/>
    <w:rsid w:val="0C0149DC"/>
    <w:rsid w:val="0E4137B5"/>
    <w:rsid w:val="0E5B4FD9"/>
    <w:rsid w:val="0EB14497"/>
    <w:rsid w:val="0FD97D35"/>
    <w:rsid w:val="0FE419F4"/>
    <w:rsid w:val="11F34DC7"/>
    <w:rsid w:val="12E72AE5"/>
    <w:rsid w:val="14BE062E"/>
    <w:rsid w:val="154D2A40"/>
    <w:rsid w:val="15C172CC"/>
    <w:rsid w:val="17B154BD"/>
    <w:rsid w:val="18176C7A"/>
    <w:rsid w:val="1B171B26"/>
    <w:rsid w:val="1B400967"/>
    <w:rsid w:val="1C4E374A"/>
    <w:rsid w:val="24BF60E6"/>
    <w:rsid w:val="28E7613D"/>
    <w:rsid w:val="29A473B4"/>
    <w:rsid w:val="323E139A"/>
    <w:rsid w:val="35B54088"/>
    <w:rsid w:val="36007566"/>
    <w:rsid w:val="37C63D86"/>
    <w:rsid w:val="39973243"/>
    <w:rsid w:val="3B8A37F6"/>
    <w:rsid w:val="3C420AA3"/>
    <w:rsid w:val="43D11A93"/>
    <w:rsid w:val="4A314103"/>
    <w:rsid w:val="4A4B4468"/>
    <w:rsid w:val="4CB32B59"/>
    <w:rsid w:val="4ED26012"/>
    <w:rsid w:val="50E470C5"/>
    <w:rsid w:val="51631477"/>
    <w:rsid w:val="51AF1A39"/>
    <w:rsid w:val="53C65C2D"/>
    <w:rsid w:val="549B4DB8"/>
    <w:rsid w:val="55265DB5"/>
    <w:rsid w:val="55755ACD"/>
    <w:rsid w:val="557D2127"/>
    <w:rsid w:val="561B7A15"/>
    <w:rsid w:val="566D565D"/>
    <w:rsid w:val="56F720E6"/>
    <w:rsid w:val="59DE08D6"/>
    <w:rsid w:val="5B1C61FB"/>
    <w:rsid w:val="5D235C93"/>
    <w:rsid w:val="5EAC0A97"/>
    <w:rsid w:val="5ECA64BB"/>
    <w:rsid w:val="61D13D7D"/>
    <w:rsid w:val="63043D0B"/>
    <w:rsid w:val="65131BC6"/>
    <w:rsid w:val="65C02ADD"/>
    <w:rsid w:val="6C9F43D9"/>
    <w:rsid w:val="6DE54739"/>
    <w:rsid w:val="6E9C74ED"/>
    <w:rsid w:val="747D56CB"/>
    <w:rsid w:val="76A2766B"/>
    <w:rsid w:val="76EE065D"/>
    <w:rsid w:val="7D957F29"/>
    <w:rsid w:val="7DA71A0B"/>
    <w:rsid w:val="7EB82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qFormat/>
    <w:uiPriority w:val="0"/>
    <w:pPr>
      <w:ind w:firstLine="630"/>
    </w:pPr>
    <w:rPr>
      <w:sz w:val="32"/>
      <w:szCs w:val="20"/>
    </w:rPr>
  </w:style>
  <w:style w:type="paragraph" w:styleId="4">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5">
    <w:name w:val="Title"/>
    <w:basedOn w:val="1"/>
    <w:next w:val="1"/>
    <w:qFormat/>
    <w:uiPriority w:val="0"/>
    <w:pPr>
      <w:spacing w:before="240" w:after="60"/>
      <w:jc w:val="center"/>
      <w:outlineLvl w:val="0"/>
    </w:pPr>
    <w:rPr>
      <w:rFonts w:ascii="Calibri Light" w:hAnsi="Calibri Light"/>
      <w:b/>
      <w:bCs/>
      <w:sz w:val="32"/>
      <w:szCs w:val="32"/>
    </w:rPr>
  </w:style>
  <w:style w:type="paragraph" w:styleId="6">
    <w:name w:val="Body Text First Indent"/>
    <w:basedOn w:val="2"/>
    <w:unhideWhenUsed/>
    <w:qFormat/>
    <w:uiPriority w:val="99"/>
    <w:pPr>
      <w:ind w:firstLine="420" w:firstLineChars="100"/>
    </w:pPr>
    <w:rPr>
      <w:szCs w:val="24"/>
    </w:rPr>
  </w:style>
  <w:style w:type="paragraph" w:customStyle="1" w:styleId="9">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2023-05-31T07:10:00Z</dcterms:created>
  <dc:creator>Administrator</dc:creator>
  <cp:lastModifiedBy>小名王钢蛋儿</cp:lastModifiedBy>
  <dcterms:modified xsi:type="dcterms:W3CDTF">2025-02-06T08:54:53Z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165D624AAC774B3E9E538B7D770D62EF_13</vt:lpwstr>
  </property>
  <property fmtid="{D5CDD505-2E9C-101B-9397-08002B2CF9AE}" pid="4" name="KSOTemplateDocerSaveRecord">
    <vt:lpwstr>eyJoZGlkIjoiNDNhNzVkZDE5ZmYwODk1MmFjZmFmNzhjMGYzNTY0ZDYiLCJ1c2VySWQiOiIxMzg0Nzg2NzMyIn0=</vt:lpwstr>
  </property>
</Properties>
</file>