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64300">
      <w:pPr>
        <w:widowControl w:val="0"/>
        <w:rPr>
          <w:rStyle w:val="37"/>
          <w:rFonts w:ascii="仿宋" w:hAnsi="仿宋" w:eastAsia="仿宋" w:cs="仿宋"/>
          <w:b/>
          <w:bCs/>
          <w:color w:val="auto"/>
          <w:sz w:val="36"/>
          <w:szCs w:val="36"/>
          <w:highlight w:val="none"/>
        </w:rPr>
      </w:pPr>
    </w:p>
    <w:p w14:paraId="77FAD886">
      <w:pPr>
        <w:widowControl w:val="0"/>
        <w:rPr>
          <w:rStyle w:val="37"/>
          <w:rFonts w:hint="default" w:ascii="仿宋" w:hAnsi="仿宋" w:eastAsia="仿宋" w:cs="仿宋"/>
          <w:b/>
          <w:color w:val="auto"/>
          <w:sz w:val="36"/>
          <w:highlight w:val="none"/>
          <w:lang w:val="en-US"/>
        </w:rPr>
      </w:pPr>
      <w:r>
        <w:rPr>
          <w:rStyle w:val="37"/>
          <w:rFonts w:hint="eastAsia" w:ascii="仿宋" w:hAnsi="仿宋" w:eastAsia="仿宋" w:cs="仿宋"/>
          <w:b/>
          <w:bCs/>
          <w:color w:val="auto"/>
          <w:sz w:val="36"/>
          <w:szCs w:val="36"/>
          <w:highlight w:val="none"/>
        </w:rPr>
        <w:t>项目编号:SXZM-GK-2025001</w:t>
      </w:r>
    </w:p>
    <w:p w14:paraId="46AEC23B">
      <w:pPr>
        <w:widowControl w:val="0"/>
        <w:tabs>
          <w:tab w:val="left" w:pos="3375"/>
        </w:tabs>
        <w:rPr>
          <w:rStyle w:val="37"/>
          <w:rFonts w:ascii="仿宋" w:hAnsi="仿宋" w:eastAsia="仿宋" w:cs="仿宋"/>
          <w:color w:val="auto"/>
          <w:highlight w:val="none"/>
        </w:rPr>
      </w:pPr>
      <w:r>
        <w:rPr>
          <w:rStyle w:val="37"/>
          <w:rFonts w:hint="eastAsia" w:ascii="仿宋" w:hAnsi="仿宋" w:eastAsia="仿宋" w:cs="仿宋"/>
          <w:color w:val="auto"/>
          <w:highlight w:val="none"/>
        </w:rPr>
        <w:tab/>
      </w:r>
    </w:p>
    <w:p w14:paraId="6FFE853F">
      <w:pPr>
        <w:widowControl w:val="0"/>
        <w:jc w:val="center"/>
        <w:rPr>
          <w:rStyle w:val="37"/>
          <w:rFonts w:ascii="仿宋" w:hAnsi="仿宋" w:eastAsia="仿宋" w:cs="仿宋"/>
          <w:b/>
          <w:color w:val="auto"/>
          <w:sz w:val="52"/>
          <w:szCs w:val="52"/>
          <w:highlight w:val="none"/>
        </w:rPr>
      </w:pPr>
    </w:p>
    <w:p w14:paraId="1EAB7891">
      <w:pPr>
        <w:widowControl w:val="0"/>
        <w:spacing w:line="780" w:lineRule="auto"/>
        <w:jc w:val="center"/>
        <w:rPr>
          <w:rStyle w:val="37"/>
          <w:rFonts w:hint="default" w:ascii="仿宋" w:hAnsi="仿宋" w:eastAsia="仿宋" w:cs="仿宋"/>
          <w:b/>
          <w:color w:val="auto"/>
          <w:sz w:val="52"/>
          <w:szCs w:val="52"/>
          <w:highlight w:val="none"/>
          <w:lang w:val="en-US" w:eastAsia="zh-CN"/>
        </w:rPr>
      </w:pPr>
      <w:r>
        <w:rPr>
          <w:rStyle w:val="37"/>
          <w:rFonts w:hint="eastAsia" w:ascii="仿宋" w:hAnsi="仿宋" w:eastAsia="仿宋" w:cs="仿宋"/>
          <w:b/>
          <w:color w:val="auto"/>
          <w:sz w:val="52"/>
          <w:szCs w:val="52"/>
          <w:highlight w:val="none"/>
        </w:rPr>
        <w:t>沣西新城2024-2025春季学期、2025-2026秋季学期营养改善计划食材采购</w:t>
      </w:r>
      <w:r>
        <w:rPr>
          <w:rStyle w:val="37"/>
          <w:rFonts w:hint="eastAsia" w:ascii="仿宋" w:hAnsi="仿宋" w:eastAsia="仿宋" w:cs="仿宋"/>
          <w:b/>
          <w:color w:val="auto"/>
          <w:sz w:val="52"/>
          <w:szCs w:val="52"/>
          <w:highlight w:val="none"/>
          <w:lang w:val="en-US" w:eastAsia="zh-CN"/>
        </w:rPr>
        <w:t>(二次)</w:t>
      </w:r>
    </w:p>
    <w:p w14:paraId="673EE133">
      <w:pPr>
        <w:widowControl w:val="0"/>
        <w:spacing w:line="780" w:lineRule="auto"/>
        <w:jc w:val="center"/>
        <w:rPr>
          <w:rStyle w:val="37"/>
          <w:rFonts w:ascii="仿宋" w:hAnsi="仿宋" w:eastAsia="仿宋" w:cs="仿宋"/>
          <w:b/>
          <w:color w:val="auto"/>
          <w:sz w:val="88"/>
          <w:szCs w:val="88"/>
          <w:highlight w:val="none"/>
        </w:rPr>
      </w:pPr>
    </w:p>
    <w:p w14:paraId="09F7074B">
      <w:pPr>
        <w:pStyle w:val="6"/>
        <w:rPr>
          <w:color w:val="auto"/>
          <w:highlight w:val="none"/>
        </w:rPr>
      </w:pPr>
    </w:p>
    <w:p w14:paraId="15397692">
      <w:pPr>
        <w:widowControl w:val="0"/>
        <w:spacing w:line="780" w:lineRule="auto"/>
        <w:jc w:val="center"/>
        <w:rPr>
          <w:rStyle w:val="37"/>
          <w:rFonts w:ascii="仿宋" w:hAnsi="仿宋" w:eastAsia="仿宋" w:cs="仿宋"/>
          <w:b/>
          <w:color w:val="auto"/>
          <w:sz w:val="88"/>
          <w:szCs w:val="88"/>
          <w:highlight w:val="none"/>
        </w:rPr>
      </w:pPr>
      <w:r>
        <w:rPr>
          <w:rStyle w:val="37"/>
          <w:rFonts w:hint="eastAsia" w:ascii="仿宋" w:hAnsi="仿宋" w:eastAsia="仿宋" w:cs="仿宋"/>
          <w:b/>
          <w:color w:val="auto"/>
          <w:sz w:val="88"/>
          <w:szCs w:val="88"/>
          <w:highlight w:val="none"/>
        </w:rPr>
        <w:t>招 标 文 件</w:t>
      </w:r>
    </w:p>
    <w:p w14:paraId="4C522AF6">
      <w:pPr>
        <w:widowControl w:val="0"/>
        <w:rPr>
          <w:rStyle w:val="37"/>
          <w:rFonts w:ascii="仿宋" w:hAnsi="仿宋" w:eastAsia="仿宋" w:cs="仿宋"/>
          <w:color w:val="auto"/>
          <w:highlight w:val="none"/>
        </w:rPr>
      </w:pPr>
    </w:p>
    <w:p w14:paraId="2D0855C8">
      <w:pPr>
        <w:widowControl w:val="0"/>
        <w:rPr>
          <w:rStyle w:val="37"/>
          <w:rFonts w:ascii="仿宋" w:hAnsi="仿宋" w:eastAsia="仿宋" w:cs="仿宋"/>
          <w:color w:val="auto"/>
          <w:highlight w:val="none"/>
        </w:rPr>
      </w:pPr>
    </w:p>
    <w:p w14:paraId="2CF68D65">
      <w:pPr>
        <w:widowControl w:val="0"/>
        <w:rPr>
          <w:rStyle w:val="37"/>
          <w:rFonts w:ascii="仿宋" w:hAnsi="仿宋" w:eastAsia="仿宋" w:cs="仿宋"/>
          <w:color w:val="auto"/>
          <w:highlight w:val="none"/>
        </w:rPr>
      </w:pPr>
    </w:p>
    <w:p w14:paraId="5E6EBB85">
      <w:pPr>
        <w:widowControl w:val="0"/>
        <w:rPr>
          <w:rStyle w:val="37"/>
          <w:rFonts w:ascii="仿宋" w:hAnsi="仿宋" w:eastAsia="仿宋" w:cs="仿宋"/>
          <w:color w:val="auto"/>
          <w:sz w:val="18"/>
          <w:szCs w:val="18"/>
          <w:highlight w:val="none"/>
        </w:rPr>
      </w:pPr>
    </w:p>
    <w:p w14:paraId="3A86F7EA">
      <w:pPr>
        <w:widowControl w:val="0"/>
        <w:rPr>
          <w:rStyle w:val="37"/>
          <w:rFonts w:ascii="仿宋" w:hAnsi="仿宋" w:eastAsia="仿宋" w:cs="仿宋"/>
          <w:color w:val="auto"/>
          <w:sz w:val="18"/>
          <w:szCs w:val="18"/>
          <w:highlight w:val="none"/>
        </w:rPr>
      </w:pPr>
      <w:bookmarkStart w:id="38" w:name="_GoBack"/>
      <w:bookmarkEnd w:id="38"/>
    </w:p>
    <w:p w14:paraId="72427CA0">
      <w:pPr>
        <w:widowControl w:val="0"/>
        <w:rPr>
          <w:rStyle w:val="37"/>
          <w:rFonts w:ascii="仿宋" w:hAnsi="仿宋" w:eastAsia="仿宋" w:cs="仿宋"/>
          <w:color w:val="auto"/>
          <w:sz w:val="18"/>
          <w:szCs w:val="18"/>
          <w:highlight w:val="none"/>
        </w:rPr>
      </w:pPr>
    </w:p>
    <w:p w14:paraId="57CCE24C">
      <w:pPr>
        <w:widowControl w:val="0"/>
        <w:rPr>
          <w:rStyle w:val="37"/>
          <w:rFonts w:ascii="仿宋" w:hAnsi="仿宋" w:eastAsia="仿宋" w:cs="仿宋"/>
          <w:color w:val="auto"/>
          <w:sz w:val="18"/>
          <w:szCs w:val="18"/>
          <w:highlight w:val="none"/>
        </w:rPr>
      </w:pPr>
    </w:p>
    <w:p w14:paraId="15F88229">
      <w:pPr>
        <w:widowControl w:val="0"/>
        <w:jc w:val="center"/>
        <w:rPr>
          <w:rStyle w:val="37"/>
          <w:rFonts w:ascii="仿宋" w:hAnsi="仿宋" w:eastAsia="仿宋" w:cs="仿宋"/>
          <w:b/>
          <w:bCs/>
          <w:color w:val="auto"/>
          <w:sz w:val="36"/>
          <w:szCs w:val="36"/>
          <w:highlight w:val="none"/>
        </w:rPr>
      </w:pPr>
      <w:r>
        <w:rPr>
          <w:rStyle w:val="37"/>
          <w:rFonts w:hint="eastAsia" w:ascii="仿宋" w:hAnsi="仿宋" w:eastAsia="仿宋" w:cs="仿宋"/>
          <w:b/>
          <w:bCs/>
          <w:color w:val="auto"/>
          <w:sz w:val="36"/>
          <w:szCs w:val="36"/>
          <w:highlight w:val="none"/>
        </w:rPr>
        <w:t>陕西正明项目管理有限公司</w:t>
      </w:r>
    </w:p>
    <w:p w14:paraId="43FDCA20">
      <w:pPr>
        <w:widowControl w:val="0"/>
        <w:tabs>
          <w:tab w:val="left" w:pos="525"/>
        </w:tabs>
        <w:jc w:val="center"/>
        <w:rPr>
          <w:rStyle w:val="37"/>
          <w:rFonts w:ascii="仿宋" w:hAnsi="仿宋" w:eastAsia="仿宋" w:cs="仿宋"/>
          <w:b/>
          <w:bCs/>
          <w:color w:val="auto"/>
          <w:sz w:val="36"/>
          <w:szCs w:val="36"/>
          <w:highlight w:val="none"/>
        </w:rPr>
      </w:pPr>
      <w:r>
        <w:rPr>
          <w:rStyle w:val="37"/>
          <w:rFonts w:hint="eastAsia" w:ascii="仿宋" w:hAnsi="仿宋" w:eastAsia="仿宋" w:cs="仿宋"/>
          <w:b/>
          <w:bCs/>
          <w:color w:val="auto"/>
          <w:sz w:val="36"/>
          <w:szCs w:val="36"/>
          <w:highlight w:val="none"/>
        </w:rPr>
        <w:t>二〇二</w:t>
      </w:r>
      <w:r>
        <w:rPr>
          <w:rStyle w:val="37"/>
          <w:rFonts w:hint="eastAsia" w:ascii="仿宋" w:hAnsi="仿宋" w:eastAsia="仿宋" w:cs="仿宋"/>
          <w:b/>
          <w:bCs/>
          <w:color w:val="auto"/>
          <w:sz w:val="36"/>
          <w:szCs w:val="36"/>
          <w:highlight w:val="none"/>
          <w:lang w:val="en-US" w:eastAsia="zh-CN"/>
        </w:rPr>
        <w:t>五</w:t>
      </w:r>
      <w:r>
        <w:rPr>
          <w:rStyle w:val="37"/>
          <w:rFonts w:hint="eastAsia" w:ascii="仿宋" w:hAnsi="仿宋" w:eastAsia="仿宋" w:cs="仿宋"/>
          <w:b/>
          <w:bCs/>
          <w:color w:val="auto"/>
          <w:sz w:val="36"/>
          <w:szCs w:val="36"/>
          <w:highlight w:val="none"/>
        </w:rPr>
        <w:t>年</w:t>
      </w:r>
      <w:r>
        <w:rPr>
          <w:rStyle w:val="37"/>
          <w:rFonts w:hint="eastAsia" w:ascii="仿宋" w:hAnsi="仿宋" w:eastAsia="仿宋" w:cs="仿宋"/>
          <w:b/>
          <w:bCs/>
          <w:color w:val="auto"/>
          <w:sz w:val="36"/>
          <w:szCs w:val="36"/>
          <w:highlight w:val="none"/>
          <w:lang w:val="en-US" w:eastAsia="zh-CN"/>
        </w:rPr>
        <w:t>一</w:t>
      </w:r>
      <w:r>
        <w:rPr>
          <w:rStyle w:val="37"/>
          <w:rFonts w:hint="eastAsia" w:ascii="仿宋" w:hAnsi="仿宋" w:eastAsia="仿宋" w:cs="仿宋"/>
          <w:b/>
          <w:bCs/>
          <w:color w:val="auto"/>
          <w:sz w:val="36"/>
          <w:szCs w:val="36"/>
          <w:highlight w:val="none"/>
        </w:rPr>
        <w:t>月</w:t>
      </w:r>
    </w:p>
    <w:p w14:paraId="54709DA0">
      <w:pPr>
        <w:widowControl w:val="0"/>
        <w:rPr>
          <w:rStyle w:val="37"/>
          <w:rFonts w:ascii="仿宋" w:hAnsi="仿宋" w:eastAsia="仿宋" w:cs="仿宋"/>
          <w:b/>
          <w:color w:val="auto"/>
          <w:sz w:val="44"/>
          <w:szCs w:val="44"/>
          <w:highlight w:val="none"/>
        </w:rPr>
      </w:pPr>
    </w:p>
    <w:p w14:paraId="27BD7C44">
      <w:pPr>
        <w:widowControl w:val="0"/>
        <w:spacing w:before="166" w:beforeLines="50" w:after="166" w:afterLines="50" w:line="360" w:lineRule="auto"/>
        <w:jc w:val="center"/>
        <w:rPr>
          <w:rStyle w:val="37"/>
          <w:rFonts w:hint="eastAsia" w:ascii="仿宋" w:hAnsi="仿宋" w:eastAsia="仿宋" w:cs="仿宋"/>
          <w:b/>
          <w:color w:val="auto"/>
          <w:sz w:val="48"/>
          <w:szCs w:val="48"/>
          <w:highlight w:val="none"/>
        </w:rPr>
      </w:pPr>
    </w:p>
    <w:p w14:paraId="7ED70B14">
      <w:pPr>
        <w:widowControl w:val="0"/>
        <w:spacing w:before="166" w:beforeLines="50" w:after="166" w:afterLines="50" w:line="360" w:lineRule="auto"/>
        <w:jc w:val="center"/>
        <w:rPr>
          <w:rStyle w:val="37"/>
          <w:rFonts w:ascii="仿宋" w:hAnsi="仿宋" w:eastAsia="仿宋" w:cs="仿宋"/>
          <w:b/>
          <w:color w:val="auto"/>
          <w:sz w:val="44"/>
          <w:szCs w:val="44"/>
          <w:highlight w:val="none"/>
        </w:rPr>
      </w:pPr>
      <w:r>
        <w:rPr>
          <w:rStyle w:val="37"/>
          <w:rFonts w:hint="eastAsia" w:ascii="仿宋" w:hAnsi="仿宋" w:eastAsia="仿宋" w:cs="仿宋"/>
          <w:b/>
          <w:color w:val="auto"/>
          <w:sz w:val="48"/>
          <w:szCs w:val="48"/>
          <w:highlight w:val="none"/>
        </w:rPr>
        <w:t>目 录</w:t>
      </w:r>
    </w:p>
    <w:p w14:paraId="389A9F19">
      <w:pPr>
        <w:pStyle w:val="19"/>
        <w:tabs>
          <w:tab w:val="right" w:leader="dot" w:pos="9072"/>
        </w:tabs>
        <w:spacing w:line="720" w:lineRule="auto"/>
        <w:rPr>
          <w:color w:val="auto"/>
          <w:highlight w:val="none"/>
        </w:rPr>
      </w:pPr>
      <w:r>
        <w:rPr>
          <w:rStyle w:val="37"/>
          <w:rFonts w:hint="eastAsia" w:ascii="仿宋" w:hAnsi="仿宋" w:eastAsia="仿宋" w:cs="仿宋"/>
          <w:color w:val="auto"/>
          <w:sz w:val="28"/>
          <w:highlight w:val="none"/>
        </w:rPr>
        <w:fldChar w:fldCharType="begin"/>
      </w:r>
      <w:r>
        <w:rPr>
          <w:rStyle w:val="37"/>
          <w:rFonts w:hint="eastAsia" w:ascii="仿宋" w:hAnsi="仿宋" w:eastAsia="仿宋" w:cs="仿宋"/>
          <w:color w:val="auto"/>
          <w:sz w:val="28"/>
          <w:highlight w:val="none"/>
        </w:rPr>
        <w:instrText xml:space="preserve">TOC \o "1-1" \h \u </w:instrText>
      </w:r>
      <w:r>
        <w:rPr>
          <w:rStyle w:val="37"/>
          <w:rFonts w:hint="eastAsia" w:ascii="仿宋" w:hAnsi="仿宋" w:eastAsia="仿宋" w:cs="仿宋"/>
          <w:color w:val="auto"/>
          <w:sz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_Toc10583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_Toc10583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00E680EB">
      <w:pPr>
        <w:pStyle w:val="19"/>
        <w:tabs>
          <w:tab w:val="right" w:leader="dot" w:pos="9072"/>
        </w:tabs>
        <w:spacing w:line="72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_Toc30683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_Toc30683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highlight w:val="none"/>
        </w:rPr>
        <w:fldChar w:fldCharType="end"/>
      </w:r>
    </w:p>
    <w:p w14:paraId="6384D2C3">
      <w:pPr>
        <w:pStyle w:val="19"/>
        <w:tabs>
          <w:tab w:val="right" w:leader="dot" w:pos="9072"/>
        </w:tabs>
        <w:spacing w:line="72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_Toc19373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第三章 合同条款及格式</w:t>
      </w:r>
      <w:r>
        <w:rPr>
          <w:color w:val="auto"/>
          <w:highlight w:val="none"/>
        </w:rPr>
        <w:tab/>
      </w:r>
      <w:r>
        <w:rPr>
          <w:color w:val="auto"/>
          <w:highlight w:val="none"/>
        </w:rPr>
        <w:fldChar w:fldCharType="begin"/>
      </w:r>
      <w:r>
        <w:rPr>
          <w:color w:val="auto"/>
          <w:highlight w:val="none"/>
        </w:rPr>
        <w:instrText xml:space="preserve"> PAGEREF _Toc19373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color w:val="auto"/>
          <w:highlight w:val="none"/>
        </w:rPr>
        <w:fldChar w:fldCharType="end"/>
      </w:r>
    </w:p>
    <w:p w14:paraId="6C95DFBF">
      <w:pPr>
        <w:pStyle w:val="19"/>
        <w:tabs>
          <w:tab w:val="right" w:leader="dot" w:pos="9072"/>
        </w:tabs>
        <w:spacing w:line="72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_Toc32012 </w:instrText>
      </w:r>
      <w:r>
        <w:rPr>
          <w:rFonts w:hint="eastAsia" w:ascii="仿宋" w:hAnsi="仿宋" w:eastAsia="仿宋" w:cs="仿宋"/>
          <w:color w:val="auto"/>
          <w:highlight w:val="none"/>
        </w:rPr>
        <w:fldChar w:fldCharType="separate"/>
      </w:r>
      <w:r>
        <w:rPr>
          <w:rFonts w:hint="eastAsia" w:ascii="仿宋" w:hAnsi="仿宋" w:eastAsia="仿宋" w:cs="仿宋"/>
          <w:bCs w:val="0"/>
          <w:color w:val="auto"/>
          <w:kern w:val="2"/>
          <w:szCs w:val="44"/>
          <w:highlight w:val="none"/>
        </w:rPr>
        <w:t>第四章 采购内容及技术要求</w:t>
      </w:r>
      <w:r>
        <w:rPr>
          <w:color w:val="auto"/>
          <w:highlight w:val="none"/>
        </w:rPr>
        <w:tab/>
      </w:r>
      <w:r>
        <w:rPr>
          <w:color w:val="auto"/>
          <w:highlight w:val="none"/>
        </w:rPr>
        <w:fldChar w:fldCharType="begin"/>
      </w:r>
      <w:r>
        <w:rPr>
          <w:color w:val="auto"/>
          <w:highlight w:val="none"/>
        </w:rPr>
        <w:instrText xml:space="preserve"> PAGEREF _Toc32012 \h </w:instrText>
      </w:r>
      <w:r>
        <w:rPr>
          <w:color w:val="auto"/>
          <w:highlight w:val="none"/>
        </w:rPr>
        <w:fldChar w:fldCharType="separate"/>
      </w:r>
      <w:r>
        <w:rPr>
          <w:color w:val="auto"/>
          <w:highlight w:val="none"/>
        </w:rPr>
        <w:t>47</w:t>
      </w:r>
      <w:r>
        <w:rPr>
          <w:color w:val="auto"/>
          <w:highlight w:val="none"/>
        </w:rPr>
        <w:fldChar w:fldCharType="end"/>
      </w:r>
      <w:r>
        <w:rPr>
          <w:rFonts w:hint="eastAsia" w:ascii="仿宋" w:hAnsi="仿宋" w:eastAsia="仿宋" w:cs="仿宋"/>
          <w:color w:val="auto"/>
          <w:highlight w:val="none"/>
        </w:rPr>
        <w:fldChar w:fldCharType="end"/>
      </w:r>
    </w:p>
    <w:p w14:paraId="08090B64">
      <w:pPr>
        <w:pStyle w:val="19"/>
        <w:tabs>
          <w:tab w:val="right" w:leader="dot" w:pos="9072"/>
        </w:tabs>
        <w:spacing w:line="72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_Toc24988 </w:instrText>
      </w:r>
      <w:r>
        <w:rPr>
          <w:rFonts w:hint="eastAsia" w:ascii="仿宋" w:hAnsi="仿宋" w:eastAsia="仿宋" w:cs="仿宋"/>
          <w:color w:val="auto"/>
          <w:highlight w:val="none"/>
        </w:rPr>
        <w:fldChar w:fldCharType="separate"/>
      </w:r>
      <w:r>
        <w:rPr>
          <w:rFonts w:hint="eastAsia" w:ascii="仿宋" w:hAnsi="仿宋" w:eastAsia="仿宋" w:cs="仿宋"/>
          <w:color w:val="auto"/>
          <w:kern w:val="2"/>
          <w:szCs w:val="44"/>
          <w:highlight w:val="none"/>
        </w:rPr>
        <w:t>第五章 评标方法</w:t>
      </w:r>
      <w:r>
        <w:rPr>
          <w:color w:val="auto"/>
          <w:highlight w:val="none"/>
        </w:rPr>
        <w:tab/>
      </w:r>
      <w:r>
        <w:rPr>
          <w:color w:val="auto"/>
          <w:highlight w:val="none"/>
        </w:rPr>
        <w:fldChar w:fldCharType="begin"/>
      </w:r>
      <w:r>
        <w:rPr>
          <w:color w:val="auto"/>
          <w:highlight w:val="none"/>
        </w:rPr>
        <w:instrText xml:space="preserve"> PAGEREF _Toc24988 \h </w:instrText>
      </w:r>
      <w:r>
        <w:rPr>
          <w:color w:val="auto"/>
          <w:highlight w:val="none"/>
        </w:rPr>
        <w:fldChar w:fldCharType="separate"/>
      </w:r>
      <w:r>
        <w:rPr>
          <w:color w:val="auto"/>
          <w:highlight w:val="none"/>
        </w:rPr>
        <w:t>55</w:t>
      </w:r>
      <w:r>
        <w:rPr>
          <w:color w:val="auto"/>
          <w:highlight w:val="none"/>
        </w:rPr>
        <w:fldChar w:fldCharType="end"/>
      </w:r>
      <w:r>
        <w:rPr>
          <w:rFonts w:hint="eastAsia" w:ascii="仿宋" w:hAnsi="仿宋" w:eastAsia="仿宋" w:cs="仿宋"/>
          <w:color w:val="auto"/>
          <w:highlight w:val="none"/>
        </w:rPr>
        <w:fldChar w:fldCharType="end"/>
      </w:r>
    </w:p>
    <w:p w14:paraId="16EF9CC7">
      <w:pPr>
        <w:pStyle w:val="19"/>
        <w:tabs>
          <w:tab w:val="right" w:leader="dot" w:pos="9072"/>
        </w:tabs>
        <w:spacing w:line="72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_Toc3154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44"/>
          <w:highlight w:val="none"/>
        </w:rPr>
        <w:t xml:space="preserve">第六章 </w:t>
      </w:r>
      <w:r>
        <w:rPr>
          <w:rFonts w:hint="eastAsia" w:ascii="仿宋" w:hAnsi="仿宋" w:eastAsia="仿宋" w:cs="仿宋"/>
          <w:bCs/>
          <w:color w:val="auto"/>
          <w:kern w:val="2"/>
          <w:szCs w:val="44"/>
          <w:highlight w:val="none"/>
          <w:lang w:eastAsia="zh-CN"/>
        </w:rPr>
        <w:t>投标文件格式</w:t>
      </w:r>
      <w:r>
        <w:rPr>
          <w:color w:val="auto"/>
          <w:highlight w:val="none"/>
        </w:rPr>
        <w:tab/>
      </w:r>
      <w:r>
        <w:rPr>
          <w:color w:val="auto"/>
          <w:highlight w:val="none"/>
        </w:rPr>
        <w:fldChar w:fldCharType="begin"/>
      </w:r>
      <w:r>
        <w:rPr>
          <w:color w:val="auto"/>
          <w:highlight w:val="none"/>
        </w:rPr>
        <w:instrText xml:space="preserve"> PAGEREF _Toc3154 \h </w:instrText>
      </w:r>
      <w:r>
        <w:rPr>
          <w:color w:val="auto"/>
          <w:highlight w:val="none"/>
        </w:rPr>
        <w:fldChar w:fldCharType="separate"/>
      </w:r>
      <w:r>
        <w:rPr>
          <w:color w:val="auto"/>
          <w:highlight w:val="none"/>
        </w:rPr>
        <w:t>67</w:t>
      </w:r>
      <w:r>
        <w:rPr>
          <w:color w:val="auto"/>
          <w:highlight w:val="none"/>
        </w:rPr>
        <w:fldChar w:fldCharType="end"/>
      </w:r>
      <w:r>
        <w:rPr>
          <w:rFonts w:hint="eastAsia" w:ascii="仿宋" w:hAnsi="仿宋" w:eastAsia="仿宋" w:cs="仿宋"/>
          <w:color w:val="auto"/>
          <w:highlight w:val="none"/>
        </w:rPr>
        <w:fldChar w:fldCharType="end"/>
      </w:r>
    </w:p>
    <w:p w14:paraId="47C47894">
      <w:pPr>
        <w:widowControl w:val="0"/>
        <w:spacing w:line="360" w:lineRule="auto"/>
        <w:rPr>
          <w:rStyle w:val="37"/>
          <w:rFonts w:ascii="仿宋" w:hAnsi="仿宋" w:eastAsia="仿宋" w:cs="仿宋"/>
          <w:color w:val="auto"/>
          <w:sz w:val="28"/>
          <w:szCs w:val="28"/>
          <w:highlight w:val="none"/>
        </w:rPr>
      </w:pPr>
      <w:r>
        <w:rPr>
          <w:rFonts w:hint="eastAsia" w:ascii="仿宋" w:hAnsi="仿宋" w:eastAsia="仿宋" w:cs="仿宋"/>
          <w:color w:val="auto"/>
          <w:highlight w:val="none"/>
        </w:rPr>
        <w:fldChar w:fldCharType="end"/>
      </w:r>
    </w:p>
    <w:p w14:paraId="1FD228B6">
      <w:pPr>
        <w:pStyle w:val="40"/>
        <w:widowControl w:val="0"/>
        <w:spacing w:line="360" w:lineRule="auto"/>
        <w:rPr>
          <w:color w:val="auto"/>
          <w:sz w:val="28"/>
          <w:szCs w:val="28"/>
          <w:highlight w:val="none"/>
        </w:rPr>
      </w:pPr>
    </w:p>
    <w:p w14:paraId="0BFDC964">
      <w:pPr>
        <w:widowControl w:val="0"/>
        <w:spacing w:line="360" w:lineRule="auto"/>
        <w:rPr>
          <w:color w:val="auto"/>
          <w:sz w:val="28"/>
          <w:szCs w:val="28"/>
          <w:highlight w:val="none"/>
        </w:rPr>
      </w:pPr>
    </w:p>
    <w:p w14:paraId="21D552D1">
      <w:pPr>
        <w:pStyle w:val="40"/>
        <w:widowControl w:val="0"/>
        <w:spacing w:line="360" w:lineRule="auto"/>
        <w:rPr>
          <w:color w:val="auto"/>
          <w:sz w:val="28"/>
          <w:szCs w:val="28"/>
          <w:highlight w:val="none"/>
        </w:rPr>
      </w:pPr>
    </w:p>
    <w:p w14:paraId="66DC3CD8">
      <w:pPr>
        <w:widowControl w:val="0"/>
        <w:rPr>
          <w:color w:val="auto"/>
          <w:highlight w:val="none"/>
        </w:rPr>
      </w:pPr>
    </w:p>
    <w:p w14:paraId="6C87329F">
      <w:pPr>
        <w:pStyle w:val="40"/>
        <w:widowControl w:val="0"/>
        <w:rPr>
          <w:color w:val="auto"/>
          <w:highlight w:val="none"/>
        </w:rPr>
      </w:pPr>
    </w:p>
    <w:p w14:paraId="6F935CA2">
      <w:pPr>
        <w:widowControl w:val="0"/>
        <w:spacing w:after="334" w:line="500" w:lineRule="exact"/>
        <w:jc w:val="center"/>
        <w:outlineLvl w:val="0"/>
        <w:rPr>
          <w:rStyle w:val="37"/>
          <w:rFonts w:ascii="仿宋" w:hAnsi="仿宋" w:eastAsia="仿宋" w:cs="仿宋"/>
          <w:b/>
          <w:bCs/>
          <w:color w:val="auto"/>
          <w:sz w:val="36"/>
          <w:szCs w:val="36"/>
          <w:highlight w:val="none"/>
        </w:rPr>
        <w:sectPr>
          <w:headerReference r:id="rId4" w:type="first"/>
          <w:footerReference r:id="rId6" w:type="first"/>
          <w:headerReference r:id="rId3" w:type="default"/>
          <w:footerReference r:id="rId5" w:type="default"/>
          <w:pgSz w:w="11906" w:h="16838"/>
          <w:pgMar w:top="1417" w:right="1417" w:bottom="1417" w:left="1417" w:header="1134" w:footer="992" w:gutter="0"/>
          <w:cols w:space="425" w:num="1"/>
          <w:titlePg/>
          <w:docGrid w:type="lines" w:linePitch="333" w:charSpace="0"/>
        </w:sectPr>
      </w:pPr>
      <w:bookmarkStart w:id="0" w:name="_Toc18791"/>
    </w:p>
    <w:p w14:paraId="3ABA1024">
      <w:pPr>
        <w:keepNext w:val="0"/>
        <w:keepLines w:val="0"/>
        <w:pageBreakBefore w:val="0"/>
        <w:widowControl w:val="0"/>
        <w:kinsoku/>
        <w:overflowPunct/>
        <w:topLinePunct w:val="0"/>
        <w:autoSpaceDE/>
        <w:autoSpaceDN/>
        <w:bidi w:val="0"/>
        <w:adjustRightInd/>
        <w:snapToGrid/>
        <w:spacing w:line="500" w:lineRule="exact"/>
        <w:ind w:left="0"/>
        <w:jc w:val="center"/>
        <w:outlineLvl w:val="0"/>
        <w:rPr>
          <w:rStyle w:val="37"/>
          <w:rFonts w:hint="eastAsia" w:ascii="仿宋" w:hAnsi="仿宋" w:eastAsia="仿宋" w:cs="仿宋"/>
          <w:b/>
          <w:bCs/>
          <w:color w:val="auto"/>
          <w:sz w:val="28"/>
          <w:szCs w:val="28"/>
          <w:highlight w:val="none"/>
        </w:rPr>
      </w:pPr>
      <w:bookmarkStart w:id="1" w:name="_Toc10583"/>
      <w:bookmarkStart w:id="2" w:name="_Toc23865"/>
      <w:r>
        <w:rPr>
          <w:rStyle w:val="37"/>
          <w:rFonts w:hint="eastAsia" w:ascii="仿宋" w:hAnsi="仿宋" w:eastAsia="仿宋" w:cs="仿宋"/>
          <w:b/>
          <w:bCs/>
          <w:color w:val="auto"/>
          <w:sz w:val="28"/>
          <w:szCs w:val="28"/>
          <w:highlight w:val="none"/>
        </w:rPr>
        <w:t>第一章 招标公告</w:t>
      </w:r>
      <w:bookmarkEnd w:id="0"/>
      <w:bookmarkEnd w:id="1"/>
      <w:bookmarkEnd w:id="2"/>
    </w:p>
    <w:p w14:paraId="2B971C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0" w:lineRule="atLeast"/>
        <w:ind w:left="0" w:right="0"/>
        <w:jc w:val="left"/>
        <w:textAlignment w:val="baseline"/>
        <w:rPr>
          <w:rFonts w:hint="eastAsia" w:ascii="仿宋" w:hAnsi="仿宋" w:eastAsia="仿宋" w:cs="仿宋"/>
          <w:b w:val="0"/>
          <w:bCs w:val="0"/>
          <w:color w:val="auto"/>
          <w:sz w:val="24"/>
          <w:szCs w:val="24"/>
        </w:rPr>
      </w:pPr>
      <w:bookmarkStart w:id="3" w:name="_Toc1928"/>
      <w:r>
        <w:rPr>
          <w:rStyle w:val="33"/>
          <w:rFonts w:hint="eastAsia" w:ascii="仿宋" w:hAnsi="仿宋" w:eastAsia="仿宋" w:cs="仿宋"/>
          <w:b/>
          <w:bCs/>
          <w:i w:val="0"/>
          <w:iCs w:val="0"/>
          <w:caps w:val="0"/>
          <w:color w:val="auto"/>
          <w:spacing w:val="0"/>
          <w:sz w:val="24"/>
          <w:szCs w:val="24"/>
          <w:bdr w:val="none" w:color="auto" w:sz="0" w:space="0"/>
          <w:shd w:val="clear" w:fill="FFFFFF"/>
          <w:vertAlign w:val="baseline"/>
        </w:rPr>
        <w:t>项目概况</w:t>
      </w:r>
    </w:p>
    <w:p w14:paraId="5323F65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沣西新城2024-2025春季学期、2025-2026秋季学期营养改善计划食材采购(二次)招标项目的潜在投标人应在全国公共资源交易平台（陕西省·西咸新区）公共资源交易中心自行下载获取招标文件，并于 2025年03月03日 09时30分 （北京时间）前递交投标文件。</w:t>
      </w:r>
    </w:p>
    <w:p w14:paraId="4FEDE3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750" w:lineRule="atLeas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33"/>
          <w:rFonts w:hint="eastAsia" w:ascii="仿宋" w:hAnsi="仿宋" w:eastAsia="仿宋" w:cs="仿宋"/>
          <w:b/>
          <w:bCs/>
          <w:i w:val="0"/>
          <w:iCs w:val="0"/>
          <w:caps w:val="0"/>
          <w:color w:val="auto"/>
          <w:spacing w:val="0"/>
          <w:sz w:val="24"/>
          <w:szCs w:val="24"/>
          <w:bdr w:val="none" w:color="auto" w:sz="0" w:space="0"/>
          <w:shd w:val="clear" w:fill="FFFFFF"/>
          <w:vertAlign w:val="baseline"/>
        </w:rPr>
        <w:t>一、项目基本情况</w:t>
      </w:r>
    </w:p>
    <w:p w14:paraId="6B5B457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项目编号：SXZM-GK-2025001</w:t>
      </w:r>
    </w:p>
    <w:p w14:paraId="3227E0A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项目名称：沣西新城2024-2025春季学期、2025-2026秋季学期营养改善计划食材采购(二次)</w:t>
      </w:r>
    </w:p>
    <w:p w14:paraId="40841F1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采购方式：公开招标</w:t>
      </w:r>
    </w:p>
    <w:p w14:paraId="5C4452C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预算金额：4,500,000.00元</w:t>
      </w:r>
    </w:p>
    <w:p w14:paraId="54FC2D2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采购需求：</w:t>
      </w:r>
    </w:p>
    <w:p w14:paraId="050084E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合同包1(沣西新城2024-2025春季学期、2025-2026秋季学期营养改善计划食材采购):</w:t>
      </w:r>
    </w:p>
    <w:p w14:paraId="1608DE3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63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合同包预算金额：4,500,000.00元</w:t>
      </w:r>
    </w:p>
    <w:p w14:paraId="372934C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63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合同包最高限价：4,500,000.00元</w:t>
      </w:r>
    </w:p>
    <w:tbl>
      <w:tblPr>
        <w:tblW w:w="9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4"/>
        <w:gridCol w:w="1384"/>
        <w:gridCol w:w="2433"/>
        <w:gridCol w:w="741"/>
        <w:gridCol w:w="1044"/>
        <w:gridCol w:w="1772"/>
        <w:gridCol w:w="1807"/>
      </w:tblGrid>
      <w:tr w14:paraId="0AC9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51" w:hRule="atLeast"/>
          <w:tblHeader/>
        </w:trPr>
        <w:tc>
          <w:tcPr>
            <w:tcW w:w="5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73AB3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13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A366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24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12B4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7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54E2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D097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17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B1F7D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c>
          <w:tcPr>
            <w:tcW w:w="18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F69F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最高限价(元)</w:t>
            </w:r>
          </w:p>
        </w:tc>
      </w:tr>
      <w:tr w14:paraId="6F65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5" w:hRule="atLeast"/>
        </w:trPr>
        <w:tc>
          <w:tcPr>
            <w:tcW w:w="5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8DA7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w:t>
            </w:r>
          </w:p>
        </w:tc>
        <w:tc>
          <w:tcPr>
            <w:tcW w:w="13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4CE4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其他农副食品，动、植物油制品</w:t>
            </w:r>
          </w:p>
        </w:tc>
        <w:tc>
          <w:tcPr>
            <w:tcW w:w="24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41253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沣西新城2024-2025春季学期、2025-2026秋季学期营养改善计划食材采购</w:t>
            </w:r>
          </w:p>
        </w:tc>
        <w:tc>
          <w:tcPr>
            <w:tcW w:w="7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D281C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22E3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17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3D6CA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right="0"/>
              <w:jc w:val="righ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vertAlign w:val="baseline"/>
                <w:lang w:val="en-US" w:eastAsia="zh-CN" w:bidi="ar"/>
              </w:rPr>
              <w:t>4,500,000.00</w:t>
            </w:r>
          </w:p>
        </w:tc>
        <w:tc>
          <w:tcPr>
            <w:tcW w:w="18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5B248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right="0"/>
              <w:jc w:val="righ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vertAlign w:val="baseline"/>
                <w:lang w:val="en-US" w:eastAsia="zh-CN" w:bidi="ar"/>
              </w:rPr>
              <w:t>4,500,000.00</w:t>
            </w:r>
          </w:p>
        </w:tc>
      </w:tr>
    </w:tbl>
    <w:p w14:paraId="2037992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63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本合同包不接受联合体投标</w:t>
      </w:r>
    </w:p>
    <w:p w14:paraId="697D766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63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合同履行期限：自合同签订之日起一年。暂定配送周期为200日历天（仅针对学生在校时间），具体以实际在校人数及配送天数据实结算。</w:t>
      </w:r>
    </w:p>
    <w:p w14:paraId="315068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750" w:lineRule="atLeas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33"/>
          <w:rFonts w:hint="eastAsia" w:ascii="仿宋" w:hAnsi="仿宋" w:eastAsia="仿宋" w:cs="仿宋"/>
          <w:b/>
          <w:bCs/>
          <w:i w:val="0"/>
          <w:iCs w:val="0"/>
          <w:caps w:val="0"/>
          <w:color w:val="auto"/>
          <w:spacing w:val="0"/>
          <w:sz w:val="24"/>
          <w:szCs w:val="24"/>
          <w:bdr w:val="none" w:color="auto" w:sz="0" w:space="0"/>
          <w:shd w:val="clear" w:fill="FFFFFF"/>
          <w:vertAlign w:val="baseline"/>
        </w:rPr>
        <w:t>二、申请人的资格要求：</w:t>
      </w:r>
    </w:p>
    <w:p w14:paraId="7B67A3D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1.满足《中华人民共和国政府采购法》第二十二条规定;</w:t>
      </w:r>
    </w:p>
    <w:p w14:paraId="0513BEA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2.落实政府采购政策需满足的资格要求：</w:t>
      </w:r>
    </w:p>
    <w:p w14:paraId="4D1D298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合同包1(沣西新城2024-2025春季学期、2025-2026秋季学期营养改善计划食材采购)落实政府采购政策需满足的资格要求如下:</w:t>
      </w:r>
    </w:p>
    <w:p w14:paraId="5E328A81">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无，本合同包不专门面向中小企业采购。</w:t>
      </w:r>
    </w:p>
    <w:p w14:paraId="598D153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3.本项目的特定资格要求：</w:t>
      </w:r>
    </w:p>
    <w:p w14:paraId="42E0E8D1">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合同包1(沣西新城2024-2025春季学期、2025-2026秋季学期营养改善计划食材采购)特定资格要求如下:</w:t>
      </w:r>
    </w:p>
    <w:p w14:paraId="39BBFD5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1）法定代表人（或负责人）身份证明/法定代表人（或负责人）授权委托书：法定代表人（或负责人）直接参加投标的，须提供法定代表人（或负责人）身份证明及其身份证电子件或扫描件；法定代表人（或负责人）授权他人参加投标的，须提供法定代表人（或负责人）授权委托书（附法定代表人（或负责人）、被授权人身份证电子件或扫描件）；</w:t>
      </w:r>
      <w:r>
        <w:rPr>
          <w:rFonts w:hint="eastAsia" w:ascii="仿宋" w:hAnsi="仿宋" w:eastAsia="仿宋" w:cs="仿宋"/>
          <w:i w:val="0"/>
          <w:iCs w:val="0"/>
          <w:caps w:val="0"/>
          <w:color w:val="auto"/>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auto"/>
          <w:spacing w:val="0"/>
          <w:sz w:val="24"/>
          <w:szCs w:val="24"/>
          <w:bdr w:val="none" w:color="auto" w:sz="0" w:space="0"/>
          <w:shd w:val="clear" w:fill="FFFFFF"/>
          <w:vertAlign w:val="baseline"/>
        </w:rPr>
        <w:t>（2）供应商为生产厂家的须具有《食品生产许可证》和《食品经营许可证》（米、面、油必须提供）、《动物防疫条件合格证》（仅肉类）；供应商为代理商的须提供《食品经营许可证》，并提供所代理产品生产厂家的《食品生产许可证》（米、面、油必须提供）、《动物防疫条件合格证》（仅肉类）；</w:t>
      </w:r>
      <w:r>
        <w:rPr>
          <w:rFonts w:hint="eastAsia" w:ascii="仿宋" w:hAnsi="仿宋" w:eastAsia="仿宋" w:cs="仿宋"/>
          <w:i w:val="0"/>
          <w:iCs w:val="0"/>
          <w:caps w:val="0"/>
          <w:color w:val="auto"/>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auto"/>
          <w:spacing w:val="0"/>
          <w:sz w:val="24"/>
          <w:szCs w:val="24"/>
          <w:bdr w:val="none" w:color="auto" w:sz="0" w:space="0"/>
          <w:shd w:val="clear" w:fill="FFFFFF"/>
          <w:vertAlign w:val="baseline"/>
        </w:rPr>
        <w:t>（3）供应商在投标截止日近两年内，在同类营养改善项目供货过程中因存在食品安全问题导致产品一级召回或二级召回的不得参与本次投标。供应商需提供2年内在同类营养改善项目供货过程中没有因食品安全问题导致产品一级召回或二级召回的书面声明；</w:t>
      </w:r>
      <w:r>
        <w:rPr>
          <w:rFonts w:hint="eastAsia" w:ascii="仿宋" w:hAnsi="仿宋" w:eastAsia="仿宋" w:cs="仿宋"/>
          <w:i w:val="0"/>
          <w:iCs w:val="0"/>
          <w:caps w:val="0"/>
          <w:color w:val="auto"/>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auto"/>
          <w:spacing w:val="0"/>
          <w:sz w:val="24"/>
          <w:szCs w:val="24"/>
          <w:bdr w:val="none" w:color="auto" w:sz="0" w:space="0"/>
          <w:shd w:val="clear" w:fill="FFFFFF"/>
          <w:vertAlign w:val="baseline"/>
        </w:rPr>
        <w:t>（4）信用记录：供应商不得为“信用中国”网站（www.creditchina.gov.cn）中列入失信被执行人（页面跳转至“中国执行信息公开网”http://zxgk.court.gov.cn/shixin/）和重大税收违法失信主体名单的供应商，不得为中国政府采购网（www.ccgp.gov.cn）政府采购严重违法失信行为记录名单中被财政部门禁止参加政府采购活动的供应商；</w:t>
      </w:r>
      <w:r>
        <w:rPr>
          <w:rFonts w:hint="eastAsia" w:ascii="仿宋" w:hAnsi="仿宋" w:eastAsia="仿宋" w:cs="仿宋"/>
          <w:i w:val="0"/>
          <w:iCs w:val="0"/>
          <w:caps w:val="0"/>
          <w:color w:val="auto"/>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auto"/>
          <w:spacing w:val="0"/>
          <w:sz w:val="24"/>
          <w:szCs w:val="24"/>
          <w:bdr w:val="none" w:color="auto" w:sz="0" w:space="0"/>
          <w:shd w:val="clear" w:fill="FFFFFF"/>
          <w:vertAlign w:val="baseline"/>
        </w:rPr>
        <w:t>（5）控股管理关系：单位负责人为同一人或者存在直接控股、管理关系的供应商，不得参加同一合同下的政府采购活动；</w:t>
      </w:r>
      <w:r>
        <w:rPr>
          <w:rFonts w:hint="eastAsia" w:ascii="仿宋" w:hAnsi="仿宋" w:eastAsia="仿宋" w:cs="仿宋"/>
          <w:i w:val="0"/>
          <w:iCs w:val="0"/>
          <w:caps w:val="0"/>
          <w:color w:val="auto"/>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auto"/>
          <w:spacing w:val="0"/>
          <w:sz w:val="24"/>
          <w:szCs w:val="24"/>
          <w:bdr w:val="none" w:color="auto" w:sz="0" w:space="0"/>
          <w:shd w:val="clear" w:fill="FFFFFF"/>
          <w:vertAlign w:val="baseline"/>
        </w:rPr>
        <w:t>（6）供应商书面声明：供应商未为本项目提供整体设计、规范编制或者项目管理、监理、检测等服务的书面声明；</w:t>
      </w:r>
      <w:r>
        <w:rPr>
          <w:rFonts w:hint="eastAsia" w:ascii="仿宋" w:hAnsi="仿宋" w:eastAsia="仿宋" w:cs="仿宋"/>
          <w:i w:val="0"/>
          <w:iCs w:val="0"/>
          <w:caps w:val="0"/>
          <w:color w:val="auto"/>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auto"/>
          <w:spacing w:val="0"/>
          <w:sz w:val="24"/>
          <w:szCs w:val="24"/>
          <w:bdr w:val="none" w:color="auto" w:sz="0" w:space="0"/>
          <w:shd w:val="clear" w:fill="FFFFFF"/>
          <w:vertAlign w:val="baseline"/>
        </w:rPr>
        <w:t>（7）供应商参与投标的承诺函。</w:t>
      </w:r>
    </w:p>
    <w:p w14:paraId="67693C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750" w:lineRule="atLeas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33"/>
          <w:rFonts w:hint="eastAsia" w:ascii="仿宋" w:hAnsi="仿宋" w:eastAsia="仿宋" w:cs="仿宋"/>
          <w:b/>
          <w:bCs/>
          <w:i w:val="0"/>
          <w:iCs w:val="0"/>
          <w:caps w:val="0"/>
          <w:color w:val="auto"/>
          <w:spacing w:val="0"/>
          <w:sz w:val="24"/>
          <w:szCs w:val="24"/>
          <w:bdr w:val="none" w:color="auto" w:sz="0" w:space="0"/>
          <w:shd w:val="clear" w:fill="FFFFFF"/>
          <w:vertAlign w:val="baseline"/>
        </w:rPr>
        <w:t>三、获取招标文件</w:t>
      </w:r>
    </w:p>
    <w:p w14:paraId="194A032C">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时间： 2025年02月11日 至 2025年02月17日 ，每天上午 08:00:00 至 12:00:00 ，下午 12:00:00 至 18:00:00 （北京时间）</w:t>
      </w:r>
    </w:p>
    <w:p w14:paraId="2F3AE7B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途径：全国公共资源交易平台（陕西省·西咸新区）公共资源交易中心自行下载</w:t>
      </w:r>
    </w:p>
    <w:p w14:paraId="593F200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方式：在线获取</w:t>
      </w:r>
    </w:p>
    <w:p w14:paraId="1037214F">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售价： 0元</w:t>
      </w:r>
    </w:p>
    <w:p w14:paraId="0139E3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750" w:lineRule="atLeas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33"/>
          <w:rFonts w:hint="eastAsia" w:ascii="仿宋" w:hAnsi="仿宋" w:eastAsia="仿宋" w:cs="仿宋"/>
          <w:b/>
          <w:bCs/>
          <w:i w:val="0"/>
          <w:iCs w:val="0"/>
          <w:caps w:val="0"/>
          <w:color w:val="auto"/>
          <w:spacing w:val="0"/>
          <w:sz w:val="24"/>
          <w:szCs w:val="24"/>
          <w:bdr w:val="none" w:color="auto" w:sz="0" w:space="0"/>
          <w:shd w:val="clear" w:fill="FFFFFF"/>
          <w:vertAlign w:val="baseline"/>
        </w:rPr>
        <w:t>四、提交投标文件截止时间、开标时间和地点</w:t>
      </w:r>
    </w:p>
    <w:p w14:paraId="00A2069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时间： 2025年03月03日 09时30分00秒 （北京时间）</w:t>
      </w:r>
    </w:p>
    <w:p w14:paraId="0F276B3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提交投标文件地点：全国公共资源交易平台（陕西省·西咸新区）网上递交</w:t>
      </w:r>
    </w:p>
    <w:p w14:paraId="28B2820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开标地点：全国公共资源交易平台（陕西省·西咸新区）不见面开标大厅，陕西省西咸新区公共资源交易中心开标室07</w:t>
      </w:r>
    </w:p>
    <w:p w14:paraId="54F5B0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750" w:lineRule="atLeas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33"/>
          <w:rFonts w:hint="eastAsia" w:ascii="仿宋" w:hAnsi="仿宋" w:eastAsia="仿宋" w:cs="仿宋"/>
          <w:b/>
          <w:bCs/>
          <w:i w:val="0"/>
          <w:iCs w:val="0"/>
          <w:caps w:val="0"/>
          <w:color w:val="auto"/>
          <w:spacing w:val="0"/>
          <w:sz w:val="24"/>
          <w:szCs w:val="24"/>
          <w:bdr w:val="none" w:color="auto" w:sz="0" w:space="0"/>
          <w:shd w:val="clear" w:fill="FFFFFF"/>
          <w:vertAlign w:val="baseline"/>
        </w:rPr>
        <w:t>五、公告期限</w:t>
      </w:r>
    </w:p>
    <w:p w14:paraId="02F9523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自本公告发布之日起5个工作日。</w:t>
      </w:r>
    </w:p>
    <w:p w14:paraId="4170D7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750" w:lineRule="atLeas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33"/>
          <w:rFonts w:hint="eastAsia" w:ascii="仿宋" w:hAnsi="仿宋" w:eastAsia="仿宋" w:cs="仿宋"/>
          <w:b/>
          <w:bCs/>
          <w:i w:val="0"/>
          <w:iCs w:val="0"/>
          <w:caps w:val="0"/>
          <w:color w:val="auto"/>
          <w:spacing w:val="0"/>
          <w:sz w:val="24"/>
          <w:szCs w:val="24"/>
          <w:bdr w:val="none" w:color="auto" w:sz="0" w:space="0"/>
          <w:shd w:val="clear" w:fill="FFFFFF"/>
          <w:vertAlign w:val="baseline"/>
        </w:rPr>
        <w:t>六、其他补充事宜</w:t>
      </w:r>
    </w:p>
    <w:p w14:paraId="3C9B5D9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bdr w:val="none" w:color="auto" w:sz="0" w:space="0"/>
          <w:shd w:val="clear" w:fill="FFFFFF"/>
          <w:vertAlign w:val="baseline"/>
          <w:lang w:val="en-US" w:eastAsia="zh-CN" w:bidi="ar"/>
        </w:rPr>
        <w:t>1、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 司法部关于政府采购支持监狱企业发展有关问题的通知》（财库〔2014〕68号）；（5）《三部门联合发布关于促进残疾人就业政府采购政策的通知》（财库〔2017〕141号）；（6）《国务院办公厅关于建立政府强制采购节能产品制度的通知》（国发办〔2007〕51号）；（7）《财政部 发展改革委 生态环境部 市场监管总局关于调整优化节能产品、环境标志产品政府采购执行机制的通知》（财库〔2019〕9号）；（8）《关于运用政府采购政策支持乡村产业振兴的通知》（财库〔2021〕19 号）；（9）《财政部农业农村部国家 乡村振兴局 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陕西省财政厅关于印发《陕西省中小企业政府采购信用融资办法》（陕财办采〔2018〕23号）；（13）陕西省财政厅《关于加快推进我省中小企业政府采购信用融资工作 的通知》（陕财办采〔2020〕15号）；（14）其他需要落实的政府采购政策，详见招标文件。</w:t>
      </w:r>
    </w:p>
    <w:p w14:paraId="1102320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bdr w:val="none" w:color="auto" w:sz="0" w:space="0"/>
          <w:shd w:val="clear" w:fill="FFFFFF"/>
          <w:vertAlign w:val="baseline"/>
          <w:lang w:val="en-US" w:eastAsia="zh-CN" w:bidi="ar"/>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36BE927E">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bdr w:val="none" w:color="auto" w:sz="0" w:space="0"/>
          <w:shd w:val="clear" w:fill="FFFFFF"/>
          <w:vertAlign w:val="baseline"/>
          <w:lang w:val="en-US" w:eastAsia="zh-CN" w:bidi="ar"/>
        </w:rPr>
        <w:t>3.请供应商按照陕西省财政厅关于政府采购供应商注册登记有关事项的通知中的要求，通过陕西省政府采购网（http://www.ccgp-shaanxi.gov.cn/）注册登记加入陕西省政府采购供应商库。</w:t>
      </w:r>
    </w:p>
    <w:p w14:paraId="1153038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bdr w:val="none" w:color="auto" w:sz="0" w:space="0"/>
          <w:shd w:val="clear" w:fill="FFFFFF"/>
          <w:vertAlign w:val="baseline"/>
          <w:lang w:val="en-US" w:eastAsia="zh-CN" w:bidi="ar"/>
        </w:rPr>
        <w:t>4.网上投标确认流程：登录全国公共资源交易平台（陕西省·西咸新区）（http://xxxq.sxggzyjy.cn/），选择“电子交易平台-陕西政府采购交易系统”进行登录，登录后选择“交易乙方”选择本项目选择“我要投标”填写相关信息后提交确认。</w:t>
      </w:r>
    </w:p>
    <w:p w14:paraId="23D37101">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bdr w:val="none" w:color="auto" w:sz="0" w:space="0"/>
          <w:shd w:val="clear" w:fill="FFFFFF"/>
          <w:vertAlign w:val="baseline"/>
          <w:lang w:val="en-US" w:eastAsia="zh-CN" w:bidi="ar"/>
        </w:rPr>
        <w:t>5.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w:t>
      </w:r>
    </w:p>
    <w:p w14:paraId="1710DAC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bdr w:val="none" w:color="auto" w:sz="0" w:space="0"/>
          <w:shd w:val="clear" w:fill="FFFFFF"/>
          <w:vertAlign w:val="baseline"/>
          <w:lang w:val="en-US" w:eastAsia="zh-CN" w:bidi="ar"/>
        </w:rPr>
        <w:t>6.办理CA锁方式：供应商初次使用交易平台，需前往陕西省数字证书认证中心股份有限公司办理CA锁，办理地址及咨询电话如下：西安市高新三路九号新时代大厦六楼，咨询电话:4006369888；西安市长安北路14号省体育公寓B座一楼，咨询电话：029-88661241 ；西安市公共资源交易中心：西安市文景北路16号白桦林国际B座2楼最右12号窗口，电话：029-86510073转80211。</w:t>
      </w:r>
    </w:p>
    <w:p w14:paraId="6391085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bdr w:val="none" w:color="auto" w:sz="0" w:space="0"/>
          <w:shd w:val="clear" w:fill="FFFFFF"/>
          <w:vertAlign w:val="baseline"/>
          <w:lang w:val="en-US" w:eastAsia="zh-CN" w:bidi="ar"/>
        </w:rPr>
        <w:t>7.本项目采用“不见面开标”方式，各供应商可登录（http://ggzyjy.xixianxinqu.gov.cn/xwzx/002002/20210721/d7421699-e891-4f40-b441-dccc415e05b3.html）下载操作手册,并在投标截止时间前通过全国公共资源交易平台（陕西省·西咸新区）递交电子投标文件。因投标人自身设施故障或自身原因导致无法完成投标的，由投标人自行承担后果。</w:t>
      </w:r>
    </w:p>
    <w:p w14:paraId="2C64A24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bdr w:val="none" w:color="auto" w:sz="0" w:space="0"/>
          <w:shd w:val="clear" w:fill="FFFFFF"/>
          <w:vertAlign w:val="baseline"/>
          <w:lang w:val="en-US" w:eastAsia="zh-CN" w:bidi="ar"/>
        </w:rPr>
        <w:t>8.为了保证远程不见面开标顺利进行，供应商需使用配备相关设备的电脑提前一小时登录网络开标大厅。相关操作流程详见全国公共资源交易平台（陕西省·西咸新区）西咸公共资源交易中心网，技术咨询电话：4009980000。</w:t>
      </w:r>
    </w:p>
    <w:p w14:paraId="3A0609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750" w:lineRule="atLeas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33"/>
          <w:rFonts w:hint="eastAsia" w:ascii="仿宋" w:hAnsi="仿宋" w:eastAsia="仿宋" w:cs="仿宋"/>
          <w:b/>
          <w:bCs/>
          <w:i w:val="0"/>
          <w:iCs w:val="0"/>
          <w:caps w:val="0"/>
          <w:color w:val="auto"/>
          <w:spacing w:val="0"/>
          <w:sz w:val="24"/>
          <w:szCs w:val="24"/>
          <w:bdr w:val="none" w:color="auto" w:sz="0" w:space="0"/>
          <w:shd w:val="clear" w:fill="FFFFFF"/>
          <w:vertAlign w:val="baseline"/>
        </w:rPr>
        <w:t>七、对本次招标提出询问，请按以下方式联系。</w:t>
      </w:r>
    </w:p>
    <w:p w14:paraId="513391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0" w:lineRule="atLeast"/>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vertAlign w:val="baseline"/>
        </w:rPr>
        <w:t>1.采购人信息</w:t>
      </w:r>
    </w:p>
    <w:p w14:paraId="14BE35DE">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名称：陕西省西咸新区教育体育局（沣西）工作部</w:t>
      </w:r>
    </w:p>
    <w:p w14:paraId="4DEFEBC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地址：陕西省西咸新区沣西新城管委会5号楼</w:t>
      </w:r>
    </w:p>
    <w:p w14:paraId="011F064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联系方式：029-38021660</w:t>
      </w:r>
    </w:p>
    <w:p w14:paraId="3F1C4E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0" w:lineRule="atLeast"/>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vertAlign w:val="baseline"/>
        </w:rPr>
        <w:t>2.采购代理机构信息</w:t>
      </w:r>
    </w:p>
    <w:p w14:paraId="09650A2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名称：陕西正明项目管理有限公司</w:t>
      </w:r>
    </w:p>
    <w:p w14:paraId="5E0D4B4F">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地址：陕西省西安市雁塔区科技二路71号竹园天寰国际1807室</w:t>
      </w:r>
    </w:p>
    <w:p w14:paraId="60A082B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联系方式：029-88811335</w:t>
      </w:r>
    </w:p>
    <w:p w14:paraId="13FD32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0" w:lineRule="atLeast"/>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vertAlign w:val="baseline"/>
        </w:rPr>
        <w:t>3.项目联系方式</w:t>
      </w:r>
    </w:p>
    <w:p w14:paraId="5F9C164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项目联系人：薛巧、任冰倩、樊睿</w:t>
      </w:r>
    </w:p>
    <w:p w14:paraId="186D7ADE">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80" w:lineRule="atLeas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电话：029-88811335</w:t>
      </w:r>
    </w:p>
    <w:p w14:paraId="1B75E75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righ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陕西正明项目管理有限公司</w:t>
      </w:r>
    </w:p>
    <w:p w14:paraId="3085A1D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atLeast"/>
        <w:ind w:left="0" w:right="0" w:firstLine="480"/>
        <w:jc w:val="righ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vertAlign w:val="baseline"/>
        </w:rPr>
        <w:t>2025年02月10日</w:t>
      </w:r>
    </w:p>
    <w:p w14:paraId="1C11A403">
      <w:pPr>
        <w:rPr>
          <w:rStyle w:val="37"/>
          <w:rFonts w:ascii="仿宋" w:hAnsi="仿宋" w:eastAsia="仿宋" w:cs="仿宋"/>
          <w:color w:val="auto"/>
          <w:highlight w:val="none"/>
        </w:rPr>
      </w:pPr>
      <w:r>
        <w:rPr>
          <w:rStyle w:val="37"/>
          <w:rFonts w:ascii="仿宋" w:hAnsi="仿宋" w:eastAsia="仿宋" w:cs="仿宋"/>
          <w:color w:val="auto"/>
          <w:highlight w:val="none"/>
        </w:rPr>
        <w:br w:type="page"/>
      </w:r>
    </w:p>
    <w:p w14:paraId="60F1D6AE">
      <w:pPr>
        <w:widowControl w:val="0"/>
        <w:spacing w:line="360" w:lineRule="auto"/>
        <w:jc w:val="center"/>
        <w:outlineLvl w:val="0"/>
        <w:rPr>
          <w:rStyle w:val="52"/>
          <w:rFonts w:ascii="仿宋" w:hAnsi="仿宋" w:eastAsia="仿宋" w:cs="仿宋"/>
          <w:color w:val="auto"/>
          <w:sz w:val="36"/>
          <w:szCs w:val="36"/>
          <w:highlight w:val="none"/>
        </w:rPr>
      </w:pPr>
      <w:bookmarkStart w:id="4" w:name="_Toc30683"/>
      <w:bookmarkStart w:id="5" w:name="_Toc14645"/>
      <w:r>
        <w:rPr>
          <w:rStyle w:val="52"/>
          <w:rFonts w:hint="eastAsia" w:ascii="仿宋" w:hAnsi="仿宋" w:eastAsia="仿宋" w:cs="仿宋"/>
          <w:color w:val="auto"/>
          <w:sz w:val="36"/>
          <w:szCs w:val="36"/>
          <w:highlight w:val="none"/>
        </w:rPr>
        <w:t>第二章 供应商须知</w:t>
      </w:r>
      <w:bookmarkEnd w:id="3"/>
      <w:bookmarkEnd w:id="4"/>
      <w:bookmarkEnd w:id="5"/>
    </w:p>
    <w:p w14:paraId="4F2D3ED7">
      <w:pPr>
        <w:pStyle w:val="42"/>
        <w:widowControl w:val="0"/>
        <w:spacing w:before="120" w:after="120"/>
        <w:ind w:left="0"/>
        <w:jc w:val="center"/>
        <w:rPr>
          <w:rStyle w:val="37"/>
          <w:rFonts w:ascii="仿宋" w:hAnsi="仿宋" w:eastAsia="仿宋" w:cs="仿宋"/>
          <w:color w:val="auto"/>
          <w:sz w:val="32"/>
          <w:highlight w:val="none"/>
        </w:rPr>
      </w:pPr>
      <w:r>
        <w:rPr>
          <w:rStyle w:val="37"/>
          <w:rFonts w:hint="eastAsia" w:ascii="仿宋" w:hAnsi="仿宋" w:eastAsia="仿宋" w:cs="仿宋"/>
          <w:color w:val="auto"/>
          <w:sz w:val="32"/>
          <w:highlight w:val="none"/>
        </w:rPr>
        <w:t>供应商须知前附表</w:t>
      </w:r>
    </w:p>
    <w:tbl>
      <w:tblPr>
        <w:tblStyle w:val="30"/>
        <w:tblW w:w="89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5"/>
        <w:gridCol w:w="1932"/>
        <w:gridCol w:w="6064"/>
      </w:tblGrid>
      <w:tr w14:paraId="3E101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blHeader/>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6FC9EB0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Style w:val="37"/>
                <w:rFonts w:ascii="仿宋" w:hAnsi="仿宋" w:eastAsia="仿宋" w:cs="仿宋"/>
                <w:b/>
                <w:color w:val="auto"/>
                <w:sz w:val="21"/>
                <w:szCs w:val="21"/>
                <w:highlight w:val="none"/>
              </w:rPr>
            </w:pPr>
            <w:r>
              <w:rPr>
                <w:rStyle w:val="37"/>
                <w:rFonts w:hint="eastAsia" w:ascii="仿宋" w:hAnsi="仿宋" w:eastAsia="仿宋" w:cs="仿宋"/>
                <w:b/>
                <w:color w:val="auto"/>
                <w:sz w:val="21"/>
                <w:szCs w:val="21"/>
                <w:highlight w:val="none"/>
              </w:rPr>
              <w:t>条款号</w:t>
            </w:r>
          </w:p>
        </w:tc>
        <w:tc>
          <w:tcPr>
            <w:tcW w:w="1932" w:type="dxa"/>
            <w:tcBorders>
              <w:top w:val="single" w:color="000000" w:sz="6" w:space="0"/>
              <w:left w:val="single" w:color="000000" w:sz="6" w:space="0"/>
              <w:bottom w:val="single" w:color="000000" w:sz="6" w:space="0"/>
              <w:right w:val="single" w:color="000000" w:sz="6" w:space="0"/>
            </w:tcBorders>
            <w:vAlign w:val="center"/>
          </w:tcPr>
          <w:p w14:paraId="01348F3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Style w:val="37"/>
                <w:rFonts w:ascii="仿宋" w:hAnsi="仿宋" w:eastAsia="仿宋" w:cs="仿宋"/>
                <w:b/>
                <w:color w:val="auto"/>
                <w:sz w:val="21"/>
                <w:szCs w:val="21"/>
                <w:highlight w:val="none"/>
              </w:rPr>
            </w:pPr>
            <w:r>
              <w:rPr>
                <w:rStyle w:val="37"/>
                <w:rFonts w:hint="eastAsia" w:ascii="仿宋" w:hAnsi="仿宋" w:eastAsia="仿宋" w:cs="仿宋"/>
                <w:b/>
                <w:color w:val="auto"/>
                <w:sz w:val="21"/>
                <w:szCs w:val="21"/>
                <w:highlight w:val="none"/>
              </w:rPr>
              <w:t>条款内容提示</w:t>
            </w:r>
          </w:p>
        </w:tc>
        <w:tc>
          <w:tcPr>
            <w:tcW w:w="6064" w:type="dxa"/>
            <w:tcBorders>
              <w:top w:val="single" w:color="000000" w:sz="6" w:space="0"/>
              <w:left w:val="single" w:color="000000" w:sz="6" w:space="0"/>
              <w:bottom w:val="single" w:color="000000" w:sz="6" w:space="0"/>
              <w:right w:val="single" w:color="000000" w:sz="6" w:space="0"/>
            </w:tcBorders>
            <w:vAlign w:val="center"/>
          </w:tcPr>
          <w:p w14:paraId="6AA3935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Style w:val="37"/>
                <w:rFonts w:ascii="仿宋" w:hAnsi="仿宋" w:eastAsia="仿宋" w:cs="仿宋"/>
                <w:b/>
                <w:color w:val="auto"/>
                <w:sz w:val="21"/>
                <w:szCs w:val="21"/>
                <w:highlight w:val="none"/>
              </w:rPr>
            </w:pPr>
            <w:r>
              <w:rPr>
                <w:rStyle w:val="37"/>
                <w:rFonts w:hint="eastAsia" w:ascii="仿宋" w:hAnsi="仿宋" w:eastAsia="仿宋" w:cs="仿宋"/>
                <w:b/>
                <w:color w:val="auto"/>
                <w:sz w:val="21"/>
                <w:szCs w:val="21"/>
                <w:highlight w:val="none"/>
              </w:rPr>
              <w:t>编 列 内 容</w:t>
            </w:r>
          </w:p>
        </w:tc>
      </w:tr>
      <w:tr w14:paraId="5C198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4E550AB7">
            <w:pPr>
              <w:widowControl w:val="0"/>
              <w:spacing w:line="360"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1.1.2</w:t>
            </w:r>
          </w:p>
        </w:tc>
        <w:tc>
          <w:tcPr>
            <w:tcW w:w="1932" w:type="dxa"/>
            <w:tcBorders>
              <w:top w:val="single" w:color="000000" w:sz="6" w:space="0"/>
              <w:left w:val="single" w:color="000000" w:sz="6" w:space="0"/>
              <w:bottom w:val="single" w:color="000000" w:sz="6" w:space="0"/>
              <w:right w:val="single" w:color="000000" w:sz="6" w:space="0"/>
            </w:tcBorders>
            <w:vAlign w:val="center"/>
          </w:tcPr>
          <w:p w14:paraId="1C58D1AD">
            <w:pPr>
              <w:widowControl w:val="0"/>
              <w:spacing w:line="360" w:lineRule="auto"/>
              <w:jc w:val="center"/>
              <w:rPr>
                <w:rStyle w:val="37"/>
                <w:rFonts w:ascii="仿宋" w:hAnsi="仿宋" w:eastAsia="仿宋" w:cs="仿宋"/>
                <w:b w:val="0"/>
                <w:bCs w:val="0"/>
                <w:color w:val="auto"/>
                <w:sz w:val="21"/>
                <w:szCs w:val="21"/>
                <w:highlight w:val="none"/>
              </w:rPr>
            </w:pPr>
            <w:r>
              <w:rPr>
                <w:rStyle w:val="37"/>
                <w:rFonts w:hint="eastAsia" w:ascii="仿宋" w:hAnsi="仿宋" w:eastAsia="仿宋" w:cs="仿宋"/>
                <w:b w:val="0"/>
                <w:bCs w:val="0"/>
                <w:color w:val="auto"/>
                <w:sz w:val="21"/>
                <w:szCs w:val="21"/>
                <w:highlight w:val="none"/>
              </w:rPr>
              <w:t>采购人</w:t>
            </w:r>
          </w:p>
        </w:tc>
        <w:tc>
          <w:tcPr>
            <w:tcW w:w="6064" w:type="dxa"/>
            <w:tcBorders>
              <w:top w:val="single" w:color="000000" w:sz="6" w:space="0"/>
              <w:left w:val="single" w:color="000000" w:sz="6" w:space="0"/>
              <w:bottom w:val="single" w:color="000000" w:sz="6" w:space="0"/>
              <w:right w:val="single" w:color="000000" w:sz="6" w:space="0"/>
            </w:tcBorders>
          </w:tcPr>
          <w:p w14:paraId="43EAA586">
            <w:pPr>
              <w:pStyle w:val="25"/>
              <w:widowControl w:val="0"/>
              <w:spacing w:beforeAutospacing="0" w:afterAutospacing="0" w:line="360" w:lineRule="auto"/>
              <w:jc w:val="both"/>
              <w:rPr>
                <w:rStyle w:val="37"/>
                <w:rFonts w:hint="eastAsia" w:ascii="仿宋" w:hAnsi="仿宋" w:eastAsia="仿宋" w:cs="仿宋"/>
                <w:b w:val="0"/>
                <w:bCs w:val="0"/>
                <w:color w:val="auto"/>
                <w:sz w:val="21"/>
                <w:szCs w:val="21"/>
                <w:highlight w:val="none"/>
                <w:lang w:val="en-US" w:eastAsia="zh-CN"/>
              </w:rPr>
            </w:pPr>
            <w:r>
              <w:rPr>
                <w:rStyle w:val="37"/>
                <w:rFonts w:hint="eastAsia" w:ascii="仿宋" w:hAnsi="仿宋" w:eastAsia="仿宋" w:cs="仿宋"/>
                <w:b w:val="0"/>
                <w:bCs w:val="0"/>
                <w:color w:val="auto"/>
                <w:sz w:val="21"/>
                <w:szCs w:val="21"/>
                <w:highlight w:val="none"/>
                <w:lang w:eastAsia="zh-CN"/>
              </w:rPr>
              <w:t>名称：</w:t>
            </w:r>
            <w:r>
              <w:rPr>
                <w:rStyle w:val="37"/>
                <w:rFonts w:hint="eastAsia" w:ascii="仿宋" w:hAnsi="仿宋" w:eastAsia="仿宋" w:cs="仿宋"/>
                <w:b w:val="0"/>
                <w:bCs w:val="0"/>
                <w:color w:val="auto"/>
                <w:sz w:val="21"/>
                <w:szCs w:val="21"/>
                <w:highlight w:val="none"/>
                <w:lang w:val="en-US" w:eastAsia="zh-CN"/>
              </w:rPr>
              <w:t>陕西省西咸新区沣西新城管理委员会</w:t>
            </w:r>
          </w:p>
          <w:p w14:paraId="2EA0E292">
            <w:pPr>
              <w:pStyle w:val="25"/>
              <w:widowControl w:val="0"/>
              <w:spacing w:beforeAutospacing="0" w:afterAutospacing="0" w:line="360" w:lineRule="auto"/>
              <w:ind w:firstLine="420" w:firstLineChars="200"/>
              <w:jc w:val="both"/>
              <w:rPr>
                <w:rStyle w:val="37"/>
                <w:rFonts w:hint="eastAsia" w:ascii="仿宋" w:hAnsi="仿宋" w:eastAsia="仿宋" w:cs="仿宋"/>
                <w:b w:val="0"/>
                <w:bCs w:val="0"/>
                <w:color w:val="auto"/>
                <w:sz w:val="21"/>
                <w:szCs w:val="21"/>
                <w:highlight w:val="none"/>
                <w:lang w:val="en-US" w:eastAsia="zh-CN"/>
              </w:rPr>
            </w:pPr>
            <w:r>
              <w:rPr>
                <w:rStyle w:val="37"/>
                <w:rFonts w:hint="eastAsia" w:ascii="仿宋" w:hAnsi="仿宋" w:eastAsia="仿宋" w:cs="仿宋"/>
                <w:b w:val="0"/>
                <w:bCs w:val="0"/>
                <w:color w:val="auto"/>
                <w:sz w:val="21"/>
                <w:szCs w:val="21"/>
                <w:highlight w:val="none"/>
                <w:lang w:val="en-US" w:eastAsia="zh-CN"/>
              </w:rPr>
              <w:t>（经办部门：陕西省西咸新区教育体育局（沣西）工作部）</w:t>
            </w:r>
          </w:p>
          <w:p w14:paraId="10F1C266">
            <w:pPr>
              <w:pStyle w:val="25"/>
              <w:widowControl w:val="0"/>
              <w:spacing w:beforeAutospacing="0" w:afterAutospacing="0" w:line="360" w:lineRule="auto"/>
              <w:jc w:val="both"/>
              <w:rPr>
                <w:rStyle w:val="37"/>
                <w:rFonts w:hint="eastAsia" w:ascii="仿宋" w:hAnsi="仿宋" w:eastAsia="仿宋" w:cs="仿宋"/>
                <w:b w:val="0"/>
                <w:bCs w:val="0"/>
                <w:color w:val="auto"/>
                <w:sz w:val="21"/>
                <w:szCs w:val="21"/>
                <w:highlight w:val="none"/>
                <w:lang w:eastAsia="zh-CN"/>
              </w:rPr>
            </w:pPr>
            <w:r>
              <w:rPr>
                <w:rStyle w:val="37"/>
                <w:rFonts w:hint="eastAsia" w:ascii="仿宋" w:hAnsi="仿宋" w:eastAsia="仿宋" w:cs="仿宋"/>
                <w:b w:val="0"/>
                <w:bCs w:val="0"/>
                <w:color w:val="auto"/>
                <w:sz w:val="21"/>
                <w:szCs w:val="21"/>
                <w:highlight w:val="none"/>
                <w:lang w:eastAsia="zh-CN"/>
              </w:rPr>
              <w:t>地址：陕西省西咸新区沣西新城管委会5号楼</w:t>
            </w:r>
            <w:r>
              <w:rPr>
                <w:rStyle w:val="37"/>
                <w:rFonts w:hint="eastAsia" w:ascii="仿宋" w:hAnsi="仿宋" w:eastAsia="仿宋" w:cs="仿宋"/>
                <w:b w:val="0"/>
                <w:bCs w:val="0"/>
                <w:color w:val="auto"/>
                <w:sz w:val="21"/>
                <w:szCs w:val="21"/>
                <w:highlight w:val="none"/>
                <w:lang w:val="en-US" w:eastAsia="zh-CN"/>
              </w:rPr>
              <w:t xml:space="preserve"> </w:t>
            </w:r>
          </w:p>
          <w:p w14:paraId="49A4019B">
            <w:pPr>
              <w:pStyle w:val="25"/>
              <w:widowControl w:val="0"/>
              <w:spacing w:beforeAutospacing="0" w:afterAutospacing="0" w:line="360" w:lineRule="auto"/>
              <w:jc w:val="both"/>
              <w:rPr>
                <w:rFonts w:hint="default" w:ascii="仿宋" w:hAnsi="仿宋" w:eastAsia="仿宋" w:cs="仿宋"/>
                <w:b w:val="0"/>
                <w:bCs w:val="0"/>
                <w:color w:val="auto"/>
                <w:kern w:val="0"/>
                <w:sz w:val="21"/>
                <w:szCs w:val="21"/>
                <w:highlight w:val="none"/>
                <w:lang w:val="en-US" w:eastAsia="zh-CN" w:bidi="ar-SA"/>
              </w:rPr>
            </w:pPr>
            <w:r>
              <w:rPr>
                <w:rStyle w:val="37"/>
                <w:rFonts w:hint="eastAsia" w:ascii="仿宋" w:hAnsi="仿宋" w:eastAsia="仿宋" w:cs="仿宋"/>
                <w:b w:val="0"/>
                <w:bCs w:val="0"/>
                <w:color w:val="auto"/>
                <w:sz w:val="21"/>
                <w:szCs w:val="21"/>
                <w:highlight w:val="none"/>
                <w:lang w:eastAsia="zh-CN"/>
              </w:rPr>
              <w:t>联系人：</w:t>
            </w:r>
            <w:r>
              <w:rPr>
                <w:rStyle w:val="37"/>
                <w:rFonts w:hint="eastAsia" w:ascii="仿宋" w:hAnsi="仿宋" w:eastAsia="仿宋" w:cs="仿宋"/>
                <w:b w:val="0"/>
                <w:bCs w:val="0"/>
                <w:color w:val="auto"/>
                <w:sz w:val="21"/>
                <w:szCs w:val="21"/>
                <w:highlight w:val="none"/>
                <w:lang w:val="en-US" w:eastAsia="zh-CN"/>
              </w:rPr>
              <w:t>张老师</w:t>
            </w:r>
          </w:p>
          <w:p w14:paraId="016C8BB6">
            <w:pPr>
              <w:pStyle w:val="25"/>
              <w:widowControl w:val="0"/>
              <w:spacing w:beforeAutospacing="0" w:afterAutospacing="0" w:line="360" w:lineRule="auto"/>
              <w:jc w:val="both"/>
              <w:rPr>
                <w:rStyle w:val="37"/>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kern w:val="0"/>
                <w:sz w:val="21"/>
                <w:szCs w:val="21"/>
                <w:highlight w:val="none"/>
                <w:lang w:val="en-US" w:eastAsia="zh-CN" w:bidi="ar-SA"/>
              </w:rPr>
              <w:t xml:space="preserve">联系方式：029-38021660 </w:t>
            </w:r>
          </w:p>
        </w:tc>
      </w:tr>
      <w:tr w14:paraId="2EE3A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2EE2B425">
            <w:pPr>
              <w:widowControl w:val="0"/>
              <w:spacing w:line="360"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1.1.3</w:t>
            </w:r>
          </w:p>
        </w:tc>
        <w:tc>
          <w:tcPr>
            <w:tcW w:w="1932" w:type="dxa"/>
            <w:tcBorders>
              <w:top w:val="single" w:color="000000" w:sz="6" w:space="0"/>
              <w:left w:val="single" w:color="000000" w:sz="6" w:space="0"/>
              <w:bottom w:val="single" w:color="000000" w:sz="6" w:space="0"/>
              <w:right w:val="single" w:color="000000" w:sz="6" w:space="0"/>
            </w:tcBorders>
            <w:vAlign w:val="center"/>
          </w:tcPr>
          <w:p w14:paraId="79317E1D">
            <w:pPr>
              <w:widowControl w:val="0"/>
              <w:spacing w:line="360"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采购代理机构</w:t>
            </w:r>
          </w:p>
        </w:tc>
        <w:tc>
          <w:tcPr>
            <w:tcW w:w="6064" w:type="dxa"/>
            <w:tcBorders>
              <w:top w:val="single" w:color="000000" w:sz="6" w:space="0"/>
              <w:left w:val="single" w:color="000000" w:sz="6" w:space="0"/>
              <w:bottom w:val="single" w:color="000000" w:sz="6" w:space="0"/>
              <w:right w:val="single" w:color="000000" w:sz="6" w:space="0"/>
            </w:tcBorders>
          </w:tcPr>
          <w:p w14:paraId="0F8E8793">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名称：陕西正明项目管理有限公司</w:t>
            </w:r>
          </w:p>
          <w:p w14:paraId="2F11F2EB">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地址：陕西省西安市雁塔区科技二路71号竹园天寰国际1807室</w:t>
            </w:r>
          </w:p>
          <w:p w14:paraId="79FB21B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jc w:val="both"/>
              <w:textAlignment w:val="baseline"/>
              <w:rPr>
                <w:rStyle w:val="37"/>
                <w:rFonts w:hint="eastAsia"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联系人：</w:t>
            </w:r>
            <w:r>
              <w:rPr>
                <w:rStyle w:val="37"/>
                <w:rFonts w:hint="eastAsia" w:ascii="仿宋" w:hAnsi="仿宋" w:eastAsia="仿宋" w:cs="仿宋"/>
                <w:color w:val="auto"/>
                <w:sz w:val="21"/>
                <w:szCs w:val="21"/>
                <w:highlight w:val="none"/>
                <w:lang w:val="en-US" w:eastAsia="zh-CN"/>
              </w:rPr>
              <w:t>薛巧、任冰倩、</w:t>
            </w:r>
            <w:r>
              <w:rPr>
                <w:rStyle w:val="37"/>
                <w:rFonts w:hint="eastAsia" w:ascii="仿宋" w:hAnsi="仿宋" w:eastAsia="仿宋" w:cs="仿宋"/>
                <w:color w:val="auto"/>
                <w:sz w:val="21"/>
                <w:szCs w:val="21"/>
                <w:highlight w:val="none"/>
              </w:rPr>
              <w:t>樊睿</w:t>
            </w:r>
          </w:p>
          <w:p w14:paraId="7019D74B">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联系方式：029-88811335</w:t>
            </w:r>
          </w:p>
          <w:p w14:paraId="32535AB2">
            <w:pPr>
              <w:widowControl w:val="0"/>
              <w:spacing w:line="288" w:lineRule="auto"/>
              <w:rPr>
                <w:rStyle w:val="37"/>
                <w:rFonts w:ascii="仿宋" w:hAnsi="仿宋" w:eastAsia="仿宋" w:cs="仿宋"/>
                <w:color w:val="auto"/>
                <w:highlight w:val="none"/>
              </w:rPr>
            </w:pPr>
            <w:r>
              <w:rPr>
                <w:rStyle w:val="37"/>
                <w:rFonts w:hint="eastAsia" w:ascii="仿宋" w:hAnsi="仿宋" w:eastAsia="仿宋" w:cs="仿宋"/>
                <w:color w:val="auto"/>
                <w:sz w:val="21"/>
                <w:szCs w:val="21"/>
                <w:highlight w:val="none"/>
              </w:rPr>
              <w:t>电子邮件：sxzmxmgl@163.com</w:t>
            </w:r>
          </w:p>
        </w:tc>
      </w:tr>
      <w:tr w14:paraId="0B7F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2009399E">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1.1.4</w:t>
            </w:r>
          </w:p>
        </w:tc>
        <w:tc>
          <w:tcPr>
            <w:tcW w:w="1932" w:type="dxa"/>
            <w:tcBorders>
              <w:top w:val="single" w:color="000000" w:sz="6" w:space="0"/>
              <w:left w:val="single" w:color="000000" w:sz="6" w:space="0"/>
              <w:bottom w:val="single" w:color="000000" w:sz="6" w:space="0"/>
              <w:right w:val="single" w:color="000000" w:sz="6" w:space="0"/>
            </w:tcBorders>
            <w:vAlign w:val="center"/>
          </w:tcPr>
          <w:p w14:paraId="2698AEDD">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监督单位</w:t>
            </w:r>
          </w:p>
        </w:tc>
        <w:tc>
          <w:tcPr>
            <w:tcW w:w="6064" w:type="dxa"/>
            <w:tcBorders>
              <w:top w:val="single" w:color="000000" w:sz="6" w:space="0"/>
              <w:left w:val="single" w:color="000000" w:sz="6" w:space="0"/>
              <w:bottom w:val="single" w:color="000000" w:sz="6" w:space="0"/>
              <w:right w:val="single" w:color="000000" w:sz="6" w:space="0"/>
            </w:tcBorders>
            <w:vAlign w:val="center"/>
          </w:tcPr>
          <w:p w14:paraId="4349CD5D">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同级人民政府财政部门</w:t>
            </w:r>
          </w:p>
        </w:tc>
      </w:tr>
      <w:tr w14:paraId="6D5CA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06A8F9B3">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1.1.5</w:t>
            </w:r>
          </w:p>
        </w:tc>
        <w:tc>
          <w:tcPr>
            <w:tcW w:w="1932" w:type="dxa"/>
            <w:tcBorders>
              <w:top w:val="single" w:color="000000" w:sz="6" w:space="0"/>
              <w:left w:val="single" w:color="000000" w:sz="6" w:space="0"/>
              <w:bottom w:val="single" w:color="000000" w:sz="6" w:space="0"/>
              <w:right w:val="single" w:color="000000" w:sz="6" w:space="0"/>
            </w:tcBorders>
            <w:vAlign w:val="center"/>
          </w:tcPr>
          <w:p w14:paraId="7EFABFEF">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项目名称</w:t>
            </w:r>
          </w:p>
        </w:tc>
        <w:tc>
          <w:tcPr>
            <w:tcW w:w="6064" w:type="dxa"/>
            <w:tcBorders>
              <w:top w:val="single" w:color="000000" w:sz="6" w:space="0"/>
              <w:left w:val="single" w:color="000000" w:sz="6" w:space="0"/>
              <w:bottom w:val="single" w:color="000000" w:sz="6" w:space="0"/>
              <w:right w:val="single" w:color="000000" w:sz="6" w:space="0"/>
            </w:tcBorders>
            <w:vAlign w:val="center"/>
          </w:tcPr>
          <w:p w14:paraId="5AC479D9">
            <w:pPr>
              <w:widowControl w:val="0"/>
              <w:spacing w:line="312" w:lineRule="auto"/>
              <w:rPr>
                <w:rStyle w:val="37"/>
                <w:rFonts w:hint="eastAsia" w:ascii="仿宋" w:hAnsi="仿宋" w:eastAsia="仿宋" w:cs="仿宋"/>
                <w:color w:val="auto"/>
                <w:sz w:val="21"/>
                <w:szCs w:val="21"/>
                <w:highlight w:val="none"/>
                <w:lang w:eastAsia="zh-CN"/>
              </w:rPr>
            </w:pPr>
            <w:r>
              <w:rPr>
                <w:rStyle w:val="37"/>
                <w:rFonts w:hint="eastAsia" w:ascii="仿宋" w:hAnsi="仿宋" w:eastAsia="仿宋" w:cs="仿宋"/>
                <w:color w:val="auto"/>
                <w:sz w:val="21"/>
                <w:szCs w:val="21"/>
                <w:highlight w:val="none"/>
                <w:lang w:eastAsia="zh-CN"/>
              </w:rPr>
              <w:t>沣西新城2024-2025春季学期、2025-2026秋季学期营养改善计划食材采购（</w:t>
            </w:r>
            <w:r>
              <w:rPr>
                <w:rStyle w:val="37"/>
                <w:rFonts w:hint="eastAsia" w:ascii="仿宋" w:hAnsi="仿宋" w:eastAsia="仿宋" w:cs="仿宋"/>
                <w:color w:val="auto"/>
                <w:sz w:val="21"/>
                <w:szCs w:val="21"/>
                <w:highlight w:val="none"/>
                <w:lang w:val="en-US" w:eastAsia="zh-CN"/>
              </w:rPr>
              <w:t>二次</w:t>
            </w:r>
            <w:r>
              <w:rPr>
                <w:rStyle w:val="37"/>
                <w:rFonts w:hint="eastAsia" w:ascii="仿宋" w:hAnsi="仿宋" w:eastAsia="仿宋" w:cs="仿宋"/>
                <w:color w:val="auto"/>
                <w:sz w:val="21"/>
                <w:szCs w:val="21"/>
                <w:highlight w:val="none"/>
                <w:lang w:eastAsia="zh-CN"/>
              </w:rPr>
              <w:t>）</w:t>
            </w:r>
          </w:p>
        </w:tc>
      </w:tr>
      <w:tr w14:paraId="7FB9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6D21A0DF">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1.2.1</w:t>
            </w:r>
          </w:p>
        </w:tc>
        <w:tc>
          <w:tcPr>
            <w:tcW w:w="1932" w:type="dxa"/>
            <w:tcBorders>
              <w:top w:val="single" w:color="000000" w:sz="6" w:space="0"/>
              <w:left w:val="single" w:color="000000" w:sz="6" w:space="0"/>
              <w:bottom w:val="single" w:color="000000" w:sz="6" w:space="0"/>
              <w:right w:val="single" w:color="000000" w:sz="6" w:space="0"/>
            </w:tcBorders>
            <w:vAlign w:val="center"/>
          </w:tcPr>
          <w:p w14:paraId="1449B867">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资金来源</w:t>
            </w:r>
          </w:p>
        </w:tc>
        <w:tc>
          <w:tcPr>
            <w:tcW w:w="6064" w:type="dxa"/>
            <w:tcBorders>
              <w:top w:val="single" w:color="000000" w:sz="6" w:space="0"/>
              <w:left w:val="single" w:color="000000" w:sz="6" w:space="0"/>
              <w:bottom w:val="single" w:color="000000" w:sz="6" w:space="0"/>
              <w:right w:val="single" w:color="000000" w:sz="6" w:space="0"/>
            </w:tcBorders>
            <w:vAlign w:val="center"/>
          </w:tcPr>
          <w:p w14:paraId="3AE6D288">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财政资金</w:t>
            </w:r>
          </w:p>
        </w:tc>
      </w:tr>
      <w:tr w14:paraId="31572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791E7066">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1.2.2</w:t>
            </w:r>
          </w:p>
        </w:tc>
        <w:tc>
          <w:tcPr>
            <w:tcW w:w="1932" w:type="dxa"/>
            <w:tcBorders>
              <w:top w:val="single" w:color="000000" w:sz="6" w:space="0"/>
              <w:left w:val="single" w:color="000000" w:sz="6" w:space="0"/>
              <w:bottom w:val="single" w:color="000000" w:sz="6" w:space="0"/>
              <w:right w:val="single" w:color="000000" w:sz="6" w:space="0"/>
            </w:tcBorders>
            <w:vAlign w:val="center"/>
          </w:tcPr>
          <w:p w14:paraId="4905FE18">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资金落实情况</w:t>
            </w:r>
          </w:p>
        </w:tc>
        <w:tc>
          <w:tcPr>
            <w:tcW w:w="6064" w:type="dxa"/>
            <w:tcBorders>
              <w:top w:val="single" w:color="000000" w:sz="6" w:space="0"/>
              <w:left w:val="single" w:color="000000" w:sz="6" w:space="0"/>
              <w:bottom w:val="single" w:color="000000" w:sz="6" w:space="0"/>
              <w:right w:val="single" w:color="000000" w:sz="6" w:space="0"/>
            </w:tcBorders>
            <w:vAlign w:val="center"/>
          </w:tcPr>
          <w:p w14:paraId="4A1EB335">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已落实</w:t>
            </w:r>
          </w:p>
        </w:tc>
      </w:tr>
      <w:tr w14:paraId="0953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47DC1108">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1.3.1</w:t>
            </w:r>
          </w:p>
        </w:tc>
        <w:tc>
          <w:tcPr>
            <w:tcW w:w="1932" w:type="dxa"/>
            <w:tcBorders>
              <w:top w:val="single" w:color="000000" w:sz="6" w:space="0"/>
              <w:left w:val="single" w:color="000000" w:sz="6" w:space="0"/>
              <w:bottom w:val="single" w:color="000000" w:sz="6" w:space="0"/>
              <w:right w:val="single" w:color="000000" w:sz="6" w:space="0"/>
            </w:tcBorders>
            <w:vAlign w:val="center"/>
          </w:tcPr>
          <w:p w14:paraId="726F5FE6">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采购范围</w:t>
            </w:r>
          </w:p>
        </w:tc>
        <w:tc>
          <w:tcPr>
            <w:tcW w:w="6064" w:type="dxa"/>
            <w:tcBorders>
              <w:top w:val="single" w:color="000000" w:sz="6" w:space="0"/>
              <w:left w:val="single" w:color="000000" w:sz="6" w:space="0"/>
              <w:bottom w:val="single" w:color="000000" w:sz="6" w:space="0"/>
              <w:right w:val="single" w:color="000000" w:sz="6" w:space="0"/>
            </w:tcBorders>
            <w:vAlign w:val="center"/>
          </w:tcPr>
          <w:p w14:paraId="1A7E0E4F">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招标文件第四章规定的全部内容</w:t>
            </w:r>
          </w:p>
        </w:tc>
      </w:tr>
      <w:tr w14:paraId="167D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6A454148">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1.3.2</w:t>
            </w:r>
          </w:p>
        </w:tc>
        <w:tc>
          <w:tcPr>
            <w:tcW w:w="1932" w:type="dxa"/>
            <w:tcBorders>
              <w:top w:val="single" w:color="000000" w:sz="6" w:space="0"/>
              <w:left w:val="single" w:color="000000" w:sz="6" w:space="0"/>
              <w:bottom w:val="single" w:color="000000" w:sz="6" w:space="0"/>
              <w:right w:val="single" w:color="000000" w:sz="6" w:space="0"/>
            </w:tcBorders>
            <w:vAlign w:val="center"/>
          </w:tcPr>
          <w:p w14:paraId="5DB6F35C">
            <w:pPr>
              <w:widowControl w:val="0"/>
              <w:spacing w:line="288" w:lineRule="auto"/>
              <w:jc w:val="center"/>
              <w:rPr>
                <w:rStyle w:val="37"/>
                <w:rFonts w:hint="eastAsia" w:ascii="仿宋" w:hAnsi="仿宋" w:eastAsia="仿宋" w:cs="仿宋"/>
                <w:color w:val="auto"/>
                <w:sz w:val="21"/>
                <w:szCs w:val="21"/>
                <w:highlight w:val="none"/>
                <w:lang w:eastAsia="zh-CN"/>
              </w:rPr>
            </w:pPr>
            <w:r>
              <w:rPr>
                <w:rStyle w:val="37"/>
                <w:rFonts w:hint="eastAsia" w:ascii="仿宋" w:hAnsi="仿宋" w:eastAsia="仿宋" w:cs="仿宋"/>
                <w:color w:val="auto"/>
                <w:sz w:val="21"/>
                <w:szCs w:val="21"/>
                <w:highlight w:val="none"/>
                <w:lang w:val="en-US" w:eastAsia="zh-CN"/>
              </w:rPr>
              <w:t>服务期</w:t>
            </w:r>
          </w:p>
        </w:tc>
        <w:tc>
          <w:tcPr>
            <w:tcW w:w="6064" w:type="dxa"/>
            <w:tcBorders>
              <w:top w:val="single" w:color="000000" w:sz="6" w:space="0"/>
              <w:left w:val="single" w:color="000000" w:sz="6" w:space="0"/>
              <w:bottom w:val="single" w:color="000000" w:sz="6" w:space="0"/>
              <w:right w:val="single" w:color="000000" w:sz="6" w:space="0"/>
            </w:tcBorders>
            <w:vAlign w:val="center"/>
          </w:tcPr>
          <w:p w14:paraId="39E744F2">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lang w:val="en-US" w:eastAsia="zh-CN"/>
              </w:rPr>
              <w:t>自合同签订之日起一年。暂定配送周期为200日历天（仅针对学生在校时间），具体以实际在校人数及配送天数据实结算</w:t>
            </w:r>
            <w:r>
              <w:rPr>
                <w:rStyle w:val="37"/>
                <w:rFonts w:hint="eastAsia" w:ascii="仿宋" w:hAnsi="仿宋" w:eastAsia="仿宋" w:cs="仿宋"/>
                <w:color w:val="auto"/>
                <w:sz w:val="21"/>
                <w:szCs w:val="21"/>
                <w:highlight w:val="none"/>
              </w:rPr>
              <w:t>。</w:t>
            </w:r>
          </w:p>
        </w:tc>
      </w:tr>
      <w:tr w14:paraId="0ECB1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420E2895">
            <w:pPr>
              <w:widowControl w:val="0"/>
              <w:spacing w:line="288" w:lineRule="auto"/>
              <w:jc w:val="center"/>
              <w:rPr>
                <w:rStyle w:val="37"/>
                <w:rFonts w:hint="default" w:ascii="仿宋" w:hAnsi="仿宋" w:eastAsia="仿宋" w:cs="仿宋"/>
                <w:color w:val="auto"/>
                <w:sz w:val="21"/>
                <w:szCs w:val="21"/>
                <w:highlight w:val="none"/>
                <w:lang w:val="en-US" w:eastAsia="zh-CN"/>
              </w:rPr>
            </w:pPr>
            <w:r>
              <w:rPr>
                <w:rStyle w:val="37"/>
                <w:rFonts w:hint="eastAsia" w:ascii="仿宋" w:hAnsi="仿宋" w:eastAsia="仿宋" w:cs="仿宋"/>
                <w:color w:val="auto"/>
                <w:sz w:val="21"/>
                <w:szCs w:val="21"/>
                <w:highlight w:val="none"/>
                <w:lang w:val="en-US" w:eastAsia="zh-CN"/>
              </w:rPr>
              <w:t>1.3.3</w:t>
            </w:r>
          </w:p>
        </w:tc>
        <w:tc>
          <w:tcPr>
            <w:tcW w:w="1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AD898">
            <w:pPr>
              <w:widowControl w:val="0"/>
              <w:spacing w:line="288" w:lineRule="auto"/>
              <w:jc w:val="center"/>
              <w:rPr>
                <w:rFonts w:hint="eastAsia" w:ascii="仿宋" w:hAnsi="仿宋" w:eastAsia="仿宋" w:cs="仿宋"/>
                <w:color w:val="auto"/>
                <w:sz w:val="21"/>
                <w:szCs w:val="21"/>
                <w:highlight w:val="none"/>
                <w:lang w:val="en-US" w:eastAsia="zh-CN" w:bidi="ar-SA"/>
              </w:rPr>
            </w:pPr>
            <w:r>
              <w:rPr>
                <w:rStyle w:val="37"/>
                <w:rFonts w:hint="eastAsia" w:ascii="仿宋" w:hAnsi="仿宋" w:eastAsia="仿宋" w:cs="仿宋"/>
                <w:color w:val="auto"/>
                <w:sz w:val="21"/>
                <w:szCs w:val="21"/>
                <w:highlight w:val="none"/>
              </w:rPr>
              <w:t>服务地点</w:t>
            </w:r>
          </w:p>
        </w:tc>
        <w:tc>
          <w:tcPr>
            <w:tcW w:w="606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17B27">
            <w:pPr>
              <w:widowControl w:val="0"/>
              <w:spacing w:line="312" w:lineRule="auto"/>
              <w:rPr>
                <w:rFonts w:hint="eastAsia" w:ascii="仿宋" w:hAnsi="仿宋" w:eastAsia="仿宋" w:cs="仿宋"/>
                <w:color w:val="auto"/>
                <w:sz w:val="21"/>
                <w:szCs w:val="21"/>
                <w:highlight w:val="none"/>
                <w:lang w:val="en-US" w:eastAsia="zh-CN" w:bidi="ar-SA"/>
              </w:rPr>
            </w:pPr>
            <w:r>
              <w:rPr>
                <w:rStyle w:val="37"/>
                <w:rFonts w:hint="eastAsia" w:ascii="仿宋" w:hAnsi="仿宋" w:eastAsia="仿宋" w:cs="仿宋"/>
                <w:color w:val="auto"/>
                <w:sz w:val="21"/>
                <w:szCs w:val="21"/>
                <w:highlight w:val="none"/>
              </w:rPr>
              <w:t>采购人指定地点</w:t>
            </w:r>
          </w:p>
        </w:tc>
      </w:tr>
      <w:tr w14:paraId="2D423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731F20B4">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1.4.1</w:t>
            </w:r>
          </w:p>
        </w:tc>
        <w:tc>
          <w:tcPr>
            <w:tcW w:w="1932" w:type="dxa"/>
            <w:tcBorders>
              <w:top w:val="single" w:color="000000" w:sz="6" w:space="0"/>
              <w:left w:val="single" w:color="000000" w:sz="6" w:space="0"/>
              <w:bottom w:val="single" w:color="000000" w:sz="6" w:space="0"/>
              <w:right w:val="single" w:color="000000" w:sz="6" w:space="0"/>
            </w:tcBorders>
            <w:vAlign w:val="center"/>
          </w:tcPr>
          <w:p w14:paraId="222D3BCA">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供应商资格要求</w:t>
            </w:r>
          </w:p>
        </w:tc>
        <w:tc>
          <w:tcPr>
            <w:tcW w:w="6064" w:type="dxa"/>
            <w:tcBorders>
              <w:top w:val="single" w:color="000000" w:sz="6" w:space="0"/>
              <w:left w:val="single" w:color="000000" w:sz="6" w:space="0"/>
              <w:bottom w:val="single" w:color="000000" w:sz="6" w:space="0"/>
              <w:right w:val="single" w:color="000000" w:sz="6" w:space="0"/>
            </w:tcBorders>
            <w:vAlign w:val="center"/>
          </w:tcPr>
          <w:p w14:paraId="2D61DF11">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rPr>
              <w:t>营业执照等主体资格证明文件：提供有效存续的企业营业执照（副本）/事业单位法人证书/专业服务机构执业许可证/民办非企业单位登记证书</w:t>
            </w:r>
            <w:r>
              <w:rPr>
                <w:rFonts w:hint="eastAsia" w:ascii="仿宋" w:hAnsi="仿宋" w:eastAsia="仿宋" w:cs="仿宋"/>
                <w:color w:val="auto"/>
                <w:sz w:val="21"/>
                <w:szCs w:val="21"/>
                <w:highlight w:val="none"/>
                <w:lang w:val="en-US" w:eastAsia="zh-CN"/>
              </w:rPr>
              <w:t>/自然人身份证明</w:t>
            </w:r>
            <w:r>
              <w:rPr>
                <w:rFonts w:hint="eastAsia" w:ascii="仿宋" w:hAnsi="仿宋" w:eastAsia="仿宋" w:cs="仿宋"/>
                <w:color w:val="auto"/>
                <w:sz w:val="21"/>
                <w:szCs w:val="21"/>
                <w:highlight w:val="none"/>
              </w:rPr>
              <w:t>；</w:t>
            </w:r>
          </w:p>
          <w:p w14:paraId="355FF711">
            <w:pPr>
              <w:widowControl w:val="0"/>
              <w:spacing w:line="312" w:lineRule="auto"/>
              <w:rPr>
                <w:rStyle w:val="37"/>
                <w:rFonts w:hint="eastAsia"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2、基本资格条件：提供《基本资格条件承诺函》，供应商应对承诺内容的真实性、合法性、有效性负责。经调查核实为虚假承诺的，视同为“提供虚假材料谋取中标、成交”的违法行为，依照《中华人民共和国政府采购法》等法律法规追究相应责任。</w:t>
            </w:r>
          </w:p>
          <w:p w14:paraId="178F2BEA">
            <w:pPr>
              <w:widowControl w:val="0"/>
              <w:spacing w:line="312" w:lineRule="auto"/>
              <w:rPr>
                <w:rStyle w:val="37"/>
                <w:rFonts w:hint="eastAsia"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lang w:val="en-US" w:eastAsia="zh-CN"/>
              </w:rPr>
              <w:t>备注：</w:t>
            </w:r>
            <w:r>
              <w:rPr>
                <w:rStyle w:val="37"/>
                <w:rFonts w:hint="eastAsia" w:ascii="仿宋" w:hAnsi="仿宋" w:eastAsia="仿宋" w:cs="仿宋"/>
                <w:color w:val="auto"/>
                <w:sz w:val="21"/>
                <w:szCs w:val="21"/>
                <w:highlight w:val="none"/>
              </w:rPr>
              <w:t>不提供《基本资格条件承诺函》的供应商需提交如下资格证明文件：</w:t>
            </w:r>
          </w:p>
          <w:p w14:paraId="143AD15F">
            <w:pPr>
              <w:widowControl w:val="0"/>
              <w:spacing w:line="312" w:lineRule="auto"/>
              <w:rPr>
                <w:rStyle w:val="37"/>
                <w:rFonts w:hint="eastAsia"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①财务状况报告：提供具有经审计资质单位出具的</w:t>
            </w:r>
            <w:r>
              <w:rPr>
                <w:rStyle w:val="37"/>
                <w:rFonts w:hint="eastAsia" w:ascii="仿宋" w:hAnsi="仿宋" w:eastAsia="仿宋" w:cs="仿宋"/>
                <w:color w:val="auto"/>
                <w:sz w:val="21"/>
                <w:szCs w:val="21"/>
                <w:highlight w:val="none"/>
                <w:lang w:eastAsia="zh-CN"/>
              </w:rPr>
              <w:t>2023年度或2024年度</w:t>
            </w:r>
            <w:r>
              <w:rPr>
                <w:rStyle w:val="37"/>
                <w:rFonts w:hint="eastAsia" w:ascii="仿宋" w:hAnsi="仿宋" w:eastAsia="仿宋" w:cs="仿宋"/>
                <w:color w:val="auto"/>
                <w:sz w:val="21"/>
                <w:szCs w:val="21"/>
                <w:highlight w:val="none"/>
              </w:rPr>
              <w:t>的财务审计报告，成立时间至提交</w:t>
            </w:r>
            <w:r>
              <w:rPr>
                <w:rStyle w:val="37"/>
                <w:rFonts w:hint="eastAsia" w:ascii="仿宋" w:hAnsi="仿宋" w:eastAsia="仿宋" w:cs="仿宋"/>
                <w:color w:val="auto"/>
                <w:sz w:val="21"/>
                <w:szCs w:val="21"/>
                <w:highlight w:val="none"/>
                <w:lang w:val="en-US" w:eastAsia="zh-CN"/>
              </w:rPr>
              <w:t>投标</w:t>
            </w:r>
            <w:r>
              <w:rPr>
                <w:rStyle w:val="37"/>
                <w:rFonts w:hint="eastAsia" w:ascii="仿宋" w:hAnsi="仿宋" w:eastAsia="仿宋" w:cs="仿宋"/>
                <w:color w:val="auto"/>
                <w:sz w:val="21"/>
                <w:szCs w:val="21"/>
                <w:highlight w:val="none"/>
              </w:rPr>
              <w:t>文件截止时间不足一年的可提供成立后任意时段的资产负债表；或其开标前六个月内基本存款账户开户银行出具的资信证明。（以上两种形式的资料提供任何一种即可）；</w:t>
            </w:r>
          </w:p>
          <w:p w14:paraId="6A462031">
            <w:pPr>
              <w:widowControl w:val="0"/>
              <w:spacing w:line="312" w:lineRule="auto"/>
              <w:rPr>
                <w:rStyle w:val="37"/>
                <w:rFonts w:hint="eastAsia"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②提供具有履行合同所必需的设备和专业技术能力的承诺；</w:t>
            </w:r>
          </w:p>
          <w:p w14:paraId="3377306B">
            <w:pPr>
              <w:widowControl w:val="0"/>
              <w:spacing w:line="312" w:lineRule="auto"/>
              <w:rPr>
                <w:rStyle w:val="37"/>
                <w:rFonts w:hint="eastAsia"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③</w:t>
            </w:r>
            <w:r>
              <w:rPr>
                <w:rStyle w:val="37"/>
                <w:rFonts w:hint="eastAsia" w:ascii="仿宋" w:hAnsi="仿宋" w:eastAsia="仿宋" w:cs="仿宋"/>
                <w:color w:val="auto"/>
                <w:sz w:val="21"/>
                <w:szCs w:val="21"/>
                <w:highlight w:val="none"/>
                <w:lang w:eastAsia="zh-CN"/>
              </w:rPr>
              <w:t>提供开标时间前6个月</w:t>
            </w:r>
            <w:r>
              <w:rPr>
                <w:rStyle w:val="37"/>
                <w:rFonts w:hint="eastAsia" w:ascii="仿宋" w:hAnsi="仿宋" w:eastAsia="仿宋" w:cs="仿宋"/>
                <w:color w:val="auto"/>
                <w:sz w:val="21"/>
                <w:szCs w:val="21"/>
                <w:highlight w:val="none"/>
              </w:rPr>
              <w:t>内任意时段的纳税证明或完税证明（除印花税外任意税种），纳税证明或完税证明上应有代收机构或税务机关的公章或业务专用章。依法免税的供应商应提供相关文件证明；</w:t>
            </w:r>
          </w:p>
          <w:p w14:paraId="0586CCCA">
            <w:pPr>
              <w:widowControl w:val="0"/>
              <w:spacing w:line="312" w:lineRule="auto"/>
              <w:rPr>
                <w:rStyle w:val="37"/>
                <w:rFonts w:hint="eastAsia"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④</w:t>
            </w:r>
            <w:r>
              <w:rPr>
                <w:rStyle w:val="37"/>
                <w:rFonts w:hint="eastAsia" w:ascii="仿宋" w:hAnsi="仿宋" w:eastAsia="仿宋" w:cs="仿宋"/>
                <w:color w:val="auto"/>
                <w:sz w:val="21"/>
                <w:szCs w:val="21"/>
                <w:highlight w:val="none"/>
                <w:lang w:eastAsia="zh-CN"/>
              </w:rPr>
              <w:t>提供开标时间前6个月</w:t>
            </w:r>
            <w:r>
              <w:rPr>
                <w:rStyle w:val="37"/>
                <w:rFonts w:hint="eastAsia" w:ascii="仿宋" w:hAnsi="仿宋" w:eastAsia="仿宋" w:cs="仿宋"/>
                <w:color w:val="auto"/>
                <w:sz w:val="21"/>
                <w:szCs w:val="21"/>
                <w:highlight w:val="none"/>
              </w:rPr>
              <w:t>内任意时段的社会保障资金缴存单据或社保机构开具的社会保险参保缴费情况证明，依法不需要缴纳社会保障资金的单位应提供相关证明材料；</w:t>
            </w:r>
          </w:p>
          <w:p w14:paraId="5EE4A920">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⑤参加政府采购活动前3年内，在经营活动中没有重大违法记录的书面声明；</w:t>
            </w:r>
          </w:p>
          <w:p w14:paraId="4A80708A">
            <w:pPr>
              <w:widowControl w:val="0"/>
              <w:spacing w:line="312" w:lineRule="auto"/>
              <w:rPr>
                <w:rStyle w:val="37"/>
                <w:rFonts w:hint="eastAsia" w:ascii="仿宋" w:hAnsi="仿宋" w:eastAsia="仿宋" w:cs="仿宋"/>
                <w:color w:val="auto"/>
                <w:sz w:val="21"/>
                <w:szCs w:val="21"/>
                <w:highlight w:val="none"/>
                <w:lang w:eastAsia="zh-CN"/>
              </w:rPr>
            </w:pPr>
            <w:r>
              <w:rPr>
                <w:rStyle w:val="37"/>
                <w:rFonts w:hint="eastAsia" w:ascii="仿宋" w:hAnsi="仿宋" w:eastAsia="仿宋" w:cs="仿宋"/>
                <w:color w:val="auto"/>
                <w:sz w:val="21"/>
                <w:szCs w:val="21"/>
                <w:highlight w:val="none"/>
                <w:lang w:val="en-US" w:eastAsia="zh-CN"/>
              </w:rPr>
              <w:t>3、法定代表人（或负责人）身份证明/法定代表人（或负责人）授权委托书：法定代表人（或负责人）直接参加投标的，须提供法定代表人（或负责人）身份证明及其身份证电子件或扫描件；法定代表人（或负责人）授权他人参加投标的，须提供法定代表人（或负责人）授权委托书（附法定代表人（或负责人）、被授权人身份证电子件或扫描件）</w:t>
            </w:r>
            <w:r>
              <w:rPr>
                <w:rStyle w:val="37"/>
                <w:rFonts w:hint="eastAsia" w:ascii="仿宋" w:hAnsi="仿宋" w:eastAsia="仿宋" w:cs="仿宋"/>
                <w:color w:val="auto"/>
                <w:sz w:val="21"/>
                <w:szCs w:val="21"/>
                <w:highlight w:val="none"/>
                <w:lang w:eastAsia="zh-CN"/>
              </w:rPr>
              <w:t>；</w:t>
            </w:r>
          </w:p>
          <w:p w14:paraId="2AAAC054">
            <w:pPr>
              <w:widowControl w:val="0"/>
              <w:spacing w:line="312" w:lineRule="auto"/>
              <w:rPr>
                <w:rStyle w:val="37"/>
                <w:rFonts w:hint="eastAsia" w:ascii="仿宋" w:hAnsi="仿宋" w:eastAsia="仿宋" w:cs="仿宋"/>
                <w:color w:val="auto"/>
                <w:sz w:val="21"/>
                <w:szCs w:val="21"/>
                <w:highlight w:val="none"/>
                <w:lang w:val="en-US" w:eastAsia="zh-CN"/>
              </w:rPr>
            </w:pPr>
            <w:r>
              <w:rPr>
                <w:rStyle w:val="37"/>
                <w:rFonts w:hint="eastAsia" w:ascii="仿宋" w:hAnsi="仿宋" w:eastAsia="仿宋" w:cs="仿宋"/>
                <w:color w:val="auto"/>
                <w:sz w:val="21"/>
                <w:szCs w:val="21"/>
                <w:highlight w:val="none"/>
                <w:lang w:val="en-US" w:eastAsia="zh-CN"/>
              </w:rPr>
              <w:t>4、供应商为生产厂家的须具有《食品生产许可证》和《食品经营许可证》（米、面、油必须提供）、《动物防疫条件合格证》（仅肉类）；供应商为代理商的须提供《食品经营许可证》，并提供所代理产品生产厂家的《食品生产许可证》（米、面、油必须提供）、《动物防疫条件合格证》（仅肉类）；</w:t>
            </w:r>
          </w:p>
          <w:p w14:paraId="1B8532EE">
            <w:pPr>
              <w:widowControl w:val="0"/>
              <w:spacing w:line="312" w:lineRule="auto"/>
              <w:rPr>
                <w:rStyle w:val="37"/>
                <w:rFonts w:hint="eastAsia" w:ascii="仿宋" w:hAnsi="仿宋" w:eastAsia="仿宋" w:cs="仿宋"/>
                <w:color w:val="auto"/>
                <w:sz w:val="21"/>
                <w:szCs w:val="21"/>
                <w:highlight w:val="none"/>
                <w:lang w:eastAsia="zh-CN"/>
              </w:rPr>
            </w:pPr>
            <w:r>
              <w:rPr>
                <w:rStyle w:val="37"/>
                <w:rFonts w:hint="eastAsia" w:ascii="仿宋" w:hAnsi="仿宋" w:eastAsia="仿宋" w:cs="仿宋"/>
                <w:color w:val="auto"/>
                <w:sz w:val="21"/>
                <w:szCs w:val="21"/>
                <w:highlight w:val="none"/>
                <w:lang w:val="en-US" w:eastAsia="zh-CN"/>
              </w:rPr>
              <w:t>5</w:t>
            </w:r>
            <w:r>
              <w:rPr>
                <w:rStyle w:val="37"/>
                <w:rFonts w:hint="eastAsia" w:ascii="仿宋" w:hAnsi="仿宋" w:eastAsia="仿宋" w:cs="仿宋"/>
                <w:color w:val="auto"/>
                <w:sz w:val="21"/>
                <w:szCs w:val="21"/>
                <w:highlight w:val="none"/>
                <w:lang w:eastAsia="zh-CN"/>
              </w:rPr>
              <w:t>、供应商在投标截止日近两年内，在同类营养改善项目供货过程中因存在食品安全问题导致产品一级召回或二级召回的不得参与本次投标。供应商需提供2年内在同类营养改善项目供货过程中没有因食品安全问题导致产品一级召回或二级召回的书面声明（格式自拟）；</w:t>
            </w:r>
          </w:p>
          <w:p w14:paraId="4B8E0A5C">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lang w:val="en-US" w:eastAsia="zh-CN"/>
              </w:rPr>
              <w:t>6</w:t>
            </w:r>
            <w:r>
              <w:rPr>
                <w:rStyle w:val="37"/>
                <w:rFonts w:hint="eastAsia" w:ascii="仿宋" w:hAnsi="仿宋" w:eastAsia="仿宋" w:cs="仿宋"/>
                <w:color w:val="auto"/>
                <w:sz w:val="21"/>
                <w:szCs w:val="21"/>
                <w:highlight w:val="none"/>
              </w:rPr>
              <w:t>、信用记录：</w:t>
            </w:r>
            <w:r>
              <w:rPr>
                <w:rStyle w:val="37"/>
                <w:rFonts w:hint="eastAsia" w:ascii="仿宋" w:hAnsi="仿宋" w:eastAsia="仿宋" w:cs="仿宋"/>
                <w:color w:val="auto"/>
                <w:sz w:val="21"/>
                <w:szCs w:val="21"/>
                <w:highlight w:val="none"/>
                <w:lang w:eastAsia="zh-CN"/>
              </w:rPr>
              <w:t>供应商不得为“信用中国”网站（www.creditchina.gov.cn）中列入失信被执行人（页面跳转至“中国执行信息公开网”http://zxgk.court.gov.cn/shixin/）和重大税收违法</w:t>
            </w:r>
            <w:r>
              <w:rPr>
                <w:rStyle w:val="37"/>
                <w:rFonts w:hint="eastAsia" w:ascii="仿宋" w:hAnsi="仿宋" w:eastAsia="仿宋" w:cs="仿宋"/>
                <w:color w:val="auto"/>
                <w:sz w:val="21"/>
                <w:szCs w:val="21"/>
                <w:highlight w:val="none"/>
                <w:lang w:val="en-US" w:eastAsia="zh-CN"/>
              </w:rPr>
              <w:t>失信主体</w:t>
            </w:r>
            <w:r>
              <w:rPr>
                <w:rStyle w:val="37"/>
                <w:rFonts w:hint="eastAsia" w:ascii="仿宋" w:hAnsi="仿宋" w:eastAsia="仿宋" w:cs="仿宋"/>
                <w:color w:val="auto"/>
                <w:sz w:val="21"/>
                <w:szCs w:val="21"/>
                <w:highlight w:val="none"/>
                <w:lang w:eastAsia="zh-CN"/>
              </w:rPr>
              <w:t>名单的供应商，不得为中国政府采购网（www.ccgp.gov.cn）政府采购严重违法失信行为记录名单中被财政部门禁止参加政府采购活动的供应商</w:t>
            </w:r>
            <w:r>
              <w:rPr>
                <w:rStyle w:val="37"/>
                <w:rFonts w:hint="eastAsia" w:ascii="仿宋" w:hAnsi="仿宋" w:eastAsia="仿宋" w:cs="仿宋"/>
                <w:color w:val="auto"/>
                <w:sz w:val="21"/>
                <w:szCs w:val="21"/>
                <w:highlight w:val="none"/>
              </w:rPr>
              <w:t>。</w:t>
            </w:r>
          </w:p>
          <w:p w14:paraId="1D46F3F9">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lang w:val="en-US" w:eastAsia="zh-CN"/>
              </w:rPr>
              <w:t>7</w:t>
            </w:r>
            <w:r>
              <w:rPr>
                <w:rStyle w:val="37"/>
                <w:rFonts w:hint="eastAsia" w:ascii="仿宋" w:hAnsi="仿宋" w:eastAsia="仿宋" w:cs="仿宋"/>
                <w:color w:val="auto"/>
                <w:sz w:val="21"/>
                <w:szCs w:val="21"/>
                <w:highlight w:val="none"/>
              </w:rPr>
              <w:t>、控股管理关系：单位负责人为同一人或者存在直接控股、管理关系的供应商，不得参加同一合同下的政府采购活动。</w:t>
            </w:r>
          </w:p>
          <w:p w14:paraId="0BE3172C">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lang w:val="en-US" w:eastAsia="zh-CN"/>
              </w:rPr>
              <w:t>8</w:t>
            </w:r>
            <w:r>
              <w:rPr>
                <w:rStyle w:val="37"/>
                <w:rFonts w:hint="eastAsia" w:ascii="仿宋" w:hAnsi="仿宋" w:eastAsia="仿宋" w:cs="仿宋"/>
                <w:color w:val="auto"/>
                <w:sz w:val="21"/>
                <w:szCs w:val="21"/>
                <w:highlight w:val="none"/>
              </w:rPr>
              <w:t>、供应商书面声明：供应商未为本项目提供整体设计、规范编制或者项目管理、监理、检测等服务的书面声明。</w:t>
            </w:r>
          </w:p>
          <w:p w14:paraId="50A2929E">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lang w:val="en-US" w:eastAsia="zh-CN"/>
              </w:rPr>
              <w:t>9</w:t>
            </w:r>
            <w:r>
              <w:rPr>
                <w:rStyle w:val="37"/>
                <w:rFonts w:hint="eastAsia" w:ascii="仿宋" w:hAnsi="仿宋" w:eastAsia="仿宋" w:cs="仿宋"/>
                <w:color w:val="auto"/>
                <w:sz w:val="21"/>
                <w:szCs w:val="21"/>
                <w:highlight w:val="none"/>
              </w:rPr>
              <w:t>、供应商参与投标的承诺函。</w:t>
            </w:r>
          </w:p>
          <w:p w14:paraId="01190B29">
            <w:pPr>
              <w:pStyle w:val="40"/>
              <w:widowControl w:val="0"/>
              <w:rPr>
                <w:rStyle w:val="37"/>
                <w:rFonts w:ascii="仿宋" w:hAnsi="仿宋" w:eastAsia="仿宋" w:cs="仿宋"/>
                <w:color w:val="auto"/>
                <w:highlight w:val="none"/>
              </w:rPr>
            </w:pPr>
            <w:r>
              <w:rPr>
                <w:rStyle w:val="37"/>
                <w:rFonts w:hint="eastAsia" w:ascii="仿宋" w:hAnsi="仿宋" w:eastAsia="仿宋" w:cs="仿宋"/>
                <w:color w:val="auto"/>
                <w:kern w:val="28"/>
                <w:szCs w:val="21"/>
                <w:highlight w:val="none"/>
                <w:lang w:val="en-US" w:eastAsia="zh-CN"/>
              </w:rPr>
              <w:t>10</w:t>
            </w:r>
            <w:r>
              <w:rPr>
                <w:rStyle w:val="37"/>
                <w:rFonts w:hint="eastAsia" w:ascii="仿宋" w:hAnsi="仿宋" w:eastAsia="仿宋" w:cs="仿宋"/>
                <w:color w:val="auto"/>
                <w:kern w:val="28"/>
                <w:szCs w:val="21"/>
                <w:highlight w:val="none"/>
              </w:rPr>
              <w:t>、本项目不接受联合体投标，不允许分包。</w:t>
            </w:r>
          </w:p>
        </w:tc>
      </w:tr>
      <w:tr w14:paraId="2DB6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68E2157D">
            <w:pPr>
              <w:widowControl w:val="0"/>
              <w:spacing w:line="288" w:lineRule="auto"/>
              <w:ind w:left="48" w:leftChars="2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1.4.2</w:t>
            </w:r>
          </w:p>
        </w:tc>
        <w:tc>
          <w:tcPr>
            <w:tcW w:w="1932" w:type="dxa"/>
            <w:tcBorders>
              <w:top w:val="single" w:color="000000" w:sz="6" w:space="0"/>
              <w:left w:val="single" w:color="000000" w:sz="6" w:space="0"/>
              <w:bottom w:val="single" w:color="000000" w:sz="6" w:space="0"/>
              <w:right w:val="single" w:color="000000" w:sz="6" w:space="0"/>
            </w:tcBorders>
            <w:vAlign w:val="center"/>
          </w:tcPr>
          <w:p w14:paraId="5E7D3F4E">
            <w:pPr>
              <w:widowControl w:val="0"/>
              <w:spacing w:line="288" w:lineRule="auto"/>
              <w:ind w:left="48" w:leftChars="2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联合体投标</w:t>
            </w:r>
          </w:p>
        </w:tc>
        <w:tc>
          <w:tcPr>
            <w:tcW w:w="6064" w:type="dxa"/>
            <w:tcBorders>
              <w:top w:val="single" w:color="000000" w:sz="6" w:space="0"/>
              <w:left w:val="single" w:color="000000" w:sz="6" w:space="0"/>
              <w:bottom w:val="single" w:color="000000" w:sz="6" w:space="0"/>
              <w:right w:val="single" w:color="000000" w:sz="6" w:space="0"/>
            </w:tcBorders>
            <w:vAlign w:val="center"/>
          </w:tcPr>
          <w:p w14:paraId="3282BF91">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不接受</w:t>
            </w:r>
          </w:p>
        </w:tc>
      </w:tr>
      <w:tr w14:paraId="0D2A9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537F077E">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1.10.1</w:t>
            </w:r>
          </w:p>
        </w:tc>
        <w:tc>
          <w:tcPr>
            <w:tcW w:w="1932" w:type="dxa"/>
            <w:tcBorders>
              <w:top w:val="single" w:color="000000" w:sz="6" w:space="0"/>
              <w:left w:val="single" w:color="000000" w:sz="6" w:space="0"/>
              <w:bottom w:val="single" w:color="000000" w:sz="6" w:space="0"/>
              <w:right w:val="single" w:color="000000" w:sz="6" w:space="0"/>
            </w:tcBorders>
            <w:vAlign w:val="center"/>
          </w:tcPr>
          <w:p w14:paraId="3E61025F">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分包</w:t>
            </w:r>
          </w:p>
        </w:tc>
        <w:tc>
          <w:tcPr>
            <w:tcW w:w="6064" w:type="dxa"/>
            <w:tcBorders>
              <w:top w:val="single" w:color="000000" w:sz="6" w:space="0"/>
              <w:left w:val="single" w:color="000000" w:sz="6" w:space="0"/>
              <w:bottom w:val="single" w:color="000000" w:sz="6" w:space="0"/>
              <w:right w:val="single" w:color="000000" w:sz="6" w:space="0"/>
            </w:tcBorders>
            <w:vAlign w:val="center"/>
          </w:tcPr>
          <w:p w14:paraId="4435AFBD">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不允许</w:t>
            </w:r>
          </w:p>
        </w:tc>
      </w:tr>
      <w:tr w14:paraId="3C502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06A8613D">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1.11.1</w:t>
            </w:r>
          </w:p>
        </w:tc>
        <w:tc>
          <w:tcPr>
            <w:tcW w:w="1932" w:type="dxa"/>
            <w:tcBorders>
              <w:top w:val="single" w:color="000000" w:sz="6" w:space="0"/>
              <w:left w:val="single" w:color="000000" w:sz="6" w:space="0"/>
              <w:bottom w:val="single" w:color="000000" w:sz="6" w:space="0"/>
              <w:right w:val="single" w:color="000000" w:sz="6" w:space="0"/>
            </w:tcBorders>
            <w:vAlign w:val="center"/>
          </w:tcPr>
          <w:p w14:paraId="23D24F0A">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实质性要求和条件</w:t>
            </w:r>
          </w:p>
        </w:tc>
        <w:tc>
          <w:tcPr>
            <w:tcW w:w="6064" w:type="dxa"/>
            <w:tcBorders>
              <w:top w:val="single" w:color="000000" w:sz="6" w:space="0"/>
              <w:left w:val="single" w:color="000000" w:sz="6" w:space="0"/>
              <w:bottom w:val="single" w:color="000000" w:sz="6" w:space="0"/>
              <w:right w:val="single" w:color="000000" w:sz="6" w:space="0"/>
            </w:tcBorders>
            <w:vAlign w:val="center"/>
          </w:tcPr>
          <w:p w14:paraId="7DA11AC2">
            <w:pPr>
              <w:widowControl w:val="0"/>
              <w:spacing w:line="312" w:lineRule="auto"/>
              <w:rPr>
                <w:rStyle w:val="37"/>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第五章评标方法规定的资格性审查和符合性审查的内容</w:t>
            </w:r>
          </w:p>
        </w:tc>
      </w:tr>
      <w:tr w14:paraId="764E7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66E544FF">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3.3.1</w:t>
            </w:r>
          </w:p>
        </w:tc>
        <w:tc>
          <w:tcPr>
            <w:tcW w:w="1932" w:type="dxa"/>
            <w:tcBorders>
              <w:top w:val="single" w:color="000000" w:sz="6" w:space="0"/>
              <w:left w:val="single" w:color="000000" w:sz="6" w:space="0"/>
              <w:bottom w:val="single" w:color="000000" w:sz="6" w:space="0"/>
              <w:right w:val="single" w:color="000000" w:sz="6" w:space="0"/>
            </w:tcBorders>
            <w:vAlign w:val="center"/>
          </w:tcPr>
          <w:p w14:paraId="5F88353E">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投标有效期</w:t>
            </w:r>
          </w:p>
        </w:tc>
        <w:tc>
          <w:tcPr>
            <w:tcW w:w="6064" w:type="dxa"/>
            <w:tcBorders>
              <w:top w:val="single" w:color="000000" w:sz="6" w:space="0"/>
              <w:left w:val="single" w:color="000000" w:sz="6" w:space="0"/>
              <w:bottom w:val="single" w:color="000000" w:sz="6" w:space="0"/>
              <w:right w:val="single" w:color="000000" w:sz="6" w:space="0"/>
            </w:tcBorders>
            <w:vAlign w:val="center"/>
          </w:tcPr>
          <w:p w14:paraId="6FE3C098">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投标文件的递交截止之日起90天。</w:t>
            </w:r>
          </w:p>
        </w:tc>
      </w:tr>
      <w:tr w14:paraId="64E8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2F16AD61">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3.4</w:t>
            </w:r>
          </w:p>
        </w:tc>
        <w:tc>
          <w:tcPr>
            <w:tcW w:w="1932" w:type="dxa"/>
            <w:tcBorders>
              <w:top w:val="single" w:color="000000" w:sz="6" w:space="0"/>
              <w:left w:val="single" w:color="000000" w:sz="6" w:space="0"/>
              <w:bottom w:val="single" w:color="000000" w:sz="6" w:space="0"/>
              <w:right w:val="single" w:color="000000" w:sz="6" w:space="0"/>
            </w:tcBorders>
            <w:vAlign w:val="center"/>
          </w:tcPr>
          <w:p w14:paraId="2B8A2338">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投标保证金</w:t>
            </w:r>
          </w:p>
        </w:tc>
        <w:tc>
          <w:tcPr>
            <w:tcW w:w="6064" w:type="dxa"/>
            <w:tcBorders>
              <w:top w:val="single" w:color="000000" w:sz="6" w:space="0"/>
              <w:left w:val="single" w:color="000000" w:sz="6" w:space="0"/>
              <w:bottom w:val="single" w:color="000000" w:sz="6" w:space="0"/>
              <w:right w:val="single" w:color="000000" w:sz="6" w:space="0"/>
            </w:tcBorders>
            <w:vAlign w:val="center"/>
          </w:tcPr>
          <w:p w14:paraId="1A250FB8">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不要求提供</w:t>
            </w:r>
          </w:p>
        </w:tc>
      </w:tr>
      <w:tr w14:paraId="3221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776E4B67">
            <w:pPr>
              <w:widowControl w:val="0"/>
              <w:spacing w:line="360"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3.6.1</w:t>
            </w:r>
          </w:p>
        </w:tc>
        <w:tc>
          <w:tcPr>
            <w:tcW w:w="1932" w:type="dxa"/>
            <w:tcBorders>
              <w:top w:val="single" w:color="000000" w:sz="6" w:space="0"/>
              <w:left w:val="single" w:color="000000" w:sz="6" w:space="0"/>
              <w:bottom w:val="single" w:color="000000" w:sz="6" w:space="0"/>
              <w:right w:val="single" w:color="000000" w:sz="6" w:space="0"/>
            </w:tcBorders>
            <w:vAlign w:val="center"/>
          </w:tcPr>
          <w:p w14:paraId="3773B73B">
            <w:pPr>
              <w:widowControl w:val="0"/>
              <w:spacing w:line="360"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是否允许备选方案</w:t>
            </w:r>
          </w:p>
        </w:tc>
        <w:tc>
          <w:tcPr>
            <w:tcW w:w="6064" w:type="dxa"/>
            <w:tcBorders>
              <w:top w:val="single" w:color="000000" w:sz="6" w:space="0"/>
              <w:left w:val="single" w:color="000000" w:sz="6" w:space="0"/>
              <w:bottom w:val="single" w:color="000000" w:sz="6" w:space="0"/>
              <w:right w:val="single" w:color="000000" w:sz="6" w:space="0"/>
            </w:tcBorders>
            <w:vAlign w:val="center"/>
          </w:tcPr>
          <w:p w14:paraId="323A4AFA">
            <w:pPr>
              <w:widowControl w:val="0"/>
              <w:spacing w:line="360"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不允许</w:t>
            </w:r>
          </w:p>
        </w:tc>
      </w:tr>
      <w:tr w14:paraId="38EC5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2B449D0C">
            <w:pPr>
              <w:widowControl w:val="0"/>
              <w:spacing w:line="360"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5.1.1</w:t>
            </w:r>
          </w:p>
        </w:tc>
        <w:tc>
          <w:tcPr>
            <w:tcW w:w="1932" w:type="dxa"/>
            <w:tcBorders>
              <w:top w:val="single" w:color="000000" w:sz="6" w:space="0"/>
              <w:left w:val="single" w:color="000000" w:sz="6" w:space="0"/>
              <w:bottom w:val="single" w:color="000000" w:sz="6" w:space="0"/>
              <w:right w:val="single" w:color="000000" w:sz="6" w:space="0"/>
            </w:tcBorders>
            <w:vAlign w:val="center"/>
          </w:tcPr>
          <w:p w14:paraId="61732B2C">
            <w:pPr>
              <w:widowControl w:val="0"/>
              <w:spacing w:after="163" w:line="360"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投标文件递交</w:t>
            </w:r>
          </w:p>
        </w:tc>
        <w:tc>
          <w:tcPr>
            <w:tcW w:w="6064" w:type="dxa"/>
            <w:tcBorders>
              <w:top w:val="single" w:color="000000" w:sz="6" w:space="0"/>
              <w:left w:val="single" w:color="000000" w:sz="6" w:space="0"/>
              <w:bottom w:val="single" w:color="000000" w:sz="6" w:space="0"/>
              <w:right w:val="single" w:color="000000" w:sz="6" w:space="0"/>
            </w:tcBorders>
          </w:tcPr>
          <w:p w14:paraId="477F10E0">
            <w:pPr>
              <w:widowControl w:val="0"/>
              <w:spacing w:line="360" w:lineRule="auto"/>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投标文件递交截止时间：详见招标公告</w:t>
            </w:r>
          </w:p>
          <w:p w14:paraId="0EA67AA3">
            <w:pPr>
              <w:widowControl w:val="0"/>
              <w:spacing w:line="360" w:lineRule="auto"/>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投标文件递交地址：详见招标公告</w:t>
            </w:r>
          </w:p>
        </w:tc>
      </w:tr>
      <w:tr w14:paraId="5CB54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56969AD6">
            <w:pPr>
              <w:widowControl w:val="0"/>
              <w:spacing w:line="360"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5.2.1</w:t>
            </w:r>
          </w:p>
        </w:tc>
        <w:tc>
          <w:tcPr>
            <w:tcW w:w="1932" w:type="dxa"/>
            <w:tcBorders>
              <w:top w:val="single" w:color="000000" w:sz="6" w:space="0"/>
              <w:left w:val="single" w:color="000000" w:sz="6" w:space="0"/>
              <w:bottom w:val="single" w:color="000000" w:sz="6" w:space="0"/>
              <w:right w:val="single" w:color="000000" w:sz="6" w:space="0"/>
            </w:tcBorders>
            <w:vAlign w:val="center"/>
          </w:tcPr>
          <w:p w14:paraId="1312619F">
            <w:pPr>
              <w:widowControl w:val="0"/>
              <w:spacing w:line="360"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开标时间和地点</w:t>
            </w:r>
          </w:p>
        </w:tc>
        <w:tc>
          <w:tcPr>
            <w:tcW w:w="6064" w:type="dxa"/>
            <w:tcBorders>
              <w:top w:val="single" w:color="000000" w:sz="6" w:space="0"/>
              <w:left w:val="single" w:color="000000" w:sz="6" w:space="0"/>
              <w:bottom w:val="single" w:color="000000" w:sz="6" w:space="0"/>
              <w:right w:val="single" w:color="000000" w:sz="6" w:space="0"/>
            </w:tcBorders>
          </w:tcPr>
          <w:p w14:paraId="0D90DC78">
            <w:pPr>
              <w:widowControl w:val="0"/>
              <w:spacing w:line="360" w:lineRule="auto"/>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开标时间：同投标文件递交截止时间</w:t>
            </w:r>
          </w:p>
          <w:p w14:paraId="4FB16280">
            <w:pPr>
              <w:widowControl w:val="0"/>
              <w:spacing w:line="360" w:lineRule="auto"/>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开标地点：同投标文件递交地点</w:t>
            </w:r>
          </w:p>
        </w:tc>
      </w:tr>
      <w:tr w14:paraId="52989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648E02EA">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7.3.1</w:t>
            </w:r>
          </w:p>
        </w:tc>
        <w:tc>
          <w:tcPr>
            <w:tcW w:w="1932" w:type="dxa"/>
            <w:tcBorders>
              <w:top w:val="single" w:color="000000" w:sz="6" w:space="0"/>
              <w:left w:val="single" w:color="000000" w:sz="6" w:space="0"/>
              <w:bottom w:val="single" w:color="000000" w:sz="6" w:space="0"/>
              <w:right w:val="single" w:color="000000" w:sz="6" w:space="0"/>
            </w:tcBorders>
            <w:vAlign w:val="center"/>
          </w:tcPr>
          <w:p w14:paraId="2D51994F">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评标方法</w:t>
            </w:r>
          </w:p>
        </w:tc>
        <w:tc>
          <w:tcPr>
            <w:tcW w:w="6064" w:type="dxa"/>
            <w:tcBorders>
              <w:top w:val="single" w:color="000000" w:sz="6" w:space="0"/>
              <w:left w:val="single" w:color="000000" w:sz="6" w:space="0"/>
              <w:bottom w:val="single" w:color="000000" w:sz="6" w:space="0"/>
              <w:right w:val="single" w:color="000000" w:sz="6" w:space="0"/>
            </w:tcBorders>
            <w:vAlign w:val="center"/>
          </w:tcPr>
          <w:p w14:paraId="0081A6E0">
            <w:pPr>
              <w:widowControl w:val="0"/>
              <w:spacing w:line="312"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综合评分法（详见第五章）</w:t>
            </w:r>
          </w:p>
        </w:tc>
      </w:tr>
      <w:tr w14:paraId="732CC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3616282D">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7.4.5</w:t>
            </w:r>
          </w:p>
        </w:tc>
        <w:tc>
          <w:tcPr>
            <w:tcW w:w="1932" w:type="dxa"/>
            <w:tcBorders>
              <w:top w:val="single" w:color="000000" w:sz="6" w:space="0"/>
              <w:left w:val="single" w:color="000000" w:sz="6" w:space="0"/>
              <w:bottom w:val="single" w:color="000000" w:sz="6" w:space="0"/>
              <w:right w:val="single" w:color="000000" w:sz="6" w:space="0"/>
            </w:tcBorders>
            <w:vAlign w:val="center"/>
          </w:tcPr>
          <w:p w14:paraId="6562E1CD">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评标委员会推荐中标候选供应商的数量</w:t>
            </w:r>
          </w:p>
        </w:tc>
        <w:tc>
          <w:tcPr>
            <w:tcW w:w="6064" w:type="dxa"/>
            <w:tcBorders>
              <w:top w:val="single" w:color="000000" w:sz="6" w:space="0"/>
              <w:left w:val="single" w:color="000000" w:sz="6" w:space="0"/>
              <w:bottom w:val="single" w:color="000000" w:sz="6" w:space="0"/>
              <w:right w:val="single" w:color="000000" w:sz="6" w:space="0"/>
            </w:tcBorders>
            <w:vAlign w:val="center"/>
          </w:tcPr>
          <w:p w14:paraId="47B2EBA0">
            <w:pPr>
              <w:widowControl w:val="0"/>
              <w:spacing w:line="312" w:lineRule="auto"/>
              <w:rPr>
                <w:rStyle w:val="37"/>
                <w:rFonts w:hint="default" w:ascii="仿宋" w:hAnsi="仿宋" w:eastAsia="仿宋" w:cs="仿宋"/>
                <w:color w:val="auto"/>
                <w:sz w:val="21"/>
                <w:szCs w:val="21"/>
                <w:highlight w:val="none"/>
                <w:lang w:val="en-US" w:eastAsia="zh-CN"/>
              </w:rPr>
            </w:pPr>
            <w:r>
              <w:rPr>
                <w:rStyle w:val="37"/>
                <w:rFonts w:hint="eastAsia" w:ascii="仿宋" w:hAnsi="仿宋" w:eastAsia="仿宋" w:cs="仿宋"/>
                <w:color w:val="auto"/>
                <w:sz w:val="21"/>
                <w:szCs w:val="21"/>
                <w:highlight w:val="none"/>
                <w:lang w:val="en-US" w:eastAsia="zh-CN"/>
              </w:rPr>
              <w:t>3名及以上</w:t>
            </w:r>
          </w:p>
        </w:tc>
      </w:tr>
      <w:tr w14:paraId="505A4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391F1DF7">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9.1</w:t>
            </w:r>
          </w:p>
        </w:tc>
        <w:tc>
          <w:tcPr>
            <w:tcW w:w="1932" w:type="dxa"/>
            <w:tcBorders>
              <w:top w:val="single" w:color="000000" w:sz="6" w:space="0"/>
              <w:left w:val="single" w:color="000000" w:sz="6" w:space="0"/>
              <w:bottom w:val="single" w:color="000000" w:sz="6" w:space="0"/>
              <w:right w:val="single" w:color="000000" w:sz="6" w:space="0"/>
            </w:tcBorders>
            <w:vAlign w:val="center"/>
          </w:tcPr>
          <w:p w14:paraId="522C1A6C">
            <w:pPr>
              <w:pStyle w:val="281"/>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履约保证金</w:t>
            </w:r>
          </w:p>
        </w:tc>
        <w:tc>
          <w:tcPr>
            <w:tcW w:w="6064" w:type="dxa"/>
            <w:tcBorders>
              <w:top w:val="single" w:color="000000" w:sz="6" w:space="0"/>
              <w:left w:val="single" w:color="000000" w:sz="6" w:space="0"/>
              <w:bottom w:val="single" w:color="000000" w:sz="6" w:space="0"/>
              <w:right w:val="single" w:color="000000" w:sz="6" w:space="0"/>
            </w:tcBorders>
            <w:vAlign w:val="center"/>
          </w:tcPr>
          <w:p w14:paraId="73597D9B">
            <w:pPr>
              <w:pStyle w:val="281"/>
              <w:widowControl w:val="0"/>
              <w:spacing w:line="312" w:lineRule="auto"/>
              <w:rPr>
                <w:rStyle w:val="37"/>
                <w:rFonts w:ascii="仿宋" w:hAnsi="仿宋" w:eastAsia="仿宋" w:cs="仿宋"/>
                <w:color w:val="auto"/>
                <w:sz w:val="21"/>
                <w:szCs w:val="21"/>
                <w:highlight w:val="none"/>
                <w:lang w:val="en-US"/>
              </w:rPr>
            </w:pPr>
            <w:r>
              <w:rPr>
                <w:rStyle w:val="37"/>
                <w:rFonts w:hint="eastAsia" w:ascii="仿宋" w:hAnsi="仿宋" w:eastAsia="仿宋" w:cs="仿宋"/>
                <w:color w:val="auto"/>
                <w:sz w:val="21"/>
                <w:szCs w:val="21"/>
                <w:highlight w:val="none"/>
                <w:lang w:val="en-US" w:bidi="ar-SA"/>
              </w:rPr>
              <w:t>/</w:t>
            </w:r>
          </w:p>
        </w:tc>
      </w:tr>
      <w:tr w14:paraId="4DF9A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5F95822A">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14</w:t>
            </w:r>
          </w:p>
        </w:tc>
        <w:tc>
          <w:tcPr>
            <w:tcW w:w="7996" w:type="dxa"/>
            <w:gridSpan w:val="2"/>
            <w:tcBorders>
              <w:top w:val="single" w:color="000000" w:sz="6" w:space="0"/>
              <w:left w:val="single" w:color="000000" w:sz="6" w:space="0"/>
              <w:bottom w:val="single" w:color="000000" w:sz="6" w:space="0"/>
              <w:right w:val="single" w:color="000000" w:sz="6" w:space="0"/>
            </w:tcBorders>
            <w:vAlign w:val="center"/>
          </w:tcPr>
          <w:p w14:paraId="3C2BC9E6">
            <w:pPr>
              <w:pStyle w:val="281"/>
              <w:widowControl w:val="0"/>
              <w:spacing w:line="312" w:lineRule="auto"/>
              <w:rPr>
                <w:rStyle w:val="37"/>
                <w:rFonts w:ascii="仿宋" w:hAnsi="仿宋" w:eastAsia="仿宋" w:cs="仿宋"/>
                <w:color w:val="auto"/>
                <w:sz w:val="21"/>
                <w:szCs w:val="21"/>
                <w:highlight w:val="none"/>
                <w:lang w:val="en-US" w:bidi="ar-SA"/>
              </w:rPr>
            </w:pPr>
            <w:r>
              <w:rPr>
                <w:rStyle w:val="37"/>
                <w:rFonts w:hint="eastAsia" w:ascii="仿宋" w:hAnsi="仿宋" w:eastAsia="仿宋" w:cs="仿宋"/>
                <w:color w:val="auto"/>
                <w:sz w:val="21"/>
                <w:szCs w:val="21"/>
                <w:highlight w:val="none"/>
              </w:rPr>
              <w:t>需要补充的其他内容</w:t>
            </w:r>
          </w:p>
        </w:tc>
      </w:tr>
      <w:tr w14:paraId="09AD7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1B66AA29">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14.1</w:t>
            </w:r>
          </w:p>
        </w:tc>
        <w:tc>
          <w:tcPr>
            <w:tcW w:w="1932" w:type="dxa"/>
            <w:tcBorders>
              <w:top w:val="single" w:color="000000" w:sz="6" w:space="0"/>
              <w:left w:val="single" w:color="000000" w:sz="6" w:space="0"/>
              <w:bottom w:val="single" w:color="000000" w:sz="6" w:space="0"/>
              <w:right w:val="single" w:color="000000" w:sz="6" w:space="0"/>
            </w:tcBorders>
            <w:vAlign w:val="center"/>
          </w:tcPr>
          <w:p w14:paraId="41C948A2">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关于信用记录的查询和使用</w:t>
            </w:r>
          </w:p>
        </w:tc>
        <w:tc>
          <w:tcPr>
            <w:tcW w:w="6064" w:type="dxa"/>
            <w:tcBorders>
              <w:top w:val="single" w:color="000000" w:sz="6" w:space="0"/>
              <w:left w:val="single" w:color="000000" w:sz="6" w:space="0"/>
              <w:bottom w:val="single" w:color="000000" w:sz="6" w:space="0"/>
              <w:right w:val="single" w:color="000000" w:sz="6" w:space="0"/>
            </w:tcBorders>
            <w:vAlign w:val="center"/>
          </w:tcPr>
          <w:p w14:paraId="6C1D5615">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1、采购人将在资格审查阶段通过【</w:t>
            </w:r>
            <w:r>
              <w:rPr>
                <w:rStyle w:val="36"/>
                <w:rFonts w:hint="eastAsia" w:ascii="仿宋" w:hAnsi="仿宋" w:eastAsia="仿宋" w:cs="仿宋"/>
                <w:color w:val="auto"/>
                <w:sz w:val="21"/>
                <w:szCs w:val="21"/>
                <w:highlight w:val="none"/>
              </w:rPr>
              <w:t>信用中国</w:t>
            </w:r>
            <w:r>
              <w:rPr>
                <w:rStyle w:val="37"/>
                <w:rFonts w:hint="eastAsia" w:ascii="仿宋" w:hAnsi="仿宋" w:eastAsia="仿宋" w:cs="仿宋"/>
                <w:color w:val="auto"/>
                <w:sz w:val="21"/>
                <w:szCs w:val="21"/>
                <w:highlight w:val="none"/>
              </w:rPr>
              <w:t>（www.creditchina.gov.cn）】、【</w:t>
            </w:r>
            <w:r>
              <w:rPr>
                <w:rStyle w:val="36"/>
                <w:rFonts w:hint="eastAsia" w:ascii="仿宋" w:hAnsi="仿宋" w:eastAsia="仿宋" w:cs="仿宋"/>
                <w:color w:val="auto"/>
                <w:sz w:val="21"/>
                <w:szCs w:val="21"/>
                <w:highlight w:val="none"/>
              </w:rPr>
              <w:t>中国政府采购网</w:t>
            </w:r>
            <w:r>
              <w:rPr>
                <w:rStyle w:val="37"/>
                <w:rFonts w:hint="eastAsia" w:ascii="仿宋" w:hAnsi="仿宋" w:eastAsia="仿宋" w:cs="仿宋"/>
                <w:color w:val="auto"/>
                <w:sz w:val="21"/>
                <w:szCs w:val="21"/>
                <w:highlight w:val="none"/>
              </w:rPr>
              <w:t>（www.ccgp.gov.cn）】网站对投标文件中的《供应商书面声明函》的信用情况进行甄别。对列入失信被执行人、重大税收违法</w:t>
            </w:r>
            <w:r>
              <w:rPr>
                <w:rStyle w:val="37"/>
                <w:rFonts w:hint="eastAsia" w:ascii="仿宋" w:hAnsi="仿宋" w:eastAsia="仿宋" w:cs="仿宋"/>
                <w:color w:val="auto"/>
                <w:sz w:val="21"/>
                <w:szCs w:val="21"/>
                <w:highlight w:val="none"/>
                <w:lang w:val="en-US" w:eastAsia="zh-CN"/>
              </w:rPr>
              <w:t>失信主体</w:t>
            </w:r>
            <w:r>
              <w:rPr>
                <w:rStyle w:val="37"/>
                <w:rFonts w:hint="eastAsia" w:ascii="仿宋" w:hAnsi="仿宋" w:eastAsia="仿宋" w:cs="仿宋"/>
                <w:color w:val="auto"/>
                <w:sz w:val="21"/>
                <w:szCs w:val="21"/>
                <w:highlight w:val="none"/>
              </w:rPr>
              <w:t>名单、政府采购严重违法失信行为记录名单及其他不符合《中华人民共和国政府采购法》第二十二条规定条件的供应商，根据《关于在政府采购活动中查询及使用信用记录有关问题的通知》（财库〔2016〕125号）的第二条第（三）款规定，其投标或中标资格将被取消。</w:t>
            </w:r>
          </w:p>
          <w:p w14:paraId="1684F158">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2、供应商在参加政府采购活动前3年内因违法经营被禁止在一定期限内参加政府采购活动，期限届满的，可以参加政府采购活动的，但供应商应提供相关证明材料。</w:t>
            </w:r>
          </w:p>
          <w:p w14:paraId="3056F61D">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3、供应商信用记录查询的时间段为“招标</w:t>
            </w:r>
            <w:r>
              <w:rPr>
                <w:rStyle w:val="37"/>
                <w:rFonts w:hint="eastAsia" w:ascii="仿宋" w:hAnsi="仿宋" w:eastAsia="仿宋" w:cs="仿宋"/>
                <w:color w:val="auto"/>
                <w:sz w:val="21"/>
                <w:szCs w:val="21"/>
                <w:highlight w:val="none"/>
                <w:lang w:eastAsia="zh-CN"/>
              </w:rPr>
              <w:t>公告</w:t>
            </w:r>
            <w:r>
              <w:rPr>
                <w:rStyle w:val="37"/>
                <w:rFonts w:hint="eastAsia" w:ascii="仿宋" w:hAnsi="仿宋" w:eastAsia="仿宋" w:cs="仿宋"/>
                <w:color w:val="auto"/>
                <w:sz w:val="21"/>
                <w:szCs w:val="21"/>
                <w:highlight w:val="none"/>
              </w:rPr>
              <w:t>发布之日（含当日）至提交投标文件截止之日（含当日）”。信用记录查询的结果，可以纸质截图或将截图保存至电子介质的形式留存。供应商未如实填报《供应商书面声明函》的，视为“供应商提供虚假材料谋取中标的”行为。</w:t>
            </w:r>
          </w:p>
          <w:p w14:paraId="0A1F3A73">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C214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18626D3B">
            <w:pPr>
              <w:spacing w:line="288" w:lineRule="auto"/>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14.2</w:t>
            </w:r>
          </w:p>
        </w:tc>
        <w:tc>
          <w:tcPr>
            <w:tcW w:w="1932" w:type="dxa"/>
            <w:tcBorders>
              <w:top w:val="single" w:color="000000" w:sz="6" w:space="0"/>
              <w:left w:val="single" w:color="000000" w:sz="6" w:space="0"/>
              <w:bottom w:val="single" w:color="000000" w:sz="6" w:space="0"/>
              <w:right w:val="single" w:color="000000" w:sz="6" w:space="0"/>
            </w:tcBorders>
            <w:vAlign w:val="center"/>
          </w:tcPr>
          <w:p w14:paraId="24DED349">
            <w:pPr>
              <w:spacing w:line="288" w:lineRule="auto"/>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rPr>
              <w:t>关于产品</w:t>
            </w:r>
            <w:r>
              <w:rPr>
                <w:rFonts w:hint="eastAsia" w:ascii="仿宋" w:hAnsi="仿宋" w:eastAsia="仿宋" w:cs="仿宋"/>
                <w:color w:val="auto"/>
                <w:sz w:val="21"/>
                <w:szCs w:val="21"/>
                <w:highlight w:val="none"/>
                <w:lang w:val="en-US" w:eastAsia="zh-CN"/>
              </w:rPr>
              <w:t>的其他说明</w:t>
            </w:r>
          </w:p>
        </w:tc>
        <w:tc>
          <w:tcPr>
            <w:tcW w:w="6064" w:type="dxa"/>
            <w:tcBorders>
              <w:top w:val="single" w:color="000000" w:sz="6" w:space="0"/>
              <w:left w:val="single" w:color="000000" w:sz="6" w:space="0"/>
              <w:bottom w:val="single" w:color="000000" w:sz="6" w:space="0"/>
              <w:right w:val="single" w:color="000000" w:sz="6" w:space="0"/>
            </w:tcBorders>
            <w:vAlign w:val="center"/>
          </w:tcPr>
          <w:p w14:paraId="7DB3ED90">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1、所有产品必须具有在中国境内法定许可的生产及销售资格，且为全新原厂制造，其核心关键部分为近10个月内所生产的非淘汰类产品</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属于《中华人民共和国实施强制性产品认证的产品目录》的产品，不能提供超出此目录范畴外的替代品，此外，还须同时具备《中国</w:t>
            </w:r>
            <w:r>
              <w:rPr>
                <w:rFonts w:hint="eastAsia" w:ascii="仿宋" w:hAnsi="仿宋" w:eastAsia="仿宋" w:cs="仿宋"/>
                <w:color w:val="auto"/>
                <w:sz w:val="21"/>
                <w:szCs w:val="21"/>
                <w:highlight w:val="none"/>
                <w:lang w:val="en-US" w:eastAsia="zh-CN"/>
              </w:rPr>
              <w:t>国家</w:t>
            </w:r>
            <w:r>
              <w:rPr>
                <w:rFonts w:hint="eastAsia" w:ascii="仿宋" w:hAnsi="仿宋" w:eastAsia="仿宋" w:cs="仿宋"/>
                <w:color w:val="auto"/>
                <w:sz w:val="21"/>
                <w:szCs w:val="21"/>
                <w:highlight w:val="none"/>
              </w:rPr>
              <w:t>强制</w:t>
            </w:r>
            <w:r>
              <w:rPr>
                <w:rFonts w:hint="eastAsia" w:ascii="仿宋" w:hAnsi="仿宋" w:eastAsia="仿宋" w:cs="仿宋"/>
                <w:color w:val="auto"/>
                <w:sz w:val="21"/>
                <w:szCs w:val="21"/>
                <w:highlight w:val="none"/>
                <w:lang w:val="en-US" w:eastAsia="zh-CN"/>
              </w:rPr>
              <w:t>性产品认证证书</w:t>
            </w:r>
            <w:r>
              <w:rPr>
                <w:rFonts w:hint="eastAsia" w:ascii="仿宋" w:hAnsi="仿宋" w:eastAsia="仿宋" w:cs="仿宋"/>
                <w:color w:val="auto"/>
                <w:sz w:val="21"/>
                <w:szCs w:val="21"/>
                <w:highlight w:val="none"/>
              </w:rPr>
              <w:t>》（CCC 认证）。</w:t>
            </w:r>
          </w:p>
          <w:p w14:paraId="787DFB06">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、主机设备要有标准配置清单，使用操作及安全须知等重要资料应附有中文说明；国内制造的产品必须同时具备出厂合格证和相关检测报告。</w:t>
            </w:r>
          </w:p>
          <w:p w14:paraId="3CE7A098">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购置的计算机设备必须配有正版合法的经采购人认可的操作系统和软件。</w:t>
            </w:r>
          </w:p>
          <w:p w14:paraId="68A77752">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、信息安全产品应当获得国家信息安全认证，并可提供由中国信息安全认证中心按照国家标准认证颁发的有效认证证书。</w:t>
            </w:r>
          </w:p>
          <w:p w14:paraId="7FA7328B">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、根据《政府采购进口产品管理办法》（财库〔2007〕119 号）与《关于政府采购进口产品管理有关问题的通知》（财办库[2008]248 号）的有关规定，未经核准同意，</w:t>
            </w:r>
            <w:r>
              <w:rPr>
                <w:rFonts w:hint="eastAsia" w:ascii="仿宋" w:hAnsi="仿宋" w:eastAsia="仿宋" w:cs="仿宋"/>
                <w:color w:val="auto"/>
                <w:sz w:val="21"/>
                <w:szCs w:val="21"/>
                <w:highlight w:val="none"/>
                <w:lang w:val="en-US" w:eastAsia="zh-CN"/>
              </w:rPr>
              <w:t>供应商投标</w:t>
            </w:r>
            <w:r>
              <w:rPr>
                <w:rFonts w:hint="eastAsia" w:ascii="仿宋" w:hAnsi="仿宋" w:eastAsia="仿宋" w:cs="仿宋"/>
                <w:color w:val="auto"/>
                <w:sz w:val="21"/>
                <w:szCs w:val="21"/>
                <w:highlight w:val="none"/>
              </w:rPr>
              <w:t>时必须提供本国产品，</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以进口产品参与</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的，将作无效</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处理。</w:t>
            </w:r>
          </w:p>
          <w:p w14:paraId="3D759DF5">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、如</w:t>
            </w:r>
            <w:r>
              <w:rPr>
                <w:rFonts w:hint="eastAsia" w:ascii="仿宋" w:hAnsi="仿宋" w:eastAsia="仿宋" w:cs="仿宋"/>
                <w:color w:val="auto"/>
                <w:sz w:val="21"/>
                <w:szCs w:val="21"/>
                <w:highlight w:val="none"/>
                <w:lang w:val="en-US" w:eastAsia="zh-CN"/>
              </w:rPr>
              <w:t>招标文件</w:t>
            </w:r>
            <w:r>
              <w:rPr>
                <w:rFonts w:hint="eastAsia" w:ascii="仿宋" w:hAnsi="仿宋" w:eastAsia="仿宋" w:cs="仿宋"/>
                <w:color w:val="auto"/>
                <w:sz w:val="21"/>
                <w:szCs w:val="21"/>
                <w:highlight w:val="none"/>
              </w:rPr>
              <w:t>中已说明，经政府采购管理部门审核同意，允许部分或全部产品采购进口产品</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既可提供本国产品，也可以提供进口产品。</w:t>
            </w:r>
          </w:p>
          <w:p w14:paraId="1D936B37">
            <w:pPr>
              <w:spacing w:line="288" w:lineRule="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rPr>
              <w:t>在提供的进口产品中，优先采购向我国企业转让技术、与我国企业签订消化吸收再创新方案的供应商的进口产品。进口产品必须同时具备原产地证明、中国商检证明及合法进货渠道全套单证。</w:t>
            </w:r>
          </w:p>
        </w:tc>
      </w:tr>
      <w:tr w14:paraId="722F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6082A46C">
            <w:pPr>
              <w:spacing w:line="288" w:lineRule="auto"/>
              <w:jc w:val="center"/>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14.3</w:t>
            </w:r>
          </w:p>
        </w:tc>
        <w:tc>
          <w:tcPr>
            <w:tcW w:w="1932" w:type="dxa"/>
            <w:tcBorders>
              <w:top w:val="single" w:color="000000" w:sz="6" w:space="0"/>
              <w:left w:val="single" w:color="000000" w:sz="6" w:space="0"/>
              <w:bottom w:val="single" w:color="000000" w:sz="6" w:space="0"/>
              <w:right w:val="single" w:color="000000" w:sz="6" w:space="0"/>
            </w:tcBorders>
            <w:vAlign w:val="center"/>
          </w:tcPr>
          <w:p w14:paraId="3B193134">
            <w:pPr>
              <w:pStyle w:val="2"/>
              <w:spacing w:after="0" w:line="288" w:lineRule="auto"/>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核心产品</w:t>
            </w:r>
          </w:p>
        </w:tc>
        <w:tc>
          <w:tcPr>
            <w:tcW w:w="6064" w:type="dxa"/>
            <w:tcBorders>
              <w:top w:val="single" w:color="000000" w:sz="6" w:space="0"/>
              <w:left w:val="single" w:color="000000" w:sz="6" w:space="0"/>
              <w:bottom w:val="single" w:color="000000" w:sz="6" w:space="0"/>
              <w:right w:val="single" w:color="000000" w:sz="6" w:space="0"/>
            </w:tcBorders>
            <w:vAlign w:val="center"/>
          </w:tcPr>
          <w:p w14:paraId="4AC4CA34">
            <w:pPr>
              <w:pStyle w:val="2"/>
              <w:spacing w:after="0" w:line="288" w:lineRule="auto"/>
              <w:jc w:val="both"/>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学生饮用奶</w:t>
            </w:r>
          </w:p>
        </w:tc>
      </w:tr>
      <w:tr w14:paraId="449C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7E0B03C6">
            <w:pPr>
              <w:spacing w:line="288" w:lineRule="auto"/>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14.4</w:t>
            </w:r>
          </w:p>
        </w:tc>
        <w:tc>
          <w:tcPr>
            <w:tcW w:w="1932" w:type="dxa"/>
            <w:tcBorders>
              <w:top w:val="single" w:color="000000" w:sz="6" w:space="0"/>
              <w:left w:val="single" w:color="000000" w:sz="6" w:space="0"/>
              <w:bottom w:val="single" w:color="000000" w:sz="6" w:space="0"/>
              <w:right w:val="single" w:color="000000" w:sz="6" w:space="0"/>
            </w:tcBorders>
            <w:vAlign w:val="center"/>
          </w:tcPr>
          <w:p w14:paraId="3183A5CD">
            <w:pPr>
              <w:pStyle w:val="2"/>
              <w:spacing w:after="0"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进口产品</w:t>
            </w:r>
          </w:p>
        </w:tc>
        <w:tc>
          <w:tcPr>
            <w:tcW w:w="6064" w:type="dxa"/>
            <w:tcBorders>
              <w:top w:val="single" w:color="000000" w:sz="6" w:space="0"/>
              <w:left w:val="single" w:color="000000" w:sz="6" w:space="0"/>
              <w:bottom w:val="single" w:color="000000" w:sz="6" w:space="0"/>
              <w:right w:val="single" w:color="000000" w:sz="6" w:space="0"/>
            </w:tcBorders>
            <w:vAlign w:val="center"/>
          </w:tcPr>
          <w:p w14:paraId="05000ECE">
            <w:pPr>
              <w:pStyle w:val="2"/>
              <w:spacing w:after="0" w:line="288"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本采购项目拒绝进口产品参加投标</w:t>
            </w:r>
          </w:p>
        </w:tc>
      </w:tr>
      <w:tr w14:paraId="7160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3E65EB71">
            <w:pPr>
              <w:spacing w:line="288" w:lineRule="auto"/>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14.5</w:t>
            </w:r>
          </w:p>
        </w:tc>
        <w:tc>
          <w:tcPr>
            <w:tcW w:w="1932" w:type="dxa"/>
            <w:tcBorders>
              <w:top w:val="single" w:color="000000" w:sz="6" w:space="0"/>
              <w:left w:val="single" w:color="000000" w:sz="6" w:space="0"/>
              <w:bottom w:val="single" w:color="000000" w:sz="6" w:space="0"/>
              <w:right w:val="single" w:color="000000" w:sz="6" w:space="0"/>
            </w:tcBorders>
            <w:vAlign w:val="center"/>
          </w:tcPr>
          <w:p w14:paraId="6F053E13">
            <w:pPr>
              <w:pStyle w:val="2"/>
              <w:spacing w:after="0"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样品</w:t>
            </w:r>
          </w:p>
        </w:tc>
        <w:tc>
          <w:tcPr>
            <w:tcW w:w="6064" w:type="dxa"/>
            <w:tcBorders>
              <w:top w:val="single" w:color="000000" w:sz="6" w:space="0"/>
              <w:left w:val="single" w:color="000000" w:sz="6" w:space="0"/>
              <w:bottom w:val="single" w:color="000000" w:sz="6" w:space="0"/>
              <w:right w:val="single" w:color="000000" w:sz="6" w:space="0"/>
            </w:tcBorders>
            <w:vAlign w:val="center"/>
          </w:tcPr>
          <w:p w14:paraId="166C9B3F">
            <w:pP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不要求提供</w:t>
            </w:r>
          </w:p>
        </w:tc>
      </w:tr>
      <w:tr w14:paraId="22E03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03AD0C67">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14.6</w:t>
            </w:r>
          </w:p>
        </w:tc>
        <w:tc>
          <w:tcPr>
            <w:tcW w:w="1932" w:type="dxa"/>
            <w:tcBorders>
              <w:top w:val="single" w:color="000000" w:sz="6" w:space="0"/>
              <w:left w:val="single" w:color="000000" w:sz="6" w:space="0"/>
              <w:bottom w:val="single" w:color="000000" w:sz="6" w:space="0"/>
              <w:right w:val="single" w:color="000000" w:sz="6" w:space="0"/>
            </w:tcBorders>
            <w:vAlign w:val="center"/>
          </w:tcPr>
          <w:p w14:paraId="329E59A1">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知识产权</w:t>
            </w:r>
          </w:p>
        </w:tc>
        <w:tc>
          <w:tcPr>
            <w:tcW w:w="6064" w:type="dxa"/>
            <w:tcBorders>
              <w:top w:val="single" w:color="000000" w:sz="6" w:space="0"/>
              <w:left w:val="single" w:color="000000" w:sz="6" w:space="0"/>
              <w:bottom w:val="single" w:color="000000" w:sz="6" w:space="0"/>
              <w:right w:val="single" w:color="000000" w:sz="6" w:space="0"/>
            </w:tcBorders>
            <w:vAlign w:val="center"/>
          </w:tcPr>
          <w:p w14:paraId="03F276F8">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所有涉及知识产权的产品及设计，供应商必须确保采购人拥有其合法的、不受限制的无偿使用权，并免受任何侵权诉讼或索偿，否则，由此产生的一切经济损失和法律责任由供应商承担。</w:t>
            </w:r>
          </w:p>
        </w:tc>
      </w:tr>
      <w:tr w14:paraId="6A384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1DAA8408">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14.7</w:t>
            </w:r>
          </w:p>
        </w:tc>
        <w:tc>
          <w:tcPr>
            <w:tcW w:w="1932" w:type="dxa"/>
            <w:tcBorders>
              <w:top w:val="single" w:color="000000" w:sz="6" w:space="0"/>
              <w:left w:val="single" w:color="000000" w:sz="6" w:space="0"/>
              <w:bottom w:val="single" w:color="000000" w:sz="6" w:space="0"/>
              <w:right w:val="single" w:color="000000" w:sz="6" w:space="0"/>
            </w:tcBorders>
            <w:vAlign w:val="center"/>
          </w:tcPr>
          <w:p w14:paraId="6E7E036E">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招标代理服务费</w:t>
            </w:r>
          </w:p>
        </w:tc>
        <w:tc>
          <w:tcPr>
            <w:tcW w:w="6064" w:type="dxa"/>
            <w:tcBorders>
              <w:top w:val="single" w:color="000000" w:sz="6" w:space="0"/>
              <w:left w:val="single" w:color="000000" w:sz="6" w:space="0"/>
              <w:bottom w:val="single" w:color="000000" w:sz="6" w:space="0"/>
              <w:right w:val="single" w:color="000000" w:sz="6" w:space="0"/>
            </w:tcBorders>
            <w:vAlign w:val="center"/>
          </w:tcPr>
          <w:p w14:paraId="4FDC5599">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代理服务费收取标准：参照国家计委颁发的《招标代理服务收费管理暂行办法》（计价格[2002]1980号）和国家发展</w:t>
            </w:r>
            <w:r>
              <w:rPr>
                <w:rStyle w:val="37"/>
                <w:rFonts w:hint="eastAsia" w:ascii="仿宋" w:hAnsi="仿宋" w:eastAsia="仿宋" w:cs="仿宋"/>
                <w:color w:val="auto"/>
                <w:sz w:val="21"/>
                <w:szCs w:val="21"/>
                <w:highlight w:val="none"/>
                <w:lang w:val="en-US" w:eastAsia="zh-CN"/>
              </w:rPr>
              <w:t>和</w:t>
            </w:r>
            <w:r>
              <w:rPr>
                <w:rStyle w:val="37"/>
                <w:rFonts w:hint="eastAsia" w:ascii="仿宋" w:hAnsi="仿宋" w:eastAsia="仿宋" w:cs="仿宋"/>
                <w:color w:val="auto"/>
                <w:sz w:val="21"/>
                <w:szCs w:val="21"/>
                <w:highlight w:val="none"/>
              </w:rPr>
              <w:t>改革委员会办公厅颁发的《关于招标代理服务收费有关问题的通知》（发改办价格[2003]857号）的有关规定标准执行。</w:t>
            </w:r>
          </w:p>
          <w:p w14:paraId="09C538A0">
            <w:pPr>
              <w:widowControl w:val="0"/>
              <w:spacing w:line="288" w:lineRule="auto"/>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招标代理服务费公布方式：代理服务费金额将在</w:t>
            </w:r>
            <w:r>
              <w:rPr>
                <w:rStyle w:val="37"/>
                <w:rFonts w:hint="eastAsia" w:ascii="仿宋" w:hAnsi="仿宋" w:eastAsia="仿宋" w:cs="仿宋"/>
                <w:color w:val="auto"/>
                <w:sz w:val="21"/>
                <w:szCs w:val="21"/>
                <w:highlight w:val="none"/>
                <w:lang w:val="en-US" w:eastAsia="zh-CN"/>
              </w:rPr>
              <w:t>中标</w:t>
            </w:r>
            <w:r>
              <w:rPr>
                <w:rStyle w:val="37"/>
                <w:rFonts w:hint="eastAsia" w:ascii="仿宋" w:hAnsi="仿宋" w:eastAsia="仿宋" w:cs="仿宋"/>
                <w:color w:val="auto"/>
                <w:sz w:val="21"/>
                <w:szCs w:val="21"/>
                <w:highlight w:val="none"/>
              </w:rPr>
              <w:t>公告中明确，</w:t>
            </w:r>
            <w:r>
              <w:rPr>
                <w:rStyle w:val="37"/>
                <w:rFonts w:hint="eastAsia" w:ascii="仿宋" w:hAnsi="仿宋" w:eastAsia="仿宋" w:cs="仿宋"/>
                <w:color w:val="auto"/>
                <w:sz w:val="21"/>
                <w:szCs w:val="21"/>
                <w:highlight w:val="none"/>
                <w:lang w:val="en-US" w:eastAsia="zh-CN"/>
              </w:rPr>
              <w:t>中标</w:t>
            </w:r>
            <w:r>
              <w:rPr>
                <w:rStyle w:val="37"/>
                <w:rFonts w:hint="eastAsia" w:ascii="仿宋" w:hAnsi="仿宋" w:eastAsia="仿宋" w:cs="仿宋"/>
                <w:color w:val="auto"/>
                <w:sz w:val="21"/>
                <w:szCs w:val="21"/>
                <w:highlight w:val="none"/>
              </w:rPr>
              <w:t>单位在领取中标通知书前，须向采购代理机构一次性支付招标代理服务费。</w:t>
            </w:r>
          </w:p>
        </w:tc>
      </w:tr>
      <w:tr w14:paraId="1C62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32976F38">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14.8</w:t>
            </w:r>
          </w:p>
        </w:tc>
        <w:tc>
          <w:tcPr>
            <w:tcW w:w="1932" w:type="dxa"/>
            <w:tcBorders>
              <w:top w:val="single" w:color="000000" w:sz="6" w:space="0"/>
              <w:left w:val="single" w:color="000000" w:sz="6" w:space="0"/>
              <w:bottom w:val="single" w:color="000000" w:sz="6" w:space="0"/>
              <w:right w:val="single" w:color="000000" w:sz="6" w:space="0"/>
            </w:tcBorders>
            <w:vAlign w:val="center"/>
          </w:tcPr>
          <w:p w14:paraId="081A91F6">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代理服务费账户</w:t>
            </w:r>
          </w:p>
        </w:tc>
        <w:tc>
          <w:tcPr>
            <w:tcW w:w="6064" w:type="dxa"/>
            <w:tcBorders>
              <w:top w:val="single" w:color="000000" w:sz="6" w:space="0"/>
              <w:left w:val="single" w:color="000000" w:sz="6" w:space="0"/>
              <w:bottom w:val="single" w:color="000000" w:sz="6" w:space="0"/>
              <w:right w:val="single" w:color="000000" w:sz="6" w:space="0"/>
            </w:tcBorders>
            <w:vAlign w:val="center"/>
          </w:tcPr>
          <w:p w14:paraId="7D017F6C">
            <w:pPr>
              <w:widowControl w:val="0"/>
              <w:spacing w:line="288" w:lineRule="auto"/>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 xml:space="preserve">中标服务费交纳账户： </w:t>
            </w:r>
          </w:p>
          <w:p w14:paraId="4B00BC69">
            <w:pPr>
              <w:widowControl w:val="0"/>
              <w:spacing w:line="288" w:lineRule="auto"/>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1、名  称：陕西正明项目管理有限公司</w:t>
            </w:r>
          </w:p>
          <w:p w14:paraId="2A5A39B1">
            <w:pPr>
              <w:widowControl w:val="0"/>
              <w:spacing w:line="288" w:lineRule="auto"/>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2、开户行：中国民生银行股份有限公司西安枫林绿洲支行</w:t>
            </w:r>
          </w:p>
          <w:p w14:paraId="25CF4E77">
            <w:pPr>
              <w:widowControl w:val="0"/>
              <w:spacing w:line="288" w:lineRule="auto"/>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3、帐  号：170455461</w:t>
            </w:r>
          </w:p>
          <w:p w14:paraId="0DEE26C0">
            <w:pPr>
              <w:widowControl w:val="0"/>
              <w:spacing w:line="288" w:lineRule="auto"/>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请中标供应商按照要求将服务费汇入以上指定账户，如因自身原因发生错误，产生的不利后果均由供应商自行承担。</w:t>
            </w:r>
          </w:p>
        </w:tc>
      </w:tr>
      <w:tr w14:paraId="0DFF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7DC86024">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14.9</w:t>
            </w:r>
          </w:p>
        </w:tc>
        <w:tc>
          <w:tcPr>
            <w:tcW w:w="1932" w:type="dxa"/>
            <w:tcBorders>
              <w:top w:val="single" w:color="000000" w:sz="6" w:space="0"/>
              <w:left w:val="single" w:color="000000" w:sz="6" w:space="0"/>
              <w:bottom w:val="single" w:color="000000" w:sz="6" w:space="0"/>
              <w:right w:val="single" w:color="000000" w:sz="6" w:space="0"/>
            </w:tcBorders>
            <w:vAlign w:val="center"/>
          </w:tcPr>
          <w:p w14:paraId="450EE623">
            <w:pPr>
              <w:pStyle w:val="40"/>
              <w:widowControl w:val="0"/>
              <w:spacing w:after="0" w:line="288" w:lineRule="auto"/>
              <w:jc w:val="center"/>
              <w:rPr>
                <w:rStyle w:val="37"/>
                <w:rFonts w:ascii="仿宋" w:hAnsi="仿宋" w:eastAsia="仿宋" w:cs="仿宋"/>
                <w:color w:val="auto"/>
                <w:szCs w:val="21"/>
                <w:highlight w:val="none"/>
              </w:rPr>
            </w:pPr>
            <w:r>
              <w:rPr>
                <w:rStyle w:val="37"/>
                <w:rFonts w:hint="eastAsia" w:ascii="仿宋" w:hAnsi="仿宋" w:eastAsia="仿宋" w:cs="仿宋"/>
                <w:color w:val="auto"/>
                <w:kern w:val="0"/>
                <w:szCs w:val="21"/>
                <w:highlight w:val="none"/>
              </w:rPr>
              <w:t>项目属性及所属行业</w:t>
            </w:r>
          </w:p>
        </w:tc>
        <w:tc>
          <w:tcPr>
            <w:tcW w:w="6064" w:type="dxa"/>
            <w:tcBorders>
              <w:top w:val="single" w:color="000000" w:sz="6" w:space="0"/>
              <w:left w:val="single" w:color="000000" w:sz="6" w:space="0"/>
              <w:bottom w:val="single" w:color="000000" w:sz="6" w:space="0"/>
              <w:right w:val="single" w:color="000000" w:sz="6" w:space="0"/>
            </w:tcBorders>
            <w:vAlign w:val="center"/>
          </w:tcPr>
          <w:p w14:paraId="2E85168A">
            <w:pPr>
              <w:pStyle w:val="40"/>
              <w:widowControl w:val="0"/>
              <w:spacing w:after="0" w:line="288" w:lineRule="auto"/>
              <w:rPr>
                <w:rStyle w:val="37"/>
                <w:rFonts w:ascii="仿宋" w:hAnsi="仿宋" w:eastAsia="仿宋" w:cs="仿宋"/>
                <w:color w:val="auto"/>
                <w:szCs w:val="21"/>
                <w:highlight w:val="none"/>
              </w:rPr>
            </w:pPr>
            <w:r>
              <w:rPr>
                <w:rStyle w:val="37"/>
                <w:rFonts w:hint="eastAsia" w:ascii="仿宋" w:hAnsi="仿宋" w:eastAsia="仿宋" w:cs="仿宋"/>
                <w:color w:val="auto"/>
                <w:szCs w:val="21"/>
                <w:highlight w:val="none"/>
              </w:rPr>
              <w:t>1、本项目属性：</w:t>
            </w:r>
            <w:r>
              <w:rPr>
                <w:rStyle w:val="37"/>
                <w:rFonts w:hint="eastAsia" w:ascii="仿宋" w:hAnsi="仿宋" w:eastAsia="仿宋" w:cs="仿宋"/>
                <w:color w:val="auto"/>
                <w:szCs w:val="21"/>
                <w:highlight w:val="none"/>
                <w:lang w:val="en-US" w:eastAsia="zh-CN"/>
              </w:rPr>
              <w:t>货物</w:t>
            </w:r>
            <w:r>
              <w:rPr>
                <w:rStyle w:val="37"/>
                <w:rFonts w:hint="eastAsia" w:ascii="仿宋" w:hAnsi="仿宋" w:eastAsia="仿宋" w:cs="仿宋"/>
                <w:color w:val="auto"/>
                <w:szCs w:val="21"/>
                <w:highlight w:val="none"/>
              </w:rPr>
              <w:t>类。</w:t>
            </w:r>
          </w:p>
          <w:p w14:paraId="6FD420B7">
            <w:pPr>
              <w:pStyle w:val="40"/>
              <w:widowControl w:val="0"/>
              <w:spacing w:after="0" w:line="288" w:lineRule="auto"/>
              <w:rPr>
                <w:rStyle w:val="37"/>
                <w:rFonts w:hint="eastAsia" w:ascii="仿宋" w:hAnsi="仿宋" w:eastAsia="仿宋" w:cs="仿宋"/>
                <w:color w:val="auto"/>
                <w:szCs w:val="21"/>
                <w:highlight w:val="none"/>
              </w:rPr>
            </w:pPr>
            <w:r>
              <w:rPr>
                <w:rStyle w:val="37"/>
                <w:rFonts w:hint="eastAsia" w:ascii="仿宋" w:hAnsi="仿宋" w:eastAsia="仿宋" w:cs="仿宋"/>
                <w:color w:val="auto"/>
                <w:szCs w:val="21"/>
                <w:highlight w:val="none"/>
              </w:rPr>
              <w:t>2、本项目采购标的所属行业为：</w:t>
            </w:r>
            <w:r>
              <w:rPr>
                <w:rStyle w:val="37"/>
                <w:rFonts w:hint="eastAsia" w:ascii="仿宋" w:hAnsi="仿宋" w:eastAsia="仿宋" w:cs="仿宋"/>
                <w:color w:val="auto"/>
                <w:szCs w:val="21"/>
                <w:highlight w:val="none"/>
                <w:lang w:val="en-US" w:eastAsia="zh-CN"/>
              </w:rPr>
              <w:t>工业</w:t>
            </w:r>
            <w:r>
              <w:rPr>
                <w:rStyle w:val="37"/>
                <w:rFonts w:hint="eastAsia" w:ascii="仿宋" w:hAnsi="仿宋" w:eastAsia="仿宋" w:cs="仿宋"/>
                <w:color w:val="auto"/>
                <w:szCs w:val="21"/>
                <w:highlight w:val="none"/>
              </w:rPr>
              <w:t>。</w:t>
            </w:r>
          </w:p>
          <w:p w14:paraId="63B275A0">
            <w:pPr>
              <w:rPr>
                <w:rFonts w:hint="eastAsia" w:eastAsia="仿宋"/>
                <w:color w:val="auto"/>
                <w:highlight w:val="none"/>
                <w:lang w:val="en-US" w:eastAsia="zh-CN"/>
              </w:rPr>
            </w:pPr>
            <w:r>
              <w:rPr>
                <w:rStyle w:val="37"/>
                <w:rFonts w:hint="eastAsia" w:ascii="仿宋" w:hAnsi="仿宋" w:eastAsia="仿宋" w:cs="仿宋"/>
                <w:color w:val="auto"/>
                <w:szCs w:val="21"/>
                <w:highlight w:val="none"/>
                <w:lang w:val="en-US" w:eastAsia="zh-CN"/>
              </w:rPr>
              <w:t>3</w:t>
            </w:r>
            <w:r>
              <w:rPr>
                <w:rStyle w:val="37"/>
                <w:rFonts w:hint="eastAsia" w:ascii="仿宋" w:hAnsi="仿宋" w:eastAsia="仿宋" w:cs="仿宋"/>
                <w:color w:val="auto"/>
                <w:kern w:val="2"/>
                <w:sz w:val="21"/>
                <w:szCs w:val="21"/>
                <w:highlight w:val="none"/>
                <w:lang w:val="en-US" w:eastAsia="zh-CN" w:bidi="ar-SA"/>
              </w:rPr>
              <w:t>、中小企业判定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B421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14:paraId="0A4388CB">
            <w:pPr>
              <w:widowControl w:val="0"/>
              <w:spacing w:line="288" w:lineRule="auto"/>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14.10</w:t>
            </w:r>
          </w:p>
        </w:tc>
        <w:tc>
          <w:tcPr>
            <w:tcW w:w="1932" w:type="dxa"/>
            <w:tcBorders>
              <w:top w:val="single" w:color="000000" w:sz="6" w:space="0"/>
              <w:left w:val="single" w:color="000000" w:sz="6" w:space="0"/>
              <w:bottom w:val="single" w:color="000000" w:sz="6" w:space="0"/>
              <w:right w:val="single" w:color="000000" w:sz="6" w:space="0"/>
            </w:tcBorders>
            <w:vAlign w:val="center"/>
          </w:tcPr>
          <w:p w14:paraId="33546836">
            <w:pPr>
              <w:pStyle w:val="40"/>
              <w:widowControl w:val="0"/>
              <w:spacing w:after="0" w:line="288" w:lineRule="auto"/>
              <w:jc w:val="center"/>
              <w:rPr>
                <w:rStyle w:val="37"/>
                <w:rFonts w:ascii="仿宋" w:hAnsi="仿宋" w:eastAsia="仿宋" w:cs="仿宋"/>
                <w:color w:val="auto"/>
                <w:szCs w:val="21"/>
                <w:highlight w:val="none"/>
              </w:rPr>
            </w:pPr>
            <w:r>
              <w:rPr>
                <w:rStyle w:val="37"/>
                <w:rFonts w:hint="eastAsia" w:ascii="仿宋" w:hAnsi="仿宋" w:eastAsia="仿宋" w:cs="仿宋"/>
                <w:color w:val="auto"/>
                <w:kern w:val="0"/>
                <w:szCs w:val="21"/>
                <w:highlight w:val="none"/>
              </w:rPr>
              <w:t>一致性</w:t>
            </w:r>
          </w:p>
        </w:tc>
        <w:tc>
          <w:tcPr>
            <w:tcW w:w="6064" w:type="dxa"/>
            <w:tcBorders>
              <w:top w:val="single" w:color="000000" w:sz="6" w:space="0"/>
              <w:left w:val="single" w:color="000000" w:sz="6" w:space="0"/>
              <w:bottom w:val="single" w:color="000000" w:sz="6" w:space="0"/>
              <w:right w:val="single" w:color="000000" w:sz="6" w:space="0"/>
            </w:tcBorders>
            <w:vAlign w:val="center"/>
          </w:tcPr>
          <w:p w14:paraId="67D18F31">
            <w:pPr>
              <w:pStyle w:val="40"/>
              <w:widowControl w:val="0"/>
              <w:spacing w:after="0" w:line="288" w:lineRule="auto"/>
              <w:rPr>
                <w:rStyle w:val="37"/>
                <w:rFonts w:ascii="仿宋" w:hAnsi="仿宋" w:eastAsia="仿宋" w:cs="仿宋"/>
                <w:color w:val="auto"/>
                <w:szCs w:val="21"/>
                <w:highlight w:val="none"/>
              </w:rPr>
            </w:pPr>
            <w:r>
              <w:rPr>
                <w:rStyle w:val="37"/>
                <w:rFonts w:hint="eastAsia" w:ascii="仿宋" w:hAnsi="仿宋" w:eastAsia="仿宋" w:cs="仿宋"/>
                <w:color w:val="auto"/>
                <w:kern w:val="0"/>
                <w:szCs w:val="21"/>
                <w:highlight w:val="none"/>
              </w:rPr>
              <w:t>供应商须知前附表和须知不一致的地方，以前附表为准。</w:t>
            </w:r>
          </w:p>
        </w:tc>
      </w:tr>
      <w:tr w14:paraId="2417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8941" w:type="dxa"/>
            <w:gridSpan w:val="3"/>
            <w:tcBorders>
              <w:top w:val="single" w:color="000000" w:sz="6" w:space="0"/>
              <w:left w:val="single" w:color="000000" w:sz="6" w:space="0"/>
              <w:bottom w:val="single" w:color="000000" w:sz="6" w:space="0"/>
              <w:right w:val="single" w:color="000000" w:sz="6" w:space="0"/>
            </w:tcBorders>
            <w:vAlign w:val="center"/>
          </w:tcPr>
          <w:p w14:paraId="7A4EE7B9">
            <w:pPr>
              <w:pStyle w:val="40"/>
              <w:widowControl w:val="0"/>
              <w:spacing w:after="0" w:line="288" w:lineRule="auto"/>
              <w:rPr>
                <w:rStyle w:val="37"/>
                <w:rFonts w:ascii="仿宋" w:hAnsi="仿宋" w:eastAsia="仿宋" w:cs="仿宋"/>
                <w:b/>
                <w:bCs/>
                <w:color w:val="auto"/>
                <w:szCs w:val="21"/>
                <w:highlight w:val="none"/>
              </w:rPr>
            </w:pPr>
            <w:r>
              <w:rPr>
                <w:rStyle w:val="37"/>
                <w:rFonts w:ascii="仿宋" w:hAnsi="仿宋" w:eastAsia="仿宋" w:cs="仿宋"/>
                <w:b/>
                <w:bCs/>
                <w:color w:val="auto"/>
                <w:szCs w:val="21"/>
                <w:highlight w:val="none"/>
              </w:rPr>
              <w:t>1、分支机构参与投标时，投标文件中应提供自己的资格要求证明文件。分支机构与总公司不得同时参与本项目的投标。</w:t>
            </w:r>
          </w:p>
          <w:p w14:paraId="0AD55C12">
            <w:pPr>
              <w:pStyle w:val="40"/>
              <w:widowControl w:val="0"/>
              <w:spacing w:after="0" w:line="288" w:lineRule="auto"/>
              <w:rPr>
                <w:rStyle w:val="37"/>
                <w:rFonts w:ascii="仿宋" w:hAnsi="仿宋" w:eastAsia="仿宋" w:cs="仿宋"/>
                <w:b/>
                <w:bCs/>
                <w:color w:val="auto"/>
                <w:szCs w:val="21"/>
                <w:highlight w:val="none"/>
              </w:rPr>
            </w:pPr>
            <w:r>
              <w:rPr>
                <w:rStyle w:val="37"/>
                <w:rFonts w:ascii="仿宋" w:hAnsi="仿宋" w:eastAsia="仿宋" w:cs="仿宋"/>
                <w:b/>
                <w:bCs/>
                <w:color w:val="auto"/>
                <w:szCs w:val="21"/>
                <w:highlight w:val="none"/>
              </w:rPr>
              <w:t>2、招标文件中凡是要求供应商投标文件中需要法定代表人签字盖章之处，非法人单位的负责人均参照执行。</w:t>
            </w:r>
          </w:p>
          <w:p w14:paraId="45E0BD74">
            <w:pPr>
              <w:pStyle w:val="40"/>
              <w:widowControl w:val="0"/>
              <w:spacing w:after="0" w:line="288" w:lineRule="auto"/>
              <w:rPr>
                <w:rStyle w:val="37"/>
                <w:rFonts w:ascii="仿宋" w:hAnsi="仿宋" w:eastAsia="仿宋" w:cs="仿宋"/>
                <w:color w:val="auto"/>
                <w:szCs w:val="21"/>
                <w:highlight w:val="none"/>
              </w:rPr>
            </w:pPr>
            <w:r>
              <w:rPr>
                <w:rStyle w:val="37"/>
                <w:rFonts w:hint="eastAsia" w:ascii="仿宋" w:hAnsi="仿宋" w:eastAsia="仿宋" w:cs="仿宋"/>
                <w:b/>
                <w:bCs/>
                <w:color w:val="auto"/>
                <w:szCs w:val="21"/>
                <w:highlight w:val="none"/>
              </w:rPr>
              <w:t>3、评审时因供应商提供的投标文件中证明材料不清晰导致无法辨认的，或隐瞒相关不良信息的，造成不利于供应商的情况其后果由供应商自行负责。</w:t>
            </w:r>
          </w:p>
        </w:tc>
      </w:tr>
    </w:tbl>
    <w:p w14:paraId="5C28A6EC">
      <w:pPr>
        <w:widowControl w:val="0"/>
        <w:spacing w:line="360" w:lineRule="auto"/>
        <w:jc w:val="center"/>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br w:type="page"/>
      </w:r>
    </w:p>
    <w:p w14:paraId="38717320">
      <w:pPr>
        <w:widowControl w:val="0"/>
        <w:spacing w:line="360" w:lineRule="auto"/>
        <w:jc w:val="center"/>
        <w:outlineLvl w:val="1"/>
        <w:rPr>
          <w:rStyle w:val="37"/>
          <w:rFonts w:ascii="仿宋" w:hAnsi="仿宋" w:eastAsia="仿宋" w:cs="仿宋"/>
          <w:color w:val="auto"/>
          <w:sz w:val="32"/>
          <w:szCs w:val="32"/>
          <w:highlight w:val="none"/>
        </w:rPr>
      </w:pPr>
      <w:r>
        <w:rPr>
          <w:rStyle w:val="37"/>
          <w:rFonts w:hint="eastAsia" w:ascii="仿宋" w:hAnsi="仿宋" w:eastAsia="仿宋" w:cs="仿宋"/>
          <w:b/>
          <w:color w:val="auto"/>
          <w:sz w:val="32"/>
          <w:szCs w:val="32"/>
          <w:highlight w:val="none"/>
        </w:rPr>
        <w:t>一、总  则</w:t>
      </w:r>
    </w:p>
    <w:p w14:paraId="00041657">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1.1采购项目概况</w:t>
      </w:r>
    </w:p>
    <w:p w14:paraId="38EB4974">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1.1.1根据《中华人民共和国政府采购法》及实施条例和《政府采购货物和服务招标投标管理办法》（财政部87号令）等有关法律、法规和规章的规定，本项目已具备采购条件，现对该项目采购进行公开采购。</w:t>
      </w:r>
    </w:p>
    <w:p w14:paraId="6C84E26E">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1.1.2采购人：详见供应商须知前附表。</w:t>
      </w:r>
    </w:p>
    <w:p w14:paraId="6008AF85">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1.1.3采购代理机构：详见供应商须知前附表。</w:t>
      </w:r>
    </w:p>
    <w:p w14:paraId="5979DA3F">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1.1.4监督单位：详见供应商须知前附表。</w:t>
      </w:r>
    </w:p>
    <w:p w14:paraId="61D46C9C">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1.1.5采购项目名称：详见供应商须知前附表。</w:t>
      </w:r>
    </w:p>
    <w:p w14:paraId="77A21312">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1.2采购项目的资金来源和落实情况</w:t>
      </w:r>
    </w:p>
    <w:p w14:paraId="7DD7C846">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1.2.1资金来源：详见供应商须知前附表。</w:t>
      </w:r>
    </w:p>
    <w:p w14:paraId="2814D5D7">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1.2.2资金落实情况：详见供应商须知前附表。</w:t>
      </w:r>
    </w:p>
    <w:p w14:paraId="6BFEA72C">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1.3采购范围、服务期、服务地点</w:t>
      </w:r>
    </w:p>
    <w:p w14:paraId="32F6750C">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1.3.1采购范围：详见供应商须知前附表。</w:t>
      </w:r>
    </w:p>
    <w:p w14:paraId="5251A2A8">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1.3.2</w:t>
      </w:r>
      <w:r>
        <w:rPr>
          <w:rStyle w:val="37"/>
          <w:rFonts w:hint="eastAsia" w:ascii="仿宋" w:hAnsi="仿宋" w:eastAsia="仿宋" w:cs="仿宋"/>
          <w:bCs/>
          <w:color w:val="auto"/>
          <w:szCs w:val="24"/>
          <w:highlight w:val="none"/>
          <w:lang w:val="en-US" w:eastAsia="zh-CN"/>
        </w:rPr>
        <w:t>服务期</w:t>
      </w:r>
      <w:r>
        <w:rPr>
          <w:rStyle w:val="37"/>
          <w:rFonts w:hint="eastAsia" w:ascii="仿宋" w:hAnsi="仿宋" w:eastAsia="仿宋" w:cs="仿宋"/>
          <w:bCs/>
          <w:color w:val="auto"/>
          <w:szCs w:val="24"/>
          <w:highlight w:val="none"/>
        </w:rPr>
        <w:t>：详见供应商须知前附表。</w:t>
      </w:r>
    </w:p>
    <w:p w14:paraId="0988977A">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1.3.3服务地点：详见供应商须知前附表。</w:t>
      </w:r>
    </w:p>
    <w:p w14:paraId="7C84A43B">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1.4合格供应商</w:t>
      </w:r>
    </w:p>
    <w:p w14:paraId="7D632AA5">
      <w:pPr>
        <w:pStyle w:val="17"/>
        <w:widowControl w:val="0"/>
        <w:spacing w:line="360" w:lineRule="auto"/>
        <w:ind w:firstLine="480" w:firstLineChars="200"/>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合格供应商应具备以下条件：</w:t>
      </w:r>
    </w:p>
    <w:p w14:paraId="76E09431">
      <w:pPr>
        <w:pStyle w:val="17"/>
        <w:widowControl w:val="0"/>
        <w:spacing w:line="360" w:lineRule="auto"/>
        <w:ind w:firstLine="480" w:firstLineChars="200"/>
        <w:outlineLvl w:val="9"/>
        <w:rPr>
          <w:rStyle w:val="37"/>
          <w:rFonts w:ascii="仿宋" w:hAnsi="仿宋" w:eastAsia="仿宋" w:cs="仿宋"/>
          <w:bCs/>
          <w:color w:val="auto"/>
          <w:kern w:val="0"/>
          <w:sz w:val="24"/>
          <w:szCs w:val="24"/>
          <w:highlight w:val="none"/>
        </w:rPr>
      </w:pPr>
      <w:r>
        <w:rPr>
          <w:rStyle w:val="37"/>
          <w:rFonts w:hint="eastAsia" w:ascii="仿宋" w:hAnsi="仿宋" w:eastAsia="仿宋" w:cs="仿宋"/>
          <w:bCs/>
          <w:color w:val="auto"/>
          <w:sz w:val="24"/>
          <w:szCs w:val="24"/>
          <w:highlight w:val="none"/>
        </w:rPr>
        <w:t>1.4.1供应商资格要求：详见供应商须知前附表。</w:t>
      </w:r>
    </w:p>
    <w:p w14:paraId="5607F875">
      <w:pPr>
        <w:widowControl w:val="0"/>
        <w:spacing w:line="360" w:lineRule="auto"/>
        <w:ind w:firstLine="480" w:firstLineChars="200"/>
        <w:jc w:val="left"/>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1.4.2供应商须知前附表规定接受联合体投标的，联合体除应符合本章第 1.4项和供应商须知前附表的要求外，还应遵守以下规定：</w:t>
      </w:r>
    </w:p>
    <w:p w14:paraId="432E7C01">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（1）联合体各方应按招标文件提供的格式签订联合体协议书，明确联合体牵头人和各方权利义务，并承诺就</w:t>
      </w:r>
      <w:r>
        <w:rPr>
          <w:rStyle w:val="37"/>
          <w:rFonts w:hint="eastAsia" w:ascii="仿宋" w:hAnsi="仿宋" w:eastAsia="仿宋" w:cs="仿宋"/>
          <w:bCs/>
          <w:color w:val="auto"/>
          <w:szCs w:val="24"/>
          <w:highlight w:val="none"/>
          <w:lang w:val="en-US" w:eastAsia="zh-CN"/>
        </w:rPr>
        <w:t>中标</w:t>
      </w:r>
      <w:r>
        <w:rPr>
          <w:rStyle w:val="37"/>
          <w:rFonts w:hint="eastAsia" w:ascii="仿宋" w:hAnsi="仿宋" w:eastAsia="仿宋" w:cs="仿宋"/>
          <w:bCs/>
          <w:color w:val="auto"/>
          <w:szCs w:val="24"/>
          <w:highlight w:val="none"/>
        </w:rPr>
        <w:t>项目向采购人承担连带责任；</w:t>
      </w:r>
    </w:p>
    <w:p w14:paraId="57457ECE">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（2）由同一专业的单位组成的联合体，按照资质等级较低的单位确定资质等级；</w:t>
      </w:r>
    </w:p>
    <w:p w14:paraId="526D8C39">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（3）联合体各方不得再以自己名义单独或参加其他联合体在本采购项目中投标，否则各相关投标均无效。</w:t>
      </w:r>
    </w:p>
    <w:p w14:paraId="439D75CD">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1.4.3供应商不得存在下列情形之一：</w:t>
      </w:r>
    </w:p>
    <w:p w14:paraId="1D0188AE">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（1）投标文件未按招标文件要求签署、盖章的；</w:t>
      </w:r>
    </w:p>
    <w:p w14:paraId="2325D46A">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（2）不具备招标文件中规定的资格要求的；</w:t>
      </w:r>
    </w:p>
    <w:p w14:paraId="5B18FF34">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（3）报价超过招标文件中规定的预算金额或者最高限价的；</w:t>
      </w:r>
    </w:p>
    <w:p w14:paraId="01E62FE0">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（4）投标文件含有采购人不能接受的附加条件的；</w:t>
      </w:r>
    </w:p>
    <w:p w14:paraId="3A6D8B72">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（5）无投标有效期或有效期达不到招标文件要求的；</w:t>
      </w:r>
    </w:p>
    <w:p w14:paraId="163C77A2">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（6）单位负责人为同一人或者存在直接控股、管理关系的不同供应商，参加本项目同一合同项下的投标的；</w:t>
      </w:r>
    </w:p>
    <w:p w14:paraId="7DAA4F99">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（7）为本采购项目提供整体设计、规范编制或者项目管理、监理、检测等服务的供应商，参加本采购项目投标的；</w:t>
      </w:r>
    </w:p>
    <w:p w14:paraId="37499B12">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（8）提供虚假投标文件和资料的。</w:t>
      </w:r>
    </w:p>
    <w:p w14:paraId="4D5EBFF2">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（9）法律、法规和招标文件规定的其他无效情形；</w:t>
      </w:r>
    </w:p>
    <w:p w14:paraId="798F6203">
      <w:pPr>
        <w:widowControl w:val="0"/>
        <w:spacing w:line="360" w:lineRule="auto"/>
        <w:ind w:firstLine="480" w:firstLineChars="200"/>
        <w:jc w:val="left"/>
        <w:outlineLvl w:val="9"/>
        <w:rPr>
          <w:rStyle w:val="37"/>
          <w:rFonts w:hint="eastAsia" w:ascii="仿宋" w:hAnsi="仿宋" w:eastAsia="仿宋" w:cs="仿宋"/>
          <w:bCs/>
          <w:color w:val="auto"/>
          <w:szCs w:val="24"/>
          <w:highlight w:val="none"/>
        </w:rPr>
      </w:pPr>
      <w:r>
        <w:rPr>
          <w:rStyle w:val="37"/>
          <w:rFonts w:hint="eastAsia" w:ascii="仿宋" w:hAnsi="仿宋" w:eastAsia="仿宋" w:cs="仿宋"/>
          <w:bCs/>
          <w:color w:val="auto"/>
          <w:szCs w:val="24"/>
          <w:highlight w:val="none"/>
        </w:rPr>
        <w:t>（10）供应商未上传电子化投标文件。</w:t>
      </w:r>
    </w:p>
    <w:p w14:paraId="7E80E23E">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1.4.4</w:t>
      </w:r>
      <w:r>
        <w:rPr>
          <w:rFonts w:hint="eastAsia" w:ascii="仿宋" w:hAnsi="仿宋" w:eastAsia="仿宋" w:cs="仿宋"/>
          <w:b/>
          <w:bCs w:val="0"/>
          <w:color w:val="auto"/>
          <w:sz w:val="24"/>
          <w:szCs w:val="24"/>
          <w:highlight w:val="none"/>
        </w:rPr>
        <w:t>供应商有下列情形之一的，视为供应商串通投标，其投标无效</w:t>
      </w:r>
      <w:r>
        <w:rPr>
          <w:rFonts w:hint="eastAsia" w:ascii="仿宋" w:hAnsi="仿宋" w:eastAsia="仿宋" w:cs="仿宋"/>
          <w:b/>
          <w:bCs w:val="0"/>
          <w:color w:val="auto"/>
          <w:sz w:val="24"/>
          <w:szCs w:val="24"/>
          <w:highlight w:val="none"/>
          <w:lang w:eastAsia="zh-CN"/>
        </w:rPr>
        <w:t>：</w:t>
      </w:r>
    </w:p>
    <w:p w14:paraId="5604B31A">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（1）不同供应商的投标文件由同一单位或者个人编制；</w:t>
      </w:r>
    </w:p>
    <w:p w14:paraId="6E0E4FF8">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（2）不同供应商委托同一单位或者个人办理投标事宜；</w:t>
      </w:r>
    </w:p>
    <w:p w14:paraId="1A780F8C">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（3）不同供应商的投标文件载明的项目管理成员或者联系人员为同一人；</w:t>
      </w:r>
    </w:p>
    <w:p w14:paraId="4D28655A">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（4）不同供应商的投标文件异常一致或者投标报价呈规律性差异；</w:t>
      </w:r>
    </w:p>
    <w:p w14:paraId="771BE76E">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（5）不同供应商的投标文件相互混装</w:t>
      </w:r>
      <w:r>
        <w:rPr>
          <w:rFonts w:hint="eastAsia" w:ascii="仿宋" w:hAnsi="仿宋" w:eastAsia="仿宋" w:cs="仿宋"/>
          <w:b/>
          <w:bCs w:val="0"/>
          <w:color w:val="auto"/>
          <w:sz w:val="24"/>
          <w:szCs w:val="24"/>
          <w:highlight w:val="none"/>
          <w:lang w:eastAsia="zh-CN"/>
        </w:rPr>
        <w:t>；</w:t>
      </w:r>
    </w:p>
    <w:p w14:paraId="0AE26018">
      <w:pPr>
        <w:widowControl w:val="0"/>
        <w:spacing w:line="360" w:lineRule="auto"/>
        <w:ind w:firstLine="482" w:firstLineChars="200"/>
        <w:textAlignment w:val="auto"/>
        <w:outlineLvl w:val="9"/>
        <w:rPr>
          <w:color w:val="auto"/>
          <w:highlight w:val="none"/>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投标文件制作机器码一致。</w:t>
      </w:r>
    </w:p>
    <w:p w14:paraId="5D1207C3">
      <w:pPr>
        <w:widowControl w:val="0"/>
        <w:spacing w:before="157" w:line="360" w:lineRule="auto"/>
        <w:jc w:val="left"/>
        <w:outlineLvl w:val="9"/>
        <w:rPr>
          <w:rStyle w:val="37"/>
          <w:rFonts w:hint="eastAsia" w:ascii="仿宋" w:hAnsi="仿宋" w:eastAsia="仿宋" w:cs="仿宋"/>
          <w:b/>
          <w:color w:val="auto"/>
          <w:szCs w:val="24"/>
          <w:highlight w:val="none"/>
          <w:lang w:val="en-US" w:eastAsia="zh-CN"/>
        </w:rPr>
      </w:pPr>
      <w:r>
        <w:rPr>
          <w:rStyle w:val="37"/>
          <w:rFonts w:hint="eastAsia" w:ascii="仿宋" w:hAnsi="仿宋" w:eastAsia="仿宋" w:cs="仿宋"/>
          <w:b/>
          <w:color w:val="auto"/>
          <w:szCs w:val="24"/>
          <w:highlight w:val="none"/>
        </w:rPr>
        <w:t>1.5合格的</w:t>
      </w:r>
      <w:r>
        <w:rPr>
          <w:rStyle w:val="37"/>
          <w:rFonts w:hint="eastAsia" w:ascii="仿宋" w:hAnsi="仿宋" w:eastAsia="仿宋" w:cs="仿宋"/>
          <w:b/>
          <w:color w:val="auto"/>
          <w:szCs w:val="24"/>
          <w:highlight w:val="none"/>
          <w:lang w:val="en-US" w:eastAsia="zh-CN"/>
        </w:rPr>
        <w:t>货物</w:t>
      </w:r>
    </w:p>
    <w:p w14:paraId="3FBE9002">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1.5.1供应商提供的所有服务所需的伴随货物应当说明货物的来源地，符合国家有关标准要求，并满足招标文件要求的实质性要求及相关服务等要求。</w:t>
      </w:r>
    </w:p>
    <w:p w14:paraId="0E44A92A">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1.5.2采购人有权拒绝接受任何不合格的货物和服务，由此产生的费用及相关后果均由供应商自行承担。</w:t>
      </w:r>
    </w:p>
    <w:p w14:paraId="54F050D5">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1.6费用承担</w:t>
      </w:r>
    </w:p>
    <w:p w14:paraId="3D3EC440">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投标费用自理。不论投标的结果如何，供应商均应自行承担所有与参加投标有关的费用。</w:t>
      </w:r>
    </w:p>
    <w:p w14:paraId="42D7214C">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1.7保密</w:t>
      </w:r>
    </w:p>
    <w:p w14:paraId="0B92EDE7">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参与投标活动的各方应对招标文件和投标文件中的商业和技术等秘密保密，否则应承担相应的法律责任。</w:t>
      </w:r>
    </w:p>
    <w:p w14:paraId="465987E3">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1.8语言文字</w:t>
      </w:r>
    </w:p>
    <w:p w14:paraId="0B8E0ACA">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投标活动的所有文件、资料、函电文均使用简体中文，确需提交其他语言形成的资料，必须翻译成简体中文，如有差异，以简体中文为准。</w:t>
      </w:r>
    </w:p>
    <w:p w14:paraId="5C50833A">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1.9计量单位</w:t>
      </w:r>
    </w:p>
    <w:p w14:paraId="7BE2F72F">
      <w:pPr>
        <w:widowControl w:val="0"/>
        <w:spacing w:line="360" w:lineRule="auto"/>
        <w:ind w:firstLine="480" w:firstLineChars="200"/>
        <w:jc w:val="left"/>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所有计量均采用中华人民共和国法定计量单位。</w:t>
      </w:r>
    </w:p>
    <w:p w14:paraId="652D8279">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1.10分包</w:t>
      </w:r>
    </w:p>
    <w:p w14:paraId="13769304">
      <w:pPr>
        <w:widowControl w:val="0"/>
        <w:spacing w:line="360" w:lineRule="auto"/>
        <w:ind w:firstLine="480" w:firstLineChars="200"/>
        <w:jc w:val="left"/>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1.10.1供应商拟在</w:t>
      </w:r>
      <w:r>
        <w:rPr>
          <w:rStyle w:val="37"/>
          <w:rFonts w:hint="eastAsia" w:ascii="仿宋" w:hAnsi="仿宋" w:eastAsia="仿宋" w:cs="仿宋"/>
          <w:bCs/>
          <w:color w:val="auto"/>
          <w:szCs w:val="24"/>
          <w:highlight w:val="none"/>
          <w:lang w:val="en-US" w:eastAsia="zh-CN"/>
        </w:rPr>
        <w:t>中标</w:t>
      </w:r>
      <w:r>
        <w:rPr>
          <w:rStyle w:val="37"/>
          <w:rFonts w:hint="eastAsia" w:ascii="仿宋" w:hAnsi="仿宋" w:eastAsia="仿宋" w:cs="仿宋"/>
          <w:bCs/>
          <w:color w:val="auto"/>
          <w:szCs w:val="24"/>
          <w:highlight w:val="none"/>
        </w:rPr>
        <w:t>后将成交项目的非关键内容分包的，应符合供应商须知前附表规定的分包内容、分包金额和资质要求等限制性条件，除供应商须知前附表规定的非关键内容外，其他工作不得分包。</w:t>
      </w:r>
    </w:p>
    <w:p w14:paraId="049CA65B">
      <w:pPr>
        <w:widowControl w:val="0"/>
        <w:spacing w:line="360" w:lineRule="auto"/>
        <w:ind w:firstLine="480" w:firstLineChars="200"/>
        <w:jc w:val="left"/>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1.10.2中标供应商不得向他人转让</w:t>
      </w:r>
      <w:r>
        <w:rPr>
          <w:rStyle w:val="37"/>
          <w:rFonts w:hint="eastAsia" w:ascii="仿宋" w:hAnsi="仿宋" w:eastAsia="仿宋" w:cs="仿宋"/>
          <w:bCs/>
          <w:color w:val="auto"/>
          <w:szCs w:val="24"/>
          <w:highlight w:val="none"/>
          <w:lang w:val="en-US" w:eastAsia="zh-CN"/>
        </w:rPr>
        <w:t>中标</w:t>
      </w:r>
      <w:r>
        <w:rPr>
          <w:rStyle w:val="37"/>
          <w:rFonts w:hint="eastAsia" w:ascii="仿宋" w:hAnsi="仿宋" w:eastAsia="仿宋" w:cs="仿宋"/>
          <w:bCs/>
          <w:color w:val="auto"/>
          <w:szCs w:val="24"/>
          <w:highlight w:val="none"/>
        </w:rPr>
        <w:t>项目，接受分包的人不得再次分包。中标供应商应当就分包项目向采购人负责，接受分包的人就分包项目承担连带责任。</w:t>
      </w:r>
    </w:p>
    <w:p w14:paraId="669CB3B2">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1.11响应和偏差</w:t>
      </w:r>
    </w:p>
    <w:p w14:paraId="0494D4F1">
      <w:pPr>
        <w:widowControl w:val="0"/>
        <w:spacing w:line="360" w:lineRule="auto"/>
        <w:ind w:firstLine="480" w:firstLineChars="200"/>
        <w:jc w:val="left"/>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1.11.1投标文件应当对招标文件的实质性要求和条件作出满足性或更有利于采购人的响应，否则，供应商的投标将被否决。实质性要求和条件见供应商须知前附表。</w:t>
      </w:r>
    </w:p>
    <w:p w14:paraId="5CE47169">
      <w:pPr>
        <w:widowControl w:val="0"/>
        <w:spacing w:line="360" w:lineRule="auto"/>
        <w:ind w:firstLine="480" w:firstLineChars="200"/>
        <w:jc w:val="left"/>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1.11.2投标文件对招标文件的全部偏差，均应按招标文件的要求在投标文件的相关偏离表中列明，除列明的内容外，视为供应商响应招标文件的全部要求。</w:t>
      </w:r>
    </w:p>
    <w:p w14:paraId="4716B62C">
      <w:pPr>
        <w:widowControl w:val="0"/>
        <w:spacing w:line="500" w:lineRule="exact"/>
        <w:jc w:val="center"/>
        <w:outlineLvl w:val="1"/>
        <w:rPr>
          <w:rStyle w:val="37"/>
          <w:rFonts w:ascii="仿宋" w:hAnsi="仿宋" w:eastAsia="仿宋" w:cs="仿宋"/>
          <w:b/>
          <w:color w:val="auto"/>
          <w:sz w:val="32"/>
          <w:szCs w:val="32"/>
          <w:highlight w:val="none"/>
        </w:rPr>
      </w:pPr>
      <w:r>
        <w:rPr>
          <w:rStyle w:val="37"/>
          <w:rFonts w:hint="eastAsia" w:ascii="仿宋" w:hAnsi="仿宋" w:eastAsia="仿宋" w:cs="仿宋"/>
          <w:b/>
          <w:color w:val="auto"/>
          <w:sz w:val="32"/>
          <w:szCs w:val="32"/>
          <w:highlight w:val="none"/>
        </w:rPr>
        <w:t>二、招标文件</w:t>
      </w:r>
    </w:p>
    <w:p w14:paraId="7EFE4F78">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2.1招标文件构成</w:t>
      </w:r>
    </w:p>
    <w:p w14:paraId="7DE3CEDC">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2.1.1 招标文件共六章，内容如下：</w:t>
      </w:r>
    </w:p>
    <w:p w14:paraId="45447821">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第一章 招标公告</w:t>
      </w:r>
    </w:p>
    <w:p w14:paraId="50966735">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第二章 供应商须知</w:t>
      </w:r>
    </w:p>
    <w:p w14:paraId="2AEFCFEB">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 xml:space="preserve">       供应商须知前附表</w:t>
      </w:r>
    </w:p>
    <w:p w14:paraId="2F69FBB9">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第三章 合同条款及格式</w:t>
      </w:r>
    </w:p>
    <w:p w14:paraId="7F8C8DB3">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第四章 采购内容及技术要求</w:t>
      </w:r>
    </w:p>
    <w:p w14:paraId="005311C9">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第五章 评标方法</w:t>
      </w:r>
    </w:p>
    <w:p w14:paraId="6C9A58F5">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 xml:space="preserve">第六章 </w:t>
      </w:r>
      <w:r>
        <w:rPr>
          <w:rStyle w:val="37"/>
          <w:rFonts w:hint="eastAsia" w:ascii="仿宋" w:hAnsi="仿宋" w:eastAsia="仿宋" w:cs="仿宋"/>
          <w:color w:val="auto"/>
          <w:szCs w:val="24"/>
          <w:highlight w:val="none"/>
          <w:lang w:eastAsia="zh-CN"/>
        </w:rPr>
        <w:t>投标文件格式</w:t>
      </w:r>
      <w:r>
        <w:rPr>
          <w:rStyle w:val="37"/>
          <w:rFonts w:hint="eastAsia" w:ascii="仿宋" w:hAnsi="仿宋" w:eastAsia="仿宋" w:cs="仿宋"/>
          <w:color w:val="auto"/>
          <w:szCs w:val="24"/>
          <w:highlight w:val="none"/>
        </w:rPr>
        <w:t xml:space="preserve">  </w:t>
      </w:r>
    </w:p>
    <w:p w14:paraId="11C85750">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2.1.2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14:paraId="1A7F0721">
      <w:pPr>
        <w:widowControl w:val="0"/>
        <w:spacing w:line="500" w:lineRule="exact"/>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2.1.3本招标文件的解释权归陕西正明项目管理有限公司，如发现招标文件内容与现行法律法规不相符的情况，以现行法律法规为准。</w:t>
      </w:r>
    </w:p>
    <w:p w14:paraId="7495A2E5">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2.2招标文件的澄清修改及询问</w:t>
      </w:r>
    </w:p>
    <w:p w14:paraId="6FC07333">
      <w:pPr>
        <w:widowControl w:val="0"/>
        <w:spacing w:line="360" w:lineRule="auto"/>
        <w:ind w:firstLine="480" w:firstLineChars="200"/>
        <w:outlineLvl w:val="9"/>
        <w:rPr>
          <w:rStyle w:val="37"/>
          <w:rFonts w:ascii="仿宋" w:hAnsi="仿宋" w:eastAsia="仿宋" w:cs="仿宋"/>
          <w:color w:val="auto"/>
          <w:szCs w:val="21"/>
          <w:highlight w:val="none"/>
        </w:rPr>
      </w:pPr>
      <w:r>
        <w:rPr>
          <w:rStyle w:val="37"/>
          <w:rFonts w:hint="eastAsia" w:ascii="仿宋" w:hAnsi="仿宋" w:eastAsia="仿宋" w:cs="仿宋"/>
          <w:color w:val="auto"/>
          <w:szCs w:val="21"/>
          <w:highlight w:val="none"/>
        </w:rPr>
        <w:t>2.2.1采购人如果对已发出的招标文件进行必要的澄清或者修改，将在原公告发布媒体上发布澄清公告。澄清或者修改的内容为招标文件的组成部分。</w:t>
      </w:r>
    </w:p>
    <w:p w14:paraId="63B79BF1">
      <w:pPr>
        <w:keepNext w:val="0"/>
        <w:keepLines w:val="0"/>
        <w:pageBreakBefore w:val="0"/>
        <w:widowControl w:val="0"/>
        <w:wordWrap/>
        <w:overflowPunct/>
        <w:topLinePunct w:val="0"/>
        <w:bidi w:val="0"/>
        <w:spacing w:line="500" w:lineRule="exact"/>
        <w:ind w:firstLine="480" w:firstLineChars="200"/>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2.2.2澄清或者修改的内容可能影响投标文件编制的，采购代理机构将在投标截止时间至少15日前，将在财政部门指定的政府采购信息发布媒体上发布更正公告。不足15日的，采购代理机构将顺延提交投标文件的截止时间。</w:t>
      </w:r>
    </w:p>
    <w:p w14:paraId="488F5842">
      <w:pPr>
        <w:keepNext w:val="0"/>
        <w:keepLines w:val="0"/>
        <w:pageBreakBefore w:val="0"/>
        <w:widowControl w:val="0"/>
        <w:wordWrap/>
        <w:overflowPunct/>
        <w:topLinePunct w:val="0"/>
        <w:bidi w:val="0"/>
        <w:spacing w:line="500" w:lineRule="exact"/>
        <w:ind w:firstLine="480" w:firstLineChars="200"/>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2.2.3已经获取招标文件的供应商对招标文件有疑问的，采购代理机构将在3个工作日内采用适当方式予以澄清或以书面形式予以答复。</w:t>
      </w:r>
    </w:p>
    <w:p w14:paraId="61DF2D1A">
      <w:pPr>
        <w:keepNext w:val="0"/>
        <w:keepLines w:val="0"/>
        <w:pageBreakBefore w:val="0"/>
        <w:widowControl w:val="0"/>
        <w:wordWrap/>
        <w:overflowPunct/>
        <w:topLinePunct w:val="0"/>
        <w:bidi w:val="0"/>
        <w:spacing w:line="500" w:lineRule="exact"/>
        <w:ind w:firstLine="480" w:firstLineChars="200"/>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2.2.4各供应商在提交投标文件截止时间之前，应随时关注下列地址发布的更正公告，也可登录全国公共资源交易平台（陕西省˙西咸新区）政府采购交易系统查看左上角的信息提醒，采购代理机构不再单独通知，因供应商未及时关注所造成的一切后果由供应商自行承担：</w:t>
      </w:r>
    </w:p>
    <w:p w14:paraId="11EFFD07">
      <w:pPr>
        <w:keepNext w:val="0"/>
        <w:keepLines w:val="0"/>
        <w:pageBreakBefore w:val="0"/>
        <w:widowControl w:val="0"/>
        <w:wordWrap/>
        <w:overflowPunct/>
        <w:topLinePunct w:val="0"/>
        <w:bidi w:val="0"/>
        <w:spacing w:line="500" w:lineRule="exact"/>
        <w:ind w:firstLine="480" w:firstLineChars="200"/>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（1）【陕西省政府采购网（www.ccgp-shaanxi.gov.cn）】中的首页 &gt;信息公告&gt;项目所在区域&gt;更正公告；</w:t>
      </w:r>
    </w:p>
    <w:p w14:paraId="21A22B73">
      <w:pPr>
        <w:widowControl w:val="0"/>
        <w:spacing w:line="500" w:lineRule="exact"/>
        <w:ind w:firstLine="480" w:firstLineChars="200"/>
        <w:rPr>
          <w:rStyle w:val="37"/>
          <w:rFonts w:ascii="仿宋" w:hAnsi="仿宋" w:eastAsia="仿宋" w:cs="仿宋"/>
          <w:color w:val="auto"/>
          <w:highlight w:val="none"/>
        </w:rPr>
      </w:pPr>
      <w:r>
        <w:rPr>
          <w:rFonts w:hint="eastAsia" w:ascii="仿宋" w:hAnsi="仿宋" w:eastAsia="仿宋" w:cs="仿宋"/>
          <w:color w:val="auto"/>
          <w:szCs w:val="21"/>
          <w:highlight w:val="none"/>
          <w:lang w:val="en-US" w:eastAsia="zh-CN"/>
        </w:rPr>
        <w:t>（2）【全国公共资源交易平台（陕西省˙西咸新区）（http://xxxq.sxggzyjy.cn/）】中的首页&gt;交易大厅&gt;交易公告&gt;政府采购 &gt;更正公告。</w:t>
      </w:r>
    </w:p>
    <w:p w14:paraId="4749999E">
      <w:pPr>
        <w:widowControl w:val="0"/>
        <w:spacing w:line="500" w:lineRule="exact"/>
        <w:jc w:val="center"/>
        <w:outlineLvl w:val="1"/>
        <w:rPr>
          <w:rStyle w:val="37"/>
          <w:rFonts w:ascii="仿宋" w:hAnsi="仿宋" w:eastAsia="仿宋" w:cs="仿宋"/>
          <w:b/>
          <w:color w:val="auto"/>
          <w:sz w:val="32"/>
          <w:szCs w:val="32"/>
          <w:highlight w:val="none"/>
        </w:rPr>
      </w:pPr>
      <w:r>
        <w:rPr>
          <w:rStyle w:val="37"/>
          <w:rFonts w:hint="eastAsia" w:ascii="仿宋" w:hAnsi="仿宋" w:eastAsia="仿宋" w:cs="仿宋"/>
          <w:b/>
          <w:color w:val="auto"/>
          <w:sz w:val="32"/>
          <w:szCs w:val="32"/>
          <w:highlight w:val="none"/>
        </w:rPr>
        <w:t>三、投标文件</w:t>
      </w:r>
    </w:p>
    <w:p w14:paraId="122869D8">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3.1投标文件的组成</w:t>
      </w:r>
    </w:p>
    <w:p w14:paraId="6B1664B1">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3.1.1投标文件应包括下列内容：</w:t>
      </w:r>
    </w:p>
    <w:p w14:paraId="7AF4CE60">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第一部分 资格证明文件</w:t>
      </w:r>
    </w:p>
    <w:p w14:paraId="5D547353">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（1）营业执照等主体资格证明文件</w:t>
      </w:r>
      <w:r>
        <w:rPr>
          <w:rStyle w:val="37"/>
          <w:rFonts w:hint="eastAsia" w:ascii="仿宋" w:hAnsi="仿宋" w:eastAsia="仿宋" w:cs="仿宋"/>
          <w:bCs/>
          <w:color w:val="auto"/>
          <w:sz w:val="24"/>
          <w:szCs w:val="24"/>
          <w:highlight w:val="none"/>
        </w:rPr>
        <w:tab/>
      </w:r>
    </w:p>
    <w:p w14:paraId="52DBD216">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（2）基本资格条件</w:t>
      </w:r>
      <w:r>
        <w:rPr>
          <w:rStyle w:val="37"/>
          <w:rFonts w:hint="eastAsia" w:ascii="仿宋" w:hAnsi="仿宋" w:eastAsia="仿宋" w:cs="仿宋"/>
          <w:bCs/>
          <w:color w:val="auto"/>
          <w:sz w:val="24"/>
          <w:szCs w:val="24"/>
          <w:highlight w:val="none"/>
        </w:rPr>
        <w:tab/>
      </w:r>
    </w:p>
    <w:p w14:paraId="3D982D01">
      <w:pPr>
        <w:pStyle w:val="40"/>
        <w:widowControl w:val="0"/>
        <w:spacing w:after="0" w:line="360" w:lineRule="auto"/>
        <w:ind w:firstLine="480" w:firstLineChars="200"/>
        <w:jc w:val="left"/>
        <w:outlineLvl w:val="9"/>
        <w:rPr>
          <w:rFonts w:hint="eastAsia" w:eastAsia="仿宋"/>
          <w:color w:val="auto"/>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）法定代表人（或负责人）</w:t>
      </w:r>
      <w:r>
        <w:rPr>
          <w:rFonts w:hint="eastAsia" w:ascii="仿宋" w:hAnsi="仿宋" w:eastAsia="仿宋" w:cs="仿宋"/>
          <w:bCs/>
          <w:color w:val="auto"/>
          <w:sz w:val="24"/>
          <w:szCs w:val="24"/>
          <w:highlight w:val="none"/>
        </w:rPr>
        <w:t>身份证明/</w:t>
      </w:r>
      <w:r>
        <w:rPr>
          <w:rFonts w:hint="eastAsia" w:ascii="仿宋" w:hAnsi="仿宋" w:eastAsia="仿宋" w:cs="仿宋"/>
          <w:bCs/>
          <w:color w:val="auto"/>
          <w:sz w:val="24"/>
          <w:szCs w:val="24"/>
          <w:highlight w:val="none"/>
          <w:lang w:eastAsia="zh-CN"/>
        </w:rPr>
        <w:t>法定代表人（或负责人）</w:t>
      </w:r>
      <w:r>
        <w:rPr>
          <w:rFonts w:hint="eastAsia" w:ascii="仿宋" w:hAnsi="仿宋" w:eastAsia="仿宋" w:cs="仿宋"/>
          <w:bCs/>
          <w:color w:val="auto"/>
          <w:sz w:val="24"/>
          <w:szCs w:val="24"/>
          <w:highlight w:val="none"/>
        </w:rPr>
        <w:t>授权委托书</w:t>
      </w:r>
      <w:r>
        <w:rPr>
          <w:rStyle w:val="37"/>
          <w:rFonts w:hint="eastAsia" w:ascii="仿宋" w:hAnsi="仿宋" w:eastAsia="仿宋" w:cs="仿宋"/>
          <w:bCs/>
          <w:color w:val="auto"/>
          <w:sz w:val="24"/>
          <w:szCs w:val="24"/>
          <w:highlight w:val="none"/>
        </w:rPr>
        <w:tab/>
      </w:r>
    </w:p>
    <w:p w14:paraId="7C8D731A">
      <w:pPr>
        <w:pStyle w:val="40"/>
        <w:widowControl w:val="0"/>
        <w:spacing w:after="0" w:line="360" w:lineRule="auto"/>
        <w:ind w:firstLine="480" w:firstLineChars="200"/>
        <w:jc w:val="left"/>
        <w:outlineLvl w:val="9"/>
        <w:rPr>
          <w:rStyle w:val="37"/>
          <w:rFonts w:hint="eastAsia" w:ascii="仿宋" w:hAnsi="仿宋" w:eastAsia="仿宋" w:cs="仿宋"/>
          <w:bCs/>
          <w:color w:val="auto"/>
          <w:sz w:val="24"/>
          <w:szCs w:val="24"/>
          <w:highlight w:val="none"/>
          <w:lang w:val="en-US" w:eastAsia="zh-CN"/>
        </w:rPr>
      </w:pP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4</w:t>
      </w: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供应商资质</w:t>
      </w:r>
    </w:p>
    <w:p w14:paraId="378942E9">
      <w:pPr>
        <w:pStyle w:val="40"/>
        <w:widowControl w:val="0"/>
        <w:spacing w:after="0" w:line="360" w:lineRule="auto"/>
        <w:ind w:firstLine="480" w:firstLineChars="200"/>
        <w:jc w:val="left"/>
        <w:outlineLvl w:val="9"/>
        <w:rPr>
          <w:rStyle w:val="37"/>
          <w:rFonts w:hint="eastAsia" w:ascii="仿宋" w:hAnsi="仿宋" w:eastAsia="仿宋" w:cs="仿宋"/>
          <w:bCs/>
          <w:color w:val="auto"/>
          <w:sz w:val="24"/>
          <w:szCs w:val="24"/>
          <w:highlight w:val="none"/>
          <w:lang w:val="en-US" w:eastAsia="zh-CN"/>
        </w:rPr>
      </w:pPr>
      <w:r>
        <w:rPr>
          <w:rStyle w:val="37"/>
          <w:rFonts w:hint="eastAsia" w:ascii="仿宋" w:hAnsi="仿宋" w:eastAsia="仿宋" w:cs="仿宋"/>
          <w:bCs/>
          <w:color w:val="auto"/>
          <w:sz w:val="24"/>
          <w:szCs w:val="24"/>
          <w:highlight w:val="none"/>
          <w:lang w:val="en-US" w:eastAsia="zh-CN"/>
        </w:rPr>
        <w:t>（5）食品召回书面声明</w:t>
      </w:r>
    </w:p>
    <w:p w14:paraId="52E649DD">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lang w:eastAsia="zh-CN"/>
        </w:rPr>
        <w:t>（</w:t>
      </w:r>
      <w:r>
        <w:rPr>
          <w:rStyle w:val="37"/>
          <w:rFonts w:hint="eastAsia" w:ascii="仿宋" w:hAnsi="仿宋" w:eastAsia="仿宋" w:cs="仿宋"/>
          <w:bCs/>
          <w:color w:val="auto"/>
          <w:sz w:val="24"/>
          <w:szCs w:val="24"/>
          <w:highlight w:val="none"/>
          <w:lang w:val="en-US" w:eastAsia="zh-CN"/>
        </w:rPr>
        <w:t>6</w:t>
      </w:r>
      <w:r>
        <w:rPr>
          <w:rStyle w:val="37"/>
          <w:rFonts w:hint="eastAsia" w:ascii="仿宋" w:hAnsi="仿宋" w:eastAsia="仿宋" w:cs="仿宋"/>
          <w:bCs/>
          <w:color w:val="auto"/>
          <w:sz w:val="24"/>
          <w:szCs w:val="24"/>
          <w:highlight w:val="none"/>
          <w:lang w:eastAsia="zh-CN"/>
        </w:rPr>
        <w:t>）</w:t>
      </w:r>
      <w:r>
        <w:rPr>
          <w:rStyle w:val="37"/>
          <w:rFonts w:hint="eastAsia" w:ascii="仿宋" w:hAnsi="仿宋" w:eastAsia="仿宋" w:cs="仿宋"/>
          <w:bCs/>
          <w:color w:val="auto"/>
          <w:sz w:val="24"/>
          <w:szCs w:val="24"/>
          <w:highlight w:val="none"/>
        </w:rPr>
        <w:t>信用记录声明</w:t>
      </w:r>
    </w:p>
    <w:p w14:paraId="10EA54BD">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7</w:t>
      </w:r>
      <w:r>
        <w:rPr>
          <w:rStyle w:val="37"/>
          <w:rFonts w:hint="eastAsia" w:ascii="仿宋" w:hAnsi="仿宋" w:eastAsia="仿宋" w:cs="仿宋"/>
          <w:bCs/>
          <w:color w:val="auto"/>
          <w:sz w:val="24"/>
          <w:szCs w:val="24"/>
          <w:highlight w:val="none"/>
        </w:rPr>
        <w:t>）控股管理关系承诺书</w:t>
      </w:r>
      <w:r>
        <w:rPr>
          <w:rStyle w:val="37"/>
          <w:rFonts w:hint="eastAsia" w:ascii="仿宋" w:hAnsi="仿宋" w:eastAsia="仿宋" w:cs="仿宋"/>
          <w:bCs/>
          <w:color w:val="auto"/>
          <w:sz w:val="24"/>
          <w:szCs w:val="24"/>
          <w:highlight w:val="none"/>
        </w:rPr>
        <w:tab/>
      </w:r>
    </w:p>
    <w:p w14:paraId="5D44BD18">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8</w:t>
      </w:r>
      <w:r>
        <w:rPr>
          <w:rStyle w:val="37"/>
          <w:rFonts w:hint="eastAsia" w:ascii="仿宋" w:hAnsi="仿宋" w:eastAsia="仿宋" w:cs="仿宋"/>
          <w:bCs/>
          <w:color w:val="auto"/>
          <w:sz w:val="24"/>
          <w:szCs w:val="24"/>
          <w:highlight w:val="none"/>
        </w:rPr>
        <w:t>）供应商书面声明</w:t>
      </w:r>
      <w:r>
        <w:rPr>
          <w:rStyle w:val="37"/>
          <w:rFonts w:hint="eastAsia" w:ascii="仿宋" w:hAnsi="仿宋" w:eastAsia="仿宋" w:cs="仿宋"/>
          <w:bCs/>
          <w:color w:val="auto"/>
          <w:sz w:val="24"/>
          <w:szCs w:val="24"/>
          <w:highlight w:val="none"/>
        </w:rPr>
        <w:tab/>
      </w:r>
    </w:p>
    <w:p w14:paraId="7C30B0B1">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9</w:t>
      </w:r>
      <w:r>
        <w:rPr>
          <w:rStyle w:val="37"/>
          <w:rFonts w:hint="eastAsia" w:ascii="仿宋" w:hAnsi="仿宋" w:eastAsia="仿宋" w:cs="仿宋"/>
          <w:bCs/>
          <w:color w:val="auto"/>
          <w:sz w:val="24"/>
          <w:szCs w:val="24"/>
          <w:highlight w:val="none"/>
        </w:rPr>
        <w:t>）供应商参与投标的承诺函</w:t>
      </w:r>
    </w:p>
    <w:p w14:paraId="53292741">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10</w:t>
      </w:r>
      <w:r>
        <w:rPr>
          <w:rStyle w:val="37"/>
          <w:rFonts w:hint="eastAsia" w:ascii="仿宋" w:hAnsi="仿宋" w:eastAsia="仿宋" w:cs="仿宋"/>
          <w:bCs/>
          <w:color w:val="auto"/>
          <w:sz w:val="24"/>
          <w:szCs w:val="24"/>
          <w:highlight w:val="none"/>
        </w:rPr>
        <w:t>）本项目不接受联合体投标，不允许分包</w:t>
      </w:r>
    </w:p>
    <w:p w14:paraId="78FAF00B">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第二部分 符合性证明文件</w:t>
      </w:r>
      <w:r>
        <w:rPr>
          <w:rStyle w:val="37"/>
          <w:rFonts w:hint="eastAsia" w:ascii="仿宋" w:hAnsi="仿宋" w:eastAsia="仿宋" w:cs="仿宋"/>
          <w:bCs/>
          <w:color w:val="auto"/>
          <w:sz w:val="24"/>
          <w:szCs w:val="24"/>
          <w:highlight w:val="none"/>
        </w:rPr>
        <w:tab/>
      </w:r>
    </w:p>
    <w:p w14:paraId="7D183553">
      <w:pPr>
        <w:pStyle w:val="40"/>
        <w:widowControl w:val="0"/>
        <w:spacing w:after="0" w:line="360" w:lineRule="auto"/>
        <w:ind w:firstLine="480" w:firstLineChars="200"/>
        <w:jc w:val="left"/>
        <w:outlineLvl w:val="9"/>
        <w:rPr>
          <w:rStyle w:val="37"/>
          <w:rFonts w:hint="eastAsia"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（1）</w:t>
      </w:r>
      <w:r>
        <w:rPr>
          <w:rStyle w:val="37"/>
          <w:rFonts w:hint="eastAsia" w:ascii="仿宋" w:hAnsi="仿宋" w:eastAsia="仿宋" w:cs="仿宋"/>
          <w:bCs/>
          <w:color w:val="auto"/>
          <w:sz w:val="24"/>
          <w:szCs w:val="24"/>
          <w:highlight w:val="none"/>
          <w:lang w:val="en-US" w:eastAsia="zh-CN"/>
        </w:rPr>
        <w:t>投标</w:t>
      </w:r>
      <w:r>
        <w:rPr>
          <w:rStyle w:val="37"/>
          <w:rFonts w:hint="eastAsia" w:ascii="仿宋" w:hAnsi="仿宋" w:eastAsia="仿宋" w:cs="仿宋"/>
          <w:bCs/>
          <w:color w:val="auto"/>
          <w:sz w:val="24"/>
          <w:szCs w:val="24"/>
          <w:highlight w:val="none"/>
        </w:rPr>
        <w:t>函</w:t>
      </w:r>
    </w:p>
    <w:p w14:paraId="6D285D83">
      <w:pPr>
        <w:ind w:firstLine="480" w:firstLineChars="200"/>
        <w:rPr>
          <w:rStyle w:val="37"/>
          <w:rFonts w:hint="eastAsia" w:ascii="仿宋" w:hAnsi="仿宋" w:eastAsia="仿宋" w:cs="仿宋"/>
          <w:bCs/>
          <w:color w:val="auto"/>
          <w:kern w:val="2"/>
          <w:sz w:val="24"/>
          <w:szCs w:val="24"/>
          <w:highlight w:val="none"/>
          <w:lang w:val="en-US" w:eastAsia="zh-CN" w:bidi="ar-SA"/>
        </w:rPr>
      </w:pPr>
      <w:r>
        <w:rPr>
          <w:rStyle w:val="37"/>
          <w:rFonts w:hint="eastAsia" w:ascii="仿宋" w:hAnsi="仿宋" w:eastAsia="仿宋" w:cs="仿宋"/>
          <w:bCs/>
          <w:color w:val="auto"/>
          <w:kern w:val="2"/>
          <w:sz w:val="24"/>
          <w:szCs w:val="24"/>
          <w:highlight w:val="none"/>
          <w:lang w:val="en-US" w:eastAsia="zh-CN" w:bidi="ar-SA"/>
        </w:rPr>
        <w:t>（2）材料清单品牌型号规格表</w:t>
      </w:r>
    </w:p>
    <w:p w14:paraId="41B15D13">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3</w:t>
      </w:r>
      <w:r>
        <w:rPr>
          <w:rStyle w:val="37"/>
          <w:rFonts w:hint="eastAsia" w:ascii="仿宋" w:hAnsi="仿宋" w:eastAsia="仿宋" w:cs="仿宋"/>
          <w:bCs/>
          <w:color w:val="auto"/>
          <w:sz w:val="24"/>
          <w:szCs w:val="24"/>
          <w:highlight w:val="none"/>
        </w:rPr>
        <w:t>）供应商参加政府采购活动承诺书</w:t>
      </w:r>
    </w:p>
    <w:p w14:paraId="4BEFD997">
      <w:pPr>
        <w:pStyle w:val="40"/>
        <w:widowControl w:val="0"/>
        <w:spacing w:after="0" w:line="360" w:lineRule="auto"/>
        <w:ind w:firstLine="480" w:firstLineChars="200"/>
        <w:jc w:val="left"/>
        <w:outlineLvl w:val="9"/>
        <w:rPr>
          <w:rStyle w:val="37"/>
          <w:rFonts w:hint="eastAsia"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4</w:t>
      </w:r>
      <w:r>
        <w:rPr>
          <w:rStyle w:val="37"/>
          <w:rFonts w:hint="eastAsia" w:ascii="仿宋" w:hAnsi="仿宋" w:eastAsia="仿宋" w:cs="仿宋"/>
          <w:bCs/>
          <w:color w:val="auto"/>
          <w:sz w:val="24"/>
          <w:szCs w:val="24"/>
          <w:highlight w:val="none"/>
        </w:rPr>
        <w:t>）技术服务偏差表</w:t>
      </w:r>
    </w:p>
    <w:p w14:paraId="0FE8CFA6">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lang w:eastAsia="zh-CN"/>
        </w:rPr>
        <w:t>（</w:t>
      </w:r>
      <w:r>
        <w:rPr>
          <w:rStyle w:val="37"/>
          <w:rFonts w:hint="eastAsia" w:ascii="仿宋" w:hAnsi="仿宋" w:eastAsia="仿宋" w:cs="仿宋"/>
          <w:bCs/>
          <w:color w:val="auto"/>
          <w:sz w:val="24"/>
          <w:szCs w:val="24"/>
          <w:highlight w:val="none"/>
          <w:lang w:val="en-US" w:eastAsia="zh-CN"/>
        </w:rPr>
        <w:t>5</w:t>
      </w:r>
      <w:r>
        <w:rPr>
          <w:rStyle w:val="37"/>
          <w:rFonts w:hint="eastAsia" w:ascii="仿宋" w:hAnsi="仿宋" w:eastAsia="仿宋" w:cs="仿宋"/>
          <w:bCs/>
          <w:color w:val="auto"/>
          <w:sz w:val="24"/>
          <w:szCs w:val="24"/>
          <w:highlight w:val="none"/>
          <w:lang w:eastAsia="zh-CN"/>
        </w:rPr>
        <w:t>）合同条款偏离表</w:t>
      </w:r>
      <w:r>
        <w:rPr>
          <w:rStyle w:val="37"/>
          <w:rFonts w:hint="eastAsia" w:ascii="仿宋" w:hAnsi="仿宋" w:eastAsia="仿宋" w:cs="仿宋"/>
          <w:bCs/>
          <w:color w:val="auto"/>
          <w:sz w:val="24"/>
          <w:szCs w:val="24"/>
          <w:highlight w:val="none"/>
        </w:rPr>
        <w:tab/>
      </w:r>
    </w:p>
    <w:p w14:paraId="2A575FD6">
      <w:pPr>
        <w:pStyle w:val="40"/>
        <w:widowControl w:val="0"/>
        <w:spacing w:after="0" w:line="360" w:lineRule="auto"/>
        <w:ind w:firstLine="480" w:firstLineChars="200"/>
        <w:jc w:val="left"/>
        <w:outlineLvl w:val="9"/>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第三部分 投标响应方案</w:t>
      </w:r>
      <w:r>
        <w:rPr>
          <w:rStyle w:val="37"/>
          <w:rFonts w:hint="eastAsia" w:ascii="仿宋" w:hAnsi="仿宋" w:eastAsia="仿宋" w:cs="仿宋"/>
          <w:bCs/>
          <w:color w:val="auto"/>
          <w:sz w:val="24"/>
          <w:szCs w:val="24"/>
          <w:highlight w:val="none"/>
        </w:rPr>
        <w:tab/>
      </w:r>
    </w:p>
    <w:p w14:paraId="36829138">
      <w:pPr>
        <w:pStyle w:val="40"/>
        <w:widowControl w:val="0"/>
        <w:spacing w:after="0" w:line="360" w:lineRule="auto"/>
        <w:ind w:firstLine="480" w:firstLineChars="200"/>
        <w:jc w:val="left"/>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1</w:t>
      </w:r>
      <w:r>
        <w:rPr>
          <w:rStyle w:val="37"/>
          <w:rFonts w:hint="eastAsia" w:ascii="仿宋" w:hAnsi="仿宋" w:eastAsia="仿宋" w:cs="仿宋"/>
          <w:bCs/>
          <w:color w:val="auto"/>
          <w:sz w:val="24"/>
          <w:szCs w:val="24"/>
          <w:highlight w:val="none"/>
        </w:rPr>
        <w:t>）技术方案</w:t>
      </w:r>
      <w:r>
        <w:rPr>
          <w:rStyle w:val="37"/>
          <w:rFonts w:hint="eastAsia" w:ascii="仿宋" w:hAnsi="仿宋" w:eastAsia="仿宋" w:cs="仿宋"/>
          <w:bCs/>
          <w:color w:val="auto"/>
          <w:sz w:val="24"/>
          <w:szCs w:val="24"/>
          <w:highlight w:val="none"/>
        </w:rPr>
        <w:tab/>
      </w:r>
    </w:p>
    <w:p w14:paraId="56F30563">
      <w:pPr>
        <w:pStyle w:val="40"/>
        <w:widowControl w:val="0"/>
        <w:spacing w:after="0" w:line="360" w:lineRule="auto"/>
        <w:ind w:firstLine="480" w:firstLineChars="200"/>
        <w:jc w:val="left"/>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w:t>
      </w:r>
      <w:r>
        <w:rPr>
          <w:rStyle w:val="37"/>
          <w:rFonts w:hint="eastAsia" w:ascii="仿宋" w:hAnsi="仿宋" w:eastAsia="仿宋" w:cs="仿宋"/>
          <w:bCs/>
          <w:color w:val="auto"/>
          <w:sz w:val="24"/>
          <w:szCs w:val="24"/>
          <w:highlight w:val="none"/>
          <w:lang w:val="en-US" w:eastAsia="zh-CN"/>
        </w:rPr>
        <w:t>2</w:t>
      </w:r>
      <w:r>
        <w:rPr>
          <w:rStyle w:val="37"/>
          <w:rFonts w:hint="eastAsia" w:ascii="仿宋" w:hAnsi="仿宋" w:eastAsia="仿宋" w:cs="仿宋"/>
          <w:bCs/>
          <w:color w:val="auto"/>
          <w:sz w:val="24"/>
          <w:szCs w:val="24"/>
          <w:highlight w:val="none"/>
        </w:rPr>
        <w:t>）供应商认为有利于中标的其他情况说明</w:t>
      </w:r>
      <w:r>
        <w:rPr>
          <w:rStyle w:val="37"/>
          <w:rFonts w:hint="eastAsia" w:ascii="仿宋" w:hAnsi="仿宋" w:eastAsia="仿宋" w:cs="仿宋"/>
          <w:bCs/>
          <w:color w:val="auto"/>
          <w:sz w:val="24"/>
          <w:szCs w:val="24"/>
          <w:highlight w:val="none"/>
        </w:rPr>
        <w:tab/>
      </w:r>
    </w:p>
    <w:p w14:paraId="6E33666B">
      <w:pPr>
        <w:pStyle w:val="40"/>
        <w:widowControl w:val="0"/>
        <w:spacing w:after="0" w:line="360" w:lineRule="auto"/>
        <w:ind w:firstLine="482" w:firstLineChars="200"/>
        <w:jc w:val="left"/>
        <w:rPr>
          <w:rStyle w:val="37"/>
          <w:rFonts w:hint="eastAsia" w:ascii="仿宋" w:hAnsi="仿宋" w:eastAsia="仿宋" w:cs="仿宋"/>
          <w:b/>
          <w:color w:val="auto"/>
          <w:sz w:val="24"/>
          <w:szCs w:val="24"/>
          <w:highlight w:val="none"/>
        </w:rPr>
      </w:pPr>
      <w:r>
        <w:rPr>
          <w:rStyle w:val="37"/>
          <w:rFonts w:hint="eastAsia" w:ascii="仿宋" w:hAnsi="仿宋" w:eastAsia="仿宋" w:cs="仿宋"/>
          <w:b/>
          <w:color w:val="auto"/>
          <w:sz w:val="24"/>
          <w:szCs w:val="24"/>
          <w:highlight w:val="none"/>
        </w:rPr>
        <w:t>供应商在评标过程中作出的符合法律法规和招标文件规定的澄清确认，构成投标文件的组成部分。</w:t>
      </w:r>
    </w:p>
    <w:p w14:paraId="467F7A96">
      <w:pPr>
        <w:pStyle w:val="40"/>
        <w:widowControl w:val="0"/>
        <w:spacing w:after="0" w:line="360" w:lineRule="auto"/>
        <w:ind w:firstLine="480" w:firstLineChars="200"/>
        <w:jc w:val="left"/>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3.1.2 供应商应保证其投标文件中所提供的所有有关投标的资料、信息是真实的、并且来源于合法的渠道。因投标文件中所提供的有关投标的资料、信息不真实、或者其来源不合法而导致的所有法律责任，由供应商自行承担。</w:t>
      </w:r>
    </w:p>
    <w:p w14:paraId="34732CEF">
      <w:pPr>
        <w:widowControl w:val="0"/>
        <w:spacing w:line="500" w:lineRule="exac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3.2投标报价</w:t>
      </w:r>
    </w:p>
    <w:p w14:paraId="19E28640">
      <w:pPr>
        <w:widowControl w:val="0"/>
        <w:spacing w:line="500" w:lineRule="exact"/>
        <w:ind w:firstLine="480" w:firstLineChars="200"/>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3.2.1投标报价是供应商响应招标项目要求的全部工作内容的价格体现，包括完成采购内容所需的直接费、间接费、利润、税金、招标代理服务费及其它相关的一切费用。供应商在报价时应充分考虑所有可能发生的费用，招标文件未列明，而供应商认为应当计取的费用均应列入报价中。报价时不论是否计取，采购人均按已计取对待。</w:t>
      </w:r>
    </w:p>
    <w:p w14:paraId="33DD8172">
      <w:pPr>
        <w:widowControl w:val="0"/>
        <w:spacing w:line="500" w:lineRule="exact"/>
        <w:ind w:firstLine="480" w:firstLineChars="200"/>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3.2.2供应商应严格按照《</w:t>
      </w:r>
      <w:r>
        <w:rPr>
          <w:rStyle w:val="37"/>
          <w:rFonts w:hint="eastAsia" w:ascii="仿宋" w:hAnsi="仿宋" w:eastAsia="仿宋" w:cs="仿宋"/>
          <w:bCs/>
          <w:color w:val="auto"/>
          <w:szCs w:val="24"/>
          <w:highlight w:val="none"/>
          <w:lang w:eastAsia="zh-CN"/>
        </w:rPr>
        <w:t>投标文件格式</w:t>
      </w:r>
      <w:r>
        <w:rPr>
          <w:rStyle w:val="37"/>
          <w:rFonts w:hint="eastAsia" w:ascii="仿宋" w:hAnsi="仿宋" w:eastAsia="仿宋" w:cs="仿宋"/>
          <w:bCs/>
          <w:color w:val="auto"/>
          <w:szCs w:val="24"/>
          <w:highlight w:val="none"/>
        </w:rPr>
        <w:t>》中《报价一览表》中的相关要求填写报价及其他需要响应的内容。</w:t>
      </w:r>
    </w:p>
    <w:p w14:paraId="30355CED">
      <w:pPr>
        <w:widowControl w:val="0"/>
        <w:spacing w:line="500" w:lineRule="exact"/>
        <w:ind w:firstLine="480" w:firstLineChars="200"/>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3.2.3</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人民币</w:t>
      </w:r>
      <w:r>
        <w:rPr>
          <w:rFonts w:hint="eastAsia" w:ascii="仿宋" w:hAnsi="仿宋" w:eastAsia="仿宋" w:cs="仿宋"/>
          <w:bCs/>
          <w:color w:val="auto"/>
          <w:sz w:val="24"/>
          <w:szCs w:val="24"/>
          <w:highlight w:val="none"/>
        </w:rPr>
        <w:t>；单位：</w:t>
      </w:r>
      <w:r>
        <w:rPr>
          <w:rFonts w:hint="eastAsia" w:ascii="仿宋" w:hAnsi="仿宋" w:eastAsia="仿宋" w:cs="仿宋"/>
          <w:bCs/>
          <w:color w:val="auto"/>
          <w:sz w:val="24"/>
          <w:szCs w:val="24"/>
          <w:highlight w:val="none"/>
          <w:lang w:val="en-US" w:eastAsia="zh-CN"/>
        </w:rPr>
        <w:t>元</w:t>
      </w:r>
      <w:r>
        <w:rPr>
          <w:rFonts w:hint="eastAsia" w:ascii="仿宋" w:hAnsi="仿宋" w:eastAsia="仿宋" w:cs="仿宋"/>
          <w:bCs/>
          <w:color w:val="auto"/>
          <w:sz w:val="24"/>
          <w:szCs w:val="24"/>
          <w:highlight w:val="none"/>
        </w:rPr>
        <w:t>。</w:t>
      </w:r>
    </w:p>
    <w:p w14:paraId="201D2810">
      <w:pPr>
        <w:widowControl w:val="0"/>
        <w:spacing w:line="500" w:lineRule="exact"/>
        <w:ind w:firstLine="480" w:firstLineChars="200"/>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3.2.4投标报价只能提交唯一报价，并且在合同履行过程中是固定不变的，任何有选择的报价将不予接受，按无效响应处理。</w:t>
      </w:r>
    </w:p>
    <w:p w14:paraId="70981410">
      <w:pPr>
        <w:widowControl w:val="0"/>
        <w:spacing w:line="500" w:lineRule="exact"/>
        <w:ind w:firstLine="480" w:firstLineChars="200"/>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rPr>
        <w:t>3.2.5因供应商对招标文件理解不透、误解、疏漏或对市场行情了解不清造成的后果和风险，均由供应商自己负责。</w:t>
      </w:r>
    </w:p>
    <w:p w14:paraId="023AD2ED">
      <w:pPr>
        <w:widowControl w:val="0"/>
        <w:spacing w:line="500" w:lineRule="exac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3.3投标有效期</w:t>
      </w:r>
    </w:p>
    <w:p w14:paraId="0E30BE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Cs w:val="24"/>
          <w:highlight w:val="none"/>
          <w:lang w:val="en-US" w:eastAsia="zh-CN"/>
        </w:rPr>
        <w:t>3.3</w:t>
      </w:r>
      <w:r>
        <w:rPr>
          <w:rFonts w:hint="eastAsia" w:ascii="仿宋" w:hAnsi="仿宋" w:eastAsia="仿宋" w:cs="仿宋"/>
          <w:b w:val="0"/>
          <w:bCs w:val="0"/>
          <w:color w:val="auto"/>
          <w:szCs w:val="24"/>
          <w:highlight w:val="none"/>
        </w:rPr>
        <w:t>.1投标有效期</w:t>
      </w:r>
      <w:r>
        <w:rPr>
          <w:rFonts w:hint="eastAsia" w:ascii="仿宋" w:hAnsi="仿宋" w:eastAsia="仿宋" w:cs="仿宋"/>
          <w:b w:val="0"/>
          <w:bCs w:val="0"/>
          <w:color w:val="auto"/>
          <w:szCs w:val="24"/>
          <w:highlight w:val="none"/>
          <w:lang w:eastAsia="zh-CN"/>
        </w:rPr>
        <w:t>：</w:t>
      </w:r>
      <w:r>
        <w:rPr>
          <w:rFonts w:hint="eastAsia" w:ascii="仿宋" w:hAnsi="仿宋" w:eastAsia="仿宋" w:cs="仿宋"/>
          <w:color w:val="auto"/>
          <w:sz w:val="24"/>
          <w:szCs w:val="24"/>
          <w:highlight w:val="none"/>
          <w:lang w:val="en-US" w:eastAsia="zh-CN"/>
        </w:rPr>
        <w:t>本项目投标的最低有效期要求</w:t>
      </w:r>
      <w:r>
        <w:rPr>
          <w:rFonts w:hint="eastAsia" w:ascii="仿宋" w:hAnsi="仿宋" w:eastAsia="仿宋" w:cs="仿宋"/>
          <w:b w:val="0"/>
          <w:bCs w:val="0"/>
          <w:color w:val="auto"/>
          <w:szCs w:val="24"/>
          <w:highlight w:val="none"/>
          <w:lang w:eastAsia="zh-CN"/>
        </w:rPr>
        <w:t>见供应商须知前附表</w:t>
      </w:r>
      <w:r>
        <w:rPr>
          <w:rFonts w:hint="eastAsia" w:ascii="仿宋" w:hAnsi="仿宋" w:eastAsia="仿宋" w:cs="仿宋"/>
          <w:b w:val="0"/>
          <w:bCs w:val="0"/>
          <w:color w:val="auto"/>
          <w:szCs w:val="24"/>
          <w:highlight w:val="none"/>
        </w:rPr>
        <w:t>。投标文件应在投标有效期内保持有效。投标有效期不满足规定有效期的投标文件将被视为无效投标而拒绝。</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color w:val="auto"/>
          <w:sz w:val="24"/>
          <w:szCs w:val="24"/>
          <w:highlight w:val="none"/>
          <w:lang w:val="en-US" w:eastAsia="zh-CN"/>
        </w:rPr>
        <w:t>供应商投标截止时间后，投标供应商在投标有效期内不得撤销投标文件。</w:t>
      </w:r>
    </w:p>
    <w:p w14:paraId="1214FB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3.3</w:t>
      </w:r>
      <w:r>
        <w:rPr>
          <w:rFonts w:hint="eastAsia" w:ascii="仿宋" w:hAnsi="仿宋" w:eastAsia="仿宋" w:cs="仿宋"/>
          <w:color w:val="auto"/>
          <w:szCs w:val="24"/>
          <w:highlight w:val="none"/>
        </w:rPr>
        <w:t>.2特殊情况下，在原投标有效期期满之前，</w:t>
      </w:r>
      <w:r>
        <w:rPr>
          <w:rFonts w:hint="eastAsia" w:ascii="仿宋" w:hAnsi="仿宋" w:eastAsia="仿宋" w:cs="仿宋"/>
          <w:color w:val="auto"/>
          <w:sz w:val="24"/>
          <w:szCs w:val="24"/>
          <w:highlight w:val="none"/>
        </w:rPr>
        <w:t>采购人或</w:t>
      </w:r>
      <w:r>
        <w:rPr>
          <w:rFonts w:hint="eastAsia" w:ascii="仿宋" w:hAnsi="仿宋" w:eastAsia="仿宋" w:cs="仿宋"/>
          <w:color w:val="auto"/>
          <w:szCs w:val="24"/>
          <w:highlight w:val="none"/>
        </w:rPr>
        <w:t>采购代理机构可向</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提出延长投标有效期的要求。这种要求与答复均应以书面的形式</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同意延长有效期的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除按照采购人或</w:t>
      </w:r>
      <w:r>
        <w:rPr>
          <w:rFonts w:hint="eastAsia" w:ascii="仿宋" w:hAnsi="仿宋" w:eastAsia="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rPr>
        <w:t>要求修改投标文件有效期外，不得修改投标文件的其他内容。</w:t>
      </w:r>
    </w:p>
    <w:p w14:paraId="220CDF59">
      <w:pPr>
        <w:widowControl w:val="0"/>
        <w:spacing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3.4投标保证金</w:t>
      </w:r>
    </w:p>
    <w:p w14:paraId="2C492290">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bCs/>
          <w:color w:val="auto"/>
          <w:sz w:val="24"/>
          <w:szCs w:val="24"/>
          <w:highlight w:val="none"/>
        </w:rPr>
        <w:t>投标保证金：详见供应商须知前附表。</w:t>
      </w:r>
    </w:p>
    <w:p w14:paraId="5FB51281">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3.5 资格审查资料</w:t>
      </w:r>
    </w:p>
    <w:p w14:paraId="2D84416E">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供应商应按评标办法要求的资格审查标准提供资格审查资料，以证明其满足本章第 1.4 款规定的供应商资格要求。</w:t>
      </w:r>
    </w:p>
    <w:p w14:paraId="0A730D9F">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3.6备选投标响应方案</w:t>
      </w:r>
    </w:p>
    <w:p w14:paraId="50D4C1D7">
      <w:pPr>
        <w:pStyle w:val="40"/>
        <w:widowControl w:val="0"/>
        <w:spacing w:after="0" w:line="360" w:lineRule="auto"/>
        <w:ind w:firstLine="480" w:firstLineChars="200"/>
        <w:jc w:val="left"/>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3.6.1除供应商须知前附表规定允许外，供应商不得递交备选投标响应方案，否则其投标将被否决。</w:t>
      </w:r>
    </w:p>
    <w:p w14:paraId="7ACA7A19">
      <w:pPr>
        <w:pStyle w:val="40"/>
        <w:widowControl w:val="0"/>
        <w:spacing w:after="0" w:line="360" w:lineRule="auto"/>
        <w:ind w:firstLine="480" w:firstLineChars="200"/>
        <w:jc w:val="left"/>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3.6.2允许供应商递交备选投标响应方案的，只有中标供应商所递交的备选投标响应方案方可予以考虑。评标委员会认为中标供应商的备选投标响应方案优于其按照招标文件要求编制的投标响应方案的，采购人可以接受该备选投标响应方案。</w:t>
      </w:r>
    </w:p>
    <w:p w14:paraId="19E59D42">
      <w:pPr>
        <w:pStyle w:val="40"/>
        <w:widowControl w:val="0"/>
        <w:spacing w:after="0" w:line="360" w:lineRule="auto"/>
        <w:ind w:firstLine="480" w:firstLineChars="200"/>
        <w:jc w:val="left"/>
        <w:rPr>
          <w:rStyle w:val="37"/>
          <w:rFonts w:ascii="仿宋" w:hAnsi="仿宋" w:eastAsia="仿宋" w:cs="仿宋"/>
          <w:bCs/>
          <w:color w:val="auto"/>
          <w:sz w:val="24"/>
          <w:szCs w:val="24"/>
          <w:highlight w:val="none"/>
        </w:rPr>
      </w:pPr>
      <w:r>
        <w:rPr>
          <w:rStyle w:val="37"/>
          <w:rFonts w:hint="eastAsia" w:ascii="仿宋" w:hAnsi="仿宋" w:eastAsia="仿宋" w:cs="仿宋"/>
          <w:bCs/>
          <w:color w:val="auto"/>
          <w:sz w:val="24"/>
          <w:szCs w:val="24"/>
          <w:highlight w:val="none"/>
        </w:rPr>
        <w:t>3.6.3供应商提供两个或两个以上投标报价，或者在投标文件中提供一个报价，但同时提供两个或两个以上供货方案的，视为提供备选方案。</w:t>
      </w:r>
    </w:p>
    <w:p w14:paraId="305EA7ED">
      <w:pPr>
        <w:widowControl w:val="0"/>
        <w:spacing w:before="157" w:line="360" w:lineRule="auto"/>
        <w:jc w:val="left"/>
        <w:outlineLvl w:val="9"/>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3.7.投标文件的编制</w:t>
      </w:r>
    </w:p>
    <w:p w14:paraId="1DAE2B89">
      <w:pPr>
        <w:pStyle w:val="2"/>
        <w:widowControl w:val="0"/>
        <w:spacing w:after="0"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3.7.1投标文件应按第六章“投标文件格式”进行编写，如有必要，可以增加附页，作为投标文件的组成部分。</w:t>
      </w:r>
    </w:p>
    <w:p w14:paraId="53403010">
      <w:pPr>
        <w:pStyle w:val="2"/>
        <w:widowControl w:val="0"/>
        <w:spacing w:after="0"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3.7.2投标文件应当对招标文件有关服务期、服务地点、投标有效期等实质性内容作出响应。投标文件在满足招标文件实质性要求的基础上，可以提出比招标文件要求更有利于采购人的承诺。</w:t>
      </w:r>
    </w:p>
    <w:p w14:paraId="71BEA331">
      <w:pPr>
        <w:pStyle w:val="2"/>
        <w:widowControl w:val="0"/>
        <w:spacing w:after="0"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3.7.3本项目采用电子投标文件的形式。编制电子投标文件时，应使用最新发布的电子招标文件及专用制作工具进行编制。并使用数字认证证书（CA 锁）对电子投标文件进行签署、加密、递交及解密等相关操作。</w:t>
      </w:r>
    </w:p>
    <w:p w14:paraId="336089FA">
      <w:pPr>
        <w:pStyle w:val="2"/>
        <w:widowControl w:val="0"/>
        <w:spacing w:after="0"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3.7.4电子招标文件下载。供应商登录全国公共资源交易平台（陕西省·西咸新区）网站〖首页〉电子交易平台〉企业端〗后，在〖招标公告/出让公告〗模块中选择项目点击“我要投标”，参与投标活动。然后即可在〖我的项目〗中点击“项目流程&gt;交易文件下载”下载电子招标文件（*.SXSZF）。注意：该项目如有变更文件，则应点击“项目流程&gt;答疑文件下载”下载更新后的电子招标文件（*.SXSCF），使用旧版电子招标文件制作的电子投标文件，系统将拒绝接收。</w:t>
      </w:r>
    </w:p>
    <w:p w14:paraId="3D8AA2DD">
      <w:pPr>
        <w:pStyle w:val="2"/>
        <w:widowControl w:val="0"/>
        <w:spacing w:after="0"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3.7.5电子招标文件需要使用专用软件打开、浏览。供应商可在全国公共资源交易平台（陕西省）网站〖首页〉服务指南〉下载专区〗免费下载“陕西省公共资源交易平台政府采购电子标书制作工具”，并升级至最新版本，使用该采购人端可以打开电子招标文件。软件操作手册详见全国公共资源交易平台（陕西省）网站〖首页〉服务指南〉下载专区〗中的《陕西省公共资源交易（政府采购类）投标文件制作软件操作手册》。</w:t>
      </w:r>
    </w:p>
    <w:p w14:paraId="4A7E6A1F">
      <w:pPr>
        <w:pStyle w:val="2"/>
        <w:widowControl w:val="0"/>
        <w:spacing w:after="0"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3.7.6制作电子投标文件。电子投标文件同样需要使用上述软件进行编制。在编制过程中，如有技术性问题，请先翻阅操作手册，或致电软件开发商。技术支持热线：4009980000。</w:t>
      </w:r>
    </w:p>
    <w:p w14:paraId="132D00AE">
      <w:pPr>
        <w:widowControl w:val="0"/>
        <w:spacing w:before="157" w:beforeLines="50" w:line="360" w:lineRule="auto"/>
        <w:jc w:val="left"/>
        <w:textAlignment w:val="auto"/>
        <w:rPr>
          <w:rFonts w:hint="default"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3.8投标文件的签署及其他规定</w:t>
      </w:r>
    </w:p>
    <w:p w14:paraId="508F75D0">
      <w:pPr>
        <w:pStyle w:val="2"/>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3.8</w:t>
      </w:r>
      <w:r>
        <w:rPr>
          <w:rFonts w:hint="eastAsia" w:ascii="仿宋" w:hAnsi="仿宋" w:eastAsia="仿宋" w:cs="仿宋"/>
          <w:bCs/>
          <w:color w:val="auto"/>
          <w:sz w:val="24"/>
          <w:szCs w:val="24"/>
          <w:highlight w:val="none"/>
        </w:rPr>
        <w:t>.1组成投标文件的各项文件均应遵守本条规定。</w:t>
      </w:r>
    </w:p>
    <w:p w14:paraId="01A49F03">
      <w:pPr>
        <w:pStyle w:val="2"/>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3.8.2</w:t>
      </w:r>
      <w:r>
        <w:rPr>
          <w:rFonts w:hint="eastAsia" w:ascii="仿宋" w:hAnsi="仿宋" w:eastAsia="仿宋" w:cs="仿宋"/>
          <w:bCs/>
          <w:color w:val="auto"/>
          <w:sz w:val="24"/>
          <w:szCs w:val="24"/>
          <w:highlight w:val="none"/>
        </w:rPr>
        <w:t>投标文件签署要求如下：</w:t>
      </w:r>
    </w:p>
    <w:p w14:paraId="5F4008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投标供应商在“投标函”、“法定代表人（或负责人）身份证明/法定代表人（或负责人）授权委托书”等内容应当按格式要求加盖与投标供应商名称全称相一致的标准公章，并签署法定代表人（或负责人）或授权委托代表的全名或加盖名章；</w:t>
      </w:r>
    </w:p>
    <w:p w14:paraId="7FD71A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（2）如为联合体投标，联合体各方均应加盖公章并签署联合体全权代表方法定代表人（或负责人）或其授权委托代表的全名或加盖名章；</w:t>
      </w:r>
    </w:p>
    <w:p w14:paraId="63799FF0">
      <w:pPr>
        <w:widowControl w:val="0"/>
        <w:spacing w:after="0" w:line="360" w:lineRule="auto"/>
        <w:ind w:firstLine="480" w:firstLineChars="200"/>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3.8.3因投标文件内容表达不清所引起的不利后果由投标供应商承担。</w:t>
      </w:r>
    </w:p>
    <w:p w14:paraId="3A88DCF0">
      <w:pPr>
        <w:widowControl w:val="0"/>
        <w:spacing w:before="334" w:after="334" w:line="500" w:lineRule="exact"/>
        <w:jc w:val="center"/>
        <w:outlineLvl w:val="1"/>
        <w:rPr>
          <w:rStyle w:val="37"/>
          <w:rFonts w:ascii="仿宋" w:hAnsi="仿宋" w:eastAsia="仿宋" w:cs="仿宋"/>
          <w:b/>
          <w:color w:val="auto"/>
          <w:sz w:val="32"/>
          <w:szCs w:val="32"/>
          <w:highlight w:val="none"/>
        </w:rPr>
      </w:pPr>
      <w:r>
        <w:rPr>
          <w:rStyle w:val="37"/>
          <w:rFonts w:hint="eastAsia" w:ascii="仿宋" w:hAnsi="仿宋" w:eastAsia="仿宋" w:cs="仿宋"/>
          <w:b/>
          <w:color w:val="auto"/>
          <w:sz w:val="32"/>
          <w:szCs w:val="32"/>
          <w:highlight w:val="none"/>
        </w:rPr>
        <w:t>四、投标文件的递交</w:t>
      </w:r>
    </w:p>
    <w:p w14:paraId="22CC2BF4">
      <w:pPr>
        <w:widowControl w:val="0"/>
        <w:spacing w:before="157" w:line="360" w:lineRule="auto"/>
        <w:jc w:val="left"/>
        <w:outlineLvl w:val="9"/>
        <w:rPr>
          <w:rStyle w:val="37"/>
          <w:rFonts w:ascii="仿宋" w:hAnsi="仿宋" w:eastAsia="仿宋" w:cs="仿宋"/>
          <w:b/>
          <w:bCs/>
          <w:color w:val="auto"/>
          <w:spacing w:val="-1"/>
          <w:szCs w:val="24"/>
          <w:highlight w:val="none"/>
        </w:rPr>
      </w:pPr>
      <w:r>
        <w:rPr>
          <w:rStyle w:val="37"/>
          <w:rFonts w:hint="eastAsia" w:ascii="仿宋" w:hAnsi="仿宋" w:eastAsia="仿宋" w:cs="仿宋"/>
          <w:b/>
          <w:bCs/>
          <w:color w:val="auto"/>
          <w:spacing w:val="-1"/>
          <w:szCs w:val="24"/>
          <w:highlight w:val="none"/>
        </w:rPr>
        <w:t>4.1投标文件的递交</w:t>
      </w:r>
    </w:p>
    <w:p w14:paraId="672DFC16">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4.1.1电子投标文件可于提交投标文件截止时间前任意时段登录全国公共资源交易平台（陕西省˙西咸新区）网站“电子交易平台&gt;企业端”进行提交，提交时，供应商应登录全国公共资源交易中心平台（陕西省˙西咸新区），选择“首页&gt;电子交易平台&gt;企业端&gt;我的项目”，点击“项目流程”，在打开的“项目管理”对话框中选择“上传投标文件”，上传加密的电子投标文件（*.SXSTF）。上传成功后，电子化平台将予以记录。</w:t>
      </w:r>
    </w:p>
    <w:p w14:paraId="6A343C7A">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4.1.2在招标文件规定时间未上传投标文件或上传投标文件失败的，系统将拒绝接收。</w:t>
      </w:r>
    </w:p>
    <w:p w14:paraId="79D92B8E">
      <w:pPr>
        <w:widowControl w:val="0"/>
        <w:spacing w:line="360" w:lineRule="auto"/>
        <w:ind w:firstLine="482" w:firstLineChars="200"/>
        <w:outlineLvl w:val="9"/>
        <w:rPr>
          <w:rStyle w:val="37"/>
          <w:rFonts w:ascii="仿宋" w:hAnsi="仿宋" w:eastAsia="仿宋" w:cs="仿宋"/>
          <w:b/>
          <w:bCs/>
          <w:color w:val="auto"/>
          <w:szCs w:val="24"/>
          <w:highlight w:val="none"/>
        </w:rPr>
      </w:pPr>
      <w:r>
        <w:rPr>
          <w:rStyle w:val="37"/>
          <w:rFonts w:hint="eastAsia" w:ascii="仿宋" w:hAnsi="仿宋" w:eastAsia="仿宋" w:cs="仿宋"/>
          <w:b/>
          <w:bCs/>
          <w:color w:val="auto"/>
          <w:szCs w:val="24"/>
          <w:highlight w:val="none"/>
        </w:rPr>
        <w:t>4.2投标文件的修改与撤回</w:t>
      </w:r>
    </w:p>
    <w:p w14:paraId="490970E6">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 xml:space="preserve">4.2.1供应商在递交投标文件后，且在提交投标文件截止时间前，可以对所提交的电子投标文件进行补充、修改或撤回。 </w:t>
      </w:r>
    </w:p>
    <w:p w14:paraId="12FC7833">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 xml:space="preserve">4.2.2对电子投标文件进行补充、修改的，应先从电子交易平台上撤回旧版，再重新提交新版。 </w:t>
      </w:r>
    </w:p>
    <w:p w14:paraId="50E1DD34">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4.2.3电子投标文件提交截止时间后，供应商不得对其电子投标文件做任何修改。</w:t>
      </w:r>
    </w:p>
    <w:p w14:paraId="5E7DB2F3">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4.2.4供应商在提交电子投标文件截止时间后撤回电子投标文件的，采购人有权将此情况如实反映财政部门，由财政部门予以记录并纳入供应商失信行为名单。</w:t>
      </w:r>
    </w:p>
    <w:p w14:paraId="776AD1F4">
      <w:pPr>
        <w:keepNext w:val="0"/>
        <w:keepLines w:val="0"/>
        <w:pageBreakBefore w:val="0"/>
        <w:widowControl w:val="0"/>
        <w:kinsoku/>
        <w:wordWrap/>
        <w:overflowPunct/>
        <w:topLinePunct w:val="0"/>
        <w:bidi w:val="0"/>
        <w:adjustRightInd/>
        <w:snapToGrid/>
        <w:spacing w:line="360" w:lineRule="auto"/>
        <w:ind w:firstLine="482" w:firstLineChars="200"/>
        <w:outlineLvl w:val="9"/>
        <w:rPr>
          <w:rStyle w:val="37"/>
          <w:rFonts w:hint="eastAsia" w:ascii="仿宋" w:hAnsi="仿宋" w:eastAsia="仿宋" w:cs="仿宋"/>
          <w:b/>
          <w:bCs/>
          <w:color w:val="auto"/>
          <w:szCs w:val="24"/>
          <w:highlight w:val="none"/>
        </w:rPr>
      </w:pPr>
      <w:r>
        <w:rPr>
          <w:rStyle w:val="37"/>
          <w:rFonts w:hint="eastAsia" w:ascii="仿宋" w:hAnsi="仿宋" w:eastAsia="仿宋" w:cs="仿宋"/>
          <w:b/>
          <w:bCs/>
          <w:color w:val="auto"/>
          <w:szCs w:val="24"/>
          <w:highlight w:val="none"/>
        </w:rPr>
        <w:t>4.3供应商提交投标文件时，出现下列情况之一的，其投标文件将被拒绝接收：</w:t>
      </w:r>
    </w:p>
    <w:p w14:paraId="321D43DE">
      <w:pPr>
        <w:widowControl w:val="0"/>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4.3.1逾期提交电子投标文件的；</w:t>
      </w:r>
    </w:p>
    <w:p w14:paraId="08FFE489">
      <w:pPr>
        <w:widowControl w:val="0"/>
        <w:spacing w:line="360" w:lineRule="auto"/>
        <w:ind w:firstLine="480" w:firstLineChars="200"/>
        <w:jc w:val="left"/>
        <w:outlineLvl w:val="9"/>
        <w:rPr>
          <w:rFonts w:hint="eastAsia" w:ascii="仿宋" w:hAnsi="仿宋" w:eastAsia="仿宋" w:cs="仿宋"/>
          <w:b w:val="0"/>
          <w:color w:val="auto"/>
          <w:sz w:val="24"/>
          <w:szCs w:val="24"/>
          <w:highlight w:val="none"/>
        </w:rPr>
      </w:pPr>
      <w:r>
        <w:rPr>
          <w:rFonts w:hint="eastAsia" w:ascii="仿宋" w:hAnsi="仿宋" w:eastAsia="仿宋" w:cs="仿宋"/>
          <w:color w:val="auto"/>
          <w:szCs w:val="24"/>
          <w:highlight w:val="none"/>
          <w:lang w:val="en-US" w:eastAsia="zh-CN"/>
        </w:rPr>
        <w:t>4.3.2提交的电子投标文件与本项目不相符的。</w:t>
      </w:r>
    </w:p>
    <w:p w14:paraId="75F491FC">
      <w:pPr>
        <w:widowControl w:val="0"/>
        <w:spacing w:line="500" w:lineRule="exact"/>
        <w:jc w:val="center"/>
        <w:outlineLvl w:val="1"/>
        <w:rPr>
          <w:rStyle w:val="37"/>
          <w:rFonts w:ascii="仿宋" w:hAnsi="仿宋" w:eastAsia="仿宋" w:cs="仿宋"/>
          <w:b/>
          <w:color w:val="auto"/>
          <w:sz w:val="32"/>
          <w:szCs w:val="32"/>
          <w:highlight w:val="none"/>
        </w:rPr>
      </w:pPr>
      <w:r>
        <w:rPr>
          <w:rStyle w:val="37"/>
          <w:rFonts w:hint="eastAsia" w:ascii="仿宋" w:hAnsi="仿宋" w:eastAsia="仿宋" w:cs="仿宋"/>
          <w:b/>
          <w:color w:val="auto"/>
          <w:sz w:val="32"/>
          <w:szCs w:val="32"/>
          <w:highlight w:val="none"/>
        </w:rPr>
        <w:t>五、开标</w:t>
      </w:r>
    </w:p>
    <w:p w14:paraId="5355A3FA">
      <w:pPr>
        <w:widowControl w:val="0"/>
        <w:spacing w:before="157" w:line="360" w:lineRule="auto"/>
        <w:jc w:val="left"/>
        <w:outlineLvl w:val="9"/>
        <w:rPr>
          <w:rStyle w:val="37"/>
          <w:rFonts w:ascii="仿宋" w:hAnsi="仿宋" w:eastAsia="仿宋" w:cs="仿宋"/>
          <w:b/>
          <w:bCs/>
          <w:color w:val="auto"/>
          <w:spacing w:val="-1"/>
          <w:szCs w:val="24"/>
          <w:highlight w:val="none"/>
        </w:rPr>
      </w:pPr>
      <w:r>
        <w:rPr>
          <w:rStyle w:val="37"/>
          <w:rFonts w:hint="eastAsia" w:ascii="仿宋" w:hAnsi="仿宋" w:eastAsia="仿宋" w:cs="仿宋"/>
          <w:b/>
          <w:bCs/>
          <w:color w:val="auto"/>
          <w:spacing w:val="-1"/>
          <w:szCs w:val="24"/>
          <w:highlight w:val="none"/>
        </w:rPr>
        <w:t>5.1开标时间及地点</w:t>
      </w:r>
    </w:p>
    <w:p w14:paraId="6355CA9A">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5.1.1采购代理机构组织开标、评审工作，整个过程受政府采购监管机构的监督、管理。</w:t>
      </w:r>
    </w:p>
    <w:p w14:paraId="29E2B1F3">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 xml:space="preserve">5.1.2本项目采用不见面开标模式，采用电子化投标文件，供应商需在开标前登录全国公共资源交易平台（陕西省·西咸新区）首页选择电子交易平台-“西咸新区公共资源交易不见面开标系统”，进行自行调试。开标时，按照工作人员要求进行投标文件解密，唱标及确认开标结果，远程观看开标直播。如遇困难，请拨打系统平台技术支持电话：4009980000。 </w:t>
      </w:r>
    </w:p>
    <w:p w14:paraId="24CA0F54">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5.1.3只有在开标时唱出的价格和价格变动声明，评标时才能考虑。</w:t>
      </w:r>
    </w:p>
    <w:p w14:paraId="5733FC5A">
      <w:pPr>
        <w:widowControl w:val="0"/>
        <w:spacing w:before="157" w:line="360" w:lineRule="auto"/>
        <w:jc w:val="left"/>
        <w:outlineLvl w:val="9"/>
        <w:rPr>
          <w:rStyle w:val="37"/>
          <w:rFonts w:ascii="仿宋" w:hAnsi="仿宋" w:eastAsia="仿宋" w:cs="仿宋"/>
          <w:b/>
          <w:bCs/>
          <w:color w:val="auto"/>
          <w:spacing w:val="-1"/>
          <w:szCs w:val="24"/>
          <w:highlight w:val="none"/>
        </w:rPr>
      </w:pPr>
      <w:r>
        <w:rPr>
          <w:rStyle w:val="37"/>
          <w:rFonts w:hint="eastAsia" w:ascii="仿宋" w:hAnsi="仿宋" w:eastAsia="仿宋" w:cs="仿宋"/>
          <w:b/>
          <w:bCs/>
          <w:color w:val="auto"/>
          <w:spacing w:val="-1"/>
          <w:szCs w:val="24"/>
          <w:highlight w:val="none"/>
        </w:rPr>
        <w:t>5.2开标程序</w:t>
      </w:r>
    </w:p>
    <w:p w14:paraId="40927BE6">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5.2.1采购代理机构在</w:t>
      </w:r>
      <w:r>
        <w:rPr>
          <w:rStyle w:val="37"/>
          <w:rFonts w:hint="eastAsia" w:ascii="仿宋" w:hAnsi="仿宋" w:eastAsia="仿宋" w:cs="仿宋"/>
          <w:bCs/>
          <w:color w:val="auto"/>
          <w:sz w:val="24"/>
          <w:szCs w:val="24"/>
          <w:highlight w:val="none"/>
        </w:rPr>
        <w:t>供应商须知前附表</w:t>
      </w:r>
      <w:r>
        <w:rPr>
          <w:rStyle w:val="37"/>
          <w:rFonts w:hint="eastAsia" w:ascii="仿宋" w:hAnsi="仿宋" w:eastAsia="仿宋" w:cs="仿宋"/>
          <w:color w:val="auto"/>
          <w:sz w:val="24"/>
          <w:szCs w:val="24"/>
          <w:highlight w:val="none"/>
        </w:rPr>
        <w:t>规定的时间和地点组织开标，参加投标的供应商不足3家的，不得解密。</w:t>
      </w:r>
    </w:p>
    <w:p w14:paraId="16D5003D">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主持人按下列程序进行：</w:t>
      </w:r>
    </w:p>
    <w:p w14:paraId="59D7B0DD">
      <w:pPr>
        <w:pStyle w:val="238"/>
        <w:widowControl w:val="0"/>
        <w:tabs>
          <w:tab w:val="left" w:pos="1350"/>
        </w:tabs>
        <w:spacing w:line="360" w:lineRule="auto"/>
        <w:ind w:firstLine="468"/>
        <w:jc w:val="left"/>
        <w:outlineLvl w:val="9"/>
        <w:rPr>
          <w:rStyle w:val="37"/>
          <w:rFonts w:ascii="仿宋" w:hAnsi="仿宋" w:eastAsia="仿宋" w:cs="仿宋"/>
          <w:color w:val="auto"/>
          <w:szCs w:val="24"/>
          <w:highlight w:val="none"/>
        </w:rPr>
      </w:pPr>
      <w:r>
        <w:rPr>
          <w:rStyle w:val="37"/>
          <w:rFonts w:hint="eastAsia" w:ascii="仿宋" w:hAnsi="仿宋" w:eastAsia="仿宋" w:cs="仿宋"/>
          <w:color w:val="auto"/>
          <w:spacing w:val="-3"/>
          <w:szCs w:val="24"/>
          <w:highlight w:val="none"/>
        </w:rPr>
        <w:t>（1）宣布大会纪律；</w:t>
      </w:r>
    </w:p>
    <w:p w14:paraId="71814735">
      <w:pPr>
        <w:pStyle w:val="238"/>
        <w:widowControl w:val="0"/>
        <w:tabs>
          <w:tab w:val="left" w:pos="1350"/>
        </w:tabs>
        <w:spacing w:line="360" w:lineRule="auto"/>
        <w:ind w:firstLine="468"/>
        <w:jc w:val="left"/>
        <w:outlineLvl w:val="9"/>
        <w:rPr>
          <w:rStyle w:val="37"/>
          <w:rFonts w:ascii="仿宋" w:hAnsi="仿宋" w:eastAsia="仿宋" w:cs="仿宋"/>
          <w:color w:val="auto"/>
          <w:szCs w:val="24"/>
          <w:highlight w:val="none"/>
        </w:rPr>
      </w:pPr>
      <w:r>
        <w:rPr>
          <w:rStyle w:val="37"/>
          <w:rFonts w:hint="eastAsia" w:ascii="仿宋" w:hAnsi="仿宋" w:eastAsia="仿宋" w:cs="仿宋"/>
          <w:color w:val="auto"/>
          <w:spacing w:val="-3"/>
          <w:szCs w:val="24"/>
          <w:highlight w:val="none"/>
        </w:rPr>
        <w:t>（2）公布在投标截止时间前递交投标文件的供应商名称；</w:t>
      </w:r>
    </w:p>
    <w:p w14:paraId="3C947854">
      <w:pPr>
        <w:pStyle w:val="238"/>
        <w:widowControl w:val="0"/>
        <w:tabs>
          <w:tab w:val="left" w:pos="1350"/>
        </w:tabs>
        <w:spacing w:line="360" w:lineRule="auto"/>
        <w:ind w:firstLine="468"/>
        <w:jc w:val="left"/>
        <w:outlineLvl w:val="9"/>
        <w:rPr>
          <w:rStyle w:val="37"/>
          <w:rFonts w:ascii="仿宋" w:hAnsi="仿宋" w:eastAsia="仿宋" w:cs="仿宋"/>
          <w:color w:val="auto"/>
          <w:szCs w:val="24"/>
          <w:highlight w:val="none"/>
        </w:rPr>
      </w:pPr>
      <w:r>
        <w:rPr>
          <w:rStyle w:val="37"/>
          <w:rFonts w:hint="eastAsia" w:ascii="仿宋" w:hAnsi="仿宋" w:eastAsia="仿宋" w:cs="仿宋"/>
          <w:color w:val="auto"/>
          <w:spacing w:val="-3"/>
          <w:szCs w:val="24"/>
          <w:highlight w:val="none"/>
        </w:rPr>
        <w:t>（3）投标文件解密；</w:t>
      </w:r>
    </w:p>
    <w:p w14:paraId="480147D9">
      <w:pPr>
        <w:pStyle w:val="238"/>
        <w:widowControl w:val="0"/>
        <w:tabs>
          <w:tab w:val="left" w:pos="1350"/>
        </w:tabs>
        <w:spacing w:line="360" w:lineRule="auto"/>
        <w:ind w:firstLine="468"/>
        <w:jc w:val="left"/>
        <w:outlineLvl w:val="9"/>
        <w:rPr>
          <w:rStyle w:val="37"/>
          <w:rFonts w:ascii="仿宋" w:hAnsi="仿宋" w:eastAsia="仿宋" w:cs="仿宋"/>
          <w:color w:val="auto"/>
          <w:spacing w:val="-3"/>
          <w:szCs w:val="24"/>
          <w:highlight w:val="none"/>
        </w:rPr>
      </w:pPr>
      <w:r>
        <w:rPr>
          <w:rStyle w:val="37"/>
          <w:rFonts w:hint="eastAsia" w:ascii="仿宋" w:hAnsi="仿宋" w:eastAsia="仿宋" w:cs="仿宋"/>
          <w:color w:val="auto"/>
          <w:spacing w:val="-3"/>
          <w:szCs w:val="24"/>
          <w:highlight w:val="none"/>
        </w:rPr>
        <w:t>（4）唱标；</w:t>
      </w:r>
    </w:p>
    <w:p w14:paraId="1A8FB166">
      <w:pPr>
        <w:pStyle w:val="238"/>
        <w:widowControl w:val="0"/>
        <w:tabs>
          <w:tab w:val="left" w:pos="1350"/>
        </w:tabs>
        <w:spacing w:line="360" w:lineRule="auto"/>
        <w:ind w:firstLine="468"/>
        <w:jc w:val="left"/>
        <w:outlineLvl w:val="9"/>
        <w:rPr>
          <w:rStyle w:val="37"/>
          <w:rFonts w:ascii="仿宋" w:hAnsi="仿宋" w:eastAsia="仿宋" w:cs="仿宋"/>
          <w:color w:val="auto"/>
          <w:spacing w:val="-3"/>
          <w:szCs w:val="24"/>
          <w:highlight w:val="none"/>
        </w:rPr>
      </w:pPr>
      <w:r>
        <w:rPr>
          <w:rStyle w:val="37"/>
          <w:rFonts w:hint="eastAsia" w:ascii="仿宋" w:hAnsi="仿宋" w:eastAsia="仿宋" w:cs="仿宋"/>
          <w:color w:val="auto"/>
          <w:spacing w:val="-3"/>
          <w:szCs w:val="24"/>
          <w:highlight w:val="none"/>
        </w:rPr>
        <w:t>（5）开标结果确认；</w:t>
      </w:r>
    </w:p>
    <w:p w14:paraId="7EB6FBFD">
      <w:pPr>
        <w:pStyle w:val="238"/>
        <w:widowControl w:val="0"/>
        <w:tabs>
          <w:tab w:val="left" w:pos="1350"/>
        </w:tabs>
        <w:spacing w:line="360" w:lineRule="auto"/>
        <w:ind w:firstLine="468"/>
        <w:jc w:val="left"/>
        <w:outlineLvl w:val="9"/>
        <w:rPr>
          <w:rStyle w:val="37"/>
          <w:rFonts w:ascii="仿宋" w:hAnsi="仿宋" w:eastAsia="仿宋" w:cs="仿宋"/>
          <w:color w:val="auto"/>
          <w:spacing w:val="-3"/>
          <w:szCs w:val="24"/>
          <w:highlight w:val="none"/>
        </w:rPr>
      </w:pPr>
      <w:r>
        <w:rPr>
          <w:rStyle w:val="37"/>
          <w:rFonts w:hint="eastAsia" w:ascii="仿宋" w:hAnsi="仿宋" w:eastAsia="仿宋" w:cs="仿宋"/>
          <w:color w:val="auto"/>
          <w:spacing w:val="-3"/>
          <w:szCs w:val="24"/>
          <w:highlight w:val="none"/>
        </w:rPr>
        <w:t>（6）会议结束。</w:t>
      </w:r>
    </w:p>
    <w:p w14:paraId="15FDCFAE">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5.2.2开启过程由采购代理机构指定专人记录，并由参与的相关工作人员签字确认后随采购文件一并存档。</w:t>
      </w:r>
    </w:p>
    <w:p w14:paraId="0F2A8249">
      <w:pPr>
        <w:widowControl w:val="0"/>
        <w:spacing w:before="157" w:line="360" w:lineRule="auto"/>
        <w:jc w:val="left"/>
        <w:outlineLvl w:val="9"/>
        <w:rPr>
          <w:rStyle w:val="37"/>
          <w:rFonts w:ascii="仿宋" w:hAnsi="仿宋" w:eastAsia="仿宋" w:cs="仿宋"/>
          <w:b/>
          <w:bCs/>
          <w:color w:val="auto"/>
          <w:spacing w:val="-1"/>
          <w:szCs w:val="24"/>
          <w:highlight w:val="none"/>
        </w:rPr>
      </w:pPr>
      <w:r>
        <w:rPr>
          <w:rStyle w:val="37"/>
          <w:rFonts w:hint="eastAsia" w:ascii="仿宋" w:hAnsi="仿宋" w:eastAsia="仿宋" w:cs="仿宋"/>
          <w:b/>
          <w:bCs/>
          <w:color w:val="auto"/>
          <w:spacing w:val="-1"/>
          <w:szCs w:val="24"/>
          <w:highlight w:val="none"/>
        </w:rPr>
        <w:t>5.3异议</w:t>
      </w:r>
    </w:p>
    <w:p w14:paraId="03E090BC">
      <w:pPr>
        <w:pStyle w:val="2"/>
        <w:widowControl w:val="0"/>
        <w:spacing w:after="0" w:line="360" w:lineRule="auto"/>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供应商对</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过程有疑义，以及认为采购人、采购代理机构相关工作人员有需要回避情形的，应在网络开标大厅提出询问或回避申请，采购人、采购代理机构</w:t>
      </w:r>
      <w:r>
        <w:rPr>
          <w:rFonts w:hint="eastAsia" w:ascii="仿宋" w:hAnsi="仿宋" w:eastAsia="仿宋" w:cs="仿宋"/>
          <w:color w:val="auto"/>
          <w:sz w:val="24"/>
          <w:szCs w:val="24"/>
          <w:highlight w:val="none"/>
          <w:lang w:val="en-US" w:eastAsia="zh-CN"/>
        </w:rPr>
        <w:t>对供应商代表提出的询问或者回避申请</w:t>
      </w:r>
      <w:r>
        <w:rPr>
          <w:rFonts w:hint="eastAsia" w:ascii="仿宋" w:hAnsi="仿宋" w:eastAsia="仿宋" w:cs="仿宋"/>
          <w:color w:val="auto"/>
          <w:sz w:val="24"/>
          <w:szCs w:val="24"/>
          <w:highlight w:val="none"/>
        </w:rPr>
        <w:t>应当</w:t>
      </w:r>
      <w:r>
        <w:rPr>
          <w:rFonts w:hint="eastAsia" w:ascii="仿宋" w:hAnsi="仿宋" w:eastAsia="仿宋" w:cs="仿宋"/>
          <w:color w:val="auto"/>
          <w:sz w:val="24"/>
          <w:szCs w:val="24"/>
          <w:highlight w:val="none"/>
          <w:lang w:val="en-US" w:eastAsia="zh-CN"/>
        </w:rPr>
        <w:t>及时处理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未参加开标的，视同认可开标结果。</w:t>
      </w:r>
    </w:p>
    <w:p w14:paraId="0E2592CD">
      <w:pPr>
        <w:widowControl w:val="0"/>
        <w:spacing w:before="157" w:line="360" w:lineRule="auto"/>
        <w:jc w:val="left"/>
        <w:outlineLvl w:val="9"/>
        <w:rPr>
          <w:rStyle w:val="37"/>
          <w:rFonts w:ascii="仿宋" w:hAnsi="仿宋" w:eastAsia="仿宋" w:cs="仿宋"/>
          <w:b/>
          <w:bCs/>
          <w:color w:val="auto"/>
          <w:spacing w:val="-1"/>
          <w:szCs w:val="24"/>
          <w:highlight w:val="none"/>
        </w:rPr>
      </w:pPr>
      <w:r>
        <w:rPr>
          <w:rStyle w:val="37"/>
          <w:rFonts w:hint="eastAsia" w:ascii="仿宋" w:hAnsi="仿宋" w:eastAsia="仿宋" w:cs="仿宋"/>
          <w:b/>
          <w:bCs/>
          <w:color w:val="auto"/>
          <w:spacing w:val="-1"/>
          <w:szCs w:val="24"/>
          <w:highlight w:val="none"/>
        </w:rPr>
        <w:t>5.4在开标过程中出现下列情况之一的，其投标文件视为无效文件：</w:t>
      </w:r>
    </w:p>
    <w:p w14:paraId="0A376AB1">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5.4.1供应商拒绝对电子投标文件进行解密的；</w:t>
      </w:r>
    </w:p>
    <w:p w14:paraId="25FED01D">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5.4.2因供应商自身原因，导致在规定时间内无法解密投标文件的；</w:t>
      </w:r>
    </w:p>
    <w:p w14:paraId="0A2BF423">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5.4.3上传的电子投标文件无法打开的；</w:t>
      </w:r>
    </w:p>
    <w:p w14:paraId="267C156A">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5.4.4中华人民共和国政府采购法律法规规定的其他无效情形。</w:t>
      </w:r>
    </w:p>
    <w:p w14:paraId="6AA13A35">
      <w:pPr>
        <w:widowControl w:val="0"/>
        <w:spacing w:before="157" w:line="360" w:lineRule="auto"/>
        <w:jc w:val="left"/>
        <w:outlineLvl w:val="9"/>
        <w:rPr>
          <w:rStyle w:val="37"/>
          <w:rFonts w:ascii="仿宋" w:hAnsi="仿宋" w:eastAsia="仿宋" w:cs="仿宋"/>
          <w:b/>
          <w:bCs/>
          <w:color w:val="auto"/>
          <w:spacing w:val="-1"/>
          <w:szCs w:val="24"/>
          <w:highlight w:val="none"/>
        </w:rPr>
      </w:pPr>
      <w:r>
        <w:rPr>
          <w:rStyle w:val="37"/>
          <w:rFonts w:hint="eastAsia" w:ascii="仿宋" w:hAnsi="仿宋" w:eastAsia="仿宋" w:cs="仿宋"/>
          <w:b/>
          <w:bCs/>
          <w:color w:val="auto"/>
          <w:spacing w:val="-1"/>
          <w:szCs w:val="24"/>
          <w:highlight w:val="none"/>
        </w:rPr>
        <w:t>5.5特殊情形下的应急处置</w:t>
      </w:r>
    </w:p>
    <w:p w14:paraId="05B60AEB">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在开标、评审过程中，如因停电、断网、电子化系统故障等特殊原因导致电子化开、评审无法正常进行时，将视投标文件解密情况特殊处理。</w:t>
      </w:r>
    </w:p>
    <w:p w14:paraId="12CAC188">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5.5.1开标时投标文件未解密的，将另行确定时间继续完成开启程序；</w:t>
      </w:r>
    </w:p>
    <w:p w14:paraId="694E9159">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5.5.2开启后投标文件已解密但评审结论未形成的，按相关主管部门要求执行；</w:t>
      </w:r>
    </w:p>
    <w:p w14:paraId="55D247CA">
      <w:pPr>
        <w:pStyle w:val="40"/>
        <w:widowControl w:val="0"/>
        <w:spacing w:after="0" w:line="360" w:lineRule="auto"/>
        <w:ind w:firstLine="480" w:firstLineChars="200"/>
        <w:jc w:val="left"/>
        <w:outlineLvl w:val="9"/>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5.5.3开启后投标文件已解密且评审结论已形成的，待特殊情况排除后，继续完成评审活动。</w:t>
      </w:r>
    </w:p>
    <w:p w14:paraId="5B528ACC">
      <w:pPr>
        <w:pStyle w:val="40"/>
        <w:widowControl w:val="0"/>
        <w:spacing w:after="0" w:line="360" w:lineRule="auto"/>
        <w:jc w:val="center"/>
        <w:outlineLvl w:val="1"/>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六、资格审查</w:t>
      </w:r>
    </w:p>
    <w:p w14:paraId="3BCB7381">
      <w:pPr>
        <w:pStyle w:val="40"/>
        <w:widowControl w:val="0"/>
        <w:spacing w:after="0" w:line="360" w:lineRule="auto"/>
        <w:ind w:firstLine="480" w:firstLineChars="200"/>
        <w:jc w:val="left"/>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 xml:space="preserve">6.1开标结束后，由采购人委派的资格审查小组按照《政府采购货 物和服务招标投标管理办法》（财政部第 87 号令）有关规定，对电子投标文件中的供应商资格证明文件进行审查。 </w:t>
      </w:r>
    </w:p>
    <w:p w14:paraId="0C41964E">
      <w:pPr>
        <w:pStyle w:val="40"/>
        <w:widowControl w:val="0"/>
        <w:spacing w:after="0" w:line="360" w:lineRule="auto"/>
        <w:ind w:firstLine="480" w:firstLineChars="200"/>
        <w:jc w:val="left"/>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 xml:space="preserve">6.2出现下列情形的，投标文件将被视为无效： </w:t>
      </w:r>
    </w:p>
    <w:p w14:paraId="613D85B8">
      <w:pPr>
        <w:pStyle w:val="40"/>
        <w:widowControl w:val="0"/>
        <w:spacing w:after="0" w:line="360" w:lineRule="auto"/>
        <w:ind w:firstLine="480" w:firstLineChars="200"/>
        <w:jc w:val="left"/>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（1）不具备招标文件中规定的资格要求的；</w:t>
      </w:r>
    </w:p>
    <w:p w14:paraId="7AED31FA">
      <w:pPr>
        <w:pStyle w:val="40"/>
        <w:widowControl w:val="0"/>
        <w:spacing w:after="0" w:line="360" w:lineRule="auto"/>
        <w:ind w:firstLine="480" w:firstLineChars="200"/>
        <w:jc w:val="left"/>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（2）未按招标文件要求提供资格证明文件，或未按招标文件要求加盖 公章的；</w:t>
      </w:r>
    </w:p>
    <w:p w14:paraId="389ED108">
      <w:pPr>
        <w:pStyle w:val="40"/>
        <w:widowControl w:val="0"/>
        <w:spacing w:after="0" w:line="360" w:lineRule="auto"/>
        <w:ind w:firstLine="480" w:firstLineChars="200"/>
        <w:jc w:val="left"/>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 xml:space="preserve">（3）资格审查小组认为投标供应商的资格证明文件存在疑点，要求投标供应商通过全国公共资源交易平台（陕西省·西咸新区）（以下简称“平台”）或电子邮件（在平台无法支持的情况下）等形式提供更清晰有效的证明文件，投标供应商不能在规定时限内提供符合招标文件要求的证明文件的。 </w:t>
      </w:r>
    </w:p>
    <w:p w14:paraId="44986E70">
      <w:pPr>
        <w:pStyle w:val="40"/>
        <w:widowControl w:val="0"/>
        <w:spacing w:after="0" w:line="360" w:lineRule="auto"/>
        <w:ind w:firstLine="480" w:firstLineChars="200"/>
        <w:jc w:val="left"/>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6.3资格审查结束后，资格审查小组成员应当对审查结果进行签字确认，并告知无效投标供应商资格审查未通过的原因。</w:t>
      </w:r>
    </w:p>
    <w:p w14:paraId="7957F696">
      <w:pPr>
        <w:pStyle w:val="40"/>
        <w:widowControl w:val="0"/>
        <w:spacing w:after="0" w:line="360" w:lineRule="auto"/>
        <w:ind w:firstLine="480" w:firstLineChars="200"/>
        <w:jc w:val="left"/>
        <w:rPr>
          <w:rStyle w:val="37"/>
          <w:rFonts w:ascii="仿宋" w:hAnsi="仿宋" w:eastAsia="仿宋" w:cs="仿宋"/>
          <w:color w:val="auto"/>
          <w:sz w:val="24"/>
          <w:szCs w:val="24"/>
          <w:highlight w:val="none"/>
        </w:rPr>
      </w:pPr>
      <w:r>
        <w:rPr>
          <w:rStyle w:val="37"/>
          <w:rFonts w:hint="eastAsia" w:ascii="仿宋" w:hAnsi="仿宋" w:eastAsia="仿宋" w:cs="仿宋"/>
          <w:color w:val="auto"/>
          <w:sz w:val="24"/>
          <w:szCs w:val="24"/>
          <w:highlight w:val="none"/>
        </w:rPr>
        <w:t>6.4合格供应商不足 3 家的，不得评标，应予以废标。</w:t>
      </w:r>
    </w:p>
    <w:p w14:paraId="10600111">
      <w:pPr>
        <w:widowControl w:val="0"/>
        <w:spacing w:before="166" w:line="360" w:lineRule="auto"/>
        <w:jc w:val="center"/>
        <w:outlineLvl w:val="1"/>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七、组织评审</w:t>
      </w:r>
    </w:p>
    <w:p w14:paraId="1E922CB1">
      <w:pPr>
        <w:keepNext w:val="0"/>
        <w:keepLines w:val="0"/>
        <w:pageBreakBefore w:val="0"/>
        <w:widowControl w:val="0"/>
        <w:kinsoku/>
        <w:wordWrap/>
        <w:overflowPunct/>
        <w:topLinePunct w:val="0"/>
        <w:autoSpaceDE/>
        <w:autoSpaceDN/>
        <w:bidi w:val="0"/>
        <w:adjustRightInd/>
        <w:snapToGrid/>
        <w:spacing w:before="0" w:beforeLines="0" w:line="360" w:lineRule="auto"/>
        <w:jc w:val="left"/>
        <w:textAlignment w:val="auto"/>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7.1采购代理机构负责组织评标工作，并履行下列职责：</w:t>
      </w:r>
    </w:p>
    <w:p w14:paraId="68916B44">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7.1.1</w:t>
      </w:r>
      <w:r>
        <w:rPr>
          <w:rFonts w:hint="default" w:ascii="仿宋" w:hAnsi="仿宋" w:eastAsia="仿宋" w:cs="仿宋"/>
          <w:color w:val="auto"/>
          <w:sz w:val="24"/>
          <w:szCs w:val="24"/>
          <w:highlight w:val="none"/>
          <w:lang w:val="en-US" w:eastAsia="zh-CN"/>
        </w:rPr>
        <w:t>核对评审专家身份和采购人代表授权函，对评审专家在政府采购活动中的职责履行情况予以记录，并及时将有关违法违规行为向财政部门报告;</w:t>
      </w:r>
    </w:p>
    <w:p w14:paraId="75240EF4">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7.1.2</w:t>
      </w:r>
      <w:r>
        <w:rPr>
          <w:rFonts w:hint="default" w:ascii="仿宋" w:hAnsi="仿宋" w:eastAsia="仿宋" w:cs="仿宋"/>
          <w:color w:val="auto"/>
          <w:sz w:val="24"/>
          <w:szCs w:val="24"/>
          <w:highlight w:val="none"/>
          <w:lang w:val="en-US" w:eastAsia="zh-CN"/>
        </w:rPr>
        <w:t>宣布评标纪律;</w:t>
      </w:r>
    </w:p>
    <w:p w14:paraId="7A8E325A">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7.1.3</w:t>
      </w:r>
      <w:r>
        <w:rPr>
          <w:rFonts w:hint="default" w:ascii="仿宋" w:hAnsi="仿宋" w:eastAsia="仿宋" w:cs="仿宋"/>
          <w:color w:val="auto"/>
          <w:sz w:val="24"/>
          <w:szCs w:val="24"/>
          <w:highlight w:val="none"/>
          <w:lang w:val="en-US" w:eastAsia="zh-CN"/>
        </w:rPr>
        <w:t>公布</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名单，告知评审专家应当回避的情形;</w:t>
      </w:r>
    </w:p>
    <w:p w14:paraId="54142EEA">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7.1.4</w:t>
      </w:r>
      <w:r>
        <w:rPr>
          <w:rFonts w:hint="default" w:ascii="仿宋" w:hAnsi="仿宋" w:eastAsia="仿宋" w:cs="仿宋"/>
          <w:color w:val="auto"/>
          <w:sz w:val="24"/>
          <w:szCs w:val="24"/>
          <w:highlight w:val="none"/>
          <w:lang w:val="en-US" w:eastAsia="zh-CN"/>
        </w:rPr>
        <w:t>组织评标委员会推选评标组长，采购人代表不得担任组长;</w:t>
      </w:r>
    </w:p>
    <w:p w14:paraId="70E72F06">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7.1.5</w:t>
      </w:r>
      <w:r>
        <w:rPr>
          <w:rFonts w:hint="default" w:ascii="仿宋" w:hAnsi="仿宋" w:eastAsia="仿宋" w:cs="仿宋"/>
          <w:color w:val="auto"/>
          <w:sz w:val="24"/>
          <w:szCs w:val="24"/>
          <w:highlight w:val="none"/>
          <w:lang w:val="en-US" w:eastAsia="zh-CN"/>
        </w:rPr>
        <w:t>在评审期间采取必要的通讯管理措施，保证评审活动不受外界干扰;</w:t>
      </w:r>
    </w:p>
    <w:p w14:paraId="7F1D1ABE">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7.1.6</w:t>
      </w:r>
      <w:r>
        <w:rPr>
          <w:rFonts w:hint="default" w:ascii="仿宋" w:hAnsi="仿宋" w:eastAsia="仿宋" w:cs="仿宋"/>
          <w:color w:val="auto"/>
          <w:sz w:val="24"/>
          <w:szCs w:val="24"/>
          <w:highlight w:val="none"/>
          <w:lang w:val="en-US" w:eastAsia="zh-CN"/>
        </w:rPr>
        <w:t>根据评标委员会的要求介绍政府采购相关政策法规、招标文件;</w:t>
      </w:r>
    </w:p>
    <w:p w14:paraId="5375A071">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w:t>
      </w:r>
      <w:r>
        <w:rPr>
          <w:rFonts w:hint="default" w:ascii="仿宋" w:hAnsi="仿宋" w:eastAsia="仿宋" w:cs="仿宋"/>
          <w:color w:val="auto"/>
          <w:sz w:val="24"/>
          <w:szCs w:val="24"/>
          <w:highlight w:val="none"/>
          <w:lang w:val="en-US" w:eastAsia="zh-CN"/>
        </w:rPr>
        <w:t>7维护评标秩序，监督评标委员会依照招标文件规定的评标程序、方法和标准进行独立评审，及时制止和纠正采购人代表、评审专家的倾向性言论或者违法违规行为;</w:t>
      </w:r>
    </w:p>
    <w:p w14:paraId="3F2E8E45">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7.1.8</w:t>
      </w:r>
      <w:r>
        <w:rPr>
          <w:rFonts w:hint="default" w:ascii="仿宋" w:hAnsi="仿宋" w:eastAsia="仿宋" w:cs="仿宋"/>
          <w:color w:val="auto"/>
          <w:sz w:val="24"/>
          <w:szCs w:val="24"/>
          <w:highlight w:val="none"/>
          <w:lang w:val="en-US" w:eastAsia="zh-CN"/>
        </w:rPr>
        <w:t>核对评标结果;</w:t>
      </w:r>
    </w:p>
    <w:p w14:paraId="5EAAC1DC">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7.1.9</w:t>
      </w:r>
      <w:r>
        <w:rPr>
          <w:rFonts w:hint="default" w:ascii="仿宋" w:hAnsi="仿宋" w:eastAsia="仿宋" w:cs="仿宋"/>
          <w:color w:val="auto"/>
          <w:sz w:val="24"/>
          <w:szCs w:val="24"/>
          <w:highlight w:val="none"/>
          <w:lang w:val="en-US" w:eastAsia="zh-CN"/>
        </w:rPr>
        <w:t>评审工作完成后，按照规定向评审专家支付劳务报酬和异地评审差旅费，不得向评审专家以外的其他人员支付评审劳务报酬;</w:t>
      </w:r>
    </w:p>
    <w:p w14:paraId="3F0CD148">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7.1.10</w:t>
      </w:r>
      <w:r>
        <w:rPr>
          <w:rFonts w:hint="default" w:ascii="仿宋" w:hAnsi="仿宋" w:eastAsia="仿宋" w:cs="仿宋"/>
          <w:color w:val="auto"/>
          <w:sz w:val="24"/>
          <w:szCs w:val="24"/>
          <w:highlight w:val="none"/>
          <w:lang w:val="en-US" w:eastAsia="zh-CN"/>
        </w:rPr>
        <w:t>处理与评标有关的其他事项。</w:t>
      </w:r>
    </w:p>
    <w:p w14:paraId="072DE332">
      <w:pPr>
        <w:pStyle w:val="2"/>
        <w:widowControl w:val="0"/>
        <w:spacing w:after="0" w:line="360" w:lineRule="auto"/>
        <w:ind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采购人可以在评标前说明项目背景和采购需求，说明内容不得含有歧视性、倾向性意见，不得超出招标文件所述范围。说明应当提交书面材料，并随招标文件一并存档。</w:t>
      </w:r>
    </w:p>
    <w:p w14:paraId="2F81A195">
      <w:pPr>
        <w:widowControl w:val="0"/>
        <w:snapToGrid/>
        <w:spacing w:before="0" w:beforeAutospacing="0" w:after="0" w:afterAutospacing="0" w:line="360" w:lineRule="auto"/>
        <w:jc w:val="both"/>
        <w:textAlignment w:val="baseline"/>
        <w:outlineLvl w:val="9"/>
        <w:rPr>
          <w:rStyle w:val="37"/>
          <w:rFonts w:hint="eastAsia" w:ascii="仿宋" w:hAnsi="仿宋" w:eastAsia="仿宋" w:cs="仿宋"/>
          <w:b/>
          <w:i w:val="0"/>
          <w:caps w:val="0"/>
          <w:color w:val="auto"/>
          <w:spacing w:val="4"/>
          <w:w w:val="100"/>
          <w:sz w:val="24"/>
          <w:szCs w:val="24"/>
          <w:highlight w:val="none"/>
          <w:lang w:val="en-US" w:eastAsia="zh-CN" w:bidi="ar-SA"/>
        </w:rPr>
      </w:pPr>
      <w:r>
        <w:rPr>
          <w:rStyle w:val="37"/>
          <w:rFonts w:hint="eastAsia" w:ascii="仿宋" w:hAnsi="仿宋" w:eastAsia="仿宋" w:cs="仿宋"/>
          <w:b/>
          <w:i w:val="0"/>
          <w:caps w:val="0"/>
          <w:color w:val="auto"/>
          <w:spacing w:val="4"/>
          <w:w w:val="100"/>
          <w:sz w:val="24"/>
          <w:szCs w:val="24"/>
          <w:highlight w:val="none"/>
          <w:lang w:val="en-US" w:eastAsia="zh-CN" w:bidi="ar-SA"/>
        </w:rPr>
        <w:t>7.2评标委员会负责具体评标事务，并独立履行下列职责</w:t>
      </w:r>
    </w:p>
    <w:p w14:paraId="4AE05C41">
      <w:pPr>
        <w:widowControl w:val="0"/>
        <w:snapToGrid/>
        <w:spacing w:before="0" w:beforeAutospacing="0" w:after="0" w:afterAutospacing="0" w:line="360" w:lineRule="auto"/>
        <w:ind w:firstLine="496" w:firstLineChars="200"/>
        <w:jc w:val="both"/>
        <w:textAlignment w:val="baseline"/>
        <w:rPr>
          <w:rStyle w:val="37"/>
          <w:rFonts w:hint="eastAsia" w:ascii="仿宋" w:hAnsi="仿宋" w:eastAsia="仿宋" w:cs="仿宋"/>
          <w:b w:val="0"/>
          <w:i w:val="0"/>
          <w:caps w:val="0"/>
          <w:color w:val="auto"/>
          <w:spacing w:val="4"/>
          <w:w w:val="100"/>
          <w:sz w:val="24"/>
          <w:szCs w:val="24"/>
          <w:highlight w:val="none"/>
          <w:lang w:val="en-US" w:eastAsia="zh-CN" w:bidi="ar-SA"/>
        </w:rPr>
      </w:pPr>
      <w:r>
        <w:rPr>
          <w:rStyle w:val="37"/>
          <w:rFonts w:hint="eastAsia" w:ascii="仿宋" w:hAnsi="仿宋" w:eastAsia="仿宋" w:cs="仿宋"/>
          <w:b w:val="0"/>
          <w:i w:val="0"/>
          <w:caps w:val="0"/>
          <w:color w:val="auto"/>
          <w:spacing w:val="4"/>
          <w:w w:val="100"/>
          <w:sz w:val="24"/>
          <w:szCs w:val="24"/>
          <w:highlight w:val="none"/>
          <w:lang w:val="en-US" w:eastAsia="zh-CN" w:bidi="ar-SA"/>
        </w:rPr>
        <w:t>7.2.1审查、评价投标文件是否符合招标文件的商务、技术、合同条款等实质性要求；</w:t>
      </w:r>
    </w:p>
    <w:p w14:paraId="4C594290">
      <w:pPr>
        <w:widowControl w:val="0"/>
        <w:snapToGrid/>
        <w:spacing w:before="0" w:beforeAutospacing="0" w:after="0" w:afterAutospacing="0" w:line="360" w:lineRule="auto"/>
        <w:ind w:firstLine="496" w:firstLineChars="200"/>
        <w:jc w:val="both"/>
        <w:textAlignment w:val="baseline"/>
        <w:rPr>
          <w:rStyle w:val="37"/>
          <w:rFonts w:hint="eastAsia" w:ascii="仿宋" w:hAnsi="仿宋" w:eastAsia="仿宋" w:cs="仿宋"/>
          <w:b w:val="0"/>
          <w:i w:val="0"/>
          <w:caps w:val="0"/>
          <w:color w:val="auto"/>
          <w:spacing w:val="4"/>
          <w:w w:val="100"/>
          <w:sz w:val="24"/>
          <w:szCs w:val="24"/>
          <w:highlight w:val="none"/>
          <w:lang w:val="en-US" w:eastAsia="zh-CN" w:bidi="ar-SA"/>
        </w:rPr>
      </w:pPr>
      <w:r>
        <w:rPr>
          <w:rStyle w:val="37"/>
          <w:rFonts w:hint="eastAsia" w:ascii="仿宋" w:hAnsi="仿宋" w:eastAsia="仿宋" w:cs="仿宋"/>
          <w:b w:val="0"/>
          <w:i w:val="0"/>
          <w:caps w:val="0"/>
          <w:color w:val="auto"/>
          <w:spacing w:val="4"/>
          <w:w w:val="100"/>
          <w:sz w:val="24"/>
          <w:szCs w:val="24"/>
          <w:highlight w:val="none"/>
          <w:lang w:val="en-US" w:eastAsia="zh-CN" w:bidi="ar-SA"/>
        </w:rPr>
        <w:t>7.2.2要求供应商对投标文件有关事项作出澄清或者说明；</w:t>
      </w:r>
    </w:p>
    <w:p w14:paraId="48EF5111">
      <w:pPr>
        <w:widowControl w:val="0"/>
        <w:snapToGrid/>
        <w:spacing w:before="0" w:beforeAutospacing="0" w:after="0" w:afterAutospacing="0" w:line="360" w:lineRule="auto"/>
        <w:ind w:firstLine="496" w:firstLineChars="200"/>
        <w:jc w:val="both"/>
        <w:textAlignment w:val="baseline"/>
        <w:rPr>
          <w:rStyle w:val="37"/>
          <w:rFonts w:hint="eastAsia" w:ascii="仿宋" w:hAnsi="仿宋" w:eastAsia="仿宋" w:cs="仿宋"/>
          <w:b w:val="0"/>
          <w:i w:val="0"/>
          <w:caps w:val="0"/>
          <w:color w:val="auto"/>
          <w:spacing w:val="4"/>
          <w:w w:val="100"/>
          <w:sz w:val="24"/>
          <w:szCs w:val="24"/>
          <w:highlight w:val="none"/>
          <w:lang w:val="en-US" w:eastAsia="zh-CN" w:bidi="ar-SA"/>
        </w:rPr>
      </w:pPr>
      <w:r>
        <w:rPr>
          <w:rStyle w:val="37"/>
          <w:rFonts w:hint="eastAsia" w:ascii="仿宋" w:hAnsi="仿宋" w:eastAsia="仿宋" w:cs="仿宋"/>
          <w:b w:val="0"/>
          <w:i w:val="0"/>
          <w:caps w:val="0"/>
          <w:color w:val="auto"/>
          <w:spacing w:val="4"/>
          <w:w w:val="100"/>
          <w:sz w:val="24"/>
          <w:szCs w:val="24"/>
          <w:highlight w:val="none"/>
          <w:lang w:val="en-US" w:eastAsia="zh-CN" w:bidi="ar-SA"/>
        </w:rPr>
        <w:t>7.2.3对投标文件进行比较和评价；</w:t>
      </w:r>
    </w:p>
    <w:p w14:paraId="1A9E7CEE">
      <w:pPr>
        <w:widowControl w:val="0"/>
        <w:snapToGrid/>
        <w:spacing w:before="0" w:beforeAutospacing="0" w:after="0" w:afterAutospacing="0" w:line="360" w:lineRule="auto"/>
        <w:ind w:firstLine="496" w:firstLineChars="200"/>
        <w:jc w:val="both"/>
        <w:textAlignment w:val="baseline"/>
        <w:rPr>
          <w:rStyle w:val="37"/>
          <w:rFonts w:hint="eastAsia" w:ascii="仿宋" w:hAnsi="仿宋" w:eastAsia="仿宋" w:cs="仿宋"/>
          <w:b w:val="0"/>
          <w:i w:val="0"/>
          <w:caps w:val="0"/>
          <w:color w:val="auto"/>
          <w:spacing w:val="4"/>
          <w:w w:val="100"/>
          <w:sz w:val="24"/>
          <w:szCs w:val="24"/>
          <w:highlight w:val="none"/>
          <w:lang w:val="en-US" w:eastAsia="zh-CN" w:bidi="ar-SA"/>
        </w:rPr>
      </w:pPr>
      <w:r>
        <w:rPr>
          <w:rStyle w:val="37"/>
          <w:rFonts w:hint="eastAsia" w:ascii="仿宋" w:hAnsi="仿宋" w:eastAsia="仿宋" w:cs="仿宋"/>
          <w:b w:val="0"/>
          <w:i w:val="0"/>
          <w:caps w:val="0"/>
          <w:color w:val="auto"/>
          <w:spacing w:val="4"/>
          <w:w w:val="100"/>
          <w:sz w:val="24"/>
          <w:szCs w:val="24"/>
          <w:highlight w:val="none"/>
          <w:lang w:val="en-US" w:eastAsia="zh-CN" w:bidi="ar-SA"/>
        </w:rPr>
        <w:t>7.2.4确定中标候选人名单，以及根据采购人委托直接确定中标供应商；</w:t>
      </w:r>
    </w:p>
    <w:p w14:paraId="361F2E2E">
      <w:pPr>
        <w:widowControl w:val="0"/>
        <w:snapToGrid/>
        <w:spacing w:before="0" w:beforeAutospacing="0" w:after="0" w:afterAutospacing="0" w:line="360" w:lineRule="auto"/>
        <w:ind w:firstLine="496" w:firstLineChars="200"/>
        <w:jc w:val="both"/>
        <w:textAlignment w:val="baseline"/>
        <w:rPr>
          <w:rStyle w:val="37"/>
          <w:rFonts w:hint="default" w:ascii="仿宋" w:hAnsi="仿宋" w:eastAsia="仿宋" w:cs="仿宋"/>
          <w:b w:val="0"/>
          <w:i w:val="0"/>
          <w:caps w:val="0"/>
          <w:color w:val="auto"/>
          <w:spacing w:val="4"/>
          <w:w w:val="100"/>
          <w:sz w:val="24"/>
          <w:szCs w:val="24"/>
          <w:highlight w:val="none"/>
          <w:lang w:val="en-US" w:eastAsia="zh-CN" w:bidi="ar-SA"/>
        </w:rPr>
      </w:pPr>
      <w:r>
        <w:rPr>
          <w:rStyle w:val="37"/>
          <w:rFonts w:hint="eastAsia" w:ascii="仿宋" w:hAnsi="仿宋" w:eastAsia="仿宋" w:cs="仿宋"/>
          <w:b w:val="0"/>
          <w:i w:val="0"/>
          <w:caps w:val="0"/>
          <w:color w:val="auto"/>
          <w:spacing w:val="4"/>
          <w:w w:val="100"/>
          <w:sz w:val="24"/>
          <w:szCs w:val="24"/>
          <w:highlight w:val="none"/>
          <w:lang w:val="en-US" w:eastAsia="zh-CN" w:bidi="ar-SA"/>
        </w:rPr>
        <w:t>7.2.5向采购人、采购代理机构或者有关部门报告评标中发现的违法行为。</w:t>
      </w:r>
    </w:p>
    <w:p w14:paraId="56FAA85E">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default"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7.3评标委员会组成及抽取</w:t>
      </w:r>
    </w:p>
    <w:p w14:paraId="0B5A02FF">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7.3.1评标委员会组成</w:t>
      </w:r>
    </w:p>
    <w:p w14:paraId="10292459">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为了确保评标工作的公平、公正，依据</w:t>
      </w:r>
      <w:r>
        <w:rPr>
          <w:rFonts w:hint="eastAsia" w:ascii="仿宋" w:hAnsi="仿宋" w:eastAsia="仿宋" w:cs="仿宋"/>
          <w:color w:val="auto"/>
          <w:szCs w:val="21"/>
          <w:highlight w:val="none"/>
          <w:lang w:eastAsia="zh-CN"/>
        </w:rPr>
        <w:t>中华人民共和国政府采购法</w:t>
      </w:r>
      <w:r>
        <w:rPr>
          <w:rFonts w:hint="eastAsia" w:ascii="仿宋" w:hAnsi="仿宋" w:eastAsia="仿宋" w:cs="仿宋"/>
          <w:color w:val="auto"/>
          <w:szCs w:val="21"/>
          <w:highlight w:val="none"/>
        </w:rPr>
        <w:t xml:space="preserve">和政府采购相关 法规、规章，成立评标委员会。评标委员会由采购人代表和有关技术、经济等方面的专家组成，成员人数为 5 人以上单数。其中，评审专家不少于成员总数的三分之二。 </w:t>
      </w:r>
    </w:p>
    <w:p w14:paraId="1A2EF709">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采购项目符合下列情形之一的，评标委员会成员人数应当为 7人以上单数：</w:t>
      </w:r>
    </w:p>
    <w:p w14:paraId="4CEC73CE">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（1）采购预算金额在1000万元以上； </w:t>
      </w:r>
    </w:p>
    <w:p w14:paraId="6E81764E">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（2）技术复杂； </w:t>
      </w:r>
    </w:p>
    <w:p w14:paraId="2D45E52E">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（3）社会影响较大。 </w:t>
      </w:r>
    </w:p>
    <w:p w14:paraId="20E3D8AF">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评审专家对本单位的采购项目只能作为采购人代表参与评标。</w:t>
      </w:r>
      <w:r>
        <w:rPr>
          <w:rFonts w:hint="eastAsia" w:ascii="仿宋" w:hAnsi="仿宋" w:eastAsia="仿宋" w:cs="仿宋"/>
          <w:color w:val="auto"/>
          <w:szCs w:val="21"/>
          <w:highlight w:val="none"/>
          <w:lang w:val="en-US" w:eastAsia="zh-CN"/>
        </w:rPr>
        <w:t>陕西正明项目管理有限公司</w:t>
      </w:r>
      <w:r>
        <w:rPr>
          <w:rFonts w:hint="eastAsia" w:ascii="仿宋" w:hAnsi="仿宋" w:eastAsia="仿宋" w:cs="仿宋"/>
          <w:color w:val="auto"/>
          <w:szCs w:val="21"/>
          <w:highlight w:val="none"/>
        </w:rPr>
        <w:t>工作人员不得参加由本机构代理的政府采购项目的评标。</w:t>
      </w:r>
    </w:p>
    <w:p w14:paraId="436CB9D1">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评标委员会成员名单在评标结果公告前应当保密。 </w:t>
      </w:r>
    </w:p>
    <w:p w14:paraId="3E4B68EC">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7.3.2评标委员会的抽取</w:t>
      </w:r>
    </w:p>
    <w:p w14:paraId="4B6692A0">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 </w:t>
      </w:r>
    </w:p>
    <w:p w14:paraId="23A4739D">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7.3.3</w:t>
      </w:r>
      <w:r>
        <w:rPr>
          <w:rFonts w:hint="eastAsia" w:ascii="仿宋" w:hAnsi="仿宋" w:eastAsia="仿宋" w:cs="仿宋"/>
          <w:color w:val="auto"/>
          <w:szCs w:val="21"/>
          <w:highlight w:val="none"/>
        </w:rPr>
        <w:t>评标中因评标委员会成员缺席、回避或者健康等特殊原因导致评标委员会组成不符合规定的，</w:t>
      </w:r>
      <w:r>
        <w:rPr>
          <w:rFonts w:hint="eastAsia" w:ascii="仿宋" w:hAnsi="仿宋" w:eastAsia="仿宋" w:cs="仿宋"/>
          <w:color w:val="auto"/>
          <w:szCs w:val="21"/>
          <w:highlight w:val="none"/>
          <w:lang w:val="en-US" w:eastAsia="zh-CN"/>
        </w:rPr>
        <w:t>采购代理机构</w:t>
      </w:r>
      <w:r>
        <w:rPr>
          <w:rFonts w:hint="eastAsia" w:ascii="仿宋" w:hAnsi="仿宋" w:eastAsia="仿宋" w:cs="仿宋"/>
          <w:color w:val="auto"/>
          <w:szCs w:val="21"/>
          <w:highlight w:val="none"/>
        </w:rPr>
        <w:t>应当依法补足后继续评标。被更换的评标委员会成员所作出的评标意见无效。无法及时补足评标委员会成员的，</w:t>
      </w:r>
      <w:r>
        <w:rPr>
          <w:rFonts w:hint="eastAsia" w:ascii="仿宋" w:hAnsi="仿宋" w:eastAsia="仿宋" w:cs="仿宋"/>
          <w:color w:val="auto"/>
          <w:szCs w:val="21"/>
          <w:highlight w:val="none"/>
          <w:lang w:val="en-US" w:eastAsia="zh-CN"/>
        </w:rPr>
        <w:t>采购代理机构</w:t>
      </w:r>
      <w:r>
        <w:rPr>
          <w:rFonts w:hint="eastAsia" w:ascii="仿宋" w:hAnsi="仿宋" w:eastAsia="仿宋" w:cs="仿宋"/>
          <w:color w:val="auto"/>
          <w:szCs w:val="21"/>
          <w:highlight w:val="none"/>
        </w:rPr>
        <w:t>应当停止评标活动，封存所有投标文件和开标、评标资料，依法重新组建评标委员会进行评标。原评标委员会所作出的评标意见无效。</w:t>
      </w:r>
      <w:r>
        <w:rPr>
          <w:rFonts w:hint="eastAsia" w:ascii="仿宋" w:hAnsi="仿宋" w:eastAsia="仿宋" w:cs="仿宋"/>
          <w:color w:val="auto"/>
          <w:szCs w:val="21"/>
          <w:highlight w:val="none"/>
          <w:lang w:val="en-US" w:eastAsia="zh-CN"/>
        </w:rPr>
        <w:t>采购代理机构</w:t>
      </w:r>
      <w:r>
        <w:rPr>
          <w:rFonts w:hint="eastAsia" w:ascii="仿宋" w:hAnsi="仿宋" w:eastAsia="仿宋" w:cs="仿宋"/>
          <w:color w:val="auto"/>
          <w:szCs w:val="21"/>
          <w:highlight w:val="none"/>
        </w:rPr>
        <w:t>应当将变更、重新组建评标委员会的情况予以记录，并随采购文件一并存档。</w:t>
      </w:r>
    </w:p>
    <w:p w14:paraId="5F8BFD4E">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7.3.4评标委员会成员有下列情形之一的，应当回避：</w:t>
      </w:r>
    </w:p>
    <w:p w14:paraId="32D4E9B6">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（1）参加采购活动前3年内与供应商存在劳动关系；</w:t>
      </w:r>
    </w:p>
    <w:p w14:paraId="59B539AE">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（2）参加采购活动前3年内担任供应商的董事、监事；</w:t>
      </w:r>
    </w:p>
    <w:p w14:paraId="691D8F83">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（3）参加采购活动前3年内是供应商的控股股东或者实际控制人；</w:t>
      </w:r>
    </w:p>
    <w:p w14:paraId="4F90071D">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（4）与供应商的法定代表人或者负责人有夫妻、直系血亲、三代以内旁系血亲或者近姻亲关系；</w:t>
      </w:r>
    </w:p>
    <w:p w14:paraId="7F0D2003">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（5）与供应商有其他可能影响政府采购活动公平、公正进行的关系。</w:t>
      </w:r>
    </w:p>
    <w:p w14:paraId="03FAD59E">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7.3.5评标过程中，评标委员会成员有回避事由、擅离职守或者因健康等原因不能继续评标的，采购人有权更换。被更换的评标委员会成员作出的评审结论无效，由更换后的评标委员会成员重新进行评审。</w:t>
      </w:r>
    </w:p>
    <w:p w14:paraId="01CBE520">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7.4评标原则</w:t>
      </w:r>
    </w:p>
    <w:p w14:paraId="043EDA85">
      <w:pPr>
        <w:pStyle w:val="2"/>
        <w:widowControl w:val="0"/>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中华人民共和国政府采购法</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及实施条例</w:t>
      </w:r>
      <w:r>
        <w:rPr>
          <w:rFonts w:hint="eastAsia" w:ascii="仿宋" w:hAnsi="仿宋" w:eastAsia="仿宋" w:cs="仿宋"/>
          <w:color w:val="auto"/>
          <w:sz w:val="24"/>
          <w:szCs w:val="24"/>
          <w:highlight w:val="none"/>
        </w:rPr>
        <w:t>的规定，</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成员应当按照客观、公正、审慎的原则，根据</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规定的评审程序、</w:t>
      </w:r>
      <w:r>
        <w:rPr>
          <w:rFonts w:hint="eastAsia" w:ascii="仿宋" w:hAnsi="仿宋" w:eastAsia="仿宋" w:cs="仿宋"/>
          <w:color w:val="auto"/>
          <w:sz w:val="24"/>
          <w:szCs w:val="24"/>
          <w:highlight w:val="none"/>
          <w:lang w:eastAsia="zh-CN"/>
        </w:rPr>
        <w:t>评标方法</w:t>
      </w:r>
      <w:r>
        <w:rPr>
          <w:rFonts w:hint="eastAsia" w:ascii="仿宋" w:hAnsi="仿宋" w:eastAsia="仿宋" w:cs="仿宋"/>
          <w:color w:val="auto"/>
          <w:sz w:val="24"/>
          <w:szCs w:val="24"/>
          <w:highlight w:val="none"/>
        </w:rPr>
        <w:t>和评审标准进行独立评审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未实质性响应招标文件的投标文件按无效响应处理，评标委员会应当告知提交投标文件的供应商。</w:t>
      </w:r>
    </w:p>
    <w:p w14:paraId="4B074F6D">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bCs/>
          <w:color w:val="auto"/>
          <w:spacing w:val="-1"/>
          <w:sz w:val="24"/>
          <w:szCs w:val="24"/>
          <w:highlight w:val="none"/>
          <w:lang w:val="en-US" w:eastAsia="zh-CN"/>
        </w:rPr>
      </w:pPr>
      <w:bookmarkStart w:id="6" w:name="_Toc10826"/>
      <w:bookmarkStart w:id="7" w:name="_Toc9087"/>
      <w:r>
        <w:rPr>
          <w:rFonts w:hint="eastAsia" w:ascii="仿宋" w:hAnsi="仿宋" w:eastAsia="仿宋" w:cs="仿宋"/>
          <w:b/>
          <w:bCs/>
          <w:color w:val="auto"/>
          <w:spacing w:val="-1"/>
          <w:sz w:val="24"/>
          <w:szCs w:val="24"/>
          <w:highlight w:val="none"/>
          <w:lang w:val="en-US" w:eastAsia="zh-CN"/>
        </w:rPr>
        <w:t>7.5评标方法</w:t>
      </w:r>
      <w:bookmarkEnd w:id="6"/>
      <w:bookmarkEnd w:id="7"/>
    </w:p>
    <w:p w14:paraId="342890CF">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7.5.1</w:t>
      </w:r>
      <w:r>
        <w:rPr>
          <w:rFonts w:hint="eastAsia" w:ascii="仿宋" w:hAnsi="仿宋" w:eastAsia="仿宋" w:cs="仿宋"/>
          <w:color w:val="auto"/>
          <w:szCs w:val="21"/>
          <w:highlight w:val="none"/>
        </w:rPr>
        <w:t>按照《</w:t>
      </w:r>
      <w:r>
        <w:rPr>
          <w:rFonts w:hint="eastAsia" w:ascii="仿宋" w:hAnsi="仿宋" w:eastAsia="仿宋" w:cs="仿宋"/>
          <w:color w:val="auto"/>
          <w:szCs w:val="21"/>
          <w:highlight w:val="none"/>
          <w:lang w:eastAsia="zh-CN"/>
        </w:rPr>
        <w:t>中华人民共和国政府采购法</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及</w:t>
      </w:r>
      <w:r>
        <w:rPr>
          <w:rFonts w:hint="eastAsia" w:ascii="仿宋" w:hAnsi="仿宋" w:eastAsia="仿宋" w:cs="仿宋"/>
          <w:color w:val="auto"/>
          <w:szCs w:val="21"/>
          <w:highlight w:val="none"/>
        </w:rPr>
        <w:t>实施条例和《政府采购</w:t>
      </w:r>
      <w:r>
        <w:rPr>
          <w:rFonts w:hint="eastAsia" w:ascii="仿宋" w:hAnsi="仿宋" w:eastAsia="仿宋" w:cs="仿宋"/>
          <w:color w:val="auto"/>
          <w:szCs w:val="21"/>
          <w:highlight w:val="none"/>
          <w:lang w:eastAsia="zh-CN"/>
        </w:rPr>
        <w:t>货物和服务</w:t>
      </w:r>
      <w:r>
        <w:rPr>
          <w:rFonts w:hint="eastAsia" w:ascii="仿宋" w:hAnsi="仿宋" w:eastAsia="仿宋" w:cs="仿宋"/>
          <w:color w:val="auto"/>
          <w:szCs w:val="21"/>
          <w:highlight w:val="none"/>
        </w:rPr>
        <w:t>招标投标管理办法》</w:t>
      </w:r>
      <w:r>
        <w:rPr>
          <w:rFonts w:hint="eastAsia" w:ascii="仿宋" w:hAnsi="仿宋" w:eastAsia="仿宋" w:cs="仿宋"/>
          <w:color w:val="auto"/>
          <w:sz w:val="24"/>
          <w:szCs w:val="24"/>
          <w:highlight w:val="none"/>
          <w:lang w:val="en-US" w:eastAsia="zh-CN"/>
        </w:rPr>
        <w:t>（财政部第87号令）</w:t>
      </w:r>
      <w:r>
        <w:rPr>
          <w:rFonts w:hint="eastAsia" w:ascii="仿宋" w:hAnsi="仿宋" w:eastAsia="仿宋" w:cs="仿宋"/>
          <w:color w:val="auto"/>
          <w:szCs w:val="21"/>
          <w:highlight w:val="none"/>
        </w:rPr>
        <w:t>的规定，本次评标采用</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评标方法</w:t>
      </w:r>
      <w:r>
        <w:rPr>
          <w:rFonts w:hint="eastAsia" w:ascii="仿宋" w:hAnsi="仿宋" w:eastAsia="仿宋" w:cs="仿宋"/>
          <w:color w:val="auto"/>
          <w:szCs w:val="21"/>
          <w:highlight w:val="none"/>
          <w:lang w:eastAsia="zh-CN"/>
        </w:rPr>
        <w:t>详</w:t>
      </w:r>
      <w:r>
        <w:rPr>
          <w:rFonts w:hint="eastAsia" w:ascii="仿宋" w:hAnsi="仿宋" w:eastAsia="仿宋" w:cs="仿宋"/>
          <w:color w:val="auto"/>
          <w:szCs w:val="21"/>
          <w:highlight w:val="none"/>
        </w:rPr>
        <w:t>见“</w:t>
      </w:r>
      <w:r>
        <w:rPr>
          <w:rFonts w:hint="eastAsia" w:ascii="仿宋" w:hAnsi="仿宋" w:eastAsia="仿宋" w:cs="仿宋"/>
          <w:color w:val="auto"/>
          <w:szCs w:val="21"/>
          <w:highlight w:val="none"/>
          <w:lang w:eastAsia="zh-CN"/>
        </w:rPr>
        <w:t>供应商须知前附表</w:t>
      </w:r>
      <w:r>
        <w:rPr>
          <w:rFonts w:hint="eastAsia" w:ascii="仿宋" w:hAnsi="仿宋" w:eastAsia="仿宋" w:cs="仿宋"/>
          <w:color w:val="auto"/>
          <w:szCs w:val="21"/>
          <w:highlight w:val="none"/>
        </w:rPr>
        <w:t>”。</w:t>
      </w:r>
    </w:p>
    <w:p w14:paraId="21125E77">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评标方法分为最低评标价法和综合评分法。</w:t>
      </w:r>
    </w:p>
    <w:p w14:paraId="36BCDA40">
      <w:pPr>
        <w:widowControl w:val="0"/>
        <w:spacing w:line="360" w:lineRule="auto"/>
        <w:ind w:firstLine="48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最低评标价法，</w:t>
      </w:r>
      <w:r>
        <w:rPr>
          <w:rFonts w:hint="eastAsia" w:ascii="仿宋" w:hAnsi="仿宋" w:eastAsia="仿宋" w:cs="仿宋"/>
          <w:color w:val="auto"/>
          <w:kern w:val="0"/>
          <w:szCs w:val="21"/>
          <w:highlight w:val="none"/>
        </w:rPr>
        <w:t>是指投标文件满足招标文件全部实质性要求，且投标报价最低的</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为中标候选人的评标方法。</w:t>
      </w:r>
    </w:p>
    <w:p w14:paraId="204D1BDC">
      <w:pPr>
        <w:widowControl w:val="0"/>
        <w:spacing w:line="360" w:lineRule="auto"/>
        <w:ind w:firstLine="48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综合评分法，</w:t>
      </w:r>
      <w:r>
        <w:rPr>
          <w:rFonts w:hint="eastAsia" w:ascii="仿宋" w:hAnsi="仿宋" w:eastAsia="仿宋" w:cs="仿宋"/>
          <w:color w:val="auto"/>
          <w:kern w:val="0"/>
          <w:szCs w:val="21"/>
          <w:highlight w:val="none"/>
        </w:rPr>
        <w:t>是指投标文件满足招标文件全部实质性要求，且按照评审因素的量化指标评审得分最高的</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为中标候选人的评标方法。</w:t>
      </w:r>
    </w:p>
    <w:p w14:paraId="225E0CBE">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7.6评标</w:t>
      </w:r>
    </w:p>
    <w:p w14:paraId="0FB18D6B">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.1按照《</w:t>
      </w:r>
      <w:r>
        <w:rPr>
          <w:rFonts w:hint="eastAsia" w:ascii="仿宋" w:hAnsi="仿宋" w:eastAsia="仿宋" w:cs="仿宋"/>
          <w:color w:val="auto"/>
          <w:szCs w:val="21"/>
          <w:highlight w:val="none"/>
          <w:lang w:eastAsia="zh-CN"/>
        </w:rPr>
        <w:t>中华人民共和国政府采购法</w:t>
      </w:r>
      <w:r>
        <w:rPr>
          <w:rFonts w:hint="eastAsia" w:ascii="仿宋" w:hAnsi="仿宋" w:eastAsia="仿宋" w:cs="仿宋"/>
          <w:color w:val="auto"/>
          <w:szCs w:val="21"/>
          <w:highlight w:val="none"/>
        </w:rPr>
        <w:t>》及实施条例和《政府采购货物和服务招标投标管理办法》（财政部87号令），依法组建</w:t>
      </w:r>
      <w:r>
        <w:rPr>
          <w:rFonts w:hint="eastAsia" w:ascii="仿宋" w:hAnsi="仿宋" w:eastAsia="仿宋" w:cs="仿宋"/>
          <w:color w:val="auto"/>
          <w:szCs w:val="21"/>
          <w:highlight w:val="none"/>
          <w:lang w:eastAsia="zh-CN"/>
        </w:rPr>
        <w:t>评标委员会</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评标委员会</w:t>
      </w:r>
      <w:r>
        <w:rPr>
          <w:rFonts w:hint="eastAsia" w:ascii="仿宋" w:hAnsi="仿宋" w:eastAsia="仿宋" w:cs="仿宋"/>
          <w:color w:val="auto"/>
          <w:szCs w:val="21"/>
          <w:highlight w:val="none"/>
        </w:rPr>
        <w:t>由采购人代表和评审专家组成，其中采购人代表须持有授权书。</w:t>
      </w:r>
      <w:r>
        <w:rPr>
          <w:rFonts w:hint="eastAsia" w:ascii="仿宋" w:hAnsi="仿宋" w:eastAsia="仿宋" w:cs="仿宋"/>
          <w:color w:val="auto"/>
          <w:szCs w:val="21"/>
          <w:highlight w:val="none"/>
          <w:lang w:eastAsia="zh-CN"/>
        </w:rPr>
        <w:t>评标委员会</w:t>
      </w:r>
      <w:r>
        <w:rPr>
          <w:rFonts w:hint="eastAsia" w:ascii="仿宋" w:hAnsi="仿宋" w:eastAsia="仿宋" w:cs="仿宋"/>
          <w:color w:val="auto"/>
          <w:szCs w:val="21"/>
          <w:highlight w:val="none"/>
        </w:rPr>
        <w:t>按照</w:t>
      </w:r>
      <w:r>
        <w:rPr>
          <w:rFonts w:hint="eastAsia" w:ascii="仿宋" w:hAnsi="仿宋" w:eastAsia="仿宋" w:cs="仿宋"/>
          <w:color w:val="auto"/>
          <w:szCs w:val="21"/>
          <w:highlight w:val="none"/>
          <w:lang w:eastAsia="zh-CN"/>
        </w:rPr>
        <w:t>招标文件</w:t>
      </w:r>
      <w:r>
        <w:rPr>
          <w:rFonts w:hint="eastAsia" w:ascii="仿宋" w:hAnsi="仿宋" w:eastAsia="仿宋" w:cs="仿宋"/>
          <w:color w:val="auto"/>
          <w:szCs w:val="21"/>
          <w:highlight w:val="none"/>
        </w:rPr>
        <w:t>规定的</w:t>
      </w:r>
      <w:r>
        <w:rPr>
          <w:rFonts w:hint="eastAsia" w:ascii="仿宋" w:hAnsi="仿宋" w:eastAsia="仿宋" w:cs="仿宋"/>
          <w:color w:val="auto"/>
          <w:szCs w:val="21"/>
          <w:highlight w:val="none"/>
          <w:lang w:eastAsia="zh-CN"/>
        </w:rPr>
        <w:t>评标方法</w:t>
      </w:r>
      <w:r>
        <w:rPr>
          <w:rFonts w:hint="eastAsia" w:ascii="仿宋" w:hAnsi="仿宋" w:eastAsia="仿宋" w:cs="仿宋"/>
          <w:color w:val="auto"/>
          <w:szCs w:val="21"/>
          <w:highlight w:val="none"/>
        </w:rPr>
        <w:t>独立进行评审工作。</w:t>
      </w:r>
    </w:p>
    <w:p w14:paraId="78CF0094">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7.6</w:t>
      </w:r>
      <w:r>
        <w:rPr>
          <w:rFonts w:hint="eastAsia" w:ascii="仿宋" w:hAnsi="仿宋" w:eastAsia="仿宋" w:cs="仿宋"/>
          <w:color w:val="auto"/>
          <w:szCs w:val="21"/>
          <w:highlight w:val="none"/>
        </w:rPr>
        <w:t>.2招标文件和投标文件是评标的依据。在评标中，不得改变招标文件中规定的评标标准、方法和中标条件。</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不得在开标后使用任何方式对投标文件的实质性内容做任何更改。</w:t>
      </w:r>
    </w:p>
    <w:p w14:paraId="61519637">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7.6</w:t>
      </w:r>
      <w:r>
        <w:rPr>
          <w:rFonts w:hint="eastAsia" w:ascii="仿宋" w:hAnsi="仿宋" w:eastAsia="仿宋" w:cs="仿宋"/>
          <w:color w:val="auto"/>
          <w:szCs w:val="21"/>
          <w:highlight w:val="none"/>
        </w:rPr>
        <w:t>.3在评标期间，对于投标文件中含义不明确、同类问题表述不一致或者有明显文字和计算错误的内容，评标委员会应当以书面形式（由评标委员会专家签字）要求</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做出必要的澄清、说明或者纠正。</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的澄清、说明或者补正应当采用书面形式，并由其法人代表或授权代表签署全名。</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的澄清、说明或者补正不得超出投标文件的范围或者改变投标文件的实质性内容。</w:t>
      </w:r>
    </w:p>
    <w:p w14:paraId="5448B1A0">
      <w:pPr>
        <w:widowControl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7.6</w:t>
      </w:r>
      <w:r>
        <w:rPr>
          <w:rFonts w:hint="eastAsia" w:ascii="仿宋" w:hAnsi="仿宋" w:eastAsia="仿宋" w:cs="仿宋"/>
          <w:color w:val="auto"/>
          <w:szCs w:val="21"/>
          <w:highlight w:val="none"/>
        </w:rPr>
        <w:t>.4如果</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在规定时限内，未能答复或拒绝答复评委会提出的澄清、说明或者补正的要求，将由评委会根据其投标文件按最大风险进行评标。</w:t>
      </w:r>
    </w:p>
    <w:p w14:paraId="337E7CF7">
      <w:pPr>
        <w:widowControl w:val="0"/>
        <w:spacing w:line="360" w:lineRule="auto"/>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7.6.5评审完成后，评标委员会应当向采购人提交书面评审报告和中标候选供应商名单。评标委员会推荐中标候选供应商的数量见供应商须知前附表。</w:t>
      </w:r>
    </w:p>
    <w:p w14:paraId="38449C9E">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bCs/>
          <w:color w:val="auto"/>
          <w:spacing w:val="-1"/>
          <w:sz w:val="24"/>
          <w:szCs w:val="24"/>
          <w:highlight w:val="none"/>
          <w:lang w:val="en-US" w:eastAsia="zh-CN"/>
        </w:rPr>
      </w:pPr>
      <w:bookmarkStart w:id="8" w:name="_Toc4018"/>
      <w:bookmarkStart w:id="9" w:name="_Toc29623"/>
      <w:r>
        <w:rPr>
          <w:rFonts w:hint="eastAsia" w:ascii="仿宋" w:hAnsi="仿宋" w:eastAsia="仿宋" w:cs="仿宋"/>
          <w:b/>
          <w:bCs/>
          <w:color w:val="auto"/>
          <w:spacing w:val="-1"/>
          <w:sz w:val="24"/>
          <w:szCs w:val="24"/>
          <w:highlight w:val="none"/>
          <w:lang w:val="en-US" w:eastAsia="zh-CN"/>
        </w:rPr>
        <w:t>7.7评标过程的保密</w:t>
      </w:r>
      <w:bookmarkEnd w:id="8"/>
      <w:bookmarkEnd w:id="9"/>
    </w:p>
    <w:p w14:paraId="0AE660DC">
      <w:pPr>
        <w:keepNext w:val="0"/>
        <w:keepLines w:val="0"/>
        <w:pageBreakBefore w:val="0"/>
        <w:widowControl w:val="0"/>
        <w:wordWrap/>
        <w:overflowPunct/>
        <w:topLinePunct w:val="0"/>
        <w:bidi w:val="0"/>
        <w:spacing w:line="500" w:lineRule="exact"/>
        <w:ind w:firstLine="480" w:firstLineChars="200"/>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7.7.1</w:t>
      </w:r>
      <w:r>
        <w:rPr>
          <w:rFonts w:hint="eastAsia" w:ascii="仿宋" w:hAnsi="仿宋" w:eastAsia="仿宋" w:cs="仿宋"/>
          <w:color w:val="auto"/>
          <w:szCs w:val="24"/>
          <w:highlight w:val="none"/>
        </w:rPr>
        <w:t>评标委员会成员和与评标活动有关的工作人员不得泄露有关投标文件的评审和比较、中标候选人的推荐以及与评标有关的其他情况。</w:t>
      </w:r>
    </w:p>
    <w:p w14:paraId="7D73D37D">
      <w:pPr>
        <w:keepNext w:val="0"/>
        <w:keepLines w:val="0"/>
        <w:pageBreakBefore w:val="0"/>
        <w:widowControl w:val="0"/>
        <w:wordWrap/>
        <w:overflowPunct/>
        <w:topLinePunct w:val="0"/>
        <w:bidi w:val="0"/>
        <w:spacing w:line="500" w:lineRule="exact"/>
        <w:ind w:firstLine="480" w:firstLineChars="200"/>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7.7.2</w:t>
      </w:r>
      <w:r>
        <w:rPr>
          <w:rFonts w:hint="eastAsia" w:ascii="仿宋" w:hAnsi="仿宋" w:eastAsia="仿宋" w:cs="仿宋"/>
          <w:color w:val="auto"/>
          <w:szCs w:val="24"/>
          <w:highlight w:val="none"/>
        </w:rPr>
        <w:t>在评标过程中，如果</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试图在投标文件的评审和比较、中标候选人的推荐以及与评标有关的其他方面，向评标人、采购人和采购代理机构施加任何影响，</w:t>
      </w:r>
      <w:r>
        <w:rPr>
          <w:rFonts w:hint="eastAsia" w:ascii="仿宋" w:hAnsi="仿宋" w:eastAsia="仿宋" w:cs="仿宋"/>
          <w:color w:val="auto"/>
          <w:szCs w:val="24"/>
          <w:highlight w:val="none"/>
          <w:lang w:eastAsia="zh-CN"/>
        </w:rPr>
        <w:t>其投标应做无效投标处理</w:t>
      </w:r>
      <w:r>
        <w:rPr>
          <w:rFonts w:hint="eastAsia" w:ascii="仿宋" w:hAnsi="仿宋" w:eastAsia="仿宋" w:cs="仿宋"/>
          <w:color w:val="auto"/>
          <w:szCs w:val="24"/>
          <w:highlight w:val="none"/>
        </w:rPr>
        <w:t>。</w:t>
      </w:r>
    </w:p>
    <w:p w14:paraId="0EAC1C8B">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bCs/>
          <w:color w:val="auto"/>
          <w:spacing w:val="-1"/>
          <w:sz w:val="24"/>
          <w:szCs w:val="24"/>
          <w:highlight w:val="none"/>
          <w:lang w:val="en-US" w:eastAsia="zh-CN"/>
        </w:rPr>
      </w:pPr>
      <w:bookmarkStart w:id="10" w:name="_Toc9197"/>
      <w:bookmarkStart w:id="11" w:name="_Toc26334"/>
      <w:r>
        <w:rPr>
          <w:rFonts w:hint="eastAsia" w:ascii="仿宋" w:hAnsi="仿宋" w:eastAsia="仿宋" w:cs="仿宋"/>
          <w:b/>
          <w:bCs/>
          <w:color w:val="auto"/>
          <w:spacing w:val="-1"/>
          <w:sz w:val="24"/>
          <w:szCs w:val="24"/>
          <w:highlight w:val="none"/>
          <w:lang w:val="en-US" w:eastAsia="zh-CN"/>
        </w:rPr>
        <w:t>7.8评标程序</w:t>
      </w:r>
      <w:bookmarkEnd w:id="10"/>
      <w:bookmarkEnd w:id="11"/>
    </w:p>
    <w:p w14:paraId="3166972C">
      <w:pPr>
        <w:keepNext w:val="0"/>
        <w:keepLines w:val="0"/>
        <w:pageBreakBefore w:val="0"/>
        <w:widowControl w:val="0"/>
        <w:wordWrap/>
        <w:overflowPunct/>
        <w:topLinePunct w:val="0"/>
        <w:bidi w:val="0"/>
        <w:spacing w:line="500" w:lineRule="exact"/>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szCs w:val="24"/>
          <w:highlight w:val="none"/>
        </w:rPr>
        <w:t>按照投标文件初审、澄清有关问题、比较与评价、推荐中标候选人名单的工作程序进行评标。在上一步评审中</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被</w:t>
      </w:r>
      <w:r>
        <w:rPr>
          <w:rFonts w:hint="eastAsia" w:ascii="仿宋" w:hAnsi="仿宋" w:eastAsia="仿宋" w:cs="仿宋"/>
          <w:color w:val="auto"/>
          <w:szCs w:val="24"/>
          <w:highlight w:val="none"/>
          <w:lang w:eastAsia="zh-CN"/>
        </w:rPr>
        <w:t>认定</w:t>
      </w:r>
      <w:r>
        <w:rPr>
          <w:rFonts w:hint="eastAsia" w:ascii="仿宋" w:hAnsi="仿宋" w:eastAsia="仿宋" w:cs="仿宋"/>
          <w:color w:val="auto"/>
          <w:szCs w:val="24"/>
          <w:highlight w:val="none"/>
        </w:rPr>
        <w:t>无效投标者，不进入下一步的评审。</w:t>
      </w:r>
    </w:p>
    <w:p w14:paraId="3802FB9C">
      <w:pPr>
        <w:widowControl w:val="0"/>
        <w:spacing w:line="500" w:lineRule="exact"/>
        <w:rPr>
          <w:rStyle w:val="37"/>
          <w:rFonts w:ascii="仿宋" w:hAnsi="仿宋" w:eastAsia="仿宋" w:cs="仿宋"/>
          <w:color w:val="auto"/>
          <w:highlight w:val="none"/>
        </w:rPr>
      </w:pPr>
    </w:p>
    <w:p w14:paraId="758C0B52">
      <w:pPr>
        <w:widowControl w:val="0"/>
        <w:spacing w:line="500" w:lineRule="exact"/>
        <w:jc w:val="center"/>
        <w:outlineLvl w:val="1"/>
        <w:rPr>
          <w:rStyle w:val="37"/>
          <w:rFonts w:ascii="仿宋" w:hAnsi="仿宋" w:eastAsia="仿宋" w:cs="仿宋"/>
          <w:b/>
          <w:color w:val="auto"/>
          <w:sz w:val="32"/>
          <w:szCs w:val="32"/>
          <w:highlight w:val="none"/>
        </w:rPr>
      </w:pPr>
      <w:r>
        <w:rPr>
          <w:rStyle w:val="37"/>
          <w:rFonts w:hint="eastAsia" w:ascii="仿宋" w:hAnsi="仿宋" w:eastAsia="仿宋" w:cs="仿宋"/>
          <w:b/>
          <w:color w:val="auto"/>
          <w:sz w:val="32"/>
          <w:szCs w:val="32"/>
          <w:highlight w:val="none"/>
        </w:rPr>
        <w:t>八、定标、中标通知</w:t>
      </w:r>
    </w:p>
    <w:p w14:paraId="2889A397">
      <w:pPr>
        <w:keepNext w:val="0"/>
        <w:keepLines w:val="0"/>
        <w:pageBreakBefore w:val="0"/>
        <w:wordWrap/>
        <w:overflowPunct/>
        <w:topLinePunct w:val="0"/>
        <w:bidi w:val="0"/>
        <w:spacing w:line="500" w:lineRule="exact"/>
        <w:outlineLvl w:val="2"/>
        <w:rPr>
          <w:rFonts w:hint="eastAsia" w:ascii="仿宋" w:hAnsi="仿宋" w:eastAsia="仿宋" w:cs="仿宋"/>
          <w:b/>
          <w:color w:val="auto"/>
          <w:szCs w:val="24"/>
          <w:highlight w:val="none"/>
        </w:rPr>
      </w:pPr>
      <w:bookmarkStart w:id="12" w:name="_Toc31397"/>
      <w:bookmarkStart w:id="13" w:name="_Toc17765"/>
      <w:r>
        <w:rPr>
          <w:rFonts w:hint="eastAsia" w:ascii="仿宋" w:hAnsi="仿宋" w:eastAsia="仿宋" w:cs="仿宋"/>
          <w:b/>
          <w:color w:val="auto"/>
          <w:szCs w:val="24"/>
          <w:highlight w:val="none"/>
          <w:lang w:val="en-US" w:eastAsia="zh-CN"/>
        </w:rPr>
        <w:t>8.1</w:t>
      </w:r>
      <w:r>
        <w:rPr>
          <w:rFonts w:hint="eastAsia" w:ascii="仿宋" w:hAnsi="仿宋" w:eastAsia="仿宋" w:cs="仿宋"/>
          <w:b/>
          <w:color w:val="auto"/>
          <w:szCs w:val="24"/>
          <w:highlight w:val="none"/>
        </w:rPr>
        <w:t>定标程序</w:t>
      </w:r>
      <w:bookmarkEnd w:id="12"/>
      <w:bookmarkEnd w:id="13"/>
    </w:p>
    <w:p w14:paraId="7080D2AB">
      <w:pPr>
        <w:keepNext w:val="0"/>
        <w:keepLines w:val="0"/>
        <w:pageBreakBefore w:val="0"/>
        <w:wordWrap/>
        <w:overflowPunct/>
        <w:topLinePunct w:val="0"/>
        <w:bidi w:val="0"/>
        <w:spacing w:line="500" w:lineRule="exact"/>
        <w:ind w:firstLine="480" w:firstLineChars="200"/>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8.1</w:t>
      </w:r>
      <w:r>
        <w:rPr>
          <w:rFonts w:hint="eastAsia" w:ascii="仿宋" w:hAnsi="仿宋" w:eastAsia="仿宋" w:cs="仿宋"/>
          <w:color w:val="auto"/>
          <w:szCs w:val="24"/>
          <w:highlight w:val="none"/>
        </w:rPr>
        <w:t>.1评标委员会根据评标方法的规定对</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进行评审排序，推荐</w:t>
      </w:r>
      <w:r>
        <w:rPr>
          <w:rFonts w:hint="eastAsia" w:ascii="仿宋" w:hAnsi="仿宋" w:eastAsia="仿宋" w:cs="仿宋"/>
          <w:color w:val="auto"/>
          <w:szCs w:val="24"/>
          <w:highlight w:val="none"/>
          <w:u w:val="none"/>
        </w:rPr>
        <w:t>3名</w:t>
      </w:r>
      <w:r>
        <w:rPr>
          <w:rFonts w:hint="eastAsia" w:ascii="仿宋" w:hAnsi="仿宋" w:eastAsia="仿宋" w:cs="仿宋"/>
          <w:color w:val="auto"/>
          <w:szCs w:val="24"/>
          <w:highlight w:val="none"/>
          <w:lang w:eastAsia="zh-CN"/>
        </w:rPr>
        <w:t>中标候选供应商</w:t>
      </w:r>
      <w:r>
        <w:rPr>
          <w:rFonts w:hint="eastAsia" w:ascii="仿宋" w:hAnsi="仿宋" w:eastAsia="仿宋" w:cs="仿宋"/>
          <w:color w:val="auto"/>
          <w:szCs w:val="24"/>
          <w:highlight w:val="none"/>
        </w:rPr>
        <w:t>，作为评标结果。评标结果由评标委员会成员签字确认。</w:t>
      </w:r>
    </w:p>
    <w:p w14:paraId="26C84F63">
      <w:pPr>
        <w:keepNext w:val="0"/>
        <w:keepLines w:val="0"/>
        <w:pageBreakBefore w:val="0"/>
        <w:wordWrap/>
        <w:overflowPunct/>
        <w:topLinePunct w:val="0"/>
        <w:bidi w:val="0"/>
        <w:spacing w:line="500" w:lineRule="exact"/>
        <w:ind w:firstLine="420" w:firstLineChars="175"/>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8.1</w:t>
      </w:r>
      <w:r>
        <w:rPr>
          <w:rFonts w:hint="eastAsia" w:ascii="仿宋" w:hAnsi="仿宋" w:eastAsia="仿宋" w:cs="仿宋"/>
          <w:color w:val="auto"/>
          <w:szCs w:val="24"/>
          <w:highlight w:val="none"/>
        </w:rPr>
        <w:t>.2</w:t>
      </w:r>
      <w:r>
        <w:rPr>
          <w:rFonts w:hint="eastAsia" w:ascii="仿宋" w:hAnsi="仿宋" w:eastAsia="仿宋" w:cs="仿宋"/>
          <w:color w:val="auto"/>
          <w:sz w:val="24"/>
          <w:highlight w:val="none"/>
        </w:rPr>
        <w:t>采购代理机构在评标结束后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个工作日内将评标报告送采购人。采购人应当在收到评标报告后</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个工作日内，按照评标报告中推荐的</w:t>
      </w:r>
      <w:r>
        <w:rPr>
          <w:rFonts w:hint="eastAsia" w:ascii="仿宋" w:hAnsi="仿宋" w:eastAsia="仿宋" w:cs="仿宋"/>
          <w:color w:val="auto"/>
          <w:sz w:val="24"/>
          <w:highlight w:val="none"/>
          <w:lang w:eastAsia="zh-CN"/>
        </w:rPr>
        <w:t>中标候选供应商</w:t>
      </w:r>
      <w:r>
        <w:rPr>
          <w:rFonts w:hint="eastAsia" w:ascii="仿宋" w:hAnsi="仿宋" w:eastAsia="仿宋" w:cs="仿宋"/>
          <w:color w:val="auto"/>
          <w:sz w:val="24"/>
          <w:highlight w:val="none"/>
        </w:rPr>
        <w:t>顺序和有关规定确定</w:t>
      </w:r>
      <w:r>
        <w:rPr>
          <w:rFonts w:hint="eastAsia" w:ascii="仿宋" w:hAnsi="仿宋" w:eastAsia="仿宋" w:cs="仿宋"/>
          <w:color w:val="auto"/>
          <w:sz w:val="24"/>
          <w:highlight w:val="none"/>
          <w:lang w:eastAsia="zh-CN"/>
        </w:rPr>
        <w:t>中标供应商</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szCs w:val="24"/>
          <w:highlight w:val="none"/>
        </w:rPr>
        <w:t>采购人在收到评标报告</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个工作日内未按评标报告推荐的</w:t>
      </w:r>
      <w:r>
        <w:rPr>
          <w:rFonts w:hint="eastAsia" w:ascii="仿宋" w:hAnsi="仿宋" w:eastAsia="仿宋" w:cs="仿宋"/>
          <w:b w:val="0"/>
          <w:bCs w:val="0"/>
          <w:color w:val="auto"/>
          <w:sz w:val="24"/>
          <w:szCs w:val="24"/>
          <w:highlight w:val="none"/>
          <w:lang w:eastAsia="zh-CN"/>
        </w:rPr>
        <w:t>中标候选供应商</w:t>
      </w:r>
      <w:r>
        <w:rPr>
          <w:rFonts w:hint="eastAsia" w:ascii="仿宋" w:hAnsi="仿宋" w:eastAsia="仿宋" w:cs="仿宋"/>
          <w:b w:val="0"/>
          <w:bCs w:val="0"/>
          <w:color w:val="auto"/>
          <w:sz w:val="24"/>
          <w:szCs w:val="24"/>
          <w:highlight w:val="none"/>
        </w:rPr>
        <w:t>顺序确定</w:t>
      </w:r>
      <w:r>
        <w:rPr>
          <w:rFonts w:hint="eastAsia" w:ascii="仿宋" w:hAnsi="仿宋" w:eastAsia="仿宋" w:cs="仿宋"/>
          <w:b w:val="0"/>
          <w:bCs w:val="0"/>
          <w:color w:val="auto"/>
          <w:sz w:val="24"/>
          <w:szCs w:val="24"/>
          <w:highlight w:val="none"/>
          <w:lang w:eastAsia="zh-CN"/>
        </w:rPr>
        <w:t>中标供应商</w:t>
      </w:r>
      <w:r>
        <w:rPr>
          <w:rFonts w:hint="eastAsia" w:ascii="仿宋" w:hAnsi="仿宋" w:eastAsia="仿宋" w:cs="仿宋"/>
          <w:b w:val="0"/>
          <w:bCs w:val="0"/>
          <w:color w:val="auto"/>
          <w:sz w:val="24"/>
          <w:szCs w:val="24"/>
          <w:highlight w:val="none"/>
        </w:rPr>
        <w:t>，又不能说明合法理由的，视同按评标报告推荐的顺序确定排名第一的</w:t>
      </w:r>
      <w:r>
        <w:rPr>
          <w:rFonts w:hint="eastAsia" w:ascii="仿宋" w:hAnsi="仿宋" w:eastAsia="仿宋" w:cs="仿宋"/>
          <w:b w:val="0"/>
          <w:bCs w:val="0"/>
          <w:color w:val="auto"/>
          <w:sz w:val="24"/>
          <w:szCs w:val="24"/>
          <w:highlight w:val="none"/>
          <w:lang w:eastAsia="zh-CN"/>
        </w:rPr>
        <w:t>中标候选供应商</w:t>
      </w:r>
      <w:r>
        <w:rPr>
          <w:rFonts w:hint="eastAsia" w:ascii="仿宋" w:hAnsi="仿宋" w:eastAsia="仿宋" w:cs="仿宋"/>
          <w:b w:val="0"/>
          <w:bCs w:val="0"/>
          <w:color w:val="auto"/>
          <w:sz w:val="24"/>
          <w:szCs w:val="24"/>
          <w:highlight w:val="none"/>
        </w:rPr>
        <w:t>为</w:t>
      </w:r>
      <w:r>
        <w:rPr>
          <w:rFonts w:hint="eastAsia" w:ascii="仿宋" w:hAnsi="仿宋" w:eastAsia="仿宋" w:cs="仿宋"/>
          <w:b w:val="0"/>
          <w:bCs w:val="0"/>
          <w:color w:val="auto"/>
          <w:sz w:val="24"/>
          <w:szCs w:val="24"/>
          <w:highlight w:val="none"/>
          <w:lang w:eastAsia="zh-CN"/>
        </w:rPr>
        <w:t>中标供应商</w:t>
      </w:r>
      <w:r>
        <w:rPr>
          <w:rFonts w:hint="eastAsia" w:ascii="仿宋" w:hAnsi="仿宋" w:eastAsia="仿宋" w:cs="仿宋"/>
          <w:b w:val="0"/>
          <w:bCs w:val="0"/>
          <w:color w:val="auto"/>
          <w:sz w:val="24"/>
          <w:szCs w:val="24"/>
          <w:highlight w:val="none"/>
        </w:rPr>
        <w:t>。</w:t>
      </w:r>
    </w:p>
    <w:p w14:paraId="34C1060C">
      <w:pPr>
        <w:keepNext w:val="0"/>
        <w:keepLines w:val="0"/>
        <w:pageBreakBefore w:val="0"/>
        <w:wordWrap/>
        <w:overflowPunct/>
        <w:topLinePunct w:val="0"/>
        <w:bidi w:val="0"/>
        <w:spacing w:line="500" w:lineRule="exact"/>
        <w:outlineLvl w:val="2"/>
        <w:rPr>
          <w:rFonts w:hint="eastAsia" w:ascii="仿宋" w:hAnsi="仿宋" w:eastAsia="仿宋" w:cs="仿宋"/>
          <w:b/>
          <w:color w:val="auto"/>
          <w:szCs w:val="24"/>
          <w:highlight w:val="none"/>
        </w:rPr>
      </w:pPr>
      <w:bookmarkStart w:id="14" w:name="_Toc25323"/>
      <w:bookmarkStart w:id="15" w:name="_Toc26443"/>
      <w:r>
        <w:rPr>
          <w:rFonts w:hint="eastAsia" w:ascii="仿宋" w:hAnsi="仿宋" w:eastAsia="仿宋" w:cs="仿宋"/>
          <w:b/>
          <w:color w:val="auto"/>
          <w:szCs w:val="24"/>
          <w:highlight w:val="none"/>
          <w:lang w:val="en-US" w:eastAsia="zh-CN"/>
        </w:rPr>
        <w:t>8.2</w:t>
      </w:r>
      <w:r>
        <w:rPr>
          <w:rFonts w:hint="eastAsia" w:ascii="仿宋" w:hAnsi="仿宋" w:eastAsia="仿宋" w:cs="仿宋"/>
          <w:b/>
          <w:color w:val="auto"/>
          <w:szCs w:val="24"/>
          <w:highlight w:val="none"/>
        </w:rPr>
        <w:t>中标</w:t>
      </w:r>
      <w:r>
        <w:rPr>
          <w:rFonts w:hint="eastAsia" w:ascii="仿宋" w:hAnsi="仿宋" w:eastAsia="仿宋" w:cs="仿宋"/>
          <w:b/>
          <w:color w:val="auto"/>
          <w:szCs w:val="24"/>
          <w:highlight w:val="none"/>
          <w:lang w:eastAsia="zh-CN"/>
        </w:rPr>
        <w:t>和落标</w:t>
      </w:r>
      <w:r>
        <w:rPr>
          <w:rFonts w:hint="eastAsia" w:ascii="仿宋" w:hAnsi="仿宋" w:eastAsia="仿宋" w:cs="仿宋"/>
          <w:b/>
          <w:color w:val="auto"/>
          <w:szCs w:val="24"/>
          <w:highlight w:val="none"/>
        </w:rPr>
        <w:t>通知</w:t>
      </w:r>
      <w:bookmarkEnd w:id="14"/>
      <w:bookmarkEnd w:id="15"/>
    </w:p>
    <w:p w14:paraId="5348A371">
      <w:pPr>
        <w:keepNext w:val="0"/>
        <w:keepLines w:val="0"/>
        <w:pageBreakBefore w:val="0"/>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rPr>
        <w:t>1 中标供应商确定后，</w:t>
      </w:r>
      <w:r>
        <w:rPr>
          <w:rFonts w:hint="eastAsia" w:ascii="仿宋" w:hAnsi="仿宋" w:eastAsia="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rPr>
        <w:t>应于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个工作日内，在刊登本次招标公告的媒体上发布中标公告，</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发出《中标通知书》</w:t>
      </w:r>
      <w:r>
        <w:rPr>
          <w:rFonts w:hint="eastAsia" w:ascii="仿宋" w:hAnsi="仿宋" w:eastAsia="仿宋" w:cs="仿宋"/>
          <w:color w:val="auto"/>
          <w:sz w:val="24"/>
          <w:szCs w:val="24"/>
          <w:highlight w:val="none"/>
          <w:lang w:eastAsia="zh-CN"/>
        </w:rPr>
        <w:t>。</w:t>
      </w:r>
    </w:p>
    <w:p w14:paraId="1776C7E5">
      <w:pPr>
        <w:keepNext w:val="0"/>
        <w:keepLines w:val="0"/>
        <w:pageBreakBefore w:val="0"/>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2中标通知书对采购人和</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具有同等法律效力。中标通知书发出之后，采购人改变中标结果，或者</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放弃中标，应当承担相应的法律责任。</w:t>
      </w:r>
    </w:p>
    <w:p w14:paraId="2EE76615">
      <w:pPr>
        <w:keepNext w:val="0"/>
        <w:keepLines w:val="0"/>
        <w:pageBreakBefore w:val="0"/>
        <w:wordWrap/>
        <w:overflowPunct/>
        <w:topLinePunct w:val="0"/>
        <w:bidi w:val="0"/>
        <w:spacing w:line="500" w:lineRule="exact"/>
        <w:ind w:firstLine="480" w:firstLineChars="200"/>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8.2.3中标通知书是合同的组成部分。</w:t>
      </w:r>
    </w:p>
    <w:p w14:paraId="5B7931F5">
      <w:pPr>
        <w:keepNext w:val="0"/>
        <w:keepLines w:val="0"/>
        <w:pageBreakBefore w:val="0"/>
        <w:wordWrap/>
        <w:overflowPunct/>
        <w:topLinePunct w:val="0"/>
        <w:bidi w:val="0"/>
        <w:spacing w:line="500" w:lineRule="exact"/>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8.2.4中标公告发布后，未中标供应商可致电采购代理机构获知本单位的评审得分与排序。</w:t>
      </w:r>
    </w:p>
    <w:p w14:paraId="2696CAA2">
      <w:pPr>
        <w:widowControl w:val="0"/>
        <w:spacing w:before="166" w:line="360" w:lineRule="auto"/>
        <w:jc w:val="center"/>
        <w:outlineLvl w:val="1"/>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九、履约保证金</w:t>
      </w:r>
    </w:p>
    <w:p w14:paraId="6685EE0D">
      <w:pPr>
        <w:widowControl w:val="0"/>
        <w:spacing w:line="360" w:lineRule="auto"/>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9.1在签订合同前，中标供应商应按供应商须知前附表规定的形式、金额和招标文件第三章“合同条款及格式”规定的或者事先经过采购人书面认可的履约保证金格式向采购人提交履约保证金。联合体</w:t>
      </w:r>
      <w:r>
        <w:rPr>
          <w:rStyle w:val="37"/>
          <w:rFonts w:hint="eastAsia" w:ascii="仿宋" w:hAnsi="仿宋" w:eastAsia="仿宋" w:cs="仿宋"/>
          <w:color w:val="auto"/>
          <w:szCs w:val="24"/>
          <w:highlight w:val="none"/>
          <w:lang w:val="en-US" w:eastAsia="zh-CN"/>
        </w:rPr>
        <w:t>中标</w:t>
      </w:r>
      <w:r>
        <w:rPr>
          <w:rStyle w:val="37"/>
          <w:rFonts w:hint="eastAsia" w:ascii="仿宋" w:hAnsi="仿宋" w:eastAsia="仿宋" w:cs="仿宋"/>
          <w:color w:val="auto"/>
          <w:szCs w:val="24"/>
          <w:highlight w:val="none"/>
        </w:rPr>
        <w:t>的，其履约保证金以联合体各方或者联合体中牵头人的名义提交。</w:t>
      </w:r>
    </w:p>
    <w:p w14:paraId="674E1403">
      <w:pPr>
        <w:widowControl w:val="0"/>
        <w:spacing w:line="360" w:lineRule="auto"/>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中标供应商不能按本章第9.1项要求提交履约保证金的，视为放弃</w:t>
      </w:r>
      <w:r>
        <w:rPr>
          <w:rStyle w:val="37"/>
          <w:rFonts w:hint="eastAsia" w:ascii="仿宋" w:hAnsi="仿宋" w:eastAsia="仿宋" w:cs="仿宋"/>
          <w:color w:val="auto"/>
          <w:szCs w:val="24"/>
          <w:highlight w:val="none"/>
          <w:lang w:val="en-US" w:eastAsia="zh-CN"/>
        </w:rPr>
        <w:t>中标</w:t>
      </w:r>
      <w:r>
        <w:rPr>
          <w:rStyle w:val="37"/>
          <w:rFonts w:hint="eastAsia" w:ascii="仿宋" w:hAnsi="仿宋" w:eastAsia="仿宋" w:cs="仿宋"/>
          <w:color w:val="auto"/>
          <w:szCs w:val="24"/>
          <w:highlight w:val="none"/>
        </w:rPr>
        <w:t>，给采购人造成的损失的，中标供应商应当予以赔偿。</w:t>
      </w:r>
    </w:p>
    <w:p w14:paraId="666D9F52">
      <w:pPr>
        <w:widowControl w:val="0"/>
        <w:spacing w:before="166" w:line="360" w:lineRule="auto"/>
        <w:jc w:val="center"/>
        <w:outlineLvl w:val="1"/>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十、合同的签订</w:t>
      </w:r>
    </w:p>
    <w:p w14:paraId="2B19672C">
      <w:pPr>
        <w:keepNext w:val="0"/>
        <w:keepLines w:val="0"/>
        <w:pageBreakBefore w:val="0"/>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1采购人应当自中标通知书发出之日起</w:t>
      </w:r>
      <w:r>
        <w:rPr>
          <w:rFonts w:hint="eastAsia" w:ascii="仿宋" w:hAnsi="仿宋" w:eastAsia="仿宋" w:cs="仿宋"/>
          <w:b w:val="0"/>
          <w:bCs w:val="0"/>
          <w:color w:val="auto"/>
          <w:sz w:val="24"/>
          <w:szCs w:val="24"/>
          <w:highlight w:val="none"/>
          <w:lang w:val="en-US" w:eastAsia="zh-CN"/>
        </w:rPr>
        <w:t>三十</w:t>
      </w:r>
      <w:r>
        <w:rPr>
          <w:rFonts w:hint="eastAsia" w:ascii="仿宋" w:hAnsi="仿宋" w:eastAsia="仿宋" w:cs="仿宋"/>
          <w:color w:val="auto"/>
          <w:sz w:val="24"/>
          <w:szCs w:val="24"/>
          <w:highlight w:val="none"/>
        </w:rPr>
        <w:t>日内，按照招标文件和</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投标文件（包括评标中形成的澄清文件）的约定，与</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签订书面合同。中标合同应按照招标文件、投标文件及评标过程中的有关澄清、说明或者补正文件的内容</w:t>
      </w:r>
      <w:r>
        <w:rPr>
          <w:rFonts w:hint="eastAsia" w:ascii="仿宋" w:hAnsi="仿宋" w:eastAsia="仿宋" w:cs="仿宋"/>
          <w:color w:val="auto"/>
          <w:szCs w:val="24"/>
          <w:highlight w:val="none"/>
        </w:rPr>
        <w:t>签订。采购人与中标供应商不得背离合同实质性内容签订其他协议或发表声明</w:t>
      </w:r>
      <w:r>
        <w:rPr>
          <w:rFonts w:hint="eastAsia" w:ascii="仿宋" w:hAnsi="仿宋" w:eastAsia="仿宋" w:cs="仿宋"/>
          <w:color w:val="auto"/>
          <w:sz w:val="24"/>
          <w:szCs w:val="24"/>
          <w:highlight w:val="none"/>
        </w:rPr>
        <w:t>。</w:t>
      </w:r>
    </w:p>
    <w:p w14:paraId="1621815B">
      <w:pPr>
        <w:keepNext w:val="0"/>
        <w:keepLines w:val="0"/>
        <w:pageBreakBefore w:val="0"/>
        <w:wordWrap/>
        <w:overflowPunct/>
        <w:topLinePunct w:val="0"/>
        <w:bidi w:val="0"/>
        <w:spacing w:line="500" w:lineRule="exact"/>
        <w:ind w:firstLine="480" w:firstLineChars="200"/>
        <w:outlineLvl w:val="9"/>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10.2采购人如需追加与合同标的相同的货物、服务，在不改变合同其他条款的前提下，中标供</w:t>
      </w:r>
      <w:r>
        <w:rPr>
          <w:rFonts w:hint="eastAsia" w:ascii="仿宋" w:hAnsi="仿宋" w:eastAsia="仿宋" w:cs="仿宋"/>
          <w:color w:val="auto"/>
          <w:szCs w:val="24"/>
          <w:highlight w:val="none"/>
        </w:rPr>
        <w:t>应商可与采购人协商签订补充合同，但所有补充合同的总采购金额不得超过原合同金额的10%。</w:t>
      </w:r>
    </w:p>
    <w:p w14:paraId="7C29A4F3">
      <w:pPr>
        <w:spacing w:line="500" w:lineRule="exact"/>
        <w:ind w:firstLine="480" w:firstLineChars="20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10.3</w:t>
      </w:r>
      <w:r>
        <w:rPr>
          <w:rFonts w:hint="eastAsia" w:ascii="仿宋" w:hAnsi="仿宋" w:eastAsia="仿宋" w:cs="仿宋"/>
          <w:color w:val="auto"/>
          <w:szCs w:val="24"/>
          <w:highlight w:val="none"/>
          <w:lang w:eastAsia="zh-CN"/>
        </w:rPr>
        <w:t>投标供应商</w:t>
      </w:r>
      <w:r>
        <w:rPr>
          <w:rFonts w:hint="eastAsia" w:ascii="仿宋" w:hAnsi="仿宋" w:eastAsia="仿宋" w:cs="仿宋"/>
          <w:color w:val="auto"/>
          <w:szCs w:val="24"/>
          <w:highlight w:val="none"/>
        </w:rPr>
        <w:t>中标及签订合同后，不得转包。</w:t>
      </w:r>
    </w:p>
    <w:p w14:paraId="599387E4">
      <w:pPr>
        <w:keepNext w:val="0"/>
        <w:keepLines w:val="0"/>
        <w:pageBreakBefore w:val="0"/>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10.4中标供应商拒绝与采购人签订合同的，采购人可以按照评审报告推荐的中标候选供应商名单排序，确定下一候选供应商为中标供应商，也可以重新开展政府采购活动。</w:t>
      </w:r>
    </w:p>
    <w:p w14:paraId="7381F726">
      <w:pPr>
        <w:keepNext w:val="0"/>
        <w:keepLines w:val="0"/>
        <w:pageBreakBefore w:val="0"/>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10.5招标文件、中标供应商的投标文件、《中标通知书》及其澄清、说明文件、承诺等，均为签订采购合同的依据，作为采购合同的组成部分。</w:t>
      </w:r>
    </w:p>
    <w:p w14:paraId="3836BBD3">
      <w:pPr>
        <w:keepNext w:val="0"/>
        <w:keepLines w:val="0"/>
        <w:pageBreakBefore w:val="0"/>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10.6政府采购合同应当包括采购人与中标供应商的名称和住所、标的、数量、质量、价款或者报酬、履行期限及地点和方式、验收要求、违约责任、解决争议的方法等内容。</w:t>
      </w:r>
    </w:p>
    <w:p w14:paraId="6AAEE2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10.7</w:t>
      </w:r>
      <w:r>
        <w:rPr>
          <w:rFonts w:hint="eastAsia" w:ascii="仿宋" w:hAnsi="仿宋" w:eastAsia="仿宋" w:cs="仿宋"/>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14:paraId="62B87EE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10.8采购人与中标供应商应当根据合同的约定依法履行合同义务。政府采购合同的履行、违约责任和解决争议的方法等适用《中华人民共和国民法典》。</w:t>
      </w:r>
    </w:p>
    <w:p w14:paraId="028613A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10.9采购人应及时对采购项目进行验收。采购人可以邀请参加本项目的其他供应商或者第三方机构参与验收。参与验收的供应商或者第三方机构的意见作为验收资料一并存档。</w:t>
      </w:r>
    </w:p>
    <w:p w14:paraId="0257EA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10.10采购人应当加强对中标供应商的履约管理，并按照采购合同约定，及时向中标供应商支付采购资金。对于中标供应商违反采购合同约定的行为，采购人应当及时处理，依法追究其违约责任。</w:t>
      </w:r>
    </w:p>
    <w:p w14:paraId="077D218E">
      <w:pPr>
        <w:spacing w:line="360" w:lineRule="auto"/>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 w:val="24"/>
          <w:szCs w:val="24"/>
          <w:highlight w:val="none"/>
          <w:lang w:val="en-US" w:eastAsia="zh-CN"/>
        </w:rPr>
        <w:t>10.11采购代理机构应当建立真实完整的招标采购档案，妥善保存每项采购活动的招标文件。</w:t>
      </w:r>
    </w:p>
    <w:p w14:paraId="2F0898A8">
      <w:pPr>
        <w:widowControl w:val="0"/>
        <w:spacing w:before="166" w:line="360" w:lineRule="auto"/>
        <w:jc w:val="center"/>
        <w:outlineLvl w:val="1"/>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十一、质疑</w:t>
      </w:r>
    </w:p>
    <w:p w14:paraId="7B52F92A">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11.1询问</w:t>
      </w:r>
    </w:p>
    <w:p w14:paraId="447B91CC">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投标供应商或潜在投标供应商对政府采购活动有疑问的，可以向采购人或采购代理机构提出询问。采购人或者采购代理机构应当在3个工作日内对供应商依法提出的询问作出答复。</w:t>
      </w:r>
    </w:p>
    <w:p w14:paraId="1C0FB99F">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11.2质疑</w:t>
      </w:r>
    </w:p>
    <w:p w14:paraId="1982ED9C">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11.2.1供应商认为招标文件、招标过程、中标结果使自己的权益受到损害的，可以在知道或者应知其权益受到损害之日起7个工作日内，以书面形式向采购人、采购代理机构提出质疑。投标供应商或潜在投标供应商应知其权益受到损害之日，是指：</w:t>
      </w:r>
    </w:p>
    <w:p w14:paraId="5C58481F">
      <w:pPr>
        <w:widowControl w:val="0"/>
        <w:snapToGrid/>
        <w:spacing w:line="500" w:lineRule="exact"/>
        <w:ind w:right="12" w:firstLine="480"/>
        <w:jc w:val="both"/>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(1)对招标文件提出质疑的，在公告期限届满之后下载招标文件的，对招标文件的质疑期限从公告期限届满之日起计算；在公告期限届满之前下载招标文件的，对招标文件的质疑期限从下载之日起计算；</w:t>
      </w:r>
    </w:p>
    <w:p w14:paraId="7D3EB69C">
      <w:pPr>
        <w:widowControl w:val="0"/>
        <w:snapToGrid/>
        <w:spacing w:line="500" w:lineRule="exact"/>
        <w:ind w:right="12" w:firstLine="480"/>
        <w:jc w:val="both"/>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(2)对招标过程提出质疑的，为各招标程序环节结束之日；</w:t>
      </w:r>
    </w:p>
    <w:p w14:paraId="1184809C">
      <w:pPr>
        <w:widowControl w:val="0"/>
        <w:snapToGrid/>
        <w:spacing w:line="500" w:lineRule="exact"/>
        <w:ind w:right="12" w:firstLine="480"/>
        <w:jc w:val="both"/>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(3)对中标结果提出质疑的，为中标结果公告期限届满之日。</w:t>
      </w:r>
    </w:p>
    <w:p w14:paraId="58A9DB5F">
      <w:pPr>
        <w:widowControl w:val="0"/>
        <w:snapToGrid/>
        <w:spacing w:line="500" w:lineRule="exact"/>
        <w:ind w:right="12" w:firstLine="480"/>
        <w:jc w:val="both"/>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11.2.2投标供应商或潜在投标供应商针对同一采购程序环节的质疑须一次性提出，对一个项目的不同包提出质疑的，应当将各包质疑事项集中在一份质疑函中提出。</w:t>
      </w:r>
    </w:p>
    <w:p w14:paraId="71A249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33"/>
          <w:rFonts w:hint="eastAsia" w:ascii="仿宋" w:hAnsi="仿宋" w:eastAsia="仿宋" w:cs="仿宋"/>
          <w:b w:val="0"/>
          <w:bCs/>
          <w:i w:val="0"/>
          <w:caps w:val="0"/>
          <w:color w:val="auto"/>
          <w:spacing w:val="0"/>
          <w:sz w:val="24"/>
          <w:szCs w:val="24"/>
          <w:highlight w:val="none"/>
          <w:shd w:val="clear" w:color="auto" w:fill="FFFFFF"/>
          <w:lang w:val="en-US" w:eastAsia="zh-CN"/>
        </w:rPr>
      </w:pPr>
      <w:r>
        <w:rPr>
          <w:rStyle w:val="33"/>
          <w:rFonts w:hint="eastAsia" w:ascii="仿宋" w:hAnsi="仿宋" w:eastAsia="仿宋" w:cs="仿宋"/>
          <w:b w:val="0"/>
          <w:bCs/>
          <w:i w:val="0"/>
          <w:caps w:val="0"/>
          <w:color w:val="auto"/>
          <w:spacing w:val="0"/>
          <w:sz w:val="24"/>
          <w:szCs w:val="24"/>
          <w:highlight w:val="none"/>
          <w:shd w:val="clear" w:color="auto" w:fill="FFFFFF"/>
          <w:lang w:val="en-US" w:eastAsia="zh-CN"/>
        </w:rPr>
        <w:t>11.2.3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F3B25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33"/>
          <w:rFonts w:hint="eastAsia" w:ascii="仿宋" w:hAnsi="仿宋" w:eastAsia="仿宋" w:cs="仿宋"/>
          <w:b w:val="0"/>
          <w:bCs/>
          <w:i w:val="0"/>
          <w:caps w:val="0"/>
          <w:color w:val="auto"/>
          <w:spacing w:val="0"/>
          <w:sz w:val="24"/>
          <w:szCs w:val="24"/>
          <w:highlight w:val="none"/>
          <w:shd w:val="clear" w:color="auto" w:fill="FFFFFF"/>
          <w:lang w:val="en-US" w:eastAsia="zh-CN"/>
        </w:rPr>
      </w:pPr>
      <w:r>
        <w:rPr>
          <w:rStyle w:val="33"/>
          <w:rFonts w:hint="eastAsia" w:ascii="仿宋" w:hAnsi="仿宋" w:eastAsia="仿宋" w:cs="仿宋"/>
          <w:b w:val="0"/>
          <w:bCs/>
          <w:i w:val="0"/>
          <w:caps w:val="0"/>
          <w:color w:val="auto"/>
          <w:spacing w:val="0"/>
          <w:sz w:val="24"/>
          <w:szCs w:val="24"/>
          <w:highlight w:val="none"/>
          <w:shd w:val="clear" w:color="auto" w:fill="FFFFFF"/>
          <w:lang w:val="en-US" w:eastAsia="zh-CN"/>
        </w:rPr>
        <w:t>11.2.4以联合体形式参加政府采购活动的，其质疑应当由组成联合体的所有供应商共同提出。</w:t>
      </w:r>
    </w:p>
    <w:p w14:paraId="2AE19B7E">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11.2.5供应商提出质疑应当提交质疑函和必要的证明材料。质疑函应当包括下列内容：</w:t>
      </w:r>
    </w:p>
    <w:p w14:paraId="783D480F">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11.2.5.1供应商的姓名或者名称、地址、邮编、联系人及联系电话；</w:t>
      </w:r>
    </w:p>
    <w:p w14:paraId="1B6AF33B">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11.2.5.2质疑项目的名称、编号；</w:t>
      </w:r>
    </w:p>
    <w:p w14:paraId="3E9C6A9C">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11.2.5.3具体、明确的质疑事项和与质疑事项相关的请求；</w:t>
      </w:r>
    </w:p>
    <w:p w14:paraId="46AE48EA">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11.2.5.4事实依据；</w:t>
      </w:r>
    </w:p>
    <w:p w14:paraId="11E56E86">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11.2.5.5必要的法律依据；</w:t>
      </w:r>
    </w:p>
    <w:p w14:paraId="0FA67F58">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Style w:val="33"/>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color w:val="auto"/>
          <w:sz w:val="24"/>
          <w:szCs w:val="24"/>
          <w:highlight w:val="none"/>
          <w:lang w:val="en-US" w:eastAsia="zh-CN"/>
        </w:rPr>
        <w:t>11.2.5.6提出质疑的日期。</w:t>
      </w:r>
    </w:p>
    <w:p w14:paraId="496AF17C">
      <w:pPr>
        <w:keepNext w:val="0"/>
        <w:keepLines w:val="0"/>
        <w:pageBreakBefore w:val="0"/>
        <w:widowControl/>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11.2.6</w:t>
      </w:r>
      <w:r>
        <w:rPr>
          <w:rFonts w:hint="eastAsia" w:ascii="仿宋" w:hAnsi="仿宋" w:eastAsia="仿宋" w:cs="仿宋"/>
          <w:color w:val="auto"/>
          <w:sz w:val="24"/>
          <w:szCs w:val="24"/>
          <w:highlight w:val="none"/>
        </w:rPr>
        <w:t>有下列情形之一的，属于无效质疑，采购代理机构和采购人不予受理：</w:t>
      </w:r>
    </w:p>
    <w:p w14:paraId="4A8942C4">
      <w:pPr>
        <w:keepNext w:val="0"/>
        <w:keepLines w:val="0"/>
        <w:pageBreakBefore w:val="0"/>
        <w:widowControl/>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11.2.6.1</w:t>
      </w: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不是参与本次政府采购项目的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3D0A8631">
      <w:pPr>
        <w:keepNext w:val="0"/>
        <w:keepLines w:val="0"/>
        <w:pageBreakBefore w:val="0"/>
        <w:widowControl/>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11.2.6.2</w:t>
      </w: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与质疑事项不存在利害关系的；</w:t>
      </w:r>
    </w:p>
    <w:p w14:paraId="472C8BD6">
      <w:pPr>
        <w:keepNext w:val="0"/>
        <w:keepLines w:val="0"/>
        <w:pageBreakBefore w:val="0"/>
        <w:widowControl/>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11.2.6.3</w:t>
      </w:r>
      <w:r>
        <w:rPr>
          <w:rFonts w:hint="eastAsia" w:ascii="仿宋" w:hAnsi="仿宋" w:eastAsia="仿宋" w:cs="仿宋"/>
          <w:color w:val="auto"/>
          <w:sz w:val="24"/>
          <w:szCs w:val="24"/>
          <w:highlight w:val="none"/>
        </w:rPr>
        <w:t>未在法定期限内提出质疑的；</w:t>
      </w:r>
    </w:p>
    <w:p w14:paraId="486EF1AB">
      <w:pPr>
        <w:keepNext w:val="0"/>
        <w:keepLines w:val="0"/>
        <w:pageBreakBefore w:val="0"/>
        <w:widowControl/>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11.2.6.4</w:t>
      </w:r>
      <w:r>
        <w:rPr>
          <w:rFonts w:hint="eastAsia" w:ascii="仿宋" w:hAnsi="仿宋" w:eastAsia="仿宋" w:cs="仿宋"/>
          <w:color w:val="auto"/>
          <w:sz w:val="24"/>
          <w:szCs w:val="24"/>
          <w:highlight w:val="none"/>
        </w:rPr>
        <w:t>质疑未以书面形式提出，或质疑</w:t>
      </w:r>
      <w:r>
        <w:rPr>
          <w:rFonts w:hint="eastAsia" w:ascii="仿宋" w:hAnsi="仿宋" w:eastAsia="仿宋" w:cs="仿宋"/>
          <w:color w:val="auto"/>
          <w:sz w:val="24"/>
          <w:szCs w:val="24"/>
          <w:highlight w:val="none"/>
          <w:lang w:eastAsia="zh-CN"/>
        </w:rPr>
        <w:t>函</w:t>
      </w:r>
      <w:r>
        <w:rPr>
          <w:rFonts w:hint="eastAsia" w:ascii="仿宋" w:hAnsi="仿宋" w:eastAsia="仿宋" w:cs="仿宋"/>
          <w:color w:val="auto"/>
          <w:sz w:val="24"/>
          <w:szCs w:val="24"/>
          <w:highlight w:val="none"/>
        </w:rPr>
        <w:t>主要内容构成不完整的；</w:t>
      </w:r>
    </w:p>
    <w:p w14:paraId="6986AB3A">
      <w:pPr>
        <w:keepNext w:val="0"/>
        <w:keepLines w:val="0"/>
        <w:pageBreakBefore w:val="0"/>
        <w:widowControl/>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11.2.6.5</w:t>
      </w:r>
      <w:r>
        <w:rPr>
          <w:rFonts w:hint="eastAsia" w:ascii="仿宋" w:hAnsi="仿宋" w:eastAsia="仿宋" w:cs="仿宋"/>
          <w:color w:val="auto"/>
          <w:sz w:val="24"/>
          <w:szCs w:val="24"/>
          <w:highlight w:val="none"/>
          <w:lang w:eastAsia="zh-CN"/>
        </w:rPr>
        <w:t>应当提交授权书而未提交的</w:t>
      </w:r>
      <w:r>
        <w:rPr>
          <w:rFonts w:hint="eastAsia" w:ascii="仿宋" w:hAnsi="仿宋" w:eastAsia="仿宋" w:cs="仿宋"/>
          <w:color w:val="auto"/>
          <w:sz w:val="24"/>
          <w:szCs w:val="24"/>
          <w:highlight w:val="none"/>
        </w:rPr>
        <w:t>；</w:t>
      </w:r>
    </w:p>
    <w:p w14:paraId="0C80209F">
      <w:pPr>
        <w:keepNext w:val="0"/>
        <w:keepLines w:val="0"/>
        <w:pageBreakBefore w:val="0"/>
        <w:widowControl/>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11.2.6.6</w:t>
      </w:r>
      <w:r>
        <w:rPr>
          <w:rFonts w:hint="eastAsia" w:ascii="仿宋" w:hAnsi="仿宋" w:eastAsia="仿宋" w:cs="仿宋"/>
          <w:color w:val="auto"/>
          <w:sz w:val="24"/>
          <w:szCs w:val="24"/>
          <w:highlight w:val="none"/>
        </w:rPr>
        <w:t>以非法手段取得证据、材料的；</w:t>
      </w:r>
    </w:p>
    <w:p w14:paraId="438D5292">
      <w:pPr>
        <w:keepNext w:val="0"/>
        <w:keepLines w:val="0"/>
        <w:pageBreakBefore w:val="0"/>
        <w:widowControl/>
        <w:wordWrap/>
        <w:overflowPunct/>
        <w:topLinePunct w:val="0"/>
        <w:bidi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11.2.6.7</w:t>
      </w:r>
      <w:r>
        <w:rPr>
          <w:rFonts w:hint="eastAsia" w:ascii="仿宋" w:hAnsi="仿宋" w:eastAsia="仿宋" w:cs="仿宋"/>
          <w:color w:val="auto"/>
          <w:sz w:val="24"/>
          <w:szCs w:val="24"/>
          <w:highlight w:val="none"/>
        </w:rPr>
        <w:t>质疑答复后，同一质疑人就同一事项</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同一采购程序环节</w:t>
      </w:r>
      <w:r>
        <w:rPr>
          <w:rFonts w:hint="eastAsia" w:ascii="仿宋" w:hAnsi="仿宋" w:eastAsia="仿宋" w:cs="仿宋"/>
          <w:color w:val="auto"/>
          <w:sz w:val="24"/>
          <w:szCs w:val="24"/>
          <w:highlight w:val="none"/>
        </w:rPr>
        <w:t>再次提出质疑的；</w:t>
      </w:r>
    </w:p>
    <w:p w14:paraId="7D889D21">
      <w:pPr>
        <w:keepNext w:val="0"/>
        <w:keepLines w:val="0"/>
        <w:pageBreakBefore w:val="0"/>
        <w:widowControl/>
        <w:wordWrap/>
        <w:overflowPunct/>
        <w:topLinePunct w:val="0"/>
        <w:bidi w:val="0"/>
        <w:spacing w:line="500" w:lineRule="exact"/>
        <w:ind w:firstLine="480" w:firstLineChars="200"/>
        <w:outlineLvl w:val="9"/>
        <w:rPr>
          <w:rStyle w:val="33"/>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color w:val="auto"/>
          <w:sz w:val="24"/>
          <w:szCs w:val="24"/>
          <w:highlight w:val="none"/>
          <w:lang w:val="en-US" w:eastAsia="zh-CN"/>
        </w:rPr>
        <w:t>11.2.6.8</w:t>
      </w:r>
      <w:r>
        <w:rPr>
          <w:rFonts w:hint="eastAsia" w:ascii="仿宋" w:hAnsi="仿宋" w:eastAsia="仿宋" w:cs="仿宋"/>
          <w:color w:val="auto"/>
          <w:sz w:val="24"/>
          <w:szCs w:val="24"/>
          <w:highlight w:val="none"/>
        </w:rPr>
        <w:t>不符合法律、法规、规章和政府采购监管机构规定的其他条件的。</w:t>
      </w:r>
    </w:p>
    <w:p w14:paraId="59532E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12"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11.2.7</w:t>
      </w:r>
      <w:r>
        <w:rPr>
          <w:rFonts w:hint="eastAsia" w:ascii="仿宋" w:hAnsi="仿宋" w:eastAsia="仿宋" w:cs="仿宋"/>
          <w:color w:val="auto"/>
          <w:sz w:val="24"/>
          <w:szCs w:val="24"/>
          <w:highlight w:val="none"/>
          <w:lang w:eastAsia="zh-CN"/>
        </w:rPr>
        <w:t>质疑答复</w:t>
      </w:r>
    </w:p>
    <w:p w14:paraId="0B649816">
      <w:pPr>
        <w:pStyle w:val="29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11.2.7.1采购人或采购代理机构</w:t>
      </w:r>
      <w:r>
        <w:rPr>
          <w:rFonts w:hint="eastAsia" w:ascii="仿宋" w:hAnsi="仿宋" w:eastAsia="仿宋" w:cs="仿宋"/>
          <w:color w:val="auto"/>
          <w:sz w:val="24"/>
          <w:szCs w:val="24"/>
          <w:highlight w:val="none"/>
        </w:rPr>
        <w:t>在收到质疑函后7个工作日内作出答复，并以书面形式通知质疑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0C0B1511">
      <w:pPr>
        <w:pStyle w:val="29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11.2.7.2投标供应商或潜在投标供应商以质疑函形式提交，但无具体、明确质疑事项，实质内容为询问的，采购代理机构可视为书面询问受理并及时告知供应商，后续事宜按照询问答复流程办理。</w:t>
      </w:r>
    </w:p>
    <w:p w14:paraId="33A3008C">
      <w:pPr>
        <w:pStyle w:val="29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11.2.8其他需要说明的事项</w:t>
      </w:r>
    </w:p>
    <w:p w14:paraId="0203A614">
      <w:pPr>
        <w:pStyle w:val="29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11.2.8.1质疑函须按财政部《质疑函范本》给定的格式进行填写，范本下载详见【财政部国库司（gks.mof.gov.cn）】网站〖首页·政府采购管理〗栏目中的《政府采购供应商质疑函范本》。《政府采购供应商质疑函范本》链接地址：</w:t>
      </w:r>
    </w:p>
    <w:p w14:paraId="3D639872">
      <w:pPr>
        <w:pStyle w:val="29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14:paraId="25D6F364">
      <w:pPr>
        <w:pStyle w:val="29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11.2.8.2接收质疑函的方式：书面形式</w:t>
      </w:r>
    </w:p>
    <w:p w14:paraId="09836D80">
      <w:pPr>
        <w:pStyle w:val="29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11.2.8.3联系部门：陕西正明项目管理有限公司招标部</w:t>
      </w:r>
    </w:p>
    <w:p w14:paraId="6A8BB126">
      <w:pPr>
        <w:pStyle w:val="29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11.2.8.4联系电话：见供应商须知前附表</w:t>
      </w:r>
    </w:p>
    <w:p w14:paraId="02593250">
      <w:pPr>
        <w:pStyle w:val="29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11.2.8.5通讯地址：陕西省西安市雁塔区科技二路71号竹园天寰国际1807室</w:t>
      </w:r>
    </w:p>
    <w:p w14:paraId="5007E1DC">
      <w:pPr>
        <w:pStyle w:val="29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11.3投诉</w:t>
      </w:r>
    </w:p>
    <w:p w14:paraId="0BA3277C">
      <w:pPr>
        <w:keepNext w:val="0"/>
        <w:keepLines w:val="0"/>
        <w:pageBreakBefore w:val="0"/>
        <w:widowControl/>
        <w:wordWrap/>
        <w:overflowPunct/>
        <w:topLinePunct w:val="0"/>
        <w:bidi w:val="0"/>
        <w:spacing w:line="500" w:lineRule="exact"/>
        <w:ind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质疑供应商对采购人、采购代理机构的答复不满意，或者采购人、采购代理机构未在规定时间内作出答复的，可以在答复期满后15个工作日内向同级人民政府财政部门提起投诉。</w:t>
      </w:r>
    </w:p>
    <w:p w14:paraId="16730AB7">
      <w:pPr>
        <w:widowControl w:val="0"/>
        <w:spacing w:before="157" w:line="360" w:lineRule="auto"/>
        <w:jc w:val="center"/>
        <w:outlineLvl w:val="1"/>
        <w:rPr>
          <w:rStyle w:val="37"/>
          <w:rFonts w:ascii="仿宋" w:hAnsi="仿宋" w:eastAsia="仿宋" w:cs="仿宋"/>
          <w:b/>
          <w:bCs/>
          <w:color w:val="auto"/>
          <w:kern w:val="2"/>
          <w:sz w:val="28"/>
          <w:szCs w:val="28"/>
          <w:highlight w:val="none"/>
        </w:rPr>
      </w:pPr>
      <w:r>
        <w:rPr>
          <w:rStyle w:val="37"/>
          <w:rFonts w:hint="eastAsia" w:ascii="仿宋" w:hAnsi="仿宋" w:eastAsia="仿宋" w:cs="仿宋"/>
          <w:b/>
          <w:bCs/>
          <w:color w:val="auto"/>
          <w:kern w:val="2"/>
          <w:sz w:val="28"/>
          <w:szCs w:val="28"/>
          <w:highlight w:val="none"/>
        </w:rPr>
        <w:t>十二、落实政府采购政策</w:t>
      </w:r>
    </w:p>
    <w:p w14:paraId="0540A8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12.1根据《政府采购促进中小企业发展管理办法》（财库〔2020〕46号）</w:t>
      </w:r>
      <w:r>
        <w:rPr>
          <w:rFonts w:hint="eastAsia" w:ascii="仿宋" w:hAnsi="仿宋" w:eastAsia="仿宋" w:cs="仿宋"/>
          <w:color w:val="auto"/>
          <w:sz w:val="24"/>
          <w:szCs w:val="24"/>
          <w:highlight w:val="none"/>
          <w:lang w:eastAsia="zh-CN"/>
        </w:rPr>
        <w:t>、《关于进一步加大政府采购支持中小企业力度的通知》（财库〔2022〕19号</w:t>
      </w:r>
      <w:r>
        <w:rPr>
          <w:rFonts w:hint="eastAsia" w:ascii="仿宋" w:hAnsi="仿宋" w:eastAsia="仿宋" w:cs="仿宋"/>
          <w:color w:val="auto"/>
          <w:sz w:val="24"/>
          <w:szCs w:val="24"/>
          <w:highlight w:val="none"/>
          <w:lang w:val="en-US" w:eastAsia="zh-CN"/>
        </w:rPr>
        <w:t>）和《陕西省财政厅关于进一步加大政府采购支持中小企业力度的通知》（陕财办采〔2022〕5号）</w:t>
      </w:r>
      <w:r>
        <w:rPr>
          <w:rFonts w:hint="eastAsia" w:ascii="仿宋" w:hAnsi="仿宋" w:eastAsia="仿宋" w:cs="仿宋"/>
          <w:color w:val="auto"/>
          <w:sz w:val="24"/>
          <w:szCs w:val="24"/>
          <w:highlight w:val="none"/>
        </w:rPr>
        <w:t>的有关规定，</w:t>
      </w:r>
      <w:r>
        <w:rPr>
          <w:rFonts w:hint="eastAsia" w:ascii="仿宋" w:hAnsi="仿宋" w:eastAsia="仿宋" w:cs="仿宋"/>
          <w:color w:val="auto"/>
          <w:sz w:val="24"/>
          <w:szCs w:val="24"/>
          <w:highlight w:val="none"/>
          <w:lang w:val="en-US" w:eastAsia="zh-CN"/>
        </w:rPr>
        <w:t>对于</w:t>
      </w:r>
      <w:r>
        <w:rPr>
          <w:rFonts w:hint="eastAsia" w:ascii="仿宋" w:hAnsi="仿宋" w:eastAsia="仿宋" w:cs="仿宋"/>
          <w:color w:val="auto"/>
          <w:sz w:val="24"/>
          <w:szCs w:val="24"/>
          <w:highlight w:val="none"/>
        </w:rPr>
        <w:t>专门面向中小企业采购的项目或者采购包，不再执行价格评审优惠的扶持政策。对于经主管预算单位统筹后未预留份额专门面向中小企业采购的采购项目，以及预留份额项目中的非预留部分采购包，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劳动合同法》订立劳动合同的从业人员，则参与政府采购活动时，货物和服务项目对小型和微型企业产品的价格给予10%—20%的价格扣除，工程项目给予3%-5%的价格扣除，用扣除后的价格参与评审。</w:t>
      </w:r>
    </w:p>
    <w:p w14:paraId="37DAAD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在货物采购项目中，供应商提供的货物既有小微企业制造货物，也有大型、中型企业制造货物的，不享受政府采购价格扣除优惠政策。</w:t>
      </w:r>
    </w:p>
    <w:p w14:paraId="74E77E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1F283F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参加政府采购活动的中小企业应提供《中小企业声明函》原件。未提供上述声明函原件的，不能享受</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规定的价格扣除，但不影响</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的有效性。实际价格扣除比例以本章组织评标中的约定为准。</w:t>
      </w:r>
    </w:p>
    <w:p w14:paraId="0A00A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仿宋" w:hAnsi="仿宋" w:eastAsia="仿宋" w:cs="仿宋"/>
          <w:color w:val="auto"/>
          <w:sz w:val="24"/>
          <w:szCs w:val="24"/>
          <w:highlight w:val="none"/>
        </w:rPr>
        <w:t>12.2监狱企业应符合《财政部 司法部关于政府采购支持监狱企业发展有关问题的通知》（财库〔2014〕68号）文件规定，并提供由省级以上监狱管理局、戒毒管理局(含新疆生产建设兵团)出具的属于监狱企业的证明文件。未</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相关属于监狱企业的证明文件的</w:t>
      </w:r>
      <w:r>
        <w:rPr>
          <w:rFonts w:hint="eastAsia" w:ascii="仿宋" w:hAnsi="仿宋" w:eastAsia="仿宋" w:cs="仿宋"/>
          <w:color w:val="auto"/>
          <w:sz w:val="24"/>
          <w:szCs w:val="24"/>
          <w:highlight w:val="none"/>
        </w:rPr>
        <w:t>，不能享受</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规定的价格扣除，但不影响</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w:t>
      </w:r>
    </w:p>
    <w:p w14:paraId="7C8295C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在政府采购活动中，监狱企业视同小型、微型企业，享受预留份额、评审中价格扣除等政府采购促进中小企业发展的政府采购政策。向监狱企业采购的金额，计入面向中小企业采购的统计数据。</w:t>
      </w:r>
    </w:p>
    <w:p w14:paraId="183EF2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C0862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参加政府采购活动的残疾人单位应提供《残疾人福利性单位声明函》原件。未提供上述声明函原件，不能享受</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规定的价格扣除，但不影响</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w:t>
      </w:r>
    </w:p>
    <w:p w14:paraId="5AC0F5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根据国务院办公厅《关于建立政府强制采购节能产品制度的通知》（国办发〔2007〕51号）</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有关</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，采购人需购买的产品属于政府强制采购节能产品范围应当在清单之内采购。节能清单中无对应细化分类且节能清单中的产品确实无法满足工作需要的，允许在节能清单之外采购。</w:t>
      </w:r>
    </w:p>
    <w:p w14:paraId="545088F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根据财政部、国家发改委、生态环境部、市场监管总局联合印发《关于调整优化节能产品、环境标志产品政府采购执行机制的通知》（财库〔2019〕9号）的有关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1A60AB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12.6根据财政部 农业农村部 国家乡村振兴局《关于运用政府采购政策支持乡村产业振兴的通知》（财库〔2021〕19 号）的有关规定，自2021年起，各级预算单位应当按照不低于10%的比例预留年度食堂食材采购份额，通过脱贫地区农副产品网络销售平台（原贫困地区农副产品网络销售平台）采购脱贫地区农副产品。脱贫地区农副产品是指在832个脱贫县域内注册的企业、农民专业合作社、家庭农场等出产的农副产品。</w:t>
      </w:r>
    </w:p>
    <w:p w14:paraId="7A0B03F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12.7根据财政部 农业农村部 国家乡村振兴局 中华全国供销合作总社《关于印发&lt;关于深入开展政府采购脱贫地区农副产品工作推进乡村产业振兴的实施意见&gt;的通知》（财库〔2021〕20号）的有关规定，各级预算单位要按照不低于 10%的预留比例在“832 平台”填报预留份额。鼓励各级预算单位工会组织通过“832 平台”采购工会福利、慰问品等，有关采购金额计入本单位年度采购总额。</w:t>
      </w:r>
    </w:p>
    <w:p w14:paraId="7923D3D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根据《陕西省财政厅关于进一步加强政府绿色采购有关问题的通知》（陕财办采〔2021〕29号）的有关规定，采购人使用财政性资金进行政府采购活动时，在技术、服务等满足采购需求的前提下，应当优先采购节能产品、环境标志产品。产品采购品目清单按照《关于印发环境标志产品政府采购品目清单的通知》（财库〔2019〕18号）、《关于印发节能产品政府采购品目清单的通知》（财库〔2019〕19号）执行。财政部、发展改革委、生态环境部等部门对品目清单进行调整的，按照最新调整的品目清单执行。二是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156C79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12.9根据《财政部关于在政府采购活动中落实平等对待内外资企业有关政策的通知》（财库〔2021〕35号）的有关规定，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14:paraId="0E80ECD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12.10根据《陕西省财政厅关于加快推进我省中小企业政府采购信用融资工作的通知》（陕财办采〔2020〕15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釆购网—信用融资平台（http://www.ccgp-shaanxi.gov.cn/zcdservice/zcd/shanxi/），选择符合自身情况的“政采贷”银行及其产品，凭项目中标（成交）结果、中标（成交）通知书等信息在线向银行提出贷款意向申请、查看贷款审批情况等。</w:t>
      </w:r>
    </w:p>
    <w:p w14:paraId="20D78757">
      <w:pPr>
        <w:widowControl w:val="0"/>
        <w:spacing w:before="166" w:line="360" w:lineRule="auto"/>
        <w:jc w:val="center"/>
        <w:outlineLvl w:val="1"/>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十三、其他</w:t>
      </w:r>
    </w:p>
    <w:p w14:paraId="37B9D57A">
      <w:pPr>
        <w:widowControl w:val="0"/>
        <w:spacing w:line="360" w:lineRule="auto"/>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13.1评标委员会发现招标文件存在歧义、重大缺陷导致评标工作无 法进行，或者招标文件内容违反国家有关强制性规定的，应当停止评标工作，与采购人或者采购代理机构沟通并作书面记录。采购人或者采购代理机构确认后，应当修改招标文件，重新组 织采购活动。</w:t>
      </w:r>
    </w:p>
    <w:p w14:paraId="37386AA3">
      <w:pPr>
        <w:widowControl w:val="0"/>
        <w:spacing w:line="360" w:lineRule="auto"/>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 xml:space="preserve">13.2根据《中华人民共和国政府采购法》第三十六条规定，在招标采购中，出现下 列情形之一的，本项目按废标处理： </w:t>
      </w:r>
    </w:p>
    <w:p w14:paraId="66673099">
      <w:pPr>
        <w:widowControl w:val="0"/>
        <w:spacing w:line="360" w:lineRule="auto"/>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 xml:space="preserve">（1）出现影响采购公正的违法、违规行为的； </w:t>
      </w:r>
    </w:p>
    <w:p w14:paraId="0AF35ABB">
      <w:pPr>
        <w:widowControl w:val="0"/>
        <w:spacing w:line="360" w:lineRule="auto"/>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 xml:space="preserve">（2）供应商的报价均超过了采购预算，采购人不能支付的； </w:t>
      </w:r>
    </w:p>
    <w:p w14:paraId="1F24E647">
      <w:pPr>
        <w:widowControl w:val="0"/>
        <w:spacing w:line="360" w:lineRule="auto"/>
        <w:ind w:firstLine="480" w:firstLineChars="200"/>
        <w:rPr>
          <w:rStyle w:val="37"/>
          <w:rFonts w:hint="eastAsia" w:ascii="仿宋" w:hAnsi="仿宋" w:eastAsia="仿宋" w:cs="仿宋"/>
          <w:color w:val="auto"/>
          <w:szCs w:val="24"/>
          <w:highlight w:val="none"/>
        </w:rPr>
      </w:pPr>
      <w:r>
        <w:rPr>
          <w:rStyle w:val="37"/>
          <w:rFonts w:hint="eastAsia" w:ascii="仿宋" w:hAnsi="仿宋" w:eastAsia="仿宋" w:cs="仿宋"/>
          <w:color w:val="auto"/>
          <w:szCs w:val="24"/>
          <w:highlight w:val="none"/>
        </w:rPr>
        <w:t>（3）因重大变故，采购任务取消的。</w:t>
      </w:r>
    </w:p>
    <w:p w14:paraId="208A7A51">
      <w:pPr>
        <w:spacing w:line="360" w:lineRule="auto"/>
        <w:ind w:firstLine="480" w:firstLineChars="200"/>
        <w:rPr>
          <w:rFonts w:hint="eastAsia" w:ascii="仿宋" w:hAnsi="仿宋" w:eastAsia="仿宋" w:cs="仿宋"/>
          <w:color w:val="auto"/>
          <w:sz w:val="24"/>
          <w:szCs w:val="24"/>
          <w:highlight w:val="none"/>
        </w:rPr>
      </w:pPr>
      <w:r>
        <w:rPr>
          <w:rStyle w:val="37"/>
          <w:rFonts w:hint="eastAsia" w:ascii="仿宋" w:hAnsi="仿宋" w:eastAsia="仿宋" w:cs="仿宋"/>
          <w:color w:val="auto"/>
          <w:szCs w:val="24"/>
          <w:highlight w:val="none"/>
        </w:rPr>
        <w:t>废标后，由采购代理机构发布废标公告。除采购任务取消外，本项目将重新组织招标</w:t>
      </w:r>
      <w:r>
        <w:rPr>
          <w:rFonts w:hint="eastAsia" w:ascii="仿宋" w:hAnsi="仿宋" w:eastAsia="仿宋" w:cs="仿宋"/>
          <w:color w:val="auto"/>
          <w:sz w:val="24"/>
          <w:szCs w:val="24"/>
          <w:highlight w:val="none"/>
          <w:lang w:val="en-US" w:eastAsia="zh-CN"/>
        </w:rPr>
        <w:t>；需要采取其他采购方式采购的，应当在采购活动开始前获得设区的市、自治州以上人民政府采购监督管理部门或者政府有关部门批准。</w:t>
      </w:r>
      <w:r>
        <w:rPr>
          <w:rFonts w:hint="eastAsia" w:ascii="仿宋" w:hAnsi="仿宋" w:eastAsia="仿宋" w:cs="仿宋"/>
          <w:color w:val="auto"/>
          <w:sz w:val="24"/>
          <w:szCs w:val="24"/>
          <w:highlight w:val="none"/>
        </w:rPr>
        <w:t xml:space="preserve"> </w:t>
      </w:r>
    </w:p>
    <w:p w14:paraId="5086972C">
      <w:pPr>
        <w:widowControl w:val="0"/>
        <w:spacing w:line="360" w:lineRule="auto"/>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13.3在递交投标文件阶段、资格审查阶段以及评标委员会评标阶段，当出现有效投标供应商不足3 家时，除采购任务取消外，按照以下方式处理：</w:t>
      </w:r>
    </w:p>
    <w:p w14:paraId="720AB5FD">
      <w:pPr>
        <w:widowControl w:val="0"/>
        <w:spacing w:line="360" w:lineRule="auto"/>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（1）招标文件存在不合理条款或者招标程序不符合规定的，采购人、采购代理机构改正后依法重新招标；</w:t>
      </w:r>
    </w:p>
    <w:p w14:paraId="05F91088">
      <w:pPr>
        <w:widowControl w:val="0"/>
        <w:spacing w:line="360" w:lineRule="auto"/>
        <w:ind w:firstLine="480" w:firstLineChars="200"/>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（2）招标文件没有不合理条款、招标程序符合规定，需要采用其他采购方式采购的，采购人应当依法报财政部门批准。</w:t>
      </w:r>
    </w:p>
    <w:p w14:paraId="357ED3E5">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 xml:space="preserve">13.4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   </w:t>
      </w:r>
    </w:p>
    <w:p w14:paraId="34BF621B">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13.5招标文件未明确的其他事项，按《中华人民共和国政府采购法》及其相关法律法规执行。</w:t>
      </w:r>
    </w:p>
    <w:p w14:paraId="4D3BEB0C">
      <w:pPr>
        <w:widowControl w:val="0"/>
        <w:snapToGrid/>
        <w:spacing w:line="500" w:lineRule="exact"/>
        <w:ind w:firstLine="480" w:firstLineChars="200"/>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13.6.1投标供应商自获取招标文件之日起，须履行本招标项目下保密义务，不得将因本次招标获得的信息向第三人外传。</w:t>
      </w:r>
    </w:p>
    <w:p w14:paraId="53A74119">
      <w:pPr>
        <w:widowControl w:val="0"/>
        <w:snapToGrid/>
        <w:spacing w:line="500" w:lineRule="exact"/>
        <w:ind w:firstLine="480" w:firstLineChars="200"/>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13.6.2采购人或采购代理机构有权将投标供应商提供的所有资料向有关政府部门或评审委员会披露。</w:t>
      </w:r>
    </w:p>
    <w:p w14:paraId="54BAF50B">
      <w:pPr>
        <w:widowControl w:val="0"/>
        <w:snapToGrid/>
        <w:spacing w:line="500" w:lineRule="exact"/>
        <w:ind w:firstLine="480" w:firstLineChars="200"/>
        <w:textAlignment w:val="auto"/>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13.6.3在采购人或采购代理机构认为适当时、国家机关有关部门调查、考核、审计时以及其他符合法律规定的情形下，采购人或采购代理机构无须事先征求投标供应商同意即可披露关于采购过程、合同文本、签署情况的资料、投标供应商的名称及地址、投标文件的有关信息以及补充条款等，但应当在合理的必要范围内。对任何已经公布过的内容或与之内容相同的资料，以及投标供应商已经泄露或公开的，无须再承担保密责任。</w:t>
      </w:r>
    </w:p>
    <w:p w14:paraId="176D462D">
      <w:pPr>
        <w:widowControl w:val="0"/>
        <w:spacing w:before="166" w:line="360" w:lineRule="auto"/>
        <w:jc w:val="center"/>
        <w:outlineLvl w:val="1"/>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十四、需要补充的其他内容</w:t>
      </w:r>
    </w:p>
    <w:p w14:paraId="52850BED">
      <w:pPr>
        <w:widowControl w:val="0"/>
        <w:spacing w:line="360" w:lineRule="auto"/>
        <w:ind w:firstLine="480" w:firstLineChars="200"/>
        <w:rPr>
          <w:rStyle w:val="37"/>
          <w:rFonts w:ascii="仿宋" w:hAnsi="仿宋" w:eastAsia="仿宋" w:cs="仿宋"/>
          <w:color w:val="auto"/>
          <w:highlight w:val="none"/>
        </w:rPr>
      </w:pPr>
      <w:r>
        <w:rPr>
          <w:rStyle w:val="37"/>
          <w:rFonts w:hint="eastAsia" w:ascii="仿宋" w:hAnsi="仿宋" w:eastAsia="仿宋" w:cs="仿宋"/>
          <w:color w:val="auto"/>
          <w:szCs w:val="24"/>
          <w:highlight w:val="none"/>
        </w:rPr>
        <w:t>需要补充的其他内容：见供应商须知前附表。</w:t>
      </w:r>
    </w:p>
    <w:p w14:paraId="40BBE506">
      <w:pPr>
        <w:widowControl w:val="0"/>
        <w:spacing w:line="360" w:lineRule="auto"/>
        <w:ind w:firstLine="480" w:firstLineChars="200"/>
        <w:rPr>
          <w:rStyle w:val="37"/>
          <w:rFonts w:ascii="仿宋" w:hAnsi="仿宋" w:eastAsia="仿宋" w:cs="仿宋"/>
          <w:color w:val="auto"/>
          <w:szCs w:val="24"/>
          <w:highlight w:val="none"/>
        </w:rPr>
      </w:pPr>
    </w:p>
    <w:p w14:paraId="5EC249A0">
      <w:pPr>
        <w:widowControl w:val="0"/>
        <w:jc w:val="center"/>
        <w:outlineLvl w:val="0"/>
        <w:rPr>
          <w:rStyle w:val="37"/>
          <w:rFonts w:ascii="仿宋" w:hAnsi="仿宋" w:eastAsia="仿宋" w:cs="仿宋"/>
          <w:b/>
          <w:bCs/>
          <w:color w:val="auto"/>
          <w:sz w:val="44"/>
          <w:szCs w:val="24"/>
          <w:highlight w:val="none"/>
        </w:rPr>
      </w:pPr>
      <w:bookmarkStart w:id="16" w:name="_Toc8300"/>
      <w:r>
        <w:rPr>
          <w:rStyle w:val="37"/>
          <w:rFonts w:hint="eastAsia" w:ascii="仿宋" w:hAnsi="仿宋" w:eastAsia="仿宋" w:cs="仿宋"/>
          <w:b/>
          <w:bCs/>
          <w:color w:val="auto"/>
          <w:sz w:val="44"/>
          <w:szCs w:val="24"/>
          <w:highlight w:val="none"/>
        </w:rPr>
        <w:br w:type="page"/>
      </w:r>
      <w:bookmarkStart w:id="17" w:name="_Toc2105"/>
      <w:bookmarkStart w:id="18" w:name="_Toc19373"/>
      <w:r>
        <w:rPr>
          <w:rStyle w:val="37"/>
          <w:rFonts w:hint="eastAsia" w:ascii="仿宋" w:hAnsi="仿宋" w:eastAsia="仿宋" w:cs="仿宋"/>
          <w:b/>
          <w:bCs/>
          <w:color w:val="auto"/>
          <w:sz w:val="44"/>
          <w:szCs w:val="24"/>
          <w:highlight w:val="none"/>
        </w:rPr>
        <w:t>第三章 合同条款及格式</w:t>
      </w:r>
      <w:bookmarkEnd w:id="16"/>
      <w:bookmarkEnd w:id="17"/>
      <w:bookmarkEnd w:id="18"/>
    </w:p>
    <w:p w14:paraId="0480C681">
      <w:pPr>
        <w:widowControl w:val="0"/>
        <w:spacing w:line="500" w:lineRule="exact"/>
        <w:rPr>
          <w:rStyle w:val="37"/>
          <w:rFonts w:ascii="仿宋" w:hAnsi="仿宋" w:eastAsia="仿宋" w:cs="仿宋"/>
          <w:color w:val="auto"/>
          <w:highlight w:val="none"/>
        </w:rPr>
      </w:pPr>
      <w:r>
        <w:rPr>
          <w:rStyle w:val="37"/>
          <w:color w:val="auto"/>
          <w:highlight w:val="none"/>
        </w:rPr>
        <mc:AlternateContent>
          <mc:Choice Requires="wps">
            <w:drawing>
              <wp:anchor distT="0" distB="0" distL="114300" distR="114300" simplePos="0" relativeHeight="251664384" behindDoc="1" locked="0" layoutInCell="1" allowOverlap="1">
                <wp:simplePos x="0" y="0"/>
                <wp:positionH relativeFrom="page">
                  <wp:posOffset>899160</wp:posOffset>
                </wp:positionH>
                <wp:positionV relativeFrom="paragraph">
                  <wp:posOffset>244475</wp:posOffset>
                </wp:positionV>
                <wp:extent cx="5863590" cy="1697990"/>
                <wp:effectExtent l="13335" t="12700" r="9525" b="13335"/>
                <wp:wrapTopAndBottom/>
                <wp:docPr id="32" name="Text Box 22"/>
                <wp:cNvGraphicFramePr/>
                <a:graphic xmlns:a="http://schemas.openxmlformats.org/drawingml/2006/main">
                  <a:graphicData uri="http://schemas.microsoft.com/office/word/2010/wordprocessingShape">
                    <wps:wsp>
                      <wps:cNvSpPr txBox="1">
                        <a:spLocks noChangeArrowheads="1"/>
                      </wps:cNvSpPr>
                      <wps:spPr bwMode="auto">
                        <a:xfrm>
                          <a:off x="0" y="0"/>
                          <a:ext cx="5863590" cy="1697990"/>
                        </a:xfrm>
                        <a:prstGeom prst="rect">
                          <a:avLst/>
                        </a:prstGeom>
                        <a:noFill/>
                        <a:ln w="6096">
                          <a:solidFill>
                            <a:srgbClr val="000000"/>
                          </a:solidFill>
                          <a:miter lim="800000"/>
                        </a:ln>
                      </wps:spPr>
                      <wps:txbx>
                        <w:txbxContent>
                          <w:p w14:paraId="5F475CDC">
                            <w:pPr>
                              <w:pStyle w:val="40"/>
                              <w:spacing w:before="123"/>
                              <w:ind w:firstLine="210" w:firstLineChars="100"/>
                              <w:rPr>
                                <w:rStyle w:val="37"/>
                                <w:rFonts w:ascii="仿宋" w:hAnsi="仿宋" w:eastAsia="仿宋"/>
                              </w:rPr>
                            </w:pPr>
                            <w:r>
                              <w:rPr>
                                <w:rStyle w:val="37"/>
                                <w:rFonts w:ascii="仿宋" w:hAnsi="仿宋" w:eastAsia="仿宋"/>
                              </w:rPr>
                              <w:t>注释：</w:t>
                            </w:r>
                          </w:p>
                          <w:p w14:paraId="5A644AF2">
                            <w:pPr>
                              <w:pStyle w:val="40"/>
                              <w:spacing w:before="84" w:line="364" w:lineRule="auto"/>
                              <w:ind w:left="102" w:right="102" w:firstLine="480"/>
                              <w:rPr>
                                <w:rStyle w:val="37"/>
                                <w:rFonts w:ascii="仿宋" w:hAnsi="仿宋" w:eastAsia="仿宋"/>
                              </w:rPr>
                            </w:pPr>
                            <w:r>
                              <w:rPr>
                                <w:rStyle w:val="37"/>
                                <w:rFonts w:ascii="仿宋" w:hAnsi="仿宋" w:eastAsia="仿宋"/>
                              </w:rPr>
                              <w:t>本格式条款仅作为双方签订合同的参考，为阐明各方的权利和义务，经协商可增加新的条款。合同的标的、价款、付款方式、质量、履行期限等主要条款应当与招标文件和中标供应商的投标文件的内容一致，采购人和中标供应商不得再行订立背离合同实质性内容的其他协议。</w:t>
                            </w:r>
                          </w:p>
                          <w:p w14:paraId="38FADE65">
                            <w:pPr>
                              <w:rPr>
                                <w:rStyle w:val="37"/>
                              </w:rPr>
                            </w:pPr>
                          </w:p>
                        </w:txbxContent>
                      </wps:txbx>
                      <wps:bodyPr rot="0" vert="horz" wrap="square" lIns="0" tIns="0" rIns="0" bIns="0" anchor="t" anchorCtr="0" upright="1">
                        <a:noAutofit/>
                      </wps:bodyPr>
                    </wps:wsp>
                  </a:graphicData>
                </a:graphic>
              </wp:anchor>
            </w:drawing>
          </mc:Choice>
          <mc:Fallback>
            <w:pict>
              <v:shape id="Text Box 22" o:spid="_x0000_s1026" o:spt="202" type="#_x0000_t202" style="position:absolute;left:0pt;margin-left:70.8pt;margin-top:19.25pt;height:133.7pt;width:461.7pt;mso-position-horizontal-relative:page;mso-wrap-distance-bottom:0pt;mso-wrap-distance-top:0pt;z-index:-251652096;mso-width-relative:page;mso-height-relative:page;" filled="f" stroked="t" coordsize="21600,21600" o:gfxdata="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N+&#10;SAPWAAAACwEAAA8AAAAAAAAAAQAgAAAAIgAAAGRycy9kb3ducmV2LnhtbFBLAQIUABQAAAAIAIdO&#10;4kBx3rs9JQIAAFAEAAAOAAAAAAAAAAEAIAAAACUBAABkcnMvZTJvRG9jLnhtbFBLBQYAAAAABgAG&#10;AFkBAAC8BQAAAAA=&#10;">
                <v:fill on="f" focussize="0,0"/>
                <v:stroke weight="0.48pt" color="#000000" miterlimit="8" joinstyle="miter"/>
                <v:imagedata o:title=""/>
                <o:lock v:ext="edit" aspectratio="f"/>
                <v:textbox inset="0mm,0mm,0mm,0mm">
                  <w:txbxContent>
                    <w:p w14:paraId="5F475CDC">
                      <w:pPr>
                        <w:pStyle w:val="40"/>
                        <w:spacing w:before="123"/>
                        <w:ind w:firstLine="210" w:firstLineChars="100"/>
                        <w:rPr>
                          <w:rStyle w:val="37"/>
                          <w:rFonts w:ascii="仿宋" w:hAnsi="仿宋" w:eastAsia="仿宋"/>
                        </w:rPr>
                      </w:pPr>
                      <w:r>
                        <w:rPr>
                          <w:rStyle w:val="37"/>
                          <w:rFonts w:ascii="仿宋" w:hAnsi="仿宋" w:eastAsia="仿宋"/>
                        </w:rPr>
                        <w:t>注释：</w:t>
                      </w:r>
                    </w:p>
                    <w:p w14:paraId="5A644AF2">
                      <w:pPr>
                        <w:pStyle w:val="40"/>
                        <w:spacing w:before="84" w:line="364" w:lineRule="auto"/>
                        <w:ind w:left="102" w:right="102" w:firstLine="480"/>
                        <w:rPr>
                          <w:rStyle w:val="37"/>
                          <w:rFonts w:ascii="仿宋" w:hAnsi="仿宋" w:eastAsia="仿宋"/>
                        </w:rPr>
                      </w:pPr>
                      <w:r>
                        <w:rPr>
                          <w:rStyle w:val="37"/>
                          <w:rFonts w:ascii="仿宋" w:hAnsi="仿宋" w:eastAsia="仿宋"/>
                        </w:rPr>
                        <w:t>本格式条款仅作为双方签订合同的参考，为阐明各方的权利和义务，经协商可增加新的条款。合同的标的、价款、付款方式、质量、履行期限等主要条款应当与招标文件和中标供应商的投标文件的内容一致，采购人和中标供应商不得再行订立背离合同实质性内容的其他协议。</w:t>
                      </w:r>
                    </w:p>
                    <w:p w14:paraId="38FADE65">
                      <w:pPr>
                        <w:rPr>
                          <w:rStyle w:val="37"/>
                        </w:rPr>
                      </w:pPr>
                    </w:p>
                  </w:txbxContent>
                </v:textbox>
                <w10:wrap type="topAndBottom"/>
              </v:shape>
            </w:pict>
          </mc:Fallback>
        </mc:AlternateContent>
      </w:r>
    </w:p>
    <w:p w14:paraId="677E3740">
      <w:pPr>
        <w:widowControl w:val="0"/>
        <w:spacing w:line="500" w:lineRule="exact"/>
        <w:ind w:firstLine="480" w:firstLineChars="200"/>
        <w:rPr>
          <w:rStyle w:val="37"/>
          <w:rFonts w:ascii="仿宋" w:hAnsi="仿宋" w:eastAsia="仿宋" w:cs="仿宋"/>
          <w:color w:val="auto"/>
          <w:highlight w:val="none"/>
        </w:rPr>
      </w:pPr>
    </w:p>
    <w:p w14:paraId="4C72D985">
      <w:pPr>
        <w:widowControl w:val="0"/>
        <w:spacing w:line="500" w:lineRule="exact"/>
        <w:ind w:firstLine="480" w:firstLineChars="200"/>
        <w:rPr>
          <w:rStyle w:val="37"/>
          <w:rFonts w:ascii="仿宋" w:hAnsi="仿宋" w:eastAsia="仿宋" w:cs="仿宋"/>
          <w:color w:val="auto"/>
          <w:highlight w:val="none"/>
        </w:rPr>
      </w:pPr>
    </w:p>
    <w:p w14:paraId="7F71E14E">
      <w:pPr>
        <w:widowControl w:val="0"/>
        <w:spacing w:line="500" w:lineRule="exact"/>
        <w:ind w:firstLine="480" w:firstLineChars="200"/>
        <w:rPr>
          <w:rStyle w:val="37"/>
          <w:rFonts w:ascii="仿宋" w:hAnsi="仿宋" w:eastAsia="仿宋" w:cs="仿宋"/>
          <w:color w:val="auto"/>
          <w:highlight w:val="none"/>
        </w:rPr>
      </w:pPr>
    </w:p>
    <w:p w14:paraId="4E8CEB53">
      <w:pPr>
        <w:widowControl w:val="0"/>
        <w:spacing w:line="500" w:lineRule="exact"/>
        <w:ind w:firstLine="480" w:firstLineChars="200"/>
        <w:rPr>
          <w:rStyle w:val="37"/>
          <w:rFonts w:ascii="仿宋" w:hAnsi="仿宋" w:eastAsia="仿宋" w:cs="仿宋"/>
          <w:color w:val="auto"/>
          <w:highlight w:val="none"/>
        </w:rPr>
      </w:pPr>
    </w:p>
    <w:p w14:paraId="1E9D589C">
      <w:pPr>
        <w:widowControl w:val="0"/>
        <w:spacing w:line="500" w:lineRule="exact"/>
        <w:ind w:firstLine="480" w:firstLineChars="200"/>
        <w:rPr>
          <w:rStyle w:val="37"/>
          <w:rFonts w:ascii="仿宋" w:hAnsi="仿宋" w:eastAsia="仿宋" w:cs="仿宋"/>
          <w:color w:val="auto"/>
          <w:highlight w:val="none"/>
        </w:rPr>
      </w:pPr>
    </w:p>
    <w:p w14:paraId="06598D50">
      <w:pPr>
        <w:widowControl w:val="0"/>
        <w:spacing w:line="500" w:lineRule="exact"/>
        <w:ind w:firstLine="480" w:firstLineChars="200"/>
        <w:rPr>
          <w:rStyle w:val="37"/>
          <w:rFonts w:ascii="仿宋" w:hAnsi="仿宋" w:eastAsia="仿宋" w:cs="仿宋"/>
          <w:color w:val="auto"/>
          <w:highlight w:val="none"/>
        </w:rPr>
      </w:pPr>
    </w:p>
    <w:p w14:paraId="1C186CA9">
      <w:pPr>
        <w:widowControl w:val="0"/>
        <w:spacing w:line="500" w:lineRule="exact"/>
        <w:ind w:firstLine="480" w:firstLineChars="200"/>
        <w:rPr>
          <w:rStyle w:val="37"/>
          <w:rFonts w:ascii="仿宋" w:hAnsi="仿宋" w:eastAsia="仿宋" w:cs="仿宋"/>
          <w:color w:val="auto"/>
          <w:highlight w:val="none"/>
        </w:rPr>
      </w:pPr>
    </w:p>
    <w:p w14:paraId="692DD749">
      <w:pPr>
        <w:widowControl w:val="0"/>
        <w:spacing w:line="500" w:lineRule="exact"/>
        <w:ind w:firstLine="480" w:firstLineChars="200"/>
        <w:rPr>
          <w:rStyle w:val="37"/>
          <w:rFonts w:ascii="仿宋" w:hAnsi="仿宋" w:eastAsia="仿宋" w:cs="仿宋"/>
          <w:color w:val="auto"/>
          <w:highlight w:val="none"/>
        </w:rPr>
      </w:pPr>
    </w:p>
    <w:p w14:paraId="2D5964C5">
      <w:pPr>
        <w:widowControl w:val="0"/>
        <w:spacing w:line="500" w:lineRule="exact"/>
        <w:ind w:firstLine="480" w:firstLineChars="200"/>
        <w:rPr>
          <w:rStyle w:val="37"/>
          <w:rFonts w:ascii="仿宋" w:hAnsi="仿宋" w:eastAsia="仿宋" w:cs="仿宋"/>
          <w:color w:val="auto"/>
          <w:highlight w:val="none"/>
        </w:rPr>
      </w:pPr>
    </w:p>
    <w:p w14:paraId="6CE14A49">
      <w:pPr>
        <w:widowControl w:val="0"/>
        <w:spacing w:line="560" w:lineRule="exact"/>
        <w:rPr>
          <w:rFonts w:hint="eastAsia" w:ascii="仿宋" w:hAnsi="仿宋" w:eastAsia="仿宋" w:cs="仿宋"/>
          <w:color w:val="auto"/>
          <w:sz w:val="28"/>
          <w:szCs w:val="28"/>
          <w:highlight w:val="none"/>
        </w:rPr>
      </w:pPr>
      <w:r>
        <w:rPr>
          <w:rStyle w:val="37"/>
          <w:rFonts w:hint="eastAsia" w:ascii="仿宋" w:hAnsi="仿宋" w:eastAsia="仿宋" w:cs="仿宋"/>
          <w:b/>
          <w:bCs/>
          <w:color w:val="auto"/>
          <w:highlight w:val="none"/>
        </w:rPr>
        <w:br w:type="page"/>
      </w:r>
      <w:r>
        <w:rPr>
          <w:rFonts w:hint="eastAsia" w:ascii="仿宋" w:hAnsi="仿宋" w:eastAsia="仿宋" w:cs="仿宋"/>
          <w:b/>
          <w:color w:val="auto"/>
          <w:sz w:val="24"/>
          <w:highlight w:val="none"/>
        </w:rPr>
        <w:t xml:space="preserve"> </w:t>
      </w:r>
      <w:r>
        <w:rPr>
          <w:rFonts w:hint="eastAsia" w:ascii="仿宋" w:hAnsi="仿宋" w:eastAsia="仿宋" w:cs="仿宋"/>
          <w:color w:val="auto"/>
          <w:sz w:val="28"/>
          <w:szCs w:val="28"/>
          <w:highlight w:val="none"/>
        </w:rPr>
        <w:t xml:space="preserve">项目编号：       </w:t>
      </w:r>
    </w:p>
    <w:p w14:paraId="35E5CD81">
      <w:pPr>
        <w:widowControl w:val="0"/>
        <w:spacing w:line="560" w:lineRule="exact"/>
        <w:rPr>
          <w:rFonts w:hint="eastAsia" w:ascii="仿宋" w:hAnsi="仿宋" w:eastAsia="仿宋" w:cs="仿宋"/>
          <w:b/>
          <w:bCs/>
          <w:color w:val="auto"/>
          <w:sz w:val="28"/>
          <w:szCs w:val="28"/>
          <w:highlight w:val="none"/>
        </w:rPr>
      </w:pPr>
    </w:p>
    <w:p w14:paraId="6A5F9C42">
      <w:pPr>
        <w:widowControl w:val="0"/>
        <w:spacing w:line="480" w:lineRule="auto"/>
        <w:jc w:val="center"/>
        <w:rPr>
          <w:rFonts w:hint="eastAsia" w:ascii="仿宋" w:hAnsi="仿宋" w:eastAsia="仿宋" w:cs="仿宋"/>
          <w:b/>
          <w:bCs/>
          <w:color w:val="auto"/>
          <w:sz w:val="52"/>
          <w:szCs w:val="52"/>
          <w:highlight w:val="none"/>
          <w:lang w:eastAsia="zh-CN"/>
        </w:rPr>
      </w:pPr>
    </w:p>
    <w:p w14:paraId="200E3996">
      <w:pPr>
        <w:rPr>
          <w:rFonts w:hint="eastAsia"/>
          <w:color w:val="auto"/>
          <w:highlight w:val="none"/>
          <w:lang w:eastAsia="zh-CN"/>
        </w:rPr>
      </w:pPr>
    </w:p>
    <w:p w14:paraId="1D663138">
      <w:pPr>
        <w:pStyle w:val="17"/>
        <w:widowControl w:val="0"/>
        <w:spacing w:line="360" w:lineRule="auto"/>
        <w:jc w:val="center"/>
        <w:rPr>
          <w:rFonts w:hint="eastAsia" w:ascii="仿宋" w:hAnsi="仿宋" w:eastAsia="仿宋" w:cs="仿宋"/>
          <w:b/>
          <w:color w:val="auto"/>
          <w:kern w:val="0"/>
          <w:sz w:val="52"/>
          <w:szCs w:val="52"/>
          <w:highlight w:val="none"/>
          <w:lang w:val="en-US" w:eastAsia="zh-CN" w:bidi="ar-SA"/>
        </w:rPr>
      </w:pPr>
      <w:r>
        <w:rPr>
          <w:rFonts w:hint="eastAsia" w:ascii="仿宋" w:hAnsi="仿宋" w:eastAsia="仿宋" w:cs="仿宋"/>
          <w:b/>
          <w:color w:val="auto"/>
          <w:kern w:val="0"/>
          <w:sz w:val="52"/>
          <w:szCs w:val="52"/>
          <w:highlight w:val="none"/>
          <w:lang w:val="en-US" w:eastAsia="zh-CN" w:bidi="ar-SA"/>
        </w:rPr>
        <w:t>沣西新城2024-2025春季学期、2025-2026秋季学期营养改善计划食材采购</w:t>
      </w:r>
    </w:p>
    <w:p w14:paraId="652528F5">
      <w:pPr>
        <w:pStyle w:val="2"/>
        <w:rPr>
          <w:rFonts w:hint="eastAsia"/>
          <w:color w:val="auto"/>
          <w:highlight w:val="none"/>
        </w:rPr>
      </w:pPr>
    </w:p>
    <w:p w14:paraId="37BEA6E4">
      <w:pPr>
        <w:rPr>
          <w:rFonts w:hint="eastAsia"/>
          <w:color w:val="auto"/>
          <w:highlight w:val="none"/>
        </w:rPr>
      </w:pPr>
    </w:p>
    <w:p w14:paraId="6EF92FA1">
      <w:pPr>
        <w:pStyle w:val="2"/>
        <w:rPr>
          <w:rFonts w:hint="eastAsia"/>
          <w:color w:val="auto"/>
          <w:highlight w:val="none"/>
        </w:rPr>
      </w:pPr>
    </w:p>
    <w:p w14:paraId="29E2FFBB">
      <w:pPr>
        <w:widowControl w:val="0"/>
        <w:spacing w:line="560" w:lineRule="exact"/>
        <w:jc w:val="center"/>
        <w:rPr>
          <w:rFonts w:hint="eastAsia" w:ascii="仿宋" w:hAnsi="仿宋" w:eastAsia="仿宋" w:cs="仿宋"/>
          <w:b/>
          <w:color w:val="auto"/>
          <w:sz w:val="44"/>
          <w:szCs w:val="44"/>
          <w:highlight w:val="none"/>
        </w:rPr>
      </w:pPr>
    </w:p>
    <w:p w14:paraId="5E5C516B">
      <w:pPr>
        <w:widowControl w:val="0"/>
        <w:spacing w:line="560" w:lineRule="exact"/>
        <w:jc w:val="center"/>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lang w:val="en-US" w:eastAsia="zh-CN"/>
        </w:rPr>
        <w:t>采</w:t>
      </w:r>
      <w:r>
        <w:rPr>
          <w:rFonts w:hint="eastAsia" w:ascii="仿宋" w:hAnsi="仿宋" w:eastAsia="仿宋" w:cs="仿宋"/>
          <w:b/>
          <w:color w:val="auto"/>
          <w:sz w:val="56"/>
          <w:szCs w:val="56"/>
          <w:highlight w:val="none"/>
        </w:rPr>
        <w:t xml:space="preserve"> </w:t>
      </w:r>
      <w:r>
        <w:rPr>
          <w:rFonts w:hint="eastAsia" w:ascii="仿宋" w:hAnsi="仿宋" w:eastAsia="仿宋" w:cs="仿宋"/>
          <w:b/>
          <w:color w:val="auto"/>
          <w:sz w:val="56"/>
          <w:szCs w:val="56"/>
          <w:highlight w:val="none"/>
          <w:lang w:val="en-US" w:eastAsia="zh-CN"/>
        </w:rPr>
        <w:t>购</w:t>
      </w:r>
      <w:r>
        <w:rPr>
          <w:rFonts w:hint="eastAsia" w:ascii="仿宋" w:hAnsi="仿宋" w:eastAsia="仿宋" w:cs="仿宋"/>
          <w:b/>
          <w:color w:val="auto"/>
          <w:sz w:val="56"/>
          <w:szCs w:val="56"/>
          <w:highlight w:val="none"/>
        </w:rPr>
        <w:t xml:space="preserve"> 合 同</w:t>
      </w:r>
    </w:p>
    <w:p w14:paraId="4E264F08">
      <w:pPr>
        <w:widowControl w:val="0"/>
        <w:spacing w:line="560" w:lineRule="exact"/>
        <w:rPr>
          <w:rFonts w:hint="eastAsia" w:ascii="仿宋" w:hAnsi="仿宋" w:eastAsia="仿宋" w:cs="仿宋"/>
          <w:color w:val="auto"/>
          <w:sz w:val="32"/>
          <w:szCs w:val="32"/>
          <w:highlight w:val="none"/>
        </w:rPr>
      </w:pPr>
    </w:p>
    <w:p w14:paraId="0A946997">
      <w:pPr>
        <w:widowControl w:val="0"/>
        <w:spacing w:line="560" w:lineRule="exact"/>
        <w:rPr>
          <w:rFonts w:hint="eastAsia" w:ascii="仿宋" w:hAnsi="仿宋" w:eastAsia="仿宋" w:cs="仿宋"/>
          <w:b/>
          <w:color w:val="auto"/>
          <w:highlight w:val="none"/>
        </w:rPr>
      </w:pPr>
    </w:p>
    <w:p w14:paraId="07014DB2">
      <w:pPr>
        <w:widowControl w:val="0"/>
        <w:spacing w:line="560" w:lineRule="exact"/>
        <w:ind w:firstLine="964" w:firstLineChars="400"/>
        <w:rPr>
          <w:rFonts w:hint="eastAsia" w:ascii="仿宋" w:hAnsi="仿宋" w:eastAsia="仿宋" w:cs="仿宋"/>
          <w:b/>
          <w:color w:val="auto"/>
          <w:highlight w:val="none"/>
        </w:rPr>
      </w:pPr>
    </w:p>
    <w:p w14:paraId="2241B10A">
      <w:pPr>
        <w:widowControl w:val="0"/>
        <w:spacing w:line="720" w:lineRule="auto"/>
        <w:ind w:firstLine="1687" w:firstLineChars="600"/>
        <w:rPr>
          <w:rFonts w:hint="eastAsia"/>
          <w:color w:val="auto"/>
          <w:sz w:val="28"/>
          <w:szCs w:val="28"/>
          <w:highlight w:val="none"/>
        </w:rPr>
      </w:pPr>
      <w:r>
        <w:rPr>
          <w:rFonts w:hint="eastAsia" w:ascii="仿宋" w:hAnsi="仿宋" w:eastAsia="仿宋" w:cs="仿宋"/>
          <w:b/>
          <w:color w:val="auto"/>
          <w:sz w:val="28"/>
          <w:szCs w:val="28"/>
          <w:highlight w:val="none"/>
          <w:lang w:val="en-US" w:eastAsia="zh-CN"/>
        </w:rPr>
        <w:t>甲方</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p>
    <w:p w14:paraId="3E47BBB4">
      <w:pPr>
        <w:widowControl w:val="0"/>
        <w:spacing w:line="720" w:lineRule="auto"/>
        <w:ind w:firstLine="1687" w:firstLineChars="6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乙方</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u w:val="single"/>
        </w:rPr>
        <w:t xml:space="preserve">                                </w:t>
      </w:r>
    </w:p>
    <w:p w14:paraId="39ADCF10">
      <w:pPr>
        <w:widowControl w:val="0"/>
        <w:spacing w:line="720" w:lineRule="auto"/>
        <w:jc w:val="center"/>
        <w:rPr>
          <w:rFonts w:hint="eastAsia" w:ascii="仿宋" w:hAnsi="仿宋" w:eastAsia="仿宋" w:cs="仿宋"/>
          <w:color w:val="auto"/>
          <w:sz w:val="28"/>
          <w:szCs w:val="28"/>
          <w:highlight w:val="none"/>
        </w:rPr>
      </w:pPr>
    </w:p>
    <w:p w14:paraId="12966755">
      <w:pPr>
        <w:widowControl w:val="0"/>
        <w:spacing w:line="720" w:lineRule="auto"/>
        <w:jc w:val="center"/>
        <w:rPr>
          <w:rFonts w:hint="eastAsia" w:ascii="仿宋" w:hAnsi="仿宋" w:eastAsia="仿宋" w:cs="仿宋"/>
          <w:color w:val="auto"/>
          <w:szCs w:val="21"/>
          <w:highlight w:val="none"/>
        </w:rPr>
      </w:pPr>
      <w:r>
        <w:rPr>
          <w:rFonts w:hint="eastAsia" w:ascii="仿宋" w:hAnsi="仿宋" w:eastAsia="仿宋" w:cs="仿宋"/>
          <w:color w:val="auto"/>
          <w:sz w:val="28"/>
          <w:szCs w:val="28"/>
          <w:highlight w:val="none"/>
        </w:rPr>
        <w:t>二〇二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  月</w:t>
      </w:r>
    </w:p>
    <w:p w14:paraId="5290D47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4641EDD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sz w:val="21"/>
          <w:highlight w:val="none"/>
        </w:rPr>
      </w:pPr>
      <w:bookmarkStart w:id="19" w:name="_Toc31063"/>
    </w:p>
    <w:p w14:paraId="77A774B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仿宋" w:hAnsi="仿宋" w:eastAsia="仿宋" w:cs="仿宋"/>
          <w:color w:val="auto"/>
          <w:spacing w:val="1"/>
          <w:sz w:val="28"/>
          <w:szCs w:val="28"/>
          <w:highlight w:val="none"/>
          <w:lang w:eastAsia="zh-CN"/>
        </w:rPr>
      </w:pPr>
      <w:r>
        <w:rPr>
          <w:rFonts w:hint="eastAsia" w:ascii="仿宋" w:hAnsi="仿宋" w:eastAsia="仿宋" w:cs="仿宋"/>
          <w:color w:val="auto"/>
          <w:spacing w:val="-29"/>
          <w:sz w:val="28"/>
          <w:szCs w:val="28"/>
          <w:highlight w:val="none"/>
        </w:rPr>
        <w:t>甲方：</w:t>
      </w:r>
      <w:r>
        <w:rPr>
          <w:rFonts w:hint="eastAsia" w:ascii="仿宋" w:hAnsi="仿宋" w:eastAsia="仿宋" w:cs="仿宋"/>
          <w:color w:val="auto"/>
          <w:spacing w:val="1"/>
          <w:sz w:val="28"/>
          <w:szCs w:val="28"/>
          <w:highlight w:val="none"/>
          <w:u w:val="single" w:color="auto"/>
        </w:rPr>
        <w:t xml:space="preserve">                           </w:t>
      </w: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采购人</w:t>
      </w:r>
      <w:r>
        <w:rPr>
          <w:rFonts w:hint="eastAsia" w:ascii="仿宋" w:hAnsi="仿宋" w:eastAsia="仿宋" w:cs="仿宋"/>
          <w:color w:val="auto"/>
          <w:spacing w:val="1"/>
          <w:sz w:val="28"/>
          <w:szCs w:val="28"/>
          <w:highlight w:val="none"/>
          <w:lang w:eastAsia="zh-CN"/>
        </w:rPr>
        <w:t>）</w:t>
      </w:r>
    </w:p>
    <w:p w14:paraId="580213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8"/>
          <w:szCs w:val="28"/>
          <w:highlight w:val="none"/>
          <w:u w:val="none" w:color="auto"/>
          <w:lang w:eastAsia="zh-CN"/>
        </w:rPr>
      </w:pPr>
      <w:r>
        <w:rPr>
          <w:rFonts w:hint="eastAsia" w:ascii="仿宋" w:hAnsi="仿宋" w:eastAsia="仿宋" w:cs="仿宋"/>
          <w:color w:val="auto"/>
          <w:spacing w:val="-23"/>
          <w:sz w:val="28"/>
          <w:szCs w:val="28"/>
          <w:highlight w:val="none"/>
        </w:rPr>
        <w:t>乙方：</w:t>
      </w: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z w:val="28"/>
          <w:szCs w:val="28"/>
          <w:highlight w:val="none"/>
          <w:u w:val="none" w:color="auto"/>
          <w:lang w:eastAsia="zh-CN"/>
        </w:rPr>
        <w:t>（</w:t>
      </w:r>
      <w:r>
        <w:rPr>
          <w:rFonts w:hint="eastAsia" w:ascii="仿宋" w:hAnsi="仿宋" w:eastAsia="仿宋" w:cs="仿宋"/>
          <w:color w:val="auto"/>
          <w:sz w:val="28"/>
          <w:szCs w:val="28"/>
          <w:highlight w:val="none"/>
          <w:u w:val="none" w:color="auto"/>
          <w:lang w:val="en-US" w:eastAsia="zh-CN"/>
        </w:rPr>
        <w:t>中标供应商</w:t>
      </w:r>
      <w:r>
        <w:rPr>
          <w:rFonts w:hint="eastAsia" w:ascii="仿宋" w:hAnsi="仿宋" w:eastAsia="仿宋" w:cs="仿宋"/>
          <w:color w:val="auto"/>
          <w:sz w:val="28"/>
          <w:szCs w:val="28"/>
          <w:highlight w:val="none"/>
          <w:u w:val="none" w:color="auto"/>
          <w:lang w:eastAsia="zh-CN"/>
        </w:rPr>
        <w:t>）</w:t>
      </w:r>
    </w:p>
    <w:p w14:paraId="49BA511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val="en-US" w:eastAsia="zh-CN"/>
        </w:rPr>
        <w:t>根据《中华人民共和国政府采购法》及实施条例、《中华人民共和国民法典》和</w:t>
      </w:r>
      <w:r>
        <w:rPr>
          <w:rFonts w:hint="eastAsia" w:ascii="仿宋" w:hAnsi="仿宋" w:eastAsia="仿宋" w:cs="仿宋"/>
          <w:color w:val="auto"/>
          <w:spacing w:val="-2"/>
          <w:sz w:val="28"/>
          <w:szCs w:val="28"/>
          <w:highlight w:val="none"/>
          <w:u w:val="single"/>
          <w:lang w:val="en-US" w:eastAsia="zh-CN"/>
        </w:rPr>
        <w:t>沣西新城2024-2025春季学期、2025-2026秋季学期营养改善计划食材采购 (项目编号:SXZM-GK-2025001 )</w:t>
      </w:r>
      <w:r>
        <w:rPr>
          <w:rFonts w:hint="eastAsia" w:ascii="仿宋" w:hAnsi="仿宋" w:eastAsia="仿宋" w:cs="仿宋"/>
          <w:color w:val="auto"/>
          <w:spacing w:val="-2"/>
          <w:sz w:val="28"/>
          <w:szCs w:val="28"/>
          <w:highlight w:val="none"/>
          <w:lang w:val="en-US" w:eastAsia="zh-CN"/>
        </w:rPr>
        <w:t>的招标文件、投标文件等有关规定，为确保甲方采购项目的顺利实施，甲、乙双方在平等自愿原则下签订本合同。</w:t>
      </w:r>
    </w:p>
    <w:p w14:paraId="699303E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一、合同期限</w:t>
      </w:r>
    </w:p>
    <w:p w14:paraId="6F085C4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仿宋" w:hAnsi="仿宋" w:eastAsia="仿宋" w:cs="仿宋"/>
          <w:b w:val="0"/>
          <w:bCs w:val="0"/>
          <w:color w:val="auto"/>
          <w:spacing w:val="-6"/>
          <w:sz w:val="28"/>
          <w:szCs w:val="28"/>
          <w:highlight w:val="none"/>
          <w:u w:val="none"/>
        </w:rPr>
      </w:pPr>
      <w:r>
        <w:rPr>
          <w:rFonts w:hint="eastAsia" w:ascii="仿宋" w:hAnsi="仿宋" w:eastAsia="仿宋" w:cs="仿宋"/>
          <w:b w:val="0"/>
          <w:bCs w:val="0"/>
          <w:color w:val="auto"/>
          <w:spacing w:val="-6"/>
          <w:sz w:val="28"/>
          <w:szCs w:val="28"/>
          <w:highlight w:val="none"/>
          <w:u w:val="none"/>
          <w:lang w:val="en-US" w:eastAsia="zh-CN"/>
        </w:rPr>
        <w:t>服务期：自合同签订之日起一年。暂定配送周期为200日历天（仅针对学生在校时间），具体以实际在校人数及配送天数据实结算</w:t>
      </w:r>
      <w:r>
        <w:rPr>
          <w:rFonts w:hint="eastAsia" w:ascii="仿宋" w:hAnsi="仿宋" w:eastAsia="仿宋" w:cs="仿宋"/>
          <w:b w:val="0"/>
          <w:bCs w:val="0"/>
          <w:color w:val="auto"/>
          <w:spacing w:val="-6"/>
          <w:sz w:val="28"/>
          <w:szCs w:val="28"/>
          <w:highlight w:val="none"/>
          <w:u w:val="none"/>
        </w:rPr>
        <w:t>。</w:t>
      </w:r>
    </w:p>
    <w:p w14:paraId="543C72A6">
      <w:pPr>
        <w:keepNext w:val="0"/>
        <w:keepLines w:val="0"/>
        <w:pageBreakBefore w:val="0"/>
        <w:shd w:val="clear"/>
        <w:tabs>
          <w:tab w:val="left" w:pos="180"/>
        </w:tabs>
        <w:kinsoku/>
        <w:wordWrap/>
        <w:overflowPunct/>
        <w:topLinePunct w:val="0"/>
        <w:autoSpaceDE/>
        <w:autoSpaceDN/>
        <w:bidi w:val="0"/>
        <w:adjustRightInd w:val="0"/>
        <w:snapToGrid w:val="0"/>
        <w:spacing w:line="360" w:lineRule="auto"/>
        <w:ind w:firstLine="536" w:firstLineChars="200"/>
        <w:jc w:val="both"/>
        <w:rPr>
          <w:rFonts w:hint="default" w:ascii="仿宋" w:hAnsi="仿宋" w:eastAsia="仿宋" w:cs="仿宋"/>
          <w:snapToGrid w:val="0"/>
          <w:color w:val="auto"/>
          <w:kern w:val="0"/>
          <w:sz w:val="28"/>
          <w:szCs w:val="28"/>
          <w:highlight w:val="none"/>
          <w:lang w:val="en-US" w:eastAsia="zh-CN"/>
        </w:rPr>
      </w:pPr>
      <w:r>
        <w:rPr>
          <w:rFonts w:hint="default" w:ascii="仿宋" w:hAnsi="仿宋" w:eastAsia="仿宋" w:cs="仿宋"/>
          <w:b w:val="0"/>
          <w:bCs w:val="0"/>
          <w:color w:val="auto"/>
          <w:spacing w:val="-6"/>
          <w:sz w:val="28"/>
          <w:szCs w:val="28"/>
          <w:highlight w:val="none"/>
          <w:u w:val="none"/>
          <w:lang w:val="en-US" w:eastAsia="zh-CN"/>
        </w:rPr>
        <w:t>供货期</w:t>
      </w:r>
      <w:r>
        <w:rPr>
          <w:rFonts w:hint="eastAsia" w:ascii="仿宋" w:hAnsi="仿宋" w:eastAsia="仿宋" w:cs="仿宋"/>
          <w:b w:val="0"/>
          <w:bCs w:val="0"/>
          <w:color w:val="auto"/>
          <w:spacing w:val="-6"/>
          <w:sz w:val="28"/>
          <w:szCs w:val="28"/>
          <w:highlight w:val="none"/>
          <w:u w:val="none"/>
          <w:lang w:val="en-US" w:eastAsia="zh-CN"/>
        </w:rPr>
        <w:t>：</w:t>
      </w:r>
      <w:r>
        <w:rPr>
          <w:rFonts w:hint="eastAsia" w:ascii="仿宋" w:hAnsi="仿宋" w:eastAsia="仿宋" w:cs="仿宋"/>
          <w:snapToGrid w:val="0"/>
          <w:color w:val="auto"/>
          <w:kern w:val="0"/>
          <w:sz w:val="28"/>
          <w:szCs w:val="28"/>
          <w:highlight w:val="none"/>
          <w:lang w:val="en-US" w:eastAsia="zh-CN"/>
        </w:rPr>
        <w:t>米面油每两周配送一次，蛋奶每周配送一次，蔬菜、肉类每天配送一次。</w:t>
      </w:r>
    </w:p>
    <w:p w14:paraId="5433ADD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二、服务内容</w:t>
      </w:r>
    </w:p>
    <w:p w14:paraId="0C9CBF0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outlineLvl w:val="9"/>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乙方负责按照食材确定的规格型号、数量、产地、配置内容及技术标准组织采购</w:t>
      </w:r>
      <w:r>
        <w:rPr>
          <w:rFonts w:hint="eastAsia" w:ascii="仿宋" w:hAnsi="仿宋" w:eastAsia="仿宋" w:cs="仿宋"/>
          <w:color w:val="auto"/>
          <w:spacing w:val="-1"/>
          <w:sz w:val="28"/>
          <w:szCs w:val="28"/>
          <w:highlight w:val="none"/>
        </w:rPr>
        <w:t>配送，需与各营养改善计划实施学校签署合同附件，</w:t>
      </w:r>
      <w:r>
        <w:rPr>
          <w:rFonts w:hint="eastAsia" w:ascii="仿宋" w:hAnsi="仿宋" w:eastAsia="仿宋" w:cs="仿宋"/>
          <w:color w:val="auto"/>
          <w:spacing w:val="-1"/>
          <w:sz w:val="28"/>
          <w:szCs w:val="28"/>
          <w:highlight w:val="none"/>
          <w:lang w:val="en-US" w:eastAsia="zh-CN"/>
        </w:rPr>
        <w:t>明确</w:t>
      </w:r>
      <w:r>
        <w:rPr>
          <w:rFonts w:hint="eastAsia" w:ascii="仿宋" w:hAnsi="仿宋" w:eastAsia="仿宋" w:cs="仿宋"/>
          <w:color w:val="auto"/>
          <w:spacing w:val="-1"/>
          <w:sz w:val="28"/>
          <w:szCs w:val="28"/>
          <w:highlight w:val="none"/>
        </w:rPr>
        <w:t>采购数量、配送时间、指定</w:t>
      </w:r>
      <w:r>
        <w:rPr>
          <w:rFonts w:hint="eastAsia" w:ascii="仿宋" w:hAnsi="仿宋" w:eastAsia="仿宋" w:cs="仿宋"/>
          <w:color w:val="auto"/>
          <w:spacing w:val="-3"/>
          <w:sz w:val="28"/>
          <w:szCs w:val="28"/>
          <w:highlight w:val="none"/>
        </w:rPr>
        <w:t>联系人等内容。</w:t>
      </w:r>
    </w:p>
    <w:p w14:paraId="0488122E">
      <w:pPr>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0" w:right="0" w:firstLine="538" w:firstLineChars="200"/>
        <w:textAlignment w:val="baseline"/>
        <w:outlineLvl w:val="9"/>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lang w:val="en-US" w:eastAsia="zh-CN"/>
        </w:rPr>
        <w:t>三</w:t>
      </w:r>
      <w:r>
        <w:rPr>
          <w:rFonts w:hint="eastAsia" w:ascii="仿宋" w:hAnsi="仿宋" w:eastAsia="仿宋" w:cs="仿宋"/>
          <w:b/>
          <w:bCs/>
          <w:color w:val="auto"/>
          <w:spacing w:val="-6"/>
          <w:sz w:val="28"/>
          <w:szCs w:val="28"/>
          <w:highlight w:val="none"/>
        </w:rPr>
        <w:t>、合同价款</w:t>
      </w:r>
    </w:p>
    <w:p w14:paraId="4727FC8C">
      <w:pPr>
        <w:keepNext w:val="0"/>
        <w:keepLines w:val="0"/>
        <w:pageBreakBefore w:val="0"/>
        <w:widowControl w:val="0"/>
        <w:shd w:val="clea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合同总价暂定人民币</w:t>
      </w:r>
      <w:r>
        <w:rPr>
          <w:rFonts w:hint="eastAsia" w:ascii="仿宋" w:hAnsi="仿宋" w:eastAsia="仿宋" w:cs="仿宋"/>
          <w:i w:val="0"/>
          <w:iCs w:val="0"/>
          <w:color w:val="auto"/>
          <w:sz w:val="28"/>
          <w:szCs w:val="28"/>
          <w:highlight w:val="none"/>
          <w:u w:val="single"/>
          <w:lang w:val="en-US" w:eastAsia="zh-CN"/>
        </w:rPr>
        <w:t xml:space="preserve">      </w:t>
      </w:r>
      <w:r>
        <w:rPr>
          <w:rFonts w:hint="eastAsia" w:ascii="仿宋" w:hAnsi="仿宋" w:eastAsia="仿宋" w:cs="仿宋"/>
          <w:i w:val="0"/>
          <w:iCs w:val="0"/>
          <w:color w:val="auto"/>
          <w:sz w:val="28"/>
          <w:szCs w:val="28"/>
          <w:highlight w:val="none"/>
          <w:lang w:val="en-US" w:eastAsia="zh-CN"/>
        </w:rPr>
        <w:t>元，合同综合单价人民币 5元/(人*天)。合同总价包括:包括产品供应费、储存费(含仓储费、保险费、装卸费及其他相关的费用。具体以实际用餐人数及配送天数据实结算，最终结算金额不得超过项目预算金额。</w:t>
      </w:r>
    </w:p>
    <w:p w14:paraId="6D4EE6ED">
      <w:pPr>
        <w:keepNext w:val="0"/>
        <w:keepLines w:val="0"/>
        <w:pageBreakBefore w:val="0"/>
        <w:widowControl w:val="0"/>
        <w:shd w:val="clea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学校每月提前一周向供应商提交本月食材订购清单，乙方根据市场价给出清单产品报价，报价应包括食材名称、规格、品牌、单价、总价等内容，由甲方牵头联合学校及乙方在沣西新城区域内选择3个超市或市场进行询价，综合参考市场同等产品质量和价格后确认订单；（订货方式为暂定，具体以甲方通知为准）</w:t>
      </w:r>
    </w:p>
    <w:p w14:paraId="43A2D77E">
      <w:pPr>
        <w:keepNext w:val="0"/>
        <w:keepLines w:val="0"/>
        <w:pageBreakBefore w:val="0"/>
        <w:widowControl w:val="0"/>
        <w:shd w:val="clea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当月供货结束后，由供应商核算各校食材数量及资金，将食材资金核算结果经各学校确认后双方签字（盖章）由供应商报工作部审核，审核无误后，供应商开票，营养改善计划资金下拨后，由工作部负责结算。</w:t>
      </w:r>
    </w:p>
    <w:p w14:paraId="520C9C9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8"/>
          <w:sz w:val="28"/>
          <w:szCs w:val="28"/>
          <w:highlight w:val="none"/>
        </w:rPr>
        <w:t>四、款项结算</w:t>
      </w:r>
    </w:p>
    <w:p w14:paraId="0EA764C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pacing w:val="-4"/>
          <w:sz w:val="28"/>
          <w:szCs w:val="28"/>
          <w:highlight w:val="none"/>
          <w:lang w:val="zh-CN" w:eastAsia="zh-CN"/>
        </w:rPr>
      </w:pPr>
      <w:r>
        <w:rPr>
          <w:rFonts w:hint="eastAsia" w:ascii="仿宋" w:hAnsi="仿宋" w:eastAsia="仿宋" w:cs="仿宋"/>
          <w:color w:val="auto"/>
          <w:spacing w:val="-4"/>
          <w:sz w:val="28"/>
          <w:szCs w:val="28"/>
          <w:highlight w:val="none"/>
          <w:lang w:val="zh-CN" w:eastAsia="zh-CN"/>
        </w:rPr>
        <w:t>1、付款方式：按照实际供应量，合同生效后，按月支付。</w:t>
      </w:r>
    </w:p>
    <w:p w14:paraId="3AE0D71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pacing w:val="-4"/>
          <w:sz w:val="28"/>
          <w:szCs w:val="28"/>
          <w:highlight w:val="none"/>
          <w:lang w:val="zh-CN" w:eastAsia="zh-CN"/>
        </w:rPr>
      </w:pPr>
      <w:r>
        <w:rPr>
          <w:rFonts w:hint="eastAsia" w:ascii="仿宋" w:hAnsi="仿宋" w:eastAsia="仿宋" w:cs="仿宋"/>
          <w:color w:val="auto"/>
          <w:spacing w:val="-4"/>
          <w:sz w:val="28"/>
          <w:szCs w:val="28"/>
          <w:highlight w:val="none"/>
          <w:lang w:val="zh-CN" w:eastAsia="zh-CN"/>
        </w:rPr>
        <w:t>2、结算方式：银行转账。</w:t>
      </w:r>
    </w:p>
    <w:p w14:paraId="4F975EF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pacing w:val="-4"/>
          <w:sz w:val="28"/>
          <w:szCs w:val="28"/>
          <w:highlight w:val="none"/>
          <w:lang w:val="zh-CN" w:eastAsia="zh-CN"/>
        </w:rPr>
      </w:pPr>
      <w:r>
        <w:rPr>
          <w:rFonts w:hint="eastAsia" w:ascii="仿宋" w:hAnsi="仿宋" w:eastAsia="仿宋" w:cs="仿宋"/>
          <w:color w:val="auto"/>
          <w:spacing w:val="-4"/>
          <w:sz w:val="28"/>
          <w:szCs w:val="28"/>
          <w:highlight w:val="none"/>
          <w:lang w:val="zh-CN" w:eastAsia="zh-CN"/>
        </w:rPr>
        <w:t>3、结算单位：由</w:t>
      </w:r>
      <w:r>
        <w:rPr>
          <w:rFonts w:hint="eastAsia" w:ascii="仿宋" w:hAnsi="仿宋" w:eastAsia="仿宋" w:cs="仿宋"/>
          <w:color w:val="auto"/>
          <w:spacing w:val="-4"/>
          <w:sz w:val="28"/>
          <w:szCs w:val="28"/>
          <w:highlight w:val="none"/>
          <w:lang w:val="en-US" w:eastAsia="zh-CN"/>
        </w:rPr>
        <w:t>甲方</w:t>
      </w:r>
      <w:r>
        <w:rPr>
          <w:rFonts w:hint="eastAsia" w:ascii="仿宋" w:hAnsi="仿宋" w:eastAsia="仿宋" w:cs="仿宋"/>
          <w:color w:val="auto"/>
          <w:spacing w:val="-4"/>
          <w:sz w:val="28"/>
          <w:szCs w:val="28"/>
          <w:highlight w:val="none"/>
          <w:lang w:val="zh-CN" w:eastAsia="zh-CN"/>
        </w:rPr>
        <w:t>负责结算，乙方开具等额发票交</w:t>
      </w:r>
      <w:r>
        <w:rPr>
          <w:rFonts w:hint="eastAsia" w:ascii="仿宋" w:hAnsi="仿宋" w:eastAsia="仿宋" w:cs="仿宋"/>
          <w:color w:val="auto"/>
          <w:spacing w:val="-4"/>
          <w:sz w:val="28"/>
          <w:szCs w:val="28"/>
          <w:highlight w:val="none"/>
          <w:lang w:val="en-US" w:eastAsia="zh-CN"/>
        </w:rPr>
        <w:t>甲方</w:t>
      </w:r>
      <w:r>
        <w:rPr>
          <w:rFonts w:hint="eastAsia" w:ascii="仿宋" w:hAnsi="仿宋" w:eastAsia="仿宋" w:cs="仿宋"/>
          <w:color w:val="auto"/>
          <w:spacing w:val="-4"/>
          <w:sz w:val="28"/>
          <w:szCs w:val="28"/>
          <w:highlight w:val="none"/>
          <w:lang w:val="zh-CN" w:eastAsia="zh-CN"/>
        </w:rPr>
        <w:t>。</w:t>
      </w:r>
    </w:p>
    <w:p w14:paraId="09A0879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五、双方的权利和义务</w:t>
      </w:r>
    </w:p>
    <w:p w14:paraId="53837E2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2" w:firstLineChars="200"/>
        <w:textAlignment w:val="baseline"/>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pacing w:val="-5"/>
          <w:sz w:val="28"/>
          <w:szCs w:val="28"/>
          <w:highlight w:val="none"/>
        </w:rPr>
        <w:t>（一）甲方的权利与义务</w:t>
      </w:r>
    </w:p>
    <w:p w14:paraId="6F79A0F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1.甲方在合同签订后及时向乙方提供服务学校名单。学生人数依据各学校实际在校学生数确定。</w:t>
      </w:r>
    </w:p>
    <w:p w14:paraId="4C1F720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2.甲方根据学校食堂条件、季节变化、学生饮食、用</w:t>
      </w:r>
      <w:r>
        <w:rPr>
          <w:rFonts w:hint="eastAsia" w:ascii="仿宋" w:hAnsi="仿宋" w:eastAsia="仿宋" w:cs="仿宋"/>
          <w:color w:val="auto"/>
          <w:spacing w:val="-4"/>
          <w:sz w:val="28"/>
          <w:szCs w:val="28"/>
          <w:highlight w:val="none"/>
        </w:rPr>
        <w:t>餐食谱确定所需配送种类及数</w:t>
      </w:r>
      <w:r>
        <w:rPr>
          <w:rFonts w:hint="eastAsia" w:ascii="仿宋" w:hAnsi="仿宋" w:eastAsia="仿宋" w:cs="仿宋"/>
          <w:color w:val="auto"/>
          <w:spacing w:val="-5"/>
          <w:sz w:val="28"/>
          <w:szCs w:val="28"/>
          <w:highlight w:val="none"/>
        </w:rPr>
        <w:t>量。</w:t>
      </w:r>
    </w:p>
    <w:p w14:paraId="48A1D48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3.甲方要安排专人负责接收工作，在接受乙方所</w:t>
      </w:r>
      <w:r>
        <w:rPr>
          <w:rFonts w:hint="eastAsia" w:ascii="仿宋" w:hAnsi="仿宋" w:eastAsia="仿宋" w:cs="仿宋"/>
          <w:color w:val="auto"/>
          <w:spacing w:val="-4"/>
          <w:sz w:val="28"/>
          <w:szCs w:val="28"/>
          <w:highlight w:val="none"/>
        </w:rPr>
        <w:t>配送食材时，乙方要提供配送清单和质检报告，甲方要认真核对，确定无误后签收。</w:t>
      </w:r>
    </w:p>
    <w:p w14:paraId="02F391B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4.合同执行期间，甲方可组织相关部门、专家对乙方履行合</w:t>
      </w:r>
      <w:r>
        <w:rPr>
          <w:rFonts w:hint="eastAsia" w:ascii="仿宋" w:hAnsi="仿宋" w:eastAsia="仿宋" w:cs="仿宋"/>
          <w:color w:val="auto"/>
          <w:spacing w:val="-4"/>
          <w:sz w:val="28"/>
          <w:szCs w:val="28"/>
          <w:highlight w:val="none"/>
        </w:rPr>
        <w:t>同情况进行评估，乙方必须全力配合并承担相关费用。</w:t>
      </w:r>
    </w:p>
    <w:p w14:paraId="491DD7D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5.甲方有权利要求乙方出示所采购食材的质检报</w:t>
      </w:r>
      <w:r>
        <w:rPr>
          <w:rFonts w:hint="eastAsia" w:ascii="仿宋" w:hAnsi="仿宋" w:eastAsia="仿宋" w:cs="仿宋"/>
          <w:color w:val="auto"/>
          <w:spacing w:val="-4"/>
          <w:sz w:val="28"/>
          <w:szCs w:val="28"/>
          <w:highlight w:val="none"/>
        </w:rPr>
        <w:t>告或甲方有权利对乙方所供货物进</w:t>
      </w:r>
      <w:r>
        <w:rPr>
          <w:rFonts w:hint="eastAsia" w:ascii="仿宋" w:hAnsi="仿宋" w:eastAsia="仿宋" w:cs="仿宋"/>
          <w:color w:val="auto"/>
          <w:spacing w:val="-5"/>
          <w:sz w:val="28"/>
          <w:szCs w:val="28"/>
          <w:highlight w:val="none"/>
        </w:rPr>
        <w:t>行另行抽检。</w:t>
      </w:r>
    </w:p>
    <w:p w14:paraId="24893EC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6.甲方有权利拒绝接受非甲方采购食材。</w:t>
      </w:r>
    </w:p>
    <w:p w14:paraId="6D42C7E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仿宋" w:hAnsi="仿宋" w:eastAsia="仿宋" w:cs="仿宋"/>
          <w:color w:val="auto"/>
          <w:spacing w:val="7"/>
          <w:sz w:val="28"/>
          <w:szCs w:val="28"/>
          <w:highlight w:val="none"/>
        </w:rPr>
      </w:pPr>
      <w:r>
        <w:rPr>
          <w:rFonts w:hint="eastAsia" w:ascii="仿宋" w:hAnsi="仿宋" w:eastAsia="仿宋" w:cs="仿宋"/>
          <w:color w:val="auto"/>
          <w:spacing w:val="-5"/>
          <w:sz w:val="28"/>
          <w:szCs w:val="28"/>
          <w:highlight w:val="none"/>
        </w:rPr>
        <w:t>7.甲方有权利对乙方所供食材包装破损的产品提出异议或拒绝接受。</w:t>
      </w:r>
      <w:r>
        <w:rPr>
          <w:rFonts w:hint="eastAsia" w:ascii="仿宋" w:hAnsi="仿宋" w:eastAsia="仿宋" w:cs="仿宋"/>
          <w:color w:val="auto"/>
          <w:spacing w:val="7"/>
          <w:sz w:val="28"/>
          <w:szCs w:val="28"/>
          <w:highlight w:val="none"/>
        </w:rPr>
        <w:t xml:space="preserve"> </w:t>
      </w:r>
    </w:p>
    <w:p w14:paraId="2E17CE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8.甲方有权利对乙方的服务进行监督和评判。</w:t>
      </w:r>
    </w:p>
    <w:p w14:paraId="18CBCB9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9.甲方有权力对乙方所供产品的流向进行监控，不得出现</w:t>
      </w:r>
      <w:r>
        <w:rPr>
          <w:rFonts w:hint="eastAsia" w:ascii="仿宋" w:hAnsi="仿宋" w:eastAsia="仿宋" w:cs="仿宋"/>
          <w:color w:val="auto"/>
          <w:spacing w:val="-4"/>
          <w:sz w:val="28"/>
          <w:szCs w:val="28"/>
          <w:highlight w:val="none"/>
        </w:rPr>
        <w:t>流入非本渠道现象，更不</w:t>
      </w:r>
      <w:r>
        <w:rPr>
          <w:rFonts w:hint="eastAsia" w:ascii="仿宋" w:hAnsi="仿宋" w:eastAsia="仿宋" w:cs="仿宋"/>
          <w:color w:val="auto"/>
          <w:spacing w:val="-5"/>
          <w:sz w:val="28"/>
          <w:szCs w:val="28"/>
          <w:highlight w:val="none"/>
        </w:rPr>
        <w:t>能出现售卖等现象。</w:t>
      </w:r>
    </w:p>
    <w:p w14:paraId="681CD12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10.在供货业务运行过程中出现时间、地点、人员变化等现象，甲方有义务事先通告乙方并配合乙方完成后续交接等事宜。</w:t>
      </w:r>
    </w:p>
    <w:p w14:paraId="79DD8C7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11.甲方有义务配合乙方缩减交接货物环节的流程及时间。</w:t>
      </w:r>
    </w:p>
    <w:p w14:paraId="1191AB8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12.甲方有义务配合乙方处理完善双方合作中的突发事件。</w:t>
      </w:r>
    </w:p>
    <w:p w14:paraId="44ABBCD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13.甲方有义务配合乙方做好关于食用产品知识的宣传工作。</w:t>
      </w:r>
    </w:p>
    <w:p w14:paraId="0DB50FD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2" w:firstLineChars="200"/>
        <w:textAlignment w:val="baseline"/>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pacing w:val="-5"/>
          <w:sz w:val="28"/>
          <w:szCs w:val="28"/>
          <w:highlight w:val="none"/>
        </w:rPr>
        <w:t>（二）乙方的权利与义务</w:t>
      </w:r>
    </w:p>
    <w:p w14:paraId="78C426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1.乙方要按时给甲方每所学校按学校拟定食谱标准提供足量的食材。</w:t>
      </w:r>
    </w:p>
    <w:p w14:paraId="3EC8B98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3"/>
          <w:sz w:val="28"/>
          <w:szCs w:val="28"/>
          <w:highlight w:val="none"/>
        </w:rPr>
        <w:t>2.乙方要确保给甲方所提供食材的质量和安全卫生，</w:t>
      </w:r>
      <w:r>
        <w:rPr>
          <w:rFonts w:hint="eastAsia" w:ascii="仿宋" w:hAnsi="仿宋" w:eastAsia="仿宋" w:cs="仿宋"/>
          <w:color w:val="auto"/>
          <w:spacing w:val="-4"/>
          <w:sz w:val="28"/>
          <w:szCs w:val="28"/>
          <w:highlight w:val="none"/>
        </w:rPr>
        <w:t>凡甲方师生因食用乙方所提供</w:t>
      </w:r>
      <w:r>
        <w:rPr>
          <w:rFonts w:hint="eastAsia" w:ascii="仿宋" w:hAnsi="仿宋" w:eastAsia="仿宋" w:cs="仿宋"/>
          <w:color w:val="auto"/>
          <w:spacing w:val="-3"/>
          <w:sz w:val="28"/>
          <w:szCs w:val="28"/>
          <w:highlight w:val="none"/>
        </w:rPr>
        <w:t>营养食材造成的饮食事故，乙方要承担全部事故责任</w:t>
      </w:r>
      <w:r>
        <w:rPr>
          <w:rFonts w:hint="eastAsia" w:ascii="仿宋" w:hAnsi="仿宋" w:eastAsia="仿宋" w:cs="仿宋"/>
          <w:color w:val="auto"/>
          <w:spacing w:val="-4"/>
          <w:sz w:val="28"/>
          <w:szCs w:val="28"/>
          <w:highlight w:val="none"/>
        </w:rPr>
        <w:t>，并承担医疗费用和其他相关费用</w:t>
      </w:r>
      <w:r>
        <w:rPr>
          <w:rFonts w:hint="eastAsia" w:ascii="仿宋" w:hAnsi="仿宋" w:eastAsia="仿宋" w:cs="仿宋"/>
          <w:color w:val="auto"/>
          <w:spacing w:val="-4"/>
          <w:sz w:val="28"/>
          <w:szCs w:val="28"/>
          <w:highlight w:val="none"/>
          <w:lang w:eastAsia="zh-CN"/>
        </w:rPr>
        <w:t>。</w:t>
      </w:r>
    </w:p>
    <w:p w14:paraId="0FFDDFD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3.乙方须按照甲方食堂采购人员通知的时间、数</w:t>
      </w:r>
      <w:r>
        <w:rPr>
          <w:rFonts w:hint="eastAsia" w:ascii="仿宋" w:hAnsi="仿宋" w:eastAsia="仿宋" w:cs="仿宋"/>
          <w:color w:val="auto"/>
          <w:spacing w:val="-4"/>
          <w:sz w:val="28"/>
          <w:szCs w:val="28"/>
          <w:highlight w:val="none"/>
        </w:rPr>
        <w:t>量、品种、品质要求准时送货，经</w:t>
      </w:r>
      <w:r>
        <w:rPr>
          <w:rFonts w:hint="eastAsia" w:ascii="仿宋" w:hAnsi="仿宋" w:eastAsia="仿宋" w:cs="仿宋"/>
          <w:color w:val="auto"/>
          <w:spacing w:val="-3"/>
          <w:sz w:val="28"/>
          <w:szCs w:val="28"/>
          <w:highlight w:val="none"/>
        </w:rPr>
        <w:t>验收合格后签字确认，不能以任何理由推托，一旦影响到甲方食堂的正</w:t>
      </w:r>
      <w:r>
        <w:rPr>
          <w:rFonts w:hint="eastAsia" w:ascii="仿宋" w:hAnsi="仿宋" w:eastAsia="仿宋" w:cs="仿宋"/>
          <w:color w:val="auto"/>
          <w:spacing w:val="-4"/>
          <w:sz w:val="28"/>
          <w:szCs w:val="28"/>
          <w:highlight w:val="none"/>
        </w:rPr>
        <w:t>常运转，甲方有权解除合同，乙方还应承担相应的经济赔偿。</w:t>
      </w:r>
    </w:p>
    <w:p w14:paraId="5F0624A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pacing w:val="-4"/>
          <w:sz w:val="28"/>
          <w:szCs w:val="28"/>
          <w:highlight w:val="none"/>
        </w:rPr>
      </w:pPr>
      <w:r>
        <w:rPr>
          <w:rFonts w:hint="eastAsia" w:ascii="仿宋" w:hAnsi="仿宋" w:eastAsia="仿宋" w:cs="仿宋"/>
          <w:color w:val="auto"/>
          <w:spacing w:val="-3"/>
          <w:sz w:val="28"/>
          <w:szCs w:val="28"/>
          <w:highlight w:val="none"/>
        </w:rPr>
        <w:t>4.乙方每次配送食材应向学校开具三联单，单据上必须注明</w:t>
      </w:r>
      <w:r>
        <w:rPr>
          <w:rFonts w:hint="eastAsia" w:ascii="仿宋" w:hAnsi="仿宋" w:eastAsia="仿宋" w:cs="仿宋"/>
          <w:color w:val="auto"/>
          <w:spacing w:val="-4"/>
          <w:sz w:val="28"/>
          <w:szCs w:val="28"/>
          <w:highlight w:val="none"/>
        </w:rPr>
        <w:t>接收学校、时间、品种</w:t>
      </w:r>
      <w:r>
        <w:rPr>
          <w:rFonts w:hint="eastAsia" w:ascii="仿宋" w:hAnsi="仿宋" w:eastAsia="仿宋" w:cs="仿宋"/>
          <w:color w:val="auto"/>
          <w:spacing w:val="-3"/>
          <w:sz w:val="28"/>
          <w:szCs w:val="28"/>
          <w:highlight w:val="none"/>
        </w:rPr>
        <w:t>名称、数量、单价、小计、合计、送货人、</w:t>
      </w:r>
      <w:r>
        <w:rPr>
          <w:rFonts w:hint="eastAsia" w:ascii="仿宋" w:hAnsi="仿宋" w:eastAsia="仿宋" w:cs="仿宋"/>
          <w:color w:val="auto"/>
          <w:spacing w:val="-4"/>
          <w:sz w:val="28"/>
          <w:szCs w:val="28"/>
          <w:highlight w:val="none"/>
        </w:rPr>
        <w:t>验收人签名等信息。</w:t>
      </w:r>
    </w:p>
    <w:p w14:paraId="4524651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5.按照《中华人民共和国食品安全法》、《</w:t>
      </w:r>
      <w:r>
        <w:rPr>
          <w:rFonts w:hint="eastAsia" w:ascii="仿宋" w:hAnsi="仿宋" w:eastAsia="仿宋" w:cs="仿宋"/>
          <w:color w:val="auto"/>
          <w:spacing w:val="-3"/>
          <w:sz w:val="28"/>
          <w:szCs w:val="28"/>
          <w:highlight w:val="none"/>
          <w:lang w:eastAsia="zh-CN"/>
        </w:rPr>
        <w:t>中华人民共和国农产品质量安全法</w:t>
      </w:r>
      <w:r>
        <w:rPr>
          <w:rFonts w:hint="eastAsia" w:ascii="仿宋" w:hAnsi="仿宋" w:eastAsia="仿宋" w:cs="仿宋"/>
          <w:color w:val="auto"/>
          <w:spacing w:val="-4"/>
          <w:sz w:val="28"/>
          <w:szCs w:val="28"/>
          <w:highlight w:val="none"/>
        </w:rPr>
        <w:t>》等规定，提供有关</w:t>
      </w:r>
      <w:r>
        <w:rPr>
          <w:rFonts w:hint="eastAsia" w:ascii="仿宋" w:hAnsi="仿宋" w:eastAsia="仿宋" w:cs="仿宋"/>
          <w:color w:val="auto"/>
          <w:spacing w:val="-3"/>
          <w:sz w:val="28"/>
          <w:szCs w:val="28"/>
          <w:highlight w:val="none"/>
        </w:rPr>
        <w:t>的证明材料和证件是乙方的义务，在合同期内乙方应提供产品检验合</w:t>
      </w:r>
      <w:r>
        <w:rPr>
          <w:rFonts w:hint="eastAsia" w:ascii="仿宋" w:hAnsi="仿宋" w:eastAsia="仿宋" w:cs="仿宋"/>
          <w:color w:val="auto"/>
          <w:spacing w:val="-4"/>
          <w:sz w:val="28"/>
          <w:szCs w:val="28"/>
          <w:highlight w:val="none"/>
        </w:rPr>
        <w:t>格证等相关证明，</w:t>
      </w:r>
      <w:r>
        <w:rPr>
          <w:rFonts w:hint="eastAsia" w:ascii="仿宋" w:hAnsi="仿宋" w:eastAsia="仿宋" w:cs="仿宋"/>
          <w:color w:val="auto"/>
          <w:spacing w:val="-3"/>
          <w:sz w:val="28"/>
          <w:szCs w:val="28"/>
          <w:highlight w:val="none"/>
        </w:rPr>
        <w:t>无证产品甲方不予接受。乙方要保证产品质量稳定，符合国家相关技</w:t>
      </w:r>
      <w:r>
        <w:rPr>
          <w:rFonts w:hint="eastAsia" w:ascii="仿宋" w:hAnsi="仿宋" w:eastAsia="仿宋" w:cs="仿宋"/>
          <w:color w:val="auto"/>
          <w:spacing w:val="-4"/>
          <w:sz w:val="28"/>
          <w:szCs w:val="28"/>
          <w:highlight w:val="none"/>
        </w:rPr>
        <w:t>术标准，未发生过</w:t>
      </w:r>
      <w:r>
        <w:rPr>
          <w:rFonts w:hint="eastAsia" w:ascii="仿宋" w:hAnsi="仿宋" w:eastAsia="仿宋" w:cs="仿宋"/>
          <w:color w:val="auto"/>
          <w:spacing w:val="-3"/>
          <w:sz w:val="28"/>
          <w:szCs w:val="28"/>
          <w:highlight w:val="none"/>
        </w:rPr>
        <w:t>重大产品质量安全事故，乙方对最终的产品质量负完全责任，发生的</w:t>
      </w:r>
      <w:r>
        <w:rPr>
          <w:rFonts w:hint="eastAsia" w:ascii="仿宋" w:hAnsi="仿宋" w:eastAsia="仿宋" w:cs="仿宋"/>
          <w:color w:val="auto"/>
          <w:spacing w:val="-4"/>
          <w:sz w:val="28"/>
          <w:szCs w:val="28"/>
          <w:highlight w:val="none"/>
        </w:rPr>
        <w:t>食品质量问题、安全问题造成的损失由乙方承担。</w:t>
      </w:r>
    </w:p>
    <w:p w14:paraId="408126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6.乙方必须确保运输车辆和周转包装容器的清洁卫生，</w:t>
      </w:r>
      <w:r>
        <w:rPr>
          <w:rFonts w:hint="eastAsia" w:ascii="仿宋" w:hAnsi="仿宋" w:eastAsia="仿宋" w:cs="仿宋"/>
          <w:color w:val="auto"/>
          <w:spacing w:val="-4"/>
          <w:sz w:val="28"/>
          <w:szCs w:val="28"/>
          <w:highlight w:val="none"/>
        </w:rPr>
        <w:t>运输车辆应当保持清洁，无</w:t>
      </w:r>
      <w:r>
        <w:rPr>
          <w:rFonts w:hint="eastAsia" w:ascii="仿宋" w:hAnsi="仿宋" w:eastAsia="仿宋" w:cs="仿宋"/>
          <w:color w:val="auto"/>
          <w:spacing w:val="-3"/>
          <w:sz w:val="28"/>
          <w:szCs w:val="28"/>
          <w:highlight w:val="none"/>
        </w:rPr>
        <w:t>霉斑、鼠迹、苍蝇、蟑螂，不得存放有毒、有害物品及个人生活用品</w:t>
      </w:r>
      <w:r>
        <w:rPr>
          <w:rFonts w:hint="eastAsia" w:ascii="仿宋" w:hAnsi="仿宋" w:eastAsia="仿宋" w:cs="仿宋"/>
          <w:color w:val="auto"/>
          <w:spacing w:val="-4"/>
          <w:sz w:val="28"/>
          <w:szCs w:val="28"/>
          <w:highlight w:val="none"/>
        </w:rPr>
        <w:t>，防止货物在运输过程中受到污染。</w:t>
      </w:r>
    </w:p>
    <w:p w14:paraId="7E90FCC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7.乙方在配送过程中，若出现安全事故，责任</w:t>
      </w:r>
      <w:r>
        <w:rPr>
          <w:rFonts w:hint="eastAsia" w:ascii="仿宋" w:hAnsi="仿宋" w:eastAsia="仿宋" w:cs="仿宋"/>
          <w:color w:val="auto"/>
          <w:spacing w:val="-4"/>
          <w:sz w:val="28"/>
          <w:szCs w:val="28"/>
          <w:highlight w:val="none"/>
        </w:rPr>
        <w:t>由乙方完全承担。食材配送车辆在通</w:t>
      </w:r>
      <w:r>
        <w:rPr>
          <w:rFonts w:hint="eastAsia" w:ascii="仿宋" w:hAnsi="仿宋" w:eastAsia="仿宋" w:cs="仿宋"/>
          <w:color w:val="auto"/>
          <w:spacing w:val="-3"/>
          <w:sz w:val="28"/>
          <w:szCs w:val="28"/>
          <w:highlight w:val="none"/>
        </w:rPr>
        <w:t>过校园时，应服从学校管理，保持低速行驶，不得超速行驶，不得鸣</w:t>
      </w:r>
      <w:r>
        <w:rPr>
          <w:rFonts w:hint="eastAsia" w:ascii="仿宋" w:hAnsi="仿宋" w:eastAsia="仿宋" w:cs="仿宋"/>
          <w:color w:val="auto"/>
          <w:spacing w:val="-4"/>
          <w:sz w:val="28"/>
          <w:szCs w:val="28"/>
          <w:highlight w:val="none"/>
        </w:rPr>
        <w:t>笛等影响教育教学秩序及危害师生安全的行为。</w:t>
      </w:r>
    </w:p>
    <w:p w14:paraId="5DCBCBE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8.乙方必须建立起一套完善、科学的管理制度，指定专人</w:t>
      </w:r>
      <w:r>
        <w:rPr>
          <w:rFonts w:hint="eastAsia" w:ascii="仿宋" w:hAnsi="仿宋" w:eastAsia="仿宋" w:cs="仿宋"/>
          <w:color w:val="auto"/>
          <w:spacing w:val="-4"/>
          <w:sz w:val="28"/>
          <w:szCs w:val="28"/>
          <w:highlight w:val="none"/>
        </w:rPr>
        <w:t>负责，参与食材配送人员</w:t>
      </w:r>
      <w:r>
        <w:rPr>
          <w:rFonts w:hint="eastAsia" w:ascii="仿宋" w:hAnsi="仿宋" w:eastAsia="仿宋" w:cs="仿宋"/>
          <w:color w:val="auto"/>
          <w:spacing w:val="-3"/>
          <w:sz w:val="28"/>
          <w:szCs w:val="28"/>
          <w:highlight w:val="none"/>
        </w:rPr>
        <w:t>必须持有健康证，且身心健康，认真负责。乙方需定期检查执行情况，及</w:t>
      </w:r>
      <w:r>
        <w:rPr>
          <w:rFonts w:hint="eastAsia" w:ascii="仿宋" w:hAnsi="仿宋" w:eastAsia="仿宋" w:cs="仿宋"/>
          <w:color w:val="auto"/>
          <w:spacing w:val="-4"/>
          <w:sz w:val="28"/>
          <w:szCs w:val="28"/>
          <w:highlight w:val="none"/>
        </w:rPr>
        <w:t>时解决存在的</w:t>
      </w:r>
      <w:r>
        <w:rPr>
          <w:rFonts w:hint="eastAsia" w:ascii="仿宋" w:hAnsi="仿宋" w:eastAsia="仿宋" w:cs="仿宋"/>
          <w:color w:val="auto"/>
          <w:spacing w:val="-3"/>
          <w:sz w:val="28"/>
          <w:szCs w:val="28"/>
          <w:highlight w:val="none"/>
        </w:rPr>
        <w:t>问题，确保</w:t>
      </w:r>
      <w:r>
        <w:rPr>
          <w:rFonts w:hint="eastAsia" w:ascii="仿宋" w:hAnsi="仿宋" w:eastAsia="仿宋" w:cs="仿宋"/>
          <w:color w:val="auto"/>
          <w:spacing w:val="-3"/>
          <w:sz w:val="28"/>
          <w:szCs w:val="28"/>
          <w:highlight w:val="none"/>
          <w:lang w:val="en-US" w:eastAsia="zh-CN"/>
        </w:rPr>
        <w:t>货物</w:t>
      </w:r>
      <w:r>
        <w:rPr>
          <w:rFonts w:hint="eastAsia" w:ascii="仿宋" w:hAnsi="仿宋" w:eastAsia="仿宋" w:cs="仿宋"/>
          <w:color w:val="auto"/>
          <w:spacing w:val="-3"/>
          <w:sz w:val="28"/>
          <w:szCs w:val="28"/>
          <w:highlight w:val="none"/>
        </w:rPr>
        <w:t>质量。乙方必须严把采购、生产、运输质量检验关，具备专人</w:t>
      </w:r>
      <w:r>
        <w:rPr>
          <w:rFonts w:hint="eastAsia" w:ascii="仿宋" w:hAnsi="仿宋" w:eastAsia="仿宋" w:cs="仿宋"/>
          <w:color w:val="auto"/>
          <w:spacing w:val="-4"/>
          <w:sz w:val="28"/>
          <w:szCs w:val="28"/>
          <w:highlight w:val="none"/>
        </w:rPr>
        <w:t>专车向甲方配</w:t>
      </w:r>
      <w:r>
        <w:rPr>
          <w:rFonts w:hint="eastAsia" w:ascii="仿宋" w:hAnsi="仿宋" w:eastAsia="仿宋" w:cs="仿宋"/>
          <w:color w:val="auto"/>
          <w:spacing w:val="-3"/>
          <w:sz w:val="28"/>
          <w:szCs w:val="28"/>
          <w:highlight w:val="none"/>
        </w:rPr>
        <w:t>送。建立产品质量档案，对每批受检产品进行留样封存，以备待查。应建</w:t>
      </w:r>
      <w:r>
        <w:rPr>
          <w:rFonts w:hint="eastAsia" w:ascii="仿宋" w:hAnsi="仿宋" w:eastAsia="仿宋" w:cs="仿宋"/>
          <w:color w:val="auto"/>
          <w:spacing w:val="-4"/>
          <w:sz w:val="28"/>
          <w:szCs w:val="28"/>
          <w:highlight w:val="none"/>
        </w:rPr>
        <w:t>立科学、可行的突发事故应急预案。</w:t>
      </w:r>
    </w:p>
    <w:p w14:paraId="63AE474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9.对于不符合规格要求、以次充好、质量问题等现象，乙</w:t>
      </w:r>
      <w:r>
        <w:rPr>
          <w:rFonts w:hint="eastAsia" w:ascii="仿宋" w:hAnsi="仿宋" w:eastAsia="仿宋" w:cs="仿宋"/>
          <w:color w:val="auto"/>
          <w:spacing w:val="-4"/>
          <w:sz w:val="28"/>
          <w:szCs w:val="28"/>
          <w:highlight w:val="none"/>
        </w:rPr>
        <w:t>方必须无条件退换，且须</w:t>
      </w:r>
      <w:r>
        <w:rPr>
          <w:rFonts w:hint="eastAsia" w:ascii="仿宋" w:hAnsi="仿宋" w:eastAsia="仿宋" w:cs="仿宋"/>
          <w:color w:val="auto"/>
          <w:spacing w:val="-3"/>
          <w:sz w:val="28"/>
          <w:szCs w:val="28"/>
          <w:highlight w:val="none"/>
        </w:rPr>
        <w:t>在2小时内退换完成，对于不能及时供应的食材，甲方有权根据食</w:t>
      </w:r>
      <w:r>
        <w:rPr>
          <w:rFonts w:hint="eastAsia" w:ascii="仿宋" w:hAnsi="仿宋" w:eastAsia="仿宋" w:cs="仿宋"/>
          <w:color w:val="auto"/>
          <w:spacing w:val="-4"/>
          <w:sz w:val="28"/>
          <w:szCs w:val="28"/>
          <w:highlight w:val="none"/>
        </w:rPr>
        <w:t>谱自行配买。</w:t>
      </w:r>
      <w:r>
        <w:rPr>
          <w:rFonts w:hint="eastAsia" w:ascii="仿宋" w:hAnsi="仿宋" w:eastAsia="仿宋" w:cs="仿宋"/>
          <w:color w:val="auto"/>
          <w:spacing w:val="-4"/>
          <w:sz w:val="28"/>
          <w:szCs w:val="28"/>
          <w:highlight w:val="none"/>
          <w:lang w:eastAsia="zh-CN"/>
        </w:rPr>
        <w:t>自行</w:t>
      </w:r>
      <w:r>
        <w:rPr>
          <w:rFonts w:hint="eastAsia" w:ascii="仿宋" w:hAnsi="仿宋" w:eastAsia="仿宋" w:cs="仿宋"/>
          <w:color w:val="auto"/>
          <w:spacing w:val="-4"/>
          <w:sz w:val="28"/>
          <w:szCs w:val="28"/>
          <w:highlight w:val="none"/>
        </w:rPr>
        <w:t>采购食材产生的费用由乙方负责结算。</w:t>
      </w:r>
    </w:p>
    <w:p w14:paraId="02A8BD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10.在供货业务运行过程中出现时间、地点、人员变化等现象，乙方有义务事先通告甲方并配合乙方完成后续交接等事宜。</w:t>
      </w:r>
    </w:p>
    <w:p w14:paraId="0574755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11.乙方有义务做好关于食用产品知识的宣传工作。</w:t>
      </w:r>
    </w:p>
    <w:p w14:paraId="64CD4A4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12.“采购标准及要求</w:t>
      </w:r>
      <w:r>
        <w:rPr>
          <w:rFonts w:hint="eastAsia" w:ascii="仿宋" w:hAnsi="仿宋" w:eastAsia="仿宋" w:cs="仿宋"/>
          <w:color w:val="auto"/>
          <w:spacing w:val="-72"/>
          <w:sz w:val="28"/>
          <w:szCs w:val="28"/>
          <w:highlight w:val="none"/>
        </w:rPr>
        <w:t xml:space="preserve"> </w:t>
      </w:r>
      <w:r>
        <w:rPr>
          <w:rFonts w:hint="eastAsia" w:ascii="仿宋" w:hAnsi="仿宋" w:eastAsia="仿宋" w:cs="仿宋"/>
          <w:color w:val="auto"/>
          <w:spacing w:val="-5"/>
          <w:sz w:val="28"/>
          <w:szCs w:val="28"/>
          <w:highlight w:val="none"/>
        </w:rPr>
        <w:t>”中未明确的技术指标，均按国家及行业相关规定执行。</w:t>
      </w:r>
    </w:p>
    <w:p w14:paraId="4A62AD7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outlineLvl w:val="9"/>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六、配送方式及要求</w:t>
      </w:r>
    </w:p>
    <w:p w14:paraId="61ADA3F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outlineLvl w:val="9"/>
        <w:rPr>
          <w:rFonts w:hint="eastAsia" w:ascii="仿宋" w:hAnsi="仿宋" w:eastAsia="仿宋" w:cs="仿宋"/>
          <w:color w:val="auto"/>
          <w:spacing w:val="-3"/>
          <w:sz w:val="28"/>
          <w:szCs w:val="28"/>
          <w:highlight w:val="none"/>
          <w:lang w:val="en-US" w:eastAsia="zh-CN"/>
        </w:rPr>
      </w:pPr>
      <w:r>
        <w:rPr>
          <w:rFonts w:hint="eastAsia" w:ascii="仿宋" w:hAnsi="仿宋" w:eastAsia="仿宋" w:cs="仿宋"/>
          <w:color w:val="auto"/>
          <w:spacing w:val="-3"/>
          <w:sz w:val="28"/>
          <w:szCs w:val="28"/>
          <w:highlight w:val="none"/>
          <w:lang w:val="en-US" w:eastAsia="zh-CN"/>
        </w:rPr>
        <w:t>1、甲方将根据省、市、西咸新区及沣西新城管理委员会(下称沣西新城管委会)有关政策和规定，结合实际进行供货时间调整;严格执行周配制、日配制，送餐日每天9：00前按甲方提供的学生人数将对应数量餐食配送到位，</w:t>
      </w:r>
      <w:r>
        <w:rPr>
          <w:rFonts w:hint="eastAsia" w:ascii="仿宋" w:hAnsi="仿宋" w:eastAsia="仿宋" w:cs="仿宋"/>
          <w:color w:val="auto"/>
          <w:sz w:val="28"/>
          <w:szCs w:val="28"/>
          <w:highlight w:val="none"/>
          <w:lang w:val="en-US" w:eastAsia="zh-CN"/>
        </w:rPr>
        <w:t>如乙方未按时每天上午9：00前送货到各指定校点,影响学生就餐的，采购单位有权从每月学生营养改善计划食品、原材料采购及配送服务货款中扣除乙方当日货款的3倍作为违约赔偿金。</w:t>
      </w:r>
    </w:p>
    <w:p w14:paraId="4823484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lang w:val="en-US" w:eastAsia="zh-CN"/>
        </w:rPr>
        <w:t>2、</w:t>
      </w:r>
      <w:r>
        <w:rPr>
          <w:rFonts w:hint="eastAsia" w:ascii="仿宋" w:hAnsi="仿宋" w:eastAsia="仿宋" w:cs="仿宋"/>
          <w:color w:val="auto"/>
          <w:spacing w:val="-4"/>
          <w:sz w:val="28"/>
          <w:szCs w:val="28"/>
          <w:highlight w:val="none"/>
        </w:rPr>
        <w:t>一般配送要求：</w:t>
      </w:r>
      <w:r>
        <w:rPr>
          <w:rFonts w:hint="eastAsia" w:ascii="仿宋" w:hAnsi="仿宋" w:eastAsia="仿宋" w:cs="仿宋"/>
          <w:snapToGrid w:val="0"/>
          <w:color w:val="auto"/>
          <w:kern w:val="0"/>
          <w:sz w:val="28"/>
          <w:szCs w:val="28"/>
          <w:highlight w:val="none"/>
          <w:lang w:val="en-US" w:eastAsia="zh-CN"/>
        </w:rPr>
        <w:t>米面油每两周配送一次，蛋奶每周配送一次，蔬菜、肉类每天配送一次</w:t>
      </w:r>
      <w:r>
        <w:rPr>
          <w:rFonts w:hint="eastAsia" w:ascii="仿宋" w:hAnsi="仿宋" w:eastAsia="仿宋" w:cs="仿宋"/>
          <w:color w:val="auto"/>
          <w:spacing w:val="-4"/>
          <w:sz w:val="28"/>
          <w:szCs w:val="28"/>
          <w:highlight w:val="none"/>
          <w:lang w:eastAsia="zh-CN"/>
        </w:rPr>
        <w:t>，</w:t>
      </w:r>
      <w:r>
        <w:rPr>
          <w:rFonts w:hint="eastAsia" w:ascii="仿宋" w:hAnsi="仿宋" w:eastAsia="仿宋" w:cs="仿宋"/>
          <w:color w:val="auto"/>
          <w:spacing w:val="-4"/>
          <w:sz w:val="28"/>
          <w:szCs w:val="28"/>
          <w:highlight w:val="none"/>
        </w:rPr>
        <w:t>具体由甲方指定配送时间及地点。因</w:t>
      </w:r>
      <w:r>
        <w:rPr>
          <w:rFonts w:hint="eastAsia" w:ascii="仿宋" w:hAnsi="仿宋" w:eastAsia="仿宋" w:cs="仿宋"/>
          <w:color w:val="auto"/>
          <w:spacing w:val="-3"/>
          <w:sz w:val="28"/>
          <w:szCs w:val="28"/>
          <w:highlight w:val="none"/>
        </w:rPr>
        <w:t>运输装卸过程中造成的损耗（例如包装严重变形、破损、食品污染、变</w:t>
      </w:r>
      <w:r>
        <w:rPr>
          <w:rFonts w:hint="eastAsia" w:ascii="仿宋" w:hAnsi="仿宋" w:eastAsia="仿宋" w:cs="仿宋"/>
          <w:color w:val="auto"/>
          <w:spacing w:val="-4"/>
          <w:sz w:val="28"/>
          <w:szCs w:val="28"/>
          <w:highlight w:val="none"/>
        </w:rPr>
        <w:t>异等）、发现的破损、变异食品必须无条件更换。</w:t>
      </w:r>
    </w:p>
    <w:p w14:paraId="3C3B839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lang w:val="en-US" w:eastAsia="zh-CN"/>
        </w:rPr>
        <w:t>3、</w:t>
      </w:r>
      <w:r>
        <w:rPr>
          <w:rFonts w:hint="eastAsia" w:ascii="仿宋" w:hAnsi="仿宋" w:eastAsia="仿宋" w:cs="仿宋"/>
          <w:color w:val="auto"/>
          <w:spacing w:val="-3"/>
          <w:sz w:val="28"/>
          <w:szCs w:val="28"/>
          <w:highlight w:val="none"/>
        </w:rPr>
        <w:t>紧急供货要求：在收到甲方发出紧急供货通知后，</w:t>
      </w:r>
      <w:r>
        <w:rPr>
          <w:rFonts w:hint="eastAsia" w:ascii="仿宋" w:hAnsi="仿宋" w:eastAsia="仿宋" w:cs="仿宋"/>
          <w:color w:val="auto"/>
          <w:spacing w:val="-4"/>
          <w:sz w:val="28"/>
          <w:szCs w:val="28"/>
          <w:highlight w:val="none"/>
        </w:rPr>
        <w:t>乙方须在规定时间内将原材料</w:t>
      </w:r>
      <w:r>
        <w:rPr>
          <w:rFonts w:hint="eastAsia" w:ascii="仿宋" w:hAnsi="仿宋" w:eastAsia="仿宋" w:cs="仿宋"/>
          <w:color w:val="auto"/>
          <w:spacing w:val="-3"/>
          <w:sz w:val="28"/>
          <w:szCs w:val="28"/>
          <w:highlight w:val="none"/>
        </w:rPr>
        <w:t>配送到位，所送食材必须达到甲方要求，如有三次不在规定时间送达</w:t>
      </w:r>
      <w:r>
        <w:rPr>
          <w:rFonts w:hint="eastAsia" w:ascii="仿宋" w:hAnsi="仿宋" w:eastAsia="仿宋" w:cs="仿宋"/>
          <w:color w:val="auto"/>
          <w:spacing w:val="-4"/>
          <w:sz w:val="28"/>
          <w:szCs w:val="28"/>
          <w:highlight w:val="none"/>
        </w:rPr>
        <w:t>或所送食材达不到</w:t>
      </w:r>
      <w:r>
        <w:rPr>
          <w:rFonts w:hint="eastAsia" w:ascii="仿宋" w:hAnsi="仿宋" w:eastAsia="仿宋" w:cs="仿宋"/>
          <w:color w:val="auto"/>
          <w:spacing w:val="-3"/>
          <w:sz w:val="28"/>
          <w:szCs w:val="28"/>
          <w:highlight w:val="none"/>
        </w:rPr>
        <w:t>甲方要求，甲方有权解除合同，乙方还需承担甲方所</w:t>
      </w:r>
      <w:r>
        <w:rPr>
          <w:rFonts w:hint="eastAsia" w:ascii="仿宋" w:hAnsi="仿宋" w:eastAsia="仿宋" w:cs="仿宋"/>
          <w:color w:val="auto"/>
          <w:spacing w:val="-4"/>
          <w:sz w:val="28"/>
          <w:szCs w:val="28"/>
          <w:highlight w:val="none"/>
        </w:rPr>
        <w:t>有损失。</w:t>
      </w:r>
    </w:p>
    <w:p w14:paraId="45049CC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lang w:val="en-US" w:eastAsia="zh-CN"/>
        </w:rPr>
        <w:t xml:space="preserve">3、配送方式:乙方应单独组织专业配送人员及专用车辆对货物进行统一配送。货物配送必须一次性到位，不得中转。货物配送必须是乙方直接进行配送，不得采取委托、承包、转让、转包给其他公司、区域代理商或者个人进行配送，配送车辆必须采取密闭车辆，并经甲方审验后方可进行配送。 </w:t>
      </w:r>
    </w:p>
    <w:p w14:paraId="1D64E72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lang w:val="en-US" w:eastAsia="zh-CN"/>
        </w:rPr>
        <w:t xml:space="preserve">4、乙方负责所有货物的运输。确保货物安全、完整到达使用地点，运杂费用包含在总价内，包括运输费、保险费、搬运费等。 </w:t>
      </w:r>
    </w:p>
    <w:p w14:paraId="35DC23AB">
      <w:pPr>
        <w:keepNext w:val="0"/>
        <w:keepLines w:val="0"/>
        <w:pageBreakBefore w:val="0"/>
        <w:widowControl/>
        <w:wordWrap/>
        <w:overflowPunct/>
        <w:topLinePunct w:val="0"/>
        <w:autoSpaceDE w:val="0"/>
        <w:autoSpaceDN w:val="0"/>
        <w:bidi w:val="0"/>
        <w:adjustRightInd w:val="0"/>
        <w:snapToGrid w:val="0"/>
        <w:spacing w:line="360" w:lineRule="auto"/>
        <w:ind w:firstLine="548" w:firstLineChars="200"/>
        <w:jc w:val="both"/>
        <w:textAlignment w:val="baseline"/>
        <w:rPr>
          <w:rFonts w:hint="eastAsia" w:eastAsia="宋体"/>
          <w:color w:val="auto"/>
          <w:highlight w:val="none"/>
          <w:lang w:val="en-US" w:eastAsia="zh-CN"/>
        </w:rPr>
      </w:pPr>
      <w:r>
        <w:rPr>
          <w:rFonts w:hint="eastAsia" w:ascii="仿宋" w:hAnsi="仿宋" w:eastAsia="仿宋" w:cs="仿宋"/>
          <w:color w:val="auto"/>
          <w:spacing w:val="-3"/>
          <w:sz w:val="28"/>
          <w:szCs w:val="28"/>
          <w:highlight w:val="none"/>
          <w:lang w:val="en-US" w:eastAsia="zh-CN"/>
        </w:rPr>
        <w:t xml:space="preserve">5、所有货物在运输、搬运、安装的过程中，造成损失的，由乙方为甲方修复或更换。 </w:t>
      </w:r>
      <w:r>
        <w:rPr>
          <w:rFonts w:hint="eastAsia" w:eastAsia="宋体"/>
          <w:color w:val="auto"/>
          <w:highlight w:val="none"/>
          <w:lang w:val="en-US" w:eastAsia="zh-CN"/>
        </w:rPr>
        <w:tab/>
      </w:r>
    </w:p>
    <w:p w14:paraId="337842A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lang w:val="en-US" w:eastAsia="zh-CN"/>
        </w:rPr>
        <w:t xml:space="preserve">6、到货验收:货物到货后，由甲方或甲方下属各项目学校与乙方共同进行外观验收，验收内容包括：外包装的完好性，产品规格、数量及产地与订购清单要求的一致性。 </w:t>
      </w:r>
    </w:p>
    <w:p w14:paraId="2B52D9C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lang w:val="en-US" w:eastAsia="zh-CN"/>
        </w:rPr>
        <w:t>7、产品验收:乙方到达甲方指定现场卸货后，由甲方组织验收，验收合格后，出具收货证明。</w:t>
      </w:r>
    </w:p>
    <w:p w14:paraId="6505033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outlineLvl w:val="9"/>
        <w:rPr>
          <w:rFonts w:hint="eastAsia" w:ascii="仿宋" w:hAnsi="仿宋" w:eastAsia="仿宋" w:cs="仿宋"/>
          <w:b w:val="0"/>
          <w:bCs w:val="0"/>
          <w:color w:val="auto"/>
          <w:spacing w:val="-6"/>
          <w:sz w:val="28"/>
          <w:szCs w:val="28"/>
          <w:highlight w:val="none"/>
          <w:lang w:val="en-US" w:eastAsia="zh-CN"/>
        </w:rPr>
      </w:pPr>
      <w:r>
        <w:rPr>
          <w:rFonts w:hint="eastAsia" w:ascii="仿宋" w:hAnsi="仿宋" w:eastAsia="仿宋" w:cs="仿宋"/>
          <w:b w:val="0"/>
          <w:bCs w:val="0"/>
          <w:color w:val="auto"/>
          <w:spacing w:val="-6"/>
          <w:sz w:val="28"/>
          <w:szCs w:val="28"/>
          <w:highlight w:val="none"/>
          <w:lang w:val="en-US" w:eastAsia="zh-CN"/>
        </w:rPr>
        <w:t>8、验收依据:</w:t>
      </w:r>
    </w:p>
    <w:p w14:paraId="0927717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outlineLvl w:val="9"/>
        <w:rPr>
          <w:rFonts w:hint="eastAsia" w:ascii="仿宋" w:hAnsi="仿宋" w:eastAsia="仿宋" w:cs="仿宋"/>
          <w:color w:val="auto"/>
          <w:spacing w:val="-3"/>
          <w:sz w:val="28"/>
          <w:szCs w:val="28"/>
          <w:highlight w:val="none"/>
          <w:lang w:val="en-US" w:eastAsia="zh-CN"/>
        </w:rPr>
      </w:pPr>
      <w:r>
        <w:rPr>
          <w:rFonts w:hint="eastAsia" w:ascii="仿宋" w:hAnsi="仿宋" w:eastAsia="仿宋" w:cs="仿宋"/>
          <w:b w:val="0"/>
          <w:bCs w:val="0"/>
          <w:color w:val="auto"/>
          <w:spacing w:val="-3"/>
          <w:sz w:val="28"/>
          <w:szCs w:val="28"/>
          <w:highlight w:val="none"/>
          <w:lang w:val="en-US" w:eastAsia="zh-CN"/>
        </w:rPr>
        <w:t>(1</w:t>
      </w:r>
      <w:r>
        <w:rPr>
          <w:rFonts w:hint="eastAsia" w:ascii="仿宋" w:hAnsi="仿宋" w:eastAsia="仿宋" w:cs="仿宋"/>
          <w:color w:val="auto"/>
          <w:spacing w:val="-3"/>
          <w:sz w:val="28"/>
          <w:szCs w:val="28"/>
          <w:highlight w:val="none"/>
          <w:lang w:val="en-US" w:eastAsia="zh-CN"/>
        </w:rPr>
        <w:t>)甲方根据合同文本、合同附件、招标文件、投标文件向各学校下发的验收要求。</w:t>
      </w:r>
    </w:p>
    <w:p w14:paraId="55C171D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outlineLvl w:val="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lang w:val="en-US" w:eastAsia="zh-CN"/>
        </w:rPr>
        <w:t>(2)国内相应的标准、规范。</w:t>
      </w:r>
    </w:p>
    <w:p w14:paraId="038864B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lang w:val="en-US" w:eastAsia="zh-CN"/>
        </w:rPr>
        <w:t>七</w:t>
      </w:r>
      <w:r>
        <w:rPr>
          <w:rFonts w:hint="eastAsia" w:ascii="仿宋" w:hAnsi="仿宋" w:eastAsia="仿宋" w:cs="仿宋"/>
          <w:b/>
          <w:bCs/>
          <w:color w:val="auto"/>
          <w:spacing w:val="-6"/>
          <w:sz w:val="28"/>
          <w:szCs w:val="28"/>
          <w:highlight w:val="none"/>
        </w:rPr>
        <w:t>、质量保证、退出机制及违约责任</w:t>
      </w:r>
    </w:p>
    <w:p w14:paraId="69CBD6A8">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（一）乙方应严格遵守《</w:t>
      </w:r>
      <w:r>
        <w:rPr>
          <w:rFonts w:hint="eastAsia" w:ascii="仿宋" w:hAnsi="仿宋" w:eastAsia="仿宋" w:cs="仿宋"/>
          <w:color w:val="auto"/>
          <w:spacing w:val="-3"/>
          <w:sz w:val="28"/>
          <w:szCs w:val="28"/>
          <w:highlight w:val="none"/>
        </w:rPr>
        <w:t>中华人民共和国食品安全法</w:t>
      </w:r>
      <w:r>
        <w:rPr>
          <w:rFonts w:hint="eastAsia" w:ascii="仿宋" w:hAnsi="仿宋" w:eastAsia="仿宋" w:cs="仿宋"/>
          <w:color w:val="auto"/>
          <w:spacing w:val="-4"/>
          <w:sz w:val="28"/>
          <w:szCs w:val="28"/>
          <w:highlight w:val="none"/>
        </w:rPr>
        <w:t>》等相关规定，所提供的产品是合格安全的产品，一经发现供应以下情况，甲方将立即取消乙方的食材供应资格，乙方承担由此造成</w:t>
      </w:r>
      <w:r>
        <w:rPr>
          <w:rFonts w:hint="eastAsia" w:ascii="仿宋" w:hAnsi="仿宋" w:eastAsia="仿宋" w:cs="仿宋"/>
          <w:color w:val="auto"/>
          <w:spacing w:val="-6"/>
          <w:sz w:val="28"/>
          <w:szCs w:val="28"/>
          <w:highlight w:val="none"/>
        </w:rPr>
        <w:t>的经济责任和法律责任。</w:t>
      </w:r>
    </w:p>
    <w:p w14:paraId="7474B64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1.违反相关法律法规，被市场监管部门吊销食品经营许可证、营业执照；</w:t>
      </w:r>
    </w:p>
    <w:p w14:paraId="3F96BF4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2.所供的食材未按采购标准供货的；</w:t>
      </w:r>
    </w:p>
    <w:p w14:paraId="699EB06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48"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3.违法违纪经营，受农业、市场监督、物价等部门行政处</w:t>
      </w:r>
      <w:r>
        <w:rPr>
          <w:rFonts w:hint="eastAsia" w:ascii="仿宋" w:hAnsi="仿宋" w:eastAsia="仿宋" w:cs="仿宋"/>
          <w:color w:val="auto"/>
          <w:spacing w:val="-4"/>
          <w:sz w:val="28"/>
          <w:szCs w:val="28"/>
          <w:highlight w:val="none"/>
        </w:rPr>
        <w:t>罚并被认定为情节严重的</w:t>
      </w:r>
      <w:r>
        <w:rPr>
          <w:rFonts w:hint="eastAsia" w:ascii="仿宋" w:hAnsi="仿宋" w:eastAsia="仿宋" w:cs="仿宋"/>
          <w:color w:val="auto"/>
          <w:position w:val="1"/>
          <w:sz w:val="28"/>
          <w:szCs w:val="28"/>
          <w:highlight w:val="none"/>
        </w:rPr>
        <w:t>。</w:t>
      </w:r>
    </w:p>
    <w:p w14:paraId="2C126F6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4.发生食品安全事故或在合同期内被行政处罚的；</w:t>
      </w:r>
    </w:p>
    <w:p w14:paraId="7FF8271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5.存在采购法律法规禁止生产经营的食材、腐败</w:t>
      </w:r>
      <w:r>
        <w:rPr>
          <w:rFonts w:hint="eastAsia" w:ascii="仿宋" w:hAnsi="仿宋" w:eastAsia="仿宋" w:cs="仿宋"/>
          <w:color w:val="auto"/>
          <w:spacing w:val="-4"/>
          <w:sz w:val="28"/>
          <w:szCs w:val="28"/>
          <w:highlight w:val="none"/>
        </w:rPr>
        <w:t>变质、油脂酸败、霉变、生虫、污</w:t>
      </w:r>
      <w:r>
        <w:rPr>
          <w:rFonts w:hint="eastAsia" w:ascii="仿宋" w:hAnsi="仿宋" w:eastAsia="仿宋" w:cs="仿宋"/>
          <w:color w:val="auto"/>
          <w:spacing w:val="-3"/>
          <w:sz w:val="28"/>
          <w:szCs w:val="28"/>
          <w:highlight w:val="none"/>
        </w:rPr>
        <w:t>秽不洁、混有异物或者其他感官性状异常，对人体</w:t>
      </w:r>
      <w:r>
        <w:rPr>
          <w:rFonts w:hint="eastAsia" w:ascii="仿宋" w:hAnsi="仿宋" w:eastAsia="仿宋" w:cs="仿宋"/>
          <w:color w:val="auto"/>
          <w:spacing w:val="-4"/>
          <w:sz w:val="28"/>
          <w:szCs w:val="28"/>
          <w:highlight w:val="none"/>
        </w:rPr>
        <w:t>健康有害的；</w:t>
      </w:r>
    </w:p>
    <w:p w14:paraId="41D0D70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6.擅自转包、分包食材供应业务或存在擅自更换</w:t>
      </w:r>
      <w:r>
        <w:rPr>
          <w:rFonts w:hint="eastAsia" w:ascii="仿宋" w:hAnsi="仿宋" w:eastAsia="仿宋" w:cs="仿宋"/>
          <w:color w:val="auto"/>
          <w:spacing w:val="-4"/>
          <w:sz w:val="28"/>
          <w:szCs w:val="28"/>
          <w:highlight w:val="none"/>
        </w:rPr>
        <w:t>履约人等违约行为；</w:t>
      </w:r>
    </w:p>
    <w:p w14:paraId="763B05C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7.</w:t>
      </w:r>
      <w:r>
        <w:rPr>
          <w:rFonts w:hint="eastAsia" w:ascii="仿宋" w:hAnsi="仿宋" w:eastAsia="仿宋" w:cs="仿宋"/>
          <w:color w:val="auto"/>
          <w:spacing w:val="-3"/>
          <w:sz w:val="28"/>
          <w:szCs w:val="28"/>
          <w:highlight w:val="none"/>
          <w:lang w:val="en-US" w:eastAsia="zh-CN"/>
        </w:rPr>
        <w:t>乙方</w:t>
      </w:r>
      <w:r>
        <w:rPr>
          <w:rFonts w:hint="eastAsia" w:ascii="仿宋" w:hAnsi="仿宋" w:eastAsia="仿宋" w:cs="仿宋"/>
          <w:color w:val="auto"/>
          <w:spacing w:val="-3"/>
          <w:sz w:val="28"/>
          <w:szCs w:val="28"/>
          <w:highlight w:val="none"/>
        </w:rPr>
        <w:t>在一个合同期内，被学校投诉五次</w:t>
      </w:r>
      <w:r>
        <w:rPr>
          <w:rFonts w:hint="eastAsia" w:ascii="仿宋" w:hAnsi="仿宋" w:eastAsia="仿宋" w:cs="仿宋"/>
          <w:color w:val="auto"/>
          <w:spacing w:val="-4"/>
          <w:sz w:val="28"/>
          <w:szCs w:val="28"/>
          <w:highlight w:val="none"/>
        </w:rPr>
        <w:t>，改正态度不积极的；在配送过程中</w:t>
      </w:r>
      <w:r>
        <w:rPr>
          <w:rFonts w:hint="eastAsia" w:ascii="仿宋" w:hAnsi="仿宋" w:eastAsia="仿宋" w:cs="仿宋"/>
          <w:color w:val="auto"/>
          <w:spacing w:val="-3"/>
          <w:sz w:val="28"/>
          <w:szCs w:val="28"/>
          <w:highlight w:val="none"/>
        </w:rPr>
        <w:t>企业员工与学校管理人员或学校食堂从业人员发生纠纷争执、打</w:t>
      </w:r>
      <w:r>
        <w:rPr>
          <w:rFonts w:hint="eastAsia" w:ascii="仿宋" w:hAnsi="仿宋" w:eastAsia="仿宋" w:cs="仿宋"/>
          <w:color w:val="auto"/>
          <w:spacing w:val="-4"/>
          <w:sz w:val="28"/>
          <w:szCs w:val="28"/>
          <w:highlight w:val="none"/>
        </w:rPr>
        <w:t>架斗殴造成严重后果的</w:t>
      </w:r>
      <w:r>
        <w:rPr>
          <w:rFonts w:hint="eastAsia" w:ascii="仿宋" w:hAnsi="仿宋" w:eastAsia="仿宋" w:cs="仿宋"/>
          <w:color w:val="auto"/>
          <w:spacing w:val="-4"/>
          <w:sz w:val="28"/>
          <w:szCs w:val="28"/>
          <w:highlight w:val="none"/>
          <w:lang w:eastAsia="zh-CN"/>
        </w:rPr>
        <w:t>；</w:t>
      </w:r>
      <w:r>
        <w:rPr>
          <w:rFonts w:hint="eastAsia" w:ascii="仿宋" w:hAnsi="仿宋" w:eastAsia="仿宋" w:cs="仿宋"/>
          <w:color w:val="auto"/>
          <w:spacing w:val="-5"/>
          <w:sz w:val="28"/>
          <w:szCs w:val="28"/>
          <w:highlight w:val="none"/>
        </w:rPr>
        <w:t>对相关管理人员进行围攻、威胁，影响正常工作造成了恶劣影响的；违反在履行合同</w:t>
      </w:r>
      <w:r>
        <w:rPr>
          <w:rFonts w:hint="eastAsia" w:ascii="仿宋" w:hAnsi="仿宋" w:eastAsia="仿宋" w:cs="仿宋"/>
          <w:color w:val="auto"/>
          <w:spacing w:val="-3"/>
          <w:sz w:val="28"/>
          <w:szCs w:val="28"/>
          <w:highlight w:val="none"/>
        </w:rPr>
        <w:t>期间，因发生交通事故、道路外交通事故或意外事件而有致人死</w:t>
      </w:r>
      <w:r>
        <w:rPr>
          <w:rFonts w:hint="eastAsia" w:ascii="仿宋" w:hAnsi="仿宋" w:eastAsia="仿宋" w:cs="仿宋"/>
          <w:color w:val="auto"/>
          <w:spacing w:val="-4"/>
          <w:sz w:val="28"/>
          <w:szCs w:val="28"/>
          <w:highlight w:val="none"/>
        </w:rPr>
        <w:t>亡或致人严重伤残事故</w:t>
      </w:r>
      <w:r>
        <w:rPr>
          <w:rFonts w:hint="eastAsia" w:ascii="仿宋" w:hAnsi="仿宋" w:eastAsia="仿宋" w:cs="仿宋"/>
          <w:color w:val="auto"/>
          <w:spacing w:val="-7"/>
          <w:sz w:val="28"/>
          <w:szCs w:val="28"/>
          <w:highlight w:val="none"/>
        </w:rPr>
        <w:t>的；</w:t>
      </w:r>
    </w:p>
    <w:p w14:paraId="6B5C49C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8.出现其他违反法律法规及有关规定的行为，不</w:t>
      </w:r>
      <w:r>
        <w:rPr>
          <w:rFonts w:hint="eastAsia" w:ascii="仿宋" w:hAnsi="仿宋" w:eastAsia="仿宋" w:cs="仿宋"/>
          <w:color w:val="auto"/>
          <w:spacing w:val="-4"/>
          <w:sz w:val="28"/>
          <w:szCs w:val="28"/>
          <w:highlight w:val="none"/>
        </w:rPr>
        <w:t>适合继续配送的。</w:t>
      </w:r>
    </w:p>
    <w:p w14:paraId="08C6BE3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4"/>
          <w:sz w:val="28"/>
          <w:szCs w:val="28"/>
          <w:highlight w:val="none"/>
          <w:lang w:val="en-US" w:eastAsia="zh-CN"/>
        </w:rPr>
        <w:t>一</w:t>
      </w:r>
      <w:r>
        <w:rPr>
          <w:rFonts w:hint="eastAsia" w:ascii="仿宋" w:hAnsi="仿宋" w:eastAsia="仿宋" w:cs="仿宋"/>
          <w:color w:val="auto"/>
          <w:spacing w:val="-4"/>
          <w:sz w:val="28"/>
          <w:szCs w:val="28"/>
          <w:highlight w:val="none"/>
        </w:rPr>
        <w:t>）乙方所提供产品必须是正规企业生产的。</w:t>
      </w:r>
    </w:p>
    <w:p w14:paraId="7D50DD5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4"/>
          <w:sz w:val="28"/>
          <w:szCs w:val="28"/>
          <w:highlight w:val="none"/>
          <w:lang w:val="en-US" w:eastAsia="zh-CN"/>
        </w:rPr>
        <w:t>二</w:t>
      </w:r>
      <w:r>
        <w:rPr>
          <w:rFonts w:hint="eastAsia" w:ascii="仿宋" w:hAnsi="仿宋" w:eastAsia="仿宋" w:cs="仿宋"/>
          <w:color w:val="auto"/>
          <w:spacing w:val="-4"/>
          <w:sz w:val="28"/>
          <w:szCs w:val="28"/>
          <w:highlight w:val="none"/>
        </w:rPr>
        <w:t>）乙方提供产品必须是乙方所响应产品的最新产品，且经过国家法定部门办理正常生产、流通审批手续。</w:t>
      </w:r>
    </w:p>
    <w:p w14:paraId="00CB30D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4"/>
          <w:sz w:val="28"/>
          <w:szCs w:val="28"/>
          <w:highlight w:val="none"/>
          <w:lang w:val="en-US" w:eastAsia="zh-CN"/>
        </w:rPr>
        <w:t>三</w:t>
      </w:r>
      <w:r>
        <w:rPr>
          <w:rFonts w:hint="eastAsia" w:ascii="仿宋" w:hAnsi="仿宋" w:eastAsia="仿宋" w:cs="仿宋"/>
          <w:color w:val="auto"/>
          <w:spacing w:val="-4"/>
          <w:sz w:val="28"/>
          <w:szCs w:val="28"/>
          <w:highlight w:val="none"/>
        </w:rPr>
        <w:t>）乙方所供产品是经过国家相关部门认可的检验或检测机构检验、注册、准许市场销售的合法产品。</w:t>
      </w:r>
    </w:p>
    <w:p w14:paraId="761819F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4"/>
          <w:sz w:val="28"/>
          <w:szCs w:val="28"/>
          <w:highlight w:val="none"/>
          <w:lang w:val="en-US" w:eastAsia="zh-CN"/>
        </w:rPr>
        <w:t>四</w:t>
      </w:r>
      <w:r>
        <w:rPr>
          <w:rFonts w:hint="eastAsia" w:ascii="仿宋" w:hAnsi="仿宋" w:eastAsia="仿宋" w:cs="仿宋"/>
          <w:color w:val="auto"/>
          <w:spacing w:val="-4"/>
          <w:sz w:val="28"/>
          <w:szCs w:val="28"/>
          <w:highlight w:val="none"/>
        </w:rPr>
        <w:t>）产品质量保证措施完善，符合国家相关标准。</w:t>
      </w:r>
    </w:p>
    <w:p w14:paraId="5BECA36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w:t>
      </w:r>
      <w:r>
        <w:rPr>
          <w:rFonts w:hint="eastAsia" w:ascii="仿宋" w:hAnsi="仿宋" w:eastAsia="仿宋" w:cs="仿宋"/>
          <w:color w:val="auto"/>
          <w:spacing w:val="-5"/>
          <w:sz w:val="28"/>
          <w:szCs w:val="28"/>
          <w:highlight w:val="none"/>
          <w:lang w:val="en-US" w:eastAsia="zh-CN"/>
        </w:rPr>
        <w:t>五</w:t>
      </w:r>
      <w:r>
        <w:rPr>
          <w:rFonts w:hint="eastAsia" w:ascii="仿宋" w:hAnsi="仿宋" w:eastAsia="仿宋" w:cs="仿宋"/>
          <w:color w:val="auto"/>
          <w:spacing w:val="-5"/>
          <w:sz w:val="28"/>
          <w:szCs w:val="28"/>
          <w:highlight w:val="none"/>
        </w:rPr>
        <w:t>）产品的质保期符合国家标准。</w:t>
      </w:r>
    </w:p>
    <w:p w14:paraId="1E1E240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4"/>
          <w:sz w:val="28"/>
          <w:szCs w:val="28"/>
          <w:highlight w:val="none"/>
          <w:lang w:val="en-US" w:eastAsia="zh-CN"/>
        </w:rPr>
        <w:t>六</w:t>
      </w:r>
      <w:r>
        <w:rPr>
          <w:rFonts w:hint="eastAsia" w:ascii="仿宋" w:hAnsi="仿宋" w:eastAsia="仿宋" w:cs="仿宋"/>
          <w:color w:val="auto"/>
          <w:spacing w:val="-4"/>
          <w:sz w:val="28"/>
          <w:szCs w:val="28"/>
          <w:highlight w:val="none"/>
        </w:rPr>
        <w:t>）若因乙方送货不及时或单方终止合同（不可抗力除外）导致甲方学校不能正常供餐，乙方应承担一切经济责任和法律责任。</w:t>
      </w:r>
    </w:p>
    <w:p w14:paraId="681C1A3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九、合同争议解决的方式</w:t>
      </w:r>
    </w:p>
    <w:p w14:paraId="3ACEFEB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本合同解释权归</w:t>
      </w:r>
      <w:r>
        <w:rPr>
          <w:rFonts w:hint="eastAsia" w:ascii="仿宋" w:hAnsi="仿宋" w:eastAsia="仿宋" w:cs="仿宋"/>
          <w:color w:val="auto"/>
          <w:spacing w:val="-3"/>
          <w:sz w:val="28"/>
          <w:szCs w:val="28"/>
          <w:highlight w:val="none"/>
          <w:lang w:val="en-US" w:eastAsia="zh-CN"/>
        </w:rPr>
        <w:t>甲方</w:t>
      </w:r>
      <w:r>
        <w:rPr>
          <w:rFonts w:hint="eastAsia" w:ascii="仿宋" w:hAnsi="仿宋" w:eastAsia="仿宋" w:cs="仿宋"/>
          <w:color w:val="auto"/>
          <w:spacing w:val="-3"/>
          <w:sz w:val="28"/>
          <w:szCs w:val="28"/>
          <w:highlight w:val="none"/>
        </w:rPr>
        <w:t>所有；本合同在履行过程中发生的争</w:t>
      </w:r>
      <w:r>
        <w:rPr>
          <w:rFonts w:hint="eastAsia" w:ascii="仿宋" w:hAnsi="仿宋" w:eastAsia="仿宋" w:cs="仿宋"/>
          <w:color w:val="auto"/>
          <w:spacing w:val="-4"/>
          <w:sz w:val="28"/>
          <w:szCs w:val="28"/>
          <w:highlight w:val="none"/>
        </w:rPr>
        <w:t>议，由甲、乙双方协商</w:t>
      </w:r>
      <w:r>
        <w:rPr>
          <w:rFonts w:hint="eastAsia" w:ascii="仿宋" w:hAnsi="仿宋" w:eastAsia="仿宋" w:cs="仿宋"/>
          <w:color w:val="auto"/>
          <w:spacing w:val="-3"/>
          <w:sz w:val="28"/>
          <w:szCs w:val="28"/>
          <w:highlight w:val="none"/>
        </w:rPr>
        <w:t>解决，协商不成的依法向甲方所在地人民法院</w:t>
      </w:r>
      <w:r>
        <w:rPr>
          <w:rFonts w:hint="eastAsia" w:ascii="仿宋" w:hAnsi="仿宋" w:eastAsia="仿宋" w:cs="仿宋"/>
          <w:color w:val="auto"/>
          <w:spacing w:val="-4"/>
          <w:sz w:val="28"/>
          <w:szCs w:val="28"/>
          <w:highlight w:val="none"/>
        </w:rPr>
        <w:t>起诉。</w:t>
      </w:r>
    </w:p>
    <w:p w14:paraId="61B76F8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十、合同生效</w:t>
      </w:r>
    </w:p>
    <w:p w14:paraId="6D013AA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lang w:val="en-US" w:eastAsia="zh-CN"/>
        </w:rPr>
        <w:t>1</w:t>
      </w:r>
      <w:r>
        <w:rPr>
          <w:rFonts w:hint="eastAsia" w:ascii="仿宋" w:hAnsi="仿宋" w:eastAsia="仿宋" w:cs="仿宋"/>
          <w:color w:val="auto"/>
          <w:spacing w:val="-3"/>
          <w:sz w:val="28"/>
          <w:szCs w:val="28"/>
          <w:highlight w:val="none"/>
        </w:rPr>
        <w:t>.本合同须经甲、乙双方的法定代表人（授权代理人</w:t>
      </w:r>
      <w:r>
        <w:rPr>
          <w:rFonts w:hint="eastAsia" w:ascii="仿宋" w:hAnsi="仿宋" w:eastAsia="仿宋" w:cs="仿宋"/>
          <w:color w:val="auto"/>
          <w:spacing w:val="-4"/>
          <w:sz w:val="28"/>
          <w:szCs w:val="28"/>
          <w:highlight w:val="none"/>
        </w:rPr>
        <w:t>）在合同书上签字并加盖本单位公章</w:t>
      </w:r>
      <w:r>
        <w:rPr>
          <w:rFonts w:hint="eastAsia" w:ascii="仿宋" w:hAnsi="仿宋" w:eastAsia="仿宋" w:cs="仿宋"/>
          <w:color w:val="auto"/>
          <w:spacing w:val="-4"/>
          <w:sz w:val="28"/>
          <w:szCs w:val="28"/>
          <w:highlight w:val="none"/>
          <w:lang w:val="en-US" w:eastAsia="zh-CN"/>
        </w:rPr>
        <w:t>并经采购监督部门备案</w:t>
      </w:r>
      <w:r>
        <w:rPr>
          <w:rFonts w:hint="eastAsia" w:ascii="仿宋" w:hAnsi="仿宋" w:eastAsia="仿宋" w:cs="仿宋"/>
          <w:color w:val="auto"/>
          <w:spacing w:val="-4"/>
          <w:sz w:val="28"/>
          <w:szCs w:val="28"/>
          <w:highlight w:val="none"/>
        </w:rPr>
        <w:t>后正式生效。</w:t>
      </w:r>
    </w:p>
    <w:p w14:paraId="456CEB3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lang w:val="en-US" w:eastAsia="zh-CN"/>
        </w:rPr>
        <w:t>2</w:t>
      </w:r>
      <w:r>
        <w:rPr>
          <w:rFonts w:hint="eastAsia" w:ascii="仿宋" w:hAnsi="仿宋" w:eastAsia="仿宋" w:cs="仿宋"/>
          <w:color w:val="auto"/>
          <w:spacing w:val="-3"/>
          <w:sz w:val="28"/>
          <w:szCs w:val="28"/>
          <w:highlight w:val="none"/>
        </w:rPr>
        <w:t>.合同生效后，甲、乙双方须严格执行本合同条</w:t>
      </w:r>
      <w:r>
        <w:rPr>
          <w:rFonts w:hint="eastAsia" w:ascii="仿宋" w:hAnsi="仿宋" w:eastAsia="仿宋" w:cs="仿宋"/>
          <w:color w:val="auto"/>
          <w:spacing w:val="-4"/>
          <w:sz w:val="28"/>
          <w:szCs w:val="28"/>
          <w:highlight w:val="none"/>
        </w:rPr>
        <w:t>款的规定，全面履行合同，违者按《中华人民共和国民法典》的有关规定承担相应责任。</w:t>
      </w:r>
    </w:p>
    <w:p w14:paraId="378B07E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lang w:val="en-US" w:eastAsia="zh-CN"/>
        </w:rPr>
        <w:t>3</w:t>
      </w:r>
      <w:r>
        <w:rPr>
          <w:rFonts w:hint="eastAsia" w:ascii="仿宋" w:hAnsi="仿宋" w:eastAsia="仿宋" w:cs="仿宋"/>
          <w:color w:val="auto"/>
          <w:spacing w:val="-3"/>
          <w:sz w:val="28"/>
          <w:szCs w:val="28"/>
          <w:highlight w:val="none"/>
        </w:rPr>
        <w:t>.本合同一式</w:t>
      </w:r>
      <w:r>
        <w:rPr>
          <w:rFonts w:hint="eastAsia" w:ascii="仿宋" w:hAnsi="仿宋" w:eastAsia="仿宋" w:cs="仿宋"/>
          <w:color w:val="auto"/>
          <w:spacing w:val="-3"/>
          <w:sz w:val="28"/>
          <w:szCs w:val="28"/>
          <w:highlight w:val="none"/>
          <w:lang w:val="en-US" w:eastAsia="zh-CN"/>
        </w:rPr>
        <w:t>肆</w:t>
      </w:r>
      <w:r>
        <w:rPr>
          <w:rFonts w:hint="eastAsia" w:ascii="仿宋" w:hAnsi="仿宋" w:eastAsia="仿宋" w:cs="仿宋"/>
          <w:color w:val="auto"/>
          <w:spacing w:val="-3"/>
          <w:sz w:val="28"/>
          <w:szCs w:val="28"/>
          <w:highlight w:val="none"/>
        </w:rPr>
        <w:t>份，甲、乙双方各贰份</w:t>
      </w:r>
      <w:r>
        <w:rPr>
          <w:rFonts w:hint="eastAsia" w:ascii="仿宋" w:hAnsi="仿宋" w:eastAsia="仿宋" w:cs="仿宋"/>
          <w:color w:val="auto"/>
          <w:spacing w:val="-4"/>
          <w:sz w:val="28"/>
          <w:szCs w:val="28"/>
          <w:highlight w:val="none"/>
        </w:rPr>
        <w:t>。</w:t>
      </w:r>
    </w:p>
    <w:p w14:paraId="3AE2E92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outlineLvl w:val="9"/>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lang w:val="en-US" w:eastAsia="zh-CN"/>
        </w:rPr>
        <w:t>4</w:t>
      </w:r>
      <w:r>
        <w:rPr>
          <w:rFonts w:hint="eastAsia" w:ascii="仿宋" w:hAnsi="仿宋" w:eastAsia="仿宋" w:cs="仿宋"/>
          <w:color w:val="auto"/>
          <w:spacing w:val="-4"/>
          <w:sz w:val="28"/>
          <w:szCs w:val="28"/>
          <w:highlight w:val="none"/>
        </w:rPr>
        <w:t>.本合同如有未尽事宜，甲、乙双方协商解决。</w:t>
      </w:r>
    </w:p>
    <w:p w14:paraId="4D4C9B42">
      <w:pPr>
        <w:keepNext w:val="0"/>
        <w:keepLines/>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甲方：</w:t>
      </w:r>
      <w:r>
        <w:rPr>
          <w:rFonts w:hint="eastAsia" w:ascii="仿宋" w:hAnsi="仿宋" w:eastAsia="仿宋" w:cs="仿宋"/>
          <w:color w:val="auto"/>
          <w:spacing w:val="-3"/>
          <w:sz w:val="28"/>
          <w:szCs w:val="28"/>
          <w:highlight w:val="none"/>
          <w:lang w:val="en-US" w:eastAsia="zh-CN"/>
        </w:rPr>
        <w:t xml:space="preserve">                </w:t>
      </w:r>
      <w:r>
        <w:rPr>
          <w:rFonts w:hint="eastAsia" w:ascii="仿宋" w:hAnsi="仿宋" w:eastAsia="仿宋" w:cs="仿宋"/>
          <w:color w:val="auto"/>
          <w:spacing w:val="-3"/>
          <w:sz w:val="28"/>
          <w:szCs w:val="28"/>
          <w:highlight w:val="none"/>
        </w:rPr>
        <w:t>（盖章）         乙方</w:t>
      </w:r>
      <w:r>
        <w:rPr>
          <w:rFonts w:hint="eastAsia" w:ascii="仿宋" w:hAnsi="仿宋" w:eastAsia="仿宋" w:cs="仿宋"/>
          <w:color w:val="auto"/>
          <w:spacing w:val="-16"/>
          <w:sz w:val="28"/>
          <w:szCs w:val="28"/>
          <w:highlight w:val="none"/>
        </w:rPr>
        <w:t>：</w:t>
      </w: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pacing w:val="-16"/>
          <w:sz w:val="28"/>
          <w:szCs w:val="28"/>
          <w:highlight w:val="none"/>
        </w:rPr>
        <w:t>（</w:t>
      </w:r>
      <w:r>
        <w:rPr>
          <w:rFonts w:hint="eastAsia" w:ascii="仿宋" w:hAnsi="仿宋" w:eastAsia="仿宋" w:cs="仿宋"/>
          <w:color w:val="auto"/>
          <w:spacing w:val="-3"/>
          <w:sz w:val="28"/>
          <w:szCs w:val="28"/>
          <w:highlight w:val="none"/>
        </w:rPr>
        <w:t>盖章）</w:t>
      </w:r>
    </w:p>
    <w:p w14:paraId="28B5D46B">
      <w:pPr>
        <w:keepNext w:val="0"/>
        <w:keepLines/>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z w:val="28"/>
          <w:szCs w:val="28"/>
          <w:highlight w:val="none"/>
        </w:rPr>
      </w:pPr>
    </w:p>
    <w:p w14:paraId="4D4A22F8">
      <w:pPr>
        <w:keepNext w:val="0"/>
        <w:keepLines/>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法定代表人：                           法定代表人：</w:t>
      </w:r>
    </w:p>
    <w:p w14:paraId="3BCB90F3">
      <w:pPr>
        <w:keepNext w:val="0"/>
        <w:keepLines/>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代理人</w:t>
      </w:r>
      <w:r>
        <w:rPr>
          <w:rFonts w:hint="eastAsia" w:ascii="仿宋" w:hAnsi="仿宋" w:eastAsia="仿宋" w:cs="仿宋"/>
          <w:color w:val="auto"/>
          <w:spacing w:val="-24"/>
          <w:sz w:val="28"/>
          <w:szCs w:val="28"/>
          <w:highlight w:val="none"/>
        </w:rPr>
        <w:t>：（</w:t>
      </w:r>
      <w:r>
        <w:rPr>
          <w:rFonts w:hint="eastAsia" w:ascii="仿宋" w:hAnsi="仿宋" w:eastAsia="仿宋" w:cs="仿宋"/>
          <w:color w:val="auto"/>
          <w:spacing w:val="4"/>
          <w:sz w:val="28"/>
          <w:szCs w:val="28"/>
          <w:highlight w:val="none"/>
        </w:rPr>
        <w:t xml:space="preserve">签字）                   </w:t>
      </w:r>
      <w:r>
        <w:rPr>
          <w:rFonts w:hint="eastAsia" w:ascii="仿宋" w:hAnsi="仿宋" w:eastAsia="仿宋" w:cs="仿宋"/>
          <w:color w:val="auto"/>
          <w:spacing w:val="3"/>
          <w:sz w:val="28"/>
          <w:szCs w:val="28"/>
          <w:highlight w:val="none"/>
        </w:rPr>
        <w:t xml:space="preserve">  代理人</w:t>
      </w:r>
      <w:r>
        <w:rPr>
          <w:rFonts w:hint="eastAsia" w:ascii="仿宋" w:hAnsi="仿宋" w:eastAsia="仿宋" w:cs="仿宋"/>
          <w:color w:val="auto"/>
          <w:spacing w:val="-24"/>
          <w:sz w:val="28"/>
          <w:szCs w:val="28"/>
          <w:highlight w:val="none"/>
        </w:rPr>
        <w:t>：（</w:t>
      </w:r>
      <w:r>
        <w:rPr>
          <w:rFonts w:hint="eastAsia" w:ascii="仿宋" w:hAnsi="仿宋" w:eastAsia="仿宋" w:cs="仿宋"/>
          <w:color w:val="auto"/>
          <w:spacing w:val="3"/>
          <w:sz w:val="28"/>
          <w:szCs w:val="28"/>
          <w:highlight w:val="none"/>
        </w:rPr>
        <w:t>签字）</w:t>
      </w:r>
    </w:p>
    <w:p w14:paraId="22545D3E">
      <w:pPr>
        <w:keepNext w:val="0"/>
        <w:keepLines/>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9"/>
          <w:sz w:val="28"/>
          <w:szCs w:val="28"/>
          <w:highlight w:val="none"/>
        </w:rPr>
        <w:t>电话：</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9"/>
          <w:sz w:val="28"/>
          <w:szCs w:val="28"/>
          <w:highlight w:val="none"/>
        </w:rPr>
        <w:t>电话：</w:t>
      </w:r>
    </w:p>
    <w:p w14:paraId="60E3A07B">
      <w:pPr>
        <w:keepNext w:val="0"/>
        <w:keepLines/>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开户行：                               开户行：</w:t>
      </w:r>
    </w:p>
    <w:p w14:paraId="4512521A">
      <w:pPr>
        <w:keepNext w:val="0"/>
        <w:keepLines/>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账号：</w:t>
      </w:r>
      <w:r>
        <w:rPr>
          <w:rFonts w:hint="eastAsia" w:ascii="仿宋" w:hAnsi="仿宋" w:eastAsia="仿宋" w:cs="仿宋"/>
          <w:color w:val="auto"/>
          <w:spacing w:val="2"/>
          <w:sz w:val="28"/>
          <w:szCs w:val="28"/>
          <w:highlight w:val="none"/>
        </w:rPr>
        <w:t xml:space="preserve">                               </w:t>
      </w:r>
      <w:r>
        <w:rPr>
          <w:rFonts w:hint="eastAsia" w:ascii="仿宋" w:hAnsi="仿宋" w:eastAsia="仿宋" w:cs="仿宋"/>
          <w:color w:val="auto"/>
          <w:spacing w:val="2"/>
          <w:sz w:val="28"/>
          <w:szCs w:val="28"/>
          <w:highlight w:val="none"/>
          <w:lang w:val="en-US" w:eastAsia="zh-CN"/>
        </w:rPr>
        <w:t xml:space="preserve"> </w:t>
      </w:r>
      <w:r>
        <w:rPr>
          <w:rFonts w:hint="eastAsia" w:ascii="仿宋" w:hAnsi="仿宋" w:eastAsia="仿宋" w:cs="仿宋"/>
          <w:color w:val="auto"/>
          <w:spacing w:val="-7"/>
          <w:sz w:val="28"/>
          <w:szCs w:val="28"/>
          <w:highlight w:val="none"/>
        </w:rPr>
        <w:t>账号：</w:t>
      </w:r>
    </w:p>
    <w:p w14:paraId="57CB3E94">
      <w:pPr>
        <w:keepNext w:val="0"/>
        <w:keepLines/>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7"/>
          <w:sz w:val="28"/>
          <w:szCs w:val="28"/>
          <w:highlight w:val="none"/>
        </w:rPr>
      </w:pPr>
      <w:r>
        <w:rPr>
          <w:rFonts w:hint="eastAsia" w:ascii="仿宋" w:hAnsi="仿宋" w:eastAsia="仿宋" w:cs="仿宋"/>
          <w:color w:val="auto"/>
          <w:spacing w:val="-17"/>
          <w:sz w:val="28"/>
          <w:szCs w:val="28"/>
          <w:highlight w:val="none"/>
        </w:rPr>
        <w:t>日期：</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17"/>
          <w:sz w:val="28"/>
          <w:szCs w:val="28"/>
          <w:highlight w:val="none"/>
        </w:rPr>
        <w:t>年</w:t>
      </w: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pacing w:val="-17"/>
          <w:sz w:val="28"/>
          <w:szCs w:val="28"/>
          <w:highlight w:val="none"/>
        </w:rPr>
        <w:t>月     日</w:t>
      </w: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pacing w:val="6"/>
          <w:sz w:val="28"/>
          <w:szCs w:val="28"/>
          <w:highlight w:val="none"/>
          <w:lang w:val="en-US" w:eastAsia="zh-CN"/>
        </w:rPr>
        <w:t xml:space="preserve"> </w:t>
      </w: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pacing w:val="-17"/>
          <w:sz w:val="28"/>
          <w:szCs w:val="28"/>
          <w:highlight w:val="none"/>
        </w:rPr>
        <w:t>日期：</w:t>
      </w:r>
      <w:r>
        <w:rPr>
          <w:rFonts w:hint="eastAsia" w:ascii="仿宋" w:hAnsi="仿宋" w:eastAsia="仿宋" w:cs="仿宋"/>
          <w:color w:val="auto"/>
          <w:spacing w:val="4"/>
          <w:sz w:val="28"/>
          <w:szCs w:val="28"/>
          <w:highlight w:val="none"/>
        </w:rPr>
        <w:t xml:space="preserve">   </w:t>
      </w:r>
      <w:r>
        <w:rPr>
          <w:rFonts w:hint="eastAsia" w:ascii="仿宋" w:hAnsi="仿宋" w:eastAsia="仿宋" w:cs="仿宋"/>
          <w:color w:val="auto"/>
          <w:spacing w:val="-17"/>
          <w:sz w:val="28"/>
          <w:szCs w:val="28"/>
          <w:highlight w:val="none"/>
        </w:rPr>
        <w:t>年</w:t>
      </w:r>
      <w:r>
        <w:rPr>
          <w:rFonts w:hint="eastAsia" w:ascii="仿宋" w:hAnsi="仿宋" w:eastAsia="仿宋" w:cs="仿宋"/>
          <w:color w:val="auto"/>
          <w:spacing w:val="8"/>
          <w:sz w:val="28"/>
          <w:szCs w:val="28"/>
          <w:highlight w:val="none"/>
        </w:rPr>
        <w:t xml:space="preserve">   </w:t>
      </w:r>
      <w:r>
        <w:rPr>
          <w:rFonts w:hint="eastAsia" w:ascii="仿宋" w:hAnsi="仿宋" w:eastAsia="仿宋" w:cs="仿宋"/>
          <w:color w:val="auto"/>
          <w:spacing w:val="-17"/>
          <w:sz w:val="28"/>
          <w:szCs w:val="28"/>
          <w:highlight w:val="none"/>
        </w:rPr>
        <w:t>月</w:t>
      </w:r>
      <w:r>
        <w:rPr>
          <w:rFonts w:hint="eastAsia" w:ascii="仿宋" w:hAnsi="仿宋" w:eastAsia="仿宋" w:cs="仿宋"/>
          <w:color w:val="auto"/>
          <w:spacing w:val="21"/>
          <w:sz w:val="28"/>
          <w:szCs w:val="28"/>
          <w:highlight w:val="none"/>
        </w:rPr>
        <w:t xml:space="preserve">   </w:t>
      </w:r>
      <w:r>
        <w:rPr>
          <w:rFonts w:hint="eastAsia" w:ascii="仿宋" w:hAnsi="仿宋" w:eastAsia="仿宋" w:cs="仿宋"/>
          <w:color w:val="auto"/>
          <w:spacing w:val="-17"/>
          <w:sz w:val="28"/>
          <w:szCs w:val="28"/>
          <w:highlight w:val="none"/>
        </w:rPr>
        <w:t>日</w:t>
      </w:r>
    </w:p>
    <w:p w14:paraId="5DE3B8C8">
      <w:pPr>
        <w:rPr>
          <w:rFonts w:hint="eastAsia" w:ascii="仿宋" w:hAnsi="仿宋" w:eastAsia="仿宋" w:cs="仿宋"/>
          <w:color w:val="auto"/>
          <w:spacing w:val="-17"/>
          <w:sz w:val="28"/>
          <w:szCs w:val="28"/>
          <w:highlight w:val="none"/>
        </w:rPr>
      </w:pPr>
      <w:r>
        <w:rPr>
          <w:rFonts w:hint="eastAsia" w:ascii="仿宋" w:hAnsi="仿宋" w:eastAsia="仿宋" w:cs="仿宋"/>
          <w:color w:val="auto"/>
          <w:spacing w:val="-17"/>
          <w:sz w:val="28"/>
          <w:szCs w:val="28"/>
          <w:highlight w:val="none"/>
        </w:rPr>
        <w:br w:type="page"/>
      </w:r>
    </w:p>
    <w:p w14:paraId="517D26DA">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2" w:firstLineChars="200"/>
        <w:jc w:val="left"/>
        <w:textAlignment w:val="baseline"/>
        <w:rPr>
          <w:rFonts w:hint="eastAsia" w:ascii="仿宋" w:hAnsi="仿宋" w:eastAsia="仿宋" w:cs="仿宋"/>
          <w:b/>
          <w:bCs/>
          <w:color w:val="auto"/>
          <w:sz w:val="28"/>
          <w:szCs w:val="28"/>
          <w:highlight w:val="none"/>
        </w:rPr>
      </w:pPr>
      <w:r>
        <w:rPr>
          <w:rFonts w:hint="eastAsia" w:ascii="仿宋" w:hAnsi="仿宋" w:eastAsia="仿宋" w:cs="仿宋"/>
          <w:b/>
          <w:bCs/>
          <w:snapToGrid w:val="0"/>
          <w:color w:val="auto"/>
          <w:kern w:val="0"/>
          <w:sz w:val="28"/>
          <w:szCs w:val="28"/>
          <w:highlight w:val="none"/>
          <w:lang w:val="en-US" w:eastAsia="zh-CN" w:bidi="ar"/>
        </w:rPr>
        <w:t xml:space="preserve">附件一： </w:t>
      </w:r>
    </w:p>
    <w:p w14:paraId="223ED378">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723" w:firstLineChars="200"/>
        <w:jc w:val="center"/>
        <w:textAlignment w:val="baseline"/>
        <w:rPr>
          <w:rFonts w:hint="eastAsia" w:ascii="仿宋" w:hAnsi="仿宋" w:eastAsia="仿宋" w:cs="仿宋"/>
          <w:b/>
          <w:bCs/>
          <w:color w:val="auto"/>
          <w:sz w:val="36"/>
          <w:szCs w:val="36"/>
          <w:highlight w:val="none"/>
        </w:rPr>
      </w:pPr>
      <w:r>
        <w:rPr>
          <w:rFonts w:hint="eastAsia" w:ascii="仿宋" w:hAnsi="仿宋" w:eastAsia="仿宋" w:cs="仿宋"/>
          <w:b/>
          <w:bCs/>
          <w:snapToGrid w:val="0"/>
          <w:color w:val="auto"/>
          <w:kern w:val="0"/>
          <w:sz w:val="36"/>
          <w:szCs w:val="36"/>
          <w:highlight w:val="none"/>
          <w:lang w:val="en-US" w:eastAsia="zh-CN" w:bidi="ar"/>
        </w:rPr>
        <w:t>食品安全责任书</w:t>
      </w:r>
    </w:p>
    <w:p w14:paraId="313561A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仿宋" w:hAnsi="仿宋" w:eastAsia="仿宋" w:cs="仿宋"/>
          <w:color w:val="auto"/>
          <w:spacing w:val="1"/>
          <w:sz w:val="28"/>
          <w:szCs w:val="28"/>
          <w:highlight w:val="none"/>
          <w:lang w:eastAsia="zh-CN"/>
        </w:rPr>
      </w:pPr>
      <w:r>
        <w:rPr>
          <w:rFonts w:hint="eastAsia" w:ascii="仿宋" w:hAnsi="仿宋" w:eastAsia="仿宋" w:cs="仿宋"/>
          <w:color w:val="auto"/>
          <w:spacing w:val="-29"/>
          <w:sz w:val="28"/>
          <w:szCs w:val="28"/>
          <w:highlight w:val="none"/>
        </w:rPr>
        <w:t>甲方：</w:t>
      </w:r>
      <w:r>
        <w:rPr>
          <w:rFonts w:hint="eastAsia" w:ascii="仿宋" w:hAnsi="仿宋" w:eastAsia="仿宋" w:cs="仿宋"/>
          <w:color w:val="auto"/>
          <w:spacing w:val="1"/>
          <w:sz w:val="28"/>
          <w:szCs w:val="28"/>
          <w:highlight w:val="none"/>
          <w:u w:val="single" w:color="auto"/>
        </w:rPr>
        <w:t xml:space="preserve">                           </w:t>
      </w: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采购人</w:t>
      </w:r>
      <w:r>
        <w:rPr>
          <w:rFonts w:hint="eastAsia" w:ascii="仿宋" w:hAnsi="仿宋" w:eastAsia="仿宋" w:cs="仿宋"/>
          <w:color w:val="auto"/>
          <w:spacing w:val="1"/>
          <w:sz w:val="28"/>
          <w:szCs w:val="28"/>
          <w:highlight w:val="none"/>
          <w:lang w:eastAsia="zh-CN"/>
        </w:rPr>
        <w:t>）</w:t>
      </w:r>
    </w:p>
    <w:p w14:paraId="08BCBEE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8"/>
          <w:szCs w:val="28"/>
          <w:highlight w:val="none"/>
          <w:u w:val="none" w:color="auto"/>
          <w:lang w:eastAsia="zh-CN"/>
        </w:rPr>
      </w:pPr>
      <w:r>
        <w:rPr>
          <w:rFonts w:hint="eastAsia" w:ascii="仿宋" w:hAnsi="仿宋" w:eastAsia="仿宋" w:cs="仿宋"/>
          <w:color w:val="auto"/>
          <w:spacing w:val="-23"/>
          <w:sz w:val="28"/>
          <w:szCs w:val="28"/>
          <w:highlight w:val="none"/>
        </w:rPr>
        <w:t>乙方：</w:t>
      </w: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z w:val="28"/>
          <w:szCs w:val="28"/>
          <w:highlight w:val="none"/>
          <w:u w:val="none" w:color="auto"/>
          <w:lang w:eastAsia="zh-CN"/>
        </w:rPr>
        <w:t>（</w:t>
      </w:r>
      <w:r>
        <w:rPr>
          <w:rFonts w:hint="eastAsia" w:ascii="仿宋" w:hAnsi="仿宋" w:eastAsia="仿宋" w:cs="仿宋"/>
          <w:color w:val="auto"/>
          <w:sz w:val="28"/>
          <w:szCs w:val="28"/>
          <w:highlight w:val="none"/>
          <w:u w:val="none" w:color="auto"/>
          <w:lang w:val="en-US" w:eastAsia="zh-CN"/>
        </w:rPr>
        <w:t>中标供应商</w:t>
      </w:r>
      <w:r>
        <w:rPr>
          <w:rFonts w:hint="eastAsia" w:ascii="仿宋" w:hAnsi="仿宋" w:eastAsia="仿宋" w:cs="仿宋"/>
          <w:color w:val="auto"/>
          <w:sz w:val="28"/>
          <w:szCs w:val="28"/>
          <w:highlight w:val="none"/>
          <w:u w:val="none" w:color="auto"/>
          <w:lang w:eastAsia="zh-CN"/>
        </w:rPr>
        <w:t>）</w:t>
      </w:r>
    </w:p>
    <w:p w14:paraId="3FEBDA3C">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根据 《中华人民共和国食品安全法》等相关法律条款规定。经双方友好协商，特签订本责任书。甲、乙双方必须共同遵守。 </w:t>
      </w:r>
    </w:p>
    <w:p w14:paraId="1C946BD5">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2" w:firstLineChars="200"/>
        <w:jc w:val="left"/>
        <w:textAlignment w:val="baseline"/>
        <w:rPr>
          <w:rFonts w:hint="eastAsia" w:ascii="仿宋" w:hAnsi="仿宋" w:eastAsia="仿宋" w:cs="仿宋"/>
          <w:b/>
          <w:bCs/>
          <w:color w:val="auto"/>
          <w:sz w:val="28"/>
          <w:szCs w:val="28"/>
          <w:highlight w:val="none"/>
        </w:rPr>
      </w:pPr>
      <w:r>
        <w:rPr>
          <w:rFonts w:hint="eastAsia" w:ascii="仿宋" w:hAnsi="仿宋" w:eastAsia="仿宋" w:cs="仿宋"/>
          <w:b/>
          <w:bCs/>
          <w:snapToGrid w:val="0"/>
          <w:color w:val="auto"/>
          <w:kern w:val="0"/>
          <w:sz w:val="28"/>
          <w:szCs w:val="28"/>
          <w:highlight w:val="none"/>
          <w:lang w:val="en-US" w:eastAsia="zh-CN" w:bidi="ar"/>
        </w:rPr>
        <w:t xml:space="preserve">一、甲乙双方共同责任 </w:t>
      </w:r>
    </w:p>
    <w:p w14:paraId="4DC1CABE">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甲乙双方共同遵守国家和地方有关食品卫生安全的法律、法规，认真落实国家、行业、企业相关的安全规定和食品卫生管理制度。抓好防火防爆、安全生产、食品中毒等事故的预防工作，确保不发生各类事故。 </w:t>
      </w:r>
    </w:p>
    <w:p w14:paraId="10A52968">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2" w:firstLineChars="200"/>
        <w:jc w:val="left"/>
        <w:textAlignment w:val="baseline"/>
        <w:rPr>
          <w:rFonts w:hint="eastAsia" w:ascii="仿宋" w:hAnsi="仿宋" w:eastAsia="仿宋" w:cs="仿宋"/>
          <w:b/>
          <w:bCs/>
          <w:color w:val="auto"/>
          <w:sz w:val="28"/>
          <w:szCs w:val="28"/>
          <w:highlight w:val="none"/>
        </w:rPr>
      </w:pPr>
      <w:r>
        <w:rPr>
          <w:rFonts w:hint="eastAsia" w:ascii="仿宋" w:hAnsi="仿宋" w:eastAsia="仿宋" w:cs="仿宋"/>
          <w:b/>
          <w:bCs/>
          <w:snapToGrid w:val="0"/>
          <w:color w:val="auto"/>
          <w:kern w:val="0"/>
          <w:sz w:val="28"/>
          <w:szCs w:val="28"/>
          <w:highlight w:val="none"/>
          <w:lang w:val="en-US" w:eastAsia="zh-CN" w:bidi="ar"/>
        </w:rPr>
        <w:t xml:space="preserve">二、甲方的权利、责任和义务 </w:t>
      </w:r>
    </w:p>
    <w:p w14:paraId="2EA1215F">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1、甲方有权对乙方进行监督和管理，如：卫生、安全等进行监督，特别是食物中毒事故发生。一旦发生上述类似事故，甲方有权追究乙方的责任。 </w:t>
      </w:r>
    </w:p>
    <w:p w14:paraId="7F30F14E">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2、甲方有权对乙方食品配送品质、数量、卫生、服务等情况、安全设施有效情况、 乙方的设备、器具安全卫生等情况进行安全监督检查，如乙方未达到标准或出现不合格项，甲方有权要求乙方进行整改和完善。 </w:t>
      </w:r>
    </w:p>
    <w:p w14:paraId="43721984">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2" w:firstLineChars="200"/>
        <w:jc w:val="left"/>
        <w:textAlignment w:val="baseline"/>
        <w:rPr>
          <w:rFonts w:hint="eastAsia" w:ascii="仿宋" w:hAnsi="仿宋" w:eastAsia="仿宋" w:cs="仿宋"/>
          <w:b/>
          <w:bCs/>
          <w:color w:val="auto"/>
          <w:sz w:val="28"/>
          <w:szCs w:val="28"/>
          <w:highlight w:val="none"/>
        </w:rPr>
      </w:pPr>
      <w:r>
        <w:rPr>
          <w:rFonts w:hint="eastAsia" w:ascii="仿宋" w:hAnsi="仿宋" w:eastAsia="仿宋" w:cs="仿宋"/>
          <w:b/>
          <w:bCs/>
          <w:snapToGrid w:val="0"/>
          <w:color w:val="auto"/>
          <w:kern w:val="0"/>
          <w:sz w:val="28"/>
          <w:szCs w:val="28"/>
          <w:highlight w:val="none"/>
          <w:lang w:val="en-US" w:eastAsia="zh-CN" w:bidi="ar"/>
        </w:rPr>
        <w:t xml:space="preserve">三、乙方的权利、责任和义务 </w:t>
      </w:r>
    </w:p>
    <w:p w14:paraId="4DA5C1AD">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1、乙方必须持有有效的《食品经营许可证》，并按照有效期限及时审验。 </w:t>
      </w:r>
    </w:p>
    <w:p w14:paraId="46962194">
      <w:pPr>
        <w:keepNext w:val="0"/>
        <w:keepLines/>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2、乙方从业人员必须定期体检，持有效的健康证上岗操作。对因乙方未组织所属人员体检，携带传染性疾病上岗操作，导致甲方人员发生传染病事件，乙方负责承担全部责任。 </w:t>
      </w:r>
    </w:p>
    <w:p w14:paraId="236FFEB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3、乙方必须遵守国家和地方有关安全、环境和食品卫生的标准。制订相关安全管理制度。同时对所属人员定期进行职业道德、食品安全卫生、安全规章等安全知识培训。采取有效措施做好各类事故预防工作。 </w:t>
      </w:r>
    </w:p>
    <w:p w14:paraId="28E5C40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snapToGrid w:val="0"/>
          <w:color w:val="auto"/>
          <w:kern w:val="0"/>
          <w:sz w:val="28"/>
          <w:szCs w:val="28"/>
          <w:highlight w:val="none"/>
          <w:lang w:val="en-US" w:eastAsia="zh-CN" w:bidi="ar"/>
        </w:rPr>
      </w:pPr>
      <w:r>
        <w:rPr>
          <w:rFonts w:hint="eastAsia" w:ascii="仿宋" w:hAnsi="仿宋" w:eastAsia="仿宋" w:cs="仿宋"/>
          <w:snapToGrid w:val="0"/>
          <w:color w:val="auto"/>
          <w:kern w:val="0"/>
          <w:sz w:val="28"/>
          <w:szCs w:val="28"/>
          <w:highlight w:val="none"/>
          <w:lang w:val="en-US" w:eastAsia="zh-CN" w:bidi="ar"/>
        </w:rPr>
        <w:t xml:space="preserve">4、乙方购置主、副食等食用品及调料制品必须保证其产品质量，提供相关合格证明材料，严禁购置腐烂、变质、过期的产品。对由于乙方提供不符合食品卫生标准的劣质食品，或出售任何变质和受污染的食品，造成甲方人员食物中毒的，乙方承担全部责任，所产生的费用均由乙方承担。 </w:t>
      </w:r>
    </w:p>
    <w:p w14:paraId="46C8BA24">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5、乙方配送食品原材料，必须规范食品安全卫生管理，严格按照甲方食品质量验收标准配置商品，不得掺假。 </w:t>
      </w:r>
    </w:p>
    <w:p w14:paraId="1FBE871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6、乙方应认真落实防蚊、蝇、鼠害等安全措施，做好防疫工作，避免疾病，传染病的传播。 </w:t>
      </w:r>
    </w:p>
    <w:p w14:paraId="080392E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7、乙方为甲方提供服务时，应识别活动场所可能发生的环境因素和危险源，按甲方的要求实施管理、检查和控制。 </w:t>
      </w:r>
    </w:p>
    <w:p w14:paraId="1CE0849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8、对乙方的储运、服务人员，乙方应进行必要的环境保护知识和职业健康安全的培训，保证储运、服务人员熟知在工作中，如因工作失误将对环境、职业健康安全造成的不良影响，以及一旦污染事故发生，如何采取应急措施，减少污染。 </w:t>
      </w:r>
    </w:p>
    <w:p w14:paraId="636A064D">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9、对于甲方的安全监督检查，乙方必须密切配合。 </w:t>
      </w:r>
    </w:p>
    <w:p w14:paraId="57F1ECB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10、乙方对甲方所有供货产品，需建立详细台账（以天为单位），以便溯源追查。 </w:t>
      </w:r>
    </w:p>
    <w:p w14:paraId="1EBEB8F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2" w:firstLineChars="200"/>
        <w:jc w:val="left"/>
        <w:textAlignment w:val="baseline"/>
        <w:rPr>
          <w:rFonts w:hint="eastAsia" w:ascii="仿宋" w:hAnsi="仿宋" w:eastAsia="仿宋" w:cs="仿宋"/>
          <w:b/>
          <w:bCs/>
          <w:color w:val="auto"/>
          <w:sz w:val="28"/>
          <w:szCs w:val="28"/>
          <w:highlight w:val="none"/>
        </w:rPr>
      </w:pPr>
      <w:r>
        <w:rPr>
          <w:rFonts w:hint="eastAsia" w:ascii="仿宋" w:hAnsi="仿宋" w:eastAsia="仿宋" w:cs="仿宋"/>
          <w:b/>
          <w:bCs/>
          <w:snapToGrid w:val="0"/>
          <w:color w:val="auto"/>
          <w:kern w:val="0"/>
          <w:sz w:val="28"/>
          <w:szCs w:val="28"/>
          <w:highlight w:val="none"/>
          <w:lang w:val="en-US" w:eastAsia="zh-CN" w:bidi="ar"/>
        </w:rPr>
        <w:t xml:space="preserve">四、其他事项 </w:t>
      </w:r>
    </w:p>
    <w:p w14:paraId="11271CA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1、本协议未尽安全事宜，按照相关法律、法规要求解决。如需另定附则，所有附则在法律上与本协议具有同等效力。 </w:t>
      </w:r>
    </w:p>
    <w:p w14:paraId="2695A1B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2、本协议一式两份，甲乙双方各执一份。 </w:t>
      </w:r>
    </w:p>
    <w:p w14:paraId="656419C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3、本协议经签字盖章后生效。 </w:t>
      </w:r>
    </w:p>
    <w:p w14:paraId="50DC2C1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snapToGrid w:val="0"/>
          <w:color w:val="auto"/>
          <w:kern w:val="0"/>
          <w:sz w:val="28"/>
          <w:szCs w:val="28"/>
          <w:highlight w:val="none"/>
          <w:lang w:val="en-US" w:eastAsia="zh-CN" w:bidi="ar"/>
        </w:rPr>
      </w:pPr>
    </w:p>
    <w:p w14:paraId="452FC5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仿宋" w:hAnsi="仿宋" w:eastAsia="仿宋" w:cs="仿宋"/>
          <w:snapToGrid w:val="0"/>
          <w:color w:val="auto"/>
          <w:kern w:val="0"/>
          <w:sz w:val="28"/>
          <w:szCs w:val="28"/>
          <w:highlight w:val="none"/>
          <w:lang w:val="en-US" w:eastAsia="zh-CN" w:bidi="ar"/>
        </w:rPr>
      </w:pPr>
      <w:r>
        <w:rPr>
          <w:rFonts w:hint="eastAsia" w:ascii="仿宋" w:hAnsi="仿宋" w:eastAsia="仿宋" w:cs="仿宋"/>
          <w:snapToGrid w:val="0"/>
          <w:color w:val="auto"/>
          <w:kern w:val="0"/>
          <w:sz w:val="28"/>
          <w:szCs w:val="28"/>
          <w:highlight w:val="none"/>
          <w:lang w:val="en-US" w:eastAsia="zh-CN" w:bidi="ar"/>
        </w:rPr>
        <w:br w:type="page"/>
      </w:r>
    </w:p>
    <w:p w14:paraId="4935177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default" w:ascii="仿宋" w:hAnsi="仿宋" w:eastAsia="仿宋" w:cs="仿宋"/>
          <w:snapToGrid w:val="0"/>
          <w:color w:val="auto"/>
          <w:kern w:val="0"/>
          <w:sz w:val="28"/>
          <w:szCs w:val="28"/>
          <w:highlight w:val="none"/>
          <w:lang w:val="en-US" w:eastAsia="zh-CN" w:bidi="ar"/>
        </w:rPr>
      </w:pPr>
      <w:r>
        <w:rPr>
          <w:rFonts w:hint="eastAsia" w:ascii="仿宋" w:hAnsi="仿宋" w:eastAsia="仿宋" w:cs="仿宋"/>
          <w:snapToGrid w:val="0"/>
          <w:color w:val="auto"/>
          <w:kern w:val="0"/>
          <w:sz w:val="28"/>
          <w:szCs w:val="28"/>
          <w:highlight w:val="none"/>
          <w:lang w:val="en-US" w:eastAsia="zh-CN" w:bidi="ar"/>
        </w:rPr>
        <w:t>以下无正文，为签字盖章页</w:t>
      </w:r>
    </w:p>
    <w:p w14:paraId="6D56939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甲方：                               乙方： </w:t>
      </w:r>
    </w:p>
    <w:p w14:paraId="7FA4CF52">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lang w:val="en-US"/>
        </w:rPr>
      </w:pPr>
      <w:r>
        <w:rPr>
          <w:rFonts w:hint="eastAsia" w:ascii="仿宋" w:hAnsi="仿宋" w:eastAsia="仿宋" w:cs="仿宋"/>
          <w:snapToGrid w:val="0"/>
          <w:color w:val="auto"/>
          <w:kern w:val="0"/>
          <w:sz w:val="28"/>
          <w:szCs w:val="28"/>
          <w:highlight w:val="none"/>
          <w:lang w:val="en-US" w:eastAsia="zh-CN" w:bidi="ar"/>
        </w:rPr>
        <w:t>地址：                               地址：</w:t>
      </w:r>
    </w:p>
    <w:p w14:paraId="2FA5BE88">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lang w:val="en-US"/>
        </w:rPr>
      </w:pPr>
      <w:r>
        <w:rPr>
          <w:rFonts w:hint="eastAsia" w:ascii="仿宋" w:hAnsi="仿宋" w:eastAsia="仿宋" w:cs="仿宋"/>
          <w:snapToGrid w:val="0"/>
          <w:color w:val="auto"/>
          <w:kern w:val="0"/>
          <w:sz w:val="28"/>
          <w:szCs w:val="28"/>
          <w:highlight w:val="none"/>
          <w:lang w:val="en-US" w:eastAsia="zh-CN" w:bidi="ar"/>
        </w:rPr>
        <w:t>邮编：                               邮编：</w:t>
      </w:r>
    </w:p>
    <w:p w14:paraId="562DC88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法定代表人：                        法定代表人： </w:t>
      </w:r>
    </w:p>
    <w:p w14:paraId="219B53A4">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被授权代表：                        被授权代表： </w:t>
      </w:r>
    </w:p>
    <w:p w14:paraId="24A44B46">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 xml:space="preserve">电话：                              电话： </w:t>
      </w:r>
    </w:p>
    <w:p w14:paraId="2C62E96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baseline"/>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lang w:val="en-US" w:eastAsia="zh-CN" w:bidi="ar"/>
        </w:rPr>
        <w:t>日期：                               日期：</w:t>
      </w:r>
    </w:p>
    <w:p w14:paraId="55757AA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auto"/>
        <w:ind w:firstLine="480" w:firstLineChars="200"/>
        <w:jc w:val="left"/>
        <w:textAlignment w:val="baseline"/>
        <w:rPr>
          <w:rFonts w:hint="default"/>
          <w:color w:val="auto"/>
          <w:highlight w:val="none"/>
          <w:lang w:val="en-US"/>
        </w:rPr>
      </w:pPr>
    </w:p>
    <w:p w14:paraId="73079570">
      <w:pPr>
        <w:widowControl w:val="0"/>
        <w:rPr>
          <w:color w:val="auto"/>
          <w:highlight w:val="none"/>
        </w:rPr>
      </w:pPr>
    </w:p>
    <w:p w14:paraId="2762B11D">
      <w:pPr>
        <w:widowControl w:val="0"/>
        <w:spacing w:line="219" w:lineRule="auto"/>
        <w:rPr>
          <w:rFonts w:ascii="宋体" w:hAnsi="宋体" w:eastAsia="宋体" w:cs="宋体"/>
          <w:color w:val="auto"/>
          <w:sz w:val="24"/>
          <w:szCs w:val="24"/>
          <w:highlight w:val="none"/>
        </w:rPr>
      </w:pPr>
    </w:p>
    <w:p w14:paraId="7C8283D1">
      <w:pPr>
        <w:rPr>
          <w:color w:val="auto"/>
          <w:highlight w:val="none"/>
        </w:rPr>
      </w:pPr>
    </w:p>
    <w:p w14:paraId="11BA0F6E">
      <w:pPr>
        <w:pStyle w:val="2"/>
        <w:rPr>
          <w:rFonts w:hint="eastAsia"/>
          <w:color w:val="auto"/>
          <w:highlight w:val="none"/>
        </w:rPr>
      </w:pPr>
    </w:p>
    <w:p w14:paraId="34A91BBF">
      <w:pPr>
        <w:rPr>
          <w:rStyle w:val="37"/>
          <w:rFonts w:hint="eastAsia" w:ascii="仿宋" w:hAnsi="仿宋" w:eastAsia="仿宋" w:cs="仿宋"/>
          <w:b/>
          <w:bCs w:val="0"/>
          <w:color w:val="auto"/>
          <w:kern w:val="2"/>
          <w:sz w:val="44"/>
          <w:szCs w:val="44"/>
          <w:highlight w:val="none"/>
        </w:rPr>
      </w:pPr>
      <w:r>
        <w:rPr>
          <w:rStyle w:val="37"/>
          <w:rFonts w:hint="eastAsia" w:ascii="仿宋" w:hAnsi="仿宋" w:eastAsia="仿宋" w:cs="仿宋"/>
          <w:b/>
          <w:bCs w:val="0"/>
          <w:color w:val="auto"/>
          <w:kern w:val="2"/>
          <w:sz w:val="44"/>
          <w:szCs w:val="44"/>
          <w:highlight w:val="none"/>
        </w:rPr>
        <w:br w:type="page"/>
      </w:r>
    </w:p>
    <w:p w14:paraId="5B3D7D4A">
      <w:pPr>
        <w:widowControl w:val="0"/>
        <w:spacing w:before="168" w:after="168" w:line="360" w:lineRule="auto"/>
        <w:jc w:val="center"/>
        <w:outlineLvl w:val="0"/>
        <w:rPr>
          <w:rFonts w:hint="eastAsia" w:ascii="仿宋" w:hAnsi="仿宋" w:eastAsia="仿宋" w:cs="仿宋"/>
          <w:b/>
          <w:bCs w:val="0"/>
          <w:color w:val="auto"/>
          <w:sz w:val="24"/>
          <w:szCs w:val="24"/>
          <w:highlight w:val="none"/>
          <w:lang w:val="en-US" w:eastAsia="zh-CN"/>
        </w:rPr>
      </w:pPr>
      <w:bookmarkStart w:id="20" w:name="_Toc32437"/>
      <w:bookmarkStart w:id="21" w:name="_Toc32012"/>
      <w:r>
        <w:rPr>
          <w:rStyle w:val="37"/>
          <w:rFonts w:hint="eastAsia" w:ascii="仿宋" w:hAnsi="仿宋" w:eastAsia="仿宋" w:cs="仿宋"/>
          <w:b/>
          <w:bCs w:val="0"/>
          <w:color w:val="auto"/>
          <w:kern w:val="2"/>
          <w:sz w:val="44"/>
          <w:szCs w:val="44"/>
          <w:highlight w:val="none"/>
        </w:rPr>
        <w:t>第四章 采购内容及技术要求</w:t>
      </w:r>
      <w:bookmarkEnd w:id="19"/>
      <w:bookmarkEnd w:id="20"/>
      <w:bookmarkEnd w:id="21"/>
    </w:p>
    <w:p w14:paraId="379E7EC1">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default" w:ascii="仿宋" w:hAnsi="仿宋" w:eastAsia="仿宋" w:cs="仿宋"/>
          <w:b/>
          <w:bCs/>
          <w:i w:val="0"/>
          <w:iCs w:val="0"/>
          <w:color w:val="auto"/>
          <w:sz w:val="28"/>
          <w:szCs w:val="28"/>
          <w:highlight w:val="none"/>
          <w:lang w:val="en-US" w:eastAsia="zh-CN"/>
        </w:rPr>
      </w:pPr>
      <w:bookmarkStart w:id="22" w:name="_Toc27523"/>
      <w:r>
        <w:rPr>
          <w:rFonts w:hint="eastAsia" w:ascii="仿宋" w:hAnsi="仿宋" w:eastAsia="仿宋" w:cs="仿宋"/>
          <w:b/>
          <w:bCs/>
          <w:i w:val="0"/>
          <w:iCs w:val="0"/>
          <w:color w:val="auto"/>
          <w:sz w:val="28"/>
          <w:szCs w:val="28"/>
          <w:highlight w:val="none"/>
          <w:lang w:val="en-US" w:eastAsia="zh-CN"/>
        </w:rPr>
        <w:t>一、采购内容</w:t>
      </w:r>
    </w:p>
    <w:p w14:paraId="4C2D02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napToGrid/>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1、</w:t>
      </w:r>
      <w:r>
        <w:rPr>
          <w:rFonts w:hint="eastAsia" w:ascii="仿宋" w:hAnsi="仿宋" w:eastAsia="仿宋" w:cs="仿宋"/>
          <w:snapToGrid/>
          <w:color w:val="auto"/>
          <w:kern w:val="0"/>
          <w:sz w:val="24"/>
          <w:szCs w:val="24"/>
          <w:highlight w:val="none"/>
          <w:lang w:eastAsia="zh-CN"/>
        </w:rPr>
        <w:t>实施2024年</w:t>
      </w:r>
      <w:r>
        <w:rPr>
          <w:rFonts w:hint="eastAsia" w:ascii="仿宋" w:hAnsi="仿宋" w:eastAsia="仿宋" w:cs="仿宋"/>
          <w:snapToGrid/>
          <w:color w:val="auto"/>
          <w:kern w:val="0"/>
          <w:sz w:val="24"/>
          <w:szCs w:val="24"/>
          <w:highlight w:val="none"/>
          <w:lang w:val="en-US" w:eastAsia="zh-CN"/>
        </w:rPr>
        <w:t>沣西</w:t>
      </w:r>
      <w:r>
        <w:rPr>
          <w:rFonts w:hint="eastAsia" w:ascii="仿宋" w:hAnsi="仿宋" w:eastAsia="仿宋" w:cs="仿宋"/>
          <w:snapToGrid/>
          <w:color w:val="auto"/>
          <w:kern w:val="0"/>
          <w:sz w:val="24"/>
          <w:szCs w:val="24"/>
          <w:highlight w:val="none"/>
          <w:lang w:eastAsia="zh-CN"/>
        </w:rPr>
        <w:t>新城所属农村义务教育阶段学生营养改善计划，按照每生每天5元标准，全年按200天计算。</w:t>
      </w:r>
      <w:r>
        <w:rPr>
          <w:rFonts w:hint="eastAsia" w:ascii="仿宋" w:hAnsi="仿宋" w:eastAsia="仿宋" w:cs="仿宋"/>
          <w:snapToGrid/>
          <w:color w:val="auto"/>
          <w:kern w:val="0"/>
          <w:sz w:val="24"/>
          <w:szCs w:val="24"/>
          <w:highlight w:val="none"/>
          <w:lang w:val="en-US" w:eastAsia="zh-CN"/>
        </w:rPr>
        <w:t>本次招标内容为午餐。</w:t>
      </w:r>
    </w:p>
    <w:p w14:paraId="51B7D077">
      <w:pPr>
        <w:keepNext w:val="0"/>
        <w:keepLines w:val="0"/>
        <w:pageBreakBefore w:val="0"/>
        <w:kinsoku/>
        <w:wordWrap/>
        <w:overflowPunct/>
        <w:topLinePunct w:val="0"/>
        <w:autoSpaceDE/>
        <w:autoSpaceDN/>
        <w:bidi w:val="0"/>
        <w:spacing w:line="360" w:lineRule="auto"/>
        <w:ind w:firstLine="0" w:firstLineChars="0"/>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具体详见下表</w:t>
      </w:r>
    </w:p>
    <w:p w14:paraId="60AB203F">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沣西</w:t>
      </w:r>
      <w:r>
        <w:rPr>
          <w:rFonts w:hint="eastAsia" w:ascii="仿宋" w:hAnsi="仿宋" w:eastAsia="仿宋" w:cs="仿宋"/>
          <w:b/>
          <w:bCs/>
          <w:color w:val="auto"/>
          <w:sz w:val="28"/>
          <w:szCs w:val="28"/>
          <w:highlight w:val="none"/>
        </w:rPr>
        <w:t>新城农村义务教育学生营养改善计划</w:t>
      </w:r>
      <w:r>
        <w:rPr>
          <w:rFonts w:hint="eastAsia" w:ascii="仿宋" w:hAnsi="仿宋" w:eastAsia="仿宋" w:cs="仿宋"/>
          <w:b/>
          <w:bCs/>
          <w:color w:val="auto"/>
          <w:sz w:val="28"/>
          <w:szCs w:val="28"/>
          <w:highlight w:val="none"/>
          <w:lang w:val="en-US" w:eastAsia="zh-CN"/>
        </w:rPr>
        <w:t>表</w:t>
      </w:r>
    </w:p>
    <w:tbl>
      <w:tblPr>
        <w:tblStyle w:val="31"/>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2248"/>
        <w:gridCol w:w="2094"/>
        <w:gridCol w:w="2239"/>
        <w:gridCol w:w="1531"/>
      </w:tblGrid>
      <w:tr w14:paraId="61FF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80" w:type="pct"/>
            <w:noWrap w:val="0"/>
            <w:vAlign w:val="center"/>
          </w:tcPr>
          <w:p w14:paraId="050F41D5">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序号</w:t>
            </w:r>
          </w:p>
        </w:tc>
        <w:tc>
          <w:tcPr>
            <w:tcW w:w="1225" w:type="pct"/>
            <w:noWrap w:val="0"/>
            <w:vAlign w:val="center"/>
          </w:tcPr>
          <w:p w14:paraId="720AE2C4">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学校名称</w:t>
            </w:r>
          </w:p>
        </w:tc>
        <w:tc>
          <w:tcPr>
            <w:tcW w:w="1141" w:type="pct"/>
            <w:noWrap w:val="0"/>
            <w:vAlign w:val="center"/>
          </w:tcPr>
          <w:p w14:paraId="2136B998">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2025年预计人数</w:t>
            </w:r>
          </w:p>
        </w:tc>
        <w:tc>
          <w:tcPr>
            <w:tcW w:w="1220" w:type="pct"/>
            <w:noWrap w:val="0"/>
            <w:vAlign w:val="center"/>
          </w:tcPr>
          <w:p w14:paraId="0BDBD90E">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学生补助</w:t>
            </w:r>
            <w:r>
              <w:rPr>
                <w:rFonts w:hint="eastAsia" w:ascii="仿宋" w:hAnsi="仿宋" w:eastAsia="仿宋" w:cs="仿宋"/>
                <w:color w:val="auto"/>
                <w:sz w:val="21"/>
                <w:szCs w:val="21"/>
                <w:highlight w:val="none"/>
              </w:rPr>
              <w:t>标准</w:t>
            </w:r>
          </w:p>
          <w:p w14:paraId="1EDFF081">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（元/天）</w:t>
            </w:r>
          </w:p>
        </w:tc>
        <w:tc>
          <w:tcPr>
            <w:tcW w:w="832" w:type="pct"/>
            <w:noWrap w:val="0"/>
            <w:vAlign w:val="center"/>
          </w:tcPr>
          <w:p w14:paraId="7E160B3E">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i w:val="0"/>
                <w:iCs w:val="0"/>
                <w:snapToGrid w:val="0"/>
                <w:color w:val="auto"/>
                <w:kern w:val="0"/>
                <w:sz w:val="21"/>
                <w:szCs w:val="21"/>
                <w:highlight w:val="none"/>
                <w:u w:val="none"/>
                <w:lang w:val="en-US" w:eastAsia="zh-CN" w:bidi="ar"/>
              </w:rPr>
              <w:t>供应天数</w:t>
            </w:r>
          </w:p>
        </w:tc>
      </w:tr>
      <w:tr w14:paraId="5D6A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5934750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25" w:type="pct"/>
            <w:noWrap w:val="0"/>
            <w:vAlign w:val="center"/>
          </w:tcPr>
          <w:p w14:paraId="5D40CA4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钓台中学</w:t>
            </w:r>
          </w:p>
        </w:tc>
        <w:tc>
          <w:tcPr>
            <w:tcW w:w="1141" w:type="pct"/>
            <w:noWrap w:val="0"/>
            <w:vAlign w:val="center"/>
          </w:tcPr>
          <w:p w14:paraId="4CB28C4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66</w:t>
            </w:r>
          </w:p>
        </w:tc>
        <w:tc>
          <w:tcPr>
            <w:tcW w:w="1220" w:type="pct"/>
            <w:noWrap w:val="0"/>
            <w:vAlign w:val="center"/>
          </w:tcPr>
          <w:p w14:paraId="1D164EE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768D0E9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5183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388CA22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225" w:type="pct"/>
            <w:noWrap w:val="0"/>
            <w:vAlign w:val="center"/>
          </w:tcPr>
          <w:p w14:paraId="67E9834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大王初中</w:t>
            </w:r>
          </w:p>
        </w:tc>
        <w:tc>
          <w:tcPr>
            <w:tcW w:w="1141" w:type="pct"/>
            <w:noWrap w:val="0"/>
            <w:vAlign w:val="center"/>
          </w:tcPr>
          <w:p w14:paraId="48748C8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817</w:t>
            </w:r>
          </w:p>
        </w:tc>
        <w:tc>
          <w:tcPr>
            <w:tcW w:w="1220" w:type="pct"/>
            <w:noWrap w:val="0"/>
            <w:vAlign w:val="center"/>
          </w:tcPr>
          <w:p w14:paraId="49D10FF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193F841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417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01E3804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225" w:type="pct"/>
            <w:noWrap w:val="0"/>
            <w:vAlign w:val="center"/>
          </w:tcPr>
          <w:p w14:paraId="74B9138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卓日村小学</w:t>
            </w:r>
          </w:p>
        </w:tc>
        <w:tc>
          <w:tcPr>
            <w:tcW w:w="1141" w:type="pct"/>
            <w:noWrap w:val="0"/>
            <w:vAlign w:val="center"/>
          </w:tcPr>
          <w:p w14:paraId="4112AEC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137</w:t>
            </w:r>
          </w:p>
        </w:tc>
        <w:tc>
          <w:tcPr>
            <w:tcW w:w="1220" w:type="pct"/>
            <w:noWrap w:val="0"/>
            <w:vAlign w:val="center"/>
          </w:tcPr>
          <w:p w14:paraId="2BAE6E2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7F33536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2736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26BF01C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225" w:type="pct"/>
            <w:noWrap w:val="0"/>
            <w:vAlign w:val="center"/>
          </w:tcPr>
          <w:p w14:paraId="3F3DEBC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大王中心学校</w:t>
            </w:r>
          </w:p>
        </w:tc>
        <w:tc>
          <w:tcPr>
            <w:tcW w:w="1141" w:type="pct"/>
            <w:noWrap w:val="0"/>
            <w:vAlign w:val="center"/>
          </w:tcPr>
          <w:p w14:paraId="67CF303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1224</w:t>
            </w:r>
          </w:p>
        </w:tc>
        <w:tc>
          <w:tcPr>
            <w:tcW w:w="1220" w:type="pct"/>
            <w:noWrap w:val="0"/>
            <w:vAlign w:val="center"/>
          </w:tcPr>
          <w:p w14:paraId="2CE84DC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5902C6C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200</w:t>
            </w:r>
          </w:p>
        </w:tc>
      </w:tr>
      <w:tr w14:paraId="22E7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3C04012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225" w:type="pct"/>
            <w:noWrap w:val="0"/>
            <w:vAlign w:val="center"/>
          </w:tcPr>
          <w:p w14:paraId="233EB34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大王东小学</w:t>
            </w:r>
          </w:p>
        </w:tc>
        <w:tc>
          <w:tcPr>
            <w:tcW w:w="1141" w:type="pct"/>
            <w:noWrap w:val="0"/>
            <w:vAlign w:val="center"/>
          </w:tcPr>
          <w:p w14:paraId="0904B2E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857</w:t>
            </w:r>
          </w:p>
        </w:tc>
        <w:tc>
          <w:tcPr>
            <w:tcW w:w="1220" w:type="pct"/>
            <w:noWrap w:val="0"/>
            <w:vAlign w:val="center"/>
          </w:tcPr>
          <w:p w14:paraId="35C80B2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6439FA1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1C66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54EBAE7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225" w:type="pct"/>
            <w:noWrap w:val="0"/>
            <w:vAlign w:val="center"/>
          </w:tcPr>
          <w:p w14:paraId="260B4C0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马王中心学校</w:t>
            </w:r>
          </w:p>
        </w:tc>
        <w:tc>
          <w:tcPr>
            <w:tcW w:w="1141" w:type="pct"/>
            <w:noWrap w:val="0"/>
            <w:vAlign w:val="center"/>
          </w:tcPr>
          <w:p w14:paraId="795FCE0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470</w:t>
            </w:r>
          </w:p>
        </w:tc>
        <w:tc>
          <w:tcPr>
            <w:tcW w:w="1220" w:type="pct"/>
            <w:noWrap w:val="0"/>
            <w:vAlign w:val="center"/>
          </w:tcPr>
          <w:p w14:paraId="232BC55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36F2A5A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063A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04A9172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225" w:type="pct"/>
            <w:noWrap w:val="0"/>
            <w:vAlign w:val="center"/>
          </w:tcPr>
          <w:p w14:paraId="15FA76B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马王新庄小学</w:t>
            </w:r>
          </w:p>
        </w:tc>
        <w:tc>
          <w:tcPr>
            <w:tcW w:w="1141" w:type="pct"/>
            <w:noWrap w:val="0"/>
            <w:vAlign w:val="center"/>
          </w:tcPr>
          <w:p w14:paraId="467D035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83</w:t>
            </w:r>
          </w:p>
        </w:tc>
        <w:tc>
          <w:tcPr>
            <w:tcW w:w="1220" w:type="pct"/>
            <w:noWrap w:val="0"/>
            <w:vAlign w:val="center"/>
          </w:tcPr>
          <w:p w14:paraId="3F9159F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4379D5C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4E3C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2276594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225" w:type="pct"/>
            <w:noWrap w:val="0"/>
            <w:vAlign w:val="center"/>
          </w:tcPr>
          <w:p w14:paraId="7AF9868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马王街道新旺小学</w:t>
            </w:r>
          </w:p>
        </w:tc>
        <w:tc>
          <w:tcPr>
            <w:tcW w:w="1141" w:type="pct"/>
            <w:noWrap w:val="0"/>
            <w:vAlign w:val="center"/>
          </w:tcPr>
          <w:p w14:paraId="72CFC64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99</w:t>
            </w:r>
          </w:p>
        </w:tc>
        <w:tc>
          <w:tcPr>
            <w:tcW w:w="1220" w:type="pct"/>
            <w:noWrap w:val="0"/>
            <w:vAlign w:val="center"/>
          </w:tcPr>
          <w:p w14:paraId="5075010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3D1ED99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43F9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65F86D1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225" w:type="pct"/>
            <w:noWrap w:val="0"/>
            <w:vAlign w:val="center"/>
          </w:tcPr>
          <w:p w14:paraId="7EEB348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马王大原小学</w:t>
            </w:r>
          </w:p>
        </w:tc>
        <w:tc>
          <w:tcPr>
            <w:tcW w:w="1141" w:type="pct"/>
            <w:noWrap w:val="0"/>
            <w:vAlign w:val="center"/>
          </w:tcPr>
          <w:p w14:paraId="0192D27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130</w:t>
            </w:r>
          </w:p>
        </w:tc>
        <w:tc>
          <w:tcPr>
            <w:tcW w:w="1220" w:type="pct"/>
            <w:noWrap w:val="0"/>
            <w:vAlign w:val="center"/>
          </w:tcPr>
          <w:p w14:paraId="44EECA1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47327D6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6C15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5B63B6B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1225" w:type="pct"/>
            <w:noWrap w:val="0"/>
            <w:vAlign w:val="center"/>
          </w:tcPr>
          <w:p w14:paraId="4793080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爱华小学</w:t>
            </w:r>
          </w:p>
        </w:tc>
        <w:tc>
          <w:tcPr>
            <w:tcW w:w="1141" w:type="pct"/>
            <w:noWrap w:val="0"/>
            <w:vAlign w:val="center"/>
          </w:tcPr>
          <w:p w14:paraId="14E6FF2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617</w:t>
            </w:r>
          </w:p>
        </w:tc>
        <w:tc>
          <w:tcPr>
            <w:tcW w:w="1220" w:type="pct"/>
            <w:noWrap w:val="0"/>
            <w:vAlign w:val="center"/>
          </w:tcPr>
          <w:p w14:paraId="5DE2B3A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6764731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4FD2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gridSpan w:val="5"/>
            <w:noWrap w:val="0"/>
            <w:vAlign w:val="center"/>
          </w:tcPr>
          <w:p w14:paraId="049DD7A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合计人数：4500人</w:t>
            </w:r>
          </w:p>
        </w:tc>
      </w:tr>
    </w:tbl>
    <w:p w14:paraId="2F8B2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注:最终付款金额以采购人确定的实际供餐天数及用餐人数结算，标准每生每天5元。</w:t>
      </w:r>
    </w:p>
    <w:p w14:paraId="7D94026C">
      <w:pPr>
        <w:keepNext w:val="0"/>
        <w:keepLines w:val="0"/>
        <w:pageBreakBefore w:val="0"/>
        <w:numPr>
          <w:ilvl w:val="-1"/>
          <w:numId w:val="0"/>
        </w:numPr>
        <w:kinsoku/>
        <w:wordWrap/>
        <w:overflowPunct/>
        <w:topLinePunct w:val="0"/>
        <w:autoSpaceDE/>
        <w:autoSpaceDN/>
        <w:bidi w:val="0"/>
        <w:spacing w:line="360" w:lineRule="auto"/>
        <w:ind w:firstLine="0" w:firstLineChars="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二、采购技术要求</w:t>
      </w:r>
    </w:p>
    <w:tbl>
      <w:tblPr>
        <w:tblStyle w:val="306"/>
        <w:tblW w:w="5133" w:type="pct"/>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0"/>
        <w:gridCol w:w="1273"/>
        <w:gridCol w:w="6439"/>
        <w:gridCol w:w="867"/>
      </w:tblGrid>
      <w:tr w14:paraId="7601F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blHeader/>
        </w:trPr>
        <w:tc>
          <w:tcPr>
            <w:tcW w:w="397" w:type="pct"/>
            <w:noWrap w:val="0"/>
            <w:vAlign w:val="center"/>
          </w:tcPr>
          <w:p w14:paraId="2A396ED1">
            <w:pPr>
              <w:pStyle w:val="307"/>
              <w:keepNext w:val="0"/>
              <w:keepLines w:val="0"/>
              <w:pageBreakBefore w:val="0"/>
              <w:widowControl w:val="0"/>
              <w:kinsoku/>
              <w:wordWrap/>
              <w:overflowPunct/>
              <w:topLinePunct w:val="0"/>
              <w:autoSpaceDE/>
              <w:autoSpaceDN/>
              <w:bidi w:val="0"/>
              <w:adjustRightInd/>
              <w:snapToGrid/>
              <w:spacing w:line="288" w:lineRule="auto"/>
              <w:ind w:left="155"/>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pacing w:val="-2"/>
                <w:sz w:val="21"/>
                <w:szCs w:val="21"/>
                <w:highlight w:val="none"/>
              </w:rPr>
              <w:t>序号</w:t>
            </w:r>
          </w:p>
        </w:tc>
        <w:tc>
          <w:tcPr>
            <w:tcW w:w="683" w:type="pct"/>
            <w:noWrap w:val="0"/>
            <w:vAlign w:val="center"/>
          </w:tcPr>
          <w:p w14:paraId="26B50BDB">
            <w:pPr>
              <w:pStyle w:val="307"/>
              <w:keepNext w:val="0"/>
              <w:keepLines w:val="0"/>
              <w:pageBreakBefore w:val="0"/>
              <w:widowControl w:val="0"/>
              <w:kinsoku/>
              <w:wordWrap/>
              <w:overflowPunct/>
              <w:topLinePunct w:val="0"/>
              <w:autoSpaceDE/>
              <w:autoSpaceDN/>
              <w:bidi w:val="0"/>
              <w:adjustRightInd/>
              <w:snapToGrid/>
              <w:spacing w:line="288" w:lineRule="auto"/>
              <w:ind w:left="356"/>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pacing w:val="-3"/>
                <w:sz w:val="21"/>
                <w:szCs w:val="21"/>
                <w:highlight w:val="none"/>
              </w:rPr>
              <w:t>名称</w:t>
            </w:r>
          </w:p>
        </w:tc>
        <w:tc>
          <w:tcPr>
            <w:tcW w:w="3455" w:type="pct"/>
            <w:noWrap w:val="0"/>
            <w:vAlign w:val="center"/>
          </w:tcPr>
          <w:p w14:paraId="61C55EFE">
            <w:pPr>
              <w:pStyle w:val="307"/>
              <w:keepNext w:val="0"/>
              <w:keepLines w:val="0"/>
              <w:pageBreakBefore w:val="0"/>
              <w:widowControl w:val="0"/>
              <w:kinsoku/>
              <w:wordWrap/>
              <w:overflowPunct/>
              <w:topLinePunct w:val="0"/>
              <w:autoSpaceDE/>
              <w:autoSpaceDN/>
              <w:bidi w:val="0"/>
              <w:adjustRightInd/>
              <w:snapToGrid/>
              <w:spacing w:line="288" w:lineRule="auto"/>
              <w:ind w:left="2832"/>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pacing w:val="-1"/>
                <w:sz w:val="21"/>
                <w:szCs w:val="21"/>
                <w:highlight w:val="none"/>
              </w:rPr>
              <w:t>规格及技术参数</w:t>
            </w:r>
          </w:p>
        </w:tc>
        <w:tc>
          <w:tcPr>
            <w:tcW w:w="463" w:type="pct"/>
            <w:noWrap w:val="0"/>
            <w:vAlign w:val="center"/>
          </w:tcPr>
          <w:p w14:paraId="62BAD331">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pacing w:val="-3"/>
                <w:sz w:val="21"/>
                <w:szCs w:val="21"/>
                <w:highlight w:val="none"/>
              </w:rPr>
              <w:t>备注</w:t>
            </w:r>
          </w:p>
        </w:tc>
      </w:tr>
      <w:tr w14:paraId="07379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97" w:type="pct"/>
            <w:shd w:val="clear" w:color="auto" w:fill="auto"/>
            <w:noWrap w:val="0"/>
            <w:vAlign w:val="center"/>
          </w:tcPr>
          <w:p w14:paraId="25ABC4B6">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p w14:paraId="5D4D28E5">
            <w:pPr>
              <w:pStyle w:val="307"/>
              <w:keepNext w:val="0"/>
              <w:keepLines w:val="0"/>
              <w:pageBreakBefore w:val="0"/>
              <w:widowControl w:val="0"/>
              <w:kinsoku/>
              <w:wordWrap/>
              <w:overflowPunct/>
              <w:topLinePunct w:val="0"/>
              <w:autoSpaceDE/>
              <w:autoSpaceDN/>
              <w:bidi w:val="0"/>
              <w:adjustRightInd/>
              <w:snapToGrid/>
              <w:spacing w:line="288" w:lineRule="auto"/>
              <w:ind w:left="330" w:leftChars="0"/>
              <w:jc w:val="center"/>
              <w:textAlignment w:val="baseline"/>
              <w:rPr>
                <w:rFonts w:hint="eastAsia" w:ascii="仿宋" w:hAnsi="仿宋" w:eastAsia="仿宋" w:cs="仿宋"/>
                <w:color w:val="auto"/>
                <w:spacing w:val="-2"/>
                <w:sz w:val="21"/>
                <w:szCs w:val="21"/>
                <w:highlight w:val="none"/>
                <w:lang w:val="en-US" w:eastAsia="en-US" w:bidi="ar-SA"/>
              </w:rPr>
            </w:pPr>
            <w:r>
              <w:rPr>
                <w:rFonts w:hint="eastAsia" w:ascii="仿宋" w:hAnsi="仿宋" w:eastAsia="仿宋" w:cs="仿宋"/>
                <w:color w:val="auto"/>
                <w:sz w:val="21"/>
                <w:szCs w:val="21"/>
                <w:highlight w:val="none"/>
              </w:rPr>
              <w:t>1</w:t>
            </w:r>
          </w:p>
        </w:tc>
        <w:tc>
          <w:tcPr>
            <w:tcW w:w="683" w:type="pct"/>
            <w:shd w:val="clear" w:color="auto" w:fill="auto"/>
            <w:noWrap w:val="0"/>
            <w:vAlign w:val="center"/>
          </w:tcPr>
          <w:p w14:paraId="7FEAAD0E">
            <w:pPr>
              <w:pStyle w:val="307"/>
              <w:keepNext w:val="0"/>
              <w:keepLines w:val="0"/>
              <w:pageBreakBefore w:val="0"/>
              <w:widowControl w:val="0"/>
              <w:kinsoku/>
              <w:wordWrap/>
              <w:overflowPunct/>
              <w:topLinePunct w:val="0"/>
              <w:autoSpaceDE/>
              <w:autoSpaceDN/>
              <w:bidi w:val="0"/>
              <w:adjustRightInd/>
              <w:snapToGrid/>
              <w:spacing w:line="288" w:lineRule="auto"/>
              <w:ind w:left="142" w:leftChars="0"/>
              <w:jc w:val="center"/>
              <w:textAlignment w:val="baseline"/>
              <w:rPr>
                <w:rFonts w:hint="eastAsia" w:ascii="仿宋" w:hAnsi="仿宋" w:eastAsia="仿宋" w:cs="仿宋"/>
                <w:color w:val="auto"/>
                <w:spacing w:val="-3"/>
                <w:sz w:val="21"/>
                <w:szCs w:val="21"/>
                <w:highlight w:val="none"/>
                <w:lang w:val="en-US" w:eastAsia="en-US" w:bidi="ar-SA"/>
              </w:rPr>
            </w:pPr>
            <w:r>
              <w:rPr>
                <w:rFonts w:hint="eastAsia" w:ascii="仿宋" w:hAnsi="仿宋" w:eastAsia="仿宋" w:cs="仿宋"/>
                <w:color w:val="auto"/>
                <w:spacing w:val="-2"/>
                <w:sz w:val="21"/>
                <w:szCs w:val="21"/>
                <w:highlight w:val="none"/>
              </w:rPr>
              <w:t>米面粮类</w:t>
            </w:r>
          </w:p>
        </w:tc>
        <w:tc>
          <w:tcPr>
            <w:tcW w:w="3455" w:type="pct"/>
            <w:shd w:val="clear" w:color="auto" w:fill="auto"/>
            <w:noWrap w:val="0"/>
            <w:vAlign w:val="center"/>
          </w:tcPr>
          <w:p w14:paraId="003E3555">
            <w:pPr>
              <w:pStyle w:val="307"/>
              <w:keepNext w:val="0"/>
              <w:keepLines w:val="0"/>
              <w:pageBreakBefore w:val="0"/>
              <w:widowControl w:val="0"/>
              <w:kinsoku/>
              <w:wordWrap/>
              <w:overflowPunct/>
              <w:topLinePunct w:val="0"/>
              <w:autoSpaceDE/>
              <w:autoSpaceDN/>
              <w:bidi w:val="0"/>
              <w:adjustRightInd/>
              <w:snapToGrid/>
              <w:spacing w:line="288" w:lineRule="auto"/>
              <w:ind w:left="113" w:right="99" w:firstLine="1"/>
              <w:jc w:val="left"/>
              <w:textAlignment w:val="baseline"/>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pacing w:val="2"/>
                <w:sz w:val="21"/>
                <w:szCs w:val="21"/>
                <w:highlight w:val="none"/>
              </w:rPr>
              <w:t>大米：必须符合</w:t>
            </w:r>
            <w:r>
              <w:rPr>
                <w:rFonts w:hint="eastAsia" w:ascii="仿宋" w:hAnsi="仿宋" w:eastAsia="仿宋" w:cs="仿宋"/>
                <w:b w:val="0"/>
                <w:bCs w:val="0"/>
                <w:color w:val="auto"/>
                <w:sz w:val="21"/>
                <w:szCs w:val="21"/>
                <w:highlight w:val="none"/>
              </w:rPr>
              <w:t>GB</w:t>
            </w:r>
            <w:r>
              <w:rPr>
                <w:rFonts w:hint="eastAsia" w:ascii="仿宋" w:hAnsi="仿宋" w:eastAsia="仿宋" w:cs="仿宋"/>
                <w:b w:val="0"/>
                <w:bCs w:val="0"/>
                <w:color w:val="auto"/>
                <w:spacing w:val="2"/>
                <w:sz w:val="21"/>
                <w:szCs w:val="21"/>
                <w:highlight w:val="none"/>
              </w:rPr>
              <w:t>/T1354-2018标准（如在实施过程中有新标</w:t>
            </w:r>
            <w:r>
              <w:rPr>
                <w:rFonts w:hint="eastAsia" w:ascii="仿宋" w:hAnsi="仿宋" w:eastAsia="仿宋" w:cs="仿宋"/>
                <w:b w:val="0"/>
                <w:bCs w:val="0"/>
                <w:color w:val="auto"/>
                <w:spacing w:val="1"/>
                <w:sz w:val="21"/>
                <w:szCs w:val="21"/>
                <w:highlight w:val="none"/>
              </w:rPr>
              <w:t>准则按照新</w:t>
            </w:r>
            <w:r>
              <w:rPr>
                <w:rFonts w:hint="eastAsia" w:ascii="仿宋" w:hAnsi="仿宋" w:eastAsia="仿宋" w:cs="仿宋"/>
                <w:b w:val="0"/>
                <w:bCs w:val="0"/>
                <w:color w:val="auto"/>
                <w:sz w:val="21"/>
                <w:szCs w:val="21"/>
                <w:highlight w:val="none"/>
              </w:rPr>
              <w:t>标准执行</w:t>
            </w:r>
            <w:r>
              <w:rPr>
                <w:rFonts w:hint="eastAsia" w:ascii="仿宋" w:hAnsi="仿宋" w:eastAsia="仿宋" w:cs="仿宋"/>
                <w:b w:val="0"/>
                <w:bCs w:val="0"/>
                <w:color w:val="auto"/>
                <w:spacing w:val="4"/>
                <w:sz w:val="21"/>
                <w:szCs w:val="21"/>
                <w:highlight w:val="none"/>
              </w:rPr>
              <w:t>）</w:t>
            </w:r>
            <w:r>
              <w:rPr>
                <w:rFonts w:hint="eastAsia" w:ascii="仿宋" w:hAnsi="仿宋" w:eastAsia="仿宋" w:cs="仿宋"/>
                <w:b w:val="0"/>
                <w:bCs w:val="0"/>
                <w:color w:val="auto"/>
                <w:spacing w:val="4"/>
                <w:sz w:val="21"/>
                <w:szCs w:val="21"/>
                <w:highlight w:val="none"/>
                <w:lang w:eastAsia="zh-CN"/>
              </w:rPr>
              <w:t>，</w:t>
            </w:r>
            <w:r>
              <w:rPr>
                <w:rFonts w:hint="eastAsia" w:ascii="仿宋" w:hAnsi="仿宋" w:eastAsia="仿宋" w:cs="仿宋"/>
                <w:b w:val="0"/>
                <w:bCs w:val="0"/>
                <w:color w:val="auto"/>
                <w:sz w:val="21"/>
                <w:szCs w:val="21"/>
                <w:highlight w:val="none"/>
              </w:rPr>
              <w:t>并拥有“SC”食品质量安全认证；当年</w:t>
            </w:r>
            <w:r>
              <w:rPr>
                <w:rFonts w:hint="eastAsia" w:ascii="仿宋" w:hAnsi="仿宋" w:eastAsia="仿宋" w:cs="仿宋"/>
                <w:b w:val="0"/>
                <w:bCs w:val="0"/>
                <w:color w:val="auto"/>
                <w:spacing w:val="-1"/>
                <w:sz w:val="21"/>
                <w:szCs w:val="21"/>
                <w:highlight w:val="none"/>
              </w:rPr>
              <w:t>或上年出产的优质一</w:t>
            </w:r>
            <w:r>
              <w:rPr>
                <w:rFonts w:hint="eastAsia" w:ascii="仿宋" w:hAnsi="仿宋" w:eastAsia="仿宋" w:cs="仿宋"/>
                <w:b w:val="0"/>
                <w:bCs w:val="0"/>
                <w:color w:val="auto"/>
                <w:spacing w:val="12"/>
                <w:sz w:val="21"/>
                <w:szCs w:val="21"/>
                <w:highlight w:val="none"/>
              </w:rPr>
              <w:t>级大米，严格按国家标准生产，有生产日期、合格证，并有质量检验报</w:t>
            </w:r>
            <w:r>
              <w:rPr>
                <w:rFonts w:hint="eastAsia" w:ascii="仿宋" w:hAnsi="仿宋" w:eastAsia="仿宋" w:cs="仿宋"/>
                <w:b w:val="0"/>
                <w:bCs w:val="0"/>
                <w:color w:val="auto"/>
                <w:spacing w:val="6"/>
                <w:sz w:val="21"/>
                <w:szCs w:val="21"/>
                <w:highlight w:val="none"/>
              </w:rPr>
              <w:t>告</w:t>
            </w:r>
            <w:r>
              <w:rPr>
                <w:rFonts w:hint="eastAsia" w:ascii="仿宋" w:hAnsi="仿宋" w:eastAsia="仿宋" w:cs="仿宋"/>
                <w:b w:val="0"/>
                <w:bCs w:val="0"/>
                <w:color w:val="auto"/>
                <w:spacing w:val="6"/>
                <w:sz w:val="21"/>
                <w:szCs w:val="21"/>
                <w:highlight w:val="none"/>
                <w:lang w:eastAsia="zh-CN"/>
              </w:rPr>
              <w:t>（</w:t>
            </w:r>
            <w:r>
              <w:rPr>
                <w:rFonts w:hint="eastAsia" w:ascii="仿宋" w:hAnsi="仿宋" w:eastAsia="仿宋" w:cs="仿宋"/>
                <w:b w:val="0"/>
                <w:bCs w:val="0"/>
                <w:color w:val="auto"/>
                <w:spacing w:val="6"/>
                <w:sz w:val="21"/>
                <w:szCs w:val="21"/>
                <w:highlight w:val="none"/>
                <w:lang w:val="en-US" w:eastAsia="zh-CN"/>
              </w:rPr>
              <w:t>大米应具备镉、黄曲霉毒素等指标的检测报告</w:t>
            </w:r>
            <w:r>
              <w:rPr>
                <w:rFonts w:hint="eastAsia" w:ascii="仿宋" w:hAnsi="仿宋" w:eastAsia="仿宋" w:cs="仿宋"/>
                <w:b w:val="0"/>
                <w:bCs w:val="0"/>
                <w:color w:val="auto"/>
                <w:spacing w:val="6"/>
                <w:sz w:val="21"/>
                <w:szCs w:val="21"/>
                <w:highlight w:val="none"/>
                <w:lang w:eastAsia="zh-CN"/>
              </w:rPr>
              <w:t>），</w:t>
            </w:r>
            <w:r>
              <w:rPr>
                <w:rFonts w:hint="eastAsia" w:ascii="仿宋" w:hAnsi="仿宋" w:eastAsia="仿宋" w:cs="仿宋"/>
                <w:b w:val="0"/>
                <w:bCs w:val="0"/>
                <w:color w:val="auto"/>
                <w:spacing w:val="6"/>
                <w:sz w:val="21"/>
                <w:szCs w:val="21"/>
                <w:highlight w:val="none"/>
              </w:rPr>
              <w:t>供货时提供同批次的检验报告，且检验结果为合</w:t>
            </w:r>
            <w:r>
              <w:rPr>
                <w:rFonts w:hint="eastAsia" w:ascii="仿宋" w:hAnsi="仿宋" w:eastAsia="仿宋" w:cs="仿宋"/>
                <w:b w:val="0"/>
                <w:bCs w:val="0"/>
                <w:color w:val="auto"/>
                <w:spacing w:val="5"/>
                <w:sz w:val="21"/>
                <w:szCs w:val="21"/>
                <w:highlight w:val="none"/>
              </w:rPr>
              <w:t>格，送达时剩余质保</w:t>
            </w:r>
            <w:r>
              <w:rPr>
                <w:rFonts w:hint="eastAsia" w:ascii="仿宋" w:hAnsi="仿宋" w:eastAsia="仿宋" w:cs="仿宋"/>
                <w:b w:val="0"/>
                <w:bCs w:val="0"/>
                <w:color w:val="auto"/>
                <w:spacing w:val="-5"/>
                <w:sz w:val="21"/>
                <w:szCs w:val="21"/>
                <w:highlight w:val="none"/>
              </w:rPr>
              <w:t>期不得低于</w:t>
            </w:r>
            <w:r>
              <w:rPr>
                <w:rFonts w:hint="eastAsia" w:ascii="仿宋" w:hAnsi="仿宋" w:eastAsia="仿宋" w:cs="仿宋"/>
                <w:b w:val="0"/>
                <w:bCs w:val="0"/>
                <w:color w:val="auto"/>
                <w:spacing w:val="-5"/>
                <w:sz w:val="21"/>
                <w:szCs w:val="21"/>
                <w:highlight w:val="none"/>
                <w:lang w:val="en-US" w:eastAsia="zh-CN"/>
              </w:rPr>
              <w:t>6</w:t>
            </w:r>
            <w:r>
              <w:rPr>
                <w:rFonts w:hint="eastAsia" w:ascii="仿宋" w:hAnsi="仿宋" w:eastAsia="仿宋" w:cs="仿宋"/>
                <w:b w:val="0"/>
                <w:bCs w:val="0"/>
                <w:color w:val="auto"/>
                <w:spacing w:val="-5"/>
                <w:sz w:val="21"/>
                <w:szCs w:val="21"/>
                <w:highlight w:val="none"/>
              </w:rPr>
              <w:t>个月。</w:t>
            </w:r>
          </w:p>
          <w:p w14:paraId="4D7721EA">
            <w:pPr>
              <w:pStyle w:val="307"/>
              <w:keepNext w:val="0"/>
              <w:keepLines w:val="0"/>
              <w:pageBreakBefore w:val="0"/>
              <w:widowControl w:val="0"/>
              <w:kinsoku/>
              <w:wordWrap/>
              <w:overflowPunct/>
              <w:topLinePunct w:val="0"/>
              <w:autoSpaceDE/>
              <w:autoSpaceDN/>
              <w:bidi w:val="0"/>
              <w:adjustRightInd/>
              <w:snapToGrid/>
              <w:spacing w:line="288" w:lineRule="auto"/>
              <w:ind w:left="113" w:leftChars="0"/>
              <w:jc w:val="left"/>
              <w:textAlignment w:val="baseline"/>
              <w:rPr>
                <w:rFonts w:hint="eastAsia" w:ascii="仿宋" w:hAnsi="仿宋" w:eastAsia="仿宋" w:cs="仿宋"/>
                <w:color w:val="auto"/>
                <w:spacing w:val="-1"/>
                <w:sz w:val="21"/>
                <w:szCs w:val="21"/>
                <w:highlight w:val="none"/>
                <w:lang w:val="en-US" w:eastAsia="en-US" w:bidi="ar-SA"/>
              </w:rPr>
            </w:pPr>
            <w:r>
              <w:rPr>
                <w:rFonts w:hint="eastAsia" w:ascii="仿宋" w:hAnsi="仿宋" w:eastAsia="仿宋" w:cs="仿宋"/>
                <w:color w:val="auto"/>
                <w:spacing w:val="-1"/>
                <w:sz w:val="21"/>
                <w:szCs w:val="21"/>
                <w:highlight w:val="none"/>
                <w:lang w:val="en-US" w:eastAsia="zh-CN"/>
              </w:rPr>
              <w:t>面粉</w:t>
            </w:r>
            <w:r>
              <w:rPr>
                <w:rFonts w:hint="eastAsia" w:ascii="仿宋" w:hAnsi="仿宋" w:eastAsia="仿宋" w:cs="仿宋"/>
                <w:color w:val="auto"/>
                <w:spacing w:val="-1"/>
                <w:sz w:val="21"/>
                <w:szCs w:val="21"/>
                <w:highlight w:val="none"/>
              </w:rPr>
              <w:t>：</w:t>
            </w:r>
            <w:r>
              <w:rPr>
                <w:rFonts w:hint="eastAsia" w:ascii="仿宋" w:hAnsi="仿宋" w:eastAsia="仿宋" w:cs="仿宋"/>
                <w:color w:val="auto"/>
                <w:spacing w:val="-1"/>
                <w:sz w:val="21"/>
                <w:szCs w:val="21"/>
                <w:highlight w:val="none"/>
                <w:lang w:val="en-US" w:eastAsia="zh-CN"/>
              </w:rPr>
              <w:t>小麦粉符合GB/T 1355-2021标准，等级为精制粉；主要用途为面条、包子、馒头、烙饼等各类中式面食；色泽正常，干爽无异味；包装袋上有注册商标及SC标注，有检验合格证、</w:t>
            </w:r>
            <w:r>
              <w:rPr>
                <w:rFonts w:hint="eastAsia" w:ascii="仿宋" w:hAnsi="仿宋" w:eastAsia="仿宋" w:cs="仿宋"/>
                <w:color w:val="auto"/>
                <w:spacing w:val="-1"/>
                <w:sz w:val="21"/>
                <w:szCs w:val="21"/>
                <w:highlight w:val="none"/>
              </w:rPr>
              <w:t>送达时剩余质保期不得低于</w:t>
            </w:r>
            <w:r>
              <w:rPr>
                <w:rFonts w:hint="eastAsia" w:ascii="仿宋" w:hAnsi="仿宋" w:eastAsia="仿宋" w:cs="仿宋"/>
                <w:color w:val="auto"/>
                <w:spacing w:val="-1"/>
                <w:sz w:val="21"/>
                <w:szCs w:val="21"/>
                <w:highlight w:val="none"/>
                <w:lang w:val="en-US" w:eastAsia="zh-CN"/>
              </w:rPr>
              <w:t>3</w:t>
            </w:r>
            <w:r>
              <w:rPr>
                <w:rFonts w:hint="eastAsia" w:ascii="仿宋" w:hAnsi="仿宋" w:eastAsia="仿宋" w:cs="仿宋"/>
                <w:color w:val="auto"/>
                <w:spacing w:val="-1"/>
                <w:sz w:val="21"/>
                <w:szCs w:val="21"/>
                <w:highlight w:val="none"/>
              </w:rPr>
              <w:t>个月。</w:t>
            </w:r>
          </w:p>
        </w:tc>
        <w:tc>
          <w:tcPr>
            <w:tcW w:w="463" w:type="pct"/>
            <w:noWrap w:val="0"/>
            <w:vAlign w:val="center"/>
          </w:tcPr>
          <w:p w14:paraId="6A6A4D29">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51D5C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97" w:type="pct"/>
            <w:noWrap w:val="0"/>
            <w:vAlign w:val="center"/>
          </w:tcPr>
          <w:p w14:paraId="0B845ACA">
            <w:pPr>
              <w:pStyle w:val="307"/>
              <w:keepNext w:val="0"/>
              <w:keepLines w:val="0"/>
              <w:pageBreakBefore w:val="0"/>
              <w:widowControl w:val="0"/>
              <w:kinsoku/>
              <w:wordWrap/>
              <w:overflowPunct/>
              <w:topLinePunct w:val="0"/>
              <w:autoSpaceDE/>
              <w:autoSpaceDN/>
              <w:bidi w:val="0"/>
              <w:adjustRightInd/>
              <w:snapToGrid/>
              <w:spacing w:line="288" w:lineRule="auto"/>
              <w:ind w:left="317" w:lef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2</w:t>
            </w:r>
          </w:p>
        </w:tc>
        <w:tc>
          <w:tcPr>
            <w:tcW w:w="683" w:type="pct"/>
            <w:noWrap w:val="0"/>
            <w:vAlign w:val="center"/>
          </w:tcPr>
          <w:p w14:paraId="46E06884">
            <w:pPr>
              <w:pStyle w:val="307"/>
              <w:keepNext w:val="0"/>
              <w:keepLines w:val="0"/>
              <w:pageBreakBefore w:val="0"/>
              <w:widowControl w:val="0"/>
              <w:kinsoku/>
              <w:wordWrap/>
              <w:overflowPunct/>
              <w:topLinePunct w:val="0"/>
              <w:autoSpaceDE/>
              <w:autoSpaceDN/>
              <w:bidi w:val="0"/>
              <w:adjustRightInd/>
              <w:snapToGrid/>
              <w:spacing w:line="288" w:lineRule="auto"/>
              <w:ind w:left="248" w:leftChars="0"/>
              <w:jc w:val="both"/>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2"/>
                <w:sz w:val="21"/>
                <w:szCs w:val="21"/>
                <w:highlight w:val="none"/>
              </w:rPr>
              <w:t>菜籽油</w:t>
            </w:r>
          </w:p>
        </w:tc>
        <w:tc>
          <w:tcPr>
            <w:tcW w:w="3455" w:type="pct"/>
            <w:noWrap w:val="0"/>
            <w:vAlign w:val="center"/>
          </w:tcPr>
          <w:p w14:paraId="2D40C670">
            <w:pPr>
              <w:pStyle w:val="307"/>
              <w:keepNext w:val="0"/>
              <w:keepLines w:val="0"/>
              <w:pageBreakBefore w:val="0"/>
              <w:widowControl w:val="0"/>
              <w:kinsoku/>
              <w:wordWrap/>
              <w:overflowPunct/>
              <w:topLinePunct w:val="0"/>
              <w:autoSpaceDE/>
              <w:autoSpaceDN/>
              <w:bidi w:val="0"/>
              <w:adjustRightInd/>
              <w:snapToGrid/>
              <w:spacing w:line="288" w:lineRule="auto"/>
              <w:ind w:left="109" w:leftChars="0" w:right="98" w:rightChars="0" w:firstLine="4" w:firstLine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b w:val="0"/>
                <w:bCs w:val="0"/>
                <w:color w:val="auto"/>
                <w:spacing w:val="11"/>
                <w:sz w:val="21"/>
                <w:szCs w:val="21"/>
                <w:highlight w:val="none"/>
              </w:rPr>
              <w:t>桶装物理压榨，国标二级及以上非转基因纯菜籽油，必须符合GB/T 1536-2021 </w:t>
            </w:r>
            <w:r>
              <w:rPr>
                <w:rFonts w:hint="eastAsia" w:ascii="仿宋" w:hAnsi="仿宋" w:eastAsia="仿宋" w:cs="仿宋"/>
                <w:b w:val="0"/>
                <w:bCs w:val="0"/>
                <w:color w:val="auto"/>
                <w:spacing w:val="-3"/>
                <w:sz w:val="21"/>
                <w:szCs w:val="21"/>
                <w:highlight w:val="none"/>
              </w:rPr>
              <w:t>（如在实施过程中有新标准则按照新标准执行</w:t>
            </w:r>
            <w:r>
              <w:rPr>
                <w:rFonts w:hint="eastAsia" w:ascii="仿宋" w:hAnsi="仿宋" w:eastAsia="仿宋" w:cs="仿宋"/>
                <w:b w:val="0"/>
                <w:bCs w:val="0"/>
                <w:color w:val="auto"/>
                <w:spacing w:val="-5"/>
                <w:sz w:val="21"/>
                <w:szCs w:val="21"/>
                <w:highlight w:val="none"/>
              </w:rPr>
              <w:t>），</w:t>
            </w:r>
            <w:r>
              <w:rPr>
                <w:rFonts w:hint="eastAsia" w:ascii="仿宋" w:hAnsi="仿宋" w:eastAsia="仿宋" w:cs="仿宋"/>
                <w:b w:val="0"/>
                <w:bCs w:val="0"/>
                <w:color w:val="auto"/>
                <w:spacing w:val="-3"/>
                <w:sz w:val="21"/>
                <w:szCs w:val="21"/>
                <w:highlight w:val="none"/>
              </w:rPr>
              <w:t>并具</w:t>
            </w:r>
            <w:r>
              <w:rPr>
                <w:rFonts w:hint="eastAsia" w:ascii="仿宋" w:hAnsi="仿宋" w:eastAsia="仿宋" w:cs="仿宋"/>
                <w:b w:val="0"/>
                <w:bCs w:val="0"/>
                <w:color w:val="auto"/>
                <w:spacing w:val="6"/>
                <w:sz w:val="21"/>
                <w:szCs w:val="21"/>
                <w:highlight w:val="none"/>
              </w:rPr>
              <w:t>有"</w:t>
            </w:r>
            <w:r>
              <w:rPr>
                <w:rFonts w:hint="eastAsia" w:ascii="仿宋" w:hAnsi="仿宋" w:eastAsia="仿宋" w:cs="仿宋"/>
                <w:b w:val="0"/>
                <w:bCs w:val="0"/>
                <w:color w:val="auto"/>
                <w:sz w:val="21"/>
                <w:szCs w:val="21"/>
                <w:highlight w:val="none"/>
              </w:rPr>
              <w:t>SC</w:t>
            </w:r>
            <w:r>
              <w:rPr>
                <w:rFonts w:hint="eastAsia" w:ascii="仿宋" w:hAnsi="仿宋" w:eastAsia="仿宋" w:cs="仿宋"/>
                <w:b w:val="0"/>
                <w:bCs w:val="0"/>
                <w:color w:val="auto"/>
                <w:spacing w:val="6"/>
                <w:sz w:val="21"/>
                <w:szCs w:val="21"/>
                <w:highlight w:val="none"/>
              </w:rPr>
              <w:t>"食品质量安全认证，感官较好、无添加</w:t>
            </w:r>
            <w:r>
              <w:rPr>
                <w:rFonts w:hint="eastAsia" w:ascii="仿宋" w:hAnsi="仿宋" w:eastAsia="仿宋" w:cs="仿宋"/>
                <w:b w:val="0"/>
                <w:bCs w:val="0"/>
                <w:color w:val="auto"/>
                <w:spacing w:val="5"/>
                <w:sz w:val="21"/>
                <w:szCs w:val="21"/>
                <w:highlight w:val="none"/>
              </w:rPr>
              <w:t>任何杂质，除菜籽香味外无</w:t>
            </w:r>
            <w:r>
              <w:rPr>
                <w:rFonts w:hint="eastAsia" w:ascii="仿宋" w:hAnsi="仿宋" w:eastAsia="仿宋" w:cs="仿宋"/>
                <w:b w:val="0"/>
                <w:bCs w:val="0"/>
                <w:color w:val="auto"/>
                <w:spacing w:val="6"/>
                <w:sz w:val="21"/>
                <w:szCs w:val="21"/>
                <w:highlight w:val="none"/>
              </w:rPr>
              <w:t>其他怪味，加热后无</w:t>
            </w:r>
            <w:r>
              <w:rPr>
                <w:rFonts w:hint="eastAsia" w:ascii="仿宋" w:hAnsi="仿宋" w:eastAsia="仿宋" w:cs="仿宋"/>
                <w:b w:val="0"/>
                <w:bCs w:val="0"/>
                <w:color w:val="auto"/>
                <w:spacing w:val="6"/>
                <w:sz w:val="21"/>
                <w:szCs w:val="21"/>
                <w:highlight w:val="none"/>
                <w:lang w:eastAsia="zh-CN"/>
              </w:rPr>
              <w:t>刺</w:t>
            </w:r>
            <w:r>
              <w:rPr>
                <w:rFonts w:hint="eastAsia" w:ascii="仿宋" w:hAnsi="仿宋" w:eastAsia="仿宋" w:cs="仿宋"/>
                <w:b w:val="0"/>
                <w:bCs w:val="0"/>
                <w:color w:val="auto"/>
                <w:spacing w:val="6"/>
                <w:sz w:val="21"/>
                <w:szCs w:val="21"/>
                <w:highlight w:val="none"/>
              </w:rPr>
              <w:t>鼻、呛人气味。有生产日期、合格证</w:t>
            </w:r>
            <w:r>
              <w:rPr>
                <w:rFonts w:hint="eastAsia" w:ascii="仿宋" w:hAnsi="仿宋" w:eastAsia="仿宋" w:cs="仿宋"/>
                <w:b w:val="0"/>
                <w:bCs w:val="0"/>
                <w:color w:val="auto"/>
                <w:spacing w:val="5"/>
                <w:sz w:val="21"/>
                <w:szCs w:val="21"/>
                <w:highlight w:val="none"/>
              </w:rPr>
              <w:t>、并有质量检</w:t>
            </w:r>
            <w:r>
              <w:rPr>
                <w:rFonts w:hint="eastAsia" w:ascii="仿宋" w:hAnsi="仿宋" w:eastAsia="仿宋" w:cs="仿宋"/>
                <w:b w:val="0"/>
                <w:bCs w:val="0"/>
                <w:color w:val="auto"/>
                <w:spacing w:val="6"/>
                <w:sz w:val="21"/>
                <w:szCs w:val="21"/>
                <w:highlight w:val="none"/>
              </w:rPr>
              <w:t>验报告。供货时有同批次检验报告，且检验报告结果为合格</w:t>
            </w:r>
            <w:r>
              <w:rPr>
                <w:rFonts w:hint="eastAsia" w:ascii="仿宋" w:hAnsi="仿宋" w:eastAsia="仿宋" w:cs="仿宋"/>
                <w:b w:val="0"/>
                <w:bCs w:val="0"/>
                <w:color w:val="auto"/>
                <w:spacing w:val="5"/>
                <w:sz w:val="21"/>
                <w:szCs w:val="21"/>
                <w:highlight w:val="none"/>
              </w:rPr>
              <w:t>，送达时剩余</w:t>
            </w:r>
            <w:r>
              <w:rPr>
                <w:rFonts w:hint="eastAsia" w:ascii="仿宋" w:hAnsi="仿宋" w:eastAsia="仿宋" w:cs="仿宋"/>
                <w:b w:val="0"/>
                <w:bCs w:val="0"/>
                <w:color w:val="auto"/>
                <w:spacing w:val="-4"/>
                <w:sz w:val="21"/>
                <w:szCs w:val="21"/>
                <w:highlight w:val="none"/>
              </w:rPr>
              <w:t>质保期不得低于6个月。</w:t>
            </w:r>
          </w:p>
        </w:tc>
        <w:tc>
          <w:tcPr>
            <w:tcW w:w="463" w:type="pct"/>
            <w:noWrap w:val="0"/>
            <w:vAlign w:val="center"/>
          </w:tcPr>
          <w:p w14:paraId="17D8FCE7">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6BB2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97" w:type="pct"/>
            <w:noWrap w:val="0"/>
            <w:vAlign w:val="center"/>
          </w:tcPr>
          <w:p w14:paraId="5946EA17">
            <w:pPr>
              <w:pStyle w:val="307"/>
              <w:keepNext w:val="0"/>
              <w:keepLines w:val="0"/>
              <w:pageBreakBefore w:val="0"/>
              <w:widowControl w:val="0"/>
              <w:kinsoku/>
              <w:wordWrap/>
              <w:overflowPunct/>
              <w:topLinePunct w:val="0"/>
              <w:autoSpaceDE/>
              <w:autoSpaceDN/>
              <w:bidi w:val="0"/>
              <w:adjustRightInd/>
              <w:snapToGrid/>
              <w:spacing w:line="288" w:lineRule="auto"/>
              <w:ind w:left="319" w:lef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3</w:t>
            </w:r>
          </w:p>
        </w:tc>
        <w:tc>
          <w:tcPr>
            <w:tcW w:w="683" w:type="pct"/>
            <w:noWrap w:val="0"/>
            <w:vAlign w:val="center"/>
          </w:tcPr>
          <w:p w14:paraId="13672CF9">
            <w:pPr>
              <w:pStyle w:val="307"/>
              <w:keepNext w:val="0"/>
              <w:keepLines w:val="0"/>
              <w:pageBreakBefore w:val="0"/>
              <w:widowControl w:val="0"/>
              <w:kinsoku/>
              <w:wordWrap/>
              <w:overflowPunct/>
              <w:topLinePunct w:val="0"/>
              <w:autoSpaceDE/>
              <w:autoSpaceDN/>
              <w:bidi w:val="0"/>
              <w:adjustRightInd/>
              <w:snapToGrid/>
              <w:spacing w:line="288" w:lineRule="auto"/>
              <w:ind w:left="147" w:leftChars="0" w:right="169" w:firstLine="206"/>
              <w:jc w:val="center"/>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鲜肉</w:t>
            </w:r>
            <w:r>
              <w:rPr>
                <w:rFonts w:hint="eastAsia" w:ascii="仿宋" w:hAnsi="仿宋" w:eastAsia="仿宋" w:cs="仿宋"/>
                <w:color w:val="auto"/>
                <w:spacing w:val="21"/>
                <w:sz w:val="21"/>
                <w:szCs w:val="21"/>
                <w:highlight w:val="none"/>
              </w:rPr>
              <w:t>（猪、</w:t>
            </w:r>
            <w:r>
              <w:rPr>
                <w:rFonts w:hint="eastAsia" w:ascii="仿宋" w:hAnsi="仿宋" w:eastAsia="仿宋" w:cs="仿宋"/>
                <w:color w:val="auto"/>
                <w:spacing w:val="-11"/>
                <w:sz w:val="21"/>
                <w:szCs w:val="21"/>
                <w:highlight w:val="none"/>
              </w:rPr>
              <w:t>牛、羊、</w:t>
            </w:r>
            <w:r>
              <w:rPr>
                <w:rFonts w:hint="eastAsia" w:ascii="仿宋" w:hAnsi="仿宋" w:eastAsia="仿宋" w:cs="仿宋"/>
                <w:color w:val="auto"/>
                <w:spacing w:val="-1"/>
                <w:sz w:val="21"/>
                <w:szCs w:val="21"/>
                <w:highlight w:val="none"/>
              </w:rPr>
              <w:t>鸡、鹅、</w:t>
            </w:r>
            <w:r>
              <w:rPr>
                <w:rFonts w:hint="eastAsia" w:ascii="仿宋" w:hAnsi="仿宋" w:eastAsia="仿宋" w:cs="仿宋"/>
                <w:color w:val="auto"/>
                <w:spacing w:val="-7"/>
                <w:sz w:val="21"/>
                <w:szCs w:val="21"/>
                <w:highlight w:val="none"/>
              </w:rPr>
              <w:t>鸭）</w:t>
            </w:r>
          </w:p>
        </w:tc>
        <w:tc>
          <w:tcPr>
            <w:tcW w:w="3455" w:type="pct"/>
            <w:noWrap w:val="0"/>
            <w:vAlign w:val="center"/>
          </w:tcPr>
          <w:p w14:paraId="40E19B09">
            <w:pPr>
              <w:pStyle w:val="307"/>
              <w:keepNext w:val="0"/>
              <w:keepLines w:val="0"/>
              <w:pageBreakBefore w:val="0"/>
              <w:widowControl w:val="0"/>
              <w:kinsoku/>
              <w:wordWrap/>
              <w:overflowPunct/>
              <w:topLinePunct w:val="0"/>
              <w:autoSpaceDE/>
              <w:autoSpaceDN/>
              <w:bidi w:val="0"/>
              <w:adjustRightInd/>
              <w:snapToGrid/>
              <w:spacing w:line="288" w:lineRule="auto"/>
              <w:ind w:left="113"/>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新鲜生猪肉：须来自国家定点屠宰场</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rPr>
              <w:t>并提供</w:t>
            </w:r>
            <w:r>
              <w:rPr>
                <w:rFonts w:hint="eastAsia" w:ascii="仿宋" w:hAnsi="仿宋" w:eastAsia="仿宋" w:cs="仿宋"/>
                <w:color w:val="auto"/>
                <w:spacing w:val="5"/>
                <w:sz w:val="21"/>
                <w:szCs w:val="21"/>
                <w:highlight w:val="none"/>
                <w:lang w:val="en-US" w:eastAsia="zh-CN"/>
              </w:rPr>
              <w:t>两证</w:t>
            </w:r>
            <w:r>
              <w:rPr>
                <w:rFonts w:hint="eastAsia" w:ascii="仿宋" w:hAnsi="仿宋" w:eastAsia="仿宋" w:cs="仿宋"/>
                <w:color w:val="auto"/>
                <w:spacing w:val="5"/>
                <w:sz w:val="21"/>
                <w:szCs w:val="21"/>
                <w:highlight w:val="none"/>
              </w:rPr>
              <w:t>两章</w:t>
            </w:r>
          </w:p>
          <w:p w14:paraId="741FB36F">
            <w:pPr>
              <w:pStyle w:val="307"/>
              <w:keepNext w:val="0"/>
              <w:keepLines w:val="0"/>
              <w:pageBreakBefore w:val="0"/>
              <w:widowControl w:val="0"/>
              <w:kinsoku/>
              <w:wordWrap/>
              <w:overflowPunct/>
              <w:topLinePunct w:val="0"/>
              <w:autoSpaceDE/>
              <w:autoSpaceDN/>
              <w:bidi w:val="0"/>
              <w:adjustRightInd/>
              <w:snapToGrid/>
              <w:spacing w:line="288" w:lineRule="auto"/>
              <w:ind w:left="112" w:right="100"/>
              <w:jc w:val="lef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6"/>
                <w:sz w:val="21"/>
                <w:szCs w:val="21"/>
                <w:highlight w:val="none"/>
              </w:rPr>
              <w:t>两证</w:t>
            </w:r>
            <w:r>
              <w:rPr>
                <w:rFonts w:hint="eastAsia" w:ascii="仿宋" w:hAnsi="仿宋" w:eastAsia="仿宋" w:cs="仿宋"/>
                <w:color w:val="auto"/>
                <w:spacing w:val="6"/>
                <w:sz w:val="21"/>
                <w:szCs w:val="21"/>
                <w:highlight w:val="none"/>
                <w:lang w:val="en-US" w:eastAsia="zh-CN"/>
              </w:rPr>
              <w:t>两章</w:t>
            </w:r>
            <w:r>
              <w:rPr>
                <w:rFonts w:hint="eastAsia" w:ascii="仿宋" w:hAnsi="仿宋" w:eastAsia="仿宋" w:cs="仿宋"/>
                <w:color w:val="auto"/>
                <w:spacing w:val="6"/>
                <w:sz w:val="21"/>
                <w:szCs w:val="21"/>
                <w:highlight w:val="none"/>
              </w:rPr>
              <w:t>即：有动物检疫验讫印章和动物检验验讫印章、</w:t>
            </w:r>
            <w:r>
              <w:rPr>
                <w:rFonts w:hint="eastAsia" w:ascii="仿宋" w:hAnsi="仿宋" w:eastAsia="仿宋" w:cs="仿宋"/>
                <w:color w:val="auto"/>
                <w:spacing w:val="5"/>
                <w:sz w:val="21"/>
                <w:szCs w:val="21"/>
                <w:highlight w:val="none"/>
              </w:rPr>
              <w:t>有动物检验检疫合格</w:t>
            </w:r>
            <w:r>
              <w:rPr>
                <w:rFonts w:hint="eastAsia" w:ascii="仿宋" w:hAnsi="仿宋" w:eastAsia="仿宋" w:cs="仿宋"/>
                <w:color w:val="auto"/>
                <w:spacing w:val="6"/>
                <w:sz w:val="21"/>
                <w:szCs w:val="21"/>
                <w:highlight w:val="none"/>
              </w:rPr>
              <w:t>证明和品质检验合格证明，加盖相应印章（简称</w:t>
            </w:r>
            <w:r>
              <w:rPr>
                <w:rFonts w:hint="eastAsia" w:ascii="仿宋" w:hAnsi="仿宋" w:eastAsia="仿宋" w:cs="仿宋"/>
                <w:color w:val="auto"/>
                <w:spacing w:val="5"/>
                <w:sz w:val="21"/>
                <w:szCs w:val="21"/>
                <w:highlight w:val="none"/>
              </w:rPr>
              <w:t>“两证两章”</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5"/>
                <w:sz w:val="21"/>
                <w:szCs w:val="21"/>
                <w:highlight w:val="none"/>
              </w:rPr>
              <w:t>建立猪</w:t>
            </w:r>
            <w:r>
              <w:rPr>
                <w:rFonts w:hint="eastAsia" w:ascii="仿宋" w:hAnsi="仿宋" w:eastAsia="仿宋" w:cs="仿宋"/>
                <w:color w:val="auto"/>
                <w:spacing w:val="1"/>
                <w:sz w:val="21"/>
                <w:szCs w:val="21"/>
                <w:highlight w:val="none"/>
              </w:rPr>
              <w:t>肉溯源体系（禁止供应种猪、瘟、病等异常猪肉及冻肉等劣质猪肉</w:t>
            </w:r>
            <w:r>
              <w:rPr>
                <w:rFonts w:hint="eastAsia" w:ascii="仿宋" w:hAnsi="仿宋" w:eastAsia="仿宋" w:cs="仿宋"/>
                <w:color w:val="auto"/>
                <w:spacing w:val="-8"/>
                <w:sz w:val="21"/>
                <w:szCs w:val="21"/>
                <w:highlight w:val="none"/>
              </w:rPr>
              <w:t>），</w:t>
            </w:r>
            <w:r>
              <w:rPr>
                <w:rFonts w:hint="eastAsia" w:ascii="仿宋" w:hAnsi="仿宋" w:eastAsia="仿宋" w:cs="仿宋"/>
                <w:color w:val="auto"/>
                <w:spacing w:val="1"/>
                <w:sz w:val="21"/>
                <w:szCs w:val="21"/>
                <w:highlight w:val="none"/>
              </w:rPr>
              <w:t>提</w:t>
            </w:r>
            <w:r>
              <w:rPr>
                <w:rFonts w:hint="eastAsia" w:ascii="仿宋" w:hAnsi="仿宋" w:eastAsia="仿宋" w:cs="仿宋"/>
                <w:color w:val="auto"/>
                <w:spacing w:val="-6"/>
                <w:sz w:val="21"/>
                <w:szCs w:val="21"/>
                <w:highlight w:val="none"/>
              </w:rPr>
              <w:t>供安全卫生包装物，有生产时间、批次。</w:t>
            </w:r>
          </w:p>
          <w:p w14:paraId="7C48610D">
            <w:pPr>
              <w:pStyle w:val="307"/>
              <w:keepNext w:val="0"/>
              <w:keepLines w:val="0"/>
              <w:pageBreakBefore w:val="0"/>
              <w:widowControl w:val="0"/>
              <w:kinsoku/>
              <w:wordWrap/>
              <w:overflowPunct/>
              <w:topLinePunct w:val="0"/>
              <w:autoSpaceDE/>
              <w:autoSpaceDN/>
              <w:bidi w:val="0"/>
              <w:adjustRightInd/>
              <w:snapToGrid/>
              <w:spacing w:line="288" w:lineRule="auto"/>
              <w:ind w:left="114"/>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5"/>
                <w:sz w:val="21"/>
                <w:szCs w:val="21"/>
                <w:highlight w:val="none"/>
              </w:rPr>
              <w:t>色泽：肌肉有光泽，红色均匀，脂肪乳白色</w:t>
            </w:r>
          </w:p>
          <w:p w14:paraId="2E5CF96A">
            <w:pPr>
              <w:pStyle w:val="307"/>
              <w:keepNext w:val="0"/>
              <w:keepLines w:val="0"/>
              <w:pageBreakBefore w:val="0"/>
              <w:widowControl w:val="0"/>
              <w:kinsoku/>
              <w:wordWrap/>
              <w:overflowPunct/>
              <w:topLinePunct w:val="0"/>
              <w:autoSpaceDE/>
              <w:autoSpaceDN/>
              <w:bidi w:val="0"/>
              <w:adjustRightInd/>
              <w:snapToGrid/>
              <w:spacing w:line="288" w:lineRule="auto"/>
              <w:ind w:left="112"/>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粘度：外表湿润，不粘手</w:t>
            </w:r>
          </w:p>
          <w:p w14:paraId="52F23875">
            <w:pPr>
              <w:pStyle w:val="307"/>
              <w:keepNext w:val="0"/>
              <w:keepLines w:val="0"/>
              <w:pageBreakBefore w:val="0"/>
              <w:widowControl w:val="0"/>
              <w:kinsoku/>
              <w:wordWrap/>
              <w:overflowPunct/>
              <w:topLinePunct w:val="0"/>
              <w:autoSpaceDE/>
              <w:autoSpaceDN/>
              <w:bidi w:val="0"/>
              <w:adjustRightInd/>
              <w:snapToGrid/>
              <w:spacing w:line="288" w:lineRule="auto"/>
              <w:ind w:left="113"/>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气味：具有鲜肉固有的气味，无异味</w:t>
            </w:r>
          </w:p>
          <w:p w14:paraId="67843043">
            <w:pPr>
              <w:pStyle w:val="307"/>
              <w:keepNext w:val="0"/>
              <w:keepLines w:val="0"/>
              <w:pageBreakBefore w:val="0"/>
              <w:widowControl w:val="0"/>
              <w:kinsoku/>
              <w:wordWrap/>
              <w:overflowPunct/>
              <w:topLinePunct w:val="0"/>
              <w:autoSpaceDE/>
              <w:autoSpaceDN/>
              <w:bidi w:val="0"/>
              <w:adjustRightInd/>
              <w:snapToGrid/>
              <w:spacing w:line="288" w:lineRule="auto"/>
              <w:ind w:left="112" w:leftChars="0" w:right="100" w:right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color w:val="auto"/>
                <w:spacing w:val="-4"/>
                <w:sz w:val="21"/>
                <w:szCs w:val="21"/>
                <w:highlight w:val="none"/>
              </w:rPr>
              <w:t>要求不带筋络，去骨去皮，肥肉不超过30%，育肥猪龄达8个月以上，羊肉</w:t>
            </w:r>
            <w:r>
              <w:rPr>
                <w:rFonts w:hint="eastAsia" w:ascii="仿宋" w:hAnsi="仿宋" w:eastAsia="仿宋" w:cs="仿宋"/>
                <w:color w:val="auto"/>
                <w:spacing w:val="6"/>
                <w:sz w:val="21"/>
                <w:szCs w:val="21"/>
                <w:highlight w:val="none"/>
              </w:rPr>
              <w:t>或牛肉的规格参数参照猪肉的采购要求，不带筋络，去</w:t>
            </w:r>
            <w:r>
              <w:rPr>
                <w:rFonts w:hint="eastAsia" w:ascii="仿宋" w:hAnsi="仿宋" w:eastAsia="仿宋" w:cs="仿宋"/>
                <w:color w:val="auto"/>
                <w:spacing w:val="5"/>
                <w:sz w:val="21"/>
                <w:szCs w:val="21"/>
                <w:highlight w:val="none"/>
              </w:rPr>
              <w:t>皮去骨，如需供应</w:t>
            </w:r>
            <w:r>
              <w:rPr>
                <w:rFonts w:hint="eastAsia" w:ascii="仿宋" w:hAnsi="仿宋" w:eastAsia="仿宋" w:cs="仿宋"/>
                <w:color w:val="auto"/>
                <w:spacing w:val="6"/>
                <w:sz w:val="21"/>
                <w:szCs w:val="21"/>
                <w:highlight w:val="none"/>
              </w:rPr>
              <w:t>鲜鸡鸭等鲜肉，须具有动物检验检疫合格证明和肉质品</w:t>
            </w:r>
            <w:r>
              <w:rPr>
                <w:rFonts w:hint="eastAsia" w:ascii="仿宋" w:hAnsi="仿宋" w:eastAsia="仿宋" w:cs="仿宋"/>
                <w:color w:val="auto"/>
                <w:spacing w:val="5"/>
                <w:sz w:val="21"/>
                <w:szCs w:val="21"/>
                <w:highlight w:val="none"/>
              </w:rPr>
              <w:t>质合格证，并建好</w:t>
            </w:r>
            <w:r>
              <w:rPr>
                <w:rFonts w:hint="eastAsia" w:ascii="仿宋" w:hAnsi="仿宋" w:eastAsia="仿宋" w:cs="仿宋"/>
                <w:color w:val="auto"/>
                <w:spacing w:val="6"/>
                <w:sz w:val="21"/>
                <w:szCs w:val="21"/>
                <w:highlight w:val="none"/>
              </w:rPr>
              <w:t>溯源体系。不得提供病类、疫禽类产品。为促进地方经</w:t>
            </w:r>
            <w:r>
              <w:rPr>
                <w:rFonts w:hint="eastAsia" w:ascii="仿宋" w:hAnsi="仿宋" w:eastAsia="仿宋" w:cs="仿宋"/>
                <w:color w:val="auto"/>
                <w:spacing w:val="5"/>
                <w:sz w:val="21"/>
                <w:szCs w:val="21"/>
                <w:highlight w:val="none"/>
              </w:rPr>
              <w:t>济发展，可优选本</w:t>
            </w:r>
            <w:r>
              <w:rPr>
                <w:rFonts w:hint="eastAsia" w:ascii="仿宋" w:hAnsi="仿宋" w:eastAsia="仿宋" w:cs="仿宋"/>
                <w:color w:val="auto"/>
                <w:spacing w:val="6"/>
                <w:sz w:val="21"/>
                <w:szCs w:val="21"/>
                <w:highlight w:val="none"/>
              </w:rPr>
              <w:t>地农户饲养可溯源优质育肥猪、肉牛、山羊、散养土鸡</w:t>
            </w:r>
            <w:r>
              <w:rPr>
                <w:rFonts w:hint="eastAsia" w:ascii="仿宋" w:hAnsi="仿宋" w:eastAsia="仿宋" w:cs="仿宋"/>
                <w:color w:val="auto"/>
                <w:spacing w:val="5"/>
                <w:sz w:val="21"/>
                <w:szCs w:val="21"/>
                <w:highlight w:val="none"/>
              </w:rPr>
              <w:t>、本地灰鹅、鸭子</w:t>
            </w:r>
            <w:r>
              <w:rPr>
                <w:rFonts w:hint="eastAsia" w:ascii="仿宋" w:hAnsi="仿宋" w:eastAsia="仿宋" w:cs="仿宋"/>
                <w:color w:val="auto"/>
                <w:spacing w:val="-10"/>
                <w:sz w:val="21"/>
                <w:szCs w:val="21"/>
                <w:highlight w:val="none"/>
              </w:rPr>
              <w:t>等。</w:t>
            </w:r>
          </w:p>
        </w:tc>
        <w:tc>
          <w:tcPr>
            <w:tcW w:w="463" w:type="pct"/>
            <w:noWrap w:val="0"/>
            <w:vAlign w:val="center"/>
          </w:tcPr>
          <w:p w14:paraId="29414B05">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64D5A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397" w:type="pct"/>
            <w:noWrap w:val="0"/>
            <w:vAlign w:val="center"/>
          </w:tcPr>
          <w:p w14:paraId="3A3D3F63">
            <w:pPr>
              <w:pStyle w:val="307"/>
              <w:keepNext w:val="0"/>
              <w:keepLines w:val="0"/>
              <w:pageBreakBefore w:val="0"/>
              <w:widowControl w:val="0"/>
              <w:kinsoku/>
              <w:wordWrap/>
              <w:overflowPunct/>
              <w:topLinePunct w:val="0"/>
              <w:autoSpaceDE/>
              <w:autoSpaceDN/>
              <w:bidi w:val="0"/>
              <w:adjustRightInd/>
              <w:snapToGrid/>
              <w:spacing w:line="288" w:lineRule="auto"/>
              <w:ind w:left="314" w:lef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4</w:t>
            </w:r>
          </w:p>
        </w:tc>
        <w:tc>
          <w:tcPr>
            <w:tcW w:w="683" w:type="pct"/>
            <w:noWrap w:val="0"/>
            <w:vAlign w:val="center"/>
          </w:tcPr>
          <w:p w14:paraId="552335B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禽蛋类</w:t>
            </w:r>
          </w:p>
          <w:p w14:paraId="019E4F7F">
            <w:pPr>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z w:val="21"/>
                <w:szCs w:val="21"/>
                <w:highlight w:val="none"/>
              </w:rPr>
              <w:t>（鸡蛋）</w:t>
            </w:r>
          </w:p>
        </w:tc>
        <w:tc>
          <w:tcPr>
            <w:tcW w:w="3455" w:type="pct"/>
            <w:noWrap w:val="0"/>
            <w:vAlign w:val="center"/>
          </w:tcPr>
          <w:p w14:paraId="730D105E">
            <w:pPr>
              <w:pStyle w:val="307"/>
              <w:keepNext w:val="0"/>
              <w:keepLines w:val="0"/>
              <w:pageBreakBefore w:val="0"/>
              <w:widowControl w:val="0"/>
              <w:kinsoku/>
              <w:wordWrap/>
              <w:overflowPunct/>
              <w:topLinePunct w:val="0"/>
              <w:autoSpaceDE/>
              <w:autoSpaceDN/>
              <w:bidi w:val="0"/>
              <w:adjustRightInd/>
              <w:snapToGrid/>
              <w:spacing w:line="288" w:lineRule="auto"/>
              <w:ind w:left="113" w:leftChars="0" w:right="97" w:rightChars="0" w:hanging="2" w:firstLine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color w:val="auto"/>
                <w:spacing w:val="-8"/>
                <w:sz w:val="21"/>
                <w:szCs w:val="21"/>
                <w:highlight w:val="none"/>
              </w:rPr>
              <w:t>鸡蛋：</w:t>
            </w:r>
            <w:r>
              <w:rPr>
                <w:rFonts w:hint="eastAsia" w:ascii="仿宋" w:hAnsi="仿宋" w:eastAsia="仿宋" w:cs="仿宋"/>
                <w:b w:val="0"/>
                <w:bCs w:val="0"/>
                <w:color w:val="auto"/>
                <w:spacing w:val="6"/>
                <w:sz w:val="21"/>
                <w:szCs w:val="21"/>
                <w:highlight w:val="none"/>
              </w:rPr>
              <w:t>供货时提供同批次的</w:t>
            </w:r>
            <w:r>
              <w:rPr>
                <w:rFonts w:hint="eastAsia" w:ascii="仿宋" w:hAnsi="仿宋" w:eastAsia="仿宋" w:cs="仿宋"/>
                <w:b w:val="0"/>
                <w:bCs w:val="0"/>
                <w:color w:val="auto"/>
                <w:spacing w:val="6"/>
                <w:sz w:val="21"/>
                <w:szCs w:val="21"/>
                <w:highlight w:val="none"/>
                <w:lang w:val="en-US" w:eastAsia="zh-CN"/>
              </w:rPr>
              <w:t>出厂</w:t>
            </w:r>
            <w:r>
              <w:rPr>
                <w:rFonts w:hint="eastAsia" w:ascii="仿宋" w:hAnsi="仿宋" w:eastAsia="仿宋" w:cs="仿宋"/>
                <w:b w:val="0"/>
                <w:bCs w:val="0"/>
                <w:color w:val="auto"/>
                <w:spacing w:val="6"/>
                <w:sz w:val="21"/>
                <w:szCs w:val="21"/>
                <w:highlight w:val="none"/>
              </w:rPr>
              <w:t>检验报告，且检验结果为合</w:t>
            </w:r>
            <w:r>
              <w:rPr>
                <w:rFonts w:hint="eastAsia" w:ascii="仿宋" w:hAnsi="仿宋" w:eastAsia="仿宋" w:cs="仿宋"/>
                <w:b w:val="0"/>
                <w:bCs w:val="0"/>
                <w:color w:val="auto"/>
                <w:spacing w:val="5"/>
                <w:sz w:val="21"/>
                <w:szCs w:val="21"/>
                <w:highlight w:val="none"/>
              </w:rPr>
              <w:t>格</w:t>
            </w:r>
            <w:r>
              <w:rPr>
                <w:rFonts w:hint="eastAsia" w:ascii="仿宋" w:hAnsi="仿宋" w:eastAsia="仿宋" w:cs="仿宋"/>
                <w:b w:val="0"/>
                <w:bCs w:val="0"/>
                <w:color w:val="auto"/>
                <w:spacing w:val="5"/>
                <w:sz w:val="21"/>
                <w:szCs w:val="21"/>
                <w:highlight w:val="none"/>
                <w:lang w:eastAsia="zh-CN"/>
              </w:rPr>
              <w:t>，</w:t>
            </w:r>
            <w:r>
              <w:rPr>
                <w:rFonts w:hint="eastAsia" w:ascii="仿宋" w:hAnsi="仿宋" w:eastAsia="仿宋" w:cs="仿宋"/>
                <w:color w:val="auto"/>
                <w:spacing w:val="-8"/>
                <w:sz w:val="21"/>
                <w:szCs w:val="21"/>
                <w:highlight w:val="none"/>
              </w:rPr>
              <w:t>大小均匀，每枚约60克，每</w:t>
            </w:r>
            <w:r>
              <w:rPr>
                <w:rFonts w:hint="eastAsia" w:ascii="仿宋" w:hAnsi="仿宋" w:eastAsia="仿宋" w:cs="仿宋"/>
                <w:color w:val="auto"/>
                <w:spacing w:val="-8"/>
                <w:sz w:val="21"/>
                <w:szCs w:val="21"/>
                <w:highlight w:val="none"/>
                <w:lang w:eastAsia="zh-CN"/>
              </w:rPr>
              <w:t>盘</w:t>
            </w:r>
            <w:r>
              <w:rPr>
                <w:rFonts w:hint="eastAsia" w:ascii="仿宋" w:hAnsi="仿宋" w:eastAsia="仿宋" w:cs="仿宋"/>
                <w:color w:val="auto"/>
                <w:spacing w:val="-8"/>
                <w:sz w:val="21"/>
                <w:szCs w:val="21"/>
                <w:highlight w:val="none"/>
                <w:lang w:val="en-US" w:eastAsia="zh-CN"/>
              </w:rPr>
              <w:t>30</w:t>
            </w:r>
            <w:r>
              <w:rPr>
                <w:rFonts w:hint="eastAsia" w:ascii="仿宋" w:hAnsi="仿宋" w:eastAsia="仿宋" w:cs="仿宋"/>
                <w:color w:val="auto"/>
                <w:spacing w:val="-1"/>
                <w:sz w:val="21"/>
                <w:szCs w:val="21"/>
                <w:highlight w:val="none"/>
              </w:rPr>
              <w:t>枚，每</w:t>
            </w:r>
            <w:r>
              <w:rPr>
                <w:rFonts w:hint="eastAsia" w:ascii="仿宋" w:hAnsi="仿宋" w:eastAsia="仿宋" w:cs="仿宋"/>
                <w:color w:val="auto"/>
                <w:spacing w:val="-1"/>
                <w:sz w:val="21"/>
                <w:szCs w:val="21"/>
                <w:highlight w:val="none"/>
                <w:lang w:eastAsia="zh-CN"/>
              </w:rPr>
              <w:t>盘</w:t>
            </w:r>
            <w:r>
              <w:rPr>
                <w:rFonts w:hint="eastAsia" w:ascii="仿宋" w:hAnsi="仿宋" w:eastAsia="仿宋" w:cs="仿宋"/>
                <w:color w:val="auto"/>
                <w:spacing w:val="-1"/>
                <w:sz w:val="21"/>
                <w:szCs w:val="21"/>
                <w:highlight w:val="none"/>
              </w:rPr>
              <w:t>净重约</w:t>
            </w:r>
            <w:r>
              <w:rPr>
                <w:rFonts w:hint="eastAsia" w:ascii="仿宋" w:hAnsi="仿宋" w:eastAsia="仿宋" w:cs="仿宋"/>
                <w:color w:val="auto"/>
                <w:spacing w:val="-1"/>
                <w:sz w:val="21"/>
                <w:szCs w:val="21"/>
                <w:highlight w:val="none"/>
                <w:lang w:val="en-US" w:eastAsia="zh-CN"/>
              </w:rPr>
              <w:t>3.6</w:t>
            </w:r>
            <w:r>
              <w:rPr>
                <w:rFonts w:hint="eastAsia" w:ascii="仿宋" w:hAnsi="仿宋" w:eastAsia="仿宋" w:cs="仿宋"/>
                <w:color w:val="auto"/>
                <w:spacing w:val="-1"/>
                <w:sz w:val="21"/>
                <w:szCs w:val="21"/>
                <w:highlight w:val="none"/>
              </w:rPr>
              <w:t>斤，按斤计价，排除鸡蛋大小不一，每件鸡蛋包装上</w:t>
            </w:r>
            <w:r>
              <w:rPr>
                <w:rFonts w:hint="eastAsia" w:ascii="仿宋" w:hAnsi="仿宋" w:eastAsia="仿宋" w:cs="仿宋"/>
                <w:color w:val="auto"/>
                <w:spacing w:val="-2"/>
                <w:sz w:val="21"/>
                <w:szCs w:val="21"/>
                <w:highlight w:val="none"/>
              </w:rPr>
              <w:t>须有完整的标识信息，并建好溯源体系。</w:t>
            </w:r>
          </w:p>
        </w:tc>
        <w:tc>
          <w:tcPr>
            <w:tcW w:w="463" w:type="pct"/>
            <w:noWrap w:val="0"/>
            <w:vAlign w:val="center"/>
          </w:tcPr>
          <w:p w14:paraId="72B2F0C1">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3DC9E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97" w:type="pct"/>
            <w:noWrap w:val="0"/>
            <w:vAlign w:val="center"/>
          </w:tcPr>
          <w:p w14:paraId="58A1D639">
            <w:pPr>
              <w:pStyle w:val="307"/>
              <w:keepNext w:val="0"/>
              <w:keepLines w:val="0"/>
              <w:pageBreakBefore w:val="0"/>
              <w:widowControl w:val="0"/>
              <w:kinsoku/>
              <w:wordWrap/>
              <w:overflowPunct/>
              <w:topLinePunct w:val="0"/>
              <w:autoSpaceDE/>
              <w:autoSpaceDN/>
              <w:bidi w:val="0"/>
              <w:adjustRightInd/>
              <w:snapToGrid/>
              <w:spacing w:line="288" w:lineRule="auto"/>
              <w:ind w:left="319" w:leftChars="0"/>
              <w:jc w:val="both"/>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5</w:t>
            </w:r>
          </w:p>
        </w:tc>
        <w:tc>
          <w:tcPr>
            <w:tcW w:w="683" w:type="pct"/>
            <w:noWrap w:val="0"/>
            <w:vAlign w:val="center"/>
          </w:tcPr>
          <w:p w14:paraId="13B6A8F6">
            <w:pPr>
              <w:pStyle w:val="307"/>
              <w:keepNext w:val="0"/>
              <w:keepLines w:val="0"/>
              <w:pageBreakBefore w:val="0"/>
              <w:widowControl w:val="0"/>
              <w:kinsoku/>
              <w:wordWrap/>
              <w:overflowPunct/>
              <w:topLinePunct w:val="0"/>
              <w:autoSpaceDE/>
              <w:autoSpaceDN/>
              <w:bidi w:val="0"/>
              <w:adjustRightInd/>
              <w:snapToGrid/>
              <w:spacing w:line="288" w:lineRule="auto"/>
              <w:ind w:left="146" w:leftChars="0"/>
              <w:jc w:val="center"/>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蔬菜水果</w:t>
            </w:r>
            <w:r>
              <w:rPr>
                <w:rFonts w:hint="eastAsia" w:ascii="仿宋" w:hAnsi="仿宋" w:eastAsia="仿宋" w:cs="仿宋"/>
                <w:color w:val="auto"/>
                <w:sz w:val="21"/>
                <w:szCs w:val="21"/>
                <w:highlight w:val="none"/>
              </w:rPr>
              <w:t>类</w:t>
            </w:r>
          </w:p>
        </w:tc>
        <w:tc>
          <w:tcPr>
            <w:tcW w:w="3455" w:type="pct"/>
            <w:noWrap w:val="0"/>
            <w:vAlign w:val="center"/>
          </w:tcPr>
          <w:p w14:paraId="35D9AD52">
            <w:pPr>
              <w:pStyle w:val="307"/>
              <w:keepNext w:val="0"/>
              <w:keepLines w:val="0"/>
              <w:pageBreakBefore w:val="0"/>
              <w:widowControl w:val="0"/>
              <w:kinsoku/>
              <w:wordWrap/>
              <w:overflowPunct/>
              <w:topLinePunct w:val="0"/>
              <w:autoSpaceDE/>
              <w:autoSpaceDN/>
              <w:bidi w:val="0"/>
              <w:adjustRightInd/>
              <w:snapToGrid/>
              <w:spacing w:line="288" w:lineRule="auto"/>
              <w:ind w:left="113" w:right="10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应季蔬菜须本地采购，无药残、无腐烂，新鲜干净，大小均匀，色泽好。</w:t>
            </w:r>
            <w:r>
              <w:rPr>
                <w:rFonts w:hint="eastAsia" w:ascii="仿宋" w:hAnsi="仿宋" w:eastAsia="仿宋" w:cs="仿宋"/>
                <w:color w:val="auto"/>
                <w:spacing w:val="6"/>
                <w:sz w:val="21"/>
                <w:szCs w:val="21"/>
                <w:highlight w:val="none"/>
              </w:rPr>
              <w:t>蔬菜水果类，农药残留量不能超过农业部与卫</w:t>
            </w:r>
            <w:r>
              <w:rPr>
                <w:rFonts w:hint="eastAsia" w:ascii="仿宋" w:hAnsi="仿宋" w:eastAsia="仿宋" w:cs="仿宋"/>
                <w:color w:val="auto"/>
                <w:spacing w:val="5"/>
                <w:sz w:val="21"/>
                <w:szCs w:val="21"/>
                <w:highlight w:val="none"/>
              </w:rPr>
              <w:t>生部联合发布的食品安全国</w:t>
            </w:r>
            <w:r>
              <w:rPr>
                <w:rFonts w:hint="eastAsia" w:ascii="仿宋" w:hAnsi="仿宋" w:eastAsia="仿宋" w:cs="仿宋"/>
                <w:color w:val="auto"/>
                <w:sz w:val="21"/>
                <w:szCs w:val="21"/>
                <w:highlight w:val="none"/>
              </w:rPr>
              <w:t>家标准《食品中农药最大残留限量》，每批次产品进行农残快速检测，并</w:t>
            </w:r>
            <w:r>
              <w:rPr>
                <w:rFonts w:hint="eastAsia" w:ascii="仿宋" w:hAnsi="仿宋" w:eastAsia="仿宋" w:cs="仿宋"/>
                <w:color w:val="auto"/>
                <w:spacing w:val="-4"/>
                <w:sz w:val="21"/>
                <w:szCs w:val="21"/>
                <w:highlight w:val="none"/>
              </w:rPr>
              <w:t>建好溯源体系。</w:t>
            </w:r>
          </w:p>
          <w:p w14:paraId="364D86EB">
            <w:pPr>
              <w:pStyle w:val="307"/>
              <w:keepNext w:val="0"/>
              <w:keepLines w:val="0"/>
              <w:pageBreakBefore w:val="0"/>
              <w:widowControl w:val="0"/>
              <w:kinsoku/>
              <w:wordWrap/>
              <w:overflowPunct/>
              <w:topLinePunct w:val="0"/>
              <w:autoSpaceDE/>
              <w:autoSpaceDN/>
              <w:bidi w:val="0"/>
              <w:adjustRightInd/>
              <w:snapToGrid/>
              <w:spacing w:line="288" w:lineRule="auto"/>
              <w:ind w:left="114" w:right="148" w:firstLine="1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叶菜类要求新鲜，外形正常，叶梗光滑幼嫩，不干瘪凋萎，无</w:t>
            </w:r>
            <w:r>
              <w:rPr>
                <w:rFonts w:hint="eastAsia" w:ascii="仿宋" w:hAnsi="仿宋" w:eastAsia="仿宋" w:cs="仿宋"/>
                <w:color w:val="auto"/>
                <w:spacing w:val="3"/>
                <w:sz w:val="21"/>
                <w:szCs w:val="21"/>
                <w:highlight w:val="none"/>
              </w:rPr>
              <w:t>过多黄叶，</w:t>
            </w:r>
            <w:r>
              <w:rPr>
                <w:rFonts w:hint="eastAsia" w:ascii="仿宋" w:hAnsi="仿宋" w:eastAsia="仿宋" w:cs="仿宋"/>
                <w:color w:val="auto"/>
                <w:spacing w:val="-7"/>
                <w:sz w:val="21"/>
                <w:szCs w:val="21"/>
                <w:highlight w:val="none"/>
              </w:rPr>
              <w:t>色泽正常，去除根须，不含土，无虫害。农药残留不超标，非转基因。</w:t>
            </w:r>
          </w:p>
          <w:p w14:paraId="3200C772">
            <w:pPr>
              <w:pStyle w:val="307"/>
              <w:keepNext w:val="0"/>
              <w:keepLines w:val="0"/>
              <w:pageBreakBefore w:val="0"/>
              <w:widowControl w:val="0"/>
              <w:kinsoku/>
              <w:wordWrap/>
              <w:overflowPunct/>
              <w:topLinePunct w:val="0"/>
              <w:autoSpaceDE/>
              <w:autoSpaceDN/>
              <w:bidi w:val="0"/>
              <w:adjustRightInd/>
              <w:snapToGrid/>
              <w:spacing w:line="288" w:lineRule="auto"/>
              <w:ind w:left="127" w:right="104" w:hanging="14"/>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茄果类无空心，黑心，无黄斑，内部变稀等，农药残留不超标，非转基</w:t>
            </w:r>
            <w:r>
              <w:rPr>
                <w:rFonts w:hint="eastAsia" w:ascii="仿宋" w:hAnsi="仿宋" w:eastAsia="仿宋" w:cs="仿宋"/>
                <w:color w:val="auto"/>
                <w:spacing w:val="-14"/>
                <w:sz w:val="21"/>
                <w:szCs w:val="21"/>
                <w:highlight w:val="none"/>
              </w:rPr>
              <w:t>因。</w:t>
            </w:r>
          </w:p>
          <w:p w14:paraId="4487178E">
            <w:pPr>
              <w:pStyle w:val="307"/>
              <w:keepNext w:val="0"/>
              <w:keepLines w:val="0"/>
              <w:pageBreakBefore w:val="0"/>
              <w:widowControl w:val="0"/>
              <w:kinsoku/>
              <w:wordWrap/>
              <w:overflowPunct/>
              <w:topLinePunct w:val="0"/>
              <w:autoSpaceDE/>
              <w:autoSpaceDN/>
              <w:bidi w:val="0"/>
              <w:adjustRightInd/>
              <w:snapToGrid/>
              <w:spacing w:line="288" w:lineRule="auto"/>
              <w:ind w:left="112" w:right="131"/>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配菜类（根茎、瓜果类）无虫咬、发芽、发霉现象，成熟</w:t>
            </w:r>
            <w:r>
              <w:rPr>
                <w:rFonts w:hint="eastAsia" w:ascii="仿宋" w:hAnsi="仿宋" w:eastAsia="仿宋" w:cs="仿宋"/>
                <w:color w:val="auto"/>
                <w:spacing w:val="4"/>
                <w:sz w:val="21"/>
                <w:szCs w:val="21"/>
                <w:highlight w:val="none"/>
              </w:rPr>
              <w:t>度良好、新鲜。</w:t>
            </w:r>
            <w:r>
              <w:rPr>
                <w:rFonts w:hint="eastAsia" w:ascii="仿宋" w:hAnsi="仿宋" w:eastAsia="仿宋" w:cs="仿宋"/>
                <w:color w:val="auto"/>
                <w:spacing w:val="-2"/>
                <w:sz w:val="21"/>
                <w:szCs w:val="21"/>
                <w:highlight w:val="none"/>
              </w:rPr>
              <w:t>农药残留不超标，非转基因。</w:t>
            </w:r>
          </w:p>
          <w:p w14:paraId="78306375">
            <w:pPr>
              <w:pStyle w:val="307"/>
              <w:keepNext w:val="0"/>
              <w:keepLines w:val="0"/>
              <w:pageBreakBefore w:val="0"/>
              <w:widowControl w:val="0"/>
              <w:kinsoku/>
              <w:wordWrap/>
              <w:overflowPunct/>
              <w:topLinePunct w:val="0"/>
              <w:autoSpaceDE/>
              <w:autoSpaceDN/>
              <w:bidi w:val="0"/>
              <w:adjustRightInd/>
              <w:snapToGrid/>
              <w:spacing w:line="288" w:lineRule="auto"/>
              <w:ind w:left="116" w:leftChars="0" w:right="100" w:rightChars="0" w:hanging="4" w:firstLine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color w:val="auto"/>
                <w:spacing w:val="-13"/>
                <w:sz w:val="21"/>
                <w:szCs w:val="21"/>
                <w:highlight w:val="none"/>
              </w:rPr>
              <w:t>水果：当季新鲜水果。</w:t>
            </w:r>
          </w:p>
        </w:tc>
        <w:tc>
          <w:tcPr>
            <w:tcW w:w="463" w:type="pct"/>
            <w:noWrap w:val="0"/>
            <w:vAlign w:val="center"/>
          </w:tcPr>
          <w:p w14:paraId="207DE103">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0555F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97" w:type="pct"/>
            <w:noWrap w:val="0"/>
            <w:vAlign w:val="center"/>
          </w:tcPr>
          <w:p w14:paraId="297562BC">
            <w:pPr>
              <w:pStyle w:val="307"/>
              <w:keepNext w:val="0"/>
              <w:keepLines w:val="0"/>
              <w:pageBreakBefore w:val="0"/>
              <w:widowControl w:val="0"/>
              <w:kinsoku/>
              <w:wordWrap/>
              <w:overflowPunct/>
              <w:topLinePunct w:val="0"/>
              <w:autoSpaceDE/>
              <w:autoSpaceDN/>
              <w:bidi w:val="0"/>
              <w:adjustRightInd/>
              <w:snapToGrid/>
              <w:spacing w:line="288" w:lineRule="auto"/>
              <w:ind w:right="104" w:righ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6</w:t>
            </w:r>
          </w:p>
        </w:tc>
        <w:tc>
          <w:tcPr>
            <w:tcW w:w="683" w:type="pct"/>
            <w:noWrap w:val="0"/>
            <w:vAlign w:val="center"/>
          </w:tcPr>
          <w:p w14:paraId="1C35BAC0">
            <w:pPr>
              <w:pStyle w:val="307"/>
              <w:keepNext w:val="0"/>
              <w:keepLines w:val="0"/>
              <w:pageBreakBefore w:val="0"/>
              <w:widowControl w:val="0"/>
              <w:kinsoku/>
              <w:wordWrap/>
              <w:overflowPunct/>
              <w:topLinePunct w:val="0"/>
              <w:autoSpaceDE/>
              <w:autoSpaceDN/>
              <w:bidi w:val="0"/>
              <w:adjustRightInd/>
              <w:snapToGrid/>
              <w:spacing w:line="288" w:lineRule="auto"/>
              <w:ind w:right="104" w:rightChars="0"/>
              <w:jc w:val="center"/>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z w:val="21"/>
                <w:szCs w:val="21"/>
                <w:highlight w:val="none"/>
              </w:rPr>
              <w:t>学生饮用奶</w:t>
            </w:r>
          </w:p>
        </w:tc>
        <w:tc>
          <w:tcPr>
            <w:tcW w:w="3455" w:type="pct"/>
            <w:noWrap w:val="0"/>
            <w:vAlign w:val="center"/>
          </w:tcPr>
          <w:p w14:paraId="55756A80">
            <w:pPr>
              <w:pStyle w:val="307"/>
              <w:keepNext w:val="0"/>
              <w:keepLines w:val="0"/>
              <w:pageBreakBefore w:val="0"/>
              <w:widowControl w:val="0"/>
              <w:kinsoku/>
              <w:wordWrap/>
              <w:overflowPunct/>
              <w:topLinePunct w:val="0"/>
              <w:autoSpaceDE/>
              <w:autoSpaceDN/>
              <w:bidi w:val="0"/>
              <w:adjustRightInd/>
              <w:snapToGrid/>
              <w:spacing w:line="288" w:lineRule="auto"/>
              <w:ind w:right="104"/>
              <w:jc w:val="lef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必须是经过“国家学生饮用奶计划”部际协调小组办公室组织的专家论证和批准，为保证质量和安全，“学生饮用奶”必须用超高温瞬时灭菌法生产，并以无菌复合纸包装为包装。在识别标志上，学生奶在包装盒上印有“中国学生饮用奶“学字标志”。作为专供在校生饮用的牛奶，学生奶不在商场上销</w:t>
            </w:r>
            <w:r>
              <w:rPr>
                <w:rFonts w:hint="eastAsia" w:ascii="仿宋" w:hAnsi="仿宋" w:eastAsia="仿宋" w:cs="仿宋"/>
                <w:b w:val="0"/>
                <w:bCs w:val="0"/>
                <w:color w:val="auto"/>
                <w:sz w:val="21"/>
                <w:szCs w:val="21"/>
                <w:highlight w:val="none"/>
              </w:rPr>
              <w:t>售</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送达时牛奶的生产日期必须在一个月内。</w:t>
            </w:r>
          </w:p>
          <w:p w14:paraId="5A9B96D7">
            <w:pPr>
              <w:pStyle w:val="10"/>
              <w:rPr>
                <w:rFonts w:hint="eastAsia" w:ascii="仿宋" w:hAnsi="仿宋" w:eastAsia="仿宋" w:cs="仿宋"/>
                <w:color w:val="auto"/>
                <w:sz w:val="21"/>
                <w:szCs w:val="21"/>
                <w:highlight w:val="none"/>
                <w:lang w:val="en-US" w:eastAsia="en-US" w:bidi="ar-SA"/>
              </w:rPr>
            </w:pPr>
            <w:r>
              <w:rPr>
                <w:rFonts w:hint="eastAsia" w:ascii="仿宋" w:hAnsi="仿宋" w:eastAsia="仿宋" w:cs="仿宋"/>
                <w:color w:val="auto"/>
                <w:sz w:val="21"/>
                <w:szCs w:val="21"/>
                <w:highlight w:val="none"/>
                <w:lang w:val="en-US" w:eastAsia="zh-CN" w:bidi="ar-SA"/>
              </w:rPr>
              <w:t>营养成分表:纯牛奶 T/DACS 016-2024:</w:t>
            </w:r>
            <w:r>
              <w:rPr>
                <w:rFonts w:hint="eastAsia" w:ascii="仿宋" w:hAnsi="仿宋" w:eastAsia="仿宋" w:cs="仿宋"/>
                <w:color w:val="auto"/>
                <w:sz w:val="21"/>
                <w:szCs w:val="21"/>
                <w:highlight w:val="none"/>
                <w:lang w:val="en-US" w:eastAsia="en-US" w:bidi="ar-SA"/>
              </w:rPr>
              <w:t>脂肪（g/100g）≥3.</w:t>
            </w:r>
            <w:r>
              <w:rPr>
                <w:rFonts w:hint="eastAsia" w:ascii="仿宋" w:hAnsi="仿宋" w:eastAsia="仿宋" w:cs="仿宋"/>
                <w:color w:val="auto"/>
                <w:sz w:val="21"/>
                <w:szCs w:val="21"/>
                <w:highlight w:val="none"/>
                <w:lang w:val="en-US" w:eastAsia="zh-CN" w:bidi="ar-SA"/>
              </w:rPr>
              <w:t>6</w:t>
            </w:r>
            <w:r>
              <w:rPr>
                <w:rFonts w:hint="eastAsia" w:ascii="仿宋" w:hAnsi="仿宋" w:eastAsia="仿宋" w:cs="仿宋"/>
                <w:color w:val="auto"/>
                <w:sz w:val="21"/>
                <w:szCs w:val="21"/>
                <w:highlight w:val="none"/>
                <w:lang w:val="en-US" w:eastAsia="en-US" w:bidi="ar-SA"/>
              </w:rPr>
              <w:t>、蛋白质（g/100g）≥3.</w:t>
            </w:r>
            <w:r>
              <w:rPr>
                <w:rFonts w:hint="eastAsia" w:ascii="仿宋" w:hAnsi="仿宋" w:eastAsia="仿宋" w:cs="仿宋"/>
                <w:color w:val="auto"/>
                <w:sz w:val="21"/>
                <w:szCs w:val="21"/>
                <w:highlight w:val="none"/>
                <w:lang w:val="en-US" w:eastAsia="zh-CN" w:bidi="ar-SA"/>
              </w:rPr>
              <w:t>0；</w:t>
            </w:r>
            <w:r>
              <w:rPr>
                <w:rFonts w:hint="eastAsia" w:ascii="仿宋" w:hAnsi="仿宋" w:eastAsia="仿宋" w:cs="仿宋"/>
                <w:color w:val="auto"/>
                <w:sz w:val="21"/>
                <w:szCs w:val="21"/>
                <w:highlight w:val="none"/>
                <w:lang w:val="en-US" w:eastAsia="en-US" w:bidi="ar-SA"/>
              </w:rPr>
              <w:t xml:space="preserve">GB 25190-2010 食品安全国家标准 </w:t>
            </w:r>
          </w:p>
          <w:p w14:paraId="61C2831E">
            <w:pPr>
              <w:pStyle w:val="10"/>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val="en-US" w:eastAsia="en-US" w:bidi="ar-SA"/>
              </w:rPr>
              <w:t>灭菌乳</w:t>
            </w:r>
            <w:r>
              <w:rPr>
                <w:rFonts w:hint="eastAsia" w:ascii="仿宋" w:hAnsi="仿宋" w:eastAsia="仿宋" w:cs="仿宋"/>
                <w:color w:val="auto"/>
                <w:sz w:val="21"/>
                <w:szCs w:val="21"/>
                <w:highlight w:val="none"/>
                <w:lang w:val="en-US" w:eastAsia="zh-CN" w:bidi="ar-SA"/>
              </w:rPr>
              <w:t>:</w:t>
            </w:r>
            <w:r>
              <w:rPr>
                <w:rFonts w:hint="eastAsia" w:ascii="仿宋" w:hAnsi="仿宋" w:eastAsia="仿宋" w:cs="仿宋"/>
                <w:color w:val="auto"/>
                <w:sz w:val="21"/>
                <w:szCs w:val="21"/>
                <w:highlight w:val="none"/>
                <w:lang w:val="en-US" w:eastAsia="en-US" w:bidi="ar-SA"/>
              </w:rPr>
              <w:t>非脂乳固 体≥8.</w:t>
            </w:r>
            <w:r>
              <w:rPr>
                <w:rFonts w:hint="eastAsia" w:ascii="仿宋" w:hAnsi="仿宋" w:eastAsia="仿宋" w:cs="仿宋"/>
                <w:color w:val="auto"/>
                <w:sz w:val="21"/>
                <w:szCs w:val="21"/>
                <w:highlight w:val="none"/>
                <w:lang w:val="en-US" w:eastAsia="zh-CN" w:bidi="ar-SA"/>
              </w:rPr>
              <w:t>1</w:t>
            </w:r>
            <w:r>
              <w:rPr>
                <w:rFonts w:hint="eastAsia" w:ascii="仿宋" w:hAnsi="仿宋" w:eastAsia="仿宋" w:cs="仿宋"/>
                <w:color w:val="auto"/>
                <w:sz w:val="21"/>
                <w:szCs w:val="21"/>
                <w:highlight w:val="none"/>
                <w:lang w:val="en-US" w:eastAsia="en-US" w:bidi="ar-SA"/>
              </w:rPr>
              <w:t>、酸度(°T)：12-18、黄曲霉毒素M1(μg/kg) ≤0.5、三聚氰胺(mg/kg)：阴性、商业无菌</w:t>
            </w:r>
            <w:r>
              <w:rPr>
                <w:rFonts w:hint="eastAsia" w:ascii="仿宋" w:hAnsi="仿宋" w:eastAsia="仿宋" w:cs="仿宋"/>
                <w:color w:val="auto"/>
                <w:sz w:val="21"/>
                <w:szCs w:val="21"/>
                <w:highlight w:val="none"/>
                <w:lang w:val="en-US" w:eastAsia="zh-CN" w:bidi="ar-SA"/>
              </w:rPr>
              <w:t>。</w:t>
            </w:r>
          </w:p>
        </w:tc>
        <w:tc>
          <w:tcPr>
            <w:tcW w:w="463" w:type="pct"/>
            <w:noWrap w:val="0"/>
            <w:vAlign w:val="center"/>
          </w:tcPr>
          <w:p w14:paraId="0AED48A2">
            <w:pPr>
              <w:pStyle w:val="307"/>
              <w:keepNext w:val="0"/>
              <w:keepLines w:val="0"/>
              <w:pageBreakBefore w:val="0"/>
              <w:widowControl w:val="0"/>
              <w:kinsoku/>
              <w:wordWrap/>
              <w:overflowPunct/>
              <w:topLinePunct w:val="0"/>
              <w:autoSpaceDE/>
              <w:autoSpaceDN/>
              <w:bidi w:val="0"/>
              <w:adjustRightInd/>
              <w:snapToGrid/>
              <w:spacing w:line="288" w:lineRule="auto"/>
              <w:ind w:left="127" w:leftChars="0" w:right="104" w:rightChars="0" w:hanging="14" w:firstLineChars="0"/>
              <w:jc w:val="center"/>
              <w:textAlignment w:val="baseline"/>
              <w:rPr>
                <w:rFonts w:hint="eastAsia" w:ascii="仿宋" w:hAnsi="仿宋" w:eastAsia="仿宋" w:cs="仿宋"/>
                <w:color w:val="auto"/>
                <w:spacing w:val="-3"/>
                <w:sz w:val="21"/>
                <w:szCs w:val="21"/>
                <w:highlight w:val="none"/>
              </w:rPr>
            </w:pPr>
          </w:p>
        </w:tc>
      </w:tr>
      <w:tr w14:paraId="601EC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trPr>
        <w:tc>
          <w:tcPr>
            <w:tcW w:w="397" w:type="pct"/>
            <w:noWrap w:val="0"/>
            <w:vAlign w:val="center"/>
          </w:tcPr>
          <w:p w14:paraId="38D5A6F6">
            <w:pPr>
              <w:pStyle w:val="307"/>
              <w:keepNext w:val="0"/>
              <w:keepLines w:val="0"/>
              <w:pageBreakBefore w:val="0"/>
              <w:widowControl w:val="0"/>
              <w:kinsoku/>
              <w:wordWrap/>
              <w:overflowPunct/>
              <w:topLinePunct w:val="0"/>
              <w:autoSpaceDE/>
              <w:autoSpaceDN/>
              <w:bidi w:val="0"/>
              <w:adjustRightInd/>
              <w:snapToGrid/>
              <w:spacing w:line="288" w:lineRule="auto"/>
              <w:ind w:left="320" w:lef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lang w:val="en-US" w:eastAsia="zh-CN"/>
              </w:rPr>
              <w:t>7</w:t>
            </w:r>
          </w:p>
        </w:tc>
        <w:tc>
          <w:tcPr>
            <w:tcW w:w="683" w:type="pct"/>
            <w:noWrap w:val="0"/>
            <w:vAlign w:val="center"/>
          </w:tcPr>
          <w:p w14:paraId="68CF741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调料及其</w:t>
            </w:r>
          </w:p>
          <w:p w14:paraId="618642F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他农副产</w:t>
            </w:r>
          </w:p>
          <w:p w14:paraId="3F43D8A9">
            <w:pPr>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z w:val="21"/>
                <w:szCs w:val="21"/>
                <w:highlight w:val="none"/>
              </w:rPr>
              <w:t>品类</w:t>
            </w:r>
          </w:p>
        </w:tc>
        <w:tc>
          <w:tcPr>
            <w:tcW w:w="3455" w:type="pct"/>
            <w:noWrap w:val="0"/>
            <w:vAlign w:val="center"/>
          </w:tcPr>
          <w:p w14:paraId="52290824">
            <w:pPr>
              <w:pStyle w:val="307"/>
              <w:keepNext w:val="0"/>
              <w:keepLines w:val="0"/>
              <w:pageBreakBefore w:val="0"/>
              <w:widowControl w:val="0"/>
              <w:kinsoku/>
              <w:wordWrap/>
              <w:overflowPunct/>
              <w:topLinePunct w:val="0"/>
              <w:autoSpaceDE/>
              <w:autoSpaceDN/>
              <w:bidi w:val="0"/>
              <w:adjustRightInd/>
              <w:snapToGrid/>
              <w:spacing w:line="288" w:lineRule="auto"/>
              <w:ind w:left="110" w:leftChars="0" w:right="100" w:rightChars="0" w:firstLine="3" w:firstLine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color w:val="auto"/>
                <w:spacing w:val="4"/>
                <w:sz w:val="21"/>
                <w:szCs w:val="21"/>
                <w:highlight w:val="none"/>
              </w:rPr>
              <w:t>调料及其他农副产品类（含干货、佐料、冻品、定型包装类食品</w:t>
            </w:r>
            <w:r>
              <w:rPr>
                <w:rFonts w:hint="eastAsia" w:ascii="仿宋" w:hAnsi="仿宋" w:eastAsia="仿宋" w:cs="仿宋"/>
                <w:color w:val="auto"/>
                <w:spacing w:val="30"/>
                <w:sz w:val="21"/>
                <w:szCs w:val="21"/>
                <w:highlight w:val="none"/>
              </w:rPr>
              <w:t>）：</w:t>
            </w:r>
            <w:r>
              <w:rPr>
                <w:rFonts w:hint="eastAsia" w:ascii="仿宋" w:hAnsi="仿宋" w:eastAsia="仿宋" w:cs="仿宋"/>
                <w:color w:val="auto"/>
                <w:spacing w:val="4"/>
                <w:sz w:val="21"/>
                <w:szCs w:val="21"/>
                <w:highlight w:val="none"/>
              </w:rPr>
              <w:t>由采</w:t>
            </w:r>
            <w:r>
              <w:rPr>
                <w:rFonts w:hint="eastAsia" w:ascii="仿宋" w:hAnsi="仿宋" w:eastAsia="仿宋" w:cs="仿宋"/>
                <w:color w:val="auto"/>
                <w:spacing w:val="-4"/>
                <w:sz w:val="21"/>
                <w:szCs w:val="21"/>
                <w:highlight w:val="none"/>
              </w:rPr>
              <w:t>购人指定品种采购，干爽、不霉烂、整齐、均匀、完整、无虫蛀，必须是</w:t>
            </w:r>
            <w:r>
              <w:rPr>
                <w:rFonts w:hint="eastAsia" w:ascii="仿宋" w:hAnsi="仿宋" w:eastAsia="仿宋" w:cs="仿宋"/>
                <w:color w:val="auto"/>
                <w:spacing w:val="6"/>
                <w:sz w:val="21"/>
                <w:szCs w:val="21"/>
                <w:highlight w:val="none"/>
              </w:rPr>
              <w:t>达到国家食品安全标准的产品；包装类食品，包装上须有完整的生产厂家</w:t>
            </w:r>
            <w:r>
              <w:rPr>
                <w:rFonts w:hint="eastAsia" w:ascii="仿宋" w:hAnsi="仿宋" w:eastAsia="仿宋" w:cs="仿宋"/>
                <w:color w:val="auto"/>
                <w:spacing w:val="5"/>
                <w:sz w:val="21"/>
                <w:szCs w:val="21"/>
                <w:highlight w:val="none"/>
              </w:rPr>
              <w:t>、生产厂址、日</w:t>
            </w:r>
            <w:r>
              <w:rPr>
                <w:rFonts w:hint="eastAsia" w:ascii="仿宋" w:hAnsi="仿宋" w:eastAsia="仿宋" w:cs="仿宋"/>
                <w:color w:val="auto"/>
                <w:spacing w:val="2"/>
                <w:sz w:val="21"/>
                <w:szCs w:val="21"/>
                <w:highlight w:val="none"/>
              </w:rPr>
              <w:t>期等，质量卫生标准符合国家相关食品卫生标准。调料、干货等必须送达</w:t>
            </w:r>
            <w:r>
              <w:rPr>
                <w:rFonts w:hint="eastAsia" w:ascii="仿宋" w:hAnsi="仿宋" w:eastAsia="仿宋" w:cs="仿宋"/>
                <w:color w:val="auto"/>
                <w:spacing w:val="-4"/>
                <w:sz w:val="21"/>
                <w:szCs w:val="21"/>
                <w:highlight w:val="none"/>
              </w:rPr>
              <w:t>时距离质保期在180天及以上。</w:t>
            </w:r>
          </w:p>
        </w:tc>
        <w:tc>
          <w:tcPr>
            <w:tcW w:w="463" w:type="pct"/>
            <w:noWrap w:val="0"/>
            <w:vAlign w:val="center"/>
          </w:tcPr>
          <w:p w14:paraId="6D27DEF9">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51C8D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5000" w:type="pct"/>
            <w:gridSpan w:val="4"/>
            <w:noWrap w:val="0"/>
            <w:vAlign w:val="center"/>
          </w:tcPr>
          <w:p w14:paraId="19386FB2">
            <w:pPr>
              <w:pStyle w:val="307"/>
              <w:keepNext w:val="0"/>
              <w:keepLines w:val="0"/>
              <w:pageBreakBefore w:val="0"/>
              <w:widowControl w:val="0"/>
              <w:kinsoku/>
              <w:wordWrap/>
              <w:overflowPunct/>
              <w:topLinePunct w:val="0"/>
              <w:autoSpaceDE/>
              <w:autoSpaceDN/>
              <w:bidi w:val="0"/>
              <w:adjustRightInd/>
              <w:snapToGrid/>
              <w:spacing w:line="288" w:lineRule="auto"/>
              <w:ind w:left="116" w:right="116"/>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包装要求：有品名、执行标准、质量等级、质保期、生产日期、储存方法、重量、产地、生产地址、电</w:t>
            </w:r>
            <w:r>
              <w:rPr>
                <w:rFonts w:hint="eastAsia" w:ascii="仿宋" w:hAnsi="仿宋" w:eastAsia="仿宋" w:cs="仿宋"/>
                <w:color w:val="auto"/>
                <w:spacing w:val="-10"/>
                <w:sz w:val="21"/>
                <w:szCs w:val="21"/>
                <w:highlight w:val="none"/>
              </w:rPr>
              <w:t>话。</w:t>
            </w:r>
          </w:p>
        </w:tc>
      </w:tr>
    </w:tbl>
    <w:p w14:paraId="5234C1E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严格遵守《食品安全法》、《食品安全条例》，严格按照货物国家标准规范及有关要求进行供货，不出售不洁、过期、变质食品，杜绝食物中毒事故发生，有符合卫生条件的大米、菜籽油、鸡蛋、鲜肉、鲜果蔬储藏库房，符合卫生条件，车况良好、干净卫生的车辆配送，针对夏季气温较高为防止肉类产品变质，须用0-4℃冷藏车专车专用进行本项目肉类配送，在运输前必须对运输车辆做好清洁消毒工作，以保证食品安全运输到达各校点，工作人员提供有效健康证。</w:t>
      </w:r>
    </w:p>
    <w:p w14:paraId="6D42975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 w:leftChars="0" w:firstLine="484"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针对营养餐带量食谱中的食材价格，供应商需以西安市内大型农产品批发市场（例如西安西部欣桥农产品物流中心）当日挂牌价格参考实施。</w:t>
      </w:r>
    </w:p>
    <w:p w14:paraId="54A540E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 w:leftChars="0" w:firstLine="484"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投标人须保质保量的向采购单位以不低于5元的标准配送供应，如发现食材存在价格偏离、质量安全隐患，甲方有权利不定期组织监督小组对食材和投标人进行监督</w:t>
      </w:r>
      <w:r>
        <w:rPr>
          <w:rFonts w:hint="eastAsia" w:ascii="仿宋" w:hAnsi="仿宋" w:eastAsia="仿宋" w:cs="仿宋"/>
          <w:color w:val="auto"/>
          <w:sz w:val="24"/>
          <w:szCs w:val="24"/>
          <w:highlight w:val="none"/>
          <w:lang w:val="en-US" w:eastAsia="zh-CN"/>
        </w:rPr>
        <w:t>；</w:t>
      </w:r>
    </w:p>
    <w:p w14:paraId="103486F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投标人负责指导各学校做好食品的保管工作，并提供食品储存保管方式方法。</w:t>
      </w:r>
    </w:p>
    <w:p w14:paraId="2C1790E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包装与加工按照采购单位要求执行：大米：25公斤/袋或50公斤/</w:t>
      </w:r>
      <w:r>
        <w:rPr>
          <w:rFonts w:hint="eastAsia" w:ascii="仿宋" w:hAnsi="仿宋" w:eastAsia="仿宋" w:cs="仿宋"/>
          <w:b w:val="0"/>
          <w:bCs w:val="0"/>
          <w:color w:val="auto"/>
          <w:sz w:val="24"/>
          <w:szCs w:val="24"/>
          <w:highlight w:val="none"/>
          <w:lang w:val="en-US" w:eastAsia="zh-CN"/>
        </w:rPr>
        <w:t>袋；</w:t>
      </w:r>
      <w:r>
        <w:rPr>
          <w:rFonts w:hint="eastAsia" w:ascii="仿宋" w:hAnsi="仿宋" w:eastAsia="仿宋" w:cs="仿宋"/>
          <w:color w:val="auto"/>
          <w:sz w:val="24"/>
          <w:szCs w:val="24"/>
          <w:highlight w:val="none"/>
          <w:lang w:val="en-US" w:eastAsia="zh-CN"/>
        </w:rPr>
        <w:t>面粉：25公斤/袋；</w:t>
      </w:r>
      <w:r>
        <w:rPr>
          <w:rFonts w:hint="eastAsia" w:ascii="仿宋" w:hAnsi="仿宋" w:eastAsia="仿宋" w:cs="仿宋"/>
          <w:b w:val="0"/>
          <w:bCs w:val="0"/>
          <w:color w:val="auto"/>
          <w:sz w:val="24"/>
          <w:szCs w:val="24"/>
          <w:highlight w:val="none"/>
          <w:lang w:val="en-US" w:eastAsia="zh-CN"/>
        </w:rPr>
        <w:t>菜籽油：16.4升一桶，</w:t>
      </w:r>
      <w:r>
        <w:rPr>
          <w:rFonts w:hint="eastAsia" w:ascii="仿宋" w:hAnsi="仿宋" w:eastAsia="仿宋" w:cs="仿宋"/>
          <w:color w:val="auto"/>
          <w:sz w:val="24"/>
          <w:szCs w:val="24"/>
          <w:highlight w:val="none"/>
          <w:lang w:val="en-US" w:eastAsia="zh-CN"/>
        </w:rPr>
        <w:t>其余货物应按配送要求分类打包，以上货物均须按照国家标准进行包装。</w:t>
      </w:r>
    </w:p>
    <w:p w14:paraId="0752CA7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在每次供货时，必须随货附送该批大米、面粉、菜籽油、鲜肉经法定检验机构出具的相关质量检验检疫合格证等证明材料，并完善留样相关台账记录资料；如采购人认为有必要再次进行检测，双方共同委托市级以上法定质量监督机构检验检测，如该批大米、面粉、菜籽油、鲜肉符合招标文件的质量要求，则检测费用由采购人承担，如不符合招标文件的质量要求，则检测费用由中标投标人承担，并视为违约。</w:t>
      </w:r>
    </w:p>
    <w:p w14:paraId="327E53A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投标人必须在配送过程中按有关部门的要求及时向配送校点提供各类票据、原始凭证，由各校清点核对、验收、签字后生效，并作为付款凭证。</w:t>
      </w:r>
    </w:p>
    <w:p w14:paraId="5163BE3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如投标人未按时每天上午9：00前送货到各指定校点,影响学生就餐的，采购单位有权从每月学生营养改善计划食品、原材料采购及配送服务货款中扣除投标人当日货款的3倍为违约赔偿金。</w:t>
      </w:r>
    </w:p>
    <w:p w14:paraId="0026BBB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供货期间，投标人应无条件的接受采购单位的质量及价格监督，对采购提出的问题要及时整改，整改完毕后通知采购单位检查验收，合格后书面报送采购单位备案。</w:t>
      </w:r>
    </w:p>
    <w:p w14:paraId="698E33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三、采购货物质量要求：</w:t>
      </w:r>
    </w:p>
    <w:p w14:paraId="02287D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（1）所有货物质量必须严格按照国家标准规范及有关要求执行，因所投食品的质量问题而引起的食物中毒事件,投标人依法承担所有责任。</w:t>
      </w:r>
    </w:p>
    <w:p w14:paraId="07530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必须讲诚信，所供货物不得以次充好，无过期商品、假冒伪劣产品、无以次充好现象。不得将过期米、发霉米、碎米、陈米；变质、过期的菜籽油；病死禽肉、残剩禽肉、注水禽肉；变质、发霉、不新鲜的果蔬等不合格品参杂其中；一经发现，取消其供货资格。</w:t>
      </w:r>
    </w:p>
    <w:p w14:paraId="05B0213A">
      <w:pPr>
        <w:keepNext w:val="0"/>
        <w:keepLines w:val="0"/>
        <w:pageBreakBefore w:val="0"/>
        <w:tabs>
          <w:tab w:val="left" w:pos="180"/>
        </w:tabs>
        <w:kinsoku/>
        <w:wordWrap/>
        <w:overflowPunct/>
        <w:topLinePunct w:val="0"/>
        <w:autoSpaceDE/>
        <w:autoSpaceDN/>
        <w:bidi w:val="0"/>
        <w:adjustRightInd w:val="0"/>
        <w:snapToGrid w:val="0"/>
        <w:spacing w:line="360" w:lineRule="auto"/>
        <w:ind w:firstLine="562" w:firstLineChars="200"/>
        <w:jc w:val="both"/>
        <w:rPr>
          <w:rFonts w:hint="eastAsia" w:ascii="仿宋" w:hAnsi="仿宋" w:eastAsia="仿宋" w:cs="仿宋"/>
          <w:b/>
          <w:bCs/>
          <w:snapToGrid w:val="0"/>
          <w:color w:val="auto"/>
          <w:kern w:val="0"/>
          <w:sz w:val="28"/>
          <w:szCs w:val="28"/>
          <w:highlight w:val="none"/>
          <w:lang w:val="en-US" w:eastAsia="zh-CN"/>
        </w:rPr>
      </w:pPr>
      <w:r>
        <w:rPr>
          <w:rFonts w:hint="eastAsia" w:ascii="仿宋" w:hAnsi="仿宋" w:eastAsia="仿宋" w:cs="仿宋"/>
          <w:b/>
          <w:bCs/>
          <w:snapToGrid w:val="0"/>
          <w:color w:val="auto"/>
          <w:kern w:val="0"/>
          <w:sz w:val="28"/>
          <w:szCs w:val="28"/>
          <w:highlight w:val="none"/>
          <w:lang w:val="en-US" w:eastAsia="zh-CN"/>
        </w:rPr>
        <w:t>四、配送要求</w:t>
      </w:r>
    </w:p>
    <w:p w14:paraId="0AFF2D27">
      <w:pPr>
        <w:keepNext w:val="0"/>
        <w:keepLines w:val="0"/>
        <w:pageBreakBefore w:val="0"/>
        <w:shd w:val="clear"/>
        <w:tabs>
          <w:tab w:val="left" w:pos="180"/>
        </w:tabs>
        <w:kinsoku/>
        <w:wordWrap/>
        <w:overflowPunct/>
        <w:topLinePunct w:val="0"/>
        <w:autoSpaceDE/>
        <w:autoSpaceDN/>
        <w:bidi w:val="0"/>
        <w:adjustRightInd w:val="0"/>
        <w:snapToGrid w:val="0"/>
        <w:spacing w:line="360" w:lineRule="auto"/>
        <w:ind w:firstLine="480" w:firstLineChars="200"/>
        <w:jc w:val="both"/>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（1）送货时间：米面油每两周配送一次，蛋奶每周配送一次，蔬菜、肉类每天配送一次。</w:t>
      </w:r>
    </w:p>
    <w:p w14:paraId="51D495F0">
      <w:pPr>
        <w:keepNext w:val="0"/>
        <w:keepLines w:val="0"/>
        <w:pageBreakBefore w:val="0"/>
        <w:tabs>
          <w:tab w:val="left" w:pos="180"/>
        </w:tabs>
        <w:kinsoku/>
        <w:wordWrap/>
        <w:overflowPunct/>
        <w:topLinePunct w:val="0"/>
        <w:autoSpaceDE/>
        <w:autoSpaceDN/>
        <w:bidi w:val="0"/>
        <w:adjustRightInd w:val="0"/>
        <w:snapToGrid w:val="0"/>
        <w:spacing w:line="360" w:lineRule="auto"/>
        <w:ind w:firstLine="480" w:firstLineChars="200"/>
        <w:jc w:val="both"/>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（2）供应</w:t>
      </w:r>
      <w:r>
        <w:rPr>
          <w:rFonts w:hint="eastAsia" w:ascii="仿宋" w:hAnsi="仿宋" w:eastAsia="仿宋" w:cs="仿宋"/>
          <w:snapToGrid w:val="0"/>
          <w:color w:val="auto"/>
          <w:kern w:val="0"/>
          <w:sz w:val="24"/>
          <w:szCs w:val="24"/>
          <w:highlight w:val="none"/>
          <w:lang w:eastAsia="zh-CN"/>
        </w:rPr>
        <w:t>数量：每天的配送数量以经采购人确认的人数为准，最终据实结算。</w:t>
      </w:r>
    </w:p>
    <w:p w14:paraId="3122B94B">
      <w:pPr>
        <w:keepNext w:val="0"/>
        <w:keepLines w:val="0"/>
        <w:pageBreakBefore w:val="0"/>
        <w:tabs>
          <w:tab w:val="left" w:pos="180"/>
        </w:tabs>
        <w:kinsoku/>
        <w:wordWrap/>
        <w:overflowPunct/>
        <w:topLinePunct w:val="0"/>
        <w:autoSpaceDE/>
        <w:autoSpaceDN/>
        <w:bidi w:val="0"/>
        <w:adjustRightInd w:val="0"/>
        <w:snapToGrid w:val="0"/>
        <w:spacing w:line="360" w:lineRule="auto"/>
        <w:ind w:firstLine="480" w:firstLineChars="200"/>
        <w:jc w:val="both"/>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配送地点：采购人指定地点</w:t>
      </w:r>
      <w:r>
        <w:rPr>
          <w:rFonts w:hint="eastAsia" w:ascii="仿宋" w:hAnsi="仿宋" w:eastAsia="仿宋" w:cs="仿宋"/>
          <w:snapToGrid w:val="0"/>
          <w:color w:val="auto"/>
          <w:kern w:val="0"/>
          <w:sz w:val="24"/>
          <w:szCs w:val="24"/>
          <w:highlight w:val="none"/>
        </w:rPr>
        <w:t>。</w:t>
      </w:r>
    </w:p>
    <w:p w14:paraId="370B59B9">
      <w:pPr>
        <w:keepNext w:val="0"/>
        <w:keepLines w:val="0"/>
        <w:pageBreakBefore w:val="0"/>
        <w:tabs>
          <w:tab w:val="left" w:pos="180"/>
        </w:tabs>
        <w:kinsoku/>
        <w:wordWrap/>
        <w:overflowPunct/>
        <w:topLinePunct w:val="0"/>
        <w:autoSpaceDE/>
        <w:autoSpaceDN/>
        <w:bidi w:val="0"/>
        <w:adjustRightInd w:val="0"/>
        <w:snapToGrid w:val="0"/>
        <w:spacing w:line="360" w:lineRule="auto"/>
        <w:ind w:firstLine="562" w:firstLineChars="200"/>
        <w:jc w:val="both"/>
        <w:rPr>
          <w:rFonts w:hint="eastAsia" w:ascii="仿宋" w:hAnsi="仿宋" w:eastAsia="仿宋" w:cs="仿宋"/>
          <w:b/>
          <w:bCs/>
          <w:snapToGrid w:val="0"/>
          <w:color w:val="auto"/>
          <w:kern w:val="0"/>
          <w:sz w:val="28"/>
          <w:szCs w:val="28"/>
          <w:highlight w:val="none"/>
          <w:lang w:val="en-US" w:eastAsia="zh-CN"/>
        </w:rPr>
      </w:pPr>
      <w:r>
        <w:rPr>
          <w:rFonts w:hint="eastAsia" w:ascii="仿宋" w:hAnsi="仿宋" w:eastAsia="仿宋" w:cs="仿宋"/>
          <w:b/>
          <w:bCs/>
          <w:snapToGrid w:val="0"/>
          <w:color w:val="auto"/>
          <w:kern w:val="0"/>
          <w:sz w:val="28"/>
          <w:szCs w:val="28"/>
          <w:highlight w:val="none"/>
          <w:lang w:val="en-US" w:eastAsia="zh-CN"/>
        </w:rPr>
        <w:t>五、食谱要求</w:t>
      </w:r>
    </w:p>
    <w:p w14:paraId="2C8655F5">
      <w:pPr>
        <w:pStyle w:val="2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98" w:leftChars="0" w:firstLine="242" w:firstLineChars="100"/>
        <w:jc w:val="both"/>
        <w:textAlignment w:val="baseline"/>
        <w:rPr>
          <w:rFonts w:hint="eastAsia" w:ascii="仿宋" w:hAnsi="仿宋" w:eastAsia="仿宋" w:cs="仿宋"/>
          <w:b w:val="0"/>
          <w:bCs w:val="0"/>
          <w:color w:val="auto"/>
          <w:spacing w:val="1"/>
          <w:sz w:val="24"/>
          <w:szCs w:val="24"/>
          <w:highlight w:val="none"/>
          <w:lang w:val="en-US" w:eastAsia="zh-CN"/>
        </w:rPr>
      </w:pPr>
      <w:r>
        <w:rPr>
          <w:rFonts w:hint="eastAsia" w:ascii="仿宋" w:hAnsi="仿宋" w:eastAsia="仿宋" w:cs="仿宋"/>
          <w:b w:val="0"/>
          <w:bCs w:val="0"/>
          <w:color w:val="auto"/>
          <w:spacing w:val="1"/>
          <w:kern w:val="2"/>
          <w:sz w:val="24"/>
          <w:szCs w:val="24"/>
          <w:highlight w:val="none"/>
          <w:lang w:val="en-US" w:eastAsia="zh-CN" w:bidi="zh-CN"/>
        </w:rPr>
        <w:t>①</w:t>
      </w:r>
      <w:r>
        <w:rPr>
          <w:rFonts w:hint="eastAsia" w:ascii="仿宋" w:hAnsi="仿宋" w:eastAsia="仿宋" w:cs="仿宋"/>
          <w:snapToGrid w:val="0"/>
          <w:color w:val="auto"/>
          <w:kern w:val="0"/>
          <w:sz w:val="24"/>
          <w:szCs w:val="24"/>
          <w:highlight w:val="none"/>
          <w:lang w:val="en-US" w:eastAsia="zh-CN" w:bidi="ar-SA"/>
        </w:rPr>
        <w:t>食谱要求（投标人自行填报）：</w:t>
      </w:r>
      <w:r>
        <w:rPr>
          <w:rFonts w:hint="eastAsia" w:ascii="仿宋" w:hAnsi="仿宋" w:eastAsia="仿宋" w:cs="仿宋"/>
          <w:b w:val="0"/>
          <w:bCs w:val="0"/>
          <w:color w:val="auto"/>
          <w:spacing w:val="1"/>
          <w:sz w:val="24"/>
          <w:szCs w:val="24"/>
          <w:highlight w:val="none"/>
          <w:lang w:val="en-US" w:eastAsia="zh-CN"/>
        </w:rPr>
        <w:t>投标人须参照以下食物种类及数量标准在投标文件中提供不低于5元 标准的营养餐带量食谱。</w:t>
      </w:r>
    </w:p>
    <w:p w14:paraId="071365B6">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学生营养餐每人每餐食物种类及数量估算表（单位：g）</w:t>
      </w:r>
    </w:p>
    <w:tbl>
      <w:tblPr>
        <w:tblStyle w:val="306"/>
        <w:tblpPr w:leftFromText="180" w:rightFromText="180" w:vertAnchor="text" w:horzAnchor="page" w:tblpX="1456" w:tblpY="327"/>
        <w:tblOverlap w:val="never"/>
        <w:tblW w:w="498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01"/>
        <w:gridCol w:w="2313"/>
        <w:gridCol w:w="2377"/>
        <w:gridCol w:w="3051"/>
      </w:tblGrid>
      <w:tr w14:paraId="22411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trPr>
        <w:tc>
          <w:tcPr>
            <w:tcW w:w="1998" w:type="pct"/>
            <w:gridSpan w:val="2"/>
            <w:noWrap w:val="0"/>
            <w:vAlign w:val="center"/>
          </w:tcPr>
          <w:p w14:paraId="2F919D2F">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b w:val="0"/>
                <w:bCs w:val="0"/>
                <w:snapToGrid w:val="0"/>
                <w:color w:val="auto"/>
                <w:spacing w:val="5"/>
                <w:kern w:val="0"/>
                <w:sz w:val="21"/>
                <w:szCs w:val="21"/>
                <w:highlight w:val="none"/>
                <w:lang w:val="en-US" w:eastAsia="en-US" w:bidi="ar-SA"/>
              </w:rPr>
            </w:pPr>
            <w:r>
              <w:rPr>
                <w:rFonts w:hint="eastAsia" w:ascii="仿宋" w:hAnsi="仿宋" w:eastAsia="仿宋" w:cs="仿宋"/>
                <w:b w:val="0"/>
                <w:bCs w:val="0"/>
                <w:snapToGrid w:val="0"/>
                <w:color w:val="auto"/>
                <w:spacing w:val="5"/>
                <w:kern w:val="0"/>
                <w:sz w:val="21"/>
                <w:szCs w:val="21"/>
                <w:highlight w:val="none"/>
                <w:lang w:val="en-US" w:eastAsia="en-US" w:bidi="ar-SA"/>
              </w:rPr>
              <w:t>食物种类</w:t>
            </w:r>
          </w:p>
        </w:tc>
        <w:tc>
          <w:tcPr>
            <w:tcW w:w="1314" w:type="pct"/>
            <w:noWrap w:val="0"/>
            <w:vAlign w:val="center"/>
          </w:tcPr>
          <w:p w14:paraId="3A8AEC6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小学生</w:t>
            </w:r>
          </w:p>
          <w:p w14:paraId="406A3AFA">
            <w:pPr>
              <w:jc w:val="center"/>
              <w:rPr>
                <w:rFonts w:hint="eastAsia" w:ascii="仿宋" w:hAnsi="仿宋" w:eastAsia="仿宋" w:cs="仿宋"/>
                <w:b w:val="0"/>
                <w:bCs w:val="0"/>
                <w:snapToGrid w:val="0"/>
                <w:color w:val="auto"/>
                <w:spacing w:val="5"/>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数量标准</w:t>
            </w:r>
          </w:p>
        </w:tc>
        <w:tc>
          <w:tcPr>
            <w:tcW w:w="1687" w:type="pct"/>
            <w:noWrap w:val="0"/>
            <w:vAlign w:val="center"/>
          </w:tcPr>
          <w:p w14:paraId="4040575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中学生</w:t>
            </w:r>
          </w:p>
          <w:p w14:paraId="066AB7EE">
            <w:pPr>
              <w:jc w:val="center"/>
              <w:rPr>
                <w:rFonts w:hint="eastAsia" w:ascii="仿宋" w:hAnsi="仿宋" w:eastAsia="仿宋" w:cs="仿宋"/>
                <w:b w:val="0"/>
                <w:bCs w:val="0"/>
                <w:snapToGrid w:val="0"/>
                <w:color w:val="auto"/>
                <w:spacing w:val="5"/>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数量标准</w:t>
            </w:r>
          </w:p>
        </w:tc>
      </w:tr>
      <w:tr w14:paraId="3E4FA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noWrap w:val="0"/>
            <w:vAlign w:val="center"/>
          </w:tcPr>
          <w:p w14:paraId="3B904C7C">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谷薯类</w:t>
            </w:r>
          </w:p>
        </w:tc>
        <w:tc>
          <w:tcPr>
            <w:tcW w:w="1279" w:type="pct"/>
            <w:noWrap w:val="0"/>
            <w:vAlign w:val="center"/>
          </w:tcPr>
          <w:p w14:paraId="5A5DDA2B">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谷薯类</w:t>
            </w:r>
          </w:p>
        </w:tc>
        <w:tc>
          <w:tcPr>
            <w:tcW w:w="1314" w:type="pct"/>
            <w:noWrap w:val="0"/>
            <w:vAlign w:val="center"/>
          </w:tcPr>
          <w:p w14:paraId="28B09950">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5"/>
                <w:position w:val="1"/>
                <w:sz w:val="21"/>
                <w:szCs w:val="21"/>
                <w:highlight w:val="none"/>
                <w:lang w:val="en-US" w:eastAsia="zh-CN"/>
              </w:rPr>
              <w:t>130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5"/>
                <w:position w:val="1"/>
                <w:sz w:val="21"/>
                <w:szCs w:val="21"/>
                <w:highlight w:val="none"/>
                <w:lang w:val="en-US" w:eastAsia="zh-CN"/>
              </w:rPr>
              <w:t>160</w:t>
            </w:r>
          </w:p>
        </w:tc>
        <w:tc>
          <w:tcPr>
            <w:tcW w:w="1687" w:type="pct"/>
            <w:noWrap w:val="0"/>
            <w:vAlign w:val="center"/>
          </w:tcPr>
          <w:p w14:paraId="39A2319B">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5"/>
                <w:position w:val="1"/>
                <w:sz w:val="21"/>
                <w:szCs w:val="21"/>
                <w:highlight w:val="none"/>
                <w:lang w:val="en-US" w:eastAsia="zh-CN"/>
              </w:rPr>
            </w:pPr>
            <w:r>
              <w:rPr>
                <w:rFonts w:hint="eastAsia" w:ascii="仿宋" w:hAnsi="仿宋" w:eastAsia="仿宋" w:cs="仿宋"/>
                <w:color w:val="auto"/>
                <w:spacing w:val="5"/>
                <w:position w:val="1"/>
                <w:sz w:val="21"/>
                <w:szCs w:val="21"/>
                <w:highlight w:val="none"/>
                <w:lang w:val="en-US" w:eastAsia="zh-CN"/>
              </w:rPr>
              <w:t>140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5"/>
                <w:position w:val="1"/>
                <w:sz w:val="21"/>
                <w:szCs w:val="21"/>
                <w:highlight w:val="none"/>
                <w:lang w:val="en-US" w:eastAsia="zh-CN"/>
              </w:rPr>
              <w:t>160</w:t>
            </w:r>
          </w:p>
        </w:tc>
      </w:tr>
      <w:tr w14:paraId="4E912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restart"/>
            <w:tcBorders>
              <w:bottom w:val="nil"/>
            </w:tcBorders>
            <w:noWrap w:val="0"/>
            <w:vAlign w:val="center"/>
          </w:tcPr>
          <w:p w14:paraId="1ED5C5EE">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蔬菜水果类</w:t>
            </w:r>
          </w:p>
        </w:tc>
        <w:tc>
          <w:tcPr>
            <w:tcW w:w="1279" w:type="pct"/>
            <w:noWrap w:val="0"/>
            <w:vAlign w:val="center"/>
          </w:tcPr>
          <w:p w14:paraId="24BCB7AD">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蔬菜类</w:t>
            </w:r>
          </w:p>
        </w:tc>
        <w:tc>
          <w:tcPr>
            <w:tcW w:w="1314" w:type="pct"/>
            <w:noWrap w:val="0"/>
            <w:vAlign w:val="center"/>
          </w:tcPr>
          <w:p w14:paraId="61D6E53E">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100</w:t>
            </w:r>
            <w:r>
              <w:rPr>
                <w:rFonts w:hint="eastAsia" w:ascii="仿宋" w:hAnsi="仿宋" w:eastAsia="仿宋" w:cs="仿宋"/>
                <w:color w:val="auto"/>
                <w:spacing w:val="4"/>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150</w:t>
            </w:r>
          </w:p>
        </w:tc>
        <w:tc>
          <w:tcPr>
            <w:tcW w:w="1687" w:type="pct"/>
            <w:noWrap w:val="0"/>
            <w:vAlign w:val="center"/>
          </w:tcPr>
          <w:p w14:paraId="4083C9E8">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120</w:t>
            </w:r>
            <w:r>
              <w:rPr>
                <w:rFonts w:hint="eastAsia" w:ascii="仿宋" w:hAnsi="仿宋" w:eastAsia="仿宋" w:cs="仿宋"/>
                <w:color w:val="auto"/>
                <w:spacing w:val="4"/>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150</w:t>
            </w:r>
          </w:p>
        </w:tc>
      </w:tr>
      <w:tr w14:paraId="3253F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continue"/>
            <w:tcBorders>
              <w:top w:val="nil"/>
            </w:tcBorders>
            <w:noWrap w:val="0"/>
            <w:vAlign w:val="center"/>
          </w:tcPr>
          <w:p w14:paraId="7344E2BD">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tc>
        <w:tc>
          <w:tcPr>
            <w:tcW w:w="1279" w:type="pct"/>
            <w:noWrap w:val="0"/>
            <w:vAlign w:val="center"/>
          </w:tcPr>
          <w:p w14:paraId="66E6E3E6">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水果类</w:t>
            </w:r>
          </w:p>
        </w:tc>
        <w:tc>
          <w:tcPr>
            <w:tcW w:w="1314" w:type="pct"/>
            <w:noWrap w:val="0"/>
            <w:vAlign w:val="center"/>
          </w:tcPr>
          <w:p w14:paraId="761F605E">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2"/>
                <w:position w:val="1"/>
                <w:sz w:val="21"/>
                <w:szCs w:val="21"/>
                <w:highlight w:val="none"/>
                <w:lang w:val="en-US" w:eastAsia="zh-CN"/>
              </w:rPr>
              <w:t>100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5"/>
                <w:position w:val="1"/>
                <w:sz w:val="21"/>
                <w:szCs w:val="21"/>
                <w:highlight w:val="none"/>
                <w:lang w:val="en-US" w:eastAsia="zh-CN"/>
              </w:rPr>
              <w:t>150</w:t>
            </w:r>
          </w:p>
        </w:tc>
        <w:tc>
          <w:tcPr>
            <w:tcW w:w="1687" w:type="pct"/>
            <w:noWrap w:val="0"/>
            <w:vAlign w:val="center"/>
          </w:tcPr>
          <w:p w14:paraId="09FF82DA">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2"/>
                <w:position w:val="1"/>
                <w:sz w:val="21"/>
                <w:szCs w:val="21"/>
                <w:highlight w:val="none"/>
                <w:lang w:val="en-US" w:eastAsia="zh-CN"/>
              </w:rPr>
              <w:t>100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5"/>
                <w:position w:val="1"/>
                <w:sz w:val="21"/>
                <w:szCs w:val="21"/>
                <w:highlight w:val="none"/>
                <w:lang w:val="en-US" w:eastAsia="zh-CN"/>
              </w:rPr>
              <w:t>150</w:t>
            </w:r>
          </w:p>
        </w:tc>
      </w:tr>
      <w:tr w14:paraId="05CC5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restart"/>
            <w:tcBorders>
              <w:bottom w:val="nil"/>
            </w:tcBorders>
            <w:noWrap w:val="0"/>
            <w:vAlign w:val="center"/>
          </w:tcPr>
          <w:p w14:paraId="175A0DDC">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肉蛋奶类</w:t>
            </w:r>
          </w:p>
        </w:tc>
        <w:tc>
          <w:tcPr>
            <w:tcW w:w="1279" w:type="pct"/>
            <w:noWrap w:val="0"/>
            <w:vAlign w:val="center"/>
          </w:tcPr>
          <w:p w14:paraId="22C40DF4">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畜禽肉类</w:t>
            </w:r>
          </w:p>
        </w:tc>
        <w:tc>
          <w:tcPr>
            <w:tcW w:w="1314" w:type="pct"/>
            <w:noWrap w:val="0"/>
            <w:vAlign w:val="center"/>
          </w:tcPr>
          <w:p w14:paraId="051A6589">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20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30</w:t>
            </w:r>
          </w:p>
        </w:tc>
        <w:tc>
          <w:tcPr>
            <w:tcW w:w="1687" w:type="pct"/>
            <w:noWrap w:val="0"/>
            <w:vAlign w:val="center"/>
          </w:tcPr>
          <w:p w14:paraId="4BB3D6B2">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25</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30</w:t>
            </w:r>
          </w:p>
        </w:tc>
      </w:tr>
      <w:tr w14:paraId="470F8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continue"/>
            <w:tcBorders>
              <w:top w:val="nil"/>
              <w:bottom w:val="nil"/>
            </w:tcBorders>
            <w:noWrap w:val="0"/>
            <w:vAlign w:val="center"/>
          </w:tcPr>
          <w:p w14:paraId="6A5B996F">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tc>
        <w:tc>
          <w:tcPr>
            <w:tcW w:w="1279" w:type="pct"/>
            <w:noWrap w:val="0"/>
            <w:vAlign w:val="center"/>
          </w:tcPr>
          <w:p w14:paraId="57194F2E">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鱼虾类</w:t>
            </w:r>
          </w:p>
        </w:tc>
        <w:tc>
          <w:tcPr>
            <w:tcW w:w="1314" w:type="pct"/>
            <w:noWrap w:val="0"/>
            <w:vAlign w:val="center"/>
          </w:tcPr>
          <w:p w14:paraId="3248BC84">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10</w:t>
            </w:r>
            <w:r>
              <w:rPr>
                <w:rFonts w:hint="eastAsia" w:ascii="仿宋" w:hAnsi="仿宋" w:eastAsia="仿宋" w:cs="仿宋"/>
                <w:color w:val="auto"/>
                <w:spacing w:val="4"/>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20</w:t>
            </w:r>
          </w:p>
        </w:tc>
        <w:tc>
          <w:tcPr>
            <w:tcW w:w="1687" w:type="pct"/>
            <w:noWrap w:val="0"/>
            <w:vAlign w:val="center"/>
          </w:tcPr>
          <w:p w14:paraId="567F4A8C">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15</w:t>
            </w:r>
            <w:r>
              <w:rPr>
                <w:rFonts w:hint="eastAsia" w:ascii="仿宋" w:hAnsi="仿宋" w:eastAsia="仿宋" w:cs="仿宋"/>
                <w:color w:val="auto"/>
                <w:spacing w:val="4"/>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20</w:t>
            </w:r>
          </w:p>
        </w:tc>
      </w:tr>
      <w:tr w14:paraId="5B2A1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continue"/>
            <w:tcBorders>
              <w:top w:val="nil"/>
              <w:bottom w:val="nil"/>
            </w:tcBorders>
            <w:noWrap w:val="0"/>
            <w:vAlign w:val="center"/>
          </w:tcPr>
          <w:p w14:paraId="36AE067D">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tc>
        <w:tc>
          <w:tcPr>
            <w:tcW w:w="1279" w:type="pct"/>
            <w:noWrap w:val="0"/>
            <w:vAlign w:val="center"/>
          </w:tcPr>
          <w:p w14:paraId="1B377B3F">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蛋类</w:t>
            </w:r>
          </w:p>
        </w:tc>
        <w:tc>
          <w:tcPr>
            <w:tcW w:w="1314" w:type="pct"/>
            <w:noWrap w:val="0"/>
            <w:vAlign w:val="center"/>
          </w:tcPr>
          <w:p w14:paraId="53F5C436">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4"/>
                <w:position w:val="1"/>
                <w:sz w:val="21"/>
                <w:szCs w:val="21"/>
                <w:highlight w:val="none"/>
              </w:rPr>
              <w:t>30～</w:t>
            </w:r>
            <w:r>
              <w:rPr>
                <w:rFonts w:hint="eastAsia" w:ascii="仿宋" w:hAnsi="仿宋" w:eastAsia="仿宋" w:cs="仿宋"/>
                <w:color w:val="auto"/>
                <w:spacing w:val="4"/>
                <w:position w:val="1"/>
                <w:sz w:val="21"/>
                <w:szCs w:val="21"/>
                <w:highlight w:val="none"/>
                <w:lang w:val="en-US" w:eastAsia="zh-CN"/>
              </w:rPr>
              <w:t>50</w:t>
            </w:r>
          </w:p>
        </w:tc>
        <w:tc>
          <w:tcPr>
            <w:tcW w:w="1687" w:type="pct"/>
            <w:noWrap w:val="0"/>
            <w:vAlign w:val="center"/>
          </w:tcPr>
          <w:p w14:paraId="42A1DFFC">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5"/>
                <w:position w:val="1"/>
                <w:sz w:val="21"/>
                <w:szCs w:val="21"/>
                <w:highlight w:val="none"/>
              </w:rPr>
            </w:pPr>
            <w:r>
              <w:rPr>
                <w:rFonts w:hint="eastAsia" w:ascii="仿宋" w:hAnsi="仿宋" w:eastAsia="仿宋" w:cs="仿宋"/>
                <w:color w:val="auto"/>
                <w:spacing w:val="5"/>
                <w:position w:val="1"/>
                <w:sz w:val="21"/>
                <w:szCs w:val="21"/>
                <w:highlight w:val="none"/>
              </w:rPr>
              <w:t>40～50</w:t>
            </w:r>
          </w:p>
        </w:tc>
      </w:tr>
      <w:tr w14:paraId="7BD1E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continue"/>
            <w:tcBorders>
              <w:top w:val="nil"/>
            </w:tcBorders>
            <w:noWrap w:val="0"/>
            <w:vAlign w:val="center"/>
          </w:tcPr>
          <w:p w14:paraId="716DE4FF">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tc>
        <w:tc>
          <w:tcPr>
            <w:tcW w:w="1279" w:type="pct"/>
            <w:noWrap w:val="0"/>
            <w:vAlign w:val="center"/>
          </w:tcPr>
          <w:p w14:paraId="25B12DD3">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奶及奶制品</w:t>
            </w:r>
          </w:p>
        </w:tc>
        <w:tc>
          <w:tcPr>
            <w:tcW w:w="1314" w:type="pct"/>
            <w:noWrap w:val="0"/>
            <w:vAlign w:val="center"/>
          </w:tcPr>
          <w:p w14:paraId="6728EF75">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2"/>
                <w:position w:val="1"/>
                <w:sz w:val="21"/>
                <w:szCs w:val="21"/>
                <w:highlight w:val="none"/>
              </w:rPr>
              <w:t>150～</w:t>
            </w:r>
            <w:r>
              <w:rPr>
                <w:rFonts w:hint="eastAsia" w:ascii="仿宋" w:hAnsi="仿宋" w:eastAsia="仿宋" w:cs="仿宋"/>
                <w:color w:val="auto"/>
                <w:spacing w:val="2"/>
                <w:position w:val="1"/>
                <w:sz w:val="21"/>
                <w:szCs w:val="21"/>
                <w:highlight w:val="none"/>
                <w:lang w:val="en-US" w:eastAsia="zh-CN"/>
              </w:rPr>
              <w:t>200</w:t>
            </w:r>
          </w:p>
        </w:tc>
        <w:tc>
          <w:tcPr>
            <w:tcW w:w="1687" w:type="pct"/>
            <w:noWrap w:val="0"/>
            <w:vAlign w:val="center"/>
          </w:tcPr>
          <w:p w14:paraId="0A20A523">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rPr>
            </w:pPr>
            <w:r>
              <w:rPr>
                <w:rFonts w:hint="eastAsia" w:ascii="仿宋" w:hAnsi="仿宋" w:eastAsia="仿宋" w:cs="仿宋"/>
                <w:color w:val="auto"/>
                <w:spacing w:val="2"/>
                <w:position w:val="1"/>
                <w:sz w:val="21"/>
                <w:szCs w:val="21"/>
                <w:highlight w:val="none"/>
              </w:rPr>
              <w:t>150～</w:t>
            </w:r>
            <w:r>
              <w:rPr>
                <w:rFonts w:hint="eastAsia" w:ascii="仿宋" w:hAnsi="仿宋" w:eastAsia="仿宋" w:cs="仿宋"/>
                <w:color w:val="auto"/>
                <w:spacing w:val="2"/>
                <w:position w:val="1"/>
                <w:sz w:val="21"/>
                <w:szCs w:val="21"/>
                <w:highlight w:val="none"/>
                <w:lang w:val="en-US" w:eastAsia="zh-CN"/>
              </w:rPr>
              <w:t>200</w:t>
            </w:r>
          </w:p>
        </w:tc>
      </w:tr>
      <w:tr w14:paraId="3F1E6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noWrap w:val="0"/>
            <w:vAlign w:val="center"/>
          </w:tcPr>
          <w:p w14:paraId="640D60C0">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豆类</w:t>
            </w:r>
          </w:p>
        </w:tc>
        <w:tc>
          <w:tcPr>
            <w:tcW w:w="1279" w:type="pct"/>
            <w:noWrap w:val="0"/>
            <w:vAlign w:val="center"/>
          </w:tcPr>
          <w:p w14:paraId="68953D0D">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豆类及其制品和坚果</w:t>
            </w:r>
          </w:p>
        </w:tc>
        <w:tc>
          <w:tcPr>
            <w:tcW w:w="1314" w:type="pct"/>
            <w:noWrap w:val="0"/>
            <w:vAlign w:val="center"/>
          </w:tcPr>
          <w:p w14:paraId="73713DB2">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5"/>
                <w:position w:val="1"/>
                <w:sz w:val="21"/>
                <w:szCs w:val="21"/>
                <w:highlight w:val="none"/>
              </w:rPr>
              <w:t>25～</w:t>
            </w:r>
            <w:r>
              <w:rPr>
                <w:rFonts w:hint="eastAsia" w:ascii="仿宋" w:hAnsi="仿宋" w:eastAsia="仿宋" w:cs="仿宋"/>
                <w:color w:val="auto"/>
                <w:spacing w:val="5"/>
                <w:position w:val="1"/>
                <w:sz w:val="21"/>
                <w:szCs w:val="21"/>
                <w:highlight w:val="none"/>
                <w:lang w:val="en-US" w:eastAsia="zh-CN"/>
              </w:rPr>
              <w:t>40</w:t>
            </w:r>
          </w:p>
        </w:tc>
        <w:tc>
          <w:tcPr>
            <w:tcW w:w="1687" w:type="pct"/>
            <w:noWrap w:val="0"/>
            <w:vAlign w:val="center"/>
          </w:tcPr>
          <w:p w14:paraId="7ED9B08C">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rPr>
            </w:pPr>
            <w:r>
              <w:rPr>
                <w:rFonts w:hint="eastAsia" w:ascii="仿宋" w:hAnsi="仿宋" w:eastAsia="仿宋" w:cs="仿宋"/>
                <w:color w:val="auto"/>
                <w:spacing w:val="4"/>
                <w:position w:val="1"/>
                <w:sz w:val="21"/>
                <w:szCs w:val="21"/>
                <w:highlight w:val="none"/>
              </w:rPr>
              <w:t>30～40</w:t>
            </w:r>
          </w:p>
        </w:tc>
      </w:tr>
      <w:tr w14:paraId="7CFD2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98" w:type="pct"/>
            <w:gridSpan w:val="2"/>
            <w:noWrap w:val="0"/>
            <w:vAlign w:val="center"/>
          </w:tcPr>
          <w:p w14:paraId="6E993D57">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植物油</w:t>
            </w:r>
          </w:p>
        </w:tc>
        <w:tc>
          <w:tcPr>
            <w:tcW w:w="1314" w:type="pct"/>
            <w:noWrap w:val="0"/>
            <w:vAlign w:val="center"/>
          </w:tcPr>
          <w:p w14:paraId="2EB707B0">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1"/>
                <w:position w:val="1"/>
                <w:sz w:val="21"/>
                <w:szCs w:val="21"/>
                <w:highlight w:val="none"/>
                <w:lang w:val="en-US" w:eastAsia="zh-CN"/>
              </w:rPr>
              <w:t>10</w:t>
            </w:r>
            <w:r>
              <w:rPr>
                <w:rFonts w:hint="eastAsia" w:ascii="仿宋" w:hAnsi="仿宋" w:eastAsia="仿宋" w:cs="仿宋"/>
                <w:color w:val="auto"/>
                <w:spacing w:val="1"/>
                <w:position w:val="1"/>
                <w:sz w:val="21"/>
                <w:szCs w:val="21"/>
                <w:highlight w:val="none"/>
              </w:rPr>
              <w:t>～</w:t>
            </w:r>
            <w:r>
              <w:rPr>
                <w:rFonts w:hint="eastAsia" w:ascii="仿宋" w:hAnsi="仿宋" w:eastAsia="仿宋" w:cs="仿宋"/>
                <w:color w:val="auto"/>
                <w:spacing w:val="1"/>
                <w:position w:val="1"/>
                <w:sz w:val="21"/>
                <w:szCs w:val="21"/>
                <w:highlight w:val="none"/>
                <w:lang w:val="en-US" w:eastAsia="zh-CN"/>
              </w:rPr>
              <w:t>15</w:t>
            </w:r>
          </w:p>
        </w:tc>
        <w:tc>
          <w:tcPr>
            <w:tcW w:w="1687" w:type="pct"/>
            <w:noWrap w:val="0"/>
            <w:vAlign w:val="center"/>
          </w:tcPr>
          <w:p w14:paraId="042E9778">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1"/>
                <w:position w:val="1"/>
                <w:sz w:val="21"/>
                <w:szCs w:val="21"/>
                <w:highlight w:val="none"/>
                <w:lang w:val="en-US" w:eastAsia="zh-CN"/>
              </w:rPr>
            </w:pPr>
            <w:r>
              <w:rPr>
                <w:rFonts w:hint="eastAsia" w:ascii="仿宋" w:hAnsi="仿宋" w:eastAsia="仿宋" w:cs="仿宋"/>
                <w:color w:val="auto"/>
                <w:spacing w:val="1"/>
                <w:position w:val="1"/>
                <w:sz w:val="21"/>
                <w:szCs w:val="21"/>
                <w:highlight w:val="none"/>
                <w:lang w:val="en-US" w:eastAsia="zh-CN"/>
              </w:rPr>
              <w:t>10</w:t>
            </w:r>
            <w:r>
              <w:rPr>
                <w:rFonts w:hint="eastAsia" w:ascii="仿宋" w:hAnsi="仿宋" w:eastAsia="仿宋" w:cs="仿宋"/>
                <w:color w:val="auto"/>
                <w:spacing w:val="1"/>
                <w:position w:val="1"/>
                <w:sz w:val="21"/>
                <w:szCs w:val="21"/>
                <w:highlight w:val="none"/>
              </w:rPr>
              <w:t>～</w:t>
            </w:r>
            <w:r>
              <w:rPr>
                <w:rFonts w:hint="eastAsia" w:ascii="仿宋" w:hAnsi="仿宋" w:eastAsia="仿宋" w:cs="仿宋"/>
                <w:color w:val="auto"/>
                <w:spacing w:val="1"/>
                <w:position w:val="1"/>
                <w:sz w:val="21"/>
                <w:szCs w:val="21"/>
                <w:highlight w:val="none"/>
                <w:lang w:val="en-US" w:eastAsia="zh-CN"/>
              </w:rPr>
              <w:t>15</w:t>
            </w:r>
          </w:p>
        </w:tc>
      </w:tr>
      <w:tr w14:paraId="74CBF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98" w:type="pct"/>
            <w:gridSpan w:val="2"/>
            <w:noWrap w:val="0"/>
            <w:vAlign w:val="center"/>
          </w:tcPr>
          <w:p w14:paraId="4F9DABE6">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盐</w:t>
            </w:r>
          </w:p>
        </w:tc>
        <w:tc>
          <w:tcPr>
            <w:tcW w:w="1314" w:type="pct"/>
            <w:noWrap w:val="0"/>
            <w:vAlign w:val="center"/>
          </w:tcPr>
          <w:p w14:paraId="07ECC246">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5"/>
                <w:position w:val="1"/>
                <w:sz w:val="21"/>
                <w:szCs w:val="21"/>
                <w:highlight w:val="none"/>
              </w:rPr>
              <w:t>4～5</w:t>
            </w:r>
            <w:r>
              <w:rPr>
                <w:rFonts w:hint="eastAsia" w:ascii="仿宋" w:hAnsi="仿宋" w:eastAsia="仿宋" w:cs="仿宋"/>
                <w:color w:val="auto"/>
                <w:spacing w:val="5"/>
                <w:position w:val="1"/>
                <w:sz w:val="21"/>
                <w:szCs w:val="21"/>
                <w:highlight w:val="none"/>
                <w:lang w:val="en-US" w:eastAsia="zh-CN"/>
              </w:rPr>
              <w:t>.5</w:t>
            </w:r>
          </w:p>
        </w:tc>
        <w:tc>
          <w:tcPr>
            <w:tcW w:w="1687" w:type="pct"/>
            <w:noWrap w:val="0"/>
            <w:vAlign w:val="center"/>
          </w:tcPr>
          <w:p w14:paraId="39605A8C">
            <w:pPr>
              <w:pStyle w:val="307"/>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rPr>
            </w:pPr>
            <w:r>
              <w:rPr>
                <w:rFonts w:hint="eastAsia" w:ascii="仿宋" w:hAnsi="仿宋" w:eastAsia="仿宋" w:cs="仿宋"/>
                <w:color w:val="auto"/>
                <w:spacing w:val="4"/>
                <w:position w:val="1"/>
                <w:sz w:val="21"/>
                <w:szCs w:val="21"/>
                <w:highlight w:val="none"/>
              </w:rPr>
              <w:t>4.5～5.5</w:t>
            </w:r>
          </w:p>
        </w:tc>
      </w:tr>
    </w:tbl>
    <w:p w14:paraId="7AE9E76C">
      <w:pPr>
        <w:pStyle w:val="28"/>
        <w:keepNext w:val="0"/>
        <w:keepLines w:val="0"/>
        <w:pageBreakBefore w:val="0"/>
        <w:numPr>
          <w:ilvl w:val="0"/>
          <w:numId w:val="0"/>
        </w:numPr>
        <w:kinsoku/>
        <w:wordWrap/>
        <w:overflowPunct/>
        <w:topLinePunct w:val="0"/>
        <w:autoSpaceDE/>
        <w:autoSpaceDN/>
        <w:bidi w:val="0"/>
        <w:spacing w:line="360" w:lineRule="auto"/>
        <w:ind w:left="498" w:leftChars="0" w:firstLine="242" w:firstLineChars="100"/>
        <w:jc w:val="both"/>
        <w:rPr>
          <w:rFonts w:hint="eastAsia" w:ascii="仿宋" w:hAnsi="仿宋" w:eastAsia="仿宋" w:cs="仿宋"/>
          <w:b w:val="0"/>
          <w:bCs w:val="0"/>
          <w:color w:val="auto"/>
          <w:spacing w:val="1"/>
          <w:sz w:val="24"/>
          <w:szCs w:val="24"/>
          <w:highlight w:val="none"/>
          <w:lang w:val="en-US" w:eastAsia="zh-CN"/>
        </w:rPr>
      </w:pPr>
      <w:r>
        <w:rPr>
          <w:rFonts w:hint="eastAsia" w:ascii="仿宋" w:hAnsi="仿宋" w:eastAsia="仿宋" w:cs="仿宋"/>
          <w:b w:val="0"/>
          <w:bCs w:val="0"/>
          <w:color w:val="auto"/>
          <w:spacing w:val="1"/>
          <w:kern w:val="2"/>
          <w:sz w:val="24"/>
          <w:szCs w:val="24"/>
          <w:highlight w:val="none"/>
          <w:lang w:val="en-US" w:eastAsia="zh-CN" w:bidi="zh-CN"/>
        </w:rPr>
        <w:t>②</w:t>
      </w:r>
      <w:r>
        <w:rPr>
          <w:rFonts w:hint="eastAsia" w:ascii="仿宋" w:hAnsi="仿宋" w:eastAsia="仿宋" w:cs="仿宋"/>
          <w:b w:val="0"/>
          <w:bCs w:val="0"/>
          <w:color w:val="auto"/>
          <w:spacing w:val="1"/>
          <w:sz w:val="24"/>
          <w:szCs w:val="24"/>
          <w:highlight w:val="none"/>
          <w:lang w:val="en-US" w:eastAsia="zh-CN"/>
        </w:rPr>
        <w:t>投标人须在投标文件中按照</w:t>
      </w:r>
      <w:r>
        <w:rPr>
          <w:rFonts w:hint="eastAsia" w:ascii="仿宋" w:hAnsi="仿宋" w:eastAsia="仿宋" w:cs="仿宋"/>
          <w:b w:val="0"/>
          <w:bCs w:val="0"/>
          <w:color w:val="auto"/>
          <w:sz w:val="24"/>
          <w:szCs w:val="24"/>
          <w:highlight w:val="none"/>
          <w:lang w:val="en-US" w:eastAsia="zh-CN"/>
        </w:rPr>
        <w:t>供餐模式及</w:t>
      </w:r>
      <w:r>
        <w:rPr>
          <w:rFonts w:hint="eastAsia" w:ascii="仿宋" w:hAnsi="仿宋" w:eastAsia="仿宋" w:cs="仿宋"/>
          <w:b w:val="0"/>
          <w:bCs w:val="0"/>
          <w:color w:val="auto"/>
          <w:spacing w:val="1"/>
          <w:sz w:val="24"/>
          <w:szCs w:val="24"/>
          <w:highlight w:val="none"/>
          <w:lang w:val="en-US" w:eastAsia="zh-CN"/>
        </w:rPr>
        <w:t>四季（春、夏、秋、冬）每季分别提供不少于4套营养餐带量食谱供采购人选择（实际数量与标准以项目实施中采购人要求为准）。</w:t>
      </w:r>
    </w:p>
    <w:p w14:paraId="00765DD4">
      <w:pPr>
        <w:pStyle w:val="28"/>
        <w:keepNext w:val="0"/>
        <w:keepLines w:val="0"/>
        <w:pageBreakBefore w:val="0"/>
        <w:numPr>
          <w:ilvl w:val="0"/>
          <w:numId w:val="0"/>
        </w:numPr>
        <w:kinsoku/>
        <w:wordWrap/>
        <w:overflowPunct/>
        <w:topLinePunct w:val="0"/>
        <w:autoSpaceDE/>
        <w:autoSpaceDN/>
        <w:bidi w:val="0"/>
        <w:adjustRightInd w:val="0"/>
        <w:snapToGrid w:val="0"/>
        <w:spacing w:line="360" w:lineRule="auto"/>
        <w:ind w:left="498" w:firstLine="242" w:firstLineChars="100"/>
        <w:jc w:val="both"/>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b w:val="0"/>
          <w:bCs w:val="0"/>
          <w:color w:val="auto"/>
          <w:spacing w:val="1"/>
          <w:kern w:val="2"/>
          <w:sz w:val="24"/>
          <w:szCs w:val="24"/>
          <w:highlight w:val="none"/>
          <w:lang w:val="en-US" w:eastAsia="zh-CN" w:bidi="zh-CN"/>
        </w:rPr>
        <w:t>③</w:t>
      </w:r>
      <w:r>
        <w:rPr>
          <w:rFonts w:hint="eastAsia" w:ascii="仿宋" w:hAnsi="仿宋" w:eastAsia="仿宋" w:cs="仿宋"/>
          <w:b w:val="0"/>
          <w:bCs w:val="0"/>
          <w:color w:val="auto"/>
          <w:spacing w:val="1"/>
          <w:sz w:val="24"/>
          <w:szCs w:val="24"/>
          <w:highlight w:val="none"/>
          <w:lang w:val="en-US" w:eastAsia="zh-CN"/>
        </w:rPr>
        <w:t>营养餐带量食谱需由从事营养行业的专业人员编制（提供相关人员证书）。</w:t>
      </w:r>
    </w:p>
    <w:p w14:paraId="1400C8EF">
      <w:pPr>
        <w:keepNext w:val="0"/>
        <w:keepLines w:val="0"/>
        <w:pageBreakBefore w:val="0"/>
        <w:tabs>
          <w:tab w:val="left" w:pos="180"/>
        </w:tabs>
        <w:kinsoku/>
        <w:wordWrap/>
        <w:overflowPunct/>
        <w:topLinePunct w:val="0"/>
        <w:autoSpaceDE/>
        <w:autoSpaceDN/>
        <w:bidi w:val="0"/>
        <w:adjustRightInd w:val="0"/>
        <w:snapToGrid w:val="0"/>
        <w:spacing w:line="360" w:lineRule="auto"/>
        <w:ind w:firstLine="562" w:firstLineChars="200"/>
        <w:jc w:val="both"/>
        <w:rPr>
          <w:rFonts w:hint="default" w:ascii="仿宋" w:hAnsi="仿宋" w:eastAsia="仿宋" w:cs="仿宋"/>
          <w:b/>
          <w:bCs/>
          <w:snapToGrid w:val="0"/>
          <w:color w:val="auto"/>
          <w:kern w:val="0"/>
          <w:sz w:val="28"/>
          <w:szCs w:val="28"/>
          <w:highlight w:val="none"/>
          <w:lang w:val="en-US" w:eastAsia="zh-CN"/>
        </w:rPr>
      </w:pPr>
      <w:r>
        <w:rPr>
          <w:rFonts w:hint="eastAsia" w:ascii="仿宋" w:hAnsi="仿宋" w:eastAsia="仿宋" w:cs="仿宋"/>
          <w:b/>
          <w:bCs/>
          <w:snapToGrid w:val="0"/>
          <w:color w:val="auto"/>
          <w:kern w:val="0"/>
          <w:sz w:val="28"/>
          <w:szCs w:val="28"/>
          <w:highlight w:val="none"/>
          <w:lang w:val="en-US" w:eastAsia="zh-CN"/>
        </w:rPr>
        <w:t>六、商务要求</w:t>
      </w:r>
    </w:p>
    <w:p w14:paraId="2B60CC9D">
      <w:pPr>
        <w:keepNext w:val="0"/>
        <w:keepLines w:val="0"/>
        <w:pageBreakBefore w:val="0"/>
        <w:tabs>
          <w:tab w:val="left" w:pos="180"/>
        </w:tabs>
        <w:kinsoku/>
        <w:wordWrap/>
        <w:overflowPunct/>
        <w:topLinePunct w:val="0"/>
        <w:autoSpaceDE/>
        <w:autoSpaceDN/>
        <w:bidi w:val="0"/>
        <w:adjustRightInd w:val="0"/>
        <w:snapToGrid w:val="0"/>
        <w:spacing w:line="360" w:lineRule="auto"/>
        <w:ind w:firstLine="480" w:firstLineChars="200"/>
        <w:jc w:val="both"/>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eastAsia="zh-CN"/>
        </w:rPr>
        <w:t>）服务</w:t>
      </w:r>
      <w:r>
        <w:rPr>
          <w:rFonts w:hint="eastAsia" w:ascii="仿宋" w:hAnsi="仿宋" w:eastAsia="仿宋" w:cs="仿宋"/>
          <w:snapToGrid w:val="0"/>
          <w:color w:val="auto"/>
          <w:kern w:val="0"/>
          <w:sz w:val="24"/>
          <w:szCs w:val="24"/>
          <w:highlight w:val="none"/>
        </w:rPr>
        <w:t>期：</w:t>
      </w:r>
      <w:r>
        <w:rPr>
          <w:rFonts w:hint="eastAsia" w:ascii="仿宋" w:hAnsi="仿宋" w:eastAsia="仿宋" w:cs="仿宋"/>
          <w:snapToGrid w:val="0"/>
          <w:color w:val="auto"/>
          <w:kern w:val="0"/>
          <w:sz w:val="24"/>
          <w:szCs w:val="24"/>
          <w:highlight w:val="none"/>
          <w:lang w:eastAsia="zh-CN"/>
        </w:rPr>
        <w:t>自合同签订之日起一年。暂定配送周期为200日历天（仅针对学生在校时间），具体以实际在校人数及配送天数据实结算。</w:t>
      </w:r>
    </w:p>
    <w:p w14:paraId="63B1559A">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合同价款：学校每月提前一周向供应商提交本月食材订购清单，乙方根据市场价给出清单产品报价，报价应包括食材名称、规格、品牌、单价、总价等内容，由甲方牵头联合学校及乙方在沣西新城区域内选择3个超市或市场进行询价，综合参考市场同等产品质量和价格后确认订单；</w:t>
      </w:r>
    </w:p>
    <w:p w14:paraId="1C4755F9">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当月供货结束后，由供应商核算各校食材数量及资金，将食材资金核算结果经各学校确认后双方签字（盖章）由供应商报工作部审核，审核无误后，供应商开票，营养改善计划资金下拨后，由工作部负责结算。</w:t>
      </w:r>
    </w:p>
    <w:p w14:paraId="3CDE746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4"/>
          <w:szCs w:val="24"/>
          <w:highlight w:val="none"/>
          <w:lang w:val="zh-CN" w:eastAsia="zh-CN"/>
        </w:rPr>
      </w:pP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lang w:val="zh-CN" w:eastAsia="zh-CN"/>
        </w:rPr>
        <w:t>付款方式：按照实际供应量，合同生效后，按月支付。</w:t>
      </w:r>
    </w:p>
    <w:p w14:paraId="48F1B85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4"/>
          <w:szCs w:val="24"/>
          <w:highlight w:val="none"/>
          <w:lang w:val="zh-CN" w:eastAsia="zh-CN"/>
        </w:rPr>
      </w:pP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lang w:val="zh-CN" w:eastAsia="zh-CN"/>
        </w:rPr>
        <w:t>结算方式：银行转账。</w:t>
      </w:r>
    </w:p>
    <w:p w14:paraId="6E9B012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8"/>
          <w:szCs w:val="28"/>
          <w:highlight w:val="none"/>
          <w:lang w:val="zh-CN" w:eastAsia="zh-CN"/>
        </w:rPr>
      </w:pPr>
      <w:r>
        <w:rPr>
          <w:rFonts w:hint="eastAsia" w:ascii="仿宋" w:hAnsi="仿宋" w:eastAsia="仿宋" w:cs="仿宋"/>
          <w:i w:val="0"/>
          <w:iCs w:val="0"/>
          <w:color w:val="auto"/>
          <w:sz w:val="24"/>
          <w:szCs w:val="24"/>
          <w:highlight w:val="none"/>
          <w:lang w:val="en-US" w:eastAsia="zh-CN"/>
        </w:rPr>
        <w:t>（5）</w:t>
      </w:r>
      <w:r>
        <w:rPr>
          <w:rFonts w:hint="eastAsia" w:ascii="仿宋" w:hAnsi="仿宋" w:eastAsia="仿宋" w:cs="仿宋"/>
          <w:i w:val="0"/>
          <w:iCs w:val="0"/>
          <w:color w:val="auto"/>
          <w:sz w:val="24"/>
          <w:szCs w:val="24"/>
          <w:highlight w:val="none"/>
          <w:lang w:val="zh-CN" w:eastAsia="zh-CN"/>
        </w:rPr>
        <w:t>结算单位：由采购人负责结算，乙方开具等额发票交采购人。</w:t>
      </w:r>
    </w:p>
    <w:p w14:paraId="3EA1AD99">
      <w:pPr>
        <w:pStyle w:val="29"/>
        <w:keepNext w:val="0"/>
        <w:keepLines w:val="0"/>
        <w:pageBreakBefore w:val="0"/>
        <w:kinsoku/>
        <w:wordWrap/>
        <w:overflowPunct/>
        <w:topLinePunct w:val="0"/>
        <w:autoSpaceDE/>
        <w:autoSpaceDN/>
        <w:bidi w:val="0"/>
        <w:spacing w:line="360" w:lineRule="auto"/>
        <w:ind w:left="0" w:leftChars="0" w:firstLine="0" w:firstLineChars="0"/>
        <w:jc w:val="both"/>
        <w:rPr>
          <w:rFonts w:hint="eastAsia" w:ascii="仿宋" w:hAnsi="仿宋" w:eastAsia="仿宋" w:cs="仿宋"/>
          <w:color w:val="auto"/>
          <w:sz w:val="28"/>
          <w:szCs w:val="28"/>
          <w:highlight w:val="none"/>
          <w:lang w:val="en-US" w:eastAsia="zh-CN"/>
        </w:rPr>
      </w:pPr>
    </w:p>
    <w:p w14:paraId="107BB9D2">
      <w:pPr>
        <w:keepNext w:val="0"/>
        <w:keepLines w:val="0"/>
        <w:pageBreakBefore w:val="0"/>
        <w:kinsoku/>
        <w:wordWrap/>
        <w:overflowPunct/>
        <w:topLinePunct w:val="0"/>
        <w:autoSpaceDE/>
        <w:autoSpaceDN/>
        <w:bidi w:val="0"/>
        <w:spacing w:line="360" w:lineRule="auto"/>
        <w:ind w:firstLine="560" w:firstLineChars="200"/>
        <w:jc w:val="both"/>
        <w:rPr>
          <w:rFonts w:hint="eastAsia" w:ascii="仿宋" w:hAnsi="仿宋" w:eastAsia="仿宋" w:cs="仿宋"/>
          <w:i w:val="0"/>
          <w:iCs w:val="0"/>
          <w:color w:val="auto"/>
          <w:kern w:val="2"/>
          <w:sz w:val="28"/>
          <w:szCs w:val="28"/>
          <w:highlight w:val="none"/>
          <w:lang w:val="en-US" w:eastAsia="zh-CN" w:bidi="zh-CN"/>
        </w:rPr>
      </w:pPr>
    </w:p>
    <w:p w14:paraId="1528EF77">
      <w:pPr>
        <w:rPr>
          <w:rStyle w:val="37"/>
          <w:rFonts w:hint="eastAsia" w:ascii="仿宋" w:hAnsi="仿宋" w:eastAsia="仿宋" w:cs="仿宋"/>
          <w:color w:val="auto"/>
          <w:kern w:val="2"/>
          <w:szCs w:val="44"/>
          <w:highlight w:val="none"/>
        </w:rPr>
      </w:pPr>
      <w:r>
        <w:rPr>
          <w:rStyle w:val="37"/>
          <w:rFonts w:hint="eastAsia" w:ascii="仿宋" w:hAnsi="仿宋" w:eastAsia="仿宋" w:cs="仿宋"/>
          <w:color w:val="auto"/>
          <w:kern w:val="2"/>
          <w:szCs w:val="44"/>
          <w:highlight w:val="none"/>
        </w:rPr>
        <w:br w:type="page"/>
      </w:r>
    </w:p>
    <w:p w14:paraId="5B386AF3">
      <w:pPr>
        <w:pStyle w:val="3"/>
        <w:widowControl w:val="0"/>
        <w:jc w:val="center"/>
        <w:rPr>
          <w:rStyle w:val="37"/>
          <w:rFonts w:ascii="仿宋" w:hAnsi="仿宋" w:eastAsia="仿宋" w:cs="仿宋"/>
          <w:color w:val="auto"/>
          <w:kern w:val="2"/>
          <w:sz w:val="36"/>
          <w:szCs w:val="36"/>
          <w:highlight w:val="none"/>
        </w:rPr>
      </w:pPr>
      <w:bookmarkStart w:id="23" w:name="_Toc2907"/>
      <w:bookmarkStart w:id="24" w:name="_Toc24988"/>
      <w:r>
        <w:rPr>
          <w:rStyle w:val="37"/>
          <w:rFonts w:hint="eastAsia" w:ascii="仿宋" w:hAnsi="仿宋" w:eastAsia="仿宋" w:cs="仿宋"/>
          <w:color w:val="auto"/>
          <w:kern w:val="2"/>
          <w:szCs w:val="44"/>
          <w:highlight w:val="none"/>
        </w:rPr>
        <w:t>第五章 评标方法</w:t>
      </w:r>
      <w:bookmarkEnd w:id="22"/>
      <w:bookmarkEnd w:id="23"/>
      <w:bookmarkEnd w:id="24"/>
    </w:p>
    <w:p w14:paraId="5F9EE781">
      <w:pPr>
        <w:widowControl w:val="0"/>
        <w:spacing w:line="500" w:lineRule="exact"/>
        <w:outlineLvl w:val="1"/>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rPr>
        <w:t>一、评标方法</w:t>
      </w:r>
    </w:p>
    <w:p w14:paraId="5CD43B25">
      <w:pPr>
        <w:widowControl w:val="0"/>
        <w:spacing w:line="360" w:lineRule="auto"/>
        <w:ind w:firstLine="480" w:firstLineChars="200"/>
        <w:outlineLvl w:val="9"/>
        <w:rPr>
          <w:rStyle w:val="37"/>
          <w:rFonts w:hint="eastAsia" w:ascii="仿宋" w:hAnsi="仿宋" w:eastAsia="仿宋" w:cs="仿宋"/>
          <w:b/>
          <w:color w:val="auto"/>
          <w:spacing w:val="4"/>
          <w:szCs w:val="21"/>
          <w:highlight w:val="none"/>
        </w:rPr>
      </w:pPr>
      <w:r>
        <w:rPr>
          <w:rStyle w:val="37"/>
          <w:rFonts w:hint="eastAsia" w:ascii="仿宋" w:hAnsi="仿宋" w:eastAsia="仿宋" w:cs="仿宋"/>
          <w:color w:val="auto"/>
          <w:szCs w:val="21"/>
          <w:highlight w:val="none"/>
        </w:rPr>
        <w:t>按照《中华人民共和国政府采购法》、中华人民共和国2015年第658号国务院令--《中华人民共和国政府采购法实施条例》和中华人民共和国财政部2017年第87号部长令--《政府采购货物和服务招标投标管理办法》的规定，本次评标采用综合评分法--投标文件满足招标文件全部实质性要求，且按照评审因素的量化指标评审得分最高的供应商为中标候选人。（最低报价不是中标的唯一标准）。</w:t>
      </w:r>
    </w:p>
    <w:p w14:paraId="0818426F">
      <w:pPr>
        <w:widowControl w:val="0"/>
        <w:spacing w:line="500" w:lineRule="exact"/>
        <w:outlineLvl w:val="1"/>
        <w:rPr>
          <w:rStyle w:val="37"/>
          <w:rFonts w:ascii="仿宋" w:hAnsi="仿宋" w:eastAsia="仿宋" w:cs="仿宋"/>
          <w:b/>
          <w:color w:val="auto"/>
          <w:szCs w:val="24"/>
          <w:highlight w:val="none"/>
        </w:rPr>
      </w:pPr>
      <w:r>
        <w:rPr>
          <w:rStyle w:val="37"/>
          <w:rFonts w:hint="eastAsia" w:ascii="仿宋" w:hAnsi="仿宋" w:eastAsia="仿宋" w:cs="仿宋"/>
          <w:b/>
          <w:color w:val="auto"/>
          <w:szCs w:val="24"/>
          <w:highlight w:val="none"/>
          <w:lang w:val="en-US" w:eastAsia="zh-CN"/>
        </w:rPr>
        <w:t>二</w:t>
      </w:r>
      <w:r>
        <w:rPr>
          <w:rStyle w:val="37"/>
          <w:rFonts w:hint="eastAsia" w:ascii="仿宋" w:hAnsi="仿宋" w:eastAsia="仿宋" w:cs="仿宋"/>
          <w:b/>
          <w:color w:val="auto"/>
          <w:szCs w:val="24"/>
          <w:highlight w:val="none"/>
        </w:rPr>
        <w:t>、评审标准</w:t>
      </w:r>
    </w:p>
    <w:p w14:paraId="4DCE2DAC">
      <w:pPr>
        <w:widowControl w:val="0"/>
        <w:tabs>
          <w:tab w:val="left" w:pos="0"/>
        </w:tabs>
        <w:snapToGrid w:val="0"/>
        <w:spacing w:line="500" w:lineRule="exact"/>
        <w:ind w:firstLine="470" w:firstLineChars="196"/>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lang w:val="en-US" w:eastAsia="zh-CN"/>
        </w:rPr>
        <w:t>2</w:t>
      </w:r>
      <w:r>
        <w:rPr>
          <w:rStyle w:val="37"/>
          <w:rFonts w:hint="eastAsia" w:ascii="仿宋" w:hAnsi="仿宋" w:eastAsia="仿宋" w:cs="仿宋"/>
          <w:bCs/>
          <w:color w:val="auto"/>
          <w:szCs w:val="24"/>
          <w:highlight w:val="none"/>
        </w:rPr>
        <w:t>.1初步评审标准：</w:t>
      </w:r>
    </w:p>
    <w:p w14:paraId="33E9C2C1">
      <w:pPr>
        <w:widowControl w:val="0"/>
        <w:tabs>
          <w:tab w:val="left" w:pos="0"/>
        </w:tabs>
        <w:snapToGrid w:val="0"/>
        <w:spacing w:line="500" w:lineRule="exact"/>
        <w:ind w:firstLine="470" w:firstLineChars="196"/>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lang w:val="en-US" w:eastAsia="zh-CN"/>
        </w:rPr>
        <w:t>2</w:t>
      </w:r>
      <w:r>
        <w:rPr>
          <w:rStyle w:val="37"/>
          <w:rFonts w:hint="eastAsia" w:ascii="仿宋" w:hAnsi="仿宋" w:eastAsia="仿宋" w:cs="仿宋"/>
          <w:bCs/>
          <w:color w:val="auto"/>
          <w:szCs w:val="24"/>
          <w:highlight w:val="none"/>
        </w:rPr>
        <w:t>.1.1资格评审标准：</w:t>
      </w:r>
    </w:p>
    <w:p w14:paraId="2047FF65">
      <w:pPr>
        <w:widowControl w:val="0"/>
        <w:spacing w:line="480" w:lineRule="exact"/>
        <w:ind w:firstLine="482" w:firstLineChars="200"/>
        <w:jc w:val="center"/>
        <w:outlineLvl w:val="9"/>
        <w:rPr>
          <w:rStyle w:val="37"/>
          <w:rFonts w:ascii="仿宋" w:hAnsi="仿宋" w:eastAsia="仿宋" w:cs="仿宋"/>
          <w:b/>
          <w:bCs/>
          <w:color w:val="auto"/>
          <w:highlight w:val="none"/>
        </w:rPr>
      </w:pPr>
      <w:r>
        <w:rPr>
          <w:rStyle w:val="37"/>
          <w:rFonts w:hint="eastAsia" w:ascii="仿宋" w:hAnsi="仿宋" w:eastAsia="仿宋" w:cs="仿宋"/>
          <w:b/>
          <w:bCs/>
          <w:color w:val="auto"/>
          <w:highlight w:val="none"/>
        </w:rPr>
        <w:t>资格审查评审标准</w:t>
      </w:r>
    </w:p>
    <w:tbl>
      <w:tblPr>
        <w:tblStyle w:val="30"/>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1937"/>
        <w:gridCol w:w="5537"/>
        <w:gridCol w:w="917"/>
      </w:tblGrid>
      <w:tr w14:paraId="5EAB1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blHeader/>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18A50473">
            <w:pPr>
              <w:widowControl w:val="0"/>
              <w:jc w:val="center"/>
              <w:rPr>
                <w:rStyle w:val="37"/>
                <w:rFonts w:ascii="仿宋" w:hAnsi="仿宋" w:eastAsia="仿宋" w:cs="仿宋"/>
                <w:b/>
                <w:bCs/>
                <w:color w:val="auto"/>
                <w:sz w:val="21"/>
                <w:szCs w:val="21"/>
                <w:highlight w:val="none"/>
              </w:rPr>
            </w:pPr>
            <w:r>
              <w:rPr>
                <w:rStyle w:val="37"/>
                <w:rFonts w:hint="eastAsia" w:ascii="仿宋" w:hAnsi="仿宋" w:eastAsia="仿宋" w:cs="仿宋"/>
                <w:b/>
                <w:bCs/>
                <w:color w:val="auto"/>
                <w:sz w:val="21"/>
                <w:szCs w:val="21"/>
                <w:highlight w:val="none"/>
              </w:rPr>
              <w:t>序号</w:t>
            </w:r>
          </w:p>
        </w:tc>
        <w:tc>
          <w:tcPr>
            <w:tcW w:w="1937" w:type="dxa"/>
            <w:tcBorders>
              <w:top w:val="single" w:color="000000" w:sz="4" w:space="0"/>
              <w:left w:val="single" w:color="000000" w:sz="4" w:space="0"/>
              <w:bottom w:val="single" w:color="000000" w:sz="4" w:space="0"/>
              <w:right w:val="single" w:color="000000" w:sz="4" w:space="0"/>
            </w:tcBorders>
            <w:vAlign w:val="center"/>
          </w:tcPr>
          <w:p w14:paraId="2D2D3DCC">
            <w:pPr>
              <w:widowControl w:val="0"/>
              <w:jc w:val="center"/>
              <w:rPr>
                <w:rStyle w:val="37"/>
                <w:rFonts w:ascii="仿宋" w:hAnsi="仿宋" w:eastAsia="仿宋" w:cs="仿宋"/>
                <w:b/>
                <w:bCs/>
                <w:color w:val="auto"/>
                <w:kern w:val="28"/>
                <w:sz w:val="21"/>
                <w:szCs w:val="21"/>
                <w:highlight w:val="none"/>
              </w:rPr>
            </w:pPr>
            <w:r>
              <w:rPr>
                <w:rStyle w:val="37"/>
                <w:rFonts w:hint="eastAsia" w:ascii="仿宋" w:hAnsi="仿宋" w:eastAsia="仿宋" w:cs="仿宋"/>
                <w:b/>
                <w:bCs/>
                <w:color w:val="auto"/>
                <w:kern w:val="28"/>
                <w:sz w:val="21"/>
                <w:szCs w:val="21"/>
                <w:highlight w:val="none"/>
              </w:rPr>
              <w:t>资格审查项</w:t>
            </w:r>
          </w:p>
        </w:tc>
        <w:tc>
          <w:tcPr>
            <w:tcW w:w="5537" w:type="dxa"/>
            <w:tcBorders>
              <w:top w:val="single" w:color="000000" w:sz="4" w:space="0"/>
              <w:left w:val="single" w:color="000000" w:sz="4" w:space="0"/>
              <w:bottom w:val="single" w:color="000000" w:sz="4" w:space="0"/>
              <w:right w:val="single" w:color="000000" w:sz="4" w:space="0"/>
            </w:tcBorders>
            <w:vAlign w:val="center"/>
          </w:tcPr>
          <w:p w14:paraId="416325FF">
            <w:pPr>
              <w:widowControl w:val="0"/>
              <w:jc w:val="center"/>
              <w:rPr>
                <w:rStyle w:val="37"/>
                <w:rFonts w:ascii="仿宋" w:hAnsi="仿宋" w:eastAsia="仿宋" w:cs="仿宋"/>
                <w:b/>
                <w:bCs/>
                <w:color w:val="auto"/>
                <w:kern w:val="28"/>
                <w:sz w:val="21"/>
                <w:szCs w:val="21"/>
                <w:highlight w:val="none"/>
              </w:rPr>
            </w:pPr>
            <w:r>
              <w:rPr>
                <w:rStyle w:val="37"/>
                <w:rFonts w:hint="eastAsia" w:ascii="仿宋" w:hAnsi="仿宋" w:eastAsia="仿宋" w:cs="仿宋"/>
                <w:b/>
                <w:bCs/>
                <w:color w:val="auto"/>
                <w:kern w:val="28"/>
                <w:sz w:val="21"/>
                <w:szCs w:val="21"/>
                <w:highlight w:val="none"/>
              </w:rPr>
              <w:t>通过条件</w:t>
            </w:r>
          </w:p>
        </w:tc>
        <w:tc>
          <w:tcPr>
            <w:tcW w:w="917" w:type="dxa"/>
            <w:tcBorders>
              <w:top w:val="single" w:color="000000" w:sz="4" w:space="0"/>
              <w:left w:val="single" w:color="000000" w:sz="4" w:space="0"/>
              <w:bottom w:val="single" w:color="000000" w:sz="4" w:space="0"/>
              <w:right w:val="single" w:color="000000" w:sz="4" w:space="0"/>
            </w:tcBorders>
            <w:vAlign w:val="center"/>
          </w:tcPr>
          <w:p w14:paraId="1A82A87E">
            <w:pPr>
              <w:widowControl w:val="0"/>
              <w:spacing w:before="40" w:after="40"/>
              <w:jc w:val="center"/>
              <w:rPr>
                <w:rStyle w:val="37"/>
                <w:rFonts w:ascii="仿宋" w:hAnsi="仿宋" w:eastAsia="仿宋" w:cs="仿宋"/>
                <w:b/>
                <w:bCs/>
                <w:color w:val="auto"/>
                <w:sz w:val="21"/>
                <w:szCs w:val="21"/>
                <w:highlight w:val="none"/>
              </w:rPr>
            </w:pPr>
            <w:r>
              <w:rPr>
                <w:rStyle w:val="37"/>
                <w:rFonts w:hint="eastAsia" w:ascii="仿宋" w:hAnsi="仿宋" w:eastAsia="仿宋" w:cs="仿宋"/>
                <w:b/>
                <w:bCs/>
                <w:color w:val="auto"/>
                <w:sz w:val="21"/>
                <w:szCs w:val="21"/>
                <w:highlight w:val="none"/>
              </w:rPr>
              <w:t>备注</w:t>
            </w:r>
          </w:p>
        </w:tc>
      </w:tr>
      <w:tr w14:paraId="68E1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C47A7D4">
            <w:pPr>
              <w:widowControl w:val="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3D4C4075">
            <w:pPr>
              <w:widowControl w:val="0"/>
              <w:jc w:val="center"/>
              <w:rPr>
                <w:rStyle w:val="37"/>
                <w:rFonts w:ascii="仿宋" w:hAnsi="仿宋" w:eastAsia="仿宋" w:cs="仿宋"/>
                <w:color w:val="auto"/>
                <w:kern w:val="28"/>
                <w:sz w:val="21"/>
                <w:szCs w:val="21"/>
                <w:highlight w:val="none"/>
              </w:rPr>
            </w:pPr>
            <w:r>
              <w:rPr>
                <w:rStyle w:val="37"/>
                <w:rFonts w:hint="eastAsia" w:ascii="仿宋" w:hAnsi="仿宋" w:eastAsia="仿宋" w:cs="仿宋"/>
                <w:color w:val="auto"/>
                <w:kern w:val="28"/>
                <w:sz w:val="21"/>
                <w:szCs w:val="21"/>
                <w:highlight w:val="none"/>
              </w:rPr>
              <w:t>营业执照等主体资格证明文件</w:t>
            </w:r>
          </w:p>
        </w:tc>
        <w:tc>
          <w:tcPr>
            <w:tcW w:w="5537" w:type="dxa"/>
            <w:tcBorders>
              <w:top w:val="single" w:color="000000" w:sz="4" w:space="0"/>
              <w:left w:val="single" w:color="000000" w:sz="4" w:space="0"/>
              <w:bottom w:val="single" w:color="000000" w:sz="4" w:space="0"/>
              <w:right w:val="single" w:color="000000" w:sz="4" w:space="0"/>
            </w:tcBorders>
            <w:vAlign w:val="center"/>
          </w:tcPr>
          <w:p w14:paraId="42704C7F">
            <w:pPr>
              <w:keepNext w:val="0"/>
              <w:keepLines w:val="0"/>
              <w:pageBreakBefore w:val="0"/>
              <w:widowControl w:val="0"/>
              <w:tabs>
                <w:tab w:val="left" w:pos="0"/>
              </w:tabs>
              <w:kinsoku/>
              <w:wordWrap/>
              <w:overflowPunct/>
              <w:topLinePunct w:val="0"/>
              <w:autoSpaceDE/>
              <w:autoSpaceDN/>
              <w:bidi w:val="0"/>
              <w:adjustRightInd/>
              <w:snapToGrid w:val="0"/>
              <w:spacing w:before="0" w:beforeAutospacing="0" w:afterAutospacing="0" w:line="240" w:lineRule="auto"/>
              <w:jc w:val="left"/>
              <w:textAlignment w:val="baseline"/>
              <w:rPr>
                <w:rStyle w:val="37"/>
                <w:rFonts w:hint="eastAsia" w:ascii="仿宋" w:hAnsi="仿宋" w:eastAsia="仿宋" w:cs="仿宋"/>
                <w:b w:val="0"/>
                <w:bCs/>
                <w:i w:val="0"/>
                <w:caps w:val="0"/>
                <w:color w:val="auto"/>
                <w:spacing w:val="0"/>
                <w:w w:val="100"/>
                <w:sz w:val="21"/>
                <w:szCs w:val="21"/>
                <w:highlight w:val="none"/>
                <w:lang w:val="en-US" w:eastAsia="zh-CN" w:bidi="ar-SA"/>
              </w:rPr>
            </w:pPr>
            <w:r>
              <w:rPr>
                <w:rStyle w:val="37"/>
                <w:rFonts w:hint="eastAsia" w:ascii="仿宋" w:hAnsi="仿宋" w:eastAsia="仿宋" w:cs="仿宋"/>
                <w:b w:val="0"/>
                <w:bCs/>
                <w:i w:val="0"/>
                <w:caps w:val="0"/>
                <w:color w:val="auto"/>
                <w:spacing w:val="0"/>
                <w:w w:val="100"/>
                <w:sz w:val="21"/>
                <w:szCs w:val="21"/>
                <w:highlight w:val="none"/>
                <w:lang w:val="en-US" w:eastAsia="zh-CN" w:bidi="ar-SA"/>
              </w:rPr>
              <w:t>提供有效存续的企业营业执照（副本）/事业单位法人证书/专业服务机构执业许可证/民办非企业单位登记证书/自然人身份证明；</w:t>
            </w:r>
          </w:p>
          <w:p w14:paraId="398FD15F">
            <w:pPr>
              <w:pStyle w:val="40"/>
              <w:keepNext w:val="0"/>
              <w:keepLines w:val="0"/>
              <w:pageBreakBefore w:val="0"/>
              <w:widowControl w:val="0"/>
              <w:kinsoku/>
              <w:wordWrap/>
              <w:overflowPunct/>
              <w:topLinePunct w:val="0"/>
              <w:autoSpaceDE/>
              <w:autoSpaceDN/>
              <w:bidi w:val="0"/>
              <w:adjustRightInd/>
              <w:spacing w:after="0"/>
              <w:textAlignment w:val="baseline"/>
              <w:rPr>
                <w:rStyle w:val="37"/>
                <w:rFonts w:ascii="仿宋" w:hAnsi="仿宋" w:eastAsia="仿宋" w:cs="仿宋"/>
                <w:color w:val="auto"/>
                <w:szCs w:val="21"/>
                <w:highlight w:val="none"/>
              </w:rPr>
            </w:pPr>
            <w:r>
              <w:rPr>
                <w:rStyle w:val="37"/>
                <w:rFonts w:hint="eastAsia" w:ascii="仿宋" w:hAnsi="仿宋" w:eastAsia="仿宋" w:cs="仿宋"/>
                <w:b/>
                <w:i w:val="0"/>
                <w:caps w:val="0"/>
                <w:color w:val="auto"/>
                <w:spacing w:val="0"/>
                <w:w w:val="100"/>
                <w:kern w:val="2"/>
                <w:sz w:val="21"/>
                <w:szCs w:val="21"/>
                <w:highlight w:val="none"/>
                <w:lang w:val="en-US" w:eastAsia="zh-CN" w:bidi="ar-SA"/>
              </w:rPr>
              <w:t>评审依据：</w:t>
            </w:r>
            <w:r>
              <w:rPr>
                <w:rFonts w:hint="eastAsia" w:ascii="仿宋" w:hAnsi="仿宋" w:eastAsia="仿宋" w:cs="仿宋"/>
                <w:b/>
                <w:bCs/>
                <w:color w:val="auto"/>
                <w:szCs w:val="21"/>
                <w:highlight w:val="none"/>
              </w:rPr>
              <w:t>投标文件文件中所附材料为准。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71CB77BA">
            <w:pPr>
              <w:widowControl w:val="0"/>
              <w:spacing w:before="40" w:after="40"/>
              <w:rPr>
                <w:rStyle w:val="37"/>
                <w:rFonts w:ascii="仿宋" w:hAnsi="仿宋" w:eastAsia="仿宋" w:cs="仿宋"/>
                <w:b/>
                <w:bCs/>
                <w:color w:val="auto"/>
                <w:sz w:val="21"/>
                <w:szCs w:val="21"/>
                <w:highlight w:val="none"/>
              </w:rPr>
            </w:pPr>
          </w:p>
        </w:tc>
      </w:tr>
      <w:tr w14:paraId="7B74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7405D24C">
            <w:pPr>
              <w:widowControl w:val="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1DF96643">
            <w:pPr>
              <w:widowControl w:val="0"/>
              <w:jc w:val="center"/>
              <w:rPr>
                <w:rStyle w:val="37"/>
                <w:rFonts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基本资格条件</w:t>
            </w:r>
          </w:p>
        </w:tc>
        <w:tc>
          <w:tcPr>
            <w:tcW w:w="5537" w:type="dxa"/>
            <w:tcBorders>
              <w:top w:val="single" w:color="000000" w:sz="4" w:space="0"/>
              <w:left w:val="single" w:color="000000" w:sz="4" w:space="0"/>
              <w:bottom w:val="single" w:color="000000" w:sz="4" w:space="0"/>
              <w:right w:val="single" w:color="000000" w:sz="4" w:space="0"/>
            </w:tcBorders>
            <w:vAlign w:val="center"/>
          </w:tcPr>
          <w:p w14:paraId="712E4DC3">
            <w:pPr>
              <w:pStyle w:val="2"/>
              <w:keepNext w:val="0"/>
              <w:keepLines w:val="0"/>
              <w:pageBreakBefore w:val="0"/>
              <w:widowControl w:val="0"/>
              <w:kinsoku/>
              <w:wordWrap/>
              <w:overflowPunct/>
              <w:topLinePunct w:val="0"/>
              <w:autoSpaceDE/>
              <w:autoSpaceDN/>
              <w:bidi w:val="0"/>
              <w:adjustRightInd/>
              <w:spacing w:after="0"/>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基本资格条件承诺函》，供应商应对承诺内容的真实性、合法性、有效性负责。经调查核实为虚假承诺的，视同为“提供虚假材料谋取中标、成交”的违法行为，依照《中华人民共和国政府采购法》等法律法规追究相应责任。</w:t>
            </w:r>
          </w:p>
          <w:p w14:paraId="491E0511">
            <w:pPr>
              <w:pStyle w:val="2"/>
              <w:keepNext w:val="0"/>
              <w:keepLines w:val="0"/>
              <w:pageBreakBefore w:val="0"/>
              <w:widowControl w:val="0"/>
              <w:kinsoku/>
              <w:wordWrap/>
              <w:overflowPunct/>
              <w:topLinePunct w:val="0"/>
              <w:autoSpaceDE/>
              <w:autoSpaceDN/>
              <w:bidi w:val="0"/>
              <w:adjustRightInd/>
              <w:spacing w:after="0"/>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不提供《基本资格条件承诺函》的供应商需提交如下资格证明文件：</w:t>
            </w:r>
          </w:p>
          <w:p w14:paraId="2969EB1B">
            <w:pPr>
              <w:pStyle w:val="2"/>
              <w:keepNext w:val="0"/>
              <w:keepLines w:val="0"/>
              <w:pageBreakBefore w:val="0"/>
              <w:widowControl w:val="0"/>
              <w:kinsoku/>
              <w:wordWrap/>
              <w:overflowPunct/>
              <w:topLinePunct w:val="0"/>
              <w:autoSpaceDE/>
              <w:autoSpaceDN/>
              <w:bidi w:val="0"/>
              <w:adjustRightInd/>
              <w:spacing w:after="0"/>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①财务状况报告：提供具有经审计资质单位出具的</w:t>
            </w:r>
            <w:r>
              <w:rPr>
                <w:rFonts w:hint="eastAsia" w:ascii="仿宋" w:hAnsi="仿宋" w:eastAsia="仿宋" w:cs="仿宋"/>
                <w:color w:val="auto"/>
                <w:szCs w:val="21"/>
                <w:highlight w:val="none"/>
                <w:lang w:eastAsia="zh-CN"/>
              </w:rPr>
              <w:t>2023年度或2024年度</w:t>
            </w:r>
            <w:r>
              <w:rPr>
                <w:rFonts w:hint="eastAsia" w:ascii="仿宋" w:hAnsi="仿宋" w:eastAsia="仿宋" w:cs="仿宋"/>
                <w:color w:val="auto"/>
                <w:szCs w:val="21"/>
                <w:highlight w:val="none"/>
              </w:rPr>
              <w:t>的财务审计报告，成立时间至提交</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文件截止时间不足一年的可提供成立后任意时段的资产负债表；或其开标前六个月内基本存款账户开户银行出具的资信证明。（以上两种形式的资料提供任何一种即可）；</w:t>
            </w:r>
          </w:p>
          <w:p w14:paraId="2FCAD1E1">
            <w:pPr>
              <w:pStyle w:val="2"/>
              <w:keepNext w:val="0"/>
              <w:keepLines w:val="0"/>
              <w:pageBreakBefore w:val="0"/>
              <w:widowControl w:val="0"/>
              <w:kinsoku/>
              <w:wordWrap/>
              <w:overflowPunct/>
              <w:topLinePunct w:val="0"/>
              <w:autoSpaceDE/>
              <w:autoSpaceDN/>
              <w:bidi w:val="0"/>
              <w:adjustRightInd/>
              <w:spacing w:after="0"/>
              <w:textAlignment w:val="baseline"/>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②提供具有履行合同所必需的设备和专业技术能力的承诺；</w:t>
            </w:r>
          </w:p>
          <w:p w14:paraId="04E3575C">
            <w:pPr>
              <w:pStyle w:val="2"/>
              <w:keepNext w:val="0"/>
              <w:keepLines w:val="0"/>
              <w:pageBreakBefore w:val="0"/>
              <w:widowControl w:val="0"/>
              <w:kinsoku/>
              <w:wordWrap/>
              <w:overflowPunct/>
              <w:topLinePunct w:val="0"/>
              <w:autoSpaceDE/>
              <w:autoSpaceDN/>
              <w:bidi w:val="0"/>
              <w:adjustRightInd/>
              <w:spacing w:after="0"/>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w:t>
            </w:r>
            <w:r>
              <w:rPr>
                <w:rFonts w:hint="eastAsia" w:ascii="仿宋" w:hAnsi="仿宋" w:eastAsia="仿宋" w:cs="仿宋"/>
                <w:color w:val="auto"/>
                <w:szCs w:val="21"/>
                <w:highlight w:val="none"/>
                <w:lang w:eastAsia="zh-CN"/>
              </w:rPr>
              <w:t>提供开标时间前6个月内任意时段</w:t>
            </w:r>
            <w:r>
              <w:rPr>
                <w:rFonts w:hint="eastAsia" w:ascii="仿宋" w:hAnsi="仿宋" w:eastAsia="仿宋" w:cs="仿宋"/>
                <w:color w:val="auto"/>
                <w:szCs w:val="21"/>
                <w:highlight w:val="none"/>
              </w:rPr>
              <w:t>的纳税证明或完税证明（除印花税外任意税种），纳税证明或完税证明上应有代收机构或税务机关的公章或业务专用章。依法免税的供应商应提供相关文件证明；</w:t>
            </w:r>
          </w:p>
          <w:p w14:paraId="74AD9BCB">
            <w:pPr>
              <w:pStyle w:val="2"/>
              <w:keepNext w:val="0"/>
              <w:keepLines w:val="0"/>
              <w:pageBreakBefore w:val="0"/>
              <w:widowControl w:val="0"/>
              <w:kinsoku/>
              <w:wordWrap/>
              <w:overflowPunct/>
              <w:topLinePunct w:val="0"/>
              <w:autoSpaceDE/>
              <w:autoSpaceDN/>
              <w:bidi w:val="0"/>
              <w:adjustRightInd/>
              <w:spacing w:after="0"/>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w:t>
            </w:r>
            <w:r>
              <w:rPr>
                <w:rFonts w:hint="eastAsia" w:ascii="仿宋" w:hAnsi="仿宋" w:eastAsia="仿宋" w:cs="仿宋"/>
                <w:color w:val="auto"/>
                <w:szCs w:val="21"/>
                <w:highlight w:val="none"/>
                <w:lang w:eastAsia="zh-CN"/>
              </w:rPr>
              <w:t>提供开标时间前6个月内任意时段</w:t>
            </w:r>
            <w:r>
              <w:rPr>
                <w:rFonts w:hint="eastAsia" w:ascii="仿宋" w:hAnsi="仿宋" w:eastAsia="仿宋" w:cs="仿宋"/>
                <w:color w:val="auto"/>
                <w:szCs w:val="21"/>
                <w:highlight w:val="none"/>
              </w:rPr>
              <w:t>的社会保障资金缴存单据或社保机构开具的社会保险参保缴费情况证明，依法不需要缴纳社会保障资金的单位应提供相关证明材料；</w:t>
            </w:r>
          </w:p>
          <w:p w14:paraId="2FD58D95">
            <w:pPr>
              <w:pStyle w:val="2"/>
              <w:keepNext w:val="0"/>
              <w:keepLines w:val="0"/>
              <w:pageBreakBefore w:val="0"/>
              <w:widowControl w:val="0"/>
              <w:kinsoku/>
              <w:wordWrap/>
              <w:overflowPunct/>
              <w:topLinePunct w:val="0"/>
              <w:autoSpaceDE/>
              <w:autoSpaceDN/>
              <w:bidi w:val="0"/>
              <w:adjustRightInd/>
              <w:spacing w:after="0"/>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⑤参加政府采购活动前3年内，在经营活动中没有重大违法记录的书面声明。</w:t>
            </w:r>
          </w:p>
          <w:p w14:paraId="23443812">
            <w:pPr>
              <w:pStyle w:val="2"/>
              <w:keepNext w:val="0"/>
              <w:keepLines w:val="0"/>
              <w:pageBreakBefore w:val="0"/>
              <w:widowControl w:val="0"/>
              <w:kinsoku/>
              <w:wordWrap/>
              <w:overflowPunct/>
              <w:topLinePunct w:val="0"/>
              <w:autoSpaceDE/>
              <w:autoSpaceDN/>
              <w:bidi w:val="0"/>
              <w:adjustRightInd/>
              <w:spacing w:after="0"/>
              <w:textAlignment w:val="baseline"/>
              <w:rPr>
                <w:rStyle w:val="37"/>
                <w:rFonts w:ascii="仿宋" w:hAnsi="仿宋" w:eastAsia="仿宋" w:cs="仿宋"/>
                <w:color w:val="auto"/>
                <w:szCs w:val="21"/>
                <w:highlight w:val="none"/>
              </w:rPr>
            </w:pPr>
            <w:r>
              <w:rPr>
                <w:rFonts w:hint="eastAsia" w:ascii="仿宋" w:hAnsi="仿宋" w:eastAsia="仿宋" w:cs="仿宋"/>
                <w:b/>
                <w:bCs/>
                <w:color w:val="auto"/>
                <w:szCs w:val="21"/>
                <w:highlight w:val="none"/>
              </w:rPr>
              <w:t>评审依据：</w:t>
            </w:r>
            <w:r>
              <w:rPr>
                <w:rFonts w:hint="eastAsia" w:ascii="仿宋" w:hAnsi="仿宋" w:eastAsia="仿宋" w:cs="仿宋"/>
                <w:b/>
                <w:bCs/>
                <w:color w:val="auto"/>
                <w:szCs w:val="21"/>
                <w:highlight w:val="none"/>
                <w:lang w:val="en-US" w:eastAsia="zh-CN"/>
              </w:rPr>
              <w:t>投标</w:t>
            </w:r>
            <w:r>
              <w:rPr>
                <w:rFonts w:hint="eastAsia" w:ascii="仿宋" w:hAnsi="仿宋" w:eastAsia="仿宋" w:cs="仿宋"/>
                <w:b/>
                <w:bCs/>
                <w:color w:val="auto"/>
                <w:szCs w:val="21"/>
                <w:highlight w:val="none"/>
              </w:rPr>
              <w:t>文件中所附证明材料为准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1DF02238">
            <w:pPr>
              <w:widowControl w:val="0"/>
              <w:spacing w:before="40" w:after="40"/>
              <w:rPr>
                <w:rStyle w:val="37"/>
                <w:rFonts w:ascii="仿宋" w:hAnsi="仿宋" w:eastAsia="仿宋" w:cs="仿宋"/>
                <w:b/>
                <w:bCs/>
                <w:color w:val="auto"/>
                <w:sz w:val="21"/>
                <w:szCs w:val="21"/>
                <w:highlight w:val="none"/>
              </w:rPr>
            </w:pPr>
          </w:p>
        </w:tc>
      </w:tr>
      <w:tr w14:paraId="18267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74AF0FFF">
            <w:pPr>
              <w:widowControl w:val="0"/>
              <w:jc w:val="center"/>
              <w:rPr>
                <w:rStyle w:val="37"/>
                <w:rFonts w:hint="eastAsia" w:ascii="仿宋" w:hAnsi="仿宋" w:eastAsia="仿宋" w:cs="仿宋"/>
                <w:color w:val="auto"/>
                <w:sz w:val="21"/>
                <w:szCs w:val="21"/>
                <w:highlight w:val="none"/>
                <w:lang w:eastAsia="zh-CN"/>
              </w:rPr>
            </w:pPr>
            <w:r>
              <w:rPr>
                <w:rStyle w:val="37"/>
                <w:rFonts w:hint="eastAsia" w:ascii="仿宋" w:hAnsi="仿宋" w:eastAsia="仿宋" w:cs="仿宋"/>
                <w:color w:val="auto"/>
                <w:sz w:val="21"/>
                <w:szCs w:val="21"/>
                <w:highlight w:val="none"/>
                <w:lang w:val="en-US" w:eastAsia="zh-CN"/>
              </w:rPr>
              <w:t>3</w:t>
            </w:r>
          </w:p>
        </w:tc>
        <w:tc>
          <w:tcPr>
            <w:tcW w:w="1937" w:type="dxa"/>
            <w:tcBorders>
              <w:top w:val="single" w:color="000000" w:sz="4" w:space="0"/>
              <w:left w:val="single" w:color="000000" w:sz="4" w:space="0"/>
              <w:bottom w:val="single" w:color="000000" w:sz="4" w:space="0"/>
              <w:right w:val="single" w:color="000000" w:sz="4" w:space="0"/>
            </w:tcBorders>
            <w:vAlign w:val="center"/>
          </w:tcPr>
          <w:p w14:paraId="14501E36">
            <w:pPr>
              <w:widowControl w:val="0"/>
              <w:jc w:val="center"/>
              <w:rPr>
                <w:rFonts w:hint="eastAsia" w:ascii="仿宋" w:hAnsi="仿宋" w:eastAsia="仿宋" w:cs="仿宋"/>
                <w:color w:val="auto"/>
                <w:kern w:val="28"/>
                <w:sz w:val="21"/>
                <w:szCs w:val="21"/>
                <w:highlight w:val="none"/>
                <w:lang w:val="en-US" w:eastAsia="zh-CN" w:bidi="ar-SA"/>
              </w:rPr>
            </w:pPr>
            <w:r>
              <w:rPr>
                <w:rFonts w:hint="eastAsia" w:ascii="仿宋" w:hAnsi="仿宋" w:eastAsia="仿宋" w:cs="仿宋"/>
                <w:color w:val="auto"/>
                <w:kern w:val="28"/>
                <w:sz w:val="21"/>
                <w:szCs w:val="21"/>
                <w:highlight w:val="none"/>
                <w:lang w:eastAsia="zh-CN"/>
              </w:rPr>
              <w:t>法定代表人（或负责人）</w:t>
            </w:r>
            <w:r>
              <w:rPr>
                <w:rFonts w:hint="eastAsia" w:ascii="仿宋" w:hAnsi="仿宋" w:eastAsia="仿宋" w:cs="仿宋"/>
                <w:color w:val="auto"/>
                <w:kern w:val="28"/>
                <w:sz w:val="21"/>
                <w:szCs w:val="21"/>
                <w:highlight w:val="none"/>
              </w:rPr>
              <w:t>身份证明/</w:t>
            </w:r>
            <w:r>
              <w:rPr>
                <w:rFonts w:hint="eastAsia" w:ascii="仿宋" w:hAnsi="仿宋" w:eastAsia="仿宋" w:cs="仿宋"/>
                <w:color w:val="auto"/>
                <w:kern w:val="28"/>
                <w:sz w:val="21"/>
                <w:szCs w:val="21"/>
                <w:highlight w:val="none"/>
                <w:lang w:eastAsia="zh-CN"/>
              </w:rPr>
              <w:t>法定代表人（或负责人）</w:t>
            </w:r>
            <w:r>
              <w:rPr>
                <w:rFonts w:hint="eastAsia" w:ascii="仿宋" w:hAnsi="仿宋" w:eastAsia="仿宋" w:cs="仿宋"/>
                <w:color w:val="auto"/>
                <w:kern w:val="28"/>
                <w:sz w:val="21"/>
                <w:szCs w:val="21"/>
                <w:highlight w:val="none"/>
              </w:rPr>
              <w:t>授权委托书</w:t>
            </w:r>
          </w:p>
        </w:tc>
        <w:tc>
          <w:tcPr>
            <w:tcW w:w="5537" w:type="dxa"/>
            <w:tcBorders>
              <w:top w:val="single" w:color="000000" w:sz="4" w:space="0"/>
              <w:left w:val="single" w:color="000000" w:sz="4" w:space="0"/>
              <w:bottom w:val="single" w:color="000000" w:sz="4" w:space="0"/>
              <w:right w:val="single" w:color="000000" w:sz="4" w:space="0"/>
            </w:tcBorders>
            <w:vAlign w:val="center"/>
          </w:tcPr>
          <w:p w14:paraId="44937919">
            <w:pPr>
              <w:keepNext w:val="0"/>
              <w:keepLines w:val="0"/>
              <w:pageBreakBefore w:val="0"/>
              <w:kinsoku/>
              <w:wordWrap/>
              <w:overflowPunct/>
              <w:topLinePunct w:val="0"/>
              <w:autoSpaceDE/>
              <w:autoSpaceDN/>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法定代表人（或负责人）</w:t>
            </w:r>
            <w:r>
              <w:rPr>
                <w:rFonts w:hint="eastAsia" w:ascii="仿宋" w:hAnsi="仿宋" w:eastAsia="仿宋" w:cs="仿宋"/>
                <w:color w:val="auto"/>
                <w:sz w:val="21"/>
                <w:szCs w:val="21"/>
                <w:highlight w:val="none"/>
              </w:rPr>
              <w:t>直接参加投标的，须提供</w:t>
            </w:r>
            <w:r>
              <w:rPr>
                <w:rFonts w:hint="eastAsia" w:ascii="仿宋" w:hAnsi="仿宋" w:eastAsia="仿宋" w:cs="仿宋"/>
                <w:color w:val="auto"/>
                <w:sz w:val="21"/>
                <w:szCs w:val="21"/>
                <w:highlight w:val="none"/>
                <w:lang w:eastAsia="zh-CN"/>
              </w:rPr>
              <w:t>法定代表人（或负责人）</w:t>
            </w:r>
            <w:r>
              <w:rPr>
                <w:rFonts w:hint="eastAsia" w:ascii="仿宋" w:hAnsi="仿宋" w:eastAsia="仿宋" w:cs="仿宋"/>
                <w:color w:val="auto"/>
                <w:sz w:val="21"/>
                <w:szCs w:val="21"/>
                <w:highlight w:val="none"/>
              </w:rPr>
              <w:t>身份证明及其</w:t>
            </w:r>
            <w:r>
              <w:rPr>
                <w:rFonts w:hint="eastAsia" w:ascii="仿宋" w:hAnsi="仿宋" w:eastAsia="仿宋" w:cs="仿宋"/>
                <w:color w:val="auto"/>
                <w:sz w:val="21"/>
                <w:szCs w:val="21"/>
                <w:highlight w:val="none"/>
                <w:lang w:eastAsia="zh-CN"/>
              </w:rPr>
              <w:t>身份证电子件或扫描件</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法定代表人（或负责人）</w:t>
            </w:r>
            <w:r>
              <w:rPr>
                <w:rFonts w:hint="eastAsia" w:ascii="仿宋" w:hAnsi="仿宋" w:eastAsia="仿宋" w:cs="仿宋"/>
                <w:color w:val="auto"/>
                <w:sz w:val="21"/>
                <w:szCs w:val="21"/>
                <w:highlight w:val="none"/>
              </w:rPr>
              <w:t>授权他人参加投标的，须提供</w:t>
            </w:r>
            <w:r>
              <w:rPr>
                <w:rFonts w:hint="eastAsia" w:ascii="仿宋" w:hAnsi="仿宋" w:eastAsia="仿宋" w:cs="仿宋"/>
                <w:color w:val="auto"/>
                <w:sz w:val="21"/>
                <w:szCs w:val="21"/>
                <w:highlight w:val="none"/>
                <w:lang w:eastAsia="zh-CN"/>
              </w:rPr>
              <w:t>法定代表人（或负责人）</w:t>
            </w:r>
            <w:r>
              <w:rPr>
                <w:rFonts w:hint="eastAsia" w:ascii="仿宋" w:hAnsi="仿宋" w:eastAsia="仿宋" w:cs="仿宋"/>
                <w:color w:val="auto"/>
                <w:sz w:val="21"/>
                <w:szCs w:val="21"/>
                <w:highlight w:val="none"/>
              </w:rPr>
              <w:t>授权委托书（附</w:t>
            </w:r>
            <w:r>
              <w:rPr>
                <w:rFonts w:hint="eastAsia" w:ascii="仿宋" w:hAnsi="仿宋" w:eastAsia="仿宋" w:cs="仿宋"/>
                <w:color w:val="auto"/>
                <w:sz w:val="21"/>
                <w:szCs w:val="21"/>
                <w:highlight w:val="none"/>
                <w:lang w:eastAsia="zh-CN"/>
              </w:rPr>
              <w:t>法定代表人（或负责人）</w:t>
            </w:r>
            <w:r>
              <w:rPr>
                <w:rFonts w:hint="eastAsia" w:ascii="仿宋" w:hAnsi="仿宋" w:eastAsia="仿宋" w:cs="仿宋"/>
                <w:color w:val="auto"/>
                <w:sz w:val="21"/>
                <w:szCs w:val="21"/>
                <w:highlight w:val="none"/>
              </w:rPr>
              <w:t>、被授权人</w:t>
            </w:r>
            <w:r>
              <w:rPr>
                <w:rFonts w:hint="eastAsia" w:ascii="仿宋" w:hAnsi="仿宋" w:eastAsia="仿宋" w:cs="仿宋"/>
                <w:color w:val="auto"/>
                <w:sz w:val="21"/>
                <w:szCs w:val="21"/>
                <w:highlight w:val="none"/>
                <w:lang w:eastAsia="zh-CN"/>
              </w:rPr>
              <w:t>身份证电子件或扫描件</w:t>
            </w:r>
            <w:r>
              <w:rPr>
                <w:rFonts w:hint="eastAsia" w:ascii="仿宋" w:hAnsi="仿宋" w:eastAsia="仿宋" w:cs="仿宋"/>
                <w:color w:val="auto"/>
                <w:sz w:val="21"/>
                <w:szCs w:val="21"/>
                <w:highlight w:val="none"/>
              </w:rPr>
              <w:t>）。</w:t>
            </w:r>
          </w:p>
          <w:p w14:paraId="20C00815">
            <w:pPr>
              <w:pStyle w:val="40"/>
              <w:keepNext w:val="0"/>
              <w:keepLines w:val="0"/>
              <w:pageBreakBefore w:val="0"/>
              <w:widowControl w:val="0"/>
              <w:kinsoku/>
              <w:wordWrap/>
              <w:overflowPunct/>
              <w:topLinePunct w:val="0"/>
              <w:autoSpaceDE/>
              <w:autoSpaceDN/>
              <w:bidi w:val="0"/>
              <w:adjustRightInd/>
              <w:spacing w:after="0"/>
              <w:textAlignment w:val="baseline"/>
              <w:rPr>
                <w:rFonts w:hint="eastAsia" w:ascii="仿宋" w:hAnsi="仿宋" w:eastAsia="仿宋" w:cs="仿宋"/>
                <w:b/>
                <w:bCs/>
                <w:color w:val="auto"/>
                <w:kern w:val="2"/>
                <w:sz w:val="21"/>
                <w:szCs w:val="21"/>
                <w:highlight w:val="none"/>
                <w:lang w:val="en-US" w:eastAsia="zh-CN" w:bidi="ar-SA"/>
              </w:rPr>
            </w:pPr>
            <w:r>
              <w:rPr>
                <w:rStyle w:val="37"/>
                <w:rFonts w:hint="eastAsia" w:ascii="仿宋" w:hAnsi="仿宋" w:eastAsia="仿宋" w:cs="仿宋"/>
                <w:b/>
                <w:bCs/>
                <w:color w:val="auto"/>
                <w:szCs w:val="21"/>
                <w:highlight w:val="none"/>
              </w:rPr>
              <w:t>评审依据：</w:t>
            </w:r>
            <w:r>
              <w:rPr>
                <w:rFonts w:hint="eastAsia" w:ascii="仿宋" w:hAnsi="仿宋" w:eastAsia="仿宋" w:cs="仿宋"/>
                <w:b/>
                <w:bCs/>
                <w:color w:val="auto"/>
                <w:sz w:val="21"/>
                <w:szCs w:val="21"/>
                <w:highlight w:val="none"/>
              </w:rPr>
              <w:t>投标文件中所附证明材料</w:t>
            </w:r>
            <w:r>
              <w:rPr>
                <w:rFonts w:hint="eastAsia" w:ascii="仿宋" w:hAnsi="仿宋" w:eastAsia="仿宋" w:cs="仿宋"/>
                <w:b/>
                <w:bCs/>
                <w:color w:val="auto"/>
                <w:sz w:val="21"/>
                <w:szCs w:val="21"/>
                <w:highlight w:val="none"/>
                <w:lang w:val="en-US" w:eastAsia="zh-CN"/>
              </w:rPr>
              <w:t>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3D67D7A4">
            <w:pPr>
              <w:widowControl w:val="0"/>
              <w:spacing w:before="40" w:after="40"/>
              <w:rPr>
                <w:rStyle w:val="37"/>
                <w:rFonts w:ascii="仿宋" w:hAnsi="仿宋" w:eastAsia="仿宋" w:cs="仿宋"/>
                <w:b/>
                <w:bCs/>
                <w:color w:val="auto"/>
                <w:sz w:val="21"/>
                <w:szCs w:val="21"/>
                <w:highlight w:val="none"/>
              </w:rPr>
            </w:pPr>
          </w:p>
        </w:tc>
      </w:tr>
      <w:tr w14:paraId="57353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523CEA38">
            <w:pPr>
              <w:widowControl w:val="0"/>
              <w:jc w:val="center"/>
              <w:rPr>
                <w:rStyle w:val="37"/>
                <w:rFonts w:hint="default" w:ascii="仿宋" w:hAnsi="仿宋" w:eastAsia="仿宋" w:cs="仿宋"/>
                <w:color w:val="auto"/>
                <w:sz w:val="21"/>
                <w:szCs w:val="21"/>
                <w:highlight w:val="none"/>
                <w:lang w:val="en-US" w:eastAsia="zh-CN"/>
              </w:rPr>
            </w:pPr>
            <w:r>
              <w:rPr>
                <w:rStyle w:val="37"/>
                <w:rFonts w:hint="eastAsia" w:ascii="仿宋" w:hAnsi="仿宋" w:eastAsia="仿宋" w:cs="仿宋"/>
                <w:color w:val="auto"/>
                <w:sz w:val="21"/>
                <w:szCs w:val="21"/>
                <w:highlight w:val="none"/>
                <w:lang w:val="en-US" w:eastAsia="zh-CN"/>
              </w:rPr>
              <w:t>4</w:t>
            </w:r>
          </w:p>
        </w:tc>
        <w:tc>
          <w:tcPr>
            <w:tcW w:w="1937" w:type="dxa"/>
            <w:tcBorders>
              <w:top w:val="single" w:color="000000" w:sz="4" w:space="0"/>
              <w:left w:val="single" w:color="000000" w:sz="4" w:space="0"/>
              <w:bottom w:val="single" w:color="000000" w:sz="4" w:space="0"/>
              <w:right w:val="single" w:color="000000" w:sz="4" w:space="0"/>
            </w:tcBorders>
            <w:vAlign w:val="center"/>
          </w:tcPr>
          <w:p w14:paraId="3018134C">
            <w:pPr>
              <w:widowControl w:val="0"/>
              <w:jc w:val="center"/>
              <w:rPr>
                <w:rFonts w:hint="eastAsia" w:ascii="仿宋" w:hAnsi="仿宋" w:eastAsia="仿宋" w:cs="仿宋"/>
                <w:color w:val="auto"/>
                <w:kern w:val="28"/>
                <w:sz w:val="21"/>
                <w:szCs w:val="21"/>
                <w:highlight w:val="none"/>
                <w:lang w:val="en-US" w:eastAsia="zh-CN" w:bidi="ar-SA"/>
              </w:rPr>
            </w:pPr>
            <w:r>
              <w:rPr>
                <w:rStyle w:val="37"/>
                <w:rFonts w:hint="eastAsia" w:ascii="仿宋" w:hAnsi="仿宋" w:eastAsia="仿宋" w:cs="仿宋"/>
                <w:color w:val="auto"/>
                <w:kern w:val="28"/>
                <w:sz w:val="21"/>
                <w:szCs w:val="21"/>
                <w:highlight w:val="none"/>
                <w:lang w:val="en-US" w:eastAsia="zh-CN"/>
              </w:rPr>
              <w:t>供应商资质</w:t>
            </w:r>
          </w:p>
        </w:tc>
        <w:tc>
          <w:tcPr>
            <w:tcW w:w="5537" w:type="dxa"/>
            <w:tcBorders>
              <w:top w:val="single" w:color="000000" w:sz="4" w:space="0"/>
              <w:left w:val="single" w:color="000000" w:sz="4" w:space="0"/>
              <w:bottom w:val="single" w:color="000000" w:sz="4" w:space="0"/>
              <w:right w:val="single" w:color="000000" w:sz="4" w:space="0"/>
            </w:tcBorders>
            <w:vAlign w:val="center"/>
          </w:tcPr>
          <w:p w14:paraId="2E1995C9">
            <w:pPr>
              <w:rPr>
                <w:rFonts w:hint="eastAsia" w:ascii="宋体" w:hAnsi="Times New Roman" w:eastAsia="宋体" w:cstheme="minorBidi"/>
                <w:color w:val="auto"/>
                <w:sz w:val="24"/>
                <w:highlight w:val="none"/>
                <w:lang w:val="en-US" w:eastAsia="zh-CN" w:bidi="ar-SA"/>
              </w:rPr>
            </w:pPr>
            <w:r>
              <w:rPr>
                <w:rFonts w:hint="eastAsia" w:ascii="仿宋" w:hAnsi="仿宋" w:eastAsia="仿宋" w:cs="仿宋"/>
                <w:b w:val="0"/>
                <w:bCs w:val="0"/>
                <w:color w:val="auto"/>
                <w:sz w:val="21"/>
                <w:szCs w:val="21"/>
                <w:highlight w:val="none"/>
                <w:lang w:eastAsia="zh-CN"/>
              </w:rPr>
              <w:t>供应商为生产厂家的须具有《食品生产许可证》和《食品经营许可证》（米、面、油必须提供）、《动物防疫条件合格证》（仅肉类）；供应商为代理商的须提供《食品经营许可证》，并提供所代理产品生产厂家的《食品生产许可证》（米、面、油必须提供）、《动物防疫条件合格证》（仅肉类）</w:t>
            </w:r>
            <w:r>
              <w:rPr>
                <w:rFonts w:hint="eastAsia" w:ascii="仿宋" w:hAnsi="仿宋" w:eastAsia="仿宋" w:cs="仿宋"/>
                <w:b w:val="0"/>
                <w:bCs w:val="0"/>
                <w:color w:val="auto"/>
                <w:sz w:val="21"/>
                <w:szCs w:val="21"/>
                <w:highlight w:val="none"/>
              </w:rPr>
              <w:t>；</w:t>
            </w:r>
            <w:r>
              <w:rPr>
                <w:rFonts w:hint="eastAsia" w:ascii="仿宋" w:hAnsi="仿宋" w:eastAsia="仿宋" w:cs="仿宋"/>
                <w:b/>
                <w:bCs/>
                <w:color w:val="auto"/>
                <w:sz w:val="21"/>
                <w:szCs w:val="21"/>
                <w:highlight w:val="none"/>
              </w:rPr>
              <w:br w:type="textWrapping"/>
            </w:r>
            <w:r>
              <w:rPr>
                <w:rFonts w:hint="eastAsia" w:ascii="仿宋" w:hAnsi="仿宋" w:eastAsia="仿宋" w:cs="仿宋"/>
                <w:b/>
                <w:bCs/>
                <w:color w:val="auto"/>
                <w:sz w:val="21"/>
                <w:szCs w:val="21"/>
                <w:highlight w:val="none"/>
              </w:rPr>
              <w:t>评审依据：投标文件中所附证明材料</w:t>
            </w:r>
            <w:r>
              <w:rPr>
                <w:rFonts w:hint="eastAsia" w:ascii="仿宋" w:hAnsi="仿宋" w:eastAsia="仿宋" w:cs="仿宋"/>
                <w:b/>
                <w:bCs/>
                <w:color w:val="auto"/>
                <w:sz w:val="21"/>
                <w:szCs w:val="21"/>
                <w:highlight w:val="none"/>
                <w:lang w:val="en-US" w:eastAsia="zh-CN"/>
              </w:rPr>
              <w:t>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65DD7095">
            <w:pPr>
              <w:widowControl w:val="0"/>
              <w:spacing w:before="40" w:after="40"/>
              <w:rPr>
                <w:rStyle w:val="37"/>
                <w:rFonts w:ascii="仿宋" w:hAnsi="仿宋" w:eastAsia="仿宋" w:cs="仿宋"/>
                <w:b/>
                <w:bCs/>
                <w:color w:val="auto"/>
                <w:sz w:val="21"/>
                <w:szCs w:val="21"/>
                <w:highlight w:val="none"/>
              </w:rPr>
            </w:pPr>
          </w:p>
        </w:tc>
      </w:tr>
      <w:tr w14:paraId="217BE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3CBE303">
            <w:pPr>
              <w:widowControl w:val="0"/>
              <w:jc w:val="center"/>
              <w:rPr>
                <w:rStyle w:val="37"/>
                <w:rFonts w:hint="default" w:ascii="仿宋" w:hAnsi="仿宋" w:eastAsia="仿宋" w:cs="仿宋"/>
                <w:color w:val="auto"/>
                <w:sz w:val="21"/>
                <w:szCs w:val="21"/>
                <w:highlight w:val="none"/>
                <w:lang w:val="en-US" w:eastAsia="zh-CN"/>
              </w:rPr>
            </w:pPr>
            <w:r>
              <w:rPr>
                <w:rStyle w:val="37"/>
                <w:rFonts w:hint="eastAsia" w:ascii="仿宋" w:hAnsi="仿宋" w:eastAsia="仿宋" w:cs="仿宋"/>
                <w:color w:val="auto"/>
                <w:sz w:val="21"/>
                <w:szCs w:val="21"/>
                <w:highlight w:val="none"/>
                <w:lang w:val="en-US" w:eastAsia="zh-CN"/>
              </w:rPr>
              <w:t>5</w:t>
            </w:r>
          </w:p>
        </w:tc>
        <w:tc>
          <w:tcPr>
            <w:tcW w:w="1937" w:type="dxa"/>
            <w:tcBorders>
              <w:top w:val="single" w:color="000000" w:sz="4" w:space="0"/>
              <w:left w:val="single" w:color="000000" w:sz="4" w:space="0"/>
              <w:bottom w:val="single" w:color="000000" w:sz="4" w:space="0"/>
              <w:right w:val="single" w:color="000000" w:sz="4" w:space="0"/>
            </w:tcBorders>
            <w:vAlign w:val="center"/>
          </w:tcPr>
          <w:p w14:paraId="31F07599">
            <w:pPr>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2"/>
                <w:sz w:val="21"/>
                <w:szCs w:val="21"/>
                <w:highlight w:val="none"/>
                <w:lang w:eastAsia="zh-CN"/>
              </w:rPr>
              <w:t>食品召回书面声明</w:t>
            </w:r>
          </w:p>
        </w:tc>
        <w:tc>
          <w:tcPr>
            <w:tcW w:w="5537" w:type="dxa"/>
            <w:tcBorders>
              <w:top w:val="single" w:color="000000" w:sz="4" w:space="0"/>
              <w:left w:val="single" w:color="000000" w:sz="4" w:space="0"/>
              <w:bottom w:val="single" w:color="000000" w:sz="4" w:space="0"/>
              <w:right w:val="single" w:color="000000" w:sz="4" w:space="0"/>
            </w:tcBorders>
            <w:vAlign w:val="center"/>
          </w:tcPr>
          <w:p w14:paraId="712D5518">
            <w:pPr>
              <w:pStyle w:val="305"/>
              <w:ind w:left="0" w:leftChars="0" w:firstLine="0" w:firstLineChars="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eastAsia="zh-CN"/>
              </w:rPr>
              <w:t>供应商在投标截止日近两年内，在同类营养改善项目供货过程中因存在食品安全问题导致产品一级召回或二级召回的不得参与本次投标。供应商需提供2年内在同类营养改善项目供货过程中没有因食品安全问题导致产品一级召回或二级召回的书面声明；</w:t>
            </w:r>
          </w:p>
          <w:p w14:paraId="7683D5F1">
            <w:pPr>
              <w:pStyle w:val="305"/>
              <w:ind w:left="0" w:leftChars="0" w:firstLine="0" w:firstLineChars="0"/>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rPr>
              <w:t>评审依据：投标文件中所附证明材料为准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5BFADAF1">
            <w:pPr>
              <w:widowControl w:val="0"/>
              <w:spacing w:before="40" w:after="40"/>
              <w:rPr>
                <w:rStyle w:val="37"/>
                <w:rFonts w:ascii="仿宋" w:hAnsi="仿宋" w:eastAsia="仿宋" w:cs="仿宋"/>
                <w:b/>
                <w:bCs/>
                <w:color w:val="auto"/>
                <w:sz w:val="21"/>
                <w:szCs w:val="21"/>
                <w:highlight w:val="none"/>
              </w:rPr>
            </w:pPr>
          </w:p>
        </w:tc>
      </w:tr>
      <w:tr w14:paraId="30C6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74D9176E">
            <w:pPr>
              <w:widowControl w:val="0"/>
              <w:jc w:val="center"/>
              <w:rPr>
                <w:rStyle w:val="37"/>
                <w:rFonts w:hint="default" w:ascii="仿宋" w:hAnsi="仿宋" w:eastAsia="仿宋" w:cs="仿宋"/>
                <w:color w:val="auto"/>
                <w:sz w:val="21"/>
                <w:szCs w:val="21"/>
                <w:highlight w:val="none"/>
                <w:lang w:val="en-US" w:eastAsia="zh-CN"/>
              </w:rPr>
            </w:pPr>
            <w:r>
              <w:rPr>
                <w:rStyle w:val="37"/>
                <w:rFonts w:hint="eastAsia" w:ascii="仿宋" w:hAnsi="仿宋" w:eastAsia="仿宋" w:cs="仿宋"/>
                <w:color w:val="auto"/>
                <w:sz w:val="21"/>
                <w:szCs w:val="21"/>
                <w:highlight w:val="none"/>
                <w:lang w:val="en-US" w:eastAsia="zh-CN"/>
              </w:rPr>
              <w:t>6</w:t>
            </w:r>
          </w:p>
        </w:tc>
        <w:tc>
          <w:tcPr>
            <w:tcW w:w="1937" w:type="dxa"/>
            <w:tcBorders>
              <w:top w:val="single" w:color="000000" w:sz="4" w:space="0"/>
              <w:left w:val="single" w:color="000000" w:sz="4" w:space="0"/>
              <w:bottom w:val="single" w:color="000000" w:sz="4" w:space="0"/>
              <w:right w:val="single" w:color="000000" w:sz="4" w:space="0"/>
            </w:tcBorders>
            <w:vAlign w:val="center"/>
          </w:tcPr>
          <w:p w14:paraId="0506F660">
            <w:pPr>
              <w:widowControl w:val="0"/>
              <w:jc w:val="center"/>
              <w:rPr>
                <w:rFonts w:hint="eastAsia" w:ascii="仿宋" w:hAnsi="仿宋" w:eastAsia="仿宋" w:cs="仿宋"/>
                <w:color w:val="auto"/>
                <w:kern w:val="28"/>
                <w:sz w:val="21"/>
                <w:szCs w:val="21"/>
                <w:highlight w:val="none"/>
                <w:lang w:val="en-US" w:eastAsia="zh-CN" w:bidi="ar-SA"/>
              </w:rPr>
            </w:pPr>
            <w:r>
              <w:rPr>
                <w:rStyle w:val="37"/>
                <w:rFonts w:hint="eastAsia" w:ascii="仿宋" w:hAnsi="仿宋" w:eastAsia="仿宋" w:cs="仿宋"/>
                <w:color w:val="auto"/>
                <w:kern w:val="28"/>
                <w:sz w:val="21"/>
                <w:szCs w:val="21"/>
                <w:highlight w:val="none"/>
              </w:rPr>
              <w:t>信用记录</w:t>
            </w:r>
          </w:p>
        </w:tc>
        <w:tc>
          <w:tcPr>
            <w:tcW w:w="5537" w:type="dxa"/>
            <w:tcBorders>
              <w:top w:val="single" w:color="000000" w:sz="4" w:space="0"/>
              <w:left w:val="single" w:color="000000" w:sz="4" w:space="0"/>
              <w:bottom w:val="single" w:color="000000" w:sz="4" w:space="0"/>
              <w:right w:val="single" w:color="000000" w:sz="4" w:space="0"/>
            </w:tcBorders>
            <w:vAlign w:val="center"/>
          </w:tcPr>
          <w:p w14:paraId="6CFE6DA1">
            <w:pPr>
              <w:keepNext w:val="0"/>
              <w:keepLines w:val="0"/>
              <w:pageBreakBefore w:val="0"/>
              <w:widowControl w:val="0"/>
              <w:kinsoku/>
              <w:wordWrap/>
              <w:overflowPunct/>
              <w:topLinePunct w:val="0"/>
              <w:autoSpaceDE/>
              <w:autoSpaceDN/>
              <w:bidi w:val="0"/>
              <w:adjustRightInd/>
              <w:textAlignment w:val="baseline"/>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lang w:eastAsia="zh-CN"/>
              </w:rPr>
              <w:t>供应商不得为“信用中国”网站（www.creditchina.gov.cn）中列入失信被执行人（页面跳转至“中国执行信息公开网”http://zxgk.court.gov.cn/shixin/）和重大税收违法</w:t>
            </w:r>
            <w:r>
              <w:rPr>
                <w:rStyle w:val="37"/>
                <w:rFonts w:hint="eastAsia" w:ascii="仿宋" w:hAnsi="仿宋" w:eastAsia="仿宋" w:cs="仿宋"/>
                <w:color w:val="auto"/>
                <w:sz w:val="21"/>
                <w:szCs w:val="21"/>
                <w:highlight w:val="none"/>
                <w:lang w:val="en-US" w:eastAsia="zh-CN"/>
              </w:rPr>
              <w:t>失信主体</w:t>
            </w:r>
            <w:r>
              <w:rPr>
                <w:rStyle w:val="37"/>
                <w:rFonts w:hint="eastAsia" w:ascii="仿宋" w:hAnsi="仿宋" w:eastAsia="仿宋" w:cs="仿宋"/>
                <w:color w:val="auto"/>
                <w:sz w:val="21"/>
                <w:szCs w:val="21"/>
                <w:highlight w:val="none"/>
                <w:lang w:eastAsia="zh-CN"/>
              </w:rPr>
              <w:t>名单的供应商，不得为中国政府采购网（www.ccgp.gov.cn）政府采购严重违法失信行为记录名单中被财政部门禁止参加政府采购活动的供应商</w:t>
            </w:r>
            <w:r>
              <w:rPr>
                <w:rStyle w:val="37"/>
                <w:rFonts w:hint="eastAsia" w:ascii="仿宋" w:hAnsi="仿宋" w:eastAsia="仿宋" w:cs="仿宋"/>
                <w:color w:val="auto"/>
                <w:sz w:val="21"/>
                <w:szCs w:val="21"/>
                <w:highlight w:val="none"/>
              </w:rPr>
              <w:t>。</w:t>
            </w:r>
          </w:p>
          <w:p w14:paraId="64FFDD19">
            <w:pPr>
              <w:keepNext w:val="0"/>
              <w:keepLines w:val="0"/>
              <w:pageBreakBefore w:val="0"/>
              <w:widowControl w:val="0"/>
              <w:kinsoku/>
              <w:wordWrap/>
              <w:overflowPunct/>
              <w:topLinePunct w:val="0"/>
              <w:autoSpaceDE/>
              <w:autoSpaceDN/>
              <w:bidi w:val="0"/>
              <w:adjustRightInd/>
              <w:textAlignment w:val="baseline"/>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提供《供应商信用记录书面声明函》（按格式填写，提供原件）。经查，供应商未被列入“信用中国”网站记录的“失信被执行人”或“重大税收违法</w:t>
            </w:r>
            <w:r>
              <w:rPr>
                <w:rStyle w:val="37"/>
                <w:rFonts w:hint="eastAsia" w:ascii="仿宋" w:hAnsi="仿宋" w:eastAsia="仿宋" w:cs="仿宋"/>
                <w:color w:val="auto"/>
                <w:sz w:val="21"/>
                <w:szCs w:val="21"/>
                <w:highlight w:val="none"/>
                <w:lang w:val="en-US" w:eastAsia="zh-CN"/>
              </w:rPr>
              <w:t>失信主体</w:t>
            </w:r>
            <w:r>
              <w:rPr>
                <w:rStyle w:val="37"/>
                <w:rFonts w:hint="eastAsia" w:ascii="仿宋" w:hAnsi="仿宋" w:eastAsia="仿宋" w:cs="仿宋"/>
                <w:color w:val="auto"/>
                <w:sz w:val="21"/>
                <w:szCs w:val="21"/>
                <w:highlight w:val="none"/>
              </w:rPr>
              <w:t>”名单；不处于“中国政府采购网”记录的“政府采购严重违法失信行为记录名单 ”中的禁止参加政府采购活动期间。</w:t>
            </w:r>
          </w:p>
          <w:p w14:paraId="659ECAA0">
            <w:pPr>
              <w:keepNext w:val="0"/>
              <w:keepLines w:val="0"/>
              <w:pageBreakBefore w:val="0"/>
              <w:widowControl w:val="0"/>
              <w:kinsoku/>
              <w:wordWrap/>
              <w:overflowPunct/>
              <w:topLinePunct w:val="0"/>
              <w:autoSpaceDE/>
              <w:autoSpaceDN/>
              <w:bidi w:val="0"/>
              <w:adjustRightInd/>
              <w:textAlignment w:val="baseline"/>
              <w:rPr>
                <w:rFonts w:hint="eastAsia" w:ascii="仿宋" w:hAnsi="仿宋" w:eastAsia="仿宋" w:cs="仿宋"/>
                <w:color w:val="auto"/>
                <w:sz w:val="24"/>
                <w:highlight w:val="none"/>
                <w:lang w:val="en-US" w:eastAsia="zh-CN" w:bidi="ar-SA"/>
              </w:rPr>
            </w:pPr>
            <w:r>
              <w:rPr>
                <w:rStyle w:val="37"/>
                <w:rFonts w:hint="eastAsia" w:ascii="仿宋" w:hAnsi="仿宋" w:eastAsia="仿宋" w:cs="仿宋"/>
                <w:b/>
                <w:bCs/>
                <w:color w:val="auto"/>
                <w:sz w:val="21"/>
                <w:szCs w:val="21"/>
                <w:highlight w:val="none"/>
              </w:rPr>
              <w:t>评审依据：</w:t>
            </w:r>
            <w:r>
              <w:rPr>
                <w:rFonts w:hint="eastAsia" w:ascii="仿宋" w:hAnsi="仿宋" w:eastAsia="仿宋" w:cs="仿宋"/>
                <w:b/>
                <w:bCs/>
                <w:color w:val="auto"/>
                <w:sz w:val="21"/>
                <w:szCs w:val="21"/>
                <w:highlight w:val="none"/>
              </w:rPr>
              <w:t>投标文件中所附证明材料</w:t>
            </w:r>
            <w:r>
              <w:rPr>
                <w:rStyle w:val="37"/>
                <w:rFonts w:hint="eastAsia" w:ascii="仿宋" w:hAnsi="仿宋" w:eastAsia="仿宋" w:cs="仿宋"/>
                <w:b/>
                <w:bCs/>
                <w:color w:val="auto"/>
                <w:sz w:val="21"/>
                <w:szCs w:val="21"/>
                <w:highlight w:val="none"/>
              </w:rPr>
              <w:t>及网查信息为准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14FB30B7">
            <w:pPr>
              <w:widowControl w:val="0"/>
              <w:spacing w:before="40" w:after="40"/>
              <w:rPr>
                <w:rStyle w:val="37"/>
                <w:rFonts w:ascii="仿宋" w:hAnsi="仿宋" w:eastAsia="仿宋" w:cs="仿宋"/>
                <w:b/>
                <w:bCs/>
                <w:color w:val="auto"/>
                <w:sz w:val="21"/>
                <w:szCs w:val="21"/>
                <w:highlight w:val="none"/>
              </w:rPr>
            </w:pPr>
          </w:p>
        </w:tc>
      </w:tr>
      <w:tr w14:paraId="69B95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73C36148">
            <w:pPr>
              <w:widowControl w:val="0"/>
              <w:jc w:val="center"/>
              <w:rPr>
                <w:rStyle w:val="37"/>
                <w:rFonts w:hint="default" w:ascii="仿宋" w:hAnsi="仿宋" w:eastAsia="仿宋" w:cs="仿宋"/>
                <w:color w:val="auto"/>
                <w:sz w:val="21"/>
                <w:szCs w:val="21"/>
                <w:highlight w:val="none"/>
                <w:lang w:val="en-US" w:eastAsia="zh-CN"/>
              </w:rPr>
            </w:pPr>
            <w:r>
              <w:rPr>
                <w:rStyle w:val="37"/>
                <w:rFonts w:hint="eastAsia" w:ascii="仿宋" w:hAnsi="仿宋" w:eastAsia="仿宋" w:cs="仿宋"/>
                <w:color w:val="auto"/>
                <w:sz w:val="21"/>
                <w:szCs w:val="21"/>
                <w:highlight w:val="none"/>
                <w:lang w:val="en-US" w:eastAsia="zh-CN"/>
              </w:rPr>
              <w:t>7</w:t>
            </w:r>
          </w:p>
        </w:tc>
        <w:tc>
          <w:tcPr>
            <w:tcW w:w="1937" w:type="dxa"/>
            <w:tcBorders>
              <w:top w:val="single" w:color="000000" w:sz="4" w:space="0"/>
              <w:left w:val="single" w:color="000000" w:sz="4" w:space="0"/>
              <w:bottom w:val="single" w:color="000000" w:sz="4" w:space="0"/>
              <w:right w:val="single" w:color="000000" w:sz="4" w:space="0"/>
            </w:tcBorders>
            <w:vAlign w:val="center"/>
          </w:tcPr>
          <w:p w14:paraId="30908ABE">
            <w:pPr>
              <w:widowControl w:val="0"/>
              <w:jc w:val="center"/>
              <w:rPr>
                <w:rFonts w:hint="eastAsia" w:ascii="仿宋" w:hAnsi="仿宋" w:eastAsia="仿宋" w:cs="仿宋"/>
                <w:color w:val="auto"/>
                <w:kern w:val="28"/>
                <w:sz w:val="21"/>
                <w:szCs w:val="21"/>
                <w:highlight w:val="none"/>
                <w:lang w:val="en-US" w:eastAsia="zh-CN" w:bidi="ar-SA"/>
              </w:rPr>
            </w:pPr>
            <w:r>
              <w:rPr>
                <w:rStyle w:val="37"/>
                <w:rFonts w:hint="eastAsia" w:ascii="仿宋" w:hAnsi="仿宋" w:eastAsia="仿宋" w:cs="仿宋"/>
                <w:color w:val="auto"/>
                <w:kern w:val="28"/>
                <w:sz w:val="21"/>
                <w:szCs w:val="21"/>
                <w:highlight w:val="none"/>
              </w:rPr>
              <w:t>控股管理关系</w:t>
            </w:r>
          </w:p>
        </w:tc>
        <w:tc>
          <w:tcPr>
            <w:tcW w:w="5537" w:type="dxa"/>
            <w:tcBorders>
              <w:top w:val="single" w:color="000000" w:sz="4" w:space="0"/>
              <w:left w:val="single" w:color="000000" w:sz="4" w:space="0"/>
              <w:bottom w:val="single" w:color="000000" w:sz="4" w:space="0"/>
              <w:right w:val="single" w:color="000000" w:sz="4" w:space="0"/>
            </w:tcBorders>
            <w:vAlign w:val="center"/>
          </w:tcPr>
          <w:p w14:paraId="7F6B6C6A">
            <w:pPr>
              <w:keepNext w:val="0"/>
              <w:keepLines w:val="0"/>
              <w:pageBreakBefore w:val="0"/>
              <w:widowControl w:val="0"/>
              <w:kinsoku/>
              <w:wordWrap/>
              <w:overflowPunct/>
              <w:topLinePunct w:val="0"/>
              <w:autoSpaceDE/>
              <w:autoSpaceDN/>
              <w:bidi w:val="0"/>
              <w:adjustRightInd/>
              <w:jc w:val="left"/>
              <w:textAlignment w:val="baseline"/>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单位负责人为同一人或者存在直接控股、管理关系的供应商，不得参加同一合同下的政府采购活动。</w:t>
            </w:r>
          </w:p>
          <w:p w14:paraId="2C23E9E7">
            <w:pPr>
              <w:pStyle w:val="40"/>
              <w:keepNext w:val="0"/>
              <w:keepLines w:val="0"/>
              <w:pageBreakBefore w:val="0"/>
              <w:widowControl w:val="0"/>
              <w:kinsoku/>
              <w:wordWrap/>
              <w:overflowPunct/>
              <w:topLinePunct w:val="0"/>
              <w:autoSpaceDE/>
              <w:autoSpaceDN/>
              <w:bidi w:val="0"/>
              <w:adjustRightInd/>
              <w:spacing w:after="0"/>
              <w:textAlignment w:val="baseline"/>
              <w:rPr>
                <w:rFonts w:hint="eastAsia" w:ascii="仿宋" w:hAnsi="仿宋" w:eastAsia="仿宋" w:cs="仿宋"/>
                <w:color w:val="auto"/>
                <w:kern w:val="2"/>
                <w:sz w:val="21"/>
                <w:szCs w:val="21"/>
                <w:highlight w:val="none"/>
                <w:lang w:val="en-US" w:eastAsia="zh-CN" w:bidi="ar-SA"/>
              </w:rPr>
            </w:pPr>
            <w:r>
              <w:rPr>
                <w:rStyle w:val="37"/>
                <w:rFonts w:hint="eastAsia" w:ascii="仿宋" w:hAnsi="仿宋" w:eastAsia="仿宋" w:cs="仿宋"/>
                <w:b/>
                <w:bCs/>
                <w:color w:val="auto"/>
                <w:szCs w:val="21"/>
                <w:highlight w:val="none"/>
              </w:rPr>
              <w:t>评审依据：</w:t>
            </w:r>
            <w:r>
              <w:rPr>
                <w:rFonts w:hint="eastAsia" w:ascii="仿宋" w:hAnsi="仿宋" w:eastAsia="仿宋" w:cs="仿宋"/>
                <w:b/>
                <w:bCs/>
                <w:color w:val="auto"/>
                <w:sz w:val="21"/>
                <w:szCs w:val="21"/>
                <w:highlight w:val="none"/>
              </w:rPr>
              <w:t>投标文件中所附证明材料</w:t>
            </w:r>
            <w:r>
              <w:rPr>
                <w:rFonts w:hint="eastAsia" w:ascii="仿宋" w:hAnsi="仿宋" w:eastAsia="仿宋" w:cs="仿宋"/>
                <w:b/>
                <w:bCs/>
                <w:color w:val="auto"/>
                <w:sz w:val="21"/>
                <w:szCs w:val="21"/>
                <w:highlight w:val="none"/>
                <w:lang w:val="en-US" w:eastAsia="zh-CN"/>
              </w:rPr>
              <w:t>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2CC66E31">
            <w:pPr>
              <w:widowControl w:val="0"/>
              <w:spacing w:before="40" w:after="40"/>
              <w:rPr>
                <w:rStyle w:val="37"/>
                <w:rFonts w:ascii="仿宋" w:hAnsi="仿宋" w:eastAsia="仿宋" w:cs="仿宋"/>
                <w:b/>
                <w:bCs/>
                <w:color w:val="auto"/>
                <w:sz w:val="21"/>
                <w:szCs w:val="21"/>
                <w:highlight w:val="none"/>
              </w:rPr>
            </w:pPr>
          </w:p>
        </w:tc>
      </w:tr>
      <w:tr w14:paraId="0911E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7DE3D14">
            <w:pPr>
              <w:widowControl w:val="0"/>
              <w:jc w:val="center"/>
              <w:rPr>
                <w:rStyle w:val="37"/>
                <w:rFonts w:hint="eastAsia" w:ascii="仿宋" w:hAnsi="仿宋" w:eastAsia="仿宋" w:cs="仿宋"/>
                <w:bCs/>
                <w:color w:val="auto"/>
                <w:kern w:val="2"/>
                <w:sz w:val="21"/>
                <w:szCs w:val="21"/>
                <w:highlight w:val="none"/>
                <w:lang w:eastAsia="zh-CN"/>
              </w:rPr>
            </w:pPr>
            <w:r>
              <w:rPr>
                <w:rStyle w:val="37"/>
                <w:rFonts w:hint="eastAsia" w:ascii="仿宋" w:hAnsi="仿宋" w:eastAsia="仿宋" w:cs="仿宋"/>
                <w:color w:val="auto"/>
                <w:sz w:val="21"/>
                <w:szCs w:val="21"/>
                <w:highlight w:val="none"/>
                <w:lang w:val="en-US" w:eastAsia="zh-CN"/>
              </w:rPr>
              <w:t>8</w:t>
            </w:r>
          </w:p>
        </w:tc>
        <w:tc>
          <w:tcPr>
            <w:tcW w:w="1937" w:type="dxa"/>
            <w:tcBorders>
              <w:top w:val="single" w:color="000000" w:sz="4" w:space="0"/>
              <w:left w:val="single" w:color="000000" w:sz="4" w:space="0"/>
              <w:bottom w:val="single" w:color="000000" w:sz="4" w:space="0"/>
              <w:right w:val="single" w:color="000000" w:sz="4" w:space="0"/>
            </w:tcBorders>
            <w:vAlign w:val="center"/>
          </w:tcPr>
          <w:p w14:paraId="6ABF29F2">
            <w:pPr>
              <w:widowControl w:val="0"/>
              <w:jc w:val="center"/>
              <w:rPr>
                <w:rFonts w:ascii="仿宋" w:hAnsi="仿宋" w:eastAsia="仿宋" w:cs="仿宋"/>
                <w:color w:val="auto"/>
                <w:kern w:val="28"/>
                <w:sz w:val="21"/>
                <w:szCs w:val="21"/>
                <w:highlight w:val="none"/>
                <w:lang w:val="en-US" w:eastAsia="zh-CN" w:bidi="ar-SA"/>
              </w:rPr>
            </w:pPr>
            <w:r>
              <w:rPr>
                <w:rStyle w:val="37"/>
                <w:rFonts w:hint="eastAsia" w:ascii="仿宋" w:hAnsi="仿宋" w:eastAsia="仿宋" w:cs="仿宋"/>
                <w:color w:val="auto"/>
                <w:kern w:val="28"/>
                <w:sz w:val="21"/>
                <w:szCs w:val="21"/>
                <w:highlight w:val="none"/>
              </w:rPr>
              <w:t>供应商书面声明</w:t>
            </w:r>
          </w:p>
        </w:tc>
        <w:tc>
          <w:tcPr>
            <w:tcW w:w="5537" w:type="dxa"/>
            <w:tcBorders>
              <w:top w:val="single" w:color="000000" w:sz="4" w:space="0"/>
              <w:left w:val="single" w:color="000000" w:sz="4" w:space="0"/>
              <w:bottom w:val="single" w:color="000000" w:sz="4" w:space="0"/>
              <w:right w:val="single" w:color="000000" w:sz="4" w:space="0"/>
            </w:tcBorders>
            <w:vAlign w:val="center"/>
          </w:tcPr>
          <w:p w14:paraId="3DC949CD">
            <w:pPr>
              <w:keepNext w:val="0"/>
              <w:keepLines w:val="0"/>
              <w:pageBreakBefore w:val="0"/>
              <w:widowControl w:val="0"/>
              <w:kinsoku/>
              <w:wordWrap/>
              <w:overflowPunct/>
              <w:topLinePunct w:val="0"/>
              <w:autoSpaceDE/>
              <w:autoSpaceDN/>
              <w:bidi w:val="0"/>
              <w:adjustRightInd/>
              <w:textAlignment w:val="baseline"/>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供应商未为本项目提供整体设计、规范编制或者项目管理、监理、检测等服务的书面声明。</w:t>
            </w:r>
          </w:p>
          <w:p w14:paraId="59CD51C2">
            <w:pPr>
              <w:pStyle w:val="40"/>
              <w:keepNext w:val="0"/>
              <w:keepLines w:val="0"/>
              <w:pageBreakBefore w:val="0"/>
              <w:widowControl w:val="0"/>
              <w:kinsoku/>
              <w:wordWrap/>
              <w:overflowPunct/>
              <w:topLinePunct w:val="0"/>
              <w:autoSpaceDE/>
              <w:autoSpaceDN/>
              <w:bidi w:val="0"/>
              <w:adjustRightInd/>
              <w:spacing w:after="0"/>
              <w:textAlignment w:val="baseline"/>
              <w:rPr>
                <w:rFonts w:ascii="仿宋" w:hAnsi="仿宋" w:eastAsia="仿宋" w:cs="仿宋"/>
                <w:color w:val="auto"/>
                <w:kern w:val="2"/>
                <w:sz w:val="21"/>
                <w:szCs w:val="21"/>
                <w:highlight w:val="none"/>
                <w:lang w:val="en-US" w:eastAsia="zh-CN" w:bidi="ar-SA"/>
              </w:rPr>
            </w:pPr>
            <w:r>
              <w:rPr>
                <w:rStyle w:val="37"/>
                <w:rFonts w:hint="eastAsia" w:ascii="仿宋" w:hAnsi="仿宋" w:eastAsia="仿宋" w:cs="仿宋"/>
                <w:b/>
                <w:bCs/>
                <w:color w:val="auto"/>
                <w:szCs w:val="21"/>
                <w:highlight w:val="none"/>
              </w:rPr>
              <w:t>评审依据：</w:t>
            </w:r>
            <w:r>
              <w:rPr>
                <w:rFonts w:hint="eastAsia" w:ascii="仿宋" w:hAnsi="仿宋" w:eastAsia="仿宋" w:cs="仿宋"/>
                <w:b/>
                <w:bCs/>
                <w:color w:val="auto"/>
                <w:sz w:val="21"/>
                <w:szCs w:val="21"/>
                <w:highlight w:val="none"/>
              </w:rPr>
              <w:t>投标文件中所附证明材料</w:t>
            </w:r>
            <w:r>
              <w:rPr>
                <w:rFonts w:hint="eastAsia" w:ascii="仿宋" w:hAnsi="仿宋" w:eastAsia="仿宋" w:cs="仿宋"/>
                <w:b/>
                <w:bCs/>
                <w:color w:val="auto"/>
                <w:sz w:val="21"/>
                <w:szCs w:val="21"/>
                <w:highlight w:val="none"/>
                <w:lang w:val="en-US" w:eastAsia="zh-CN"/>
              </w:rPr>
              <w:t>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2010AC7D">
            <w:pPr>
              <w:widowControl w:val="0"/>
              <w:spacing w:before="40" w:after="40"/>
              <w:rPr>
                <w:rStyle w:val="37"/>
                <w:rFonts w:ascii="仿宋" w:hAnsi="仿宋" w:eastAsia="仿宋" w:cs="仿宋"/>
                <w:b/>
                <w:bCs/>
                <w:color w:val="auto"/>
                <w:sz w:val="21"/>
                <w:szCs w:val="21"/>
                <w:highlight w:val="none"/>
              </w:rPr>
            </w:pPr>
          </w:p>
        </w:tc>
      </w:tr>
      <w:tr w14:paraId="3A4BE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7A93C813">
            <w:pPr>
              <w:widowControl w:val="0"/>
              <w:jc w:val="center"/>
              <w:rPr>
                <w:rStyle w:val="37"/>
                <w:rFonts w:hint="default" w:ascii="仿宋" w:hAnsi="仿宋" w:eastAsia="仿宋" w:cs="仿宋"/>
                <w:bCs/>
                <w:color w:val="auto"/>
                <w:kern w:val="2"/>
                <w:sz w:val="21"/>
                <w:szCs w:val="21"/>
                <w:highlight w:val="none"/>
                <w:lang w:val="en-US" w:eastAsia="zh-CN"/>
              </w:rPr>
            </w:pPr>
            <w:r>
              <w:rPr>
                <w:rStyle w:val="37"/>
                <w:rFonts w:hint="eastAsia" w:ascii="仿宋" w:hAnsi="仿宋" w:eastAsia="仿宋" w:cs="仿宋"/>
                <w:bCs/>
                <w:color w:val="auto"/>
                <w:sz w:val="21"/>
                <w:szCs w:val="21"/>
                <w:highlight w:val="none"/>
                <w:lang w:val="en-US" w:eastAsia="zh-CN"/>
              </w:rPr>
              <w:t>9</w:t>
            </w:r>
          </w:p>
        </w:tc>
        <w:tc>
          <w:tcPr>
            <w:tcW w:w="1937" w:type="dxa"/>
            <w:tcBorders>
              <w:top w:val="single" w:color="000000" w:sz="4" w:space="0"/>
              <w:left w:val="single" w:color="000000" w:sz="4" w:space="0"/>
              <w:bottom w:val="single" w:color="000000" w:sz="4" w:space="0"/>
              <w:right w:val="single" w:color="000000" w:sz="4" w:space="0"/>
            </w:tcBorders>
            <w:vAlign w:val="center"/>
          </w:tcPr>
          <w:p w14:paraId="7C6C3978">
            <w:pPr>
              <w:widowControl w:val="0"/>
              <w:jc w:val="center"/>
              <w:rPr>
                <w:rFonts w:ascii="仿宋" w:hAnsi="仿宋" w:eastAsia="仿宋" w:cs="仿宋"/>
                <w:color w:val="auto"/>
                <w:kern w:val="28"/>
                <w:sz w:val="21"/>
                <w:szCs w:val="21"/>
                <w:highlight w:val="none"/>
                <w:lang w:val="en-US" w:eastAsia="zh-CN" w:bidi="ar-SA"/>
              </w:rPr>
            </w:pPr>
            <w:r>
              <w:rPr>
                <w:rStyle w:val="37"/>
                <w:rFonts w:hint="eastAsia" w:ascii="仿宋" w:hAnsi="仿宋" w:eastAsia="仿宋" w:cs="仿宋"/>
                <w:color w:val="auto"/>
                <w:kern w:val="2"/>
                <w:sz w:val="21"/>
                <w:szCs w:val="21"/>
                <w:highlight w:val="none"/>
              </w:rPr>
              <w:t>供应商参与投标的承诺函</w:t>
            </w:r>
          </w:p>
        </w:tc>
        <w:tc>
          <w:tcPr>
            <w:tcW w:w="5537" w:type="dxa"/>
            <w:tcBorders>
              <w:top w:val="single" w:color="000000" w:sz="4" w:space="0"/>
              <w:left w:val="single" w:color="000000" w:sz="4" w:space="0"/>
              <w:bottom w:val="single" w:color="000000" w:sz="4" w:space="0"/>
              <w:right w:val="single" w:color="000000" w:sz="4" w:space="0"/>
            </w:tcBorders>
            <w:vAlign w:val="center"/>
          </w:tcPr>
          <w:p w14:paraId="0462E854">
            <w:pPr>
              <w:keepNext w:val="0"/>
              <w:keepLines w:val="0"/>
              <w:pageBreakBefore w:val="0"/>
              <w:widowControl w:val="0"/>
              <w:kinsoku/>
              <w:wordWrap/>
              <w:overflowPunct/>
              <w:topLinePunct w:val="0"/>
              <w:autoSpaceDE/>
              <w:autoSpaceDN/>
              <w:bidi w:val="0"/>
              <w:adjustRightInd/>
              <w:textAlignment w:val="baseline"/>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符合招标文件要求。</w:t>
            </w:r>
          </w:p>
          <w:p w14:paraId="4C839547">
            <w:pPr>
              <w:pStyle w:val="40"/>
              <w:keepNext w:val="0"/>
              <w:keepLines w:val="0"/>
              <w:pageBreakBefore w:val="0"/>
              <w:widowControl w:val="0"/>
              <w:kinsoku/>
              <w:wordWrap/>
              <w:overflowPunct/>
              <w:topLinePunct w:val="0"/>
              <w:autoSpaceDE/>
              <w:autoSpaceDN/>
              <w:bidi w:val="0"/>
              <w:adjustRightInd/>
              <w:spacing w:after="0"/>
              <w:textAlignment w:val="baseline"/>
              <w:rPr>
                <w:rFonts w:ascii="仿宋" w:hAnsi="仿宋" w:eastAsia="仿宋" w:cs="仿宋"/>
                <w:color w:val="auto"/>
                <w:kern w:val="2"/>
                <w:sz w:val="21"/>
                <w:szCs w:val="21"/>
                <w:highlight w:val="none"/>
                <w:lang w:val="en-US" w:eastAsia="zh-CN" w:bidi="ar-SA"/>
              </w:rPr>
            </w:pPr>
            <w:r>
              <w:rPr>
                <w:rStyle w:val="37"/>
                <w:rFonts w:hint="eastAsia" w:ascii="仿宋" w:hAnsi="仿宋" w:eastAsia="仿宋" w:cs="仿宋"/>
                <w:b/>
                <w:bCs/>
                <w:color w:val="auto"/>
                <w:szCs w:val="21"/>
                <w:highlight w:val="none"/>
              </w:rPr>
              <w:t>评审依据：</w:t>
            </w:r>
            <w:r>
              <w:rPr>
                <w:rFonts w:hint="eastAsia" w:ascii="仿宋" w:hAnsi="仿宋" w:eastAsia="仿宋" w:cs="仿宋"/>
                <w:b/>
                <w:bCs/>
                <w:color w:val="auto"/>
                <w:sz w:val="21"/>
                <w:szCs w:val="21"/>
                <w:highlight w:val="none"/>
              </w:rPr>
              <w:t>投标文件中所附证明材料</w:t>
            </w:r>
            <w:r>
              <w:rPr>
                <w:rFonts w:hint="eastAsia" w:ascii="仿宋" w:hAnsi="仿宋" w:eastAsia="仿宋" w:cs="仿宋"/>
                <w:b/>
                <w:bCs/>
                <w:color w:val="auto"/>
                <w:sz w:val="21"/>
                <w:szCs w:val="21"/>
                <w:highlight w:val="none"/>
                <w:lang w:val="en-US" w:eastAsia="zh-CN"/>
              </w:rPr>
              <w:t>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1B46563E">
            <w:pPr>
              <w:widowControl w:val="0"/>
              <w:spacing w:before="40" w:after="40"/>
              <w:rPr>
                <w:rStyle w:val="37"/>
                <w:rFonts w:ascii="仿宋" w:hAnsi="仿宋" w:eastAsia="仿宋" w:cs="仿宋"/>
                <w:b/>
                <w:bCs/>
                <w:color w:val="auto"/>
                <w:sz w:val="21"/>
                <w:szCs w:val="21"/>
                <w:highlight w:val="none"/>
              </w:rPr>
            </w:pPr>
          </w:p>
        </w:tc>
      </w:tr>
      <w:tr w14:paraId="4664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14:paraId="3FD28016">
            <w:pPr>
              <w:widowControl w:val="0"/>
              <w:jc w:val="center"/>
              <w:rPr>
                <w:rStyle w:val="37"/>
                <w:rFonts w:hint="default" w:ascii="仿宋" w:hAnsi="仿宋" w:eastAsia="仿宋" w:cs="仿宋"/>
                <w:bCs/>
                <w:color w:val="auto"/>
                <w:sz w:val="21"/>
                <w:szCs w:val="21"/>
                <w:highlight w:val="none"/>
                <w:lang w:val="en-US" w:eastAsia="zh-CN"/>
              </w:rPr>
            </w:pPr>
            <w:r>
              <w:rPr>
                <w:rStyle w:val="37"/>
                <w:rFonts w:hint="eastAsia" w:ascii="仿宋" w:hAnsi="仿宋" w:eastAsia="仿宋" w:cs="仿宋"/>
                <w:bCs/>
                <w:color w:val="auto"/>
                <w:sz w:val="21"/>
                <w:szCs w:val="21"/>
                <w:highlight w:val="none"/>
                <w:lang w:val="en-US" w:eastAsia="zh-CN"/>
              </w:rPr>
              <w:t>10</w:t>
            </w:r>
          </w:p>
        </w:tc>
        <w:tc>
          <w:tcPr>
            <w:tcW w:w="1937" w:type="dxa"/>
            <w:tcBorders>
              <w:top w:val="single" w:color="000000" w:sz="4" w:space="0"/>
              <w:left w:val="single" w:color="000000" w:sz="4" w:space="0"/>
              <w:bottom w:val="single" w:color="000000" w:sz="4" w:space="0"/>
              <w:right w:val="single" w:color="000000" w:sz="4" w:space="0"/>
            </w:tcBorders>
            <w:vAlign w:val="center"/>
          </w:tcPr>
          <w:p w14:paraId="426003DB">
            <w:pPr>
              <w:widowControl w:val="0"/>
              <w:jc w:val="center"/>
              <w:rPr>
                <w:rFonts w:ascii="仿宋" w:hAnsi="仿宋" w:eastAsia="仿宋" w:cs="仿宋"/>
                <w:color w:val="auto"/>
                <w:kern w:val="28"/>
                <w:sz w:val="21"/>
                <w:szCs w:val="21"/>
                <w:highlight w:val="none"/>
                <w:lang w:val="en-US" w:eastAsia="zh-CN" w:bidi="ar-SA"/>
              </w:rPr>
            </w:pPr>
            <w:r>
              <w:rPr>
                <w:rStyle w:val="37"/>
                <w:rFonts w:hint="eastAsia" w:ascii="仿宋" w:hAnsi="仿宋" w:eastAsia="仿宋" w:cs="仿宋"/>
                <w:color w:val="auto"/>
                <w:kern w:val="28"/>
                <w:sz w:val="21"/>
                <w:szCs w:val="21"/>
                <w:highlight w:val="none"/>
              </w:rPr>
              <w:t>本项目不接受联合体投标，不允许分包</w:t>
            </w:r>
          </w:p>
        </w:tc>
        <w:tc>
          <w:tcPr>
            <w:tcW w:w="5537" w:type="dxa"/>
            <w:tcBorders>
              <w:top w:val="single" w:color="000000" w:sz="4" w:space="0"/>
              <w:left w:val="single" w:color="000000" w:sz="4" w:space="0"/>
              <w:bottom w:val="single" w:color="000000" w:sz="4" w:space="0"/>
              <w:right w:val="single" w:color="000000" w:sz="4" w:space="0"/>
            </w:tcBorders>
            <w:vAlign w:val="center"/>
          </w:tcPr>
          <w:p w14:paraId="6595733C">
            <w:pPr>
              <w:keepNext w:val="0"/>
              <w:keepLines w:val="0"/>
              <w:pageBreakBefore w:val="0"/>
              <w:widowControl w:val="0"/>
              <w:kinsoku/>
              <w:wordWrap/>
              <w:overflowPunct/>
              <w:topLinePunct w:val="0"/>
              <w:autoSpaceDE/>
              <w:autoSpaceDN/>
              <w:bidi w:val="0"/>
              <w:adjustRightInd/>
              <w:textAlignment w:val="baseline"/>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符合招标文件要求。</w:t>
            </w:r>
          </w:p>
          <w:p w14:paraId="5E35DE6D">
            <w:pPr>
              <w:pStyle w:val="40"/>
              <w:keepNext w:val="0"/>
              <w:keepLines w:val="0"/>
              <w:pageBreakBefore w:val="0"/>
              <w:widowControl w:val="0"/>
              <w:kinsoku/>
              <w:wordWrap/>
              <w:overflowPunct/>
              <w:topLinePunct w:val="0"/>
              <w:autoSpaceDE/>
              <w:autoSpaceDN/>
              <w:bidi w:val="0"/>
              <w:adjustRightInd/>
              <w:spacing w:after="0"/>
              <w:textAlignment w:val="baseline"/>
              <w:rPr>
                <w:rFonts w:ascii="仿宋" w:hAnsi="仿宋" w:eastAsia="仿宋" w:cs="仿宋"/>
                <w:color w:val="auto"/>
                <w:kern w:val="2"/>
                <w:sz w:val="21"/>
                <w:szCs w:val="21"/>
                <w:highlight w:val="none"/>
                <w:lang w:val="en-US" w:eastAsia="zh-CN" w:bidi="ar-SA"/>
              </w:rPr>
            </w:pPr>
            <w:r>
              <w:rPr>
                <w:rStyle w:val="37"/>
                <w:rFonts w:hint="eastAsia" w:ascii="仿宋" w:hAnsi="仿宋" w:eastAsia="仿宋" w:cs="仿宋"/>
                <w:b/>
                <w:bCs/>
                <w:color w:val="auto"/>
                <w:szCs w:val="21"/>
                <w:highlight w:val="none"/>
              </w:rPr>
              <w:t>评审依据：</w:t>
            </w:r>
            <w:r>
              <w:rPr>
                <w:rFonts w:hint="eastAsia" w:ascii="仿宋" w:hAnsi="仿宋" w:eastAsia="仿宋" w:cs="仿宋"/>
                <w:b/>
                <w:bCs/>
                <w:color w:val="auto"/>
                <w:sz w:val="21"/>
                <w:szCs w:val="21"/>
                <w:highlight w:val="none"/>
              </w:rPr>
              <w:t>投标文件中所附证明材料</w:t>
            </w:r>
            <w:r>
              <w:rPr>
                <w:rFonts w:hint="eastAsia" w:ascii="仿宋" w:hAnsi="仿宋" w:eastAsia="仿宋" w:cs="仿宋"/>
                <w:b/>
                <w:bCs/>
                <w:color w:val="auto"/>
                <w:sz w:val="21"/>
                <w:szCs w:val="21"/>
                <w:highlight w:val="none"/>
                <w:lang w:val="en-US" w:eastAsia="zh-CN"/>
              </w:rPr>
              <w:t>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08F1B896">
            <w:pPr>
              <w:widowControl w:val="0"/>
              <w:spacing w:before="40" w:after="40"/>
              <w:rPr>
                <w:rStyle w:val="37"/>
                <w:rFonts w:ascii="仿宋" w:hAnsi="仿宋" w:eastAsia="仿宋" w:cs="仿宋"/>
                <w:b/>
                <w:bCs/>
                <w:color w:val="auto"/>
                <w:sz w:val="21"/>
                <w:szCs w:val="21"/>
                <w:highlight w:val="none"/>
              </w:rPr>
            </w:pPr>
          </w:p>
        </w:tc>
      </w:tr>
      <w:tr w14:paraId="63374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vAlign w:val="center"/>
          </w:tcPr>
          <w:p w14:paraId="42810490">
            <w:pPr>
              <w:widowControl w:val="0"/>
              <w:spacing w:before="40" w:after="40"/>
              <w:rPr>
                <w:rStyle w:val="37"/>
                <w:rFonts w:ascii="仿宋" w:hAnsi="仿宋" w:eastAsia="仿宋" w:cs="仿宋"/>
                <w:b/>
                <w:bCs/>
                <w:color w:val="auto"/>
                <w:sz w:val="21"/>
                <w:szCs w:val="21"/>
                <w:highlight w:val="none"/>
              </w:rPr>
            </w:pPr>
            <w:r>
              <w:rPr>
                <w:rStyle w:val="37"/>
                <w:rFonts w:hint="eastAsia" w:ascii="仿宋" w:hAnsi="仿宋" w:eastAsia="仿宋" w:cs="仿宋"/>
                <w:b/>
                <w:bCs/>
                <w:color w:val="auto"/>
                <w:sz w:val="21"/>
                <w:szCs w:val="21"/>
                <w:highlight w:val="none"/>
              </w:rPr>
              <w:t>备注：以上资格证明材料需提供合格有效的证明材料，证明材料提供不全或签字盖章不符合要求的，均属于未按招标文件要求提供证明文件，不得通过资格审查。</w:t>
            </w:r>
          </w:p>
        </w:tc>
      </w:tr>
    </w:tbl>
    <w:p w14:paraId="00C613C0">
      <w:pPr>
        <w:pStyle w:val="40"/>
        <w:widowControl w:val="0"/>
        <w:rPr>
          <w:rStyle w:val="37"/>
          <w:rFonts w:ascii="仿宋" w:hAnsi="仿宋" w:eastAsia="仿宋" w:cs="仿宋"/>
          <w:color w:val="auto"/>
          <w:highlight w:val="none"/>
        </w:rPr>
      </w:pPr>
    </w:p>
    <w:p w14:paraId="677B1EA2">
      <w:pPr>
        <w:widowControl w:val="0"/>
        <w:tabs>
          <w:tab w:val="left" w:pos="0"/>
        </w:tabs>
        <w:snapToGrid w:val="0"/>
        <w:spacing w:line="500" w:lineRule="exact"/>
        <w:ind w:firstLine="470" w:firstLineChars="196"/>
        <w:outlineLvl w:val="9"/>
        <w:rPr>
          <w:rStyle w:val="37"/>
          <w:rFonts w:ascii="仿宋" w:hAnsi="仿宋" w:eastAsia="仿宋" w:cs="仿宋"/>
          <w:bCs/>
          <w:color w:val="auto"/>
          <w:szCs w:val="24"/>
          <w:highlight w:val="none"/>
        </w:rPr>
      </w:pPr>
      <w:r>
        <w:rPr>
          <w:rStyle w:val="37"/>
          <w:rFonts w:hint="eastAsia" w:ascii="仿宋" w:hAnsi="仿宋" w:eastAsia="仿宋" w:cs="仿宋"/>
          <w:bCs/>
          <w:color w:val="auto"/>
          <w:szCs w:val="24"/>
          <w:highlight w:val="none"/>
          <w:lang w:val="en-US" w:eastAsia="zh-CN"/>
        </w:rPr>
        <w:t>2</w:t>
      </w:r>
      <w:r>
        <w:rPr>
          <w:rStyle w:val="37"/>
          <w:rFonts w:hint="eastAsia" w:ascii="仿宋" w:hAnsi="仿宋" w:eastAsia="仿宋" w:cs="仿宋"/>
          <w:bCs/>
          <w:color w:val="auto"/>
          <w:szCs w:val="24"/>
          <w:highlight w:val="none"/>
        </w:rPr>
        <w:t>.1.2符合性评审标准：</w:t>
      </w:r>
    </w:p>
    <w:p w14:paraId="42E91A82">
      <w:pPr>
        <w:widowControl w:val="0"/>
        <w:spacing w:line="480" w:lineRule="exact"/>
        <w:jc w:val="center"/>
        <w:rPr>
          <w:rStyle w:val="37"/>
          <w:rFonts w:ascii="仿宋" w:hAnsi="仿宋" w:eastAsia="仿宋" w:cs="仿宋"/>
          <w:b/>
          <w:bCs/>
          <w:color w:val="auto"/>
          <w:highlight w:val="none"/>
        </w:rPr>
      </w:pPr>
      <w:r>
        <w:rPr>
          <w:rStyle w:val="37"/>
          <w:rFonts w:hint="eastAsia" w:ascii="仿宋" w:hAnsi="仿宋" w:eastAsia="仿宋" w:cs="仿宋"/>
          <w:b/>
          <w:bCs/>
          <w:color w:val="auto"/>
          <w:highlight w:val="none"/>
        </w:rPr>
        <w:t>符合性审查评审标准</w:t>
      </w:r>
    </w:p>
    <w:tbl>
      <w:tblPr>
        <w:tblStyle w:val="30"/>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789"/>
        <w:gridCol w:w="5453"/>
        <w:gridCol w:w="1001"/>
      </w:tblGrid>
      <w:tr w14:paraId="740D6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Header/>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727CB58F">
            <w:pPr>
              <w:widowControl w:val="0"/>
              <w:jc w:val="center"/>
              <w:rPr>
                <w:rStyle w:val="37"/>
                <w:rFonts w:ascii="仿宋" w:hAnsi="仿宋" w:eastAsia="仿宋" w:cs="仿宋"/>
                <w:b/>
                <w:bCs/>
                <w:color w:val="auto"/>
                <w:sz w:val="21"/>
                <w:szCs w:val="21"/>
                <w:highlight w:val="none"/>
              </w:rPr>
            </w:pPr>
            <w:r>
              <w:rPr>
                <w:rStyle w:val="37"/>
                <w:rFonts w:hint="eastAsia" w:ascii="仿宋" w:hAnsi="仿宋" w:eastAsia="仿宋" w:cs="仿宋"/>
                <w:b/>
                <w:bCs/>
                <w:color w:val="auto"/>
                <w:sz w:val="21"/>
                <w:szCs w:val="21"/>
                <w:highlight w:val="none"/>
              </w:rPr>
              <w:t>序号</w:t>
            </w:r>
          </w:p>
        </w:tc>
        <w:tc>
          <w:tcPr>
            <w:tcW w:w="1789" w:type="dxa"/>
            <w:tcBorders>
              <w:top w:val="single" w:color="000000" w:sz="4" w:space="0"/>
              <w:left w:val="single" w:color="000000" w:sz="4" w:space="0"/>
              <w:bottom w:val="single" w:color="000000" w:sz="4" w:space="0"/>
              <w:right w:val="single" w:color="000000" w:sz="4" w:space="0"/>
            </w:tcBorders>
            <w:vAlign w:val="center"/>
          </w:tcPr>
          <w:p w14:paraId="312A879A">
            <w:pPr>
              <w:widowControl w:val="0"/>
              <w:jc w:val="center"/>
              <w:rPr>
                <w:rStyle w:val="37"/>
                <w:rFonts w:ascii="仿宋" w:hAnsi="仿宋" w:eastAsia="仿宋" w:cs="仿宋"/>
                <w:b/>
                <w:bCs/>
                <w:color w:val="auto"/>
                <w:sz w:val="21"/>
                <w:szCs w:val="21"/>
                <w:highlight w:val="none"/>
              </w:rPr>
            </w:pPr>
            <w:r>
              <w:rPr>
                <w:rStyle w:val="37"/>
                <w:rFonts w:hint="eastAsia" w:ascii="仿宋" w:hAnsi="仿宋" w:eastAsia="仿宋" w:cs="仿宋"/>
                <w:b/>
                <w:bCs/>
                <w:color w:val="auto"/>
                <w:sz w:val="21"/>
                <w:szCs w:val="21"/>
                <w:highlight w:val="none"/>
              </w:rPr>
              <w:t>符合性审查项</w:t>
            </w:r>
          </w:p>
        </w:tc>
        <w:tc>
          <w:tcPr>
            <w:tcW w:w="5453" w:type="dxa"/>
            <w:tcBorders>
              <w:top w:val="single" w:color="000000" w:sz="4" w:space="0"/>
              <w:left w:val="single" w:color="000000" w:sz="4" w:space="0"/>
              <w:bottom w:val="single" w:color="000000" w:sz="4" w:space="0"/>
              <w:right w:val="single" w:color="000000" w:sz="4" w:space="0"/>
            </w:tcBorders>
            <w:vAlign w:val="center"/>
          </w:tcPr>
          <w:p w14:paraId="77A1E969">
            <w:pPr>
              <w:widowControl w:val="0"/>
              <w:jc w:val="center"/>
              <w:rPr>
                <w:rStyle w:val="37"/>
                <w:rFonts w:ascii="仿宋" w:hAnsi="仿宋" w:eastAsia="仿宋" w:cs="仿宋"/>
                <w:b/>
                <w:bCs/>
                <w:color w:val="auto"/>
                <w:sz w:val="21"/>
                <w:szCs w:val="21"/>
                <w:highlight w:val="none"/>
              </w:rPr>
            </w:pPr>
            <w:r>
              <w:rPr>
                <w:rStyle w:val="37"/>
                <w:rFonts w:hint="eastAsia" w:ascii="仿宋" w:hAnsi="仿宋" w:eastAsia="仿宋" w:cs="仿宋"/>
                <w:b/>
                <w:bCs/>
                <w:color w:val="auto"/>
                <w:sz w:val="21"/>
                <w:szCs w:val="21"/>
                <w:highlight w:val="none"/>
              </w:rPr>
              <w:t>审查标准</w:t>
            </w:r>
          </w:p>
        </w:tc>
        <w:tc>
          <w:tcPr>
            <w:tcW w:w="1001" w:type="dxa"/>
            <w:tcBorders>
              <w:top w:val="single" w:color="000000" w:sz="4" w:space="0"/>
              <w:left w:val="single" w:color="000000" w:sz="4" w:space="0"/>
              <w:bottom w:val="single" w:color="000000" w:sz="4" w:space="0"/>
              <w:right w:val="single" w:color="000000" w:sz="4" w:space="0"/>
            </w:tcBorders>
            <w:vAlign w:val="center"/>
          </w:tcPr>
          <w:p w14:paraId="5B86A769">
            <w:pPr>
              <w:widowControl w:val="0"/>
              <w:jc w:val="center"/>
              <w:rPr>
                <w:rStyle w:val="37"/>
                <w:rFonts w:ascii="仿宋" w:hAnsi="仿宋" w:eastAsia="仿宋" w:cs="仿宋"/>
                <w:b/>
                <w:bCs/>
                <w:color w:val="auto"/>
                <w:sz w:val="21"/>
                <w:szCs w:val="21"/>
                <w:highlight w:val="none"/>
              </w:rPr>
            </w:pPr>
            <w:r>
              <w:rPr>
                <w:rStyle w:val="37"/>
                <w:rFonts w:hint="eastAsia" w:ascii="仿宋" w:hAnsi="仿宋" w:eastAsia="仿宋" w:cs="仿宋"/>
                <w:b/>
                <w:bCs/>
                <w:color w:val="auto"/>
                <w:sz w:val="21"/>
                <w:szCs w:val="21"/>
                <w:highlight w:val="none"/>
              </w:rPr>
              <w:t>备注</w:t>
            </w:r>
          </w:p>
        </w:tc>
      </w:tr>
      <w:tr w14:paraId="448A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7F78359B">
            <w:pPr>
              <w:widowControl w:val="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1</w:t>
            </w:r>
          </w:p>
        </w:tc>
        <w:tc>
          <w:tcPr>
            <w:tcW w:w="1789" w:type="dxa"/>
            <w:tcBorders>
              <w:top w:val="single" w:color="000000" w:sz="4" w:space="0"/>
              <w:left w:val="single" w:color="000000" w:sz="4" w:space="0"/>
              <w:bottom w:val="single" w:color="000000" w:sz="4" w:space="0"/>
              <w:right w:val="single" w:color="000000" w:sz="4" w:space="0"/>
            </w:tcBorders>
            <w:vAlign w:val="center"/>
          </w:tcPr>
          <w:p w14:paraId="27988C8D">
            <w:pPr>
              <w:widowControl w:val="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投标文件的签署、盖章</w:t>
            </w:r>
          </w:p>
        </w:tc>
        <w:tc>
          <w:tcPr>
            <w:tcW w:w="5453" w:type="dxa"/>
            <w:tcBorders>
              <w:top w:val="single" w:color="000000" w:sz="4" w:space="0"/>
              <w:left w:val="single" w:color="000000" w:sz="4" w:space="0"/>
              <w:bottom w:val="single" w:color="000000" w:sz="4" w:space="0"/>
              <w:right w:val="single" w:color="000000" w:sz="4" w:space="0"/>
            </w:tcBorders>
            <w:vAlign w:val="center"/>
          </w:tcPr>
          <w:p w14:paraId="666F50FE">
            <w:pPr>
              <w:widowControl w:val="0"/>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符合招标文件要求</w:t>
            </w:r>
          </w:p>
        </w:tc>
        <w:tc>
          <w:tcPr>
            <w:tcW w:w="1001" w:type="dxa"/>
            <w:tcBorders>
              <w:top w:val="single" w:color="000000" w:sz="4" w:space="0"/>
              <w:left w:val="single" w:color="000000" w:sz="4" w:space="0"/>
              <w:bottom w:val="single" w:color="000000" w:sz="4" w:space="0"/>
              <w:right w:val="single" w:color="000000" w:sz="4" w:space="0"/>
            </w:tcBorders>
            <w:vAlign w:val="center"/>
          </w:tcPr>
          <w:p w14:paraId="24082EF1">
            <w:pPr>
              <w:widowControl w:val="0"/>
              <w:jc w:val="center"/>
              <w:rPr>
                <w:rStyle w:val="37"/>
                <w:rFonts w:ascii="仿宋" w:hAnsi="仿宋" w:eastAsia="仿宋" w:cs="仿宋"/>
                <w:b/>
                <w:bCs/>
                <w:color w:val="auto"/>
                <w:sz w:val="21"/>
                <w:szCs w:val="21"/>
                <w:highlight w:val="none"/>
              </w:rPr>
            </w:pPr>
          </w:p>
        </w:tc>
      </w:tr>
      <w:tr w14:paraId="1FCA4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549610B5">
            <w:pPr>
              <w:widowControl w:val="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2</w:t>
            </w:r>
          </w:p>
        </w:tc>
        <w:tc>
          <w:tcPr>
            <w:tcW w:w="1789" w:type="dxa"/>
            <w:tcBorders>
              <w:top w:val="single" w:color="000000" w:sz="4" w:space="0"/>
              <w:left w:val="single" w:color="000000" w:sz="4" w:space="0"/>
              <w:bottom w:val="single" w:color="000000" w:sz="4" w:space="0"/>
              <w:right w:val="single" w:color="000000" w:sz="4" w:space="0"/>
            </w:tcBorders>
            <w:vAlign w:val="center"/>
          </w:tcPr>
          <w:p w14:paraId="6F67601A">
            <w:pPr>
              <w:widowControl w:val="0"/>
              <w:jc w:val="center"/>
              <w:rPr>
                <w:rStyle w:val="37"/>
                <w:rFonts w:ascii="仿宋" w:hAnsi="仿宋" w:eastAsia="仿宋" w:cs="仿宋"/>
                <w:bCs/>
                <w:color w:val="auto"/>
                <w:sz w:val="21"/>
                <w:szCs w:val="21"/>
                <w:highlight w:val="none"/>
              </w:rPr>
            </w:pPr>
            <w:r>
              <w:rPr>
                <w:rStyle w:val="37"/>
                <w:rFonts w:hint="eastAsia" w:ascii="仿宋" w:hAnsi="仿宋" w:eastAsia="仿宋" w:cs="仿宋"/>
                <w:color w:val="auto"/>
                <w:sz w:val="21"/>
                <w:szCs w:val="21"/>
                <w:highlight w:val="none"/>
              </w:rPr>
              <w:t>服务地点</w:t>
            </w:r>
          </w:p>
        </w:tc>
        <w:tc>
          <w:tcPr>
            <w:tcW w:w="5453" w:type="dxa"/>
            <w:tcBorders>
              <w:top w:val="single" w:color="000000" w:sz="4" w:space="0"/>
              <w:left w:val="single" w:color="000000" w:sz="4" w:space="0"/>
              <w:bottom w:val="single" w:color="000000" w:sz="4" w:space="0"/>
              <w:right w:val="single" w:color="000000" w:sz="4" w:space="0"/>
            </w:tcBorders>
            <w:vAlign w:val="center"/>
          </w:tcPr>
          <w:p w14:paraId="689C1CDF">
            <w:pPr>
              <w:widowControl w:val="0"/>
              <w:rPr>
                <w:rStyle w:val="37"/>
                <w:rFonts w:ascii="仿宋" w:hAnsi="仿宋" w:eastAsia="仿宋" w:cs="仿宋"/>
                <w:bCs/>
                <w:color w:val="auto"/>
                <w:sz w:val="21"/>
                <w:szCs w:val="21"/>
                <w:highlight w:val="none"/>
              </w:rPr>
            </w:pPr>
            <w:r>
              <w:rPr>
                <w:rStyle w:val="37"/>
                <w:rFonts w:hint="eastAsia" w:ascii="仿宋" w:hAnsi="仿宋" w:eastAsia="仿宋" w:cs="仿宋"/>
                <w:bCs/>
                <w:color w:val="auto"/>
                <w:sz w:val="21"/>
                <w:szCs w:val="21"/>
                <w:highlight w:val="none"/>
              </w:rPr>
              <w:t>符合招标文件要求</w:t>
            </w:r>
          </w:p>
        </w:tc>
        <w:tc>
          <w:tcPr>
            <w:tcW w:w="1001" w:type="dxa"/>
            <w:tcBorders>
              <w:top w:val="single" w:color="000000" w:sz="4" w:space="0"/>
              <w:left w:val="single" w:color="000000" w:sz="4" w:space="0"/>
              <w:bottom w:val="single" w:color="000000" w:sz="4" w:space="0"/>
              <w:right w:val="single" w:color="000000" w:sz="4" w:space="0"/>
            </w:tcBorders>
            <w:vAlign w:val="center"/>
          </w:tcPr>
          <w:p w14:paraId="020D4C4A">
            <w:pPr>
              <w:widowControl w:val="0"/>
              <w:jc w:val="center"/>
              <w:rPr>
                <w:rStyle w:val="37"/>
                <w:rFonts w:ascii="仿宋" w:hAnsi="仿宋" w:eastAsia="仿宋" w:cs="仿宋"/>
                <w:b/>
                <w:bCs/>
                <w:color w:val="auto"/>
                <w:sz w:val="21"/>
                <w:szCs w:val="21"/>
                <w:highlight w:val="none"/>
              </w:rPr>
            </w:pPr>
          </w:p>
        </w:tc>
      </w:tr>
      <w:tr w14:paraId="14CD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28E46199">
            <w:pPr>
              <w:widowControl w:val="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3</w:t>
            </w:r>
          </w:p>
        </w:tc>
        <w:tc>
          <w:tcPr>
            <w:tcW w:w="1789" w:type="dxa"/>
            <w:tcBorders>
              <w:top w:val="single" w:color="000000" w:sz="4" w:space="0"/>
              <w:left w:val="single" w:color="000000" w:sz="4" w:space="0"/>
              <w:bottom w:val="single" w:color="000000" w:sz="4" w:space="0"/>
              <w:right w:val="single" w:color="000000" w:sz="4" w:space="0"/>
            </w:tcBorders>
            <w:vAlign w:val="center"/>
          </w:tcPr>
          <w:p w14:paraId="49B84A7C">
            <w:pPr>
              <w:widowControl w:val="0"/>
              <w:tabs>
                <w:tab w:val="left" w:pos="0"/>
              </w:tabs>
              <w:snapToGrid w:val="0"/>
              <w:jc w:val="center"/>
              <w:rPr>
                <w:rStyle w:val="37"/>
                <w:rFonts w:ascii="仿宋" w:hAnsi="仿宋" w:eastAsia="仿宋" w:cs="仿宋"/>
                <w:bCs/>
                <w:color w:val="auto"/>
                <w:sz w:val="21"/>
                <w:szCs w:val="21"/>
                <w:highlight w:val="none"/>
              </w:rPr>
            </w:pPr>
            <w:r>
              <w:rPr>
                <w:rStyle w:val="37"/>
                <w:rFonts w:hint="eastAsia" w:ascii="仿宋" w:hAnsi="仿宋" w:eastAsia="仿宋" w:cs="仿宋"/>
                <w:bCs/>
                <w:color w:val="auto"/>
                <w:sz w:val="21"/>
                <w:szCs w:val="21"/>
                <w:highlight w:val="none"/>
                <w:lang w:val="en-US" w:eastAsia="zh-CN"/>
              </w:rPr>
              <w:t>配送周</w:t>
            </w:r>
            <w:r>
              <w:rPr>
                <w:rStyle w:val="37"/>
                <w:rFonts w:hint="eastAsia" w:ascii="仿宋" w:hAnsi="仿宋" w:eastAsia="仿宋" w:cs="仿宋"/>
                <w:bCs/>
                <w:color w:val="auto"/>
                <w:sz w:val="21"/>
                <w:szCs w:val="21"/>
                <w:highlight w:val="none"/>
              </w:rPr>
              <w:t>期</w:t>
            </w:r>
          </w:p>
        </w:tc>
        <w:tc>
          <w:tcPr>
            <w:tcW w:w="5453" w:type="dxa"/>
            <w:tcBorders>
              <w:top w:val="single" w:color="000000" w:sz="4" w:space="0"/>
              <w:left w:val="single" w:color="000000" w:sz="4" w:space="0"/>
              <w:bottom w:val="single" w:color="000000" w:sz="4" w:space="0"/>
              <w:right w:val="single" w:color="000000" w:sz="4" w:space="0"/>
            </w:tcBorders>
            <w:vAlign w:val="center"/>
          </w:tcPr>
          <w:p w14:paraId="01808171">
            <w:pPr>
              <w:widowControl w:val="0"/>
              <w:tabs>
                <w:tab w:val="left" w:pos="0"/>
              </w:tabs>
              <w:snapToGrid w:val="0"/>
              <w:rPr>
                <w:rStyle w:val="37"/>
                <w:rFonts w:ascii="仿宋" w:hAnsi="仿宋" w:eastAsia="仿宋" w:cs="仿宋"/>
                <w:bCs/>
                <w:color w:val="auto"/>
                <w:sz w:val="21"/>
                <w:szCs w:val="21"/>
                <w:highlight w:val="none"/>
              </w:rPr>
            </w:pPr>
            <w:r>
              <w:rPr>
                <w:rStyle w:val="37"/>
                <w:rFonts w:hint="eastAsia" w:ascii="仿宋" w:hAnsi="仿宋" w:eastAsia="仿宋" w:cs="仿宋"/>
                <w:bCs/>
                <w:color w:val="auto"/>
                <w:sz w:val="21"/>
                <w:szCs w:val="21"/>
                <w:highlight w:val="none"/>
              </w:rPr>
              <w:t>符合招标文件要求</w:t>
            </w:r>
          </w:p>
        </w:tc>
        <w:tc>
          <w:tcPr>
            <w:tcW w:w="1001" w:type="dxa"/>
            <w:tcBorders>
              <w:top w:val="single" w:color="000000" w:sz="4" w:space="0"/>
              <w:left w:val="single" w:color="000000" w:sz="4" w:space="0"/>
              <w:bottom w:val="single" w:color="000000" w:sz="4" w:space="0"/>
              <w:right w:val="single" w:color="000000" w:sz="4" w:space="0"/>
            </w:tcBorders>
            <w:vAlign w:val="center"/>
          </w:tcPr>
          <w:p w14:paraId="5ADC17D6">
            <w:pPr>
              <w:widowControl w:val="0"/>
              <w:jc w:val="center"/>
              <w:rPr>
                <w:rStyle w:val="37"/>
                <w:rFonts w:ascii="仿宋" w:hAnsi="仿宋" w:eastAsia="仿宋" w:cs="仿宋"/>
                <w:b/>
                <w:bCs/>
                <w:color w:val="auto"/>
                <w:sz w:val="21"/>
                <w:szCs w:val="21"/>
                <w:highlight w:val="none"/>
              </w:rPr>
            </w:pPr>
          </w:p>
        </w:tc>
      </w:tr>
      <w:tr w14:paraId="2C89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39162851">
            <w:pPr>
              <w:widowControl w:val="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4</w:t>
            </w:r>
          </w:p>
        </w:tc>
        <w:tc>
          <w:tcPr>
            <w:tcW w:w="1789" w:type="dxa"/>
            <w:tcBorders>
              <w:top w:val="single" w:color="000000" w:sz="4" w:space="0"/>
              <w:left w:val="single" w:color="000000" w:sz="4" w:space="0"/>
              <w:bottom w:val="single" w:color="000000" w:sz="4" w:space="0"/>
              <w:right w:val="single" w:color="000000" w:sz="4" w:space="0"/>
            </w:tcBorders>
            <w:vAlign w:val="center"/>
          </w:tcPr>
          <w:p w14:paraId="3B6FFAEC">
            <w:pPr>
              <w:widowControl w:val="0"/>
              <w:tabs>
                <w:tab w:val="left" w:pos="0"/>
              </w:tabs>
              <w:snapToGrid w:val="0"/>
              <w:jc w:val="center"/>
              <w:rPr>
                <w:rStyle w:val="37"/>
                <w:rFonts w:ascii="仿宋" w:hAnsi="仿宋" w:eastAsia="仿宋" w:cs="仿宋"/>
                <w:color w:val="auto"/>
                <w:sz w:val="21"/>
                <w:szCs w:val="21"/>
                <w:highlight w:val="none"/>
              </w:rPr>
            </w:pPr>
            <w:r>
              <w:rPr>
                <w:rStyle w:val="37"/>
                <w:rFonts w:hint="eastAsia" w:ascii="仿宋" w:hAnsi="仿宋" w:eastAsia="仿宋" w:cs="仿宋"/>
                <w:bCs/>
                <w:color w:val="auto"/>
                <w:sz w:val="21"/>
                <w:szCs w:val="21"/>
                <w:highlight w:val="none"/>
              </w:rPr>
              <w:t>投标有效期</w:t>
            </w:r>
          </w:p>
        </w:tc>
        <w:tc>
          <w:tcPr>
            <w:tcW w:w="5453" w:type="dxa"/>
            <w:tcBorders>
              <w:top w:val="single" w:color="000000" w:sz="4" w:space="0"/>
              <w:left w:val="single" w:color="000000" w:sz="4" w:space="0"/>
              <w:bottom w:val="single" w:color="000000" w:sz="4" w:space="0"/>
              <w:right w:val="single" w:color="000000" w:sz="4" w:space="0"/>
            </w:tcBorders>
            <w:vAlign w:val="center"/>
          </w:tcPr>
          <w:p w14:paraId="1111B954">
            <w:pPr>
              <w:widowControl w:val="0"/>
              <w:tabs>
                <w:tab w:val="left" w:pos="0"/>
              </w:tabs>
              <w:snapToGrid w:val="0"/>
              <w:rPr>
                <w:rStyle w:val="37"/>
                <w:rFonts w:ascii="仿宋" w:hAnsi="仿宋" w:eastAsia="仿宋" w:cs="仿宋"/>
                <w:color w:val="auto"/>
                <w:sz w:val="21"/>
                <w:szCs w:val="21"/>
                <w:highlight w:val="none"/>
              </w:rPr>
            </w:pPr>
            <w:r>
              <w:rPr>
                <w:rStyle w:val="37"/>
                <w:rFonts w:hint="eastAsia" w:ascii="仿宋" w:hAnsi="仿宋" w:eastAsia="仿宋" w:cs="仿宋"/>
                <w:bCs/>
                <w:color w:val="auto"/>
                <w:sz w:val="21"/>
                <w:szCs w:val="21"/>
                <w:highlight w:val="none"/>
              </w:rPr>
              <w:t>符合招标文件要求</w:t>
            </w:r>
          </w:p>
        </w:tc>
        <w:tc>
          <w:tcPr>
            <w:tcW w:w="1001" w:type="dxa"/>
            <w:tcBorders>
              <w:top w:val="single" w:color="000000" w:sz="4" w:space="0"/>
              <w:left w:val="single" w:color="000000" w:sz="4" w:space="0"/>
              <w:bottom w:val="single" w:color="000000" w:sz="4" w:space="0"/>
              <w:right w:val="single" w:color="000000" w:sz="4" w:space="0"/>
            </w:tcBorders>
            <w:vAlign w:val="center"/>
          </w:tcPr>
          <w:p w14:paraId="46E31237">
            <w:pPr>
              <w:widowControl w:val="0"/>
              <w:jc w:val="center"/>
              <w:rPr>
                <w:rStyle w:val="37"/>
                <w:rFonts w:ascii="仿宋" w:hAnsi="仿宋" w:eastAsia="仿宋" w:cs="仿宋"/>
                <w:b/>
                <w:bCs/>
                <w:color w:val="auto"/>
                <w:sz w:val="21"/>
                <w:szCs w:val="21"/>
                <w:highlight w:val="none"/>
              </w:rPr>
            </w:pPr>
          </w:p>
        </w:tc>
      </w:tr>
      <w:tr w14:paraId="7C70C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5C0B2464">
            <w:pPr>
              <w:widowControl w:val="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5</w:t>
            </w:r>
          </w:p>
        </w:tc>
        <w:tc>
          <w:tcPr>
            <w:tcW w:w="1789" w:type="dxa"/>
            <w:tcBorders>
              <w:top w:val="single" w:color="000000" w:sz="4" w:space="0"/>
              <w:left w:val="single" w:color="000000" w:sz="4" w:space="0"/>
              <w:bottom w:val="single" w:color="000000" w:sz="4" w:space="0"/>
              <w:right w:val="single" w:color="000000" w:sz="4" w:space="0"/>
            </w:tcBorders>
            <w:vAlign w:val="center"/>
          </w:tcPr>
          <w:p w14:paraId="259A9660">
            <w:pPr>
              <w:widowControl w:val="0"/>
              <w:jc w:val="center"/>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无其他招标文件或法规明确规定响应无效的事项</w:t>
            </w:r>
          </w:p>
        </w:tc>
        <w:tc>
          <w:tcPr>
            <w:tcW w:w="5453" w:type="dxa"/>
            <w:tcBorders>
              <w:top w:val="single" w:color="000000" w:sz="4" w:space="0"/>
              <w:left w:val="single" w:color="000000" w:sz="4" w:space="0"/>
              <w:bottom w:val="single" w:color="000000" w:sz="4" w:space="0"/>
              <w:right w:val="single" w:color="000000" w:sz="4" w:space="0"/>
            </w:tcBorders>
            <w:vAlign w:val="center"/>
          </w:tcPr>
          <w:p w14:paraId="692A6EC2">
            <w:pPr>
              <w:widowControl w:val="0"/>
              <w:jc w:val="left"/>
              <w:rPr>
                <w:rStyle w:val="37"/>
                <w:rFonts w:ascii="仿宋" w:hAnsi="仿宋" w:eastAsia="仿宋" w:cs="仿宋"/>
                <w:color w:val="auto"/>
                <w:sz w:val="21"/>
                <w:szCs w:val="21"/>
                <w:highlight w:val="none"/>
              </w:rPr>
            </w:pPr>
            <w:r>
              <w:rPr>
                <w:rStyle w:val="37"/>
                <w:rFonts w:hint="eastAsia" w:ascii="仿宋" w:hAnsi="仿宋" w:eastAsia="仿宋" w:cs="仿宋"/>
                <w:color w:val="auto"/>
                <w:sz w:val="21"/>
                <w:szCs w:val="21"/>
                <w:highlight w:val="none"/>
              </w:rPr>
              <w:t>没有不符合招标文件规定的被视为无效响应的其他条款</w:t>
            </w:r>
            <w:r>
              <w:rPr>
                <w:rStyle w:val="37"/>
                <w:rFonts w:hint="eastAsia" w:ascii="仿宋" w:hAnsi="仿宋" w:eastAsia="仿宋" w:cs="仿宋"/>
                <w:bCs/>
                <w:color w:val="auto"/>
                <w:sz w:val="21"/>
                <w:szCs w:val="21"/>
                <w:highlight w:val="none"/>
              </w:rPr>
              <w:t>，不能有采购人不能接受的附加条件</w:t>
            </w:r>
          </w:p>
        </w:tc>
        <w:tc>
          <w:tcPr>
            <w:tcW w:w="1001" w:type="dxa"/>
            <w:tcBorders>
              <w:top w:val="single" w:color="000000" w:sz="4" w:space="0"/>
              <w:left w:val="single" w:color="000000" w:sz="4" w:space="0"/>
              <w:bottom w:val="single" w:color="000000" w:sz="4" w:space="0"/>
              <w:right w:val="single" w:color="000000" w:sz="4" w:space="0"/>
            </w:tcBorders>
            <w:vAlign w:val="center"/>
          </w:tcPr>
          <w:p w14:paraId="2D824ECE">
            <w:pPr>
              <w:widowControl w:val="0"/>
              <w:jc w:val="center"/>
              <w:rPr>
                <w:rStyle w:val="37"/>
                <w:rFonts w:ascii="仿宋" w:hAnsi="仿宋" w:eastAsia="仿宋" w:cs="仿宋"/>
                <w:b/>
                <w:bCs/>
                <w:color w:val="auto"/>
                <w:sz w:val="21"/>
                <w:szCs w:val="21"/>
                <w:highlight w:val="none"/>
              </w:rPr>
            </w:pPr>
          </w:p>
        </w:tc>
      </w:tr>
      <w:tr w14:paraId="47D63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vAlign w:val="center"/>
          </w:tcPr>
          <w:p w14:paraId="693E4AA7">
            <w:pPr>
              <w:widowControl w:val="0"/>
              <w:jc w:val="left"/>
              <w:rPr>
                <w:rStyle w:val="37"/>
                <w:rFonts w:ascii="仿宋" w:hAnsi="仿宋" w:eastAsia="仿宋" w:cs="仿宋"/>
                <w:b/>
                <w:bCs/>
                <w:color w:val="auto"/>
                <w:sz w:val="21"/>
                <w:szCs w:val="21"/>
                <w:highlight w:val="none"/>
              </w:rPr>
            </w:pPr>
            <w:r>
              <w:rPr>
                <w:rStyle w:val="37"/>
                <w:rFonts w:hint="eastAsia" w:ascii="仿宋" w:hAnsi="仿宋" w:eastAsia="仿宋" w:cs="仿宋"/>
                <w:color w:val="auto"/>
                <w:sz w:val="21"/>
                <w:szCs w:val="21"/>
                <w:highlight w:val="none"/>
              </w:rPr>
              <w:t>备注：以上要求，有一项不符合评审标准的，评标委员会应当否决其投标。</w:t>
            </w:r>
          </w:p>
        </w:tc>
      </w:tr>
    </w:tbl>
    <w:p w14:paraId="7689686F">
      <w:pPr>
        <w:widowControl w:val="0"/>
        <w:tabs>
          <w:tab w:val="left" w:pos="0"/>
        </w:tabs>
        <w:snapToGrid w:val="0"/>
        <w:spacing w:line="500" w:lineRule="exact"/>
        <w:ind w:firstLine="470" w:firstLineChars="196"/>
        <w:outlineLvl w:val="9"/>
        <w:rPr>
          <w:rStyle w:val="37"/>
          <w:rFonts w:ascii="仿宋" w:hAnsi="仿宋" w:eastAsia="仿宋" w:cs="仿宋"/>
          <w:b/>
          <w:color w:val="auto"/>
          <w:szCs w:val="24"/>
          <w:highlight w:val="none"/>
        </w:rPr>
      </w:pPr>
      <w:r>
        <w:rPr>
          <w:rStyle w:val="37"/>
          <w:rFonts w:hint="eastAsia" w:ascii="仿宋" w:hAnsi="仿宋" w:eastAsia="仿宋" w:cs="仿宋"/>
          <w:bCs/>
          <w:color w:val="auto"/>
          <w:szCs w:val="24"/>
          <w:highlight w:val="none"/>
          <w:lang w:val="en-US" w:eastAsia="zh-CN"/>
        </w:rPr>
        <w:t>2</w:t>
      </w:r>
      <w:r>
        <w:rPr>
          <w:rStyle w:val="37"/>
          <w:rFonts w:hint="eastAsia" w:ascii="仿宋" w:hAnsi="仿宋" w:eastAsia="仿宋" w:cs="仿宋"/>
          <w:bCs/>
          <w:color w:val="auto"/>
          <w:szCs w:val="24"/>
          <w:highlight w:val="none"/>
        </w:rPr>
        <w:t>.2分值构成与评分标准</w:t>
      </w:r>
      <w:r>
        <w:rPr>
          <w:rStyle w:val="37"/>
          <w:rFonts w:hint="eastAsia" w:ascii="仿宋" w:hAnsi="仿宋" w:eastAsia="仿宋" w:cs="仿宋"/>
          <w:b/>
          <w:color w:val="auto"/>
          <w:szCs w:val="24"/>
          <w:highlight w:val="none"/>
        </w:rPr>
        <w:t>:</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42"/>
        <w:gridCol w:w="689"/>
        <w:gridCol w:w="6779"/>
      </w:tblGrid>
      <w:tr w14:paraId="13BD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362" w:type="pct"/>
            <w:noWrap w:val="0"/>
            <w:vAlign w:val="center"/>
          </w:tcPr>
          <w:p w14:paraId="6AC8938D">
            <w:pPr>
              <w:shd w:val="clear" w:color="auto" w:fill="auto"/>
              <w:wordWrap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615" w:type="pct"/>
            <w:noWrap w:val="0"/>
            <w:vAlign w:val="center"/>
          </w:tcPr>
          <w:p w14:paraId="7CE210C2">
            <w:pPr>
              <w:shd w:val="clear" w:color="auto" w:fill="auto"/>
              <w:wordWrap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371" w:type="pct"/>
            <w:noWrap w:val="0"/>
            <w:vAlign w:val="center"/>
          </w:tcPr>
          <w:p w14:paraId="6A39259A">
            <w:pPr>
              <w:shd w:val="clear" w:color="auto" w:fill="auto"/>
              <w:wordWrap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3651" w:type="pct"/>
            <w:noWrap w:val="0"/>
            <w:vAlign w:val="center"/>
          </w:tcPr>
          <w:p w14:paraId="722E27A3">
            <w:pPr>
              <w:shd w:val="clear" w:color="auto" w:fill="auto"/>
              <w:wordWrap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r>
      <w:tr w14:paraId="4C43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00" w:type="pct"/>
            <w:gridSpan w:val="4"/>
            <w:noWrap w:val="0"/>
            <w:vAlign w:val="center"/>
          </w:tcPr>
          <w:p w14:paraId="36B2C4B4">
            <w:pPr>
              <w:shd w:val="clear" w:color="auto" w:fill="auto"/>
              <w:wordWrap w:val="0"/>
              <w:jc w:val="left"/>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技术部分</w:t>
            </w:r>
          </w:p>
        </w:tc>
      </w:tr>
      <w:tr w14:paraId="7471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noWrap w:val="0"/>
            <w:vAlign w:val="center"/>
          </w:tcPr>
          <w:p w14:paraId="1EF0C532">
            <w:pPr>
              <w:shd w:val="clear" w:color="auto" w:fill="auto"/>
              <w:tabs>
                <w:tab w:val="left" w:pos="420"/>
                <w:tab w:val="center" w:pos="4153"/>
                <w:tab w:val="right" w:pos="8306"/>
              </w:tabs>
              <w:wordWrap w:val="0"/>
              <w:adjustRightIn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615" w:type="pct"/>
            <w:noWrap w:val="0"/>
            <w:vAlign w:val="center"/>
          </w:tcPr>
          <w:p w14:paraId="7B17BA28">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食品安全</w:t>
            </w:r>
          </w:p>
        </w:tc>
        <w:tc>
          <w:tcPr>
            <w:tcW w:w="371" w:type="pct"/>
            <w:noWrap w:val="0"/>
            <w:vAlign w:val="center"/>
          </w:tcPr>
          <w:p w14:paraId="1CD6A643">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5分</w:t>
            </w:r>
          </w:p>
        </w:tc>
        <w:tc>
          <w:tcPr>
            <w:tcW w:w="3651" w:type="pct"/>
            <w:noWrap w:val="0"/>
            <w:vAlign w:val="center"/>
          </w:tcPr>
          <w:p w14:paraId="5DFC80F4">
            <w:pPr>
              <w:pStyle w:val="305"/>
              <w:shd w:val="clear" w:color="auto" w:fill="auto"/>
              <w:wordWrap w:val="0"/>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提供所投产品生产厂家有良好的原辅料安全采购体系及质量保证{原辅料：</w:t>
            </w:r>
            <w:r>
              <w:rPr>
                <w:rFonts w:hint="eastAsia" w:ascii="仿宋" w:hAnsi="仿宋" w:eastAsia="仿宋" w:cs="仿宋"/>
                <w:color w:val="auto"/>
                <w:sz w:val="21"/>
                <w:szCs w:val="21"/>
                <w:highlight w:val="none"/>
                <w:lang w:val="en-US" w:eastAsia="zh-CN"/>
              </w:rPr>
              <w:t>大</w:t>
            </w:r>
            <w:r>
              <w:rPr>
                <w:rFonts w:hint="eastAsia" w:ascii="仿宋" w:hAnsi="仿宋" w:eastAsia="仿宋" w:cs="仿宋"/>
                <w:color w:val="auto"/>
                <w:sz w:val="21"/>
                <w:szCs w:val="21"/>
                <w:highlight w:val="none"/>
              </w:rPr>
              <w:t>米、面粉、</w:t>
            </w:r>
            <w:r>
              <w:rPr>
                <w:rFonts w:hint="eastAsia" w:ascii="仿宋" w:hAnsi="仿宋" w:eastAsia="仿宋" w:cs="仿宋"/>
                <w:color w:val="auto"/>
                <w:sz w:val="21"/>
                <w:szCs w:val="21"/>
                <w:highlight w:val="none"/>
                <w:lang w:val="en-US" w:eastAsia="zh-CN"/>
              </w:rPr>
              <w:t>菜籽</w:t>
            </w:r>
            <w:r>
              <w:rPr>
                <w:rFonts w:hint="eastAsia" w:ascii="仿宋" w:hAnsi="仿宋" w:eastAsia="仿宋" w:cs="仿宋"/>
                <w:color w:val="auto"/>
                <w:sz w:val="21"/>
                <w:szCs w:val="21"/>
                <w:highlight w:val="none"/>
              </w:rPr>
              <w:t>油、鸡蛋、牛奶、</w:t>
            </w:r>
            <w:r>
              <w:rPr>
                <w:rFonts w:hint="eastAsia" w:ascii="仿宋" w:hAnsi="仿宋" w:eastAsia="仿宋" w:cs="仿宋"/>
                <w:color w:val="auto"/>
                <w:sz w:val="21"/>
                <w:szCs w:val="21"/>
                <w:highlight w:val="none"/>
                <w:lang w:val="en-US" w:eastAsia="zh-CN"/>
              </w:rPr>
              <w:t>蔬菜、</w:t>
            </w:r>
            <w:r>
              <w:rPr>
                <w:rFonts w:hint="eastAsia" w:ascii="仿宋" w:hAnsi="仿宋" w:eastAsia="仿宋" w:cs="仿宋"/>
                <w:color w:val="auto"/>
                <w:sz w:val="21"/>
                <w:szCs w:val="21"/>
                <w:highlight w:val="none"/>
              </w:rPr>
              <w:t>肉类、水果等}</w:t>
            </w:r>
            <w:r>
              <w:rPr>
                <w:rFonts w:hint="eastAsia" w:ascii="仿宋" w:hAnsi="仿宋" w:eastAsia="仿宋" w:cs="仿宋"/>
                <w:color w:val="auto"/>
                <w:sz w:val="21"/>
                <w:szCs w:val="21"/>
                <w:highlight w:val="none"/>
                <w:lang w:val="en-US" w:eastAsia="zh-CN"/>
              </w:rPr>
              <w:t>产品</w:t>
            </w:r>
            <w:r>
              <w:rPr>
                <w:rFonts w:hint="eastAsia" w:ascii="仿宋" w:hAnsi="仿宋" w:eastAsia="仿宋" w:cs="仿宋"/>
                <w:color w:val="auto"/>
                <w:sz w:val="21"/>
                <w:szCs w:val="21"/>
                <w:highlight w:val="none"/>
              </w:rPr>
              <w:t>近</w:t>
            </w:r>
            <w:r>
              <w:rPr>
                <w:rFonts w:hint="eastAsia" w:ascii="仿宋" w:hAnsi="仿宋" w:eastAsia="仿宋" w:cs="仿宋"/>
                <w:color w:val="auto"/>
                <w:sz w:val="21"/>
                <w:szCs w:val="21"/>
                <w:highlight w:val="none"/>
                <w:lang w:val="en-US" w:eastAsia="zh-CN"/>
              </w:rPr>
              <w:t>三个月</w:t>
            </w:r>
            <w:r>
              <w:rPr>
                <w:rFonts w:hint="eastAsia" w:ascii="仿宋" w:hAnsi="仿宋" w:eastAsia="仿宋" w:cs="仿宋"/>
                <w:color w:val="auto"/>
                <w:sz w:val="21"/>
                <w:szCs w:val="21"/>
                <w:highlight w:val="none"/>
              </w:rPr>
              <w:t>内质量</w:t>
            </w:r>
            <w:r>
              <w:rPr>
                <w:rFonts w:hint="eastAsia" w:ascii="仿宋" w:hAnsi="仿宋" w:eastAsia="仿宋" w:cs="仿宋"/>
                <w:color w:val="auto"/>
                <w:sz w:val="21"/>
                <w:szCs w:val="21"/>
                <w:highlight w:val="none"/>
                <w:lang w:val="en-US" w:eastAsia="zh-CN"/>
              </w:rPr>
              <w:t>和食品安全</w:t>
            </w:r>
            <w:r>
              <w:rPr>
                <w:rFonts w:hint="eastAsia" w:ascii="仿宋" w:hAnsi="仿宋" w:eastAsia="仿宋" w:cs="仿宋"/>
                <w:color w:val="auto"/>
                <w:sz w:val="21"/>
                <w:szCs w:val="21"/>
                <w:highlight w:val="none"/>
              </w:rPr>
              <w:t>检</w:t>
            </w:r>
            <w:r>
              <w:rPr>
                <w:rFonts w:hint="eastAsia" w:ascii="仿宋" w:hAnsi="仿宋" w:eastAsia="仿宋" w:cs="仿宋"/>
                <w:color w:val="auto"/>
                <w:sz w:val="21"/>
                <w:szCs w:val="21"/>
                <w:highlight w:val="none"/>
                <w:lang w:val="en-US" w:eastAsia="zh-CN"/>
              </w:rPr>
              <w:t>验</w:t>
            </w:r>
            <w:r>
              <w:rPr>
                <w:rFonts w:hint="eastAsia" w:ascii="仿宋" w:hAnsi="仿宋" w:eastAsia="仿宋" w:cs="仿宋"/>
                <w:color w:val="auto"/>
                <w:sz w:val="21"/>
                <w:szCs w:val="21"/>
                <w:highlight w:val="none"/>
              </w:rPr>
              <w:t>报告</w:t>
            </w:r>
            <w:r>
              <w:rPr>
                <w:rFonts w:hint="eastAsia" w:ascii="仿宋" w:hAnsi="仿宋" w:eastAsia="仿宋" w:cs="仿宋"/>
                <w:color w:val="auto"/>
                <w:sz w:val="21"/>
                <w:szCs w:val="21"/>
                <w:highlight w:val="none"/>
                <w:lang w:eastAsia="zh-CN"/>
              </w:rPr>
              <w:t>。</w:t>
            </w:r>
          </w:p>
          <w:p w14:paraId="07D1FBB5">
            <w:pPr>
              <w:pStyle w:val="305"/>
              <w:shd w:val="clear" w:color="auto" w:fill="auto"/>
              <w:wordWrap w:val="0"/>
              <w:ind w:firstLine="0" w:firstLineChars="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证明材料</w:t>
            </w:r>
            <w:r>
              <w:rPr>
                <w:rFonts w:hint="default" w:ascii="仿宋" w:hAnsi="仿宋" w:eastAsia="仿宋" w:cs="仿宋"/>
                <w:color w:val="auto"/>
                <w:sz w:val="21"/>
                <w:szCs w:val="21"/>
                <w:highlight w:val="none"/>
                <w:lang w:val="en-US" w:eastAsia="zh-CN"/>
              </w:rPr>
              <w:t>完全响应招标文件要求，证明材料齐全，产品质量能够得到充分证明</w:t>
            </w:r>
            <w:r>
              <w:rPr>
                <w:rFonts w:hint="eastAsia" w:ascii="仿宋" w:hAnsi="仿宋" w:eastAsia="仿宋" w:cs="仿宋"/>
                <w:color w:val="auto"/>
                <w:sz w:val="21"/>
                <w:szCs w:val="21"/>
                <w:highlight w:val="none"/>
                <w:lang w:val="en-US" w:eastAsia="zh-CN"/>
              </w:rPr>
              <w:t>得5</w:t>
            </w:r>
            <w:r>
              <w:rPr>
                <w:rFonts w:hint="default" w:ascii="仿宋" w:hAnsi="仿宋" w:eastAsia="仿宋" w:cs="仿宋"/>
                <w:color w:val="auto"/>
                <w:sz w:val="21"/>
                <w:szCs w:val="21"/>
                <w:highlight w:val="none"/>
                <w:lang w:val="en-US" w:eastAsia="zh-CN"/>
              </w:rPr>
              <w:t>分；</w:t>
            </w:r>
          </w:p>
          <w:p w14:paraId="6927A037">
            <w:pPr>
              <w:pStyle w:val="305"/>
              <w:shd w:val="clear" w:color="auto" w:fill="auto"/>
              <w:wordWrap w:val="0"/>
              <w:ind w:firstLine="0" w:firstLineChars="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证明材料满足</w:t>
            </w:r>
            <w:r>
              <w:rPr>
                <w:rFonts w:hint="default" w:ascii="仿宋" w:hAnsi="仿宋" w:eastAsia="仿宋" w:cs="仿宋"/>
                <w:color w:val="auto"/>
                <w:sz w:val="21"/>
                <w:szCs w:val="21"/>
                <w:highlight w:val="none"/>
                <w:lang w:val="en-US" w:eastAsia="zh-CN"/>
              </w:rPr>
              <w:t>招标文件要求，证明材料</w:t>
            </w:r>
            <w:r>
              <w:rPr>
                <w:rFonts w:hint="eastAsia" w:ascii="仿宋" w:hAnsi="仿宋" w:eastAsia="仿宋" w:cs="仿宋"/>
                <w:color w:val="auto"/>
                <w:sz w:val="21"/>
                <w:szCs w:val="21"/>
                <w:highlight w:val="none"/>
                <w:lang w:val="en-US" w:eastAsia="zh-CN"/>
              </w:rPr>
              <w:t>较</w:t>
            </w:r>
            <w:r>
              <w:rPr>
                <w:rFonts w:hint="default" w:ascii="仿宋" w:hAnsi="仿宋" w:eastAsia="仿宋" w:cs="仿宋"/>
                <w:color w:val="auto"/>
                <w:sz w:val="21"/>
                <w:szCs w:val="21"/>
                <w:highlight w:val="none"/>
                <w:lang w:val="en-US" w:eastAsia="zh-CN"/>
              </w:rPr>
              <w:t>齐全，产品质量能够得到</w:t>
            </w:r>
            <w:r>
              <w:rPr>
                <w:rFonts w:hint="eastAsia" w:ascii="仿宋" w:hAnsi="仿宋" w:eastAsia="仿宋" w:cs="仿宋"/>
                <w:color w:val="auto"/>
                <w:sz w:val="21"/>
                <w:szCs w:val="21"/>
                <w:highlight w:val="none"/>
                <w:lang w:val="en-US" w:eastAsia="zh-CN"/>
              </w:rPr>
              <w:t>保证得4</w:t>
            </w:r>
            <w:r>
              <w:rPr>
                <w:rFonts w:hint="default" w:ascii="仿宋" w:hAnsi="仿宋" w:eastAsia="仿宋" w:cs="仿宋"/>
                <w:color w:val="auto"/>
                <w:sz w:val="21"/>
                <w:szCs w:val="21"/>
                <w:highlight w:val="none"/>
                <w:lang w:val="en-US" w:eastAsia="zh-CN"/>
              </w:rPr>
              <w:t>分；</w:t>
            </w:r>
          </w:p>
          <w:p w14:paraId="17228798">
            <w:pPr>
              <w:pStyle w:val="305"/>
              <w:shd w:val="clear" w:color="auto" w:fill="auto"/>
              <w:wordWrap w:val="0"/>
              <w:ind w:firstLine="0" w:firstLineChars="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证明材料</w:t>
            </w:r>
            <w:r>
              <w:rPr>
                <w:rFonts w:hint="default" w:ascii="仿宋" w:hAnsi="仿宋" w:eastAsia="仿宋" w:cs="仿宋"/>
                <w:color w:val="auto"/>
                <w:sz w:val="21"/>
                <w:szCs w:val="21"/>
                <w:highlight w:val="none"/>
                <w:lang w:val="en-US" w:eastAsia="zh-CN"/>
              </w:rPr>
              <w:t>完全响应招标文件要求，证明材料</w:t>
            </w:r>
            <w:r>
              <w:rPr>
                <w:rFonts w:hint="eastAsia" w:ascii="仿宋" w:hAnsi="仿宋" w:eastAsia="仿宋" w:cs="仿宋"/>
                <w:color w:val="auto"/>
                <w:sz w:val="21"/>
                <w:szCs w:val="21"/>
                <w:highlight w:val="none"/>
                <w:lang w:val="en-US" w:eastAsia="zh-CN"/>
              </w:rPr>
              <w:t>相对</w:t>
            </w:r>
            <w:r>
              <w:rPr>
                <w:rFonts w:hint="default" w:ascii="仿宋" w:hAnsi="仿宋" w:eastAsia="仿宋" w:cs="仿宋"/>
                <w:color w:val="auto"/>
                <w:sz w:val="21"/>
                <w:szCs w:val="21"/>
                <w:highlight w:val="none"/>
                <w:lang w:val="en-US" w:eastAsia="zh-CN"/>
              </w:rPr>
              <w:t>齐全，产品质量</w:t>
            </w:r>
            <w:r>
              <w:rPr>
                <w:rFonts w:hint="eastAsia" w:ascii="仿宋" w:hAnsi="仿宋" w:eastAsia="仿宋" w:cs="仿宋"/>
                <w:color w:val="auto"/>
                <w:sz w:val="21"/>
                <w:szCs w:val="21"/>
                <w:highlight w:val="none"/>
                <w:lang w:val="en-US" w:eastAsia="zh-CN"/>
              </w:rPr>
              <w:t>基本</w:t>
            </w:r>
            <w:r>
              <w:rPr>
                <w:rFonts w:hint="default" w:ascii="仿宋" w:hAnsi="仿宋" w:eastAsia="仿宋" w:cs="仿宋"/>
                <w:color w:val="auto"/>
                <w:sz w:val="21"/>
                <w:szCs w:val="21"/>
                <w:highlight w:val="none"/>
                <w:lang w:val="en-US" w:eastAsia="zh-CN"/>
              </w:rPr>
              <w:t>能够得到</w:t>
            </w:r>
            <w:r>
              <w:rPr>
                <w:rFonts w:hint="eastAsia" w:ascii="仿宋" w:hAnsi="仿宋" w:eastAsia="仿宋" w:cs="仿宋"/>
                <w:color w:val="auto"/>
                <w:sz w:val="21"/>
                <w:szCs w:val="21"/>
                <w:highlight w:val="none"/>
                <w:lang w:val="en-US" w:eastAsia="zh-CN"/>
              </w:rPr>
              <w:t>保证得3</w:t>
            </w:r>
            <w:r>
              <w:rPr>
                <w:rFonts w:hint="default" w:ascii="仿宋" w:hAnsi="仿宋" w:eastAsia="仿宋" w:cs="仿宋"/>
                <w:color w:val="auto"/>
                <w:sz w:val="21"/>
                <w:szCs w:val="21"/>
                <w:highlight w:val="none"/>
                <w:lang w:val="en-US" w:eastAsia="zh-CN"/>
              </w:rPr>
              <w:t>分；</w:t>
            </w:r>
          </w:p>
          <w:p w14:paraId="66D64364">
            <w:pPr>
              <w:pStyle w:val="305"/>
              <w:shd w:val="clear" w:color="auto" w:fill="auto"/>
              <w:wordWrap w:val="0"/>
              <w:ind w:firstLine="0" w:firstLineChars="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证明材料部分</w:t>
            </w:r>
            <w:r>
              <w:rPr>
                <w:rFonts w:hint="default" w:ascii="仿宋" w:hAnsi="仿宋" w:eastAsia="仿宋" w:cs="仿宋"/>
                <w:color w:val="auto"/>
                <w:sz w:val="21"/>
                <w:szCs w:val="21"/>
                <w:highlight w:val="none"/>
                <w:lang w:val="en-US" w:eastAsia="zh-CN"/>
              </w:rPr>
              <w:t>满足招标文件要求，证明材料基本齐全，产品质量</w:t>
            </w:r>
            <w:r>
              <w:rPr>
                <w:rFonts w:hint="eastAsia" w:ascii="仿宋" w:hAnsi="仿宋" w:eastAsia="仿宋" w:cs="仿宋"/>
                <w:color w:val="auto"/>
                <w:sz w:val="21"/>
                <w:szCs w:val="21"/>
                <w:highlight w:val="none"/>
                <w:lang w:val="en-US" w:eastAsia="zh-CN"/>
              </w:rPr>
              <w:t>部分</w:t>
            </w:r>
            <w:r>
              <w:rPr>
                <w:rFonts w:hint="default" w:ascii="仿宋" w:hAnsi="仿宋" w:eastAsia="仿宋" w:cs="仿宋"/>
                <w:color w:val="auto"/>
                <w:sz w:val="21"/>
                <w:szCs w:val="21"/>
                <w:highlight w:val="none"/>
                <w:lang w:val="en-US" w:eastAsia="zh-CN"/>
              </w:rPr>
              <w:t>能够得到保证得</w:t>
            </w: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分；</w:t>
            </w:r>
          </w:p>
          <w:p w14:paraId="082A0119">
            <w:pPr>
              <w:pStyle w:val="305"/>
              <w:shd w:val="clear" w:color="auto" w:fill="auto"/>
              <w:wordWrap w:val="0"/>
              <w:ind w:firstLine="0" w:firstLineChars="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证明材料</w:t>
            </w:r>
            <w:r>
              <w:rPr>
                <w:rFonts w:hint="default" w:ascii="仿宋" w:hAnsi="仿宋" w:eastAsia="仿宋" w:cs="仿宋"/>
                <w:color w:val="auto"/>
                <w:sz w:val="21"/>
                <w:szCs w:val="21"/>
                <w:highlight w:val="none"/>
                <w:lang w:val="en-US" w:eastAsia="zh-CN"/>
              </w:rPr>
              <w:t>有缺漏，产品质量一般得</w:t>
            </w:r>
            <w:r>
              <w:rPr>
                <w:rFonts w:hint="eastAsia" w:ascii="仿宋" w:hAnsi="仿宋" w:eastAsia="仿宋" w:cs="仿宋"/>
                <w:color w:val="auto"/>
                <w:sz w:val="21"/>
                <w:szCs w:val="21"/>
                <w:highlight w:val="none"/>
                <w:lang w:val="en-US" w:eastAsia="zh-CN"/>
              </w:rPr>
              <w:t>1</w:t>
            </w:r>
            <w:r>
              <w:rPr>
                <w:rFonts w:hint="default" w:ascii="仿宋" w:hAnsi="仿宋" w:eastAsia="仿宋" w:cs="仿宋"/>
                <w:color w:val="auto"/>
                <w:sz w:val="21"/>
                <w:szCs w:val="21"/>
                <w:highlight w:val="none"/>
                <w:lang w:val="en-US" w:eastAsia="zh-CN"/>
              </w:rPr>
              <w:t>分，</w:t>
            </w:r>
          </w:p>
          <w:p w14:paraId="58B20EE2">
            <w:pPr>
              <w:pStyle w:val="305"/>
              <w:shd w:val="clear" w:color="auto" w:fill="auto"/>
              <w:wordWrap w:val="0"/>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未提供不得分。</w:t>
            </w:r>
          </w:p>
        </w:tc>
      </w:tr>
      <w:tr w14:paraId="559B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noWrap w:val="0"/>
            <w:vAlign w:val="center"/>
          </w:tcPr>
          <w:p w14:paraId="52B63A40">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615" w:type="pct"/>
            <w:noWrap w:val="0"/>
            <w:vAlign w:val="center"/>
          </w:tcPr>
          <w:p w14:paraId="43D91DDA">
            <w:pPr>
              <w:spacing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highlight w:val="none"/>
              </w:rPr>
              <w:t>质量控制方案</w:t>
            </w:r>
          </w:p>
        </w:tc>
        <w:tc>
          <w:tcPr>
            <w:tcW w:w="371" w:type="pct"/>
            <w:noWrap w:val="0"/>
            <w:vAlign w:val="center"/>
          </w:tcPr>
          <w:p w14:paraId="3AA9D89B">
            <w:pPr>
              <w:spacing w:line="36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8分</w:t>
            </w:r>
          </w:p>
        </w:tc>
        <w:tc>
          <w:tcPr>
            <w:tcW w:w="3651" w:type="pct"/>
            <w:noWrap w:val="0"/>
            <w:vAlign w:val="center"/>
          </w:tcPr>
          <w:p w14:paraId="41ADCE36">
            <w:pPr>
              <w:shd w:val="clear" w:color="auto" w:fill="auto"/>
              <w:wordWrap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对投标文件中的质量控制方案进行评分（</w:t>
            </w:r>
            <w:r>
              <w:rPr>
                <w:rFonts w:hint="eastAsia" w:ascii="仿宋" w:hAnsi="仿宋" w:eastAsia="仿宋" w:cs="仿宋"/>
                <w:color w:val="auto"/>
                <w:sz w:val="21"/>
                <w:szCs w:val="21"/>
                <w:highlight w:val="none"/>
                <w:lang w:val="en-US" w:eastAsia="zh-CN"/>
              </w:rPr>
              <w:t>包括①</w:t>
            </w:r>
            <w:r>
              <w:rPr>
                <w:rFonts w:hint="eastAsia" w:ascii="仿宋" w:hAnsi="仿宋" w:eastAsia="仿宋" w:cs="仿宋"/>
                <w:color w:val="auto"/>
                <w:sz w:val="21"/>
                <w:szCs w:val="21"/>
                <w:highlight w:val="none"/>
              </w:rPr>
              <w:t>原材料的来源</w:t>
            </w:r>
            <w:r>
              <w:rPr>
                <w:rFonts w:hint="eastAsia" w:ascii="仿宋" w:hAnsi="仿宋" w:eastAsia="仿宋" w:cs="仿宋"/>
                <w:color w:val="auto"/>
                <w:sz w:val="21"/>
                <w:szCs w:val="21"/>
                <w:highlight w:val="none"/>
                <w:lang w:val="en-US" w:eastAsia="zh-CN"/>
              </w:rPr>
              <w:t>②配送产品</w:t>
            </w:r>
            <w:r>
              <w:rPr>
                <w:rFonts w:hint="eastAsia" w:ascii="仿宋" w:hAnsi="仿宋" w:eastAsia="仿宋" w:cs="仿宋"/>
                <w:color w:val="auto"/>
                <w:sz w:val="21"/>
                <w:szCs w:val="21"/>
                <w:highlight w:val="none"/>
              </w:rPr>
              <w:t>质量控制方案、</w:t>
            </w: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sz w:val="21"/>
                <w:szCs w:val="21"/>
                <w:highlight w:val="none"/>
              </w:rPr>
              <w:t>运输途中质量控制方案、</w:t>
            </w:r>
            <w:r>
              <w:rPr>
                <w:rFonts w:hint="eastAsia" w:ascii="仿宋" w:hAnsi="仿宋" w:eastAsia="仿宋" w:cs="仿宋"/>
                <w:color w:val="auto"/>
                <w:sz w:val="21"/>
                <w:szCs w:val="21"/>
                <w:highlight w:val="none"/>
                <w:lang w:val="en-US" w:eastAsia="zh-CN"/>
              </w:rPr>
              <w:t>④</w:t>
            </w:r>
            <w:r>
              <w:rPr>
                <w:rFonts w:hint="eastAsia" w:ascii="仿宋" w:hAnsi="仿宋" w:eastAsia="仿宋" w:cs="仿宋"/>
                <w:color w:val="auto"/>
                <w:sz w:val="21"/>
                <w:szCs w:val="21"/>
                <w:highlight w:val="none"/>
              </w:rPr>
              <w:t>送达采购人指定地后的质量控制方案）</w:t>
            </w:r>
          </w:p>
          <w:p w14:paraId="645BFE8C">
            <w:pPr>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评审依据:每一项服务方案及包含内容全面、详细完全满足项目需求且有利于项目实施得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分，①</w:t>
            </w:r>
            <w:r>
              <w:rPr>
                <w:rFonts w:hint="eastAsia" w:ascii="仿宋" w:hAnsi="仿宋" w:eastAsia="仿宋" w:cs="仿宋"/>
                <w:color w:val="auto"/>
                <w:sz w:val="21"/>
                <w:szCs w:val="21"/>
                <w:highlight w:val="none"/>
                <w:lang w:val="en-US" w:eastAsia="zh-CN"/>
              </w:rPr>
              <w:t>-④</w:t>
            </w:r>
            <w:r>
              <w:rPr>
                <w:rFonts w:hint="eastAsia" w:ascii="仿宋" w:hAnsi="仿宋" w:eastAsia="仿宋" w:cs="仿宋"/>
                <w:color w:val="auto"/>
                <w:sz w:val="21"/>
                <w:szCs w:val="21"/>
                <w:highlight w:val="none"/>
                <w:lang w:val="zh-CN"/>
              </w:rPr>
              <w:t>项合计得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val="zh-CN"/>
              </w:rPr>
              <w:t>分。</w:t>
            </w:r>
          </w:p>
          <w:p w14:paraId="77F1773D">
            <w:pPr>
              <w:jc w:val="left"/>
              <w:rPr>
                <w:rFonts w:hint="eastAsia"/>
                <w:color w:val="auto"/>
                <w:highlight w:val="none"/>
                <w:lang w:val="zh-CN"/>
              </w:rPr>
            </w:pPr>
            <w:r>
              <w:rPr>
                <w:rFonts w:hint="eastAsia" w:ascii="仿宋" w:hAnsi="仿宋" w:eastAsia="仿宋" w:cs="仿宋"/>
                <w:color w:val="auto"/>
                <w:sz w:val="21"/>
                <w:szCs w:val="21"/>
                <w:highlight w:val="none"/>
                <w:lang w:val="zh-CN"/>
              </w:rPr>
              <w:t>方案①</w:t>
            </w:r>
            <w:r>
              <w:rPr>
                <w:rFonts w:hint="eastAsia" w:ascii="仿宋" w:hAnsi="仿宋" w:eastAsia="仿宋" w:cs="仿宋"/>
                <w:color w:val="auto"/>
                <w:sz w:val="21"/>
                <w:szCs w:val="21"/>
                <w:highlight w:val="none"/>
                <w:lang w:val="en-US" w:eastAsia="zh-CN"/>
              </w:rPr>
              <w:t>-④</w:t>
            </w:r>
            <w:r>
              <w:rPr>
                <w:rFonts w:hint="eastAsia" w:ascii="仿宋" w:hAnsi="仿宋" w:eastAsia="仿宋" w:cs="仿宋"/>
                <w:color w:val="auto"/>
                <w:sz w:val="21"/>
                <w:szCs w:val="21"/>
                <w:highlight w:val="none"/>
                <w:lang w:val="zh-CN"/>
              </w:rPr>
              <w:t>项每一项</w:t>
            </w:r>
            <w:r>
              <w:rPr>
                <w:rFonts w:hint="eastAsia" w:ascii="仿宋" w:hAnsi="仿宋" w:eastAsia="仿宋" w:cs="仿宋"/>
                <w:color w:val="auto"/>
                <w:sz w:val="21"/>
                <w:szCs w:val="21"/>
                <w:highlight w:val="none"/>
              </w:rPr>
              <w:t>单项方案内容不够完整、思路不够明晰合理、针对性相对差弱</w:t>
            </w:r>
            <w:r>
              <w:rPr>
                <w:rFonts w:hint="eastAsia" w:ascii="仿宋" w:hAnsi="仿宋" w:eastAsia="仿宋" w:cs="仿宋"/>
                <w:color w:val="auto"/>
                <w:sz w:val="21"/>
                <w:szCs w:val="21"/>
                <w:highlight w:val="none"/>
                <w:lang w:val="en-US" w:eastAsia="zh-CN"/>
              </w:rPr>
              <w:t>扣1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zh-CN"/>
              </w:rPr>
              <w:t>;</w:t>
            </w:r>
          </w:p>
          <w:p w14:paraId="523CAEFF">
            <w:pPr>
              <w:jc w:val="left"/>
              <w:rPr>
                <w:rFonts w:hint="eastAsia"/>
                <w:color w:val="auto"/>
                <w:highlight w:val="none"/>
                <w:lang w:val="zh-CN" w:eastAsia="zh-Hans"/>
              </w:rPr>
            </w:pPr>
            <w:r>
              <w:rPr>
                <w:rFonts w:hint="eastAsia" w:ascii="仿宋" w:hAnsi="仿宋" w:eastAsia="仿宋" w:cs="仿宋"/>
                <w:color w:val="auto"/>
                <w:sz w:val="21"/>
                <w:szCs w:val="21"/>
                <w:highlight w:val="none"/>
                <w:lang w:val="zh-CN"/>
              </w:rPr>
              <w:t>方案①</w:t>
            </w:r>
            <w:r>
              <w:rPr>
                <w:rFonts w:hint="eastAsia" w:ascii="仿宋" w:hAnsi="仿宋" w:eastAsia="仿宋" w:cs="仿宋"/>
                <w:color w:val="auto"/>
                <w:sz w:val="21"/>
                <w:szCs w:val="21"/>
                <w:highlight w:val="none"/>
                <w:lang w:val="en-US" w:eastAsia="zh-CN"/>
              </w:rPr>
              <w:t>-④</w:t>
            </w:r>
            <w:r>
              <w:rPr>
                <w:rFonts w:hint="eastAsia" w:ascii="仿宋" w:hAnsi="仿宋" w:eastAsia="仿宋" w:cs="仿宋"/>
                <w:color w:val="auto"/>
                <w:sz w:val="21"/>
                <w:szCs w:val="21"/>
                <w:highlight w:val="none"/>
                <w:lang w:val="zh-CN"/>
              </w:rPr>
              <w:t>项任意一项缺项扣</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分，扣完为止;</w:t>
            </w:r>
          </w:p>
          <w:p w14:paraId="77A4A1F1">
            <w:pPr>
              <w:pStyle w:val="305"/>
              <w:shd w:val="clear" w:color="auto" w:fill="auto"/>
              <w:wordWrap w:val="0"/>
              <w:ind w:firstLine="0" w:firstLineChars="0"/>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rPr>
              <w:t>未提供不得分。</w:t>
            </w:r>
          </w:p>
        </w:tc>
      </w:tr>
      <w:tr w14:paraId="5BA4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noWrap w:val="0"/>
            <w:vAlign w:val="center"/>
          </w:tcPr>
          <w:p w14:paraId="09DF2F17">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615" w:type="pct"/>
            <w:noWrap w:val="0"/>
            <w:vAlign w:val="center"/>
          </w:tcPr>
          <w:p w14:paraId="6EF00C92">
            <w:pPr>
              <w:spacing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营养搭配方案</w:t>
            </w:r>
          </w:p>
        </w:tc>
        <w:tc>
          <w:tcPr>
            <w:tcW w:w="371" w:type="pct"/>
            <w:noWrap w:val="0"/>
            <w:vAlign w:val="center"/>
          </w:tcPr>
          <w:p w14:paraId="68CB4D6D">
            <w:pPr>
              <w:spacing w:line="36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4分</w:t>
            </w:r>
          </w:p>
        </w:tc>
        <w:tc>
          <w:tcPr>
            <w:tcW w:w="3651" w:type="pct"/>
            <w:noWrap w:val="0"/>
            <w:vAlign w:val="center"/>
          </w:tcPr>
          <w:p w14:paraId="68A3577D">
            <w:pPr>
              <w:pStyle w:val="305"/>
              <w:shd w:val="clear" w:color="auto" w:fill="auto"/>
              <w:wordWrap w:val="0"/>
              <w:ind w:firstLine="0" w:firstLineChars="0"/>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针对本项目具有合理的营养</w:t>
            </w:r>
            <w:r>
              <w:rPr>
                <w:rFonts w:hint="eastAsia" w:ascii="仿宋" w:hAnsi="仿宋" w:eastAsia="仿宋" w:cs="仿宋"/>
                <w:bCs/>
                <w:color w:val="auto"/>
                <w:sz w:val="21"/>
                <w:szCs w:val="21"/>
                <w:highlight w:val="none"/>
                <w:lang w:val="en-US" w:eastAsia="zh-CN"/>
              </w:rPr>
              <w:t>搭配方案</w:t>
            </w:r>
            <w:r>
              <w:rPr>
                <w:rFonts w:hint="eastAsia" w:ascii="仿宋" w:hAnsi="仿宋" w:eastAsia="仿宋" w:cs="仿宋"/>
                <w:b w:val="0"/>
                <w:bCs w:val="0"/>
                <w:color w:val="auto"/>
                <w:sz w:val="21"/>
                <w:szCs w:val="21"/>
                <w:highlight w:val="none"/>
                <w:lang w:val="en-US" w:eastAsia="zh-CN"/>
              </w:rPr>
              <w:t>，食谱内容合理、营养均衡，食谱中的营养分析详细，且符合当地学生的饮食习惯。</w:t>
            </w:r>
          </w:p>
          <w:p w14:paraId="7CCB1DBE">
            <w:pPr>
              <w:pStyle w:val="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方案完善全面、合理可行、可操作性强的得4分；</w:t>
            </w:r>
          </w:p>
          <w:p w14:paraId="5AF05BB8">
            <w:pPr>
              <w:pStyle w:val="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方案较为完善全面、较合理，可操作性较强得3分；</w:t>
            </w:r>
          </w:p>
          <w:p w14:paraId="40DEAC30">
            <w:pPr>
              <w:pStyle w:val="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方案基本全面、具有一定的可操作性得2分；</w:t>
            </w:r>
          </w:p>
          <w:p w14:paraId="63E206F8">
            <w:pPr>
              <w:pStyle w:val="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方案简单，内容空泛、不具有可操作性得1分。</w:t>
            </w:r>
          </w:p>
          <w:p w14:paraId="7AEB198A">
            <w:pPr>
              <w:pStyle w:val="305"/>
              <w:shd w:val="clear" w:color="auto" w:fill="auto"/>
              <w:wordWrap w:val="0"/>
              <w:ind w:firstLine="0" w:firstLineChars="0"/>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rPr>
              <w:t>未提供不得分。</w:t>
            </w:r>
          </w:p>
        </w:tc>
      </w:tr>
      <w:tr w14:paraId="62D6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noWrap w:val="0"/>
            <w:vAlign w:val="center"/>
          </w:tcPr>
          <w:p w14:paraId="04F1DD81">
            <w:pPr>
              <w:shd w:val="clear" w:color="auto" w:fill="auto"/>
              <w:tabs>
                <w:tab w:val="left" w:pos="420"/>
                <w:tab w:val="center" w:pos="4153"/>
                <w:tab w:val="right" w:pos="8306"/>
              </w:tabs>
              <w:wordWrap w:val="0"/>
              <w:adjustRightIn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615" w:type="pct"/>
            <w:noWrap w:val="0"/>
            <w:vAlign w:val="center"/>
          </w:tcPr>
          <w:p w14:paraId="1E8ED2AE">
            <w:pPr>
              <w:shd w:val="clear" w:color="auto" w:fill="auto"/>
              <w:wordWrap w:val="0"/>
              <w:spacing w:line="24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管理制度</w:t>
            </w:r>
          </w:p>
        </w:tc>
        <w:tc>
          <w:tcPr>
            <w:tcW w:w="371" w:type="pct"/>
            <w:noWrap w:val="0"/>
            <w:vAlign w:val="center"/>
          </w:tcPr>
          <w:p w14:paraId="66EDECE2">
            <w:pPr>
              <w:shd w:val="clear" w:color="auto" w:fill="auto"/>
              <w:wordWrap w:val="0"/>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Cs/>
                <w:color w:val="auto"/>
                <w:sz w:val="21"/>
                <w:szCs w:val="21"/>
                <w:highlight w:val="none"/>
                <w:lang w:val="en-US" w:eastAsia="zh-CN"/>
              </w:rPr>
              <w:t>12分</w:t>
            </w:r>
          </w:p>
        </w:tc>
        <w:tc>
          <w:tcPr>
            <w:tcW w:w="3651" w:type="pct"/>
            <w:noWrap w:val="0"/>
            <w:vAlign w:val="top"/>
          </w:tcPr>
          <w:p w14:paraId="1C2E3408">
            <w:pPr>
              <w:shd w:val="clear" w:color="auto" w:fill="auto"/>
              <w:wordWrap w:val="0"/>
              <w:spacing w:line="240" w:lineRule="auto"/>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供应商和产品生产厂家具有良好的生产、经营管理制度，包括</w:t>
            </w:r>
            <w:r>
              <w:rPr>
                <w:rFonts w:hint="eastAsia" w:ascii="仿宋" w:hAnsi="仿宋" w:eastAsia="仿宋" w:cs="仿宋"/>
                <w:bCs/>
                <w:color w:val="auto"/>
                <w:sz w:val="21"/>
                <w:szCs w:val="21"/>
                <w:highlight w:val="none"/>
              </w:rPr>
              <w:t>①</w:t>
            </w:r>
            <w:r>
              <w:rPr>
                <w:rFonts w:hint="eastAsia" w:ascii="仿宋" w:hAnsi="仿宋" w:eastAsia="仿宋" w:cs="仿宋"/>
                <w:b w:val="0"/>
                <w:bCs/>
                <w:color w:val="auto"/>
                <w:sz w:val="21"/>
                <w:szCs w:val="21"/>
                <w:highlight w:val="none"/>
                <w:lang w:val="en-US" w:eastAsia="zh-CN"/>
              </w:rPr>
              <w:t>工作标准、</w:t>
            </w:r>
            <w:r>
              <w:rPr>
                <w:rFonts w:hint="eastAsia" w:ascii="仿宋" w:hAnsi="仿宋" w:eastAsia="仿宋" w:cs="仿宋"/>
                <w:bCs/>
                <w:color w:val="auto"/>
                <w:sz w:val="21"/>
                <w:szCs w:val="21"/>
                <w:highlight w:val="none"/>
              </w:rPr>
              <w:t>②</w:t>
            </w:r>
            <w:r>
              <w:rPr>
                <w:rFonts w:hint="eastAsia" w:ascii="仿宋" w:hAnsi="仿宋" w:eastAsia="仿宋" w:cs="仿宋"/>
                <w:b w:val="0"/>
                <w:bCs/>
                <w:color w:val="auto"/>
                <w:sz w:val="21"/>
                <w:szCs w:val="21"/>
                <w:highlight w:val="none"/>
                <w:lang w:val="en-US" w:eastAsia="zh-CN"/>
              </w:rPr>
              <w:t>操作规范、</w:t>
            </w:r>
            <w:r>
              <w:rPr>
                <w:rFonts w:hint="eastAsia" w:ascii="仿宋" w:hAnsi="仿宋" w:eastAsia="仿宋" w:cs="仿宋"/>
                <w:bCs/>
                <w:color w:val="auto"/>
                <w:sz w:val="21"/>
                <w:szCs w:val="21"/>
                <w:highlight w:val="none"/>
              </w:rPr>
              <w:t>③</w:t>
            </w:r>
            <w:r>
              <w:rPr>
                <w:rFonts w:hint="eastAsia" w:ascii="仿宋" w:hAnsi="仿宋" w:eastAsia="仿宋" w:cs="仿宋"/>
                <w:b w:val="0"/>
                <w:bCs/>
                <w:color w:val="auto"/>
                <w:sz w:val="21"/>
                <w:szCs w:val="21"/>
                <w:highlight w:val="none"/>
                <w:lang w:val="en-US" w:eastAsia="zh-CN"/>
              </w:rPr>
              <w:t>留样制度、</w:t>
            </w:r>
            <w:r>
              <w:rPr>
                <w:rFonts w:hint="eastAsia" w:ascii="仿宋" w:hAnsi="仿宋" w:eastAsia="仿宋" w:cs="仿宋"/>
                <w:bCs/>
                <w:color w:val="auto"/>
                <w:sz w:val="21"/>
                <w:szCs w:val="21"/>
                <w:highlight w:val="none"/>
                <w:lang w:eastAsia="zh-CN"/>
              </w:rPr>
              <w:t>④</w:t>
            </w:r>
            <w:r>
              <w:rPr>
                <w:rFonts w:hint="eastAsia" w:ascii="仿宋" w:hAnsi="仿宋" w:eastAsia="仿宋" w:cs="仿宋"/>
                <w:bCs/>
                <w:color w:val="auto"/>
                <w:sz w:val="21"/>
                <w:szCs w:val="21"/>
                <w:highlight w:val="none"/>
                <w:lang w:val="en-US" w:eastAsia="zh-CN"/>
              </w:rPr>
              <w:t>安全</w:t>
            </w:r>
            <w:r>
              <w:rPr>
                <w:rFonts w:hint="eastAsia" w:ascii="仿宋" w:hAnsi="仿宋" w:eastAsia="仿宋" w:cs="仿宋"/>
                <w:b w:val="0"/>
                <w:bCs/>
                <w:color w:val="auto"/>
                <w:sz w:val="21"/>
                <w:szCs w:val="21"/>
                <w:highlight w:val="none"/>
                <w:lang w:val="en-US" w:eastAsia="zh-CN"/>
              </w:rPr>
              <w:t>考核标准、⑤卫生管理、⑥台账管理等方面；</w:t>
            </w:r>
          </w:p>
          <w:p w14:paraId="00A4F6AB">
            <w:pPr>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评审依据:每一项服务方案及包含内容全面、详细完全满足项目需求且有利于项目实施得2分，①</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rPr>
              <w:t>⑥</w:t>
            </w:r>
            <w:r>
              <w:rPr>
                <w:rFonts w:hint="eastAsia" w:ascii="仿宋" w:hAnsi="仿宋" w:eastAsia="仿宋" w:cs="仿宋"/>
                <w:color w:val="auto"/>
                <w:sz w:val="21"/>
                <w:szCs w:val="21"/>
                <w:highlight w:val="none"/>
                <w:lang w:val="zh-CN"/>
              </w:rPr>
              <w:t>项合计得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lang w:val="zh-CN"/>
              </w:rPr>
              <w:t>分。</w:t>
            </w:r>
          </w:p>
          <w:p w14:paraId="0C6B5058">
            <w:pPr>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方案①</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rPr>
              <w:t>⑥</w:t>
            </w:r>
            <w:r>
              <w:rPr>
                <w:rFonts w:hint="eastAsia" w:ascii="仿宋" w:hAnsi="仿宋" w:eastAsia="仿宋" w:cs="仿宋"/>
                <w:color w:val="auto"/>
                <w:sz w:val="21"/>
                <w:szCs w:val="21"/>
                <w:highlight w:val="none"/>
                <w:lang w:val="zh-CN"/>
              </w:rPr>
              <w:t>项任意一项缺项扣</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分，扣完为止;</w:t>
            </w:r>
          </w:p>
          <w:p w14:paraId="7529A0E8">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方案①</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rPr>
              <w:t>⑥</w:t>
            </w:r>
            <w:r>
              <w:rPr>
                <w:rFonts w:hint="eastAsia" w:ascii="仿宋" w:hAnsi="仿宋" w:eastAsia="仿宋" w:cs="仿宋"/>
                <w:color w:val="auto"/>
                <w:sz w:val="21"/>
                <w:szCs w:val="21"/>
                <w:highlight w:val="none"/>
                <w:lang w:val="zh-CN"/>
              </w:rPr>
              <w:t>项每一项包含内容有缺陷的扣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分，本项扣完为止。(缺陷是指:内容不详细具体、条理不清晰、描述过于简单、与项目特点不匹配、凭空编造、逻辑漏洞、常识性错误、不可能实现的夸大情形、存在不适用项目实际情况的情形等)</w:t>
            </w:r>
          </w:p>
          <w:p w14:paraId="5F73533F">
            <w:pPr>
              <w:shd w:val="clear" w:color="auto" w:fill="auto"/>
              <w:wordWrap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未提供不得分。</w:t>
            </w:r>
          </w:p>
        </w:tc>
      </w:tr>
      <w:tr w14:paraId="0D55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noWrap w:val="0"/>
            <w:vAlign w:val="center"/>
          </w:tcPr>
          <w:p w14:paraId="7C6B52E2">
            <w:pPr>
              <w:shd w:val="clear" w:color="auto" w:fill="auto"/>
              <w:tabs>
                <w:tab w:val="left" w:pos="420"/>
                <w:tab w:val="center" w:pos="4153"/>
                <w:tab w:val="right" w:pos="8306"/>
              </w:tabs>
              <w:wordWrap w:val="0"/>
              <w:adjustRightInd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615" w:type="pct"/>
            <w:noWrap w:val="0"/>
            <w:vAlign w:val="center"/>
          </w:tcPr>
          <w:p w14:paraId="4A800180">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配送方案</w:t>
            </w:r>
          </w:p>
        </w:tc>
        <w:tc>
          <w:tcPr>
            <w:tcW w:w="371" w:type="pct"/>
            <w:noWrap w:val="0"/>
            <w:vAlign w:val="center"/>
          </w:tcPr>
          <w:p w14:paraId="61E468F7">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分</w:t>
            </w:r>
          </w:p>
        </w:tc>
        <w:tc>
          <w:tcPr>
            <w:tcW w:w="3651" w:type="pct"/>
            <w:noWrap w:val="0"/>
            <w:vAlign w:val="center"/>
          </w:tcPr>
          <w:p w14:paraId="0803A327">
            <w:pPr>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供应商提供</w:t>
            </w:r>
            <w:r>
              <w:rPr>
                <w:rFonts w:hint="eastAsia" w:ascii="仿宋" w:hAnsi="仿宋" w:eastAsia="仿宋" w:cs="仿宋"/>
                <w:bCs/>
                <w:color w:val="auto"/>
                <w:sz w:val="21"/>
                <w:szCs w:val="21"/>
                <w:highlight w:val="none"/>
              </w:rPr>
              <w:t>配送方案</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包括</w:t>
            </w:r>
            <w:r>
              <w:rPr>
                <w:rFonts w:hint="eastAsia" w:ascii="仿宋" w:hAnsi="仿宋" w:eastAsia="仿宋" w:cs="仿宋"/>
                <w:bCs/>
                <w:color w:val="auto"/>
                <w:sz w:val="21"/>
                <w:szCs w:val="21"/>
                <w:highlight w:val="none"/>
              </w:rPr>
              <w:t>①合理的配送方案、②配送路线、③</w:t>
            </w:r>
            <w:r>
              <w:rPr>
                <w:rFonts w:hint="eastAsia" w:ascii="仿宋" w:hAnsi="仿宋" w:eastAsia="仿宋" w:cs="仿宋"/>
                <w:bCs/>
                <w:color w:val="auto"/>
                <w:sz w:val="21"/>
                <w:szCs w:val="21"/>
                <w:highlight w:val="none"/>
                <w:lang w:val="en-US" w:eastAsia="zh-CN"/>
              </w:rPr>
              <w:t>交货方案</w:t>
            </w:r>
            <w:r>
              <w:rPr>
                <w:rFonts w:hint="eastAsia" w:ascii="仿宋" w:hAnsi="仿宋" w:eastAsia="仿宋" w:cs="仿宋"/>
                <w:bCs/>
                <w:color w:val="auto"/>
                <w:sz w:val="21"/>
                <w:szCs w:val="21"/>
                <w:highlight w:val="none"/>
              </w:rPr>
              <w:t>等内容。</w:t>
            </w:r>
          </w:p>
          <w:p w14:paraId="382DE9D6">
            <w:pPr>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评审依据:每一项服务方案及包含内容全面、详细完全满足项目需求且有利于项目实施得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分，①</w:t>
            </w: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③</w:t>
            </w:r>
            <w:r>
              <w:rPr>
                <w:rFonts w:hint="eastAsia" w:ascii="仿宋" w:hAnsi="仿宋" w:eastAsia="仿宋" w:cs="仿宋"/>
                <w:color w:val="auto"/>
                <w:sz w:val="21"/>
                <w:szCs w:val="21"/>
                <w:highlight w:val="none"/>
                <w:lang w:val="zh-CN"/>
              </w:rPr>
              <w:t>项合计得</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val="zh-CN"/>
              </w:rPr>
              <w:t>分。</w:t>
            </w:r>
          </w:p>
          <w:p w14:paraId="5A9B146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zh-CN" w:eastAsia="zh-CN"/>
              </w:rPr>
              <w:t>方案</w:t>
            </w:r>
            <w:r>
              <w:rPr>
                <w:rFonts w:hint="eastAsia" w:ascii="仿宋" w:hAnsi="仿宋" w:eastAsia="仿宋" w:cs="仿宋"/>
                <w:color w:val="auto"/>
                <w:sz w:val="21"/>
                <w:szCs w:val="21"/>
                <w:highlight w:val="none"/>
                <w:lang w:val="zh-CN"/>
              </w:rPr>
              <w:t>①</w:t>
            </w: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③</w:t>
            </w:r>
            <w:r>
              <w:rPr>
                <w:rFonts w:hint="eastAsia" w:ascii="仿宋" w:hAnsi="仿宋" w:eastAsia="仿宋" w:cs="仿宋"/>
                <w:bCs/>
                <w:color w:val="auto"/>
                <w:sz w:val="21"/>
                <w:szCs w:val="21"/>
                <w:highlight w:val="none"/>
                <w:lang w:val="zh-CN" w:eastAsia="zh-CN"/>
              </w:rPr>
              <w:t>项任意一项缺项扣</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val="zh-CN" w:eastAsia="zh-CN"/>
              </w:rPr>
              <w:t>分，扣完为止;</w:t>
            </w:r>
          </w:p>
          <w:p w14:paraId="7388E22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zh-CN" w:eastAsia="zh-CN"/>
              </w:rPr>
              <w:t>方案</w:t>
            </w:r>
            <w:r>
              <w:rPr>
                <w:rFonts w:hint="eastAsia" w:ascii="仿宋" w:hAnsi="仿宋" w:eastAsia="仿宋" w:cs="仿宋"/>
                <w:color w:val="auto"/>
                <w:sz w:val="21"/>
                <w:szCs w:val="21"/>
                <w:highlight w:val="none"/>
                <w:lang w:val="zh-CN"/>
              </w:rPr>
              <w:t>①</w:t>
            </w: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③</w:t>
            </w:r>
            <w:r>
              <w:rPr>
                <w:rFonts w:hint="eastAsia" w:ascii="仿宋" w:hAnsi="仿宋" w:eastAsia="仿宋" w:cs="仿宋"/>
                <w:bCs/>
                <w:color w:val="auto"/>
                <w:sz w:val="21"/>
                <w:szCs w:val="21"/>
                <w:highlight w:val="none"/>
                <w:lang w:val="zh-CN" w:eastAsia="zh-CN"/>
              </w:rPr>
              <w:t>项每一项描述简短且不够全面完善的，每有一项扣2分</w:t>
            </w:r>
          </w:p>
          <w:p w14:paraId="62B6421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zh-CN" w:eastAsia="zh-CN"/>
              </w:rPr>
              <w:t>方案</w:t>
            </w:r>
            <w:r>
              <w:rPr>
                <w:rFonts w:hint="eastAsia" w:ascii="仿宋" w:hAnsi="仿宋" w:eastAsia="仿宋" w:cs="仿宋"/>
                <w:color w:val="auto"/>
                <w:sz w:val="21"/>
                <w:szCs w:val="21"/>
                <w:highlight w:val="none"/>
                <w:lang w:val="zh-CN"/>
              </w:rPr>
              <w:t>①</w:t>
            </w: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③</w:t>
            </w:r>
            <w:r>
              <w:rPr>
                <w:rFonts w:hint="eastAsia" w:ascii="仿宋" w:hAnsi="仿宋" w:eastAsia="仿宋" w:cs="仿宋"/>
                <w:bCs/>
                <w:color w:val="auto"/>
                <w:sz w:val="21"/>
                <w:szCs w:val="21"/>
                <w:highlight w:val="none"/>
                <w:lang w:val="zh-CN" w:eastAsia="zh-CN"/>
              </w:rPr>
              <w:t>项每一项仅有描述但不全面的，每有一项扣1分；</w:t>
            </w:r>
          </w:p>
          <w:p w14:paraId="16BB3E99">
            <w:pPr>
              <w:pStyle w:val="305"/>
              <w:shd w:val="clear" w:color="auto" w:fill="auto"/>
              <w:wordWrap w:val="0"/>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未提供不得分。</w:t>
            </w:r>
          </w:p>
        </w:tc>
      </w:tr>
      <w:tr w14:paraId="0D85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noWrap w:val="0"/>
            <w:vAlign w:val="center"/>
          </w:tcPr>
          <w:p w14:paraId="6161C191">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6</w:t>
            </w:r>
          </w:p>
        </w:tc>
        <w:tc>
          <w:tcPr>
            <w:tcW w:w="615" w:type="pct"/>
            <w:noWrap w:val="0"/>
            <w:vAlign w:val="center"/>
          </w:tcPr>
          <w:p w14:paraId="10D7D2B7">
            <w:pPr>
              <w:shd w:val="clear" w:color="auto" w:fill="auto"/>
              <w:wordWrap w:val="0"/>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配送车辆</w:t>
            </w:r>
          </w:p>
        </w:tc>
        <w:tc>
          <w:tcPr>
            <w:tcW w:w="371" w:type="pct"/>
            <w:noWrap w:val="0"/>
            <w:vAlign w:val="center"/>
          </w:tcPr>
          <w:p w14:paraId="3368C932">
            <w:pPr>
              <w:shd w:val="clear" w:color="auto" w:fill="auto"/>
              <w:wordWrap w:val="0"/>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3分</w:t>
            </w:r>
          </w:p>
        </w:tc>
        <w:tc>
          <w:tcPr>
            <w:tcW w:w="3651" w:type="pct"/>
            <w:noWrap w:val="0"/>
            <w:vAlign w:val="center"/>
          </w:tcPr>
          <w:p w14:paraId="5E24EDEA">
            <w:pPr>
              <w:spacing w:line="288"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供应商具有</w:t>
            </w:r>
            <w:r>
              <w:rPr>
                <w:rFonts w:hint="eastAsia" w:ascii="仿宋" w:hAnsi="仿宋" w:eastAsia="仿宋" w:cs="仿宋"/>
                <w:color w:val="auto"/>
                <w:sz w:val="21"/>
                <w:szCs w:val="21"/>
                <w:highlight w:val="none"/>
              </w:rPr>
              <w:t>符合食品安全运输标准的专用运输车辆（保温箱及保温车）等具备冷链运输条件相关配送设备。</w:t>
            </w:r>
          </w:p>
          <w:p w14:paraId="48F397C3">
            <w:pPr>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每具有一辆配送车辆得1分，本项满分为</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分。</w:t>
            </w:r>
          </w:p>
          <w:p w14:paraId="2F17DBA7">
            <w:pPr>
              <w:spacing w:line="288" w:lineRule="auto"/>
              <w:rPr>
                <w:color w:val="auto"/>
                <w:highlight w:val="none"/>
              </w:rPr>
            </w:pPr>
            <w:r>
              <w:rPr>
                <w:rFonts w:hint="eastAsia" w:ascii="仿宋" w:hAnsi="仿宋" w:eastAsia="仿宋" w:cs="仿宋"/>
                <w:b w:val="0"/>
                <w:bCs w:val="0"/>
                <w:color w:val="auto"/>
                <w:sz w:val="21"/>
                <w:szCs w:val="21"/>
                <w:highlight w:val="none"/>
              </w:rPr>
              <w:t>注：企业自有的运输配送车辆需提供车辆行驶证</w:t>
            </w:r>
            <w:r>
              <w:rPr>
                <w:rFonts w:hint="eastAsia" w:ascii="仿宋" w:hAnsi="仿宋" w:eastAsia="仿宋" w:cs="仿宋"/>
                <w:b w:val="0"/>
                <w:bCs w:val="0"/>
                <w:color w:val="auto"/>
                <w:sz w:val="21"/>
                <w:szCs w:val="21"/>
                <w:highlight w:val="none"/>
                <w:lang w:val="en-US" w:eastAsia="zh-CN"/>
              </w:rPr>
              <w:t>等证明材料</w:t>
            </w:r>
            <w:r>
              <w:rPr>
                <w:rFonts w:hint="eastAsia" w:ascii="仿宋" w:hAnsi="仿宋" w:eastAsia="仿宋" w:cs="仿宋"/>
                <w:b w:val="0"/>
                <w:bCs w:val="0"/>
                <w:color w:val="auto"/>
                <w:sz w:val="21"/>
                <w:szCs w:val="21"/>
                <w:highlight w:val="none"/>
              </w:rPr>
              <w:t>；租赁车辆需提供车辆租赁合同</w:t>
            </w:r>
            <w:r>
              <w:rPr>
                <w:rFonts w:hint="eastAsia" w:ascii="仿宋" w:hAnsi="仿宋" w:eastAsia="仿宋" w:cs="仿宋"/>
                <w:b w:val="0"/>
                <w:bCs w:val="0"/>
                <w:color w:val="auto"/>
                <w:sz w:val="21"/>
                <w:szCs w:val="21"/>
                <w:highlight w:val="none"/>
                <w:lang w:val="en-US" w:eastAsia="zh-CN"/>
              </w:rPr>
              <w:t>及</w:t>
            </w:r>
            <w:r>
              <w:rPr>
                <w:rFonts w:hint="eastAsia" w:ascii="仿宋" w:hAnsi="仿宋" w:eastAsia="仿宋" w:cs="仿宋"/>
                <w:b w:val="0"/>
                <w:bCs w:val="0"/>
                <w:color w:val="auto"/>
                <w:sz w:val="21"/>
                <w:szCs w:val="21"/>
                <w:highlight w:val="none"/>
              </w:rPr>
              <w:t>车辆行驶证等相关证明文件。</w:t>
            </w:r>
          </w:p>
          <w:p w14:paraId="491BCE4F">
            <w:pPr>
              <w:shd w:val="clear" w:color="auto" w:fill="auto"/>
              <w:wordWrap/>
              <w:spacing w:line="288" w:lineRule="auto"/>
              <w:jc w:val="left"/>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rPr>
              <w:t>未提供不得分。</w:t>
            </w:r>
          </w:p>
        </w:tc>
      </w:tr>
      <w:tr w14:paraId="328C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2" w:type="pct"/>
            <w:noWrap w:val="0"/>
            <w:vAlign w:val="center"/>
          </w:tcPr>
          <w:p w14:paraId="1A15C6A8">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615" w:type="pct"/>
            <w:noWrap w:val="0"/>
            <w:vAlign w:val="center"/>
          </w:tcPr>
          <w:p w14:paraId="5C4E1580">
            <w:pPr>
              <w:shd w:val="clear" w:color="auto" w:fill="auto"/>
              <w:wordWrap w:val="0"/>
              <w:spacing w:line="24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zh-CN"/>
              </w:rPr>
              <w:t>食品安全及储存</w:t>
            </w:r>
            <w:r>
              <w:rPr>
                <w:rFonts w:hint="eastAsia" w:ascii="仿宋" w:hAnsi="仿宋" w:eastAsia="仿宋" w:cs="仿宋"/>
                <w:bCs/>
                <w:color w:val="auto"/>
                <w:sz w:val="21"/>
                <w:szCs w:val="21"/>
                <w:highlight w:val="none"/>
                <w:lang w:val="en-US" w:eastAsia="zh-CN"/>
              </w:rPr>
              <w:t>条件</w:t>
            </w:r>
          </w:p>
        </w:tc>
        <w:tc>
          <w:tcPr>
            <w:tcW w:w="371" w:type="pct"/>
            <w:noWrap w:val="0"/>
            <w:vAlign w:val="center"/>
          </w:tcPr>
          <w:p w14:paraId="63FCA20C">
            <w:pPr>
              <w:shd w:val="clear" w:color="auto" w:fill="auto"/>
              <w:wordWrap w:val="0"/>
              <w:spacing w:line="24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6分</w:t>
            </w:r>
          </w:p>
        </w:tc>
        <w:tc>
          <w:tcPr>
            <w:tcW w:w="3651" w:type="pct"/>
            <w:noWrap w:val="0"/>
            <w:vAlign w:val="center"/>
          </w:tcPr>
          <w:p w14:paraId="0D4ABE63">
            <w:pPr>
              <w:keepNext w:val="0"/>
              <w:keepLines w:val="0"/>
              <w:pageBreakBefore w:val="0"/>
              <w:shd w:val="clear" w:color="auto" w:fill="auto"/>
              <w:kinsoku/>
              <w:wordWrap w:val="0"/>
              <w:overflowPunct/>
              <w:topLinePunct w:val="0"/>
              <w:autoSpaceDE/>
              <w:autoSpaceDN/>
              <w:bidi w:val="0"/>
              <w:spacing w:line="240" w:lineRule="auto"/>
              <w:jc w:val="left"/>
              <w:textAlignment w:val="auto"/>
              <w:rPr>
                <w:rFonts w:hint="eastAsia" w:ascii="仿宋" w:hAnsi="仿宋" w:eastAsia="仿宋" w:cs="仿宋"/>
                <w:b w:val="0"/>
                <w:bCs/>
                <w:color w:val="auto"/>
                <w:sz w:val="21"/>
                <w:szCs w:val="21"/>
                <w:highlight w:val="none"/>
                <w:lang w:val="zh-CN" w:eastAsia="zh-CN"/>
              </w:rPr>
            </w:pPr>
            <w:r>
              <w:rPr>
                <w:rFonts w:hint="eastAsia" w:ascii="仿宋" w:hAnsi="仿宋" w:eastAsia="仿宋" w:cs="仿宋"/>
                <w:b w:val="0"/>
                <w:bCs/>
                <w:color w:val="auto"/>
                <w:sz w:val="21"/>
                <w:szCs w:val="21"/>
                <w:highlight w:val="none"/>
                <w:lang w:val="zh-CN" w:eastAsia="zh-CN"/>
              </w:rPr>
              <w:t>供应商具有可靠的产品储藏、保鲜体系和储存场所，空间能够保证空气良好的流通性、适宜的储藏的温度等，要定期检查维护，提供相关证明文件（包括租赁合同或购房合同、</w:t>
            </w:r>
            <w:r>
              <w:rPr>
                <w:rFonts w:hint="eastAsia" w:ascii="仿宋" w:hAnsi="仿宋" w:eastAsia="仿宋" w:cs="仿宋"/>
                <w:b w:val="0"/>
                <w:bCs/>
                <w:color w:val="auto"/>
                <w:sz w:val="21"/>
                <w:szCs w:val="21"/>
                <w:highlight w:val="none"/>
                <w:lang w:val="en-US" w:eastAsia="zh-CN"/>
              </w:rPr>
              <w:t>储存</w:t>
            </w:r>
            <w:r>
              <w:rPr>
                <w:rFonts w:hint="eastAsia" w:ascii="仿宋" w:hAnsi="仿宋" w:eastAsia="仿宋" w:cs="仿宋"/>
                <w:b w:val="0"/>
                <w:bCs/>
                <w:color w:val="auto"/>
                <w:sz w:val="21"/>
                <w:szCs w:val="21"/>
                <w:highlight w:val="none"/>
                <w:lang w:val="zh-CN" w:eastAsia="zh-CN"/>
              </w:rPr>
              <w:t>场所照片</w:t>
            </w:r>
            <w:r>
              <w:rPr>
                <w:rFonts w:hint="eastAsia" w:ascii="仿宋" w:hAnsi="仿宋" w:eastAsia="仿宋" w:cs="仿宋"/>
                <w:b w:val="0"/>
                <w:bCs/>
                <w:color w:val="auto"/>
                <w:sz w:val="21"/>
                <w:szCs w:val="21"/>
                <w:highlight w:val="none"/>
                <w:lang w:val="en-US" w:eastAsia="zh-CN"/>
              </w:rPr>
              <w:t>及相应储存</w:t>
            </w:r>
            <w:r>
              <w:rPr>
                <w:rFonts w:hint="eastAsia" w:ascii="仿宋" w:hAnsi="仿宋" w:eastAsia="仿宋" w:cs="仿宋"/>
                <w:b w:val="0"/>
                <w:bCs/>
                <w:color w:val="auto"/>
                <w:sz w:val="21"/>
                <w:szCs w:val="21"/>
                <w:highlight w:val="none"/>
                <w:lang w:val="zh-CN" w:eastAsia="zh-CN"/>
              </w:rPr>
              <w:t>设备</w:t>
            </w:r>
            <w:r>
              <w:rPr>
                <w:rFonts w:hint="eastAsia" w:ascii="仿宋" w:hAnsi="仿宋" w:eastAsia="仿宋" w:cs="仿宋"/>
                <w:b w:val="0"/>
                <w:bCs/>
                <w:color w:val="auto"/>
                <w:sz w:val="21"/>
                <w:szCs w:val="21"/>
                <w:highlight w:val="none"/>
                <w:lang w:val="en-US" w:eastAsia="zh-CN"/>
              </w:rPr>
              <w:t>购置发票或现场实地设备照片</w:t>
            </w:r>
            <w:r>
              <w:rPr>
                <w:rFonts w:hint="eastAsia" w:ascii="仿宋" w:hAnsi="仿宋" w:eastAsia="仿宋" w:cs="仿宋"/>
                <w:b w:val="0"/>
                <w:bCs/>
                <w:color w:val="auto"/>
                <w:sz w:val="21"/>
                <w:szCs w:val="21"/>
                <w:highlight w:val="none"/>
                <w:lang w:val="zh-CN" w:eastAsia="zh-CN"/>
              </w:rPr>
              <w:t>等）：</w:t>
            </w:r>
          </w:p>
          <w:p w14:paraId="5FD5E490">
            <w:pPr>
              <w:keepNext w:val="0"/>
              <w:keepLines w:val="0"/>
              <w:pageBreakBefore w:val="0"/>
              <w:shd w:val="clear" w:color="auto" w:fill="auto"/>
              <w:kinsoku/>
              <w:wordWrap w:val="0"/>
              <w:overflowPunct/>
              <w:topLinePunct w:val="0"/>
              <w:autoSpaceDE/>
              <w:autoSpaceDN/>
              <w:bidi w:val="0"/>
              <w:spacing w:line="240" w:lineRule="auto"/>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储存条件正规、可靠，证明材料齐全得6分；</w:t>
            </w:r>
          </w:p>
          <w:p w14:paraId="55046221">
            <w:pPr>
              <w:keepNext w:val="0"/>
              <w:keepLines w:val="0"/>
              <w:pageBreakBefore w:val="0"/>
              <w:shd w:val="clear" w:color="auto" w:fill="auto"/>
              <w:kinsoku/>
              <w:wordWrap w:val="0"/>
              <w:overflowPunct/>
              <w:topLinePunct w:val="0"/>
              <w:autoSpaceDE/>
              <w:autoSpaceDN/>
              <w:bidi w:val="0"/>
              <w:spacing w:line="240" w:lineRule="auto"/>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储存条件比较正规、可靠，</w:t>
            </w:r>
            <w:r>
              <w:rPr>
                <w:rFonts w:hint="default"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lang w:val="en-US" w:eastAsia="zh-CN"/>
              </w:rPr>
              <w:t>较</w:t>
            </w:r>
            <w:r>
              <w:rPr>
                <w:rFonts w:hint="default" w:ascii="仿宋" w:hAnsi="仿宋" w:eastAsia="仿宋" w:cs="仿宋"/>
                <w:color w:val="auto"/>
                <w:sz w:val="21"/>
                <w:szCs w:val="21"/>
                <w:highlight w:val="none"/>
                <w:lang w:val="en-US" w:eastAsia="zh-CN"/>
              </w:rPr>
              <w:t>齐全</w:t>
            </w:r>
            <w:r>
              <w:rPr>
                <w:rFonts w:hint="eastAsia" w:ascii="仿宋" w:hAnsi="仿宋" w:eastAsia="仿宋" w:cs="仿宋"/>
                <w:b w:val="0"/>
                <w:bCs/>
                <w:color w:val="auto"/>
                <w:sz w:val="21"/>
                <w:szCs w:val="21"/>
                <w:highlight w:val="none"/>
                <w:lang w:val="en-US" w:eastAsia="zh-CN"/>
              </w:rPr>
              <w:t>得5分；</w:t>
            </w:r>
          </w:p>
          <w:p w14:paraId="71C1108F">
            <w:pPr>
              <w:keepNext w:val="0"/>
              <w:keepLines w:val="0"/>
              <w:pageBreakBefore w:val="0"/>
              <w:shd w:val="clear" w:color="auto" w:fill="auto"/>
              <w:kinsoku/>
              <w:wordWrap w:val="0"/>
              <w:overflowPunct/>
              <w:topLinePunct w:val="0"/>
              <w:autoSpaceDE/>
              <w:autoSpaceDN/>
              <w:bidi w:val="0"/>
              <w:spacing w:line="240" w:lineRule="auto"/>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储存条件相对正规、可靠，</w:t>
            </w:r>
            <w:r>
              <w:rPr>
                <w:rFonts w:hint="default"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lang w:val="en-US" w:eastAsia="zh-CN"/>
              </w:rPr>
              <w:t>相对</w:t>
            </w:r>
            <w:r>
              <w:rPr>
                <w:rFonts w:hint="default" w:ascii="仿宋" w:hAnsi="仿宋" w:eastAsia="仿宋" w:cs="仿宋"/>
                <w:color w:val="auto"/>
                <w:sz w:val="21"/>
                <w:szCs w:val="21"/>
                <w:highlight w:val="none"/>
                <w:lang w:val="en-US" w:eastAsia="zh-CN"/>
              </w:rPr>
              <w:t>齐全</w:t>
            </w:r>
            <w:r>
              <w:rPr>
                <w:rFonts w:hint="eastAsia" w:ascii="仿宋" w:hAnsi="仿宋" w:eastAsia="仿宋" w:cs="仿宋"/>
                <w:b w:val="0"/>
                <w:bCs/>
                <w:color w:val="auto"/>
                <w:sz w:val="21"/>
                <w:szCs w:val="21"/>
                <w:highlight w:val="none"/>
                <w:lang w:val="en-US" w:eastAsia="zh-CN"/>
              </w:rPr>
              <w:t>得4分；</w:t>
            </w:r>
          </w:p>
          <w:p w14:paraId="68CE4FAA">
            <w:pPr>
              <w:keepNext w:val="0"/>
              <w:keepLines w:val="0"/>
              <w:pageBreakBefore w:val="0"/>
              <w:shd w:val="clear" w:color="auto" w:fill="auto"/>
              <w:kinsoku/>
              <w:wordWrap w:val="0"/>
              <w:overflowPunct/>
              <w:topLinePunct w:val="0"/>
              <w:autoSpaceDE/>
              <w:autoSpaceDN/>
              <w:bidi w:val="0"/>
              <w:spacing w:line="240" w:lineRule="auto"/>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储存条件基本正规，</w:t>
            </w:r>
            <w:r>
              <w:rPr>
                <w:rFonts w:hint="default"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lang w:val="en-US" w:eastAsia="zh-CN"/>
              </w:rPr>
              <w:t>基本</w:t>
            </w:r>
            <w:r>
              <w:rPr>
                <w:rFonts w:hint="default" w:ascii="仿宋" w:hAnsi="仿宋" w:eastAsia="仿宋" w:cs="仿宋"/>
                <w:color w:val="auto"/>
                <w:sz w:val="21"/>
                <w:szCs w:val="21"/>
                <w:highlight w:val="none"/>
                <w:lang w:val="en-US" w:eastAsia="zh-CN"/>
              </w:rPr>
              <w:t>齐全</w:t>
            </w:r>
            <w:r>
              <w:rPr>
                <w:rFonts w:hint="eastAsia" w:ascii="仿宋" w:hAnsi="仿宋" w:eastAsia="仿宋" w:cs="仿宋"/>
                <w:b w:val="0"/>
                <w:bCs/>
                <w:color w:val="auto"/>
                <w:sz w:val="21"/>
                <w:szCs w:val="21"/>
                <w:highlight w:val="none"/>
                <w:lang w:val="en-US" w:eastAsia="zh-CN"/>
              </w:rPr>
              <w:t>得3分；</w:t>
            </w:r>
          </w:p>
          <w:p w14:paraId="4F736B07">
            <w:pPr>
              <w:keepNext w:val="0"/>
              <w:keepLines w:val="0"/>
              <w:pageBreakBefore w:val="0"/>
              <w:shd w:val="clear" w:color="auto" w:fill="auto"/>
              <w:kinsoku/>
              <w:wordWrap w:val="0"/>
              <w:overflowPunct/>
              <w:topLinePunct w:val="0"/>
              <w:autoSpaceDE/>
              <w:autoSpaceDN/>
              <w:bidi w:val="0"/>
              <w:spacing w:line="240" w:lineRule="auto"/>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储存条件不正规，</w:t>
            </w:r>
            <w:r>
              <w:rPr>
                <w:rFonts w:hint="default"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lang w:val="en-US" w:eastAsia="zh-CN"/>
              </w:rPr>
              <w:t>缺失</w:t>
            </w:r>
            <w:r>
              <w:rPr>
                <w:rFonts w:hint="eastAsia" w:ascii="仿宋" w:hAnsi="仿宋" w:eastAsia="仿宋" w:cs="仿宋"/>
                <w:b w:val="0"/>
                <w:bCs/>
                <w:color w:val="auto"/>
                <w:sz w:val="21"/>
                <w:szCs w:val="21"/>
                <w:highlight w:val="none"/>
                <w:lang w:val="en-US" w:eastAsia="zh-CN"/>
              </w:rPr>
              <w:t xml:space="preserve">得2分； </w:t>
            </w:r>
          </w:p>
          <w:p w14:paraId="1DA5977C">
            <w:pPr>
              <w:pStyle w:val="10"/>
              <w:rPr>
                <w:color w:val="auto"/>
                <w:highlight w:val="none"/>
              </w:rPr>
            </w:pPr>
            <w:r>
              <w:rPr>
                <w:rFonts w:hint="eastAsia" w:ascii="仿宋" w:hAnsi="仿宋" w:eastAsia="仿宋" w:cs="仿宋"/>
                <w:b w:val="0"/>
                <w:bCs/>
                <w:color w:val="auto"/>
                <w:sz w:val="21"/>
                <w:szCs w:val="21"/>
                <w:highlight w:val="none"/>
                <w:lang w:val="en-US" w:eastAsia="zh-CN"/>
              </w:rPr>
              <w:t>储存条件不能起到保鲜的作用，</w:t>
            </w:r>
            <w:r>
              <w:rPr>
                <w:rFonts w:hint="default"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lang w:val="en-US" w:eastAsia="zh-CN"/>
              </w:rPr>
              <w:t>不</w:t>
            </w:r>
            <w:r>
              <w:rPr>
                <w:rFonts w:hint="default" w:ascii="仿宋" w:hAnsi="仿宋" w:eastAsia="仿宋" w:cs="仿宋"/>
                <w:color w:val="auto"/>
                <w:sz w:val="21"/>
                <w:szCs w:val="21"/>
                <w:highlight w:val="none"/>
                <w:lang w:val="en-US" w:eastAsia="zh-CN"/>
              </w:rPr>
              <w:t>齐全</w:t>
            </w:r>
            <w:r>
              <w:rPr>
                <w:rFonts w:hint="eastAsia" w:ascii="仿宋" w:hAnsi="仿宋" w:eastAsia="仿宋" w:cs="仿宋"/>
                <w:b w:val="0"/>
                <w:bCs/>
                <w:color w:val="auto"/>
                <w:sz w:val="21"/>
                <w:szCs w:val="21"/>
                <w:highlight w:val="none"/>
                <w:lang w:val="en-US" w:eastAsia="zh-CN"/>
              </w:rPr>
              <w:t xml:space="preserve">得1分； </w:t>
            </w:r>
          </w:p>
          <w:p w14:paraId="2EB125DB">
            <w:pPr>
              <w:shd w:val="clear" w:color="auto" w:fill="auto"/>
              <w:wordWrap w:val="0"/>
              <w:spacing w:line="240" w:lineRule="auto"/>
              <w:jc w:val="left"/>
              <w:rPr>
                <w:rFonts w:hint="eastAsia" w:ascii="仿宋" w:hAnsi="仿宋" w:eastAsia="仿宋" w:cs="仿宋"/>
                <w:b w:val="0"/>
                <w:bCs/>
                <w:color w:val="auto"/>
                <w:sz w:val="21"/>
                <w:szCs w:val="21"/>
                <w:highlight w:val="none"/>
                <w:lang w:val="zh-CN" w:eastAsia="zh-CN"/>
              </w:rPr>
            </w:pPr>
            <w:r>
              <w:rPr>
                <w:rFonts w:hint="eastAsia" w:ascii="仿宋" w:hAnsi="仿宋" w:eastAsia="仿宋" w:cs="仿宋"/>
                <w:color w:val="auto"/>
                <w:sz w:val="21"/>
                <w:szCs w:val="21"/>
                <w:highlight w:val="none"/>
              </w:rPr>
              <w:t>未提供不得分。</w:t>
            </w:r>
          </w:p>
        </w:tc>
      </w:tr>
      <w:tr w14:paraId="7BED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2" w:type="pct"/>
            <w:noWrap w:val="0"/>
            <w:vAlign w:val="center"/>
          </w:tcPr>
          <w:p w14:paraId="000290BC">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615" w:type="pct"/>
            <w:noWrap w:val="0"/>
            <w:vAlign w:val="center"/>
          </w:tcPr>
          <w:p w14:paraId="63E6FB5F">
            <w:pPr>
              <w:shd w:val="clear" w:color="auto" w:fill="auto"/>
              <w:wordWrap w:val="0"/>
              <w:spacing w:line="24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安全保障措施</w:t>
            </w:r>
          </w:p>
        </w:tc>
        <w:tc>
          <w:tcPr>
            <w:tcW w:w="371" w:type="pct"/>
            <w:noWrap w:val="0"/>
            <w:vAlign w:val="center"/>
          </w:tcPr>
          <w:p w14:paraId="19F7AB48">
            <w:pPr>
              <w:shd w:val="clear" w:color="auto" w:fill="auto"/>
              <w:wordWrap w:val="0"/>
              <w:spacing w:line="24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4分</w:t>
            </w:r>
          </w:p>
        </w:tc>
        <w:tc>
          <w:tcPr>
            <w:tcW w:w="3651" w:type="pct"/>
            <w:noWrap w:val="0"/>
            <w:vAlign w:val="center"/>
          </w:tcPr>
          <w:p w14:paraId="4D6E0E65">
            <w:pPr>
              <w:shd w:val="clear" w:color="auto" w:fill="auto"/>
              <w:wordWrap w:val="0"/>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供应商针对本项目提供安全保障措施。</w:t>
            </w:r>
          </w:p>
          <w:p w14:paraId="4A847403">
            <w:pPr>
              <w:pStyle w:val="30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措施内容全面、详细、可操作性强</w:t>
            </w:r>
            <w:r>
              <w:rPr>
                <w:rFonts w:hint="eastAsia" w:ascii="仿宋" w:hAnsi="仿宋" w:eastAsia="仿宋" w:cs="仿宋"/>
                <w:b w:val="0"/>
                <w:bCs/>
                <w:color w:val="auto"/>
                <w:sz w:val="21"/>
                <w:szCs w:val="21"/>
                <w:highlight w:val="none"/>
                <w:lang w:val="en-US" w:eastAsia="zh-CN"/>
              </w:rPr>
              <w:t>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eastAsia="zh-CN"/>
              </w:rPr>
              <w:t>分；</w:t>
            </w:r>
          </w:p>
          <w:p w14:paraId="6BBCF318">
            <w:pPr>
              <w:pStyle w:val="30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措施内容较为全面、可操作性较强</w:t>
            </w:r>
            <w:r>
              <w:rPr>
                <w:rFonts w:hint="eastAsia" w:ascii="仿宋" w:hAnsi="仿宋" w:eastAsia="仿宋" w:cs="仿宋"/>
                <w:b w:val="0"/>
                <w:bCs/>
                <w:color w:val="auto"/>
                <w:sz w:val="21"/>
                <w:szCs w:val="21"/>
                <w:highlight w:val="none"/>
                <w:lang w:val="en-US" w:eastAsia="zh-CN"/>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eastAsia="zh-CN"/>
              </w:rPr>
              <w:t>分；</w:t>
            </w:r>
          </w:p>
          <w:p w14:paraId="41DE8321">
            <w:pPr>
              <w:pStyle w:val="30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措施内容</w:t>
            </w:r>
            <w:r>
              <w:rPr>
                <w:rFonts w:hint="eastAsia" w:ascii="仿宋" w:hAnsi="仿宋" w:eastAsia="仿宋" w:cs="仿宋"/>
                <w:color w:val="auto"/>
                <w:sz w:val="21"/>
                <w:szCs w:val="21"/>
                <w:highlight w:val="none"/>
                <w:lang w:val="en-US" w:eastAsia="zh-CN"/>
              </w:rPr>
              <w:t>基本</w:t>
            </w:r>
            <w:r>
              <w:rPr>
                <w:rFonts w:hint="eastAsia" w:ascii="仿宋" w:hAnsi="仿宋" w:eastAsia="仿宋" w:cs="仿宋"/>
                <w:color w:val="auto"/>
                <w:sz w:val="21"/>
                <w:szCs w:val="21"/>
                <w:highlight w:val="none"/>
                <w:lang w:val="zh-CN" w:eastAsia="zh-CN"/>
              </w:rPr>
              <w:t>全面、</w:t>
            </w:r>
            <w:r>
              <w:rPr>
                <w:rFonts w:hint="eastAsia" w:ascii="仿宋" w:hAnsi="仿宋" w:eastAsia="仿宋" w:cs="仿宋"/>
                <w:color w:val="auto"/>
                <w:sz w:val="21"/>
                <w:szCs w:val="21"/>
                <w:highlight w:val="none"/>
                <w:lang w:val="en-US" w:eastAsia="zh-CN"/>
              </w:rPr>
              <w:t>具有可操作性</w:t>
            </w:r>
            <w:r>
              <w:rPr>
                <w:rFonts w:hint="eastAsia" w:ascii="仿宋" w:hAnsi="仿宋" w:eastAsia="仿宋" w:cs="仿宋"/>
                <w:b w:val="0"/>
                <w:bCs/>
                <w:color w:val="auto"/>
                <w:sz w:val="21"/>
                <w:szCs w:val="21"/>
                <w:highlight w:val="none"/>
                <w:lang w:val="en-US" w:eastAsia="zh-CN"/>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分；</w:t>
            </w:r>
          </w:p>
          <w:p w14:paraId="17AE3D96">
            <w:pPr>
              <w:pStyle w:val="30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措施内容空泛、粗略、可操作性</w:t>
            </w:r>
            <w:r>
              <w:rPr>
                <w:rFonts w:hint="eastAsia" w:ascii="仿宋" w:hAnsi="仿宋" w:eastAsia="仿宋" w:cs="仿宋"/>
                <w:color w:val="auto"/>
                <w:sz w:val="21"/>
                <w:szCs w:val="21"/>
                <w:highlight w:val="none"/>
                <w:lang w:val="en-US" w:eastAsia="zh-CN"/>
              </w:rPr>
              <w:t>有待考究</w:t>
            </w:r>
            <w:r>
              <w:rPr>
                <w:rFonts w:hint="eastAsia" w:ascii="仿宋" w:hAnsi="仿宋" w:eastAsia="仿宋" w:cs="仿宋"/>
                <w:b w:val="0"/>
                <w:bCs/>
                <w:color w:val="auto"/>
                <w:sz w:val="21"/>
                <w:szCs w:val="21"/>
                <w:highlight w:val="none"/>
                <w:lang w:val="en-US" w:eastAsia="zh-CN"/>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eastAsia="zh-CN"/>
              </w:rPr>
              <w:t>分。</w:t>
            </w:r>
          </w:p>
          <w:p w14:paraId="3D06A62A">
            <w:pPr>
              <w:pStyle w:val="8"/>
              <w:ind w:firstLine="0" w:firstLineChars="0"/>
              <w:rPr>
                <w:rFonts w:hint="default"/>
                <w:color w:val="auto"/>
                <w:highlight w:val="none"/>
                <w:lang w:val="en-US" w:eastAsia="zh-CN"/>
              </w:rPr>
            </w:pPr>
            <w:r>
              <w:rPr>
                <w:rFonts w:hint="eastAsia" w:ascii="仿宋" w:hAnsi="仿宋" w:eastAsia="仿宋" w:cs="仿宋"/>
                <w:color w:val="auto"/>
                <w:sz w:val="21"/>
                <w:szCs w:val="21"/>
                <w:highlight w:val="none"/>
              </w:rPr>
              <w:t>未提供不得分。</w:t>
            </w:r>
          </w:p>
        </w:tc>
      </w:tr>
      <w:tr w14:paraId="3E93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2" w:type="pct"/>
            <w:noWrap w:val="0"/>
            <w:vAlign w:val="center"/>
          </w:tcPr>
          <w:p w14:paraId="31A7DF88">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615" w:type="pct"/>
            <w:noWrap w:val="0"/>
            <w:vAlign w:val="center"/>
          </w:tcPr>
          <w:p w14:paraId="619C678C">
            <w:pPr>
              <w:shd w:val="clear" w:color="auto" w:fill="auto"/>
              <w:wordWrap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服务人员</w:t>
            </w:r>
          </w:p>
        </w:tc>
        <w:tc>
          <w:tcPr>
            <w:tcW w:w="371" w:type="pct"/>
            <w:noWrap w:val="0"/>
            <w:vAlign w:val="center"/>
          </w:tcPr>
          <w:p w14:paraId="48FF8ABC">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3651" w:type="pct"/>
            <w:noWrap w:val="0"/>
            <w:vAlign w:val="center"/>
          </w:tcPr>
          <w:p w14:paraId="02FFC1FA">
            <w:pPr>
              <w:spacing w:line="288"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在本地有稳定的服务</w:t>
            </w:r>
            <w:r>
              <w:rPr>
                <w:rFonts w:hint="eastAsia" w:ascii="仿宋" w:hAnsi="仿宋" w:eastAsia="仿宋" w:cs="仿宋"/>
                <w:color w:val="auto"/>
                <w:sz w:val="21"/>
                <w:szCs w:val="21"/>
                <w:highlight w:val="none"/>
                <w:lang w:val="en-US" w:eastAsia="zh-CN"/>
              </w:rPr>
              <w:t>人员</w:t>
            </w:r>
            <w:r>
              <w:rPr>
                <w:rFonts w:hint="eastAsia" w:ascii="仿宋" w:hAnsi="仿宋" w:eastAsia="仿宋" w:cs="仿宋"/>
                <w:color w:val="auto"/>
                <w:sz w:val="21"/>
                <w:szCs w:val="21"/>
                <w:highlight w:val="none"/>
              </w:rPr>
              <w:t>，针对本项目的生产、管理、质检、配送实施组建架构齐全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根据人员配置方案综合赋分。</w:t>
            </w:r>
            <w:r>
              <w:rPr>
                <w:rFonts w:hint="eastAsia" w:ascii="仿宋" w:hAnsi="仿宋" w:eastAsia="仿宋" w:cs="仿宋"/>
                <w:color w:val="auto"/>
                <w:sz w:val="21"/>
                <w:szCs w:val="21"/>
                <w:highlight w:val="none"/>
                <w:lang w:eastAsia="zh-CN"/>
              </w:rPr>
              <w:t>（备注：提供针对本项目的所有人员的身份证及劳务合同）</w:t>
            </w:r>
          </w:p>
          <w:p w14:paraId="4FEB6487">
            <w:pPr>
              <w:pStyle w:val="2"/>
              <w:keepNext w:val="0"/>
              <w:keepLines w:val="0"/>
              <w:pageBreakBefore w:val="0"/>
              <w:widowControl w:val="0"/>
              <w:kinsoku/>
              <w:wordWrap/>
              <w:overflowPunct/>
              <w:topLinePunct w:val="0"/>
              <w:bidi w:val="0"/>
              <w:spacing w:after="0" w:afterLines="0" w:line="24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人员配置合理，岗位职责明确，人员证件齐全，完全满足项目需求的得5分；</w:t>
            </w:r>
          </w:p>
          <w:p w14:paraId="0E215CFA">
            <w:pPr>
              <w:pStyle w:val="2"/>
              <w:keepNext w:val="0"/>
              <w:keepLines w:val="0"/>
              <w:pageBreakBefore w:val="0"/>
              <w:widowControl w:val="0"/>
              <w:kinsoku/>
              <w:wordWrap/>
              <w:overflowPunct/>
              <w:topLinePunct w:val="0"/>
              <w:bidi w:val="0"/>
              <w:spacing w:after="0" w:afterLines="0" w:line="24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服务人员配置相对合理，岗位职责相对明确、人员证件较齐全，</w:t>
            </w:r>
            <w:r>
              <w:rPr>
                <w:rFonts w:hint="eastAsia" w:ascii="仿宋" w:hAnsi="仿宋" w:eastAsia="仿宋" w:cs="仿宋"/>
                <w:color w:val="auto"/>
                <w:kern w:val="2"/>
                <w:sz w:val="21"/>
                <w:szCs w:val="21"/>
                <w:highlight w:val="none"/>
                <w:lang w:val="en-US" w:eastAsia="zh-CN" w:bidi="ar-SA"/>
              </w:rPr>
              <w:t>可以满足项目需求的</w:t>
            </w:r>
            <w:r>
              <w:rPr>
                <w:rFonts w:hint="eastAsia" w:ascii="仿宋" w:hAnsi="仿宋" w:eastAsia="仿宋" w:cs="仿宋"/>
                <w:color w:val="auto"/>
                <w:sz w:val="21"/>
                <w:szCs w:val="21"/>
                <w:highlight w:val="none"/>
                <w:lang w:val="en-US" w:eastAsia="zh-CN"/>
              </w:rPr>
              <w:t>得4分；</w:t>
            </w:r>
          </w:p>
          <w:p w14:paraId="0690884E">
            <w:pPr>
              <w:pStyle w:val="2"/>
              <w:keepNext w:val="0"/>
              <w:keepLines w:val="0"/>
              <w:pageBreakBefore w:val="0"/>
              <w:widowControl w:val="0"/>
              <w:kinsoku/>
              <w:wordWrap/>
              <w:overflowPunct/>
              <w:topLinePunct w:val="0"/>
              <w:bidi w:val="0"/>
              <w:spacing w:after="0" w:afterLines="0" w:line="24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服务人员配置合理，岗位职责明确、人员证件相对齐全，</w:t>
            </w:r>
            <w:r>
              <w:rPr>
                <w:rFonts w:hint="eastAsia" w:ascii="仿宋" w:hAnsi="仿宋" w:eastAsia="仿宋" w:cs="仿宋"/>
                <w:color w:val="auto"/>
                <w:kern w:val="2"/>
                <w:sz w:val="21"/>
                <w:szCs w:val="21"/>
                <w:highlight w:val="none"/>
                <w:lang w:val="en-US" w:eastAsia="zh-CN" w:bidi="ar-SA"/>
              </w:rPr>
              <w:t>基本满足项目需求的</w:t>
            </w:r>
            <w:r>
              <w:rPr>
                <w:rFonts w:hint="eastAsia" w:ascii="仿宋" w:hAnsi="仿宋" w:eastAsia="仿宋" w:cs="仿宋"/>
                <w:color w:val="auto"/>
                <w:sz w:val="21"/>
                <w:szCs w:val="21"/>
                <w:highlight w:val="none"/>
                <w:lang w:val="en-US" w:eastAsia="zh-CN"/>
              </w:rPr>
              <w:t>得3分；</w:t>
            </w:r>
          </w:p>
          <w:p w14:paraId="0D4C9593">
            <w:pPr>
              <w:pStyle w:val="2"/>
              <w:keepNext w:val="0"/>
              <w:keepLines w:val="0"/>
              <w:pageBreakBefore w:val="0"/>
              <w:widowControl w:val="0"/>
              <w:kinsoku/>
              <w:wordWrap/>
              <w:overflowPunct/>
              <w:topLinePunct w:val="0"/>
              <w:bidi w:val="0"/>
              <w:spacing w:after="0" w:afterLines="0" w:line="24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服务人员配置合理，岗位职责明确、人员证件不齐全，</w:t>
            </w:r>
            <w:r>
              <w:rPr>
                <w:rFonts w:hint="eastAsia" w:ascii="仿宋" w:hAnsi="仿宋" w:eastAsia="仿宋" w:cs="仿宋"/>
                <w:color w:val="auto"/>
                <w:kern w:val="2"/>
                <w:sz w:val="21"/>
                <w:szCs w:val="21"/>
                <w:highlight w:val="none"/>
                <w:lang w:val="en-US" w:eastAsia="zh-CN" w:bidi="ar-SA"/>
              </w:rPr>
              <w:t>不能满足项目需求的</w:t>
            </w:r>
            <w:r>
              <w:rPr>
                <w:rFonts w:hint="eastAsia" w:ascii="仿宋" w:hAnsi="仿宋" w:eastAsia="仿宋" w:cs="仿宋"/>
                <w:color w:val="auto"/>
                <w:sz w:val="21"/>
                <w:szCs w:val="21"/>
                <w:highlight w:val="none"/>
                <w:lang w:val="en-US" w:eastAsia="zh-CN"/>
              </w:rPr>
              <w:t>得2分；</w:t>
            </w:r>
          </w:p>
          <w:p w14:paraId="705DB400">
            <w:pPr>
              <w:shd w:val="clear" w:color="auto" w:fill="auto"/>
              <w:wordWrap/>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服务人员配置不尽合理、岗位职责不基本明确、人员证件不齐全，</w:t>
            </w:r>
            <w:r>
              <w:rPr>
                <w:rFonts w:hint="eastAsia" w:ascii="仿宋" w:hAnsi="仿宋" w:eastAsia="仿宋" w:cs="仿宋"/>
                <w:color w:val="auto"/>
                <w:kern w:val="0"/>
                <w:sz w:val="21"/>
                <w:szCs w:val="21"/>
                <w:highlight w:val="none"/>
                <w:lang w:val="zh-CN" w:eastAsia="zh-CN" w:bidi="ar-SA"/>
              </w:rPr>
              <w:t>与实际项目需求匹配度差的</w:t>
            </w:r>
            <w:r>
              <w:rPr>
                <w:rFonts w:hint="eastAsia" w:ascii="仿宋" w:hAnsi="仿宋" w:eastAsia="仿宋" w:cs="仿宋"/>
                <w:color w:val="auto"/>
                <w:sz w:val="21"/>
                <w:szCs w:val="21"/>
                <w:highlight w:val="none"/>
                <w:lang w:val="en-US" w:eastAsia="zh-CN"/>
              </w:rPr>
              <w:t>得1分；</w:t>
            </w:r>
          </w:p>
          <w:p w14:paraId="7CFCC57D">
            <w:pPr>
              <w:shd w:val="clear" w:color="auto" w:fill="auto"/>
              <w:wordWrap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未提供不得分。</w:t>
            </w:r>
          </w:p>
        </w:tc>
      </w:tr>
      <w:tr w14:paraId="4562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2" w:type="pct"/>
            <w:noWrap w:val="0"/>
            <w:vAlign w:val="center"/>
          </w:tcPr>
          <w:p w14:paraId="2D2FE148">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615" w:type="pct"/>
            <w:noWrap w:val="0"/>
            <w:vAlign w:val="center"/>
          </w:tcPr>
          <w:p w14:paraId="38331E31">
            <w:pPr>
              <w:shd w:val="clear" w:color="auto" w:fill="auto"/>
              <w:wordWrap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人员配备</w:t>
            </w:r>
          </w:p>
        </w:tc>
        <w:tc>
          <w:tcPr>
            <w:tcW w:w="371" w:type="pct"/>
            <w:noWrap w:val="0"/>
            <w:vAlign w:val="center"/>
          </w:tcPr>
          <w:p w14:paraId="57B4DA27">
            <w:pPr>
              <w:shd w:val="clear" w:color="auto" w:fill="auto"/>
              <w:wordWrap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3651" w:type="pct"/>
            <w:noWrap w:val="0"/>
            <w:vAlign w:val="center"/>
          </w:tcPr>
          <w:p w14:paraId="6B39AC30">
            <w:pPr>
              <w:shd w:val="clear" w:color="auto" w:fill="auto"/>
              <w:wordWrap/>
              <w:spacing w:line="288"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服务团队</w:t>
            </w:r>
            <w:r>
              <w:rPr>
                <w:rFonts w:hint="eastAsia" w:ascii="仿宋" w:hAnsi="仿宋" w:eastAsia="仿宋" w:cs="仿宋"/>
                <w:color w:val="auto"/>
                <w:sz w:val="21"/>
                <w:szCs w:val="21"/>
                <w:highlight w:val="none"/>
                <w:lang w:val="en-US" w:eastAsia="zh-CN"/>
              </w:rPr>
              <w:t>至少配备</w:t>
            </w:r>
            <w:r>
              <w:rPr>
                <w:rFonts w:hint="eastAsia" w:ascii="仿宋" w:hAnsi="仿宋" w:eastAsia="仿宋" w:cs="仿宋"/>
                <w:color w:val="auto"/>
                <w:sz w:val="21"/>
                <w:szCs w:val="21"/>
                <w:highlight w:val="none"/>
              </w:rPr>
              <w:t>一名营养师（提供证书复印件）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每提供一名营养师计2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满分6分，无配备不得分。</w:t>
            </w:r>
          </w:p>
        </w:tc>
      </w:tr>
      <w:tr w14:paraId="7738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2" w:type="pct"/>
            <w:noWrap w:val="0"/>
            <w:vAlign w:val="center"/>
          </w:tcPr>
          <w:p w14:paraId="684F8AAF">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615" w:type="pct"/>
            <w:noWrap w:val="0"/>
            <w:vAlign w:val="center"/>
          </w:tcPr>
          <w:p w14:paraId="6BE3B7A5">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18"/>
                <w:highlight w:val="none"/>
                <w:lang w:val="en-US" w:eastAsia="zh-CN"/>
              </w:rPr>
              <w:t>培训方案</w:t>
            </w:r>
          </w:p>
        </w:tc>
        <w:tc>
          <w:tcPr>
            <w:tcW w:w="371" w:type="pct"/>
            <w:noWrap w:val="0"/>
            <w:vAlign w:val="center"/>
          </w:tcPr>
          <w:p w14:paraId="235C679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18"/>
                <w:highlight w:val="none"/>
                <w:lang w:val="en-US" w:eastAsia="zh-CN"/>
              </w:rPr>
              <w:t>4分</w:t>
            </w:r>
          </w:p>
        </w:tc>
        <w:tc>
          <w:tcPr>
            <w:tcW w:w="3651" w:type="pct"/>
            <w:noWrap w:val="0"/>
            <w:vAlign w:val="top"/>
          </w:tcPr>
          <w:p w14:paraId="3F5ADEB7">
            <w:pPr>
              <w:pStyle w:val="305"/>
              <w:shd w:val="clear" w:color="auto" w:fill="auto"/>
              <w:wordWrap w:val="0"/>
              <w:ind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供应商具</w:t>
            </w:r>
            <w:r>
              <w:rPr>
                <w:rFonts w:hint="eastAsia" w:ascii="仿宋" w:hAnsi="仿宋" w:eastAsia="仿宋" w:cs="仿宋"/>
                <w:color w:val="auto"/>
                <w:sz w:val="21"/>
                <w:szCs w:val="21"/>
                <w:highlight w:val="none"/>
                <w:lang w:val="zh-CN" w:eastAsia="zh-CN"/>
              </w:rPr>
              <w:t>有完善的培训方案，</w:t>
            </w:r>
            <w:r>
              <w:rPr>
                <w:rFonts w:hint="eastAsia" w:ascii="仿宋" w:hAnsi="仿宋" w:eastAsia="仿宋" w:cs="仿宋"/>
                <w:color w:val="auto"/>
                <w:sz w:val="21"/>
                <w:szCs w:val="21"/>
                <w:highlight w:val="none"/>
                <w:lang w:val="en-US" w:eastAsia="zh-CN"/>
              </w:rPr>
              <w:t>对操作、配送、管理等人员进行</w:t>
            </w:r>
            <w:r>
              <w:rPr>
                <w:rFonts w:hint="eastAsia" w:ascii="仿宋" w:hAnsi="仿宋" w:eastAsia="仿宋" w:cs="仿宋"/>
                <w:color w:val="auto"/>
                <w:sz w:val="21"/>
                <w:szCs w:val="21"/>
                <w:highlight w:val="none"/>
                <w:lang w:val="zh-CN" w:eastAsia="zh-CN"/>
              </w:rPr>
              <w:t>专业化培训，有完善的服务业务培训管理制度。</w:t>
            </w:r>
          </w:p>
          <w:p w14:paraId="7EC90598">
            <w:pPr>
              <w:pStyle w:val="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方案完善全面、合理可行、可操作性强的得4分；</w:t>
            </w:r>
          </w:p>
          <w:p w14:paraId="6344B40F">
            <w:pPr>
              <w:pStyle w:val="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方案较为完善全面、较合理，可操作性较强得3分；</w:t>
            </w:r>
          </w:p>
          <w:p w14:paraId="2AAA6CA8">
            <w:pPr>
              <w:pStyle w:val="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方案基本全面、具有一定的可操作性得2分；</w:t>
            </w:r>
          </w:p>
          <w:p w14:paraId="207C7FAD">
            <w:pPr>
              <w:pStyle w:val="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方案简单，内容空泛、不具有可操作性得1分。</w:t>
            </w:r>
          </w:p>
          <w:p w14:paraId="69D92921">
            <w:pPr>
              <w:pStyle w:val="305"/>
              <w:shd w:val="clear" w:color="auto" w:fill="auto"/>
              <w:wordWrap w:val="0"/>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未提供不得分。</w:t>
            </w:r>
          </w:p>
        </w:tc>
      </w:tr>
      <w:tr w14:paraId="2B9B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62" w:type="pct"/>
            <w:noWrap w:val="0"/>
            <w:vAlign w:val="center"/>
          </w:tcPr>
          <w:p w14:paraId="7EF38D53">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15" w:type="pct"/>
            <w:noWrap w:val="0"/>
            <w:vAlign w:val="center"/>
          </w:tcPr>
          <w:p w14:paraId="7ECDD9ED">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食品来源追溯体系</w:t>
            </w:r>
          </w:p>
        </w:tc>
        <w:tc>
          <w:tcPr>
            <w:tcW w:w="371" w:type="pct"/>
            <w:noWrap w:val="0"/>
            <w:vAlign w:val="center"/>
          </w:tcPr>
          <w:p w14:paraId="60DC53BA">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18"/>
                <w:highlight w:val="none"/>
                <w:lang w:val="en-US" w:eastAsia="zh-CN"/>
              </w:rPr>
              <w:t>4分</w:t>
            </w:r>
          </w:p>
        </w:tc>
        <w:tc>
          <w:tcPr>
            <w:tcW w:w="3651" w:type="pct"/>
            <w:noWrap w:val="0"/>
            <w:vAlign w:val="center"/>
          </w:tcPr>
          <w:p w14:paraId="787EF0E6">
            <w:pPr>
              <w:shd w:val="clear" w:color="auto" w:fill="auto"/>
              <w:spacing w:line="240" w:lineRule="auto"/>
              <w:jc w:val="left"/>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供应商针对本项目提供全面、科学的追溯体系：</w:t>
            </w:r>
          </w:p>
          <w:p w14:paraId="07E418AB">
            <w:pPr>
              <w:shd w:val="clear" w:color="auto" w:fill="auto"/>
              <w:spacing w:line="240" w:lineRule="auto"/>
              <w:jc w:val="left"/>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体系全面、科学，针对性强得4分；</w:t>
            </w:r>
          </w:p>
          <w:p w14:paraId="1CCA97D6">
            <w:pPr>
              <w:shd w:val="clear" w:color="auto" w:fill="auto"/>
              <w:spacing w:line="240" w:lineRule="auto"/>
              <w:jc w:val="left"/>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体系比较全面、科学，针对性较强得3分；</w:t>
            </w:r>
          </w:p>
          <w:p w14:paraId="7AF079C5">
            <w:pPr>
              <w:shd w:val="clear" w:color="auto" w:fill="auto"/>
              <w:spacing w:line="240" w:lineRule="auto"/>
              <w:jc w:val="left"/>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体系基本科学，有一定指导性得2分；</w:t>
            </w:r>
          </w:p>
          <w:p w14:paraId="237F4C17">
            <w:pPr>
              <w:shd w:val="clear" w:color="auto" w:fill="auto"/>
              <w:spacing w:line="240" w:lineRule="auto"/>
              <w:jc w:val="left"/>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体系有缺漏得1分；</w:t>
            </w:r>
          </w:p>
          <w:p w14:paraId="40960A9B">
            <w:pPr>
              <w:shd w:val="clear" w:color="auto" w:fill="auto"/>
              <w:spacing w:line="240" w:lineRule="auto"/>
              <w:jc w:val="left"/>
              <w:outlineLvl w:val="9"/>
              <w:rPr>
                <w:rFonts w:hint="eastAsia" w:ascii="仿宋" w:hAnsi="仿宋" w:eastAsia="仿宋" w:cs="仿宋"/>
                <w:bCs/>
                <w:color w:val="auto"/>
                <w:sz w:val="21"/>
                <w:szCs w:val="21"/>
                <w:highlight w:val="none"/>
              </w:rPr>
            </w:pPr>
            <w:r>
              <w:rPr>
                <w:rFonts w:hint="eastAsia" w:ascii="仿宋" w:hAnsi="仿宋" w:eastAsia="仿宋" w:cs="仿宋"/>
                <w:b w:val="0"/>
                <w:bCs/>
                <w:color w:val="auto"/>
                <w:sz w:val="21"/>
                <w:szCs w:val="21"/>
                <w:highlight w:val="none"/>
                <w:lang w:val="en-US" w:eastAsia="zh-CN"/>
              </w:rPr>
              <w:t>无内容不得分。</w:t>
            </w:r>
          </w:p>
        </w:tc>
      </w:tr>
      <w:tr w14:paraId="07A9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62" w:type="pct"/>
            <w:noWrap w:val="0"/>
            <w:vAlign w:val="center"/>
          </w:tcPr>
          <w:p w14:paraId="3EFC9A48">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615" w:type="pct"/>
            <w:noWrap w:val="0"/>
            <w:vAlign w:val="center"/>
          </w:tcPr>
          <w:p w14:paraId="1D4EDD2C">
            <w:pPr>
              <w:shd w:val="clear" w:color="auto" w:fill="auto"/>
              <w:wordWrap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服务承诺</w:t>
            </w:r>
          </w:p>
        </w:tc>
        <w:tc>
          <w:tcPr>
            <w:tcW w:w="371" w:type="pct"/>
            <w:noWrap w:val="0"/>
            <w:vAlign w:val="center"/>
          </w:tcPr>
          <w:p w14:paraId="53365664">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3651" w:type="pct"/>
            <w:noWrap w:val="0"/>
            <w:vAlign w:val="center"/>
          </w:tcPr>
          <w:p w14:paraId="63FEF6C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供应商提供详细的承诺，包括①食品保鲜承诺、②出现质量问题退换货承诺、③食品安全保证承诺、④配送时限保证承诺等内容。</w:t>
            </w:r>
          </w:p>
          <w:p w14:paraId="142855BD">
            <w:pPr>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评审依据:每一项服务方案及包含内容全面、详细完全满足项目需求且有利于项目实施得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分，①</w:t>
            </w: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val="en-US" w:eastAsia="zh-CN"/>
              </w:rPr>
              <w:t>④</w:t>
            </w:r>
            <w:r>
              <w:rPr>
                <w:rFonts w:hint="eastAsia" w:ascii="仿宋" w:hAnsi="仿宋" w:eastAsia="仿宋" w:cs="仿宋"/>
                <w:color w:val="auto"/>
                <w:sz w:val="21"/>
                <w:szCs w:val="21"/>
                <w:highlight w:val="none"/>
                <w:lang w:val="zh-CN"/>
              </w:rPr>
              <w:t>项合计得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lang w:val="zh-CN"/>
              </w:rPr>
              <w:t>分。</w:t>
            </w:r>
          </w:p>
          <w:p w14:paraId="6D6512B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zh-CN" w:eastAsia="zh-CN"/>
              </w:rPr>
              <w:t>方案①</w:t>
            </w:r>
            <w:r>
              <w:rPr>
                <w:rFonts w:hint="eastAsia" w:ascii="仿宋" w:hAnsi="仿宋" w:eastAsia="仿宋" w:cs="仿宋"/>
                <w:bCs/>
                <w:color w:val="auto"/>
                <w:sz w:val="21"/>
                <w:szCs w:val="21"/>
                <w:highlight w:val="none"/>
                <w:lang w:val="en-US" w:eastAsia="zh-CN"/>
              </w:rPr>
              <w:t>-④</w:t>
            </w:r>
            <w:r>
              <w:rPr>
                <w:rFonts w:hint="eastAsia" w:ascii="仿宋" w:hAnsi="仿宋" w:eastAsia="仿宋" w:cs="仿宋"/>
                <w:bCs/>
                <w:color w:val="auto"/>
                <w:sz w:val="21"/>
                <w:szCs w:val="21"/>
                <w:highlight w:val="none"/>
                <w:lang w:val="zh-CN" w:eastAsia="zh-CN"/>
              </w:rPr>
              <w:t>项任意一项缺项扣</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val="zh-CN" w:eastAsia="zh-CN"/>
              </w:rPr>
              <w:t>分，扣完为止;</w:t>
            </w:r>
          </w:p>
          <w:p w14:paraId="5A3F585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zh-CN" w:eastAsia="zh-CN"/>
              </w:rPr>
              <w:t>方案①</w:t>
            </w:r>
            <w:r>
              <w:rPr>
                <w:rFonts w:hint="eastAsia" w:ascii="仿宋" w:hAnsi="仿宋" w:eastAsia="仿宋" w:cs="仿宋"/>
                <w:bCs/>
                <w:color w:val="auto"/>
                <w:sz w:val="21"/>
                <w:szCs w:val="21"/>
                <w:highlight w:val="none"/>
                <w:lang w:val="en-US" w:eastAsia="zh-CN"/>
              </w:rPr>
              <w:t>-④</w:t>
            </w:r>
            <w:r>
              <w:rPr>
                <w:rFonts w:hint="eastAsia" w:ascii="仿宋" w:hAnsi="仿宋" w:eastAsia="仿宋" w:cs="仿宋"/>
                <w:bCs/>
                <w:color w:val="auto"/>
                <w:sz w:val="21"/>
                <w:szCs w:val="21"/>
                <w:highlight w:val="none"/>
                <w:lang w:val="zh-CN" w:eastAsia="zh-CN"/>
              </w:rPr>
              <w:t>项每一项描述简短且不够全面完善的，每有一项扣2分</w:t>
            </w:r>
          </w:p>
          <w:p w14:paraId="75EDC47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highlight w:val="none"/>
                <w:lang w:val="zh-CN" w:eastAsia="zh-CN"/>
              </w:rPr>
              <w:t>方案①</w:t>
            </w:r>
            <w:r>
              <w:rPr>
                <w:rFonts w:hint="eastAsia" w:ascii="仿宋" w:hAnsi="仿宋" w:eastAsia="仿宋" w:cs="仿宋"/>
                <w:bCs/>
                <w:color w:val="auto"/>
                <w:sz w:val="21"/>
                <w:szCs w:val="21"/>
                <w:highlight w:val="none"/>
                <w:lang w:val="en-US" w:eastAsia="zh-CN"/>
              </w:rPr>
              <w:t>-④</w:t>
            </w:r>
            <w:r>
              <w:rPr>
                <w:rFonts w:hint="eastAsia" w:ascii="仿宋" w:hAnsi="仿宋" w:eastAsia="仿宋" w:cs="仿宋"/>
                <w:bCs/>
                <w:color w:val="auto"/>
                <w:sz w:val="21"/>
                <w:szCs w:val="21"/>
                <w:highlight w:val="none"/>
                <w:lang w:val="zh-CN" w:eastAsia="zh-CN"/>
              </w:rPr>
              <w:t>项每一项仅有描述但不全面的，每有一项扣1分；</w:t>
            </w:r>
          </w:p>
          <w:p w14:paraId="4854740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bCs/>
                <w:color w:val="auto"/>
                <w:sz w:val="21"/>
                <w:szCs w:val="21"/>
                <w:highlight w:val="none"/>
                <w:lang w:val="en-US" w:eastAsia="zh-CN"/>
              </w:rPr>
              <w:t>未提供不得分。</w:t>
            </w:r>
          </w:p>
        </w:tc>
      </w:tr>
      <w:tr w14:paraId="64E0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62" w:type="pct"/>
            <w:noWrap w:val="0"/>
            <w:vAlign w:val="center"/>
          </w:tcPr>
          <w:p w14:paraId="7D8CBB23">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615" w:type="pct"/>
            <w:noWrap w:val="0"/>
            <w:vAlign w:val="center"/>
          </w:tcPr>
          <w:p w14:paraId="472C17B2">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突发事件处理方案</w:t>
            </w:r>
          </w:p>
        </w:tc>
        <w:tc>
          <w:tcPr>
            <w:tcW w:w="371" w:type="pct"/>
            <w:noWrap w:val="0"/>
            <w:vAlign w:val="center"/>
          </w:tcPr>
          <w:p w14:paraId="36A2002D">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tc>
        <w:tc>
          <w:tcPr>
            <w:tcW w:w="3651" w:type="pct"/>
            <w:noWrap w:val="0"/>
            <w:vAlign w:val="center"/>
          </w:tcPr>
          <w:p w14:paraId="327311D6">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供应商针对本项目</w:t>
            </w:r>
            <w:r>
              <w:rPr>
                <w:rFonts w:hint="eastAsia" w:ascii="仿宋" w:hAnsi="仿宋" w:eastAsia="仿宋" w:cs="仿宋"/>
                <w:color w:val="auto"/>
                <w:sz w:val="21"/>
                <w:szCs w:val="21"/>
                <w:highlight w:val="none"/>
                <w:lang w:val="en-US" w:eastAsia="zh-CN"/>
              </w:rPr>
              <w:t>制定突发事件处理方案</w:t>
            </w:r>
            <w:r>
              <w:rPr>
                <w:rFonts w:hint="eastAsia" w:ascii="仿宋" w:hAnsi="仿宋" w:eastAsia="仿宋" w:cs="仿宋"/>
                <w:color w:val="auto"/>
                <w:sz w:val="21"/>
                <w:szCs w:val="21"/>
                <w:highlight w:val="none"/>
                <w:lang w:val="zh-CN"/>
              </w:rPr>
              <w:t>（包括但不限于①针对恶劣天气影响、②重大节假日或活动、③问题食材更换、④</w:t>
            </w:r>
            <w:r>
              <w:rPr>
                <w:rFonts w:hint="eastAsia" w:ascii="仿宋" w:hAnsi="仿宋" w:eastAsia="仿宋" w:cs="仿宋"/>
                <w:color w:val="auto"/>
                <w:sz w:val="21"/>
                <w:szCs w:val="21"/>
                <w:highlight w:val="none"/>
                <w:lang w:val="en-US" w:eastAsia="zh-CN"/>
              </w:rPr>
              <w:t>食物中毒</w:t>
            </w:r>
            <w:r>
              <w:rPr>
                <w:rFonts w:hint="eastAsia" w:ascii="仿宋" w:hAnsi="仿宋" w:eastAsia="仿宋" w:cs="仿宋"/>
                <w:color w:val="auto"/>
                <w:sz w:val="21"/>
                <w:szCs w:val="21"/>
                <w:highlight w:val="none"/>
                <w:lang w:val="zh-CN"/>
              </w:rPr>
              <w:t>等特殊情况）</w:t>
            </w:r>
          </w:p>
          <w:p w14:paraId="4D0A593F">
            <w:pPr>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评审依据:每一项服务方案及包含内容全面、详细完全满足项目需求且有利于项目实施得2分，①</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④项合计得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val="zh-CN"/>
              </w:rPr>
              <w:t>分。</w:t>
            </w:r>
          </w:p>
          <w:p w14:paraId="3E7717AE">
            <w:pPr>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方案①</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④项任意一项缺项扣</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分，扣完为止;</w:t>
            </w:r>
          </w:p>
          <w:p w14:paraId="078E5EE1">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方案①</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④项每一项包含内容有缺陷的扣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分，本项扣完为止。(缺陷是指:内容不详细具体、条理不清晰、描述过于简单、与项目特点不匹配、凭空编造、逻辑漏洞、常识性错误、不可能实现的夸大情形、存在不适用项目实际情况的情形等)</w:t>
            </w:r>
          </w:p>
          <w:p w14:paraId="2F8CC6C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highlight w:val="none"/>
              </w:rPr>
              <w:t>未提供不得分。</w:t>
            </w:r>
          </w:p>
        </w:tc>
      </w:tr>
      <w:tr w14:paraId="4532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 w:type="pct"/>
            <w:noWrap w:val="0"/>
            <w:vAlign w:val="center"/>
          </w:tcPr>
          <w:p w14:paraId="04641FFD">
            <w:pPr>
              <w:shd w:val="clear" w:color="auto" w:fill="auto"/>
              <w:tabs>
                <w:tab w:val="left" w:pos="420"/>
                <w:tab w:val="center" w:pos="4153"/>
                <w:tab w:val="right" w:pos="8306"/>
              </w:tabs>
              <w:wordWrap w:val="0"/>
              <w:adjustRightInd w:val="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615" w:type="pct"/>
            <w:noWrap w:val="0"/>
            <w:vAlign w:val="center"/>
          </w:tcPr>
          <w:p w14:paraId="0982030B">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业绩</w:t>
            </w:r>
          </w:p>
        </w:tc>
        <w:tc>
          <w:tcPr>
            <w:tcW w:w="371" w:type="pct"/>
            <w:noWrap w:val="0"/>
            <w:vAlign w:val="center"/>
          </w:tcPr>
          <w:p w14:paraId="32EC6A8A">
            <w:pPr>
              <w:shd w:val="clear" w:color="auto" w:fill="auto"/>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3651" w:type="pct"/>
            <w:noWrap w:val="0"/>
            <w:vAlign w:val="center"/>
          </w:tcPr>
          <w:p w14:paraId="204BB9AE">
            <w:pPr>
              <w:shd w:val="clear" w:color="auto" w:fill="auto"/>
              <w:wordWrap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供应商提供</w:t>
            </w:r>
            <w:r>
              <w:rPr>
                <w:rFonts w:hint="eastAsia" w:ascii="仿宋" w:hAnsi="仿宋" w:eastAsia="仿宋" w:cs="仿宋"/>
                <w:color w:val="auto"/>
                <w:sz w:val="21"/>
                <w:szCs w:val="21"/>
                <w:highlight w:val="none"/>
              </w:rPr>
              <w:t>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01</w:t>
            </w:r>
            <w:r>
              <w:rPr>
                <w:rFonts w:hint="eastAsia" w:ascii="仿宋" w:hAnsi="仿宋" w:eastAsia="仿宋" w:cs="仿宋"/>
                <w:color w:val="auto"/>
                <w:sz w:val="21"/>
                <w:szCs w:val="21"/>
                <w:highlight w:val="none"/>
              </w:rPr>
              <w:t>月</w:t>
            </w:r>
            <w:r>
              <w:rPr>
                <w:rFonts w:hint="eastAsia" w:ascii="仿宋" w:hAnsi="仿宋" w:eastAsia="仿宋" w:cs="仿宋"/>
                <w:bCs/>
                <w:color w:val="auto"/>
                <w:sz w:val="21"/>
                <w:szCs w:val="21"/>
                <w:highlight w:val="none"/>
                <w:lang w:eastAsia="zh-CN"/>
              </w:rPr>
              <w:t>至今</w:t>
            </w:r>
            <w:r>
              <w:rPr>
                <w:rFonts w:hint="eastAsia" w:ascii="仿宋" w:hAnsi="仿宋" w:eastAsia="仿宋" w:cs="仿宋"/>
                <w:bCs/>
                <w:color w:val="auto"/>
                <w:sz w:val="21"/>
                <w:szCs w:val="21"/>
                <w:highlight w:val="none"/>
                <w:lang w:val="en-US" w:eastAsia="zh-CN"/>
              </w:rPr>
              <w:t>类似</w:t>
            </w:r>
            <w:r>
              <w:rPr>
                <w:rFonts w:hint="eastAsia" w:ascii="仿宋" w:hAnsi="仿宋" w:eastAsia="仿宋" w:cs="仿宋"/>
                <w:bCs/>
                <w:color w:val="auto"/>
                <w:sz w:val="21"/>
                <w:szCs w:val="21"/>
                <w:highlight w:val="none"/>
                <w:lang w:eastAsia="zh-CN"/>
              </w:rPr>
              <w:t>项目业绩（</w:t>
            </w:r>
            <w:r>
              <w:rPr>
                <w:rFonts w:hint="eastAsia" w:ascii="仿宋" w:hAnsi="仿宋" w:eastAsia="仿宋" w:cs="仿宋"/>
                <w:bCs/>
                <w:color w:val="auto"/>
                <w:sz w:val="21"/>
                <w:szCs w:val="21"/>
                <w:highlight w:val="none"/>
                <w:lang w:val="en-US" w:eastAsia="zh-CN"/>
              </w:rPr>
              <w:t>类似项目是指：营养餐配送类）</w:t>
            </w:r>
            <w:r>
              <w:rPr>
                <w:rFonts w:hint="eastAsia" w:ascii="仿宋" w:hAnsi="仿宋" w:eastAsia="仿宋" w:cs="仿宋"/>
                <w:bCs/>
                <w:color w:val="auto"/>
                <w:sz w:val="21"/>
                <w:szCs w:val="21"/>
                <w:highlight w:val="none"/>
                <w:lang w:eastAsia="zh-CN"/>
              </w:rPr>
              <w:t>合同（以合同签订日期为准，</w:t>
            </w:r>
            <w:r>
              <w:rPr>
                <w:rFonts w:hint="eastAsia" w:ascii="仿宋" w:hAnsi="仿宋" w:eastAsia="仿宋" w:cs="仿宋"/>
                <w:bCs/>
                <w:color w:val="auto"/>
                <w:sz w:val="21"/>
                <w:szCs w:val="21"/>
                <w:highlight w:val="none"/>
                <w:lang w:val="en-US" w:eastAsia="zh-CN"/>
              </w:rPr>
              <w:t>复印件加盖供应商公章</w:t>
            </w:r>
            <w:r>
              <w:rPr>
                <w:rFonts w:hint="eastAsia" w:ascii="仿宋" w:hAnsi="仿宋" w:eastAsia="仿宋" w:cs="仿宋"/>
                <w:bCs/>
                <w:color w:val="auto"/>
                <w:sz w:val="21"/>
                <w:szCs w:val="21"/>
                <w:highlight w:val="none"/>
                <w:lang w:eastAsia="zh-CN"/>
              </w:rPr>
              <w:t>），</w:t>
            </w:r>
            <w:r>
              <w:rPr>
                <w:rFonts w:hint="eastAsia" w:ascii="仿宋" w:hAnsi="仿宋" w:eastAsia="仿宋" w:cs="仿宋"/>
                <w:color w:val="auto"/>
                <w:sz w:val="21"/>
                <w:szCs w:val="21"/>
                <w:highlight w:val="none"/>
              </w:rPr>
              <w:t>每提供一份得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分，满分</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14:paraId="348BD9CA">
            <w:pPr>
              <w:shd w:val="clear" w:color="auto" w:fill="auto"/>
              <w:wordWrap w:val="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评审依据：以投标文件中的合同电子件或扫描件为准，弄虚作假者取消其中标资格。</w:t>
            </w:r>
          </w:p>
        </w:tc>
      </w:tr>
      <w:tr w14:paraId="3337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noWrap w:val="0"/>
            <w:vAlign w:val="center"/>
          </w:tcPr>
          <w:p w14:paraId="08A38B11">
            <w:pPr>
              <w:shd w:val="clear" w:color="auto" w:fill="auto"/>
              <w:wordWrap w:val="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备注：</w:t>
            </w:r>
          </w:p>
          <w:p w14:paraId="41C63E8D">
            <w:pPr>
              <w:shd w:val="clear" w:color="auto" w:fill="auto"/>
              <w:wordWrap w:val="0"/>
              <w:jc w:val="lef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Cs/>
                <w:color w:val="auto"/>
                <w:sz w:val="21"/>
                <w:szCs w:val="21"/>
                <w:highlight w:val="none"/>
              </w:rPr>
              <w:t>各评委应按照本评标方法独立打分。</w:t>
            </w:r>
          </w:p>
          <w:p w14:paraId="74CC2A3F">
            <w:pPr>
              <w:shd w:val="clear" w:color="auto" w:fill="auto"/>
              <w:wordWrap w:val="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、分项评分超出评分标准范围或评标委员会成员对客观评审因素评分不一致时，采购代理机构可以要求评标委员会复核或者书面说明理由，评标委员会拒绝的，应予记录并向本级财政部门报告。</w:t>
            </w:r>
          </w:p>
          <w:p w14:paraId="2EEFDE6B">
            <w:pPr>
              <w:shd w:val="clear" w:color="auto" w:fill="auto"/>
              <w:wordWrap w:val="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、计算结果保留两位小数，第三位“四舍五入”。</w:t>
            </w:r>
          </w:p>
          <w:p w14:paraId="020E5D36">
            <w:pPr>
              <w:shd w:val="clear" w:color="auto" w:fill="auto"/>
              <w:wordWrap w:val="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评标过程中，若出现特殊情况时，由评标委员会决定暂停评标，并提出具体处理意见。</w:t>
            </w:r>
          </w:p>
        </w:tc>
      </w:tr>
    </w:tbl>
    <w:p w14:paraId="638CAE94">
      <w:pPr>
        <w:widowControl w:val="0"/>
        <w:spacing w:line="360" w:lineRule="auto"/>
        <w:outlineLvl w:val="9"/>
        <w:rPr>
          <w:rFonts w:hint="eastAsia" w:ascii="仿宋" w:hAnsi="仿宋" w:eastAsia="仿宋" w:cs="仿宋"/>
          <w:b/>
          <w:color w:val="auto"/>
          <w:szCs w:val="24"/>
          <w:highlight w:val="none"/>
          <w:lang w:val="en-US" w:eastAsia="zh-CN"/>
        </w:rPr>
      </w:pPr>
    </w:p>
    <w:p w14:paraId="655BFF82">
      <w:pPr>
        <w:widowControl w:val="0"/>
        <w:spacing w:line="360" w:lineRule="auto"/>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三</w:t>
      </w:r>
      <w:r>
        <w:rPr>
          <w:rFonts w:hint="eastAsia" w:ascii="仿宋" w:hAnsi="仿宋" w:eastAsia="仿宋" w:cs="仿宋"/>
          <w:b/>
          <w:color w:val="auto"/>
          <w:szCs w:val="24"/>
          <w:highlight w:val="none"/>
        </w:rPr>
        <w:t>、评审程序</w:t>
      </w:r>
    </w:p>
    <w:p w14:paraId="05E11E9E">
      <w:pPr>
        <w:widowControl w:val="0"/>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.1本采购项目评标按照下列工作程序进行</w:t>
      </w:r>
      <w:r>
        <w:rPr>
          <w:rFonts w:hint="eastAsia" w:ascii="仿宋" w:hAnsi="仿宋" w:eastAsia="仿宋" w:cs="仿宋"/>
          <w:bCs/>
          <w:color w:val="auto"/>
          <w:highlight w:val="none"/>
        </w:rPr>
        <w:t>（在上一步评审中被认定无效投标者，不进入下一步的评审）</w:t>
      </w:r>
      <w:r>
        <w:rPr>
          <w:rFonts w:hint="eastAsia" w:ascii="仿宋" w:hAnsi="仿宋" w:eastAsia="仿宋" w:cs="仿宋"/>
          <w:b/>
          <w:color w:val="auto"/>
          <w:highlight w:val="none"/>
        </w:rPr>
        <w:t>。</w:t>
      </w:r>
    </w:p>
    <w:p w14:paraId="383936E3">
      <w:pPr>
        <w:widowControl w:val="0"/>
        <w:spacing w:line="360" w:lineRule="auto"/>
        <w:ind w:firstLine="495"/>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.1.1投标文件初审；</w:t>
      </w:r>
    </w:p>
    <w:p w14:paraId="564C9780">
      <w:pPr>
        <w:widowControl w:val="0"/>
        <w:spacing w:line="360" w:lineRule="auto"/>
        <w:ind w:firstLine="495"/>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.1.2澄清有关问题；</w:t>
      </w:r>
    </w:p>
    <w:p w14:paraId="3708BCC2">
      <w:pPr>
        <w:widowControl w:val="0"/>
        <w:spacing w:line="360" w:lineRule="auto"/>
        <w:ind w:firstLine="495"/>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.1.3比较与评价；</w:t>
      </w:r>
    </w:p>
    <w:p w14:paraId="2A940951">
      <w:pPr>
        <w:widowControl w:val="0"/>
        <w:spacing w:line="360" w:lineRule="auto"/>
        <w:ind w:firstLine="495"/>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1.4推荐中标候选人名单。</w:t>
      </w:r>
    </w:p>
    <w:p w14:paraId="3E667B7A">
      <w:pPr>
        <w:widowControl w:val="0"/>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.2投标文件初审</w:t>
      </w:r>
    </w:p>
    <w:p w14:paraId="3D21576C">
      <w:pPr>
        <w:widowControl w:val="0"/>
        <w:tabs>
          <w:tab w:val="left" w:pos="0"/>
        </w:tabs>
        <w:adjustRightInd w:val="0"/>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采购人根据本章第</w:t>
      </w:r>
      <w:r>
        <w:rPr>
          <w:rFonts w:hint="eastAsia" w:ascii="仿宋" w:hAnsi="仿宋" w:eastAsia="仿宋" w:cs="仿宋"/>
          <w:bCs/>
          <w:color w:val="auto"/>
          <w:szCs w:val="24"/>
          <w:highlight w:val="none"/>
          <w:lang w:val="en-US" w:eastAsia="zh-CN"/>
        </w:rPr>
        <w:t>2</w:t>
      </w:r>
      <w:r>
        <w:rPr>
          <w:rFonts w:hint="eastAsia" w:ascii="仿宋" w:hAnsi="仿宋" w:eastAsia="仿宋" w:cs="仿宋"/>
          <w:bCs/>
          <w:color w:val="auto"/>
          <w:szCs w:val="24"/>
          <w:highlight w:val="none"/>
        </w:rPr>
        <w:t>.1.1</w:t>
      </w:r>
      <w:r>
        <w:rPr>
          <w:rFonts w:hint="eastAsia" w:ascii="仿宋" w:hAnsi="仿宋" w:eastAsia="仿宋" w:cs="仿宋"/>
          <w:color w:val="auto"/>
          <w:highlight w:val="none"/>
        </w:rPr>
        <w:t xml:space="preserve"> 项规定的评审标准对投标文件进行资格性审查。有一项不符合评审标准的，将被认定为无效投标。</w:t>
      </w:r>
    </w:p>
    <w:p w14:paraId="2BDBCB38">
      <w:pPr>
        <w:widowControl w:val="0"/>
        <w:tabs>
          <w:tab w:val="left" w:pos="0"/>
        </w:tabs>
        <w:adjustRightInd w:val="0"/>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 xml:space="preserve">评标委员会根据本章第 </w:t>
      </w:r>
      <w:r>
        <w:rPr>
          <w:rFonts w:hint="eastAsia" w:ascii="仿宋" w:hAnsi="仿宋" w:eastAsia="仿宋" w:cs="仿宋"/>
          <w:bCs/>
          <w:color w:val="auto"/>
          <w:szCs w:val="24"/>
          <w:highlight w:val="none"/>
          <w:lang w:val="en-US" w:eastAsia="zh-CN"/>
        </w:rPr>
        <w:t>2</w:t>
      </w:r>
      <w:r>
        <w:rPr>
          <w:rFonts w:hint="eastAsia" w:ascii="仿宋" w:hAnsi="仿宋" w:eastAsia="仿宋" w:cs="仿宋"/>
          <w:bCs/>
          <w:color w:val="auto"/>
          <w:szCs w:val="24"/>
          <w:highlight w:val="none"/>
        </w:rPr>
        <w:t>.1.2</w:t>
      </w:r>
      <w:r>
        <w:rPr>
          <w:rFonts w:hint="eastAsia" w:ascii="仿宋" w:hAnsi="仿宋" w:eastAsia="仿宋" w:cs="仿宋"/>
          <w:color w:val="auto"/>
          <w:highlight w:val="none"/>
        </w:rPr>
        <w:t>项规定的评审标准对</w:t>
      </w:r>
      <w:r>
        <w:rPr>
          <w:rFonts w:hint="eastAsia" w:ascii="仿宋" w:hAnsi="仿宋" w:eastAsia="仿宋" w:cs="仿宋"/>
          <w:color w:val="auto"/>
          <w:highlight w:val="none"/>
          <w:lang w:val="en-US" w:eastAsia="zh-CN"/>
        </w:rPr>
        <w:t>符合资格的供应商</w:t>
      </w:r>
      <w:r>
        <w:rPr>
          <w:rFonts w:hint="eastAsia" w:ascii="仿宋" w:hAnsi="仿宋" w:eastAsia="仿宋" w:cs="仿宋"/>
          <w:color w:val="auto"/>
          <w:highlight w:val="none"/>
        </w:rPr>
        <w:t>投标文件进行符合性</w:t>
      </w:r>
      <w:r>
        <w:rPr>
          <w:rFonts w:hint="eastAsia" w:ascii="仿宋" w:hAnsi="仿宋" w:eastAsia="仿宋" w:cs="仿宋"/>
          <w:color w:val="auto"/>
          <w:highlight w:val="none"/>
          <w:lang w:val="en-US" w:eastAsia="zh-CN"/>
        </w:rPr>
        <w:t>审查，以确定其是否满足招标文件的实质性要求</w:t>
      </w:r>
      <w:r>
        <w:rPr>
          <w:rFonts w:hint="eastAsia" w:ascii="仿宋" w:hAnsi="仿宋" w:eastAsia="仿宋" w:cs="仿宋"/>
          <w:color w:val="auto"/>
          <w:highlight w:val="none"/>
        </w:rPr>
        <w:t>。有一项不符合评审标准的，评标委员会应当否决其投标。</w:t>
      </w:r>
    </w:p>
    <w:p w14:paraId="1F1AE809">
      <w:pPr>
        <w:widowControl w:val="0"/>
        <w:tabs>
          <w:tab w:val="left" w:pos="0"/>
        </w:tabs>
        <w:adjustRightInd w:val="0"/>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在资格性审查阶段，不符合招标文件要求的，不得进入符合性审查，在符合性审查时未通过的，不得进入后续评审环节。</w:t>
      </w:r>
    </w:p>
    <w:p w14:paraId="72677DB8">
      <w:pPr>
        <w:widowControl w:val="0"/>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.3投标文件的澄清</w:t>
      </w:r>
    </w:p>
    <w:p w14:paraId="45A5C59A">
      <w:pPr>
        <w:widowControl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通过电子交易平台或电子邮件等书面形式做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应当在规定的澄清时限内按评标委员会要求的方式，通过电子交易平台或电子邮件等书面形式提交，</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澄清、说明或者补正应当由法定代表人或其授权代表签字或者加盖公章。供应商的澄清、说明或者补正不得超出投标文件的范围或者改变投标文件的实质性内容。评标委员会不接受供应商主动提出的澄清、说明。</w:t>
      </w:r>
    </w:p>
    <w:p w14:paraId="32CFAE7A">
      <w:pPr>
        <w:widowControl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.3.2有效的书面澄清材料，是投标文件的补充材料，成为投标文件的组成部分。</w:t>
      </w:r>
    </w:p>
    <w:p w14:paraId="4D320E9E">
      <w:pPr>
        <w:widowControl w:val="0"/>
        <w:tabs>
          <w:tab w:val="left" w:pos="851"/>
        </w:tabs>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5E6736D">
      <w:pPr>
        <w:widowControl w:val="0"/>
        <w:spacing w:line="360" w:lineRule="auto"/>
        <w:ind w:firstLine="482" w:firstLineChars="200"/>
        <w:jc w:val="left"/>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.4投标文件比较与评价</w:t>
      </w:r>
    </w:p>
    <w:p w14:paraId="1F7346BD">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.4.1</w:t>
      </w:r>
      <w:r>
        <w:rPr>
          <w:rFonts w:hint="eastAsia" w:ascii="仿宋" w:hAnsi="仿宋" w:eastAsia="仿宋" w:cs="仿宋"/>
          <w:color w:val="auto"/>
          <w:szCs w:val="24"/>
          <w:highlight w:val="none"/>
        </w:rPr>
        <w:t>评标委员会</w:t>
      </w:r>
      <w:r>
        <w:rPr>
          <w:rFonts w:hint="eastAsia" w:ascii="仿宋" w:hAnsi="仿宋" w:eastAsia="仿宋" w:cs="仿宋"/>
          <w:bCs/>
          <w:color w:val="auto"/>
          <w:highlight w:val="none"/>
        </w:rPr>
        <w:t>应按照招标文件中规定的评标方法</w:t>
      </w:r>
      <w:r>
        <w:rPr>
          <w:rFonts w:hint="eastAsia" w:ascii="仿宋" w:hAnsi="仿宋" w:eastAsia="仿宋" w:cs="仿宋"/>
          <w:color w:val="auto"/>
          <w:highlight w:val="none"/>
        </w:rPr>
        <w:t>和标准，</w:t>
      </w:r>
      <w:r>
        <w:rPr>
          <w:rFonts w:hint="eastAsia" w:ascii="仿宋" w:hAnsi="仿宋" w:eastAsia="仿宋" w:cs="仿宋"/>
          <w:bCs/>
          <w:color w:val="auto"/>
          <w:highlight w:val="none"/>
        </w:rPr>
        <w:t>对</w:t>
      </w:r>
      <w:r>
        <w:rPr>
          <w:rFonts w:hint="eastAsia" w:ascii="仿宋" w:hAnsi="仿宋" w:eastAsia="仿宋" w:cs="仿宋"/>
          <w:color w:val="auto"/>
          <w:highlight w:val="none"/>
        </w:rPr>
        <w:t>资格</w:t>
      </w:r>
      <w:r>
        <w:rPr>
          <w:rFonts w:hint="eastAsia" w:ascii="仿宋" w:hAnsi="仿宋" w:eastAsia="仿宋" w:cs="仿宋"/>
          <w:color w:val="auto"/>
          <w:highlight w:val="none"/>
          <w:lang w:val="en-US" w:eastAsia="zh-CN"/>
        </w:rPr>
        <w:t>审查</w:t>
      </w:r>
      <w:r>
        <w:rPr>
          <w:rFonts w:hint="eastAsia" w:ascii="仿宋" w:hAnsi="仿宋" w:eastAsia="仿宋" w:cs="仿宋"/>
          <w:color w:val="auto"/>
          <w:highlight w:val="none"/>
        </w:rPr>
        <w:t>和符合性</w:t>
      </w:r>
      <w:r>
        <w:rPr>
          <w:rFonts w:hint="eastAsia" w:ascii="仿宋" w:hAnsi="仿宋" w:eastAsia="仿宋" w:cs="仿宋"/>
          <w:color w:val="auto"/>
          <w:highlight w:val="none"/>
          <w:lang w:val="en-US" w:eastAsia="zh-CN"/>
        </w:rPr>
        <w:t>审</w:t>
      </w:r>
      <w:r>
        <w:rPr>
          <w:rFonts w:hint="eastAsia" w:ascii="仿宋" w:hAnsi="仿宋" w:eastAsia="仿宋" w:cs="仿宋"/>
          <w:color w:val="auto"/>
          <w:highlight w:val="none"/>
        </w:rPr>
        <w:t>查</w:t>
      </w:r>
      <w:r>
        <w:rPr>
          <w:rFonts w:hint="eastAsia" w:ascii="仿宋" w:hAnsi="仿宋" w:eastAsia="仿宋" w:cs="仿宋"/>
          <w:bCs/>
          <w:color w:val="auto"/>
          <w:highlight w:val="none"/>
        </w:rPr>
        <w:t>合格的投标文件进行评估，综合比较与评价。</w:t>
      </w:r>
    </w:p>
    <w:p w14:paraId="4FD64171">
      <w:pPr>
        <w:widowControl w:val="0"/>
        <w:spacing w:line="360" w:lineRule="auto"/>
        <w:ind w:firstLine="470" w:firstLineChars="196"/>
        <w:rPr>
          <w:rFonts w:hint="eastAsia" w:ascii="仿宋" w:hAnsi="仿宋" w:eastAsia="仿宋" w:cs="仿宋"/>
          <w:color w:val="auto"/>
          <w:szCs w:val="24"/>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.4.2如果投标文件没有实质性响应招标文件的要求，</w:t>
      </w:r>
      <w:r>
        <w:rPr>
          <w:rFonts w:hint="eastAsia" w:ascii="仿宋" w:hAnsi="仿宋" w:eastAsia="仿宋" w:cs="仿宋"/>
          <w:color w:val="auto"/>
          <w:szCs w:val="24"/>
          <w:highlight w:val="none"/>
        </w:rPr>
        <w:t>评标委员会</w:t>
      </w:r>
      <w:r>
        <w:rPr>
          <w:rFonts w:hint="eastAsia" w:ascii="仿宋" w:hAnsi="仿宋" w:eastAsia="仿宋" w:cs="仿宋"/>
          <w:color w:val="auto"/>
          <w:highlight w:val="none"/>
        </w:rPr>
        <w:t>将予以拒绝。供应商不得通过修正或撤销不合要求的偏离或保留，从而使其投标成为实质性响应的投标。</w:t>
      </w:r>
    </w:p>
    <w:p w14:paraId="1E4B3BD8">
      <w:pPr>
        <w:widowControl w:val="0"/>
        <w:spacing w:line="360" w:lineRule="auto"/>
        <w:ind w:firstLine="482" w:firstLineChars="200"/>
        <w:jc w:val="left"/>
        <w:rPr>
          <w:rFonts w:hint="eastAsia" w:ascii="仿宋" w:hAnsi="仿宋" w:eastAsia="仿宋" w:cs="仿宋"/>
          <w:b/>
          <w:color w:val="auto"/>
          <w:highlight w:val="none"/>
        </w:rPr>
      </w:pPr>
      <w:bookmarkStart w:id="25" w:name="_Toc8036"/>
      <w:bookmarkStart w:id="26" w:name="_Toc23931"/>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评标结果</w:t>
      </w:r>
    </w:p>
    <w:p w14:paraId="22A8F401">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5.1评标结果按投标报价由低到高顺序排列。若出现综合得分并列时，比较投标价格，价格低的排序在前；若价格得分仍相同，在投标文件满足招标文件全部实质性要求，且按照评审因素的客观分指标评审得分最高的供应商为排名</w:t>
      </w:r>
      <w:r>
        <w:rPr>
          <w:rFonts w:hint="eastAsia" w:ascii="仿宋" w:hAnsi="仿宋" w:eastAsia="仿宋" w:cs="仿宋"/>
          <w:color w:val="auto"/>
          <w:highlight w:val="none"/>
          <w:lang w:eastAsia="zh-CN"/>
        </w:rPr>
        <w:t>第一的中标候选人</w:t>
      </w:r>
      <w:r>
        <w:rPr>
          <w:rFonts w:hint="eastAsia" w:ascii="仿宋" w:hAnsi="仿宋" w:eastAsia="仿宋" w:cs="仿宋"/>
          <w:color w:val="auto"/>
          <w:highlight w:val="none"/>
        </w:rPr>
        <w:t>。若客观分指标评审仍相同，则由全体评标委员会成员无记名投票，得票高者排序在前。</w:t>
      </w:r>
    </w:p>
    <w:p w14:paraId="1BC99D31">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.5.2评标委员会完成评标后，应当向采购人提交书面评审报告。</w:t>
      </w:r>
    </w:p>
    <w:p w14:paraId="7FE923FA">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.5.3评审报告应当由评标委员会全体人员签字认可。评标委员会成员对评审报告有异议的，评标委员会按照少数服从多数的原则推荐</w:t>
      </w:r>
      <w:r>
        <w:rPr>
          <w:rFonts w:hint="eastAsia" w:ascii="仿宋" w:hAnsi="仿宋" w:eastAsia="仿宋" w:cs="仿宋"/>
          <w:color w:val="auto"/>
          <w:highlight w:val="none"/>
          <w:lang w:eastAsia="zh-CN"/>
        </w:rPr>
        <w:t>中标候选供应商</w:t>
      </w:r>
      <w:r>
        <w:rPr>
          <w:rFonts w:hint="eastAsia" w:ascii="仿宋" w:hAnsi="仿宋" w:eastAsia="仿宋" w:cs="仿宋"/>
          <w:color w:val="auto"/>
          <w:highlight w:val="none"/>
        </w:rPr>
        <w:t>，采购程序继续进行。对评审报告有异议的评标委员会成员，应当在报告上签署不同意见并说明理由，由评标委员会书面记录相关情况。评标委员会成员拒绝在报告上签字又不书面说明其不同意见和理由的，视同按评审报告推荐的顺序确定</w:t>
      </w:r>
      <w:r>
        <w:rPr>
          <w:rFonts w:hint="eastAsia" w:ascii="仿宋" w:hAnsi="仿宋" w:eastAsia="仿宋" w:cs="仿宋"/>
          <w:color w:val="auto"/>
          <w:highlight w:val="none"/>
          <w:lang w:eastAsia="zh-CN"/>
        </w:rPr>
        <w:t>中标供应商</w:t>
      </w:r>
      <w:r>
        <w:rPr>
          <w:rFonts w:hint="eastAsia" w:ascii="仿宋" w:hAnsi="仿宋" w:eastAsia="仿宋" w:cs="仿宋"/>
          <w:color w:val="auto"/>
          <w:highlight w:val="none"/>
        </w:rPr>
        <w:t>。对拒绝说明理由的，须报政府采购监管部门处理。</w:t>
      </w:r>
    </w:p>
    <w:p w14:paraId="4FD3EA53">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.5.4评审结果汇总完成后，除下列情形外，任何人不得修改评审结果：</w:t>
      </w:r>
    </w:p>
    <w:p w14:paraId="3E111339">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（1）分值汇总计算错误的；</w:t>
      </w:r>
    </w:p>
    <w:p w14:paraId="0CFB726D">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（2）分项评分超出评分标准范围的；</w:t>
      </w:r>
    </w:p>
    <w:p w14:paraId="5386CA0D">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（3）评标委员会成员对客观评审因素评分不一致的；</w:t>
      </w:r>
    </w:p>
    <w:p w14:paraId="35B56790">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（4）经评标委员会认定评分畸高、畸低的。</w:t>
      </w:r>
    </w:p>
    <w:p w14:paraId="3E12FC49">
      <w:pPr>
        <w:widowControl w:val="0"/>
        <w:tabs>
          <w:tab w:val="left" w:pos="0"/>
        </w:tabs>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审报告签署前，经复核发现存在以上情形之一的，评标委员会应当当场修改评审结果，并在评审报告中记载；评审报告签署后，采购人或者采购代理机构发现存在以上情形之一的，应当组织原评标委员会进行重新评审，重新评审改变评审结果的，书面报告本级财政部门。</w:t>
      </w:r>
    </w:p>
    <w:p w14:paraId="73005646">
      <w:pPr>
        <w:widowControl w:val="0"/>
        <w:spacing w:line="360" w:lineRule="auto"/>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四</w:t>
      </w:r>
      <w:r>
        <w:rPr>
          <w:rFonts w:hint="eastAsia" w:ascii="仿宋" w:hAnsi="仿宋" w:eastAsia="仿宋" w:cs="仿宋"/>
          <w:b/>
          <w:color w:val="auto"/>
          <w:szCs w:val="24"/>
          <w:highlight w:val="none"/>
        </w:rPr>
        <w:t>、政策性扣减</w:t>
      </w:r>
      <w:bookmarkEnd w:id="25"/>
      <w:bookmarkEnd w:id="26"/>
    </w:p>
    <w:p w14:paraId="5E09DAD0">
      <w:pPr>
        <w:widowControl w:val="0"/>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4</w:t>
      </w:r>
      <w:r>
        <w:rPr>
          <w:rFonts w:hint="eastAsia" w:ascii="仿宋" w:hAnsi="仿宋" w:eastAsia="仿宋" w:cs="仿宋"/>
          <w:b/>
          <w:color w:val="auto"/>
          <w:szCs w:val="24"/>
          <w:highlight w:val="none"/>
        </w:rPr>
        <w:t>.1政策性扣减范围</w:t>
      </w:r>
    </w:p>
    <w:p w14:paraId="5C63EE21">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.1.1供应商符合小型、微型企业或监狱企业、残疾人福利性单位条件的，其投标报价价格评审时将按相应比例进行扣减。</w:t>
      </w:r>
    </w:p>
    <w:p w14:paraId="02C32DE4">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.1.2依据关于印发《政府采购促进中小企业发展管理办法》的通知（财库〔2020〕46号）</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关于进一步加大政府采购支持中小企业力度的通知》（财库〔2022〕19号）和《陕西省财政厅关于进一步加大政府采购支持中小企业力度的通知》（陕财办采〔2022〕5号）的规定，在政府采购活动中，供应商提供的货物、工程或者服务符合下列情形的，享受中小企业扶持政策：</w:t>
      </w:r>
    </w:p>
    <w:p w14:paraId="06ED5B47">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8D42DB6">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（2）在货物采购项目中，供应商提供的货物既有中小企业制造货物，也有大型企业制造货物的，不享受本办法规定的中小企业扶持政策。</w:t>
      </w:r>
    </w:p>
    <w:p w14:paraId="54781634">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（3）以联合体形式参加政府采购活动，联合体各方均为中小企业的，联合体视同中小企业。其中，联合体各方均为小微企业的，联合体视同小微企业。</w:t>
      </w:r>
    </w:p>
    <w:p w14:paraId="024898BE">
      <w:pPr>
        <w:widowControl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(4)中小企业参加政府采购活动，应当出具符合财库〔2020〕46号规定的《中小企业声明函》,否则不得享受相关中小企业扶持政策。</w:t>
      </w:r>
    </w:p>
    <w:p w14:paraId="12E0B367">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.1.3采购人拟采购产品属于优先采购节能、环境标志产品范围的，应当优先采购节能、环境标志产品；拟采购产品符合政府采购强制采购政策的，实行强制采购。</w:t>
      </w:r>
    </w:p>
    <w:p w14:paraId="6EB313BA">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（1）采购人依据节能产品、环境标志产品品目清单和节能、环境标志产品认证证书实施政府优先采购和强制采购。</w:t>
      </w:r>
    </w:p>
    <w:p w14:paraId="5770743B">
      <w:pPr>
        <w:widowControl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61C2A69B">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.1.4监狱企业参加政府采购活动时，应当提供由省级以上监狱管理局、戒毒管理局(含新疆生产建设兵团)出具的属于监狱企业的证明文件。</w:t>
      </w:r>
      <w:r>
        <w:rPr>
          <w:rFonts w:hint="eastAsia" w:ascii="仿宋" w:hAnsi="仿宋" w:eastAsia="仿宋" w:cs="仿宋"/>
          <w:color w:val="auto"/>
          <w:highlight w:val="none"/>
        </w:rPr>
        <w:t>监狱企业参加政府采购活动时，视同小型、微型企业。</w:t>
      </w:r>
    </w:p>
    <w:p w14:paraId="2AA394DA">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.1.5符合条件的残疾人福利性单位在参加政府采购活动时，应当提供《残疾人福利性单位声明函》，并对声明的真实性负责。残疾人福利性单位</w:t>
      </w:r>
      <w:r>
        <w:rPr>
          <w:rFonts w:hint="eastAsia" w:ascii="仿宋" w:hAnsi="仿宋" w:eastAsia="仿宋" w:cs="仿宋"/>
          <w:color w:val="auto"/>
          <w:highlight w:val="none"/>
        </w:rPr>
        <w:t>参加政府采购活动时，视同小型、微型企业；</w:t>
      </w:r>
      <w:r>
        <w:rPr>
          <w:rFonts w:hint="eastAsia" w:ascii="仿宋" w:hAnsi="仿宋" w:eastAsia="仿宋" w:cs="仿宋"/>
          <w:color w:val="auto"/>
          <w:szCs w:val="24"/>
          <w:highlight w:val="none"/>
        </w:rPr>
        <w:t>残疾人福利性单位属于小型、微型企业的，不重复享受政策。</w:t>
      </w:r>
    </w:p>
    <w:p w14:paraId="49EF908F">
      <w:pPr>
        <w:widowControl w:val="0"/>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4</w:t>
      </w:r>
      <w:r>
        <w:rPr>
          <w:rFonts w:hint="eastAsia" w:ascii="仿宋" w:hAnsi="仿宋" w:eastAsia="仿宋" w:cs="仿宋"/>
          <w:b/>
          <w:color w:val="auto"/>
          <w:szCs w:val="24"/>
          <w:highlight w:val="none"/>
        </w:rPr>
        <w:t>.2政策性扣减方式</w:t>
      </w:r>
    </w:p>
    <w:p w14:paraId="20F0AE7B">
      <w:pPr>
        <w:widowControl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.2.1</w:t>
      </w:r>
      <w:r>
        <w:rPr>
          <w:rFonts w:hint="eastAsia" w:ascii="仿宋" w:hAnsi="仿宋" w:eastAsia="仿宋" w:cs="仿宋"/>
          <w:color w:val="auto"/>
          <w:highlight w:val="none"/>
        </w:rPr>
        <w:t>对于</w:t>
      </w:r>
      <w:r>
        <w:rPr>
          <w:rFonts w:hint="eastAsia" w:ascii="仿宋" w:hAnsi="仿宋" w:eastAsia="仿宋" w:cs="仿宋"/>
          <w:color w:val="auto"/>
          <w:spacing w:val="8"/>
          <w:highlight w:val="none"/>
        </w:rPr>
        <w:t>未预留份额专门</w:t>
      </w:r>
      <w:r>
        <w:rPr>
          <w:rFonts w:hint="eastAsia" w:ascii="仿宋" w:hAnsi="仿宋" w:eastAsia="仿宋" w:cs="仿宋"/>
          <w:color w:val="auto"/>
          <w:highlight w:val="none"/>
        </w:rPr>
        <w:t>面向中小企业采购的采购项目，以及预留份额项目的非预</w:t>
      </w:r>
      <w:r>
        <w:rPr>
          <w:rFonts w:hint="eastAsia" w:ascii="仿宋" w:hAnsi="仿宋" w:eastAsia="仿宋" w:cs="仿宋"/>
          <w:color w:val="auto"/>
          <w:spacing w:val="-2"/>
          <w:highlight w:val="none"/>
        </w:rPr>
        <w:t>留部分采购包中</w:t>
      </w:r>
      <w:r>
        <w:rPr>
          <w:rFonts w:hint="eastAsia" w:ascii="仿宋" w:hAnsi="仿宋" w:eastAsia="仿宋" w:cs="仿宋"/>
          <w:color w:val="auto"/>
          <w:highlight w:val="none"/>
        </w:rPr>
        <w:t>符合条件的小微企业</w:t>
      </w:r>
      <w:r>
        <w:rPr>
          <w:rFonts w:hint="eastAsia" w:ascii="仿宋" w:hAnsi="仿宋" w:eastAsia="仿宋" w:cs="仿宋"/>
          <w:color w:val="auto"/>
          <w:szCs w:val="24"/>
          <w:highlight w:val="none"/>
        </w:rPr>
        <w:t>报价给予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w:t>
      </w:r>
    </w:p>
    <w:p w14:paraId="79354F95">
      <w:pPr>
        <w:widowControl w:val="0"/>
        <w:spacing w:line="360" w:lineRule="auto"/>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%的扣除；组成联合体或者接受分包的小微企业与联合体内其他企业、分包企业之间存在直接控股、管理关系的，不享受价格扣除优惠政策。</w:t>
      </w:r>
      <w:r>
        <w:rPr>
          <w:rFonts w:hint="eastAsia" w:ascii="仿宋" w:hAnsi="仿宋" w:eastAsia="仿宋" w:cs="仿宋"/>
          <w:b/>
          <w:bCs/>
          <w:color w:val="auto"/>
          <w:szCs w:val="24"/>
          <w:highlight w:val="none"/>
        </w:rPr>
        <w:t>享受扶持政策获得政府采购合同的，小微企业不得将合同分包给大中型企业，中型企业不得将合同分包给大型企业。</w:t>
      </w:r>
    </w:p>
    <w:p w14:paraId="030B4D71">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.2.3监狱企业、残疾人福利性单位视同小微企业，享受预留份额、评审中价格扣除等促进中小企业发展的政府采购政策。监狱企业、残疾人福利性单位属于小微企业的，不重复享受政策。</w:t>
      </w:r>
    </w:p>
    <w:p w14:paraId="59AA757A">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.2.4供应商享受支持中小型企业发展政策优惠的，可以同时享受节能、环境标志产品优先采购政策。</w:t>
      </w:r>
    </w:p>
    <w:p w14:paraId="1C5AB8AC">
      <w:pPr>
        <w:widowControl w:val="0"/>
        <w:spacing w:line="360" w:lineRule="auto"/>
        <w:outlineLvl w:val="1"/>
        <w:rPr>
          <w:rFonts w:hint="eastAsia" w:ascii="仿宋" w:hAnsi="仿宋" w:eastAsia="仿宋" w:cs="仿宋"/>
          <w:b/>
          <w:color w:val="auto"/>
          <w:spacing w:val="4"/>
          <w:szCs w:val="24"/>
          <w:highlight w:val="none"/>
        </w:rPr>
      </w:pPr>
      <w:bookmarkStart w:id="27" w:name="_Toc21804"/>
      <w:bookmarkStart w:id="28" w:name="_Toc3202"/>
      <w:r>
        <w:rPr>
          <w:rFonts w:hint="eastAsia" w:ascii="仿宋" w:hAnsi="仿宋" w:eastAsia="仿宋" w:cs="仿宋"/>
          <w:b/>
          <w:color w:val="auto"/>
          <w:spacing w:val="4"/>
          <w:szCs w:val="24"/>
          <w:highlight w:val="none"/>
          <w:lang w:val="en-US" w:eastAsia="zh-CN"/>
        </w:rPr>
        <w:t>五</w:t>
      </w:r>
      <w:r>
        <w:rPr>
          <w:rFonts w:hint="eastAsia" w:ascii="仿宋" w:hAnsi="仿宋" w:eastAsia="仿宋" w:cs="仿宋"/>
          <w:b/>
          <w:color w:val="auto"/>
          <w:spacing w:val="4"/>
          <w:szCs w:val="24"/>
          <w:highlight w:val="none"/>
        </w:rPr>
        <w:t>、特殊情况的处理</w:t>
      </w:r>
      <w:bookmarkEnd w:id="27"/>
      <w:bookmarkEnd w:id="28"/>
    </w:p>
    <w:p w14:paraId="0F71C876">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.1单一产品采购项目中，提供相同品牌的产品的不同供应商参加同一合同项下投标的，按以下方法处理：</w:t>
      </w:r>
    </w:p>
    <w:p w14:paraId="60C70436">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1.1使用最低评标价法的采购项目，提供相同品牌产品的不同供应商参加同一合同项下投标的，以其中通过资格审查、符合性审查且报价最低的参加评标；报价相同的，由采购人及评标委员会按照技术方案、售后服务等内容择优选择确定一个参加评标的供应商，其他投标无效。</w:t>
      </w:r>
    </w:p>
    <w:p w14:paraId="0D0B31EC">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.1.2使用综合评分法的采购项目，提供相同品牌产品且通过资格审查、符合性审查的不同供应商参加同一合同项下投标的，按一家供应商计算，评审后得分最高的同品牌供应商获得</w:t>
      </w:r>
      <w:r>
        <w:rPr>
          <w:rFonts w:hint="eastAsia" w:ascii="仿宋" w:hAnsi="仿宋" w:eastAsia="仿宋" w:cs="仿宋"/>
          <w:color w:val="auto"/>
          <w:szCs w:val="24"/>
          <w:highlight w:val="none"/>
          <w:lang w:eastAsia="zh-CN"/>
        </w:rPr>
        <w:t>中标供应商</w:t>
      </w:r>
      <w:r>
        <w:rPr>
          <w:rFonts w:hint="eastAsia" w:ascii="仿宋" w:hAnsi="仿宋" w:eastAsia="仿宋" w:cs="仿宋"/>
          <w:color w:val="auto"/>
          <w:szCs w:val="24"/>
          <w:highlight w:val="none"/>
        </w:rPr>
        <w:t>推荐资格；评审得分相同的，由采购人及评标委员会按照投标报价最低的方式确定一个供应商获得</w:t>
      </w:r>
      <w:r>
        <w:rPr>
          <w:rFonts w:hint="eastAsia" w:ascii="仿宋" w:hAnsi="仿宋" w:eastAsia="仿宋" w:cs="仿宋"/>
          <w:color w:val="auto"/>
          <w:szCs w:val="24"/>
          <w:highlight w:val="none"/>
          <w:lang w:eastAsia="zh-CN"/>
        </w:rPr>
        <w:t>中标供应商</w:t>
      </w:r>
      <w:r>
        <w:rPr>
          <w:rFonts w:hint="eastAsia" w:ascii="仿宋" w:hAnsi="仿宋" w:eastAsia="仿宋" w:cs="仿宋"/>
          <w:color w:val="auto"/>
          <w:szCs w:val="24"/>
          <w:highlight w:val="none"/>
        </w:rPr>
        <w:t>推荐资格，其他同品牌供应商不作为中标候选人。</w:t>
      </w:r>
    </w:p>
    <w:p w14:paraId="38A2D08B">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.2非单一产品采购项目中，提供相同品牌的核心产品的不同供应商参加同一合同项下投标的，按以下方法处理：</w:t>
      </w:r>
    </w:p>
    <w:p w14:paraId="70908655">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2.1使用最低评标价法的采购项目，提供相同品牌核心产品的不同供应商参加同一合同项下投标的，以其中通过资格审查、符合性审查且投标报价最低的参加评标；投标报价相同的，由采购人及评标委员会按照技术方案、售后服务等内容择优选择确定一个参加评标的供应商，其他投标无效。</w:t>
      </w:r>
    </w:p>
    <w:p w14:paraId="32B13CAB">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.2.2使用综合评分法的采购项目，提供相同品牌核心产品且通过资格审查、符合性审查的不同供应商参加同一合同项下投标的，按一家供应商计算，评审后得分最高的同品牌供应商获得</w:t>
      </w:r>
      <w:r>
        <w:rPr>
          <w:rFonts w:hint="eastAsia" w:ascii="仿宋" w:hAnsi="仿宋" w:eastAsia="仿宋" w:cs="仿宋"/>
          <w:color w:val="auto"/>
          <w:szCs w:val="24"/>
          <w:highlight w:val="none"/>
          <w:lang w:eastAsia="zh-CN"/>
        </w:rPr>
        <w:t>中标供应商</w:t>
      </w:r>
      <w:r>
        <w:rPr>
          <w:rFonts w:hint="eastAsia" w:ascii="仿宋" w:hAnsi="仿宋" w:eastAsia="仿宋" w:cs="仿宋"/>
          <w:color w:val="auto"/>
          <w:szCs w:val="24"/>
          <w:highlight w:val="none"/>
        </w:rPr>
        <w:t>推荐资格；评审得分相同的，由采购人及评标委员会按照投标报价最低的方式确定一个供应商获得</w:t>
      </w:r>
      <w:r>
        <w:rPr>
          <w:rFonts w:hint="eastAsia" w:ascii="仿宋" w:hAnsi="仿宋" w:eastAsia="仿宋" w:cs="仿宋"/>
          <w:color w:val="auto"/>
          <w:szCs w:val="24"/>
          <w:highlight w:val="none"/>
          <w:lang w:eastAsia="zh-CN"/>
        </w:rPr>
        <w:t>中标供应商</w:t>
      </w:r>
      <w:r>
        <w:rPr>
          <w:rFonts w:hint="eastAsia" w:ascii="仿宋" w:hAnsi="仿宋" w:eastAsia="仿宋" w:cs="仿宋"/>
          <w:color w:val="auto"/>
          <w:szCs w:val="24"/>
          <w:highlight w:val="none"/>
        </w:rPr>
        <w:t>推荐资格，其他同品牌供应商不作为中标候选人。</w:t>
      </w:r>
    </w:p>
    <w:p w14:paraId="2CB483B0">
      <w:pPr>
        <w:widowControl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.2.3核心产品为两个以上时，多家供应商提供的核心产品有部分采用或全部采用相同品牌的，按一家供应商计算。</w:t>
      </w:r>
    </w:p>
    <w:p w14:paraId="6F6AC5BB">
      <w:pPr>
        <w:pStyle w:val="40"/>
        <w:widowControl w:val="0"/>
        <w:rPr>
          <w:rStyle w:val="37"/>
          <w:rFonts w:ascii="仿宋" w:hAnsi="仿宋" w:eastAsia="仿宋" w:cs="仿宋"/>
          <w:b/>
          <w:color w:val="auto"/>
          <w:highlight w:val="none"/>
        </w:rPr>
      </w:pPr>
    </w:p>
    <w:p w14:paraId="78AD21AB">
      <w:pPr>
        <w:widowControl w:val="0"/>
        <w:rPr>
          <w:rStyle w:val="37"/>
          <w:rFonts w:ascii="仿宋" w:hAnsi="仿宋" w:eastAsia="仿宋" w:cs="仿宋"/>
          <w:b/>
          <w:color w:val="auto"/>
          <w:highlight w:val="none"/>
        </w:rPr>
      </w:pPr>
    </w:p>
    <w:p w14:paraId="3585CFA4">
      <w:pPr>
        <w:widowControl w:val="0"/>
        <w:jc w:val="center"/>
        <w:outlineLvl w:val="0"/>
        <w:rPr>
          <w:rFonts w:hint="eastAsia" w:eastAsia="仿宋"/>
          <w:color w:val="auto"/>
          <w:highlight w:val="none"/>
          <w:lang w:eastAsia="zh-CN"/>
        </w:rPr>
      </w:pPr>
      <w:bookmarkStart w:id="29" w:name="_Toc10022"/>
      <w:r>
        <w:rPr>
          <w:rStyle w:val="37"/>
          <w:rFonts w:hint="eastAsia" w:ascii="仿宋" w:hAnsi="仿宋" w:eastAsia="仿宋" w:cs="仿宋"/>
          <w:b/>
          <w:bCs/>
          <w:color w:val="auto"/>
          <w:kern w:val="2"/>
          <w:sz w:val="44"/>
          <w:szCs w:val="44"/>
          <w:highlight w:val="none"/>
        </w:rPr>
        <w:br w:type="page"/>
      </w:r>
      <w:bookmarkStart w:id="30" w:name="_Toc3154"/>
      <w:bookmarkStart w:id="31" w:name="_Toc1288"/>
      <w:r>
        <w:rPr>
          <w:rStyle w:val="37"/>
          <w:rFonts w:hint="eastAsia" w:ascii="仿宋" w:hAnsi="仿宋" w:eastAsia="仿宋" w:cs="仿宋"/>
          <w:b/>
          <w:bCs/>
          <w:color w:val="auto"/>
          <w:kern w:val="2"/>
          <w:sz w:val="44"/>
          <w:szCs w:val="44"/>
          <w:highlight w:val="none"/>
        </w:rPr>
        <w:t xml:space="preserve">第六章 </w:t>
      </w:r>
      <w:bookmarkEnd w:id="29"/>
      <w:r>
        <w:rPr>
          <w:rStyle w:val="37"/>
          <w:rFonts w:hint="eastAsia" w:ascii="仿宋" w:hAnsi="仿宋" w:eastAsia="仿宋" w:cs="仿宋"/>
          <w:b/>
          <w:bCs/>
          <w:color w:val="auto"/>
          <w:kern w:val="2"/>
          <w:sz w:val="44"/>
          <w:szCs w:val="44"/>
          <w:highlight w:val="none"/>
          <w:lang w:eastAsia="zh-CN"/>
        </w:rPr>
        <w:t>投标文件格式</w:t>
      </w:r>
      <w:bookmarkEnd w:id="30"/>
      <w:bookmarkEnd w:id="31"/>
    </w:p>
    <w:p w14:paraId="3DDD2B8F">
      <w:pPr>
        <w:widowControl w:val="0"/>
        <w:rPr>
          <w:rStyle w:val="37"/>
          <w:rFonts w:ascii="仿宋" w:hAnsi="仿宋" w:eastAsia="仿宋" w:cs="仿宋"/>
          <w:color w:val="auto"/>
          <w:highlight w:val="none"/>
        </w:rPr>
      </w:pPr>
    </w:p>
    <w:p w14:paraId="2B488DB9">
      <w:pPr>
        <w:widowControl w:val="0"/>
        <w:rPr>
          <w:rStyle w:val="37"/>
          <w:rFonts w:ascii="仿宋" w:hAnsi="仿宋" w:eastAsia="仿宋" w:cs="仿宋"/>
          <w:b/>
          <w:color w:val="auto"/>
          <w:sz w:val="32"/>
          <w:szCs w:val="32"/>
          <w:highlight w:val="none"/>
        </w:rPr>
      </w:pPr>
      <w:r>
        <w:rPr>
          <w:rStyle w:val="37"/>
          <w:rFonts w:hint="eastAsia" w:ascii="仿宋" w:hAnsi="仿宋" w:eastAsia="仿宋" w:cs="仿宋"/>
          <w:b/>
          <w:color w:val="auto"/>
          <w:sz w:val="32"/>
          <w:szCs w:val="32"/>
          <w:highlight w:val="none"/>
        </w:rPr>
        <w:t>项目编号：</w:t>
      </w:r>
      <w:r>
        <w:rPr>
          <w:rStyle w:val="37"/>
          <w:rFonts w:hint="eastAsia" w:ascii="仿宋" w:hAnsi="仿宋" w:eastAsia="仿宋" w:cs="仿宋"/>
          <w:b/>
          <w:color w:val="auto"/>
          <w:sz w:val="32"/>
          <w:szCs w:val="32"/>
          <w:highlight w:val="none"/>
          <w:lang w:eastAsia="zh-CN"/>
        </w:rPr>
        <w:t>SXZM-GK-202</w:t>
      </w:r>
      <w:r>
        <w:rPr>
          <w:rStyle w:val="37"/>
          <w:rFonts w:hint="eastAsia" w:ascii="仿宋" w:hAnsi="仿宋" w:eastAsia="仿宋" w:cs="仿宋"/>
          <w:b/>
          <w:color w:val="auto"/>
          <w:sz w:val="32"/>
          <w:szCs w:val="32"/>
          <w:highlight w:val="none"/>
          <w:lang w:val="en-US" w:eastAsia="zh-CN"/>
        </w:rPr>
        <w:t>5001</w:t>
      </w:r>
      <w:r>
        <w:rPr>
          <w:rStyle w:val="37"/>
          <w:rFonts w:hint="eastAsia" w:ascii="仿宋" w:hAnsi="仿宋" w:eastAsia="仿宋" w:cs="仿宋"/>
          <w:b/>
          <w:color w:val="auto"/>
          <w:sz w:val="32"/>
          <w:szCs w:val="32"/>
          <w:highlight w:val="none"/>
        </w:rPr>
        <w:t xml:space="preserve">                     </w:t>
      </w:r>
    </w:p>
    <w:p w14:paraId="79C305DA">
      <w:pPr>
        <w:widowControl w:val="0"/>
        <w:rPr>
          <w:rStyle w:val="37"/>
          <w:rFonts w:ascii="仿宋" w:hAnsi="仿宋" w:eastAsia="仿宋" w:cs="仿宋"/>
          <w:b/>
          <w:color w:val="auto"/>
          <w:sz w:val="52"/>
          <w:szCs w:val="52"/>
          <w:highlight w:val="none"/>
        </w:rPr>
      </w:pPr>
    </w:p>
    <w:p w14:paraId="4FBFB5C3">
      <w:pPr>
        <w:bidi w:val="0"/>
        <w:rPr>
          <w:color w:val="auto"/>
          <w:highlight w:val="none"/>
        </w:rPr>
      </w:pPr>
    </w:p>
    <w:p w14:paraId="20A6CA32">
      <w:pPr>
        <w:widowControl w:val="0"/>
        <w:jc w:val="center"/>
        <w:outlineLvl w:val="9"/>
        <w:rPr>
          <w:rStyle w:val="37"/>
          <w:rFonts w:ascii="仿宋" w:hAnsi="仿宋" w:eastAsia="仿宋" w:cs="仿宋"/>
          <w:b/>
          <w:color w:val="auto"/>
          <w:sz w:val="48"/>
          <w:szCs w:val="48"/>
          <w:highlight w:val="none"/>
        </w:rPr>
      </w:pPr>
      <w:r>
        <w:rPr>
          <w:rStyle w:val="37"/>
          <w:rFonts w:hint="eastAsia" w:ascii="仿宋" w:hAnsi="仿宋" w:eastAsia="仿宋" w:cs="仿宋"/>
          <w:b/>
          <w:color w:val="auto"/>
          <w:sz w:val="48"/>
          <w:szCs w:val="48"/>
          <w:highlight w:val="none"/>
        </w:rPr>
        <w:t>沣西新城2024-2025春季学期、2025-2026秋季学期营养改善计划食材采购</w:t>
      </w:r>
      <w:r>
        <w:rPr>
          <w:rStyle w:val="37"/>
          <w:rFonts w:hint="eastAsia" w:ascii="仿宋" w:hAnsi="仿宋" w:eastAsia="仿宋" w:cs="仿宋"/>
          <w:b/>
          <w:color w:val="auto"/>
          <w:sz w:val="48"/>
          <w:szCs w:val="48"/>
          <w:highlight w:val="none"/>
          <w:lang w:eastAsia="zh-CN"/>
        </w:rPr>
        <w:t>（</w:t>
      </w:r>
      <w:r>
        <w:rPr>
          <w:rStyle w:val="37"/>
          <w:rFonts w:hint="eastAsia" w:ascii="仿宋" w:hAnsi="仿宋" w:eastAsia="仿宋" w:cs="仿宋"/>
          <w:b/>
          <w:color w:val="auto"/>
          <w:sz w:val="48"/>
          <w:szCs w:val="48"/>
          <w:highlight w:val="none"/>
          <w:lang w:val="en-US" w:eastAsia="zh-CN"/>
        </w:rPr>
        <w:t>二次</w:t>
      </w:r>
      <w:r>
        <w:rPr>
          <w:rStyle w:val="37"/>
          <w:rFonts w:hint="eastAsia" w:ascii="仿宋" w:hAnsi="仿宋" w:eastAsia="仿宋" w:cs="仿宋"/>
          <w:b/>
          <w:color w:val="auto"/>
          <w:sz w:val="48"/>
          <w:szCs w:val="48"/>
          <w:highlight w:val="none"/>
          <w:lang w:eastAsia="zh-CN"/>
        </w:rPr>
        <w:t>）</w:t>
      </w:r>
      <w:r>
        <w:rPr>
          <w:rStyle w:val="37"/>
          <w:rFonts w:hint="eastAsia" w:ascii="仿宋" w:hAnsi="仿宋" w:eastAsia="仿宋" w:cs="仿宋"/>
          <w:b/>
          <w:color w:val="auto"/>
          <w:sz w:val="48"/>
          <w:szCs w:val="48"/>
          <w:highlight w:val="none"/>
        </w:rPr>
        <w:t xml:space="preserve">  </w:t>
      </w:r>
    </w:p>
    <w:p w14:paraId="0C796513">
      <w:pPr>
        <w:widowControl w:val="0"/>
        <w:rPr>
          <w:rStyle w:val="37"/>
          <w:rFonts w:hint="eastAsia" w:ascii="仿宋" w:hAnsi="仿宋" w:eastAsia="仿宋" w:cs="仿宋"/>
          <w:b/>
          <w:color w:val="auto"/>
          <w:sz w:val="48"/>
          <w:szCs w:val="48"/>
          <w:highlight w:val="none"/>
          <w:lang w:val="en-US" w:eastAsia="zh-CN"/>
        </w:rPr>
      </w:pPr>
    </w:p>
    <w:p w14:paraId="60B8941B">
      <w:pPr>
        <w:widowControl w:val="0"/>
        <w:rPr>
          <w:rStyle w:val="37"/>
          <w:rFonts w:hint="eastAsia" w:ascii="仿宋" w:hAnsi="仿宋" w:eastAsia="仿宋" w:cs="仿宋"/>
          <w:b/>
          <w:color w:val="auto"/>
          <w:sz w:val="48"/>
          <w:szCs w:val="48"/>
          <w:highlight w:val="none"/>
          <w:lang w:val="en-US" w:eastAsia="zh-CN"/>
        </w:rPr>
      </w:pPr>
    </w:p>
    <w:p w14:paraId="2A4ECD15">
      <w:pPr>
        <w:widowControl w:val="0"/>
        <w:rPr>
          <w:rStyle w:val="37"/>
          <w:rFonts w:hint="default" w:ascii="仿宋" w:hAnsi="仿宋" w:eastAsia="仿宋" w:cs="仿宋"/>
          <w:b/>
          <w:color w:val="auto"/>
          <w:sz w:val="48"/>
          <w:szCs w:val="48"/>
          <w:highlight w:val="none"/>
          <w:lang w:val="en-US" w:eastAsia="zh-CN"/>
        </w:rPr>
      </w:pPr>
      <w:r>
        <w:rPr>
          <w:rStyle w:val="37"/>
          <w:rFonts w:hint="eastAsia" w:ascii="仿宋" w:hAnsi="仿宋" w:eastAsia="仿宋" w:cs="仿宋"/>
          <w:b/>
          <w:color w:val="auto"/>
          <w:sz w:val="48"/>
          <w:szCs w:val="48"/>
          <w:highlight w:val="none"/>
          <w:lang w:val="en-US" w:eastAsia="zh-CN"/>
        </w:rPr>
        <w:t xml:space="preserve">    </w:t>
      </w:r>
    </w:p>
    <w:p w14:paraId="3DF7D23D">
      <w:pPr>
        <w:widowControl w:val="0"/>
        <w:jc w:val="center"/>
        <w:rPr>
          <w:rStyle w:val="37"/>
          <w:rFonts w:ascii="仿宋" w:hAnsi="仿宋" w:eastAsia="仿宋" w:cs="仿宋"/>
          <w:b/>
          <w:color w:val="auto"/>
          <w:sz w:val="72"/>
          <w:szCs w:val="72"/>
          <w:highlight w:val="none"/>
        </w:rPr>
      </w:pPr>
      <w:r>
        <w:rPr>
          <w:rStyle w:val="37"/>
          <w:rFonts w:hint="eastAsia" w:ascii="仿宋" w:hAnsi="仿宋" w:eastAsia="仿宋" w:cs="仿宋"/>
          <w:b/>
          <w:color w:val="auto"/>
          <w:sz w:val="72"/>
          <w:szCs w:val="72"/>
          <w:highlight w:val="none"/>
        </w:rPr>
        <w:t>电子化投标文件</w:t>
      </w:r>
    </w:p>
    <w:p w14:paraId="5B6645F1">
      <w:pPr>
        <w:pStyle w:val="102"/>
        <w:widowControl w:val="0"/>
        <w:ind w:firstLine="361"/>
        <w:rPr>
          <w:rStyle w:val="37"/>
          <w:rFonts w:ascii="仿宋" w:hAnsi="仿宋" w:eastAsia="仿宋" w:cs="仿宋"/>
          <w:b/>
          <w:color w:val="auto"/>
          <w:sz w:val="36"/>
          <w:szCs w:val="36"/>
          <w:highlight w:val="none"/>
        </w:rPr>
      </w:pPr>
    </w:p>
    <w:p w14:paraId="00C3C712">
      <w:pPr>
        <w:pStyle w:val="102"/>
        <w:widowControl w:val="0"/>
        <w:ind w:firstLine="361"/>
        <w:rPr>
          <w:rStyle w:val="37"/>
          <w:rFonts w:ascii="仿宋" w:hAnsi="仿宋" w:eastAsia="仿宋" w:cs="仿宋"/>
          <w:b/>
          <w:color w:val="auto"/>
          <w:sz w:val="36"/>
          <w:szCs w:val="36"/>
          <w:highlight w:val="none"/>
        </w:rPr>
      </w:pPr>
    </w:p>
    <w:p w14:paraId="1F19600A">
      <w:pPr>
        <w:pStyle w:val="102"/>
        <w:widowControl w:val="0"/>
        <w:ind w:firstLine="361"/>
        <w:rPr>
          <w:rStyle w:val="37"/>
          <w:rFonts w:ascii="仿宋" w:hAnsi="仿宋" w:eastAsia="仿宋" w:cs="仿宋"/>
          <w:b/>
          <w:color w:val="auto"/>
          <w:sz w:val="36"/>
          <w:szCs w:val="36"/>
          <w:highlight w:val="none"/>
        </w:rPr>
      </w:pPr>
    </w:p>
    <w:p w14:paraId="29F69197">
      <w:pPr>
        <w:pStyle w:val="102"/>
        <w:widowControl w:val="0"/>
        <w:ind w:firstLine="361"/>
        <w:rPr>
          <w:rStyle w:val="37"/>
          <w:rFonts w:ascii="仿宋" w:hAnsi="仿宋" w:eastAsia="仿宋" w:cs="仿宋"/>
          <w:b/>
          <w:color w:val="auto"/>
          <w:sz w:val="36"/>
          <w:szCs w:val="36"/>
          <w:highlight w:val="none"/>
        </w:rPr>
      </w:pPr>
    </w:p>
    <w:p w14:paraId="062AFBB7">
      <w:pPr>
        <w:widowControl w:val="0"/>
        <w:tabs>
          <w:tab w:val="center" w:pos="5346"/>
        </w:tabs>
        <w:spacing w:line="720" w:lineRule="auto"/>
        <w:jc w:val="center"/>
        <w:rPr>
          <w:rStyle w:val="37"/>
          <w:rFonts w:ascii="仿宋" w:hAnsi="仿宋" w:eastAsia="仿宋" w:cs="仿宋"/>
          <w:b/>
          <w:color w:val="auto"/>
          <w:sz w:val="32"/>
          <w:szCs w:val="32"/>
          <w:highlight w:val="none"/>
        </w:rPr>
      </w:pPr>
      <w:r>
        <w:rPr>
          <w:rStyle w:val="37"/>
          <w:rFonts w:hint="eastAsia" w:ascii="仿宋" w:hAnsi="仿宋" w:eastAsia="仿宋" w:cs="仿宋"/>
          <w:b/>
          <w:color w:val="auto"/>
          <w:sz w:val="32"/>
          <w:szCs w:val="32"/>
          <w:highlight w:val="none"/>
        </w:rPr>
        <w:t xml:space="preserve"> 供应商名称：</w:t>
      </w:r>
      <w:r>
        <w:rPr>
          <w:rStyle w:val="37"/>
          <w:rFonts w:hint="eastAsia" w:ascii="仿宋" w:hAnsi="仿宋" w:eastAsia="仿宋" w:cs="仿宋"/>
          <w:b/>
          <w:color w:val="auto"/>
          <w:sz w:val="32"/>
          <w:szCs w:val="32"/>
          <w:highlight w:val="none"/>
          <w:u w:val="single" w:color="000000"/>
        </w:rPr>
        <w:t xml:space="preserve">               </w:t>
      </w:r>
      <w:r>
        <w:rPr>
          <w:rStyle w:val="37"/>
          <w:rFonts w:hint="eastAsia" w:ascii="仿宋" w:hAnsi="仿宋" w:eastAsia="仿宋" w:cs="仿宋"/>
          <w:b/>
          <w:color w:val="auto"/>
          <w:sz w:val="32"/>
          <w:szCs w:val="32"/>
          <w:highlight w:val="none"/>
        </w:rPr>
        <w:t>（公章）</w:t>
      </w:r>
    </w:p>
    <w:p w14:paraId="604A243B">
      <w:pPr>
        <w:widowControl w:val="0"/>
        <w:tabs>
          <w:tab w:val="right" w:leader="hyphen" w:pos="8504"/>
        </w:tabs>
        <w:spacing w:line="500" w:lineRule="exact"/>
        <w:ind w:right="720"/>
        <w:jc w:val="center"/>
        <w:rPr>
          <w:rStyle w:val="37"/>
          <w:rFonts w:ascii="仿宋" w:hAnsi="仿宋" w:eastAsia="仿宋" w:cs="仿宋"/>
          <w:b/>
          <w:color w:val="auto"/>
          <w:sz w:val="36"/>
          <w:szCs w:val="36"/>
          <w:highlight w:val="none"/>
        </w:rPr>
      </w:pPr>
      <w:r>
        <w:rPr>
          <w:rStyle w:val="37"/>
          <w:rFonts w:hint="eastAsia" w:ascii="仿宋" w:hAnsi="仿宋" w:eastAsia="仿宋" w:cs="仿宋"/>
          <w:b/>
          <w:color w:val="auto"/>
          <w:sz w:val="32"/>
          <w:szCs w:val="32"/>
          <w:highlight w:val="none"/>
        </w:rPr>
        <w:t xml:space="preserve">  年   月  日</w:t>
      </w:r>
      <w:r>
        <w:rPr>
          <w:rStyle w:val="37"/>
          <w:rFonts w:hint="eastAsia" w:ascii="仿宋" w:hAnsi="仿宋" w:eastAsia="仿宋" w:cs="仿宋"/>
          <w:b/>
          <w:color w:val="auto"/>
          <w:sz w:val="36"/>
          <w:szCs w:val="36"/>
          <w:highlight w:val="none"/>
        </w:rPr>
        <w:br w:type="page"/>
      </w:r>
    </w:p>
    <w:p w14:paraId="4A2E58B5">
      <w:pPr>
        <w:widowControl w:val="0"/>
        <w:tabs>
          <w:tab w:val="right" w:leader="hyphen" w:pos="8504"/>
        </w:tabs>
        <w:spacing w:line="500" w:lineRule="exact"/>
        <w:ind w:right="720"/>
        <w:jc w:val="center"/>
        <w:rPr>
          <w:rStyle w:val="37"/>
          <w:rFonts w:ascii="仿宋" w:hAnsi="仿宋" w:eastAsia="仿宋" w:cs="仿宋"/>
          <w:color w:val="auto"/>
          <w:sz w:val="36"/>
          <w:szCs w:val="36"/>
          <w:highlight w:val="none"/>
        </w:rPr>
      </w:pPr>
      <w:r>
        <w:rPr>
          <w:rStyle w:val="37"/>
          <w:rFonts w:hint="eastAsia" w:ascii="仿宋" w:hAnsi="仿宋" w:eastAsia="仿宋" w:cs="仿宋"/>
          <w:b/>
          <w:bCs/>
          <w:color w:val="auto"/>
          <w:sz w:val="36"/>
          <w:szCs w:val="36"/>
          <w:highlight w:val="none"/>
        </w:rPr>
        <w:t>目 录</w:t>
      </w:r>
    </w:p>
    <w:p w14:paraId="405BF63C">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left="1680" w:leftChars="200" w:right="720" w:hanging="12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t>第一部分  资格证明文件</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493BF962">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left="1680" w:leftChars="200" w:right="720" w:hanging="12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t>　　  一、营业执照等主体资格证明文件</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7DDCA538">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t>二、基本资格条件</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222C4E59">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Fonts w:hint="eastAsia" w:ascii="仿宋" w:hAnsi="仿宋" w:eastAsia="仿宋" w:cs="仿宋"/>
          <w:color w:val="auto"/>
          <w:highlight w:val="none"/>
          <w:lang w:eastAsia="zh-CN"/>
        </w:rPr>
      </w:pPr>
      <w:r>
        <w:rPr>
          <w:rStyle w:val="37"/>
          <w:rFonts w:hint="eastAsia" w:ascii="仿宋" w:hAnsi="仿宋" w:eastAsia="仿宋" w:cs="仿宋"/>
          <w:color w:val="auto"/>
          <w:highlight w:val="none"/>
          <w:lang w:val="en-US" w:eastAsia="zh-CN"/>
        </w:rPr>
        <w:t>三、</w:t>
      </w:r>
      <w:r>
        <w:rPr>
          <w:rFonts w:hint="eastAsia" w:ascii="仿宋" w:hAnsi="仿宋" w:eastAsia="仿宋" w:cs="仿宋"/>
          <w:color w:val="auto"/>
          <w:highlight w:val="none"/>
          <w:lang w:eastAsia="zh-CN"/>
        </w:rPr>
        <w:t>法定代表人（或负责人）</w:t>
      </w:r>
      <w:r>
        <w:rPr>
          <w:rFonts w:hint="eastAsia" w:ascii="仿宋" w:hAnsi="仿宋" w:eastAsia="仿宋" w:cs="仿宋"/>
          <w:color w:val="auto"/>
          <w:highlight w:val="none"/>
        </w:rPr>
        <w:t>身份证明/</w:t>
      </w:r>
      <w:r>
        <w:rPr>
          <w:rFonts w:hint="eastAsia" w:ascii="仿宋" w:hAnsi="仿宋" w:eastAsia="仿宋" w:cs="仿宋"/>
          <w:color w:val="auto"/>
          <w:highlight w:val="none"/>
          <w:lang w:eastAsia="zh-CN"/>
        </w:rPr>
        <w:t>法定代表人（或负责人）</w:t>
      </w:r>
    </w:p>
    <w:p w14:paraId="7FE67409">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680" w:firstLineChars="700"/>
        <w:textAlignment w:val="baseline"/>
        <w:outlineLvl w:val="9"/>
        <w:rPr>
          <w:rStyle w:val="37"/>
          <w:rFonts w:hint="eastAsia" w:ascii="仿宋" w:hAnsi="仿宋" w:eastAsia="仿宋" w:cs="仿宋"/>
          <w:color w:val="auto"/>
          <w:highlight w:val="none"/>
        </w:rPr>
      </w:pPr>
      <w:r>
        <w:rPr>
          <w:rFonts w:hint="eastAsia" w:ascii="仿宋" w:hAnsi="仿宋" w:eastAsia="仿宋" w:cs="仿宋"/>
          <w:color w:val="auto"/>
          <w:highlight w:val="none"/>
        </w:rPr>
        <w:t>授权委托书</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762D697B">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Style w:val="37"/>
          <w:rFonts w:hint="eastAsia" w:ascii="仿宋" w:hAnsi="仿宋" w:eastAsia="仿宋" w:cs="仿宋"/>
          <w:color w:val="auto"/>
          <w:highlight w:val="none"/>
        </w:rPr>
      </w:pPr>
      <w:r>
        <w:rPr>
          <w:rStyle w:val="37"/>
          <w:rFonts w:hint="eastAsia" w:ascii="仿宋" w:hAnsi="仿宋" w:eastAsia="仿宋" w:cs="仿宋"/>
          <w:color w:val="auto"/>
          <w:highlight w:val="none"/>
          <w:lang w:val="en-US" w:eastAsia="zh-CN"/>
        </w:rPr>
        <w:t>四、供应商资质</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27676EC5">
      <w:pPr>
        <w:tabs>
          <w:tab w:val="right" w:leader="hyphen" w:pos="8504"/>
        </w:tabs>
        <w:spacing w:line="500" w:lineRule="exact"/>
        <w:ind w:right="720" w:rightChars="300" w:firstLine="1200" w:firstLineChars="500"/>
        <w:rPr>
          <w:rStyle w:val="37"/>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eastAsia="zh-CN"/>
        </w:rPr>
        <w:t>、</w:t>
      </w:r>
      <w:r>
        <w:rPr>
          <w:rFonts w:hint="eastAsia" w:ascii="仿宋" w:hAnsi="仿宋" w:eastAsia="仿宋" w:cs="仿宋"/>
          <w:bCs/>
          <w:color w:val="auto"/>
          <w:sz w:val="24"/>
          <w:szCs w:val="24"/>
          <w:highlight w:val="none"/>
          <w:lang w:eastAsia="zh-CN"/>
        </w:rPr>
        <w:t>食品召回书面声明</w:t>
      </w:r>
      <w:r>
        <w:rPr>
          <w:rFonts w:hint="eastAsia" w:ascii="仿宋" w:hAnsi="仿宋" w:eastAsia="仿宋" w:cs="仿宋"/>
          <w:color w:val="auto"/>
          <w:highlight w:val="none"/>
        </w:rPr>
        <w:tab/>
      </w:r>
      <w:r>
        <w:rPr>
          <w:rFonts w:hint="eastAsia" w:ascii="仿宋" w:hAnsi="仿宋" w:eastAsia="仿宋" w:cs="仿宋"/>
          <w:color w:val="auto"/>
          <w:highlight w:val="none"/>
        </w:rPr>
        <w:t>X</w:t>
      </w:r>
    </w:p>
    <w:p w14:paraId="0A1907ED">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lang w:val="en-US" w:eastAsia="zh-CN"/>
        </w:rPr>
        <w:t>六、</w:t>
      </w:r>
      <w:r>
        <w:rPr>
          <w:rStyle w:val="37"/>
          <w:rFonts w:hint="eastAsia" w:ascii="仿宋" w:hAnsi="仿宋" w:eastAsia="仿宋" w:cs="仿宋"/>
          <w:color w:val="auto"/>
          <w:highlight w:val="none"/>
        </w:rPr>
        <w:t>信用记录声明</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7E43CE94">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lang w:val="en-US" w:eastAsia="zh-CN"/>
        </w:rPr>
        <w:t>七</w:t>
      </w:r>
      <w:r>
        <w:rPr>
          <w:rStyle w:val="37"/>
          <w:rFonts w:hint="eastAsia" w:ascii="仿宋" w:hAnsi="仿宋" w:eastAsia="仿宋" w:cs="仿宋"/>
          <w:color w:val="auto"/>
          <w:highlight w:val="none"/>
        </w:rPr>
        <w:t>、控股管理关系承诺书</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7159BEBB">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lang w:val="en-US" w:eastAsia="zh-CN"/>
        </w:rPr>
        <w:t>八</w:t>
      </w:r>
      <w:r>
        <w:rPr>
          <w:rStyle w:val="37"/>
          <w:rFonts w:hint="eastAsia" w:ascii="仿宋" w:hAnsi="仿宋" w:eastAsia="仿宋" w:cs="仿宋"/>
          <w:color w:val="auto"/>
          <w:highlight w:val="none"/>
        </w:rPr>
        <w:t>、供应商书面声明</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7799658A">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left="1680" w:leftChars="200" w:right="720" w:hanging="12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t xml:space="preserve">　　  </w:t>
      </w:r>
      <w:r>
        <w:rPr>
          <w:rStyle w:val="37"/>
          <w:rFonts w:hint="eastAsia" w:ascii="仿宋" w:hAnsi="仿宋" w:eastAsia="仿宋" w:cs="仿宋"/>
          <w:color w:val="auto"/>
          <w:highlight w:val="none"/>
          <w:lang w:val="en-US" w:eastAsia="zh-CN"/>
        </w:rPr>
        <w:t>九</w:t>
      </w:r>
      <w:r>
        <w:rPr>
          <w:rStyle w:val="37"/>
          <w:rFonts w:hint="eastAsia" w:ascii="仿宋" w:hAnsi="仿宋" w:eastAsia="仿宋" w:cs="仿宋"/>
          <w:color w:val="auto"/>
          <w:highlight w:val="none"/>
        </w:rPr>
        <w:t>、供应商参与投标的承诺函</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519EBF82">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left="1680" w:leftChars="500" w:right="720" w:hanging="480"/>
        <w:textAlignment w:val="baseline"/>
        <w:outlineLvl w:val="9"/>
        <w:rPr>
          <w:rStyle w:val="37"/>
          <w:rFonts w:ascii="仿宋" w:hAnsi="仿宋" w:eastAsia="仿宋" w:cs="仿宋"/>
          <w:color w:val="auto"/>
          <w:szCs w:val="22"/>
          <w:highlight w:val="none"/>
        </w:rPr>
      </w:pPr>
      <w:r>
        <w:rPr>
          <w:rStyle w:val="37"/>
          <w:rFonts w:hint="eastAsia" w:ascii="仿宋" w:hAnsi="仿宋" w:eastAsia="仿宋" w:cs="仿宋"/>
          <w:color w:val="auto"/>
          <w:szCs w:val="22"/>
          <w:highlight w:val="none"/>
          <w:lang w:val="en-US" w:eastAsia="zh-CN"/>
        </w:rPr>
        <w:t>十</w:t>
      </w:r>
      <w:r>
        <w:rPr>
          <w:rStyle w:val="37"/>
          <w:rFonts w:hint="eastAsia" w:ascii="仿宋" w:hAnsi="仿宋" w:eastAsia="仿宋" w:cs="仿宋"/>
          <w:color w:val="auto"/>
          <w:szCs w:val="22"/>
          <w:highlight w:val="none"/>
        </w:rPr>
        <w:t>、本项目不接受联合体投标，不允许分包</w:t>
      </w:r>
      <w:r>
        <w:rPr>
          <w:rStyle w:val="37"/>
          <w:rFonts w:hint="eastAsia" w:ascii="仿宋" w:hAnsi="仿宋" w:eastAsia="仿宋" w:cs="仿宋"/>
          <w:color w:val="auto"/>
          <w:szCs w:val="22"/>
          <w:highlight w:val="none"/>
        </w:rPr>
        <w:tab/>
      </w:r>
      <w:r>
        <w:rPr>
          <w:rStyle w:val="37"/>
          <w:rFonts w:hint="eastAsia" w:ascii="仿宋" w:hAnsi="仿宋" w:eastAsia="仿宋" w:cs="仿宋"/>
          <w:color w:val="auto"/>
          <w:szCs w:val="22"/>
          <w:highlight w:val="none"/>
        </w:rPr>
        <w:t>X</w:t>
      </w:r>
    </w:p>
    <w:p w14:paraId="4245F93F">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left="1680" w:leftChars="200" w:right="720" w:hanging="12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t>第二部分  符合性证明文件</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6DFD067B">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Style w:val="37"/>
          <w:rFonts w:hint="eastAsia" w:ascii="仿宋" w:hAnsi="仿宋" w:eastAsia="仿宋" w:cs="仿宋"/>
          <w:color w:val="auto"/>
          <w:highlight w:val="none"/>
        </w:rPr>
      </w:pPr>
      <w:r>
        <w:rPr>
          <w:rStyle w:val="37"/>
          <w:rFonts w:hint="eastAsia" w:ascii="仿宋" w:hAnsi="仿宋" w:eastAsia="仿宋" w:cs="仿宋"/>
          <w:color w:val="auto"/>
          <w:highlight w:val="none"/>
        </w:rPr>
        <w:t>一、</w:t>
      </w:r>
      <w:r>
        <w:rPr>
          <w:rStyle w:val="37"/>
          <w:rFonts w:hint="eastAsia" w:ascii="仿宋" w:hAnsi="仿宋" w:eastAsia="仿宋" w:cs="仿宋"/>
          <w:color w:val="auto"/>
          <w:highlight w:val="none"/>
          <w:lang w:eastAsia="zh-CN"/>
        </w:rPr>
        <w:t>投标函</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5922C827">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Style w:val="37"/>
          <w:rFonts w:hint="default" w:ascii="仿宋" w:hAnsi="仿宋" w:eastAsia="仿宋" w:cs="仿宋"/>
          <w:color w:val="auto"/>
          <w:highlight w:val="none"/>
          <w:lang w:val="en-US" w:eastAsia="zh-CN"/>
        </w:rPr>
      </w:pPr>
      <w:r>
        <w:rPr>
          <w:rStyle w:val="37"/>
          <w:rFonts w:hint="eastAsia" w:ascii="仿宋" w:hAnsi="仿宋" w:eastAsia="仿宋" w:cs="仿宋"/>
          <w:color w:val="auto"/>
          <w:highlight w:val="none"/>
          <w:lang w:val="en-US" w:eastAsia="zh-CN"/>
        </w:rPr>
        <w:t>二、材料清单品牌型号规格表</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333C4F3F">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lang w:val="en-US" w:eastAsia="zh-CN"/>
        </w:rPr>
        <w:t>三</w:t>
      </w:r>
      <w:r>
        <w:rPr>
          <w:rStyle w:val="37"/>
          <w:rFonts w:hint="eastAsia" w:ascii="仿宋" w:hAnsi="仿宋" w:eastAsia="仿宋" w:cs="仿宋"/>
          <w:color w:val="auto"/>
          <w:highlight w:val="none"/>
        </w:rPr>
        <w:t>、供应商参加政府采购活动承诺书</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5C6CE80B">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left="1680" w:leftChars="500" w:right="720" w:hanging="480"/>
        <w:textAlignment w:val="baseline"/>
        <w:outlineLvl w:val="9"/>
        <w:rPr>
          <w:rStyle w:val="37"/>
          <w:rFonts w:hint="eastAsia" w:ascii="仿宋" w:hAnsi="仿宋" w:eastAsia="仿宋" w:cs="仿宋"/>
          <w:color w:val="auto"/>
          <w:highlight w:val="none"/>
        </w:rPr>
      </w:pPr>
      <w:r>
        <w:rPr>
          <w:rStyle w:val="37"/>
          <w:rFonts w:hint="eastAsia" w:ascii="仿宋" w:hAnsi="仿宋" w:eastAsia="仿宋" w:cs="仿宋"/>
          <w:color w:val="auto"/>
          <w:highlight w:val="none"/>
          <w:lang w:val="en-US" w:eastAsia="zh-CN"/>
        </w:rPr>
        <w:t>四</w:t>
      </w:r>
      <w:r>
        <w:rPr>
          <w:rStyle w:val="37"/>
          <w:rFonts w:hint="eastAsia" w:ascii="仿宋" w:hAnsi="仿宋" w:eastAsia="仿宋" w:cs="仿宋"/>
          <w:color w:val="auto"/>
          <w:highlight w:val="none"/>
        </w:rPr>
        <w:t>、技术服务偏差表</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49D65CD6">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left="1680" w:leftChars="500" w:right="720" w:hanging="480"/>
        <w:textAlignment w:val="baseline"/>
        <w:outlineLvl w:val="9"/>
        <w:rPr>
          <w:rStyle w:val="37"/>
          <w:rFonts w:hint="eastAsia" w:ascii="仿宋" w:hAnsi="仿宋" w:eastAsia="仿宋" w:cs="仿宋"/>
          <w:color w:val="auto"/>
          <w:highlight w:val="none"/>
        </w:rPr>
      </w:pPr>
      <w:r>
        <w:rPr>
          <w:rStyle w:val="37"/>
          <w:rFonts w:hint="eastAsia" w:ascii="仿宋" w:hAnsi="仿宋" w:eastAsia="仿宋" w:cs="仿宋"/>
          <w:color w:val="auto"/>
          <w:highlight w:val="none"/>
          <w:lang w:val="en-US" w:eastAsia="zh-CN"/>
        </w:rPr>
        <w:t>五、</w:t>
      </w:r>
      <w:r>
        <w:rPr>
          <w:rStyle w:val="37"/>
          <w:rFonts w:hint="eastAsia" w:ascii="仿宋" w:hAnsi="仿宋" w:eastAsia="仿宋" w:cs="仿宋"/>
          <w:color w:val="auto"/>
          <w:highlight w:val="none"/>
        </w:rPr>
        <w:t>合同条款偏离表</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0DC4BED5">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480" w:firstLineChars="2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t>第三部分  投标方案</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5D7447CF">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firstLine="1200" w:firstLineChars="50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t>一、技术方案</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090830B5">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textAlignment w:val="baseline"/>
        <w:outlineLvl w:val="9"/>
        <w:rPr>
          <w:rStyle w:val="37"/>
          <w:rFonts w:hint="eastAsia" w:ascii="仿宋" w:hAnsi="仿宋" w:eastAsia="仿宋" w:cs="仿宋"/>
          <w:color w:val="auto"/>
          <w:highlight w:val="none"/>
        </w:rPr>
      </w:pPr>
      <w:r>
        <w:rPr>
          <w:rStyle w:val="37"/>
          <w:rFonts w:hint="eastAsia" w:ascii="仿宋" w:hAnsi="仿宋" w:eastAsia="仿宋" w:cs="仿宋"/>
          <w:color w:val="auto"/>
          <w:highlight w:val="none"/>
        </w:rPr>
        <w:t xml:space="preserve">          </w:t>
      </w:r>
      <w:r>
        <w:rPr>
          <w:rStyle w:val="37"/>
          <w:rFonts w:hint="eastAsia" w:ascii="仿宋" w:hAnsi="仿宋" w:eastAsia="仿宋" w:cs="仿宋"/>
          <w:color w:val="auto"/>
          <w:highlight w:val="none"/>
          <w:lang w:val="en-US" w:eastAsia="zh-CN"/>
        </w:rPr>
        <w:t>二</w:t>
      </w:r>
      <w:r>
        <w:rPr>
          <w:rStyle w:val="37"/>
          <w:rFonts w:hint="eastAsia" w:ascii="仿宋" w:hAnsi="仿宋" w:eastAsia="仿宋" w:cs="仿宋"/>
          <w:color w:val="auto"/>
          <w:highlight w:val="none"/>
        </w:rPr>
        <w:t>、供应商认为有利于中标的其他情况说明</w:t>
      </w:r>
      <w:r>
        <w:rPr>
          <w:rStyle w:val="37"/>
          <w:rFonts w:hint="eastAsia" w:ascii="仿宋" w:hAnsi="仿宋" w:eastAsia="仿宋" w:cs="仿宋"/>
          <w:color w:val="auto"/>
          <w:highlight w:val="none"/>
        </w:rPr>
        <w:tab/>
      </w:r>
      <w:r>
        <w:rPr>
          <w:rStyle w:val="37"/>
          <w:rFonts w:hint="eastAsia" w:ascii="仿宋" w:hAnsi="仿宋" w:eastAsia="仿宋" w:cs="仿宋"/>
          <w:color w:val="auto"/>
          <w:highlight w:val="none"/>
        </w:rPr>
        <w:t>X</w:t>
      </w:r>
    </w:p>
    <w:p w14:paraId="418C4B6B">
      <w:pPr>
        <w:keepNext w:val="0"/>
        <w:keepLines w:val="0"/>
        <w:pageBreakBefore w:val="0"/>
        <w:widowControl w:val="0"/>
        <w:tabs>
          <w:tab w:val="right" w:leader="hyphen" w:pos="8504"/>
        </w:tabs>
        <w:kinsoku/>
        <w:wordWrap/>
        <w:overflowPunct/>
        <w:topLinePunct w:val="0"/>
        <w:autoSpaceDE/>
        <w:autoSpaceDN/>
        <w:bidi w:val="0"/>
        <w:adjustRightInd/>
        <w:snapToGrid/>
        <w:spacing w:line="360" w:lineRule="auto"/>
        <w:ind w:right="720"/>
        <w:textAlignment w:val="baseline"/>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br w:type="page"/>
      </w:r>
    </w:p>
    <w:p w14:paraId="07C9AFE2">
      <w:pPr>
        <w:widowControl w:val="0"/>
        <w:jc w:val="center"/>
        <w:outlineLvl w:val="1"/>
        <w:rPr>
          <w:rStyle w:val="37"/>
          <w:rFonts w:ascii="仿宋" w:hAnsi="仿宋" w:eastAsia="仿宋" w:cs="仿宋"/>
          <w:color w:val="auto"/>
          <w:sz w:val="32"/>
          <w:szCs w:val="32"/>
          <w:highlight w:val="none"/>
        </w:rPr>
      </w:pPr>
      <w:r>
        <w:rPr>
          <w:rStyle w:val="37"/>
          <w:rFonts w:hint="eastAsia" w:ascii="仿宋" w:hAnsi="仿宋" w:eastAsia="仿宋" w:cs="仿宋"/>
          <w:b/>
          <w:bCs/>
          <w:color w:val="auto"/>
          <w:sz w:val="32"/>
          <w:szCs w:val="32"/>
          <w:highlight w:val="none"/>
        </w:rPr>
        <w:t>第一部分 资格证明文件</w:t>
      </w:r>
    </w:p>
    <w:p w14:paraId="17549C81">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供应商应按照招标文件第五章评标方法“资格评审标准”逐一提供全部资格证明文件。缺少其中任何一项，其投标文件将被视为无效文件。其中，文件中给定格式的，须按下文给定格式填写。</w:t>
      </w:r>
    </w:p>
    <w:p w14:paraId="2862CC9B">
      <w:pPr>
        <w:pStyle w:val="62"/>
        <w:widowControl w:val="0"/>
        <w:rPr>
          <w:rStyle w:val="37"/>
          <w:rFonts w:ascii="仿宋" w:hAnsi="仿宋" w:eastAsia="仿宋" w:cs="仿宋"/>
          <w:color w:val="auto"/>
          <w:highlight w:val="none"/>
        </w:rPr>
      </w:pPr>
    </w:p>
    <w:p w14:paraId="2DA61C0F">
      <w:pPr>
        <w:widowControl w:val="0"/>
        <w:spacing w:line="360" w:lineRule="auto"/>
        <w:outlineLvl w:val="2"/>
        <w:rPr>
          <w:rStyle w:val="37"/>
          <w:rFonts w:ascii="仿宋" w:hAnsi="仿宋" w:eastAsia="仿宋" w:cs="仿宋"/>
          <w:b/>
          <w:bCs/>
          <w:color w:val="auto"/>
          <w:sz w:val="30"/>
          <w:szCs w:val="30"/>
          <w:highlight w:val="none"/>
        </w:rPr>
      </w:pPr>
      <w:r>
        <w:rPr>
          <w:rStyle w:val="37"/>
          <w:rFonts w:hint="eastAsia" w:ascii="仿宋" w:hAnsi="仿宋" w:eastAsia="仿宋" w:cs="仿宋"/>
          <w:b/>
          <w:bCs/>
          <w:color w:val="auto"/>
          <w:sz w:val="30"/>
          <w:szCs w:val="30"/>
          <w:highlight w:val="none"/>
        </w:rPr>
        <w:t>一、营业执照等主体资格证明文件</w:t>
      </w:r>
    </w:p>
    <w:p w14:paraId="386F78C2">
      <w:pPr>
        <w:widowControl/>
        <w:spacing w:line="500" w:lineRule="exact"/>
        <w:ind w:firstLine="480" w:firstLineChars="200"/>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t>说明：</w:t>
      </w:r>
      <w:r>
        <w:rPr>
          <w:rStyle w:val="37"/>
          <w:rFonts w:hint="eastAsia" w:ascii="仿宋" w:hAnsi="仿宋" w:eastAsia="仿宋" w:cs="仿宋"/>
          <w:b w:val="0"/>
          <w:i w:val="0"/>
          <w:caps w:val="0"/>
          <w:color w:val="auto"/>
          <w:spacing w:val="0"/>
          <w:w w:val="100"/>
          <w:sz w:val="24"/>
          <w:szCs w:val="24"/>
          <w:highlight w:val="none"/>
          <w:lang w:val="en-US" w:eastAsia="zh-CN" w:bidi="ar-SA"/>
        </w:rPr>
        <w:t>提供有效存续的企业营业执照（副本）/事业单位法人证书/专业服务机构执业许可证/民办非企业单位登记证书/自然人身份证明；</w:t>
      </w:r>
    </w:p>
    <w:p w14:paraId="066130DB">
      <w:pPr>
        <w:widowControl w:val="0"/>
        <w:spacing w:line="360" w:lineRule="auto"/>
        <w:outlineLvl w:val="2"/>
        <w:rPr>
          <w:rStyle w:val="37"/>
          <w:rFonts w:hint="eastAsia" w:ascii="仿宋" w:hAnsi="仿宋" w:eastAsia="仿宋" w:cs="仿宋"/>
          <w:b/>
          <w:bCs/>
          <w:color w:val="auto"/>
          <w:sz w:val="30"/>
          <w:szCs w:val="30"/>
          <w:highlight w:val="none"/>
        </w:rPr>
      </w:pPr>
      <w:bookmarkStart w:id="32" w:name="_Toc22044"/>
      <w:r>
        <w:rPr>
          <w:rStyle w:val="37"/>
          <w:rFonts w:hint="eastAsia" w:ascii="仿宋" w:hAnsi="仿宋" w:eastAsia="仿宋" w:cs="仿宋"/>
          <w:b/>
          <w:bCs/>
          <w:color w:val="auto"/>
          <w:sz w:val="30"/>
          <w:szCs w:val="30"/>
          <w:highlight w:val="none"/>
        </w:rPr>
        <w:t>二、</w:t>
      </w:r>
      <w:bookmarkEnd w:id="32"/>
      <w:r>
        <w:rPr>
          <w:rStyle w:val="37"/>
          <w:rFonts w:hint="eastAsia" w:ascii="仿宋" w:hAnsi="仿宋" w:eastAsia="仿宋" w:cs="仿宋"/>
          <w:b/>
          <w:bCs/>
          <w:color w:val="auto"/>
          <w:sz w:val="30"/>
          <w:szCs w:val="30"/>
          <w:highlight w:val="none"/>
        </w:rPr>
        <w:t>基本资格条件</w:t>
      </w:r>
    </w:p>
    <w:p w14:paraId="3B1195A4">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基本资格条件承诺函</w:t>
      </w:r>
    </w:p>
    <w:p w14:paraId="3FB206B0">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致</w:t>
      </w:r>
      <w:r>
        <w:rPr>
          <w:rFonts w:hint="eastAsia" w:ascii="仿宋" w:hAnsi="仿宋" w:eastAsia="仿宋" w:cs="仿宋"/>
          <w:color w:val="auto"/>
          <w:kern w:val="2"/>
          <w:sz w:val="22"/>
          <w:szCs w:val="22"/>
          <w:highlight w:val="none"/>
          <w:u w:val="single"/>
          <w:lang w:val="en-US" w:eastAsia="zh-CN" w:bidi="ar-SA"/>
        </w:rPr>
        <w:t xml:space="preserve">                </w:t>
      </w:r>
      <w:r>
        <w:rPr>
          <w:rFonts w:hint="eastAsia" w:ascii="仿宋" w:hAnsi="仿宋" w:eastAsia="仿宋" w:cs="仿宋"/>
          <w:color w:val="auto"/>
          <w:kern w:val="2"/>
          <w:sz w:val="22"/>
          <w:szCs w:val="22"/>
          <w:highlight w:val="none"/>
          <w:lang w:val="en-US" w:eastAsia="zh-CN" w:bidi="ar-SA"/>
        </w:rPr>
        <w:t>（采购代理机构名称）：</w:t>
      </w:r>
    </w:p>
    <w:p w14:paraId="147851D4">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  </w:t>
      </w:r>
      <w:r>
        <w:rPr>
          <w:rFonts w:hint="eastAsia" w:ascii="仿宋" w:hAnsi="仿宋" w:eastAsia="仿宋" w:cs="仿宋"/>
          <w:color w:val="auto"/>
          <w:kern w:val="2"/>
          <w:sz w:val="22"/>
          <w:szCs w:val="22"/>
          <w:highlight w:val="none"/>
          <w:u w:val="single"/>
          <w:lang w:val="en-US" w:eastAsia="zh-CN" w:bidi="ar-SA"/>
        </w:rPr>
        <w:t xml:space="preserve">               </w:t>
      </w:r>
      <w:r>
        <w:rPr>
          <w:rFonts w:hint="eastAsia" w:ascii="仿宋" w:hAnsi="仿宋" w:eastAsia="仿宋" w:cs="仿宋"/>
          <w:color w:val="auto"/>
          <w:kern w:val="2"/>
          <w:sz w:val="22"/>
          <w:szCs w:val="22"/>
          <w:highlight w:val="none"/>
          <w:lang w:val="en-US" w:eastAsia="zh-CN" w:bidi="ar-SA"/>
        </w:rPr>
        <w:t xml:space="preserve">（投标人名称）郑重承诺： </w:t>
      </w:r>
    </w:p>
    <w:p w14:paraId="0AA82AD9">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1.我方具有良好的商业信誉和健全的财务会计制度，具有履行合同所必需的设备和专业技术能力，具有依法缴纳税收和社会保障金的良好记录，参加本项目采购活动前三年内无重大违法活动记录。</w:t>
      </w:r>
    </w:p>
    <w:p w14:paraId="27C9A30D">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2.我方未列入在信用中国网站（www.creditchina.gov.cn）“失信被执行人”、“重大税收违法失信主体名单”中，也未列入中国政府采购网（www.ccgp.gov.cn）“政府采购严重违法失信行为记录名单”中。</w:t>
      </w:r>
    </w:p>
    <w:p w14:paraId="4F055D1A">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3.我方在采购项目评审（评标）环节结束后，随时接受采购人、采购代理机构的检查验证，配合提供相关证明材料，证明符合《中华人民共和国政府采购法》规定的投标人基本资格条件。</w:t>
      </w:r>
    </w:p>
    <w:p w14:paraId="689A976B">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我方对以上承诺负全部法律责任。 </w:t>
      </w:r>
    </w:p>
    <w:p w14:paraId="02D8681C">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特此承诺。</w:t>
      </w:r>
    </w:p>
    <w:p w14:paraId="0A6183AE">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                                                     （投标人公章）</w:t>
      </w:r>
    </w:p>
    <w:p w14:paraId="7ED84473">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                                                     年    月    日</w:t>
      </w:r>
    </w:p>
    <w:p w14:paraId="7580FC4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br w:type="page"/>
      </w:r>
      <w:r>
        <w:rPr>
          <w:rFonts w:hint="eastAsia" w:ascii="仿宋" w:hAnsi="仿宋" w:eastAsia="仿宋" w:cs="仿宋"/>
          <w:b w:val="0"/>
          <w:bCs w:val="0"/>
          <w:color w:val="auto"/>
          <w:sz w:val="22"/>
          <w:szCs w:val="22"/>
          <w:highlight w:val="none"/>
        </w:rPr>
        <w:t>供应商应对承诺内容的真实性、合法性、有效性负责。经调查核实为虚假承诺的，视同为“提供虚假材料谋取中标、成交”的违法行为，依照《中华人民共和国政府采购法》等法律法规追究相应责任。</w:t>
      </w:r>
    </w:p>
    <w:p w14:paraId="4EE34EA2">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备注：</w:t>
      </w:r>
      <w:r>
        <w:rPr>
          <w:rFonts w:hint="eastAsia" w:ascii="仿宋" w:hAnsi="仿宋" w:eastAsia="仿宋" w:cs="仿宋"/>
          <w:b w:val="0"/>
          <w:bCs w:val="0"/>
          <w:color w:val="auto"/>
          <w:sz w:val="22"/>
          <w:szCs w:val="22"/>
          <w:highlight w:val="none"/>
        </w:rPr>
        <w:t>不提供《基本资格条件承诺函》的供应商需提交如下资格证明文件：</w:t>
      </w:r>
    </w:p>
    <w:p w14:paraId="57B6D0C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①财务状况报告：提供具有经审计资质单位出具的</w:t>
      </w:r>
      <w:r>
        <w:rPr>
          <w:rFonts w:hint="eastAsia" w:ascii="仿宋" w:hAnsi="仿宋" w:eastAsia="仿宋" w:cs="仿宋"/>
          <w:b w:val="0"/>
          <w:bCs w:val="0"/>
          <w:color w:val="auto"/>
          <w:sz w:val="22"/>
          <w:szCs w:val="22"/>
          <w:highlight w:val="none"/>
          <w:lang w:eastAsia="zh-CN"/>
        </w:rPr>
        <w:t>2023年度或2024年度</w:t>
      </w:r>
      <w:r>
        <w:rPr>
          <w:rFonts w:hint="eastAsia" w:ascii="仿宋" w:hAnsi="仿宋" w:eastAsia="仿宋" w:cs="仿宋"/>
          <w:b w:val="0"/>
          <w:bCs w:val="0"/>
          <w:color w:val="auto"/>
          <w:sz w:val="22"/>
          <w:szCs w:val="22"/>
          <w:highlight w:val="none"/>
        </w:rPr>
        <w:t>的财务审计报告，成立时间至提交</w:t>
      </w:r>
      <w:r>
        <w:rPr>
          <w:rFonts w:hint="eastAsia" w:ascii="仿宋" w:hAnsi="仿宋" w:eastAsia="仿宋" w:cs="仿宋"/>
          <w:b w:val="0"/>
          <w:bCs w:val="0"/>
          <w:color w:val="auto"/>
          <w:sz w:val="22"/>
          <w:szCs w:val="22"/>
          <w:highlight w:val="none"/>
          <w:lang w:val="en-US" w:eastAsia="zh-CN"/>
        </w:rPr>
        <w:t>投标</w:t>
      </w:r>
      <w:r>
        <w:rPr>
          <w:rFonts w:hint="eastAsia" w:ascii="仿宋" w:hAnsi="仿宋" w:eastAsia="仿宋" w:cs="仿宋"/>
          <w:b w:val="0"/>
          <w:bCs w:val="0"/>
          <w:color w:val="auto"/>
          <w:sz w:val="22"/>
          <w:szCs w:val="22"/>
          <w:highlight w:val="none"/>
        </w:rPr>
        <w:t>文件截止时间不足一年的可提供成立后任意时段的资产负债表；或其开标前六个月内基本存款账户开户银行出具的资信证明。（以上两种形式的资料提供任何一种即可）；</w:t>
      </w:r>
    </w:p>
    <w:p w14:paraId="79CF8314">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②提供具有履行合同所必需的设备和专业技术能力的承诺；</w:t>
      </w:r>
    </w:p>
    <w:p w14:paraId="4C49128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③</w:t>
      </w:r>
      <w:r>
        <w:rPr>
          <w:rFonts w:hint="eastAsia" w:ascii="仿宋" w:hAnsi="仿宋" w:eastAsia="仿宋" w:cs="仿宋"/>
          <w:b w:val="0"/>
          <w:bCs w:val="0"/>
          <w:color w:val="auto"/>
          <w:sz w:val="22"/>
          <w:szCs w:val="22"/>
          <w:highlight w:val="none"/>
          <w:lang w:eastAsia="zh-CN"/>
        </w:rPr>
        <w:t>提供开标时间前6个月内任意时段</w:t>
      </w:r>
      <w:r>
        <w:rPr>
          <w:rFonts w:hint="eastAsia" w:ascii="仿宋" w:hAnsi="仿宋" w:eastAsia="仿宋" w:cs="仿宋"/>
          <w:b w:val="0"/>
          <w:bCs w:val="0"/>
          <w:color w:val="auto"/>
          <w:sz w:val="22"/>
          <w:szCs w:val="22"/>
          <w:highlight w:val="none"/>
        </w:rPr>
        <w:t>的纳税证明或完税证明（除印花税外任意税种），纳税证明或完税证明上应有代收机构或税务机关的公章或业务专用章。依法免税的供应商应提供相关文件证明；</w:t>
      </w:r>
    </w:p>
    <w:p w14:paraId="774E959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④</w:t>
      </w:r>
      <w:r>
        <w:rPr>
          <w:rFonts w:hint="eastAsia" w:ascii="仿宋" w:hAnsi="仿宋" w:eastAsia="仿宋" w:cs="仿宋"/>
          <w:b w:val="0"/>
          <w:bCs w:val="0"/>
          <w:color w:val="auto"/>
          <w:sz w:val="22"/>
          <w:szCs w:val="22"/>
          <w:highlight w:val="none"/>
          <w:lang w:eastAsia="zh-CN"/>
        </w:rPr>
        <w:t>提供开标时间前6个月内任意时段</w:t>
      </w:r>
      <w:r>
        <w:rPr>
          <w:rFonts w:hint="eastAsia" w:ascii="仿宋" w:hAnsi="仿宋" w:eastAsia="仿宋" w:cs="仿宋"/>
          <w:b w:val="0"/>
          <w:bCs w:val="0"/>
          <w:color w:val="auto"/>
          <w:sz w:val="22"/>
          <w:szCs w:val="22"/>
          <w:highlight w:val="none"/>
        </w:rPr>
        <w:t>的社会保障资金缴存单据或社保机构开具的社会保险参保缴费情况证明，依法不需要缴纳社会保障资金的单位应提供相关证明材料；</w:t>
      </w:r>
    </w:p>
    <w:p w14:paraId="40E3C5D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⑤参加政府采购活动前3年内，在经营活动中没有重大违法记录的书面声明。</w:t>
      </w:r>
    </w:p>
    <w:p w14:paraId="6EA8F9EE">
      <w:pPr>
        <w:widowControl w:val="0"/>
        <w:rPr>
          <w:rStyle w:val="37"/>
          <w:rFonts w:hint="eastAsia" w:ascii="仿宋" w:hAnsi="仿宋" w:eastAsia="仿宋" w:cs="仿宋"/>
          <w:b/>
          <w:bCs/>
          <w:color w:val="auto"/>
          <w:sz w:val="30"/>
          <w:szCs w:val="30"/>
          <w:highlight w:val="none"/>
        </w:rPr>
      </w:pPr>
    </w:p>
    <w:p w14:paraId="3C5C1556">
      <w:pPr>
        <w:widowControl w:val="0"/>
        <w:rPr>
          <w:rStyle w:val="37"/>
          <w:rFonts w:hint="eastAsia" w:ascii="仿宋" w:hAnsi="仿宋" w:eastAsia="仿宋" w:cs="仿宋"/>
          <w:b/>
          <w:bCs/>
          <w:color w:val="auto"/>
          <w:sz w:val="30"/>
          <w:szCs w:val="30"/>
          <w:highlight w:val="none"/>
        </w:rPr>
      </w:pPr>
    </w:p>
    <w:p w14:paraId="170E2999">
      <w:pPr>
        <w:widowControl w:val="0"/>
        <w:rPr>
          <w:rStyle w:val="37"/>
          <w:rFonts w:hint="eastAsia" w:ascii="仿宋" w:hAnsi="仿宋" w:eastAsia="仿宋" w:cs="仿宋"/>
          <w:b/>
          <w:bCs/>
          <w:color w:val="auto"/>
          <w:sz w:val="30"/>
          <w:szCs w:val="30"/>
          <w:highlight w:val="none"/>
        </w:rPr>
      </w:pPr>
    </w:p>
    <w:p w14:paraId="406DCBFD">
      <w:pPr>
        <w:widowControl w:val="0"/>
        <w:rPr>
          <w:rStyle w:val="37"/>
          <w:rFonts w:hint="eastAsia" w:ascii="仿宋" w:hAnsi="仿宋" w:eastAsia="仿宋" w:cs="仿宋"/>
          <w:b/>
          <w:bCs/>
          <w:color w:val="auto"/>
          <w:sz w:val="30"/>
          <w:szCs w:val="30"/>
          <w:highlight w:val="none"/>
        </w:rPr>
      </w:pPr>
    </w:p>
    <w:p w14:paraId="08C4B340">
      <w:pPr>
        <w:widowControl w:val="0"/>
        <w:rPr>
          <w:rStyle w:val="37"/>
          <w:rFonts w:hint="eastAsia" w:ascii="仿宋" w:hAnsi="仿宋" w:eastAsia="仿宋" w:cs="仿宋"/>
          <w:b/>
          <w:bCs/>
          <w:color w:val="auto"/>
          <w:sz w:val="30"/>
          <w:szCs w:val="30"/>
          <w:highlight w:val="none"/>
        </w:rPr>
      </w:pPr>
    </w:p>
    <w:p w14:paraId="2E126329">
      <w:pPr>
        <w:widowControl w:val="0"/>
        <w:rPr>
          <w:rStyle w:val="37"/>
          <w:rFonts w:hint="eastAsia" w:ascii="仿宋" w:hAnsi="仿宋" w:eastAsia="仿宋" w:cs="仿宋"/>
          <w:b/>
          <w:bCs/>
          <w:color w:val="auto"/>
          <w:sz w:val="30"/>
          <w:szCs w:val="30"/>
          <w:highlight w:val="none"/>
        </w:rPr>
      </w:pPr>
    </w:p>
    <w:p w14:paraId="208E6643">
      <w:pPr>
        <w:widowControl w:val="0"/>
        <w:rPr>
          <w:rStyle w:val="37"/>
          <w:rFonts w:hint="eastAsia" w:ascii="仿宋" w:hAnsi="仿宋" w:eastAsia="仿宋" w:cs="仿宋"/>
          <w:b/>
          <w:bCs/>
          <w:color w:val="auto"/>
          <w:sz w:val="30"/>
          <w:szCs w:val="30"/>
          <w:highlight w:val="none"/>
        </w:rPr>
      </w:pPr>
    </w:p>
    <w:p w14:paraId="7968867B">
      <w:pPr>
        <w:widowControl w:val="0"/>
        <w:rPr>
          <w:rStyle w:val="37"/>
          <w:rFonts w:hint="eastAsia" w:ascii="仿宋" w:hAnsi="仿宋" w:eastAsia="仿宋" w:cs="仿宋"/>
          <w:b/>
          <w:bCs/>
          <w:color w:val="auto"/>
          <w:sz w:val="30"/>
          <w:szCs w:val="30"/>
          <w:highlight w:val="none"/>
        </w:rPr>
      </w:pPr>
    </w:p>
    <w:p w14:paraId="5257B651">
      <w:pPr>
        <w:widowControl w:val="0"/>
        <w:rPr>
          <w:rStyle w:val="37"/>
          <w:rFonts w:hint="eastAsia" w:ascii="仿宋" w:hAnsi="仿宋" w:eastAsia="仿宋" w:cs="仿宋"/>
          <w:b/>
          <w:bCs/>
          <w:color w:val="auto"/>
          <w:sz w:val="30"/>
          <w:szCs w:val="30"/>
          <w:highlight w:val="none"/>
        </w:rPr>
      </w:pPr>
    </w:p>
    <w:p w14:paraId="761AF773">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344CC31A">
      <w:pPr>
        <w:widowControl w:val="0"/>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附件1：</w:t>
      </w:r>
    </w:p>
    <w:p w14:paraId="5AD2C871">
      <w:pPr>
        <w:widowControl w:val="0"/>
        <w:spacing w:line="360" w:lineRule="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t>具备履行合同所必需的设备和专业技术能力承诺函</w:t>
      </w:r>
    </w:p>
    <w:p w14:paraId="7E3FA8D1">
      <w:pPr>
        <w:widowControl w:val="0"/>
        <w:spacing w:line="360" w:lineRule="auto"/>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u w:val="single"/>
        </w:rPr>
        <w:t>致：（采购人名称）</w:t>
      </w:r>
    </w:p>
    <w:p w14:paraId="644F348B">
      <w:pPr>
        <w:widowControl w:val="0"/>
        <w:spacing w:line="360" w:lineRule="auto"/>
        <w:ind w:firstLine="48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我方作为</w:t>
      </w:r>
      <w:r>
        <w:rPr>
          <w:rFonts w:hint="eastAsia" w:ascii="仿宋" w:hAnsi="仿宋" w:eastAsia="仿宋" w:cs="仿宋"/>
          <w:b/>
          <w:color w:val="auto"/>
          <w:szCs w:val="24"/>
          <w:highlight w:val="none"/>
          <w:u w:val="single"/>
        </w:rPr>
        <w:t>项目名称</w:t>
      </w:r>
      <w:r>
        <w:rPr>
          <w:rFonts w:hint="eastAsia" w:ascii="仿宋" w:hAnsi="仿宋" w:eastAsia="仿宋" w:cs="仿宋"/>
          <w:b/>
          <w:color w:val="auto"/>
          <w:szCs w:val="24"/>
          <w:highlight w:val="none"/>
        </w:rPr>
        <w:t>（项目编号：</w:t>
      </w:r>
      <w:r>
        <w:rPr>
          <w:rFonts w:hint="eastAsia" w:ascii="仿宋" w:hAnsi="仿宋" w:eastAsia="仿宋" w:cs="仿宋"/>
          <w:b/>
          <w:color w:val="auto"/>
          <w:szCs w:val="24"/>
          <w:highlight w:val="none"/>
          <w:u w:val="single"/>
        </w:rPr>
        <w:t xml:space="preserve">     </w:t>
      </w:r>
      <w:r>
        <w:rPr>
          <w:rFonts w:hint="eastAsia" w:ascii="仿宋" w:hAnsi="仿宋" w:eastAsia="仿宋" w:cs="仿宋"/>
          <w:b/>
          <w:color w:val="auto"/>
          <w:szCs w:val="24"/>
          <w:highlight w:val="none"/>
        </w:rPr>
        <w:t>）的投标供应商，在此郑重承诺：</w:t>
      </w:r>
    </w:p>
    <w:p w14:paraId="46E6C652">
      <w:pPr>
        <w:widowControl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我公司具备履行合同所必需的设备和专业技术能力。</w:t>
      </w:r>
    </w:p>
    <w:p w14:paraId="127FDF6D">
      <w:pPr>
        <w:widowControl w:val="0"/>
        <w:spacing w:line="360" w:lineRule="auto"/>
        <w:ind w:firstLine="4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如有不实，我方将无条件地退出本项目的采购活动，并遵照《中华人民共和国政府采购法》有关“提供虚假材料的规定”接受处罚。</w:t>
      </w:r>
    </w:p>
    <w:p w14:paraId="61AA11A4">
      <w:pPr>
        <w:widowControl w:val="0"/>
        <w:spacing w:line="360" w:lineRule="auto"/>
        <w:ind w:firstLine="4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特此承诺。</w:t>
      </w:r>
    </w:p>
    <w:p w14:paraId="44240EB9">
      <w:pPr>
        <w:widowControl w:val="0"/>
        <w:spacing w:line="360" w:lineRule="auto"/>
        <w:ind w:firstLine="480"/>
        <w:rPr>
          <w:rFonts w:hint="eastAsia" w:ascii="仿宋" w:hAnsi="仿宋" w:eastAsia="仿宋" w:cs="仿宋"/>
          <w:b/>
          <w:color w:val="auto"/>
          <w:szCs w:val="24"/>
          <w:highlight w:val="none"/>
        </w:rPr>
      </w:pPr>
    </w:p>
    <w:p w14:paraId="3E2577BB">
      <w:pPr>
        <w:widowControl w:val="0"/>
        <w:spacing w:line="360" w:lineRule="auto"/>
        <w:ind w:firstLine="480" w:firstLineChars="200"/>
        <w:jc w:val="center"/>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供应商名称：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（公章）</w:t>
      </w:r>
    </w:p>
    <w:p w14:paraId="27F6B0E1">
      <w:pPr>
        <w:widowControl w:val="0"/>
        <w:spacing w:line="360" w:lineRule="auto"/>
        <w:ind w:firstLine="480"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日    期：</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日</w:t>
      </w:r>
    </w:p>
    <w:p w14:paraId="07C7B6ED">
      <w:pPr>
        <w:pStyle w:val="2"/>
        <w:widowControl w:val="0"/>
        <w:rPr>
          <w:rFonts w:hint="eastAsia" w:ascii="仿宋" w:hAnsi="仿宋" w:eastAsia="仿宋" w:cs="仿宋"/>
          <w:color w:val="auto"/>
          <w:szCs w:val="24"/>
          <w:highlight w:val="none"/>
        </w:rPr>
      </w:pPr>
    </w:p>
    <w:p w14:paraId="57A0C0D8">
      <w:pPr>
        <w:widowControl w:val="0"/>
        <w:rPr>
          <w:rFonts w:hint="eastAsia" w:ascii="仿宋" w:hAnsi="仿宋" w:eastAsia="仿宋" w:cs="仿宋"/>
          <w:color w:val="auto"/>
          <w:szCs w:val="24"/>
          <w:highlight w:val="none"/>
        </w:rPr>
      </w:pPr>
    </w:p>
    <w:p w14:paraId="07470372">
      <w:pPr>
        <w:pStyle w:val="2"/>
        <w:widowControl w:val="0"/>
        <w:rPr>
          <w:rFonts w:hint="eastAsia" w:ascii="仿宋" w:hAnsi="仿宋" w:eastAsia="仿宋" w:cs="仿宋"/>
          <w:color w:val="auto"/>
          <w:szCs w:val="24"/>
          <w:highlight w:val="none"/>
        </w:rPr>
      </w:pPr>
    </w:p>
    <w:p w14:paraId="4735FED5">
      <w:pPr>
        <w:widowControl w:val="0"/>
        <w:rPr>
          <w:rFonts w:hint="eastAsia" w:ascii="仿宋" w:hAnsi="仿宋" w:eastAsia="仿宋" w:cs="仿宋"/>
          <w:color w:val="auto"/>
          <w:szCs w:val="24"/>
          <w:highlight w:val="none"/>
        </w:rPr>
      </w:pPr>
    </w:p>
    <w:p w14:paraId="0AA50802">
      <w:pPr>
        <w:pStyle w:val="2"/>
        <w:widowControl w:val="0"/>
        <w:rPr>
          <w:rFonts w:hint="eastAsia" w:ascii="仿宋" w:hAnsi="仿宋" w:eastAsia="仿宋" w:cs="仿宋"/>
          <w:color w:val="auto"/>
          <w:szCs w:val="24"/>
          <w:highlight w:val="none"/>
        </w:rPr>
      </w:pPr>
    </w:p>
    <w:p w14:paraId="5F584FE5">
      <w:pPr>
        <w:widowControl w:val="0"/>
        <w:rPr>
          <w:rFonts w:hint="eastAsia" w:ascii="仿宋" w:hAnsi="仿宋" w:eastAsia="仿宋" w:cs="仿宋"/>
          <w:color w:val="auto"/>
          <w:szCs w:val="24"/>
          <w:highlight w:val="none"/>
        </w:rPr>
      </w:pPr>
    </w:p>
    <w:p w14:paraId="4F8942C8">
      <w:pPr>
        <w:pStyle w:val="2"/>
        <w:widowControl w:val="0"/>
        <w:rPr>
          <w:rFonts w:hint="eastAsia" w:ascii="仿宋" w:hAnsi="仿宋" w:eastAsia="仿宋" w:cs="仿宋"/>
          <w:color w:val="auto"/>
          <w:szCs w:val="24"/>
          <w:highlight w:val="none"/>
        </w:rPr>
      </w:pPr>
    </w:p>
    <w:p w14:paraId="45E415D2">
      <w:pPr>
        <w:widowControl w:val="0"/>
        <w:rPr>
          <w:rFonts w:hint="eastAsia" w:ascii="仿宋" w:hAnsi="仿宋" w:eastAsia="仿宋" w:cs="仿宋"/>
          <w:color w:val="auto"/>
          <w:szCs w:val="24"/>
          <w:highlight w:val="none"/>
        </w:rPr>
      </w:pPr>
    </w:p>
    <w:p w14:paraId="41D632BD">
      <w:pPr>
        <w:pStyle w:val="2"/>
        <w:widowControl w:val="0"/>
        <w:rPr>
          <w:rFonts w:hint="eastAsia" w:ascii="仿宋" w:hAnsi="仿宋" w:eastAsia="仿宋" w:cs="仿宋"/>
          <w:color w:val="auto"/>
          <w:szCs w:val="24"/>
          <w:highlight w:val="none"/>
        </w:rPr>
      </w:pPr>
    </w:p>
    <w:p w14:paraId="545783D3">
      <w:pPr>
        <w:widowControl w:val="0"/>
        <w:rPr>
          <w:rFonts w:hint="eastAsia" w:ascii="仿宋" w:hAnsi="仿宋" w:eastAsia="仿宋" w:cs="仿宋"/>
          <w:color w:val="auto"/>
          <w:szCs w:val="24"/>
          <w:highlight w:val="none"/>
        </w:rPr>
      </w:pPr>
    </w:p>
    <w:p w14:paraId="7FB10B37">
      <w:pPr>
        <w:pStyle w:val="2"/>
        <w:widowControl w:val="0"/>
        <w:rPr>
          <w:rFonts w:hint="eastAsia" w:ascii="仿宋" w:hAnsi="仿宋" w:eastAsia="仿宋" w:cs="仿宋"/>
          <w:color w:val="auto"/>
          <w:szCs w:val="24"/>
          <w:highlight w:val="none"/>
        </w:rPr>
      </w:pPr>
    </w:p>
    <w:p w14:paraId="2B62662C">
      <w:pPr>
        <w:widowControl w:val="0"/>
        <w:rPr>
          <w:rFonts w:hint="eastAsia" w:ascii="仿宋" w:hAnsi="仿宋" w:eastAsia="仿宋" w:cs="仿宋"/>
          <w:color w:val="auto"/>
          <w:szCs w:val="24"/>
          <w:highlight w:val="none"/>
        </w:rPr>
      </w:pPr>
    </w:p>
    <w:p w14:paraId="5D031887">
      <w:pPr>
        <w:pStyle w:val="2"/>
        <w:widowControl w:val="0"/>
        <w:rPr>
          <w:rFonts w:hint="eastAsia" w:ascii="仿宋" w:hAnsi="仿宋" w:eastAsia="仿宋" w:cs="仿宋"/>
          <w:color w:val="auto"/>
          <w:szCs w:val="24"/>
          <w:highlight w:val="none"/>
        </w:rPr>
      </w:pPr>
    </w:p>
    <w:p w14:paraId="2F943869">
      <w:pPr>
        <w:widowControl w:val="0"/>
        <w:rPr>
          <w:rFonts w:hint="eastAsia" w:ascii="仿宋" w:hAnsi="仿宋" w:eastAsia="仿宋" w:cs="仿宋"/>
          <w:color w:val="auto"/>
          <w:szCs w:val="24"/>
          <w:highlight w:val="none"/>
        </w:rPr>
      </w:pPr>
    </w:p>
    <w:p w14:paraId="2F32E0F4">
      <w:pPr>
        <w:pStyle w:val="2"/>
        <w:widowControl w:val="0"/>
        <w:rPr>
          <w:rFonts w:hint="eastAsia" w:ascii="仿宋" w:hAnsi="仿宋" w:eastAsia="仿宋" w:cs="仿宋"/>
          <w:color w:val="auto"/>
          <w:szCs w:val="24"/>
          <w:highlight w:val="none"/>
        </w:rPr>
      </w:pPr>
    </w:p>
    <w:p w14:paraId="6379F4C5">
      <w:pPr>
        <w:widowControl w:val="0"/>
        <w:rPr>
          <w:rFonts w:hint="eastAsia" w:ascii="仿宋" w:hAnsi="仿宋" w:eastAsia="仿宋" w:cs="仿宋"/>
          <w:color w:val="auto"/>
          <w:szCs w:val="24"/>
          <w:highlight w:val="none"/>
        </w:rPr>
      </w:pPr>
    </w:p>
    <w:p w14:paraId="0C262163">
      <w:pPr>
        <w:pStyle w:val="2"/>
        <w:widowControl w:val="0"/>
        <w:rPr>
          <w:rFonts w:hint="eastAsia" w:ascii="仿宋" w:hAnsi="仿宋" w:eastAsia="仿宋" w:cs="仿宋"/>
          <w:color w:val="auto"/>
          <w:szCs w:val="24"/>
          <w:highlight w:val="none"/>
        </w:rPr>
      </w:pPr>
    </w:p>
    <w:p w14:paraId="7B838BBE">
      <w:pPr>
        <w:widowControl w:val="0"/>
        <w:rPr>
          <w:rFonts w:hint="eastAsia" w:ascii="仿宋" w:hAnsi="仿宋" w:eastAsia="仿宋" w:cs="仿宋"/>
          <w:color w:val="auto"/>
          <w:szCs w:val="24"/>
          <w:highlight w:val="none"/>
        </w:rPr>
      </w:pPr>
    </w:p>
    <w:p w14:paraId="1259A4B9">
      <w:pPr>
        <w:pStyle w:val="2"/>
        <w:widowControl w:val="0"/>
        <w:rPr>
          <w:rFonts w:hint="eastAsia" w:ascii="仿宋" w:hAnsi="仿宋" w:eastAsia="仿宋" w:cs="仿宋"/>
          <w:color w:val="auto"/>
          <w:szCs w:val="24"/>
          <w:highlight w:val="none"/>
        </w:rPr>
      </w:pPr>
    </w:p>
    <w:p w14:paraId="473C226D">
      <w:pPr>
        <w:widowControl w:val="0"/>
        <w:rPr>
          <w:rFonts w:hint="eastAsia"/>
          <w:color w:val="auto"/>
          <w:highlight w:val="none"/>
        </w:rPr>
      </w:pPr>
    </w:p>
    <w:p w14:paraId="2365E46F">
      <w:pPr>
        <w:widowControl w:val="0"/>
        <w:rPr>
          <w:rFonts w:hint="eastAsia"/>
          <w:color w:val="auto"/>
          <w:highlight w:val="none"/>
        </w:rPr>
      </w:pPr>
    </w:p>
    <w:p w14:paraId="5D2A3023">
      <w:pPr>
        <w:widowControl/>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w:t>
      </w:r>
    </w:p>
    <w:p w14:paraId="1278620E">
      <w:pPr>
        <w:widowControl w:val="0"/>
        <w:bidi w:val="0"/>
        <w:jc w:val="center"/>
        <w:rPr>
          <w:rFonts w:hint="eastAsia"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rPr>
        <w:t>无重大违法记录书面声明</w:t>
      </w:r>
    </w:p>
    <w:p w14:paraId="04B8BCB3">
      <w:pPr>
        <w:widowControl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0A0F0874">
      <w:pPr>
        <w:widowControl w:val="0"/>
        <w:tabs>
          <w:tab w:val="left" w:pos="5580"/>
        </w:tabs>
        <w:spacing w:before="120"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rPr>
        <w:t>致：（采购人名称）</w:t>
      </w:r>
    </w:p>
    <w:p w14:paraId="1952A590">
      <w:pPr>
        <w:widowControl w:val="0"/>
        <w:tabs>
          <w:tab w:val="left" w:pos="5580"/>
        </w:tabs>
        <w:spacing w:before="12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我公司郑重声明在参加本项目政府采购活动前三年内，在经营活动中无重大违法记录。公司未受到行政处罚或责令停业、吊销许可证（或执照）；未处于财产被接管、冻结、破产状况。</w:t>
      </w:r>
    </w:p>
    <w:p w14:paraId="6206F09A">
      <w:pPr>
        <w:widowControl w:val="0"/>
        <w:spacing w:line="360" w:lineRule="auto"/>
        <w:ind w:firstLine="4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如有不实，我方将无条件地退出本项目的采购活动，并遵照《中华人民共和国政府采购法》有关“提供虚假材料的规定”接受处罚。</w:t>
      </w:r>
    </w:p>
    <w:p w14:paraId="53815F5C">
      <w:pPr>
        <w:widowControl w:val="0"/>
        <w:tabs>
          <w:tab w:val="left" w:pos="5580"/>
        </w:tabs>
        <w:spacing w:before="12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特此声明。</w:t>
      </w:r>
    </w:p>
    <w:p w14:paraId="582BDF4B">
      <w:pPr>
        <w:widowControl w:val="0"/>
        <w:spacing w:before="120" w:after="120" w:line="360" w:lineRule="auto"/>
        <w:ind w:firstLine="3600" w:firstLineChars="15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供应商名称：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（公章）</w:t>
      </w:r>
    </w:p>
    <w:p w14:paraId="24347ABC">
      <w:pPr>
        <w:widowControl w:val="0"/>
        <w:spacing w:line="360" w:lineRule="auto"/>
        <w:ind w:firstLine="3600" w:firstLineChars="1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日</w:t>
      </w:r>
    </w:p>
    <w:p w14:paraId="5C6EE552">
      <w:pPr>
        <w:widowControl w:val="0"/>
        <w:rPr>
          <w:rStyle w:val="37"/>
          <w:rFonts w:hint="eastAsia" w:ascii="仿宋" w:hAnsi="仿宋" w:eastAsia="仿宋" w:cs="仿宋"/>
          <w:b/>
          <w:bCs/>
          <w:color w:val="auto"/>
          <w:sz w:val="30"/>
          <w:szCs w:val="30"/>
          <w:highlight w:val="none"/>
        </w:rPr>
      </w:pPr>
      <w:r>
        <w:rPr>
          <w:rStyle w:val="37"/>
          <w:rFonts w:hint="eastAsia" w:ascii="仿宋" w:hAnsi="仿宋" w:eastAsia="仿宋" w:cs="仿宋"/>
          <w:b/>
          <w:bCs/>
          <w:color w:val="auto"/>
          <w:sz w:val="30"/>
          <w:szCs w:val="30"/>
          <w:highlight w:val="none"/>
        </w:rPr>
        <w:br w:type="page"/>
      </w:r>
    </w:p>
    <w:p w14:paraId="451D0CD5">
      <w:pPr>
        <w:pStyle w:val="297"/>
        <w:keepNext w:val="0"/>
        <w:keepLines w:val="0"/>
        <w:pageBreakBefore w:val="0"/>
        <w:widowControl w:val="0"/>
        <w:kinsoku/>
        <w:wordWrap/>
        <w:overflowPunct/>
        <w:topLinePunct w:val="0"/>
        <w:autoSpaceDE/>
        <w:autoSpaceDN/>
        <w:bidi w:val="0"/>
        <w:adjustRightInd/>
        <w:snapToGrid/>
        <w:spacing w:before="0" w:beforeLines="0" w:line="360" w:lineRule="auto"/>
        <w:textAlignment w:val="auto"/>
        <w:rPr>
          <w:rFonts w:hint="eastAsia" w:ascii="仿宋" w:hAnsi="仿宋" w:eastAsia="仿宋" w:cs="仿宋"/>
          <w:color w:val="auto"/>
          <w:sz w:val="32"/>
          <w:szCs w:val="32"/>
          <w:highlight w:val="none"/>
        </w:rPr>
      </w:pPr>
      <w:r>
        <w:rPr>
          <w:rStyle w:val="37"/>
          <w:rFonts w:hint="eastAsia" w:ascii="仿宋" w:hAnsi="仿宋" w:eastAsia="仿宋" w:cs="仿宋"/>
          <w:color w:val="auto"/>
          <w:sz w:val="30"/>
          <w:szCs w:val="30"/>
          <w:highlight w:val="none"/>
          <w:lang w:val="en-US" w:eastAsia="zh-CN"/>
        </w:rPr>
        <w:t>三、</w:t>
      </w:r>
      <w:r>
        <w:rPr>
          <w:rStyle w:val="37"/>
          <w:rFonts w:hint="eastAsia" w:ascii="仿宋" w:hAnsi="仿宋" w:eastAsia="仿宋" w:cs="仿宋"/>
          <w:b/>
          <w:bCs/>
          <w:i w:val="0"/>
          <w:caps w:val="0"/>
          <w:color w:val="auto"/>
          <w:spacing w:val="0"/>
          <w:w w:val="100"/>
          <w:kern w:val="2"/>
          <w:sz w:val="32"/>
          <w:szCs w:val="32"/>
          <w:highlight w:val="none"/>
          <w:u w:val="none"/>
        </w:rPr>
        <w:t>法定代表人（或负责人）身份证明/法定代表人（或负责人）授权委托书</w:t>
      </w:r>
    </w:p>
    <w:p w14:paraId="296DD2F4">
      <w:pPr>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法定代表人（或负责人）</w:t>
      </w:r>
      <w:r>
        <w:rPr>
          <w:rFonts w:hint="eastAsia" w:ascii="仿宋" w:hAnsi="仿宋" w:eastAsia="仿宋" w:cs="仿宋"/>
          <w:b/>
          <w:bCs/>
          <w:color w:val="auto"/>
          <w:sz w:val="28"/>
          <w:szCs w:val="28"/>
          <w:highlight w:val="none"/>
        </w:rPr>
        <w:t>身份证明</w:t>
      </w:r>
    </w:p>
    <w:p w14:paraId="4137F688">
      <w:pPr>
        <w:autoSpaceDE w:val="0"/>
        <w:autoSpaceDN w:val="0"/>
        <w:adjustRightInd w:val="0"/>
        <w:snapToGrid w:val="0"/>
        <w:spacing w:before="166" w:beforeLines="50"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B195941">
      <w:pPr>
        <w:autoSpaceDE w:val="0"/>
        <w:autoSpaceDN w:val="0"/>
        <w:adjustRightInd w:val="0"/>
        <w:snapToGrid w:val="0"/>
        <w:spacing w:before="166" w:beforeLines="50"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统一社会信用代码：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4FB5536B">
      <w:pPr>
        <w:autoSpaceDE w:val="0"/>
        <w:autoSpaceDN w:val="0"/>
        <w:adjustRightInd w:val="0"/>
        <w:snapToGrid w:val="0"/>
        <w:spacing w:before="166" w:beforeLines="50"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注册地址：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4755E08E">
      <w:pPr>
        <w:autoSpaceDE w:val="0"/>
        <w:autoSpaceDN w:val="0"/>
        <w:adjustRightInd w:val="0"/>
        <w:snapToGrid w:val="0"/>
        <w:spacing w:before="166" w:beforeLines="50"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成立时间：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年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7D9BB06C">
      <w:pPr>
        <w:autoSpaceDE w:val="0"/>
        <w:autoSpaceDN w:val="0"/>
        <w:adjustRightInd w:val="0"/>
        <w:snapToGrid w:val="0"/>
        <w:spacing w:before="166" w:beforeLines="50" w:line="360" w:lineRule="auto"/>
        <w:ind w:firstLine="48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经营期限：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26B6D947">
      <w:pPr>
        <w:autoSpaceDE w:val="0"/>
        <w:autoSpaceDN w:val="0"/>
        <w:adjustRightInd w:val="0"/>
        <w:snapToGrid w:val="0"/>
        <w:spacing w:before="166" w:beforeLines="50"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（供应商名称）的</w:t>
      </w:r>
      <w:r>
        <w:rPr>
          <w:rFonts w:hint="eastAsia" w:ascii="仿宋" w:hAnsi="仿宋" w:eastAsia="仿宋" w:cs="仿宋"/>
          <w:color w:val="auto"/>
          <w:highlight w:val="none"/>
          <w:lang w:eastAsia="zh-CN"/>
        </w:rPr>
        <w:t>法定代表人（或负责人）</w:t>
      </w:r>
      <w:r>
        <w:rPr>
          <w:rFonts w:hint="eastAsia" w:ascii="仿宋" w:hAnsi="仿宋" w:eastAsia="仿宋" w:cs="仿宋"/>
          <w:color w:val="auto"/>
          <w:highlight w:val="none"/>
        </w:rPr>
        <w:t>。</w:t>
      </w:r>
    </w:p>
    <w:p w14:paraId="16D73849">
      <w:pPr>
        <w:autoSpaceDE w:val="0"/>
        <w:autoSpaceDN w:val="0"/>
        <w:adjustRightInd w:val="0"/>
        <w:snapToGrid w:val="0"/>
        <w:spacing w:before="166" w:beforeLines="50"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354E93C6">
      <w:pPr>
        <w:autoSpaceDE w:val="0"/>
        <w:autoSpaceDN w:val="0"/>
        <w:adjustRightInd w:val="0"/>
        <w:snapToGrid w:val="0"/>
        <w:spacing w:before="166" w:beforeLines="50" w:line="360" w:lineRule="auto"/>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w:t>
      </w:r>
      <w:r>
        <w:rPr>
          <w:rFonts w:hint="eastAsia" w:ascii="仿宋" w:hAnsi="仿宋" w:eastAsia="仿宋" w:cs="仿宋"/>
          <w:color w:val="auto"/>
          <w:szCs w:val="21"/>
          <w:highlight w:val="none"/>
          <w:lang w:eastAsia="zh-CN"/>
        </w:rPr>
        <w:t>法定代表人（或负责人）</w:t>
      </w:r>
      <w:r>
        <w:rPr>
          <w:rFonts w:hint="eastAsia" w:ascii="仿宋" w:hAnsi="仿宋" w:eastAsia="仿宋" w:cs="仿宋"/>
          <w:color w:val="auto"/>
          <w:szCs w:val="21"/>
          <w:highlight w:val="none"/>
        </w:rPr>
        <w:t>身份证</w:t>
      </w:r>
      <w:r>
        <w:rPr>
          <w:rFonts w:hint="eastAsia" w:ascii="仿宋" w:hAnsi="仿宋" w:eastAsia="仿宋" w:cs="仿宋"/>
          <w:color w:val="auto"/>
          <w:szCs w:val="21"/>
          <w:highlight w:val="none"/>
          <w:lang w:eastAsia="zh-CN"/>
        </w:rPr>
        <w:t>电子件或扫描件</w:t>
      </w:r>
      <w:r>
        <w:rPr>
          <w:rFonts w:hint="eastAsia" w:ascii="仿宋" w:hAnsi="仿宋" w:eastAsia="仿宋" w:cs="仿宋"/>
          <w:color w:val="auto"/>
          <w:szCs w:val="21"/>
          <w:highlight w:val="none"/>
        </w:rPr>
        <w:t>（正反面）</w:t>
      </w:r>
    </w:p>
    <w:p w14:paraId="0FE44728">
      <w:pPr>
        <w:snapToGrid w:val="0"/>
        <w:spacing w:line="480" w:lineRule="auto"/>
        <w:rPr>
          <w:rFonts w:hint="eastAsia" w:ascii="仿宋" w:hAnsi="仿宋" w:eastAsia="仿宋" w:cs="仿宋"/>
          <w:color w:val="auto"/>
          <w:szCs w:val="21"/>
          <w:highlight w:val="none"/>
        </w:rPr>
      </w:pPr>
    </w:p>
    <w:p w14:paraId="691B81FF">
      <w:pPr>
        <w:snapToGrid w:val="0"/>
        <w:rPr>
          <w:rFonts w:hint="eastAsia" w:ascii="仿宋" w:hAnsi="仿宋" w:eastAsia="仿宋" w:cs="仿宋"/>
          <w:color w:val="auto"/>
          <w:szCs w:val="21"/>
          <w:highlight w:val="none"/>
        </w:rPr>
      </w:pPr>
    </w:p>
    <w:p w14:paraId="5E71C71E">
      <w:pPr>
        <w:snapToGrid w:val="0"/>
        <w:rPr>
          <w:rFonts w:hint="eastAsia" w:ascii="仿宋" w:hAnsi="仿宋" w:eastAsia="仿宋" w:cs="仿宋"/>
          <w:color w:val="auto"/>
          <w:szCs w:val="21"/>
          <w:highlight w:val="none"/>
        </w:rPr>
      </w:pPr>
    </w:p>
    <w:p w14:paraId="474F8B5A">
      <w:pPr>
        <w:adjustRightInd w:val="0"/>
        <w:snapToGrid w:val="0"/>
        <w:spacing w:line="360" w:lineRule="auto"/>
        <w:ind w:right="420"/>
        <w:rPr>
          <w:rFonts w:hint="eastAsia" w:ascii="仿宋" w:hAnsi="仿宋" w:eastAsia="仿宋" w:cs="仿宋"/>
          <w:color w:val="auto"/>
          <w:highlight w:val="none"/>
        </w:rPr>
      </w:pPr>
    </w:p>
    <w:p w14:paraId="448B7F61">
      <w:pPr>
        <w:adjustRightInd w:val="0"/>
        <w:snapToGrid w:val="0"/>
        <w:spacing w:line="360" w:lineRule="auto"/>
        <w:ind w:right="420"/>
        <w:rPr>
          <w:rFonts w:hint="eastAsia" w:ascii="仿宋" w:hAnsi="仿宋" w:eastAsia="仿宋" w:cs="仿宋"/>
          <w:color w:val="auto"/>
          <w:highlight w:val="none"/>
        </w:rPr>
      </w:pPr>
    </w:p>
    <w:p w14:paraId="024A020A">
      <w:pPr>
        <w:adjustRightInd w:val="0"/>
        <w:snapToGrid w:val="0"/>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（盖单位公章）</w:t>
      </w:r>
    </w:p>
    <w:p w14:paraId="0DF751EA">
      <w:pPr>
        <w:adjustRightInd w:val="0"/>
        <w:snapToGrid w:val="0"/>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11076E81">
      <w:pPr>
        <w:pStyle w:val="2"/>
        <w:ind w:left="480" w:leftChars="200"/>
        <w:rPr>
          <w:rFonts w:hint="eastAsia" w:ascii="仿宋" w:hAnsi="仿宋" w:eastAsia="仿宋" w:cs="仿宋"/>
          <w:color w:val="auto"/>
          <w:highlight w:val="none"/>
        </w:rPr>
      </w:pPr>
    </w:p>
    <w:p w14:paraId="2406C319">
      <w:pPr>
        <w:pStyle w:val="2"/>
        <w:ind w:left="480" w:leftChars="200"/>
        <w:rPr>
          <w:rFonts w:hint="eastAsia" w:ascii="仿宋" w:hAnsi="仿宋" w:eastAsia="仿宋" w:cs="仿宋"/>
          <w:color w:val="auto"/>
          <w:highlight w:val="none"/>
        </w:rPr>
      </w:pPr>
    </w:p>
    <w:p w14:paraId="504B64CA">
      <w:pPr>
        <w:spacing w:before="166" w:beforeLines="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bCs/>
          <w:color w:val="auto"/>
          <w:sz w:val="28"/>
          <w:szCs w:val="28"/>
          <w:highlight w:val="none"/>
          <w:lang w:eastAsia="zh-CN"/>
        </w:rPr>
        <w:t>法定代表人（或负责人）</w:t>
      </w:r>
      <w:r>
        <w:rPr>
          <w:rFonts w:hint="eastAsia" w:ascii="仿宋" w:hAnsi="仿宋" w:eastAsia="仿宋" w:cs="仿宋"/>
          <w:b/>
          <w:bCs/>
          <w:color w:val="auto"/>
          <w:sz w:val="28"/>
          <w:szCs w:val="28"/>
          <w:highlight w:val="none"/>
        </w:rPr>
        <w:t>授权委托书</w:t>
      </w:r>
    </w:p>
    <w:p w14:paraId="44629C80">
      <w:pPr>
        <w:spacing w:line="560" w:lineRule="exact"/>
        <w:jc w:val="left"/>
        <w:rPr>
          <w:rFonts w:hint="eastAsia" w:ascii="仿宋" w:hAnsi="仿宋" w:eastAsia="仿宋" w:cs="仿宋"/>
          <w:b w:val="0"/>
          <w:bCs/>
          <w:color w:val="auto"/>
          <w:spacing w:val="4"/>
          <w:szCs w:val="24"/>
          <w:highlight w:val="none"/>
        </w:rPr>
      </w:pPr>
      <w:r>
        <w:rPr>
          <w:rFonts w:hint="eastAsia" w:ascii="仿宋" w:hAnsi="仿宋" w:eastAsia="仿宋" w:cs="仿宋"/>
          <w:b w:val="0"/>
          <w:bCs/>
          <w:color w:val="auto"/>
          <w:spacing w:val="4"/>
          <w:szCs w:val="24"/>
          <w:highlight w:val="none"/>
        </w:rPr>
        <w:t>致：</w:t>
      </w:r>
      <w:r>
        <w:rPr>
          <w:rFonts w:hint="eastAsia" w:ascii="仿宋" w:hAnsi="仿宋" w:eastAsia="仿宋" w:cs="仿宋"/>
          <w:b w:val="0"/>
          <w:bCs/>
          <w:color w:val="auto"/>
          <w:spacing w:val="4"/>
          <w:szCs w:val="24"/>
          <w:highlight w:val="none"/>
          <w:u w:val="single"/>
        </w:rPr>
        <w:t>（采购人名称）</w:t>
      </w:r>
    </w:p>
    <w:p w14:paraId="5C4D4730">
      <w:pPr>
        <w:spacing w:line="560" w:lineRule="exact"/>
        <w:ind w:firstLine="496" w:firstLineChars="200"/>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u w:val="single"/>
        </w:rPr>
        <w:t xml:space="preserve">(供应商名称)   </w:t>
      </w:r>
      <w:r>
        <w:rPr>
          <w:rFonts w:hint="eastAsia" w:ascii="仿宋" w:hAnsi="仿宋" w:eastAsia="仿宋" w:cs="仿宋"/>
          <w:color w:val="auto"/>
          <w:spacing w:val="4"/>
          <w:szCs w:val="24"/>
          <w:highlight w:val="none"/>
        </w:rPr>
        <w:t>按中华人民共和国法律于（</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rPr>
        <w:t>年</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rPr>
        <w:t>月</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rPr>
        <w:t>日 ）成立。</w:t>
      </w:r>
      <w:r>
        <w:rPr>
          <w:rFonts w:hint="eastAsia" w:ascii="仿宋" w:hAnsi="仿宋" w:eastAsia="仿宋" w:cs="仿宋"/>
          <w:color w:val="auto"/>
          <w:szCs w:val="24"/>
          <w:highlight w:val="none"/>
          <w:lang w:eastAsia="zh-CN"/>
        </w:rPr>
        <w:t>法定代表人（或负责人）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pacing w:val="4"/>
          <w:szCs w:val="24"/>
          <w:highlight w:val="none"/>
          <w:u w:val="single"/>
        </w:rPr>
        <w:t xml:space="preserve">姓名   </w:t>
      </w:r>
      <w:r>
        <w:rPr>
          <w:rFonts w:hint="eastAsia" w:ascii="仿宋" w:hAnsi="仿宋" w:eastAsia="仿宋" w:cs="仿宋"/>
          <w:color w:val="auto"/>
          <w:spacing w:val="4"/>
          <w:szCs w:val="24"/>
          <w:highlight w:val="none"/>
        </w:rPr>
        <w:t>特授权</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zCs w:val="24"/>
          <w:highlight w:val="none"/>
          <w:u w:val="single"/>
        </w:rPr>
        <w:t>被授权人</w:t>
      </w:r>
      <w:r>
        <w:rPr>
          <w:rFonts w:hint="eastAsia" w:ascii="仿宋" w:hAnsi="仿宋" w:eastAsia="仿宋" w:cs="仿宋"/>
          <w:color w:val="auto"/>
          <w:spacing w:val="4"/>
          <w:szCs w:val="24"/>
          <w:highlight w:val="none"/>
          <w:u w:val="single"/>
        </w:rPr>
        <w:t xml:space="preserve">姓名  </w:t>
      </w:r>
      <w:r>
        <w:rPr>
          <w:rFonts w:hint="eastAsia" w:ascii="仿宋" w:hAnsi="仿宋" w:eastAsia="仿宋" w:cs="仿宋"/>
          <w:color w:val="auto"/>
          <w:spacing w:val="4"/>
          <w:szCs w:val="24"/>
          <w:highlight w:val="none"/>
        </w:rPr>
        <w:t>代表我公司全权办理针对本次</w:t>
      </w:r>
      <w:r>
        <w:rPr>
          <w:rFonts w:hint="eastAsia" w:ascii="仿宋" w:hAnsi="仿宋" w:eastAsia="仿宋" w:cs="仿宋"/>
          <w:color w:val="auto"/>
          <w:spacing w:val="4"/>
          <w:szCs w:val="24"/>
          <w:highlight w:val="none"/>
          <w:u w:val="single"/>
        </w:rPr>
        <w:t xml:space="preserve">  项目名称、项目编号   </w:t>
      </w:r>
      <w:r>
        <w:rPr>
          <w:rFonts w:hint="eastAsia" w:ascii="仿宋" w:hAnsi="仿宋" w:eastAsia="仿宋" w:cs="仿宋"/>
          <w:color w:val="auto"/>
          <w:spacing w:val="4"/>
          <w:szCs w:val="24"/>
          <w:highlight w:val="none"/>
        </w:rPr>
        <w:t>投标、谈判、签约等具体工作，并签署全部有关的文件、协议及合同。</w:t>
      </w:r>
    </w:p>
    <w:p w14:paraId="061C7DCA">
      <w:pPr>
        <w:spacing w:line="560" w:lineRule="exact"/>
        <w:ind w:firstLine="496" w:firstLineChars="200"/>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我公司对</w:t>
      </w:r>
      <w:r>
        <w:rPr>
          <w:rFonts w:hint="eastAsia" w:ascii="仿宋" w:hAnsi="仿宋" w:eastAsia="仿宋" w:cs="仿宋"/>
          <w:color w:val="auto"/>
          <w:szCs w:val="24"/>
          <w:highlight w:val="none"/>
        </w:rPr>
        <w:t>被授权人</w:t>
      </w:r>
      <w:r>
        <w:rPr>
          <w:rFonts w:hint="eastAsia" w:ascii="仿宋" w:hAnsi="仿宋" w:eastAsia="仿宋" w:cs="仿宋"/>
          <w:color w:val="auto"/>
          <w:spacing w:val="4"/>
          <w:szCs w:val="24"/>
          <w:highlight w:val="none"/>
        </w:rPr>
        <w:t>的签名负全部责任。</w:t>
      </w:r>
    </w:p>
    <w:p w14:paraId="776DC97B">
      <w:pPr>
        <w:spacing w:line="560" w:lineRule="exact"/>
        <w:ind w:right="233" w:rightChars="97" w:firstLine="480" w:firstLineChars="200"/>
        <w:jc w:val="left"/>
        <w:rPr>
          <w:rFonts w:hint="eastAsia" w:ascii="仿宋" w:hAnsi="仿宋" w:eastAsia="仿宋" w:cs="仿宋"/>
          <w:color w:val="auto"/>
          <w:highlight w:val="none"/>
        </w:rPr>
      </w:pPr>
      <w:r>
        <w:rPr>
          <w:rFonts w:hint="eastAsia" w:ascii="仿宋" w:hAnsi="仿宋" w:eastAsia="仿宋" w:cs="仿宋"/>
          <w:color w:val="auto"/>
          <w:szCs w:val="24"/>
          <w:highlight w:val="none"/>
        </w:rPr>
        <w:t>本授权有效期与投标有效期一致</w:t>
      </w:r>
      <w:r>
        <w:rPr>
          <w:rFonts w:hint="eastAsia" w:ascii="仿宋" w:hAnsi="仿宋" w:eastAsia="仿宋" w:cs="仿宋"/>
          <w:color w:val="auto"/>
          <w:highlight w:val="none"/>
        </w:rPr>
        <w:t>。</w:t>
      </w:r>
    </w:p>
    <w:tbl>
      <w:tblPr>
        <w:tblStyle w:val="30"/>
        <w:tblW w:w="0" w:type="auto"/>
        <w:tblInd w:w="633" w:type="dxa"/>
        <w:tblLayout w:type="fixed"/>
        <w:tblCellMar>
          <w:top w:w="0" w:type="dxa"/>
          <w:left w:w="108" w:type="dxa"/>
          <w:bottom w:w="0" w:type="dxa"/>
          <w:right w:w="108" w:type="dxa"/>
        </w:tblCellMar>
      </w:tblPr>
      <w:tblGrid>
        <w:gridCol w:w="4200"/>
        <w:gridCol w:w="3990"/>
      </w:tblGrid>
      <w:tr w14:paraId="7AF7147E">
        <w:tblPrEx>
          <w:tblCellMar>
            <w:top w:w="0" w:type="dxa"/>
            <w:left w:w="108" w:type="dxa"/>
            <w:bottom w:w="0" w:type="dxa"/>
            <w:right w:w="108" w:type="dxa"/>
          </w:tblCellMar>
        </w:tblPrEx>
        <w:trPr>
          <w:trHeight w:val="600" w:hRule="atLeast"/>
        </w:trPr>
        <w:tc>
          <w:tcPr>
            <w:tcW w:w="4200" w:type="dxa"/>
            <w:noWrap w:val="0"/>
            <w:vAlign w:val="top"/>
          </w:tcPr>
          <w:p w14:paraId="1AC32A8F">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被授权人签字：</w:t>
            </w:r>
          </w:p>
        </w:tc>
        <w:tc>
          <w:tcPr>
            <w:tcW w:w="3990" w:type="dxa"/>
            <w:noWrap w:val="0"/>
            <w:vAlign w:val="top"/>
          </w:tcPr>
          <w:p w14:paraId="1C13BDB4">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zCs w:val="24"/>
                <w:highlight w:val="none"/>
                <w:lang w:eastAsia="zh-CN"/>
              </w:rPr>
              <w:t>法定代表人（或负责人）</w:t>
            </w:r>
            <w:r>
              <w:rPr>
                <w:rFonts w:hint="eastAsia" w:ascii="仿宋" w:hAnsi="仿宋" w:eastAsia="仿宋" w:cs="仿宋"/>
                <w:color w:val="auto"/>
                <w:spacing w:val="4"/>
                <w:szCs w:val="24"/>
                <w:highlight w:val="none"/>
              </w:rPr>
              <w:t>签字或盖章：</w:t>
            </w:r>
          </w:p>
        </w:tc>
      </w:tr>
      <w:tr w14:paraId="2BB71E50">
        <w:tblPrEx>
          <w:tblCellMar>
            <w:top w:w="0" w:type="dxa"/>
            <w:left w:w="108" w:type="dxa"/>
            <w:bottom w:w="0" w:type="dxa"/>
            <w:right w:w="108" w:type="dxa"/>
          </w:tblCellMar>
        </w:tblPrEx>
        <w:trPr>
          <w:trHeight w:val="600" w:hRule="atLeast"/>
        </w:trPr>
        <w:tc>
          <w:tcPr>
            <w:tcW w:w="4200" w:type="dxa"/>
            <w:noWrap w:val="0"/>
            <w:vAlign w:val="top"/>
          </w:tcPr>
          <w:p w14:paraId="613237BD">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职务：</w:t>
            </w:r>
          </w:p>
        </w:tc>
        <w:tc>
          <w:tcPr>
            <w:tcW w:w="3990" w:type="dxa"/>
            <w:noWrap w:val="0"/>
            <w:vAlign w:val="top"/>
          </w:tcPr>
          <w:p w14:paraId="34651010">
            <w:pP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职务：</w:t>
            </w:r>
          </w:p>
        </w:tc>
      </w:tr>
    </w:tbl>
    <w:p w14:paraId="61ABE4F8">
      <w:pPr>
        <w:spacing w:before="240" w:line="360" w:lineRule="auto"/>
        <w:ind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lang w:val="zh-CN"/>
        </w:rPr>
        <w:t>附法定代表人（或负责人）身份证电子件或扫描件及被授权人身份证电子件或扫描件</w:t>
      </w:r>
      <w:r>
        <w:rPr>
          <w:rFonts w:hint="eastAsia" w:ascii="仿宋" w:hAnsi="仿宋" w:eastAsia="仿宋" w:cs="仿宋"/>
          <w:color w:val="auto"/>
          <w:szCs w:val="21"/>
          <w:highlight w:val="none"/>
          <w:lang w:val="zh-CN"/>
        </w:rPr>
        <w:t>（正反面）</w:t>
      </w:r>
    </w:p>
    <w:p w14:paraId="5DDBF1AF">
      <w:pPr>
        <w:spacing w:line="480" w:lineRule="auto"/>
        <w:ind w:left="485" w:leftChars="202" w:right="617" w:rightChars="257"/>
        <w:jc w:val="left"/>
        <w:rPr>
          <w:rFonts w:hint="eastAsia" w:ascii="仿宋" w:hAnsi="仿宋" w:eastAsia="仿宋" w:cs="仿宋"/>
          <w:color w:val="auto"/>
          <w:highlight w:val="none"/>
        </w:rPr>
      </w:pPr>
    </w:p>
    <w:p w14:paraId="60BA8015">
      <w:pPr>
        <w:spacing w:line="480" w:lineRule="auto"/>
        <w:ind w:left="485" w:leftChars="202" w:right="617" w:rightChars="257"/>
        <w:jc w:val="left"/>
        <w:rPr>
          <w:rFonts w:hint="eastAsia" w:ascii="仿宋" w:hAnsi="仿宋" w:eastAsia="仿宋" w:cs="仿宋"/>
          <w:color w:val="auto"/>
          <w:highlight w:val="none"/>
        </w:rPr>
      </w:pPr>
    </w:p>
    <w:p w14:paraId="45453B4D">
      <w:pPr>
        <w:adjustRightInd w:val="0"/>
        <w:snapToGrid w:val="0"/>
        <w:spacing w:line="360" w:lineRule="auto"/>
        <w:ind w:right="420"/>
        <w:rPr>
          <w:rFonts w:hint="eastAsia" w:ascii="仿宋" w:hAnsi="仿宋" w:eastAsia="仿宋" w:cs="仿宋"/>
          <w:color w:val="auto"/>
          <w:highlight w:val="none"/>
        </w:rPr>
      </w:pPr>
    </w:p>
    <w:p w14:paraId="64CDC97D">
      <w:pPr>
        <w:adjustRightInd w:val="0"/>
        <w:snapToGrid w:val="0"/>
        <w:spacing w:line="72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（盖单位公章）</w:t>
      </w:r>
    </w:p>
    <w:p w14:paraId="35683F6A">
      <w:pPr>
        <w:adjustRightInd w:val="0"/>
        <w:snapToGrid w:val="0"/>
        <w:spacing w:line="72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55CB26D7">
      <w:pPr>
        <w:pStyle w:val="2"/>
        <w:rPr>
          <w:rFonts w:hint="eastAsia" w:ascii="仿宋" w:hAnsi="仿宋" w:eastAsia="仿宋" w:cs="仿宋"/>
          <w:b/>
          <w:bCs/>
          <w:color w:val="auto"/>
          <w:sz w:val="24"/>
          <w:szCs w:val="24"/>
          <w:highlight w:val="none"/>
          <w:lang w:val="zh-CN"/>
        </w:rPr>
      </w:pPr>
    </w:p>
    <w:p w14:paraId="220C4413">
      <w:pPr>
        <w:pStyle w:val="28"/>
        <w:ind w:firstLine="630" w:firstLineChars="300"/>
        <w:rPr>
          <w:rFonts w:hint="eastAsia" w:ascii="仿宋" w:hAnsi="仿宋" w:eastAsia="仿宋" w:cs="仿宋"/>
          <w:color w:val="auto"/>
          <w:sz w:val="21"/>
          <w:szCs w:val="21"/>
          <w:highlight w:val="none"/>
        </w:rPr>
      </w:pPr>
    </w:p>
    <w:p w14:paraId="1842C5A7">
      <w:pP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zh-CN"/>
        </w:rPr>
        <w:t>说明：</w:t>
      </w:r>
      <w:r>
        <w:rPr>
          <w:rFonts w:hint="eastAsia" w:ascii="仿宋" w:hAnsi="仿宋" w:eastAsia="仿宋" w:cs="仿宋"/>
          <w:b/>
          <w:bCs/>
          <w:color w:val="auto"/>
          <w:szCs w:val="24"/>
          <w:highlight w:val="none"/>
          <w:lang w:eastAsia="zh-CN"/>
        </w:rPr>
        <w:t>法定代表人（或负责人）</w:t>
      </w:r>
      <w:r>
        <w:rPr>
          <w:rFonts w:hint="eastAsia" w:ascii="仿宋" w:hAnsi="仿宋" w:eastAsia="仿宋" w:cs="仿宋"/>
          <w:b/>
          <w:bCs/>
          <w:color w:val="auto"/>
          <w:szCs w:val="24"/>
          <w:highlight w:val="none"/>
        </w:rPr>
        <w:t>直接投标时无需提供。</w:t>
      </w:r>
    </w:p>
    <w:p w14:paraId="3D7A320E">
      <w:pPr>
        <w:widowControl w:val="0"/>
        <w:rPr>
          <w:rStyle w:val="37"/>
          <w:rFonts w:ascii="仿宋" w:hAnsi="仿宋" w:eastAsia="仿宋" w:cs="仿宋"/>
          <w:b/>
          <w:bCs/>
          <w:color w:val="auto"/>
          <w:szCs w:val="24"/>
          <w:highlight w:val="none"/>
        </w:rPr>
      </w:pPr>
    </w:p>
    <w:p w14:paraId="2A7CCCBA">
      <w:pPr>
        <w:widowControl w:val="0"/>
        <w:spacing w:line="500" w:lineRule="exact"/>
        <w:rPr>
          <w:rStyle w:val="37"/>
          <w:rFonts w:ascii="仿宋" w:hAnsi="仿宋" w:eastAsia="仿宋" w:cs="仿宋"/>
          <w:color w:val="auto"/>
          <w:highlight w:val="none"/>
        </w:rPr>
      </w:pPr>
    </w:p>
    <w:p w14:paraId="5AB92CCF">
      <w:pPr>
        <w:pStyle w:val="40"/>
        <w:widowControl w:val="0"/>
        <w:rPr>
          <w:rStyle w:val="37"/>
          <w:rFonts w:ascii="仿宋" w:hAnsi="仿宋" w:eastAsia="仿宋" w:cs="仿宋"/>
          <w:color w:val="auto"/>
          <w:highlight w:val="none"/>
        </w:rPr>
      </w:pPr>
    </w:p>
    <w:p w14:paraId="3283EBAB">
      <w:pPr>
        <w:widowControl w:val="0"/>
        <w:numPr>
          <w:ilvl w:val="0"/>
          <w:numId w:val="0"/>
        </w:numPr>
        <w:spacing w:line="360" w:lineRule="auto"/>
        <w:outlineLvl w:val="2"/>
        <w:rPr>
          <w:rStyle w:val="37"/>
          <w:rFonts w:hint="eastAsia" w:ascii="仿宋" w:hAnsi="仿宋" w:eastAsia="仿宋" w:cs="仿宋"/>
          <w:b/>
          <w:bCs/>
          <w:color w:val="auto"/>
          <w:sz w:val="30"/>
          <w:szCs w:val="30"/>
          <w:highlight w:val="none"/>
          <w:lang w:val="en-US" w:eastAsia="zh-CN"/>
        </w:rPr>
      </w:pPr>
      <w:r>
        <w:rPr>
          <w:rStyle w:val="37"/>
          <w:rFonts w:hint="eastAsia" w:ascii="仿宋" w:hAnsi="仿宋" w:eastAsia="仿宋" w:cs="仿宋"/>
          <w:b/>
          <w:bCs/>
          <w:color w:val="auto"/>
          <w:sz w:val="30"/>
          <w:szCs w:val="30"/>
          <w:highlight w:val="none"/>
          <w:lang w:val="en-US" w:eastAsia="zh-CN"/>
        </w:rPr>
        <w:t>四、供应商资质</w:t>
      </w:r>
    </w:p>
    <w:p w14:paraId="7865A717">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baseline"/>
        <w:rPr>
          <w:rFonts w:hint="eastAsia" w:ascii="仿宋" w:hAnsi="仿宋" w:eastAsia="仿宋" w:cs="仿宋"/>
          <w:color w:val="auto"/>
          <w:highlight w:val="none"/>
          <w:lang w:val="en-US" w:eastAsia="zh-CN"/>
        </w:rPr>
        <w:sectPr>
          <w:headerReference r:id="rId8" w:type="first"/>
          <w:footerReference r:id="rId10" w:type="first"/>
          <w:headerReference r:id="rId7" w:type="default"/>
          <w:footerReference r:id="rId9" w:type="default"/>
          <w:pgSz w:w="11906" w:h="16838"/>
          <w:pgMar w:top="1417" w:right="1417" w:bottom="1417" w:left="1417" w:header="1134" w:footer="992" w:gutter="0"/>
          <w:pgNumType w:fmt="decimal" w:start="1"/>
          <w:cols w:space="425" w:num="1"/>
          <w:titlePg/>
          <w:docGrid w:type="lines" w:linePitch="333" w:charSpace="0"/>
        </w:sectPr>
      </w:pPr>
      <w:r>
        <w:rPr>
          <w:rFonts w:hint="eastAsia" w:ascii="仿宋" w:hAnsi="仿宋" w:eastAsia="仿宋" w:cs="仿宋"/>
          <w:color w:val="auto"/>
          <w:highlight w:val="none"/>
          <w:lang w:val="en-US" w:eastAsia="zh-CN"/>
        </w:rPr>
        <w:t>说明：供应商为生产厂家的须具有《食品生产许可证》、《食品经营许可证》、《动物防疫条件合格证》（仅肉类）；供应商为代理商的须提供《食品经营许可证》，并提供所代理产品生产厂家的《食品生产许可证》、《动物防疫条件合格证》（仅肉类）；</w:t>
      </w:r>
    </w:p>
    <w:p w14:paraId="4BB5AA0E">
      <w:pPr>
        <w:spacing w:line="360" w:lineRule="auto"/>
        <w:outlineLvl w:val="2"/>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lang w:eastAsia="zh-CN"/>
        </w:rPr>
        <w:t>、食品召回书面声明</w:t>
      </w:r>
    </w:p>
    <w:p w14:paraId="700697E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说明：</w:t>
      </w:r>
      <w:r>
        <w:rPr>
          <w:rFonts w:hint="eastAsia" w:ascii="仿宋" w:hAnsi="仿宋" w:eastAsia="仿宋" w:cs="仿宋"/>
          <w:color w:val="auto"/>
          <w:highlight w:val="none"/>
          <w:lang w:eastAsia="zh-CN"/>
        </w:rPr>
        <w:t>供应商在投标截止日近两年内，在同类营养改善项目供货过程中因存在食品安全问题导致产品一级召回或二级召回的不得参与本次投标。供应商需提供2年内在同类营养改善项目供货过程中没有因食品安全问题导致产品一级召回或二级召回的书面声明（格式自拟）；</w:t>
      </w:r>
    </w:p>
    <w:p w14:paraId="7CB818BC">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CB3DE23">
      <w:pPr>
        <w:widowControl w:val="0"/>
        <w:numPr>
          <w:ilvl w:val="0"/>
          <w:numId w:val="0"/>
        </w:numPr>
        <w:spacing w:line="360" w:lineRule="auto"/>
        <w:ind w:leftChars="200"/>
        <w:outlineLvl w:val="2"/>
        <w:rPr>
          <w:rStyle w:val="37"/>
          <w:rFonts w:ascii="仿宋" w:hAnsi="仿宋" w:eastAsia="仿宋" w:cs="仿宋"/>
          <w:b/>
          <w:bCs/>
          <w:color w:val="auto"/>
          <w:sz w:val="30"/>
          <w:szCs w:val="30"/>
          <w:highlight w:val="none"/>
        </w:rPr>
      </w:pPr>
      <w:r>
        <w:rPr>
          <w:rStyle w:val="37"/>
          <w:rFonts w:hint="eastAsia" w:ascii="仿宋" w:hAnsi="仿宋" w:eastAsia="仿宋" w:cs="仿宋"/>
          <w:b/>
          <w:bCs/>
          <w:color w:val="auto"/>
          <w:sz w:val="30"/>
          <w:szCs w:val="30"/>
          <w:highlight w:val="none"/>
          <w:lang w:val="en-US" w:eastAsia="zh-CN"/>
        </w:rPr>
        <w:t>六、</w:t>
      </w:r>
      <w:r>
        <w:rPr>
          <w:rStyle w:val="37"/>
          <w:rFonts w:hint="eastAsia" w:ascii="仿宋" w:hAnsi="仿宋" w:eastAsia="仿宋" w:cs="仿宋"/>
          <w:b/>
          <w:bCs/>
          <w:color w:val="auto"/>
          <w:sz w:val="30"/>
          <w:szCs w:val="30"/>
          <w:highlight w:val="none"/>
        </w:rPr>
        <w:t>信用记录声明</w:t>
      </w:r>
    </w:p>
    <w:p w14:paraId="0AF7C986">
      <w:pPr>
        <w:widowControl w:val="0"/>
        <w:spacing w:line="500" w:lineRule="exact"/>
        <w:jc w:val="center"/>
        <w:outlineLvl w:val="9"/>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供应商信用记录书面声明函</w:t>
      </w:r>
    </w:p>
    <w:p w14:paraId="14145E7E">
      <w:pPr>
        <w:widowControl w:val="0"/>
        <w:spacing w:line="500" w:lineRule="exact"/>
        <w:rPr>
          <w:rStyle w:val="37"/>
          <w:rFonts w:ascii="仿宋" w:hAnsi="仿宋" w:eastAsia="仿宋" w:cs="仿宋"/>
          <w:color w:val="auto"/>
          <w:highlight w:val="none"/>
          <w:u w:val="single" w:color="000000"/>
        </w:rPr>
      </w:pPr>
      <w:r>
        <w:rPr>
          <w:rStyle w:val="37"/>
          <w:rFonts w:hint="eastAsia" w:ascii="仿宋" w:hAnsi="仿宋" w:eastAsia="仿宋" w:cs="仿宋"/>
          <w:color w:val="auto"/>
          <w:highlight w:val="none"/>
        </w:rPr>
        <w:t>致：</w:t>
      </w:r>
      <w:r>
        <w:rPr>
          <w:rStyle w:val="37"/>
          <w:rFonts w:hint="eastAsia" w:ascii="仿宋" w:hAnsi="仿宋" w:eastAsia="仿宋" w:cs="仿宋"/>
          <w:color w:val="auto"/>
          <w:highlight w:val="none"/>
          <w:u w:val="single" w:color="000000"/>
        </w:rPr>
        <w:t>(采购人名称）</w:t>
      </w:r>
    </w:p>
    <w:p w14:paraId="4E9C9C51">
      <w:pPr>
        <w:widowControl w:val="0"/>
        <w:spacing w:line="500" w:lineRule="exact"/>
        <w:ind w:right="11"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我方作为《</w:t>
      </w:r>
      <w:r>
        <w:rPr>
          <w:rStyle w:val="37"/>
          <w:rFonts w:hint="eastAsia" w:ascii="仿宋" w:hAnsi="仿宋" w:eastAsia="仿宋" w:cs="仿宋"/>
          <w:color w:val="auto"/>
          <w:highlight w:val="none"/>
          <w:u w:val="single" w:color="000000"/>
        </w:rPr>
        <w:t>项目名称</w:t>
      </w:r>
      <w:r>
        <w:rPr>
          <w:rStyle w:val="37"/>
          <w:rFonts w:hint="eastAsia" w:ascii="仿宋" w:hAnsi="仿宋" w:eastAsia="仿宋" w:cs="仿宋"/>
          <w:color w:val="auto"/>
          <w:highlight w:val="none"/>
        </w:rPr>
        <w:t>》（项目编号：</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）的投标供应商，在此郑重声明：</w:t>
      </w:r>
    </w:p>
    <w:p w14:paraId="2412B2B0">
      <w:pPr>
        <w:widowControl w:val="0"/>
        <w:spacing w:line="500" w:lineRule="exact"/>
        <w:ind w:firstLine="482" w:firstLineChars="200"/>
        <w:rPr>
          <w:rStyle w:val="37"/>
          <w:rFonts w:ascii="仿宋" w:hAnsi="仿宋" w:eastAsia="仿宋" w:cs="仿宋"/>
          <w:color w:val="auto"/>
          <w:highlight w:val="none"/>
        </w:rPr>
      </w:pPr>
      <w:r>
        <w:rPr>
          <w:rStyle w:val="37"/>
          <w:rFonts w:hint="eastAsia" w:ascii="仿宋" w:hAnsi="仿宋" w:eastAsia="仿宋" w:cs="仿宋"/>
          <w:b/>
          <w:bCs/>
          <w:color w:val="auto"/>
          <w:highlight w:val="none"/>
        </w:rPr>
        <w:t>1、供应商在参加政府采购活动前3年内因违法经营被禁止在一定期限内参加政府采购活动，期限届满的，可以参加政府采购活动，但应提供期限届满的证明材料。</w:t>
      </w:r>
    </w:p>
    <w:p w14:paraId="78109BED">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2、我方_____（填“未被列入”或“被列入”）“信用中国”网站失信被执行人名单。</w:t>
      </w:r>
    </w:p>
    <w:p w14:paraId="5F0CC724">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3、我方_____（填“未被列入”或“被列入”）“信用中国”网站重大税收违法</w:t>
      </w:r>
      <w:r>
        <w:rPr>
          <w:rStyle w:val="37"/>
          <w:rFonts w:hint="eastAsia" w:ascii="仿宋" w:hAnsi="仿宋" w:eastAsia="仿宋" w:cs="仿宋"/>
          <w:color w:val="auto"/>
          <w:highlight w:val="none"/>
          <w:lang w:val="en-US" w:eastAsia="zh-CN"/>
        </w:rPr>
        <w:t>失信主体</w:t>
      </w:r>
      <w:r>
        <w:rPr>
          <w:rStyle w:val="37"/>
          <w:rFonts w:hint="eastAsia" w:ascii="仿宋" w:hAnsi="仿宋" w:eastAsia="仿宋" w:cs="仿宋"/>
          <w:color w:val="auto"/>
          <w:highlight w:val="none"/>
        </w:rPr>
        <w:t>名单。</w:t>
      </w:r>
    </w:p>
    <w:p w14:paraId="41C12B34">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4、我方_____（填“未被列入”或“被列入”）中国政府采购网站政府采购严重违法失信行为记录名单。</w:t>
      </w:r>
    </w:p>
    <w:p w14:paraId="4A9682B7">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如有不实，我方将无条件地退出本项目的采购活动，并遵照《中华人民共和国政府采购法》有关“提供虚假材料的规定”接受处罚。</w:t>
      </w:r>
    </w:p>
    <w:p w14:paraId="6B44FDC1">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特此声明。</w:t>
      </w:r>
    </w:p>
    <w:p w14:paraId="2BD8F405">
      <w:pPr>
        <w:widowControl w:val="0"/>
        <w:spacing w:line="500" w:lineRule="exact"/>
        <w:ind w:firstLine="4080" w:firstLineChars="1700"/>
        <w:rPr>
          <w:rStyle w:val="37"/>
          <w:rFonts w:ascii="仿宋" w:hAnsi="仿宋" w:eastAsia="仿宋" w:cs="仿宋"/>
          <w:color w:val="auto"/>
          <w:highlight w:val="none"/>
        </w:rPr>
      </w:pPr>
      <w:r>
        <w:rPr>
          <w:rStyle w:val="37"/>
          <w:rFonts w:hint="eastAsia" w:ascii="仿宋" w:hAnsi="仿宋" w:eastAsia="仿宋" w:cs="仿宋"/>
          <w:color w:val="auto"/>
          <w:highlight w:val="none"/>
        </w:rPr>
        <w:t>供应商名称：</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（加盖公章）</w:t>
      </w:r>
    </w:p>
    <w:p w14:paraId="34683587">
      <w:pPr>
        <w:widowControl w:val="0"/>
        <w:spacing w:line="500" w:lineRule="exact"/>
        <w:ind w:firstLine="4320" w:firstLineChars="1800"/>
        <w:rPr>
          <w:rStyle w:val="37"/>
          <w:rFonts w:ascii="仿宋" w:hAnsi="仿宋" w:eastAsia="仿宋" w:cs="仿宋"/>
          <w:color w:val="auto"/>
          <w:sz w:val="21"/>
          <w:szCs w:val="21"/>
          <w:highlight w:val="none"/>
        </w:rPr>
      </w:pPr>
      <w:r>
        <w:rPr>
          <w:rStyle w:val="37"/>
          <w:rFonts w:hint="eastAsia" w:ascii="仿宋" w:hAnsi="仿宋" w:eastAsia="仿宋" w:cs="仿宋"/>
          <w:color w:val="auto"/>
          <w:highlight w:val="none"/>
        </w:rPr>
        <w:t>日期：　　年　月　日</w:t>
      </w:r>
    </w:p>
    <w:p w14:paraId="2CB4423C">
      <w:pPr>
        <w:widowControl w:val="0"/>
        <w:spacing w:line="360" w:lineRule="auto"/>
        <w:outlineLvl w:val="2"/>
        <w:rPr>
          <w:rStyle w:val="37"/>
          <w:rFonts w:ascii="仿宋" w:hAnsi="仿宋" w:eastAsia="仿宋" w:cs="仿宋"/>
          <w:b/>
          <w:bCs/>
          <w:color w:val="auto"/>
          <w:sz w:val="30"/>
          <w:szCs w:val="30"/>
          <w:highlight w:val="none"/>
        </w:rPr>
      </w:pPr>
      <w:r>
        <w:rPr>
          <w:rStyle w:val="37"/>
          <w:rFonts w:hint="eastAsia" w:ascii="仿宋" w:hAnsi="仿宋" w:eastAsia="仿宋" w:cs="仿宋"/>
          <w:b/>
          <w:bCs/>
          <w:color w:val="auto"/>
          <w:sz w:val="30"/>
          <w:szCs w:val="30"/>
          <w:highlight w:val="none"/>
        </w:rPr>
        <w:br w:type="page"/>
      </w:r>
      <w:r>
        <w:rPr>
          <w:rStyle w:val="37"/>
          <w:rFonts w:hint="eastAsia" w:ascii="仿宋" w:hAnsi="仿宋" w:eastAsia="仿宋" w:cs="仿宋"/>
          <w:b/>
          <w:bCs/>
          <w:color w:val="auto"/>
          <w:sz w:val="30"/>
          <w:szCs w:val="30"/>
          <w:highlight w:val="none"/>
          <w:lang w:val="en-US" w:eastAsia="zh-CN"/>
        </w:rPr>
        <w:t>七</w:t>
      </w:r>
      <w:r>
        <w:rPr>
          <w:rStyle w:val="37"/>
          <w:rFonts w:hint="eastAsia" w:ascii="仿宋" w:hAnsi="仿宋" w:eastAsia="仿宋" w:cs="仿宋"/>
          <w:b/>
          <w:bCs/>
          <w:color w:val="auto"/>
          <w:sz w:val="30"/>
          <w:szCs w:val="30"/>
          <w:highlight w:val="none"/>
        </w:rPr>
        <w:t>、控股管理关系承诺书</w:t>
      </w:r>
    </w:p>
    <w:p w14:paraId="6D0A3012">
      <w:pPr>
        <w:widowControl w:val="0"/>
        <w:spacing w:line="500" w:lineRule="exact"/>
        <w:jc w:val="center"/>
        <w:outlineLvl w:val="9"/>
        <w:rPr>
          <w:rStyle w:val="37"/>
          <w:rFonts w:ascii="仿宋" w:hAnsi="仿宋" w:eastAsia="仿宋" w:cs="仿宋"/>
          <w:b/>
          <w:bCs/>
          <w:color w:val="auto"/>
          <w:sz w:val="28"/>
          <w:szCs w:val="28"/>
          <w:highlight w:val="none"/>
          <w:lang w:val="zh-CN"/>
        </w:rPr>
      </w:pPr>
      <w:r>
        <w:rPr>
          <w:rStyle w:val="37"/>
          <w:rFonts w:hint="eastAsia" w:ascii="仿宋" w:hAnsi="仿宋" w:eastAsia="仿宋" w:cs="仿宋"/>
          <w:b/>
          <w:bCs/>
          <w:color w:val="auto"/>
          <w:sz w:val="28"/>
          <w:szCs w:val="28"/>
          <w:highlight w:val="none"/>
          <w:lang w:val="zh-CN"/>
        </w:rPr>
        <w:t>供应商控股管理关系承诺书</w:t>
      </w:r>
    </w:p>
    <w:p w14:paraId="1FB82FFD">
      <w:pPr>
        <w:pStyle w:val="40"/>
        <w:widowControl w:val="0"/>
        <w:outlineLvl w:val="9"/>
        <w:rPr>
          <w:rStyle w:val="37"/>
          <w:rFonts w:ascii="仿宋" w:hAnsi="仿宋" w:eastAsia="仿宋" w:cs="仿宋"/>
          <w:color w:val="auto"/>
          <w:highlight w:val="none"/>
          <w:lang w:val="zh-CN"/>
        </w:rPr>
      </w:pPr>
    </w:p>
    <w:p w14:paraId="0A530666">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1、供应商在本项目投标中，不存在与其它供应商负责人为同一人，有控股、管理等关联关系承诺：</w:t>
      </w:r>
    </w:p>
    <w:p w14:paraId="198D8004">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1.1管理关系说明：</w:t>
      </w:r>
    </w:p>
    <w:p w14:paraId="6EA34CAF">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我单位管理的具有独立法人的下属单位有</w:t>
      </w:r>
      <w:r>
        <w:rPr>
          <w:rStyle w:val="37"/>
          <w:rFonts w:hint="eastAsia" w:ascii="仿宋" w:hAnsi="仿宋" w:eastAsia="仿宋" w:cs="仿宋"/>
          <w:color w:val="auto"/>
          <w:szCs w:val="24"/>
          <w:highlight w:val="none"/>
          <w:u w:val="single" w:color="000000"/>
        </w:rPr>
        <w:t xml:space="preserve">：                 </w:t>
      </w:r>
      <w:r>
        <w:rPr>
          <w:rStyle w:val="37"/>
          <w:rFonts w:hint="eastAsia" w:ascii="仿宋" w:hAnsi="仿宋" w:eastAsia="仿宋" w:cs="仿宋"/>
          <w:color w:val="auto"/>
          <w:szCs w:val="24"/>
          <w:highlight w:val="none"/>
        </w:rPr>
        <w:t>。</w:t>
      </w:r>
    </w:p>
    <w:p w14:paraId="32852E42">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我单位的上级管理单位有</w:t>
      </w:r>
      <w:r>
        <w:rPr>
          <w:rStyle w:val="37"/>
          <w:rFonts w:hint="eastAsia" w:ascii="仿宋" w:hAnsi="仿宋" w:eastAsia="仿宋" w:cs="仿宋"/>
          <w:color w:val="auto"/>
          <w:szCs w:val="24"/>
          <w:highlight w:val="none"/>
          <w:u w:val="single" w:color="000000"/>
        </w:rPr>
        <w:t xml:space="preserve">              </w:t>
      </w:r>
      <w:r>
        <w:rPr>
          <w:rStyle w:val="37"/>
          <w:rFonts w:hint="eastAsia" w:ascii="仿宋" w:hAnsi="仿宋" w:eastAsia="仿宋" w:cs="仿宋"/>
          <w:color w:val="auto"/>
          <w:szCs w:val="24"/>
          <w:highlight w:val="none"/>
        </w:rPr>
        <w:t>。</w:t>
      </w:r>
    </w:p>
    <w:p w14:paraId="622D2311">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1.2股权关系说明：</w:t>
      </w:r>
    </w:p>
    <w:p w14:paraId="189B0315">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我单位控股的单位有</w:t>
      </w:r>
      <w:r>
        <w:rPr>
          <w:rStyle w:val="37"/>
          <w:rFonts w:hint="eastAsia" w:ascii="仿宋" w:hAnsi="仿宋" w:eastAsia="仿宋" w:cs="仿宋"/>
          <w:color w:val="auto"/>
          <w:szCs w:val="24"/>
          <w:highlight w:val="none"/>
          <w:u w:val="single" w:color="000000"/>
        </w:rPr>
        <w:t xml:space="preserve">           </w:t>
      </w:r>
      <w:r>
        <w:rPr>
          <w:rStyle w:val="37"/>
          <w:rFonts w:hint="eastAsia" w:ascii="仿宋" w:hAnsi="仿宋" w:eastAsia="仿宋" w:cs="仿宋"/>
          <w:color w:val="auto"/>
          <w:szCs w:val="24"/>
          <w:highlight w:val="none"/>
        </w:rPr>
        <w:t>。</w:t>
      </w:r>
    </w:p>
    <w:p w14:paraId="6E6707D3">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我单位被</w:t>
      </w:r>
      <w:r>
        <w:rPr>
          <w:rStyle w:val="37"/>
          <w:rFonts w:hint="eastAsia" w:ascii="仿宋" w:hAnsi="仿宋" w:eastAsia="仿宋" w:cs="仿宋"/>
          <w:color w:val="auto"/>
          <w:szCs w:val="24"/>
          <w:highlight w:val="none"/>
          <w:u w:val="single" w:color="000000"/>
        </w:rPr>
        <w:t xml:space="preserve">              </w:t>
      </w:r>
      <w:r>
        <w:rPr>
          <w:rStyle w:val="37"/>
          <w:rFonts w:hint="eastAsia" w:ascii="仿宋" w:hAnsi="仿宋" w:eastAsia="仿宋" w:cs="仿宋"/>
          <w:color w:val="auto"/>
          <w:szCs w:val="24"/>
          <w:highlight w:val="none"/>
        </w:rPr>
        <w:t>单位控股。</w:t>
      </w:r>
    </w:p>
    <w:p w14:paraId="50562CCA">
      <w:pPr>
        <w:widowControl w:val="0"/>
        <w:spacing w:line="500" w:lineRule="exact"/>
        <w:ind w:firstLine="480" w:firstLineChars="200"/>
        <w:outlineLvl w:val="9"/>
        <w:rPr>
          <w:rStyle w:val="37"/>
          <w:rFonts w:ascii="仿宋" w:hAnsi="仿宋" w:eastAsia="仿宋" w:cs="仿宋"/>
          <w:color w:val="auto"/>
          <w:szCs w:val="24"/>
          <w:highlight w:val="none"/>
          <w:u w:val="single"/>
        </w:rPr>
      </w:pPr>
      <w:r>
        <w:rPr>
          <w:rStyle w:val="37"/>
          <w:rFonts w:hint="eastAsia" w:ascii="仿宋" w:hAnsi="仿宋" w:eastAsia="仿宋" w:cs="仿宋"/>
          <w:color w:val="auto"/>
          <w:szCs w:val="24"/>
          <w:highlight w:val="none"/>
        </w:rPr>
        <w:t>1.3单位负责人：</w:t>
      </w:r>
      <w:r>
        <w:rPr>
          <w:rStyle w:val="37"/>
          <w:rFonts w:hint="eastAsia" w:ascii="仿宋" w:hAnsi="仿宋" w:eastAsia="仿宋" w:cs="仿宋"/>
          <w:color w:val="auto"/>
          <w:szCs w:val="24"/>
          <w:highlight w:val="none"/>
          <w:u w:val="single"/>
        </w:rPr>
        <w:t xml:space="preserve">      </w:t>
      </w:r>
      <w:r>
        <w:rPr>
          <w:rStyle w:val="37"/>
          <w:rFonts w:hint="eastAsia" w:ascii="仿宋" w:hAnsi="仿宋" w:eastAsia="仿宋" w:cs="仿宋"/>
          <w:color w:val="auto"/>
          <w:szCs w:val="24"/>
          <w:highlight w:val="none"/>
        </w:rPr>
        <w:t xml:space="preserve">。 </w:t>
      </w:r>
    </w:p>
    <w:p w14:paraId="41DBCA1F">
      <w:pPr>
        <w:widowControl w:val="0"/>
        <w:spacing w:line="500" w:lineRule="exact"/>
        <w:ind w:firstLine="480" w:firstLineChars="200"/>
        <w:outlineLvl w:val="9"/>
        <w:rPr>
          <w:rStyle w:val="37"/>
          <w:rFonts w:ascii="仿宋" w:hAnsi="仿宋" w:eastAsia="仿宋" w:cs="仿宋"/>
          <w:color w:val="auto"/>
          <w:szCs w:val="24"/>
          <w:highlight w:val="none"/>
          <w:u w:val="single" w:color="000000"/>
        </w:rPr>
      </w:pPr>
      <w:r>
        <w:rPr>
          <w:rStyle w:val="37"/>
          <w:rFonts w:hint="eastAsia" w:ascii="仿宋" w:hAnsi="仿宋" w:eastAsia="仿宋" w:cs="仿宋"/>
          <w:color w:val="auto"/>
          <w:szCs w:val="24"/>
          <w:highlight w:val="none"/>
        </w:rPr>
        <w:t>2、其他与本项目有关的利害关系说明：</w:t>
      </w:r>
      <w:r>
        <w:rPr>
          <w:rStyle w:val="37"/>
          <w:rFonts w:hint="eastAsia" w:ascii="仿宋" w:hAnsi="仿宋" w:eastAsia="仿宋" w:cs="仿宋"/>
          <w:color w:val="auto"/>
          <w:szCs w:val="24"/>
          <w:highlight w:val="none"/>
          <w:u w:val="single"/>
        </w:rPr>
        <w:t xml:space="preserve">        </w:t>
      </w:r>
      <w:r>
        <w:rPr>
          <w:rStyle w:val="37"/>
          <w:rFonts w:hint="eastAsia" w:ascii="仿宋" w:hAnsi="仿宋" w:eastAsia="仿宋" w:cs="仿宋"/>
          <w:color w:val="auto"/>
          <w:szCs w:val="24"/>
          <w:highlight w:val="none"/>
          <w:u w:val="single" w:color="000000"/>
        </w:rPr>
        <w:t xml:space="preserve">                       </w:t>
      </w:r>
    </w:p>
    <w:p w14:paraId="07873B62">
      <w:pPr>
        <w:widowControl w:val="0"/>
        <w:spacing w:line="500" w:lineRule="exact"/>
        <w:ind w:firstLine="480" w:firstLineChars="2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我单位承诺以上说明真实有效，无虚假内容或隐瞒。</w:t>
      </w:r>
    </w:p>
    <w:p w14:paraId="0C95D2C4">
      <w:pPr>
        <w:widowControl w:val="0"/>
        <w:spacing w:line="500" w:lineRule="exact"/>
        <w:ind w:firstLine="240" w:firstLineChars="100"/>
        <w:outlineLvl w:val="9"/>
        <w:rPr>
          <w:rStyle w:val="37"/>
          <w:rFonts w:ascii="仿宋" w:hAnsi="仿宋" w:eastAsia="仿宋" w:cs="仿宋"/>
          <w:color w:val="auto"/>
          <w:szCs w:val="24"/>
          <w:highlight w:val="none"/>
        </w:rPr>
      </w:pPr>
    </w:p>
    <w:p w14:paraId="0320BA69">
      <w:pPr>
        <w:pStyle w:val="40"/>
        <w:widowControl w:val="0"/>
        <w:outlineLvl w:val="9"/>
        <w:rPr>
          <w:rStyle w:val="37"/>
          <w:rFonts w:ascii="仿宋" w:hAnsi="仿宋" w:eastAsia="仿宋" w:cs="仿宋"/>
          <w:color w:val="auto"/>
          <w:highlight w:val="none"/>
        </w:rPr>
      </w:pPr>
    </w:p>
    <w:p w14:paraId="7D6D98BE">
      <w:pPr>
        <w:widowControl w:val="0"/>
        <w:spacing w:line="500" w:lineRule="exact"/>
        <w:ind w:firstLine="2400" w:firstLineChars="1000"/>
        <w:outlineLvl w:val="9"/>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供应商名称</w:t>
      </w:r>
      <w:r>
        <w:rPr>
          <w:rStyle w:val="37"/>
          <w:rFonts w:hint="eastAsia" w:ascii="仿宋" w:hAnsi="仿宋" w:eastAsia="仿宋" w:cs="仿宋"/>
          <w:color w:val="auto"/>
          <w:szCs w:val="24"/>
          <w:highlight w:val="none"/>
          <w:u w:val="single" w:color="000000"/>
        </w:rPr>
        <w:t xml:space="preserve">：                     </w:t>
      </w:r>
      <w:r>
        <w:rPr>
          <w:rStyle w:val="37"/>
          <w:rFonts w:hint="eastAsia" w:ascii="仿宋" w:hAnsi="仿宋" w:eastAsia="仿宋" w:cs="仿宋"/>
          <w:color w:val="auto"/>
          <w:szCs w:val="24"/>
          <w:highlight w:val="none"/>
        </w:rPr>
        <w:t>（盖单位公章）</w:t>
      </w:r>
    </w:p>
    <w:p w14:paraId="7E7C1C19">
      <w:pPr>
        <w:widowControl w:val="0"/>
        <w:spacing w:line="500" w:lineRule="exact"/>
        <w:ind w:firstLine="240" w:firstLineChars="100"/>
        <w:outlineLvl w:val="9"/>
        <w:rPr>
          <w:rStyle w:val="37"/>
          <w:rFonts w:ascii="仿宋" w:hAnsi="仿宋" w:eastAsia="仿宋" w:cs="仿宋"/>
          <w:color w:val="auto"/>
          <w:szCs w:val="24"/>
          <w:highlight w:val="none"/>
        </w:rPr>
      </w:pPr>
    </w:p>
    <w:p w14:paraId="32339F8C">
      <w:pPr>
        <w:widowControl w:val="0"/>
        <w:spacing w:line="408" w:lineRule="auto"/>
        <w:ind w:left="274" w:leftChars="114"/>
        <w:jc w:val="center"/>
        <w:outlineLvl w:val="9"/>
        <w:rPr>
          <w:rStyle w:val="37"/>
          <w:rFonts w:ascii="仿宋" w:hAnsi="仿宋" w:eastAsia="仿宋" w:cs="仿宋"/>
          <w:color w:val="auto"/>
          <w:highlight w:val="none"/>
        </w:rPr>
      </w:pPr>
      <w:r>
        <w:rPr>
          <w:rStyle w:val="37"/>
          <w:rFonts w:hint="eastAsia" w:ascii="仿宋" w:hAnsi="仿宋" w:eastAsia="仿宋" w:cs="仿宋"/>
          <w:color w:val="auto"/>
          <w:highlight w:val="none"/>
        </w:rPr>
        <w:t xml:space="preserve">                    年      月      日</w:t>
      </w:r>
    </w:p>
    <w:p w14:paraId="2D8375FB">
      <w:pPr>
        <w:widowControl w:val="0"/>
        <w:spacing w:line="360" w:lineRule="auto"/>
        <w:outlineLvl w:val="2"/>
        <w:rPr>
          <w:rStyle w:val="37"/>
          <w:rFonts w:ascii="仿宋" w:hAnsi="仿宋" w:eastAsia="仿宋" w:cs="仿宋"/>
          <w:b/>
          <w:bCs/>
          <w:color w:val="auto"/>
          <w:sz w:val="30"/>
          <w:szCs w:val="30"/>
          <w:highlight w:val="none"/>
        </w:rPr>
      </w:pPr>
      <w:r>
        <w:rPr>
          <w:rStyle w:val="37"/>
          <w:rFonts w:hint="eastAsia" w:ascii="仿宋" w:hAnsi="仿宋" w:eastAsia="仿宋" w:cs="仿宋"/>
          <w:b/>
          <w:bCs/>
          <w:color w:val="auto"/>
          <w:sz w:val="30"/>
          <w:szCs w:val="30"/>
          <w:highlight w:val="none"/>
        </w:rPr>
        <w:br w:type="page"/>
      </w:r>
      <w:r>
        <w:rPr>
          <w:rStyle w:val="37"/>
          <w:rFonts w:hint="eastAsia" w:ascii="仿宋" w:hAnsi="仿宋" w:eastAsia="仿宋" w:cs="仿宋"/>
          <w:b/>
          <w:bCs/>
          <w:color w:val="auto"/>
          <w:sz w:val="30"/>
          <w:szCs w:val="30"/>
          <w:highlight w:val="none"/>
          <w:lang w:val="en-US" w:eastAsia="zh-CN"/>
        </w:rPr>
        <w:t>八</w:t>
      </w:r>
      <w:r>
        <w:rPr>
          <w:rStyle w:val="37"/>
          <w:rFonts w:hint="eastAsia" w:ascii="仿宋" w:hAnsi="仿宋" w:eastAsia="仿宋" w:cs="仿宋"/>
          <w:b/>
          <w:bCs/>
          <w:color w:val="auto"/>
          <w:sz w:val="30"/>
          <w:szCs w:val="30"/>
          <w:highlight w:val="none"/>
        </w:rPr>
        <w:t>、供应商书面声明</w:t>
      </w:r>
    </w:p>
    <w:p w14:paraId="07C5C4FA">
      <w:pPr>
        <w:widowControl w:val="0"/>
        <w:spacing w:line="500" w:lineRule="exact"/>
        <w:jc w:val="center"/>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供应商未为本项目提供整体设计、规范编制或者项目管理、监理、检测等服务的书面声明</w:t>
      </w:r>
    </w:p>
    <w:p w14:paraId="7135A5FD">
      <w:pPr>
        <w:widowControl w:val="0"/>
        <w:spacing w:line="500" w:lineRule="exact"/>
        <w:rPr>
          <w:rStyle w:val="37"/>
          <w:rFonts w:ascii="仿宋" w:hAnsi="仿宋" w:eastAsia="仿宋" w:cs="仿宋"/>
          <w:color w:val="auto"/>
          <w:highlight w:val="none"/>
        </w:rPr>
      </w:pPr>
      <w:r>
        <w:rPr>
          <w:rStyle w:val="37"/>
          <w:rFonts w:hint="eastAsia" w:ascii="仿宋" w:hAnsi="仿宋" w:eastAsia="仿宋" w:cs="仿宋"/>
          <w:color w:val="auto"/>
          <w:highlight w:val="none"/>
        </w:rPr>
        <w:t>致：</w:t>
      </w:r>
      <w:r>
        <w:rPr>
          <w:rStyle w:val="37"/>
          <w:rFonts w:hint="eastAsia" w:ascii="仿宋" w:hAnsi="仿宋" w:eastAsia="仿宋" w:cs="仿宋"/>
          <w:color w:val="auto"/>
          <w:highlight w:val="none"/>
          <w:u w:val="single" w:color="000000"/>
        </w:rPr>
        <w:t>(采购人名称）</w:t>
      </w:r>
    </w:p>
    <w:p w14:paraId="4641525F">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我方作为</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u w:val="single" w:color="000000"/>
          <w:lang w:val="en-US" w:eastAsia="zh-CN"/>
        </w:rPr>
        <w:t xml:space="preserve">  </w:t>
      </w:r>
      <w:r>
        <w:rPr>
          <w:rStyle w:val="37"/>
          <w:rFonts w:hint="eastAsia" w:ascii="仿宋" w:hAnsi="仿宋" w:eastAsia="仿宋" w:cs="仿宋"/>
          <w:color w:val="auto"/>
          <w:highlight w:val="none"/>
          <w:u w:val="single" w:color="000000"/>
        </w:rPr>
        <w:t>项目名称</w:t>
      </w:r>
      <w:r>
        <w:rPr>
          <w:rStyle w:val="37"/>
          <w:rFonts w:hint="eastAsia" w:ascii="仿宋" w:hAnsi="仿宋" w:eastAsia="仿宋" w:cs="仿宋"/>
          <w:color w:val="auto"/>
          <w:highlight w:val="none"/>
          <w:u w:val="single" w:color="000000"/>
          <w:lang w:val="en-US" w:eastAsia="zh-CN"/>
        </w:rPr>
        <w:t xml:space="preserve">   </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（项目编号：</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）的投标供应商，在此郑重声明：</w:t>
      </w:r>
    </w:p>
    <w:p w14:paraId="5BA80018">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我方</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u w:val="single" w:color="000000"/>
          <w:lang w:val="en-US" w:eastAsia="zh-CN"/>
        </w:rPr>
        <w:t>属于/</w:t>
      </w:r>
      <w:r>
        <w:rPr>
          <w:rStyle w:val="37"/>
          <w:rFonts w:hint="eastAsia" w:ascii="仿宋" w:hAnsi="仿宋" w:eastAsia="仿宋" w:cs="仿宋"/>
          <w:color w:val="auto"/>
          <w:highlight w:val="none"/>
          <w:u w:val="single" w:color="000000"/>
        </w:rPr>
        <w:t xml:space="preserve">不属于 </w:t>
      </w:r>
      <w:r>
        <w:rPr>
          <w:rStyle w:val="37"/>
          <w:rFonts w:hint="eastAsia" w:ascii="仿宋" w:hAnsi="仿宋" w:eastAsia="仿宋" w:cs="仿宋"/>
          <w:color w:val="auto"/>
          <w:highlight w:val="none"/>
        </w:rPr>
        <w:t>为本项目提供整体设计、规范编制或者项目管理、监理、检测等服务的供应商。</w:t>
      </w:r>
    </w:p>
    <w:p w14:paraId="7C267E47">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如有不实，我方将无条件地退出本项目的采购活动，并遵照《中华人民共和国政府采购法》有关“提供虚假材料的规定”接受处罚。</w:t>
      </w:r>
    </w:p>
    <w:p w14:paraId="2AF5FB2D">
      <w:pPr>
        <w:widowControl w:val="0"/>
        <w:spacing w:line="500" w:lineRule="exact"/>
        <w:rPr>
          <w:rStyle w:val="37"/>
          <w:rFonts w:ascii="仿宋" w:hAnsi="仿宋" w:eastAsia="仿宋" w:cs="仿宋"/>
          <w:color w:val="auto"/>
          <w:highlight w:val="none"/>
        </w:rPr>
      </w:pPr>
      <w:r>
        <w:rPr>
          <w:rStyle w:val="37"/>
          <w:rFonts w:hint="eastAsia" w:ascii="仿宋" w:hAnsi="仿宋" w:eastAsia="仿宋" w:cs="仿宋"/>
          <w:color w:val="auto"/>
          <w:highlight w:val="none"/>
        </w:rPr>
        <w:t>特此声明。</w:t>
      </w:r>
    </w:p>
    <w:p w14:paraId="3B9F7884">
      <w:pPr>
        <w:widowControl w:val="0"/>
        <w:spacing w:line="500" w:lineRule="exact"/>
        <w:ind w:firstLine="3840" w:firstLineChars="1600"/>
        <w:rPr>
          <w:rStyle w:val="37"/>
          <w:rFonts w:ascii="仿宋" w:hAnsi="仿宋" w:eastAsia="仿宋" w:cs="仿宋"/>
          <w:color w:val="auto"/>
          <w:highlight w:val="none"/>
        </w:rPr>
      </w:pPr>
      <w:r>
        <w:rPr>
          <w:rStyle w:val="37"/>
          <w:rFonts w:hint="eastAsia" w:ascii="仿宋" w:hAnsi="仿宋" w:eastAsia="仿宋" w:cs="仿宋"/>
          <w:color w:val="auto"/>
          <w:highlight w:val="none"/>
        </w:rPr>
        <w:t>供应商名称：</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（加盖公章）</w:t>
      </w:r>
    </w:p>
    <w:p w14:paraId="074E6017">
      <w:pPr>
        <w:widowControl w:val="0"/>
        <w:spacing w:line="500" w:lineRule="exact"/>
        <w:ind w:firstLine="3840" w:firstLineChars="1600"/>
        <w:rPr>
          <w:rStyle w:val="37"/>
          <w:rFonts w:ascii="仿宋" w:hAnsi="仿宋" w:eastAsia="仿宋" w:cs="仿宋"/>
          <w:color w:val="auto"/>
          <w:highlight w:val="none"/>
        </w:rPr>
      </w:pPr>
      <w:r>
        <w:rPr>
          <w:rStyle w:val="37"/>
          <w:rFonts w:hint="eastAsia" w:ascii="仿宋" w:hAnsi="仿宋" w:eastAsia="仿宋" w:cs="仿宋"/>
          <w:color w:val="auto"/>
          <w:highlight w:val="none"/>
        </w:rPr>
        <w:t>日期：  年  月  日</w:t>
      </w:r>
    </w:p>
    <w:p w14:paraId="0A3A4F76">
      <w:pPr>
        <w:pStyle w:val="62"/>
        <w:widowControl w:val="0"/>
        <w:rPr>
          <w:rStyle w:val="37"/>
          <w:rFonts w:ascii="仿宋" w:hAnsi="仿宋" w:eastAsia="仿宋" w:cs="仿宋"/>
          <w:color w:val="auto"/>
          <w:highlight w:val="none"/>
        </w:rPr>
      </w:pPr>
    </w:p>
    <w:p w14:paraId="7FFAECD4">
      <w:pPr>
        <w:pStyle w:val="62"/>
        <w:widowControl w:val="0"/>
        <w:rPr>
          <w:rStyle w:val="37"/>
          <w:rFonts w:ascii="仿宋" w:hAnsi="仿宋" w:eastAsia="仿宋" w:cs="仿宋"/>
          <w:color w:val="auto"/>
          <w:highlight w:val="none"/>
        </w:rPr>
      </w:pPr>
    </w:p>
    <w:p w14:paraId="7B46FCE0">
      <w:pPr>
        <w:widowControl w:val="0"/>
        <w:spacing w:line="360" w:lineRule="auto"/>
        <w:jc w:val="left"/>
        <w:rPr>
          <w:rStyle w:val="37"/>
          <w:rFonts w:ascii="仿宋" w:hAnsi="仿宋" w:eastAsia="仿宋" w:cs="仿宋"/>
          <w:bCs/>
          <w:color w:val="auto"/>
          <w:sz w:val="28"/>
          <w:szCs w:val="28"/>
          <w:highlight w:val="none"/>
        </w:rPr>
      </w:pPr>
      <w:r>
        <w:rPr>
          <w:rStyle w:val="37"/>
          <w:rFonts w:hint="eastAsia" w:ascii="仿宋" w:hAnsi="仿宋" w:eastAsia="仿宋" w:cs="仿宋"/>
          <w:bCs/>
          <w:color w:val="auto"/>
          <w:sz w:val="28"/>
          <w:szCs w:val="28"/>
          <w:highlight w:val="none"/>
        </w:rPr>
        <w:tab/>
      </w:r>
    </w:p>
    <w:p w14:paraId="529EFDF9">
      <w:pPr>
        <w:pStyle w:val="40"/>
        <w:widowControl w:val="0"/>
        <w:outlineLvl w:val="2"/>
        <w:rPr>
          <w:rStyle w:val="37"/>
          <w:rFonts w:ascii="仿宋" w:hAnsi="仿宋" w:eastAsia="仿宋" w:cs="仿宋"/>
          <w:b/>
          <w:bCs/>
          <w:color w:val="auto"/>
          <w:sz w:val="30"/>
          <w:szCs w:val="30"/>
          <w:highlight w:val="none"/>
        </w:rPr>
      </w:pPr>
      <w:r>
        <w:rPr>
          <w:rStyle w:val="37"/>
          <w:rFonts w:hint="eastAsia" w:ascii="仿宋" w:hAnsi="仿宋" w:eastAsia="仿宋" w:cs="仿宋"/>
          <w:b/>
          <w:bCs/>
          <w:color w:val="auto"/>
          <w:sz w:val="28"/>
          <w:szCs w:val="28"/>
          <w:highlight w:val="none"/>
        </w:rPr>
        <w:br w:type="page"/>
      </w:r>
      <w:r>
        <w:rPr>
          <w:rStyle w:val="37"/>
          <w:rFonts w:hint="eastAsia" w:ascii="仿宋" w:hAnsi="仿宋" w:eastAsia="仿宋" w:cs="仿宋"/>
          <w:b/>
          <w:bCs/>
          <w:color w:val="auto"/>
          <w:sz w:val="28"/>
          <w:szCs w:val="28"/>
          <w:highlight w:val="none"/>
          <w:lang w:val="en-US" w:eastAsia="zh-CN"/>
        </w:rPr>
        <w:t>九</w:t>
      </w:r>
      <w:r>
        <w:rPr>
          <w:rStyle w:val="37"/>
          <w:rFonts w:hint="eastAsia" w:ascii="仿宋" w:hAnsi="仿宋" w:eastAsia="仿宋" w:cs="仿宋"/>
          <w:b/>
          <w:bCs/>
          <w:color w:val="auto"/>
          <w:sz w:val="28"/>
          <w:szCs w:val="28"/>
          <w:highlight w:val="none"/>
        </w:rPr>
        <w:t>、供应商参与投标的承诺函</w:t>
      </w:r>
    </w:p>
    <w:p w14:paraId="12A06234">
      <w:pPr>
        <w:widowControl w:val="0"/>
        <w:spacing w:line="500" w:lineRule="exact"/>
        <w:jc w:val="center"/>
        <w:rPr>
          <w:rStyle w:val="37"/>
          <w:rFonts w:ascii="仿宋" w:hAnsi="仿宋" w:eastAsia="仿宋" w:cs="仿宋"/>
          <w:b/>
          <w:bCs/>
          <w:color w:val="auto"/>
          <w:sz w:val="28"/>
          <w:szCs w:val="28"/>
          <w:highlight w:val="none"/>
        </w:rPr>
      </w:pPr>
    </w:p>
    <w:p w14:paraId="6B4DBA52">
      <w:pPr>
        <w:widowControl w:val="0"/>
        <w:spacing w:line="500" w:lineRule="exact"/>
        <w:jc w:val="center"/>
        <w:outlineLvl w:val="9"/>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供应商参与投标的承诺函</w:t>
      </w:r>
    </w:p>
    <w:p w14:paraId="362EEC9A">
      <w:pPr>
        <w:widowControl w:val="0"/>
        <w:spacing w:line="500" w:lineRule="exact"/>
        <w:rPr>
          <w:rStyle w:val="37"/>
          <w:rFonts w:ascii="仿宋" w:hAnsi="仿宋" w:eastAsia="仿宋" w:cs="仿宋"/>
          <w:color w:val="auto"/>
          <w:highlight w:val="none"/>
        </w:rPr>
      </w:pPr>
      <w:r>
        <w:rPr>
          <w:rStyle w:val="37"/>
          <w:rFonts w:hint="eastAsia" w:ascii="仿宋" w:hAnsi="仿宋" w:eastAsia="仿宋" w:cs="仿宋"/>
          <w:color w:val="auto"/>
          <w:highlight w:val="none"/>
        </w:rPr>
        <w:t>致：</w:t>
      </w:r>
      <w:r>
        <w:rPr>
          <w:rStyle w:val="37"/>
          <w:rFonts w:hint="eastAsia" w:ascii="仿宋" w:hAnsi="仿宋" w:eastAsia="仿宋" w:cs="仿宋"/>
          <w:color w:val="auto"/>
          <w:highlight w:val="none"/>
          <w:u w:val="single" w:color="000000"/>
        </w:rPr>
        <w:t>（采购人名称）</w:t>
      </w:r>
    </w:p>
    <w:p w14:paraId="733568A7">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我公司郑重承诺，在投标有效期内不随意撤回、撤销投标，在中标后按照招标文件和投标文件与采购人签订合同。如果违反以上承诺，给采购人造成损失的，我公司自愿按照中华人民共和国政府采购法等法律法规规定承担相应的责任。</w:t>
      </w:r>
    </w:p>
    <w:p w14:paraId="37F41312">
      <w:pPr>
        <w:widowControl w:val="0"/>
        <w:spacing w:line="500" w:lineRule="exact"/>
        <w:ind w:firstLine="480" w:firstLineChars="200"/>
        <w:rPr>
          <w:rStyle w:val="37"/>
          <w:rFonts w:ascii="仿宋" w:hAnsi="仿宋" w:eastAsia="仿宋" w:cs="仿宋"/>
          <w:color w:val="auto"/>
          <w:highlight w:val="none"/>
        </w:rPr>
      </w:pPr>
    </w:p>
    <w:p w14:paraId="55128DB7">
      <w:pPr>
        <w:widowControl w:val="0"/>
        <w:spacing w:line="500" w:lineRule="exact"/>
        <w:ind w:firstLine="480" w:firstLineChars="200"/>
        <w:rPr>
          <w:rStyle w:val="37"/>
          <w:rFonts w:ascii="仿宋" w:hAnsi="仿宋" w:eastAsia="仿宋" w:cs="仿宋"/>
          <w:color w:val="auto"/>
          <w:highlight w:val="none"/>
        </w:rPr>
      </w:pPr>
    </w:p>
    <w:p w14:paraId="7506F821">
      <w:pPr>
        <w:widowControl w:val="0"/>
        <w:spacing w:line="500" w:lineRule="exact"/>
        <w:ind w:firstLine="3360" w:firstLineChars="1400"/>
        <w:rPr>
          <w:rStyle w:val="37"/>
          <w:rFonts w:ascii="仿宋" w:hAnsi="仿宋" w:eastAsia="仿宋" w:cs="仿宋"/>
          <w:color w:val="auto"/>
          <w:highlight w:val="none"/>
        </w:rPr>
      </w:pPr>
      <w:r>
        <w:rPr>
          <w:rStyle w:val="37"/>
          <w:rFonts w:hint="eastAsia" w:ascii="仿宋" w:hAnsi="仿宋" w:eastAsia="仿宋" w:cs="仿宋"/>
          <w:color w:val="auto"/>
          <w:highlight w:val="none"/>
        </w:rPr>
        <w:t>供应商名称 ：</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 xml:space="preserve">（公章）                 </w:t>
      </w:r>
    </w:p>
    <w:p w14:paraId="2FC8871A">
      <w:pPr>
        <w:widowControl w:val="0"/>
        <w:spacing w:line="500" w:lineRule="exact"/>
        <w:ind w:firstLine="3360" w:firstLineChars="1400"/>
        <w:rPr>
          <w:rStyle w:val="37"/>
          <w:rFonts w:ascii="仿宋" w:hAnsi="仿宋" w:eastAsia="仿宋" w:cs="仿宋"/>
          <w:color w:val="auto"/>
          <w:highlight w:val="none"/>
        </w:rPr>
      </w:pPr>
      <w:r>
        <w:rPr>
          <w:rStyle w:val="37"/>
          <w:rFonts w:hint="eastAsia" w:ascii="仿宋" w:hAnsi="仿宋" w:eastAsia="仿宋" w:cs="仿宋"/>
          <w:color w:val="auto"/>
          <w:highlight w:val="none"/>
        </w:rPr>
        <w:t>日  期：    年  月  日</w:t>
      </w:r>
    </w:p>
    <w:p w14:paraId="00FB17FB">
      <w:pPr>
        <w:widowControl w:val="0"/>
        <w:spacing w:line="360" w:lineRule="auto"/>
        <w:jc w:val="left"/>
        <w:outlineLvl w:val="2"/>
        <w:rPr>
          <w:rStyle w:val="37"/>
          <w:rFonts w:ascii="仿宋" w:hAnsi="仿宋" w:eastAsia="仿宋" w:cs="仿宋"/>
          <w:b/>
          <w:bCs/>
          <w:color w:val="auto"/>
          <w:sz w:val="30"/>
          <w:szCs w:val="30"/>
          <w:highlight w:val="none"/>
        </w:rPr>
      </w:pPr>
      <w:r>
        <w:rPr>
          <w:rStyle w:val="37"/>
          <w:rFonts w:hint="eastAsia" w:ascii="仿宋" w:hAnsi="仿宋" w:eastAsia="仿宋" w:cs="仿宋"/>
          <w:b/>
          <w:bCs/>
          <w:color w:val="auto"/>
          <w:sz w:val="28"/>
          <w:szCs w:val="28"/>
          <w:highlight w:val="none"/>
        </w:rPr>
        <w:br w:type="page"/>
      </w:r>
      <w:r>
        <w:rPr>
          <w:rStyle w:val="37"/>
          <w:rFonts w:hint="eastAsia" w:ascii="仿宋" w:hAnsi="仿宋" w:eastAsia="仿宋" w:cs="仿宋"/>
          <w:b/>
          <w:bCs/>
          <w:color w:val="auto"/>
          <w:sz w:val="30"/>
          <w:szCs w:val="30"/>
          <w:highlight w:val="none"/>
          <w:lang w:val="en-US" w:eastAsia="zh-CN"/>
        </w:rPr>
        <w:t>十</w:t>
      </w:r>
      <w:r>
        <w:rPr>
          <w:rStyle w:val="37"/>
          <w:rFonts w:hint="eastAsia" w:ascii="仿宋" w:hAnsi="仿宋" w:eastAsia="仿宋" w:cs="仿宋"/>
          <w:b/>
          <w:bCs/>
          <w:color w:val="auto"/>
          <w:sz w:val="30"/>
          <w:szCs w:val="30"/>
          <w:highlight w:val="none"/>
        </w:rPr>
        <w:t>、本项目不接受联合体投标，不允许分包</w:t>
      </w:r>
    </w:p>
    <w:p w14:paraId="05ED626F">
      <w:pPr>
        <w:widowControl w:val="0"/>
        <w:rPr>
          <w:rStyle w:val="37"/>
          <w:rFonts w:ascii="仿宋" w:hAnsi="仿宋" w:eastAsia="仿宋" w:cs="仿宋"/>
          <w:color w:val="auto"/>
          <w:highlight w:val="none"/>
        </w:rPr>
      </w:pPr>
    </w:p>
    <w:p w14:paraId="452435B5">
      <w:pPr>
        <w:pStyle w:val="62"/>
        <w:widowControl w:val="0"/>
        <w:ind w:firstLine="562"/>
        <w:jc w:val="center"/>
        <w:outlineLvl w:val="9"/>
        <w:rPr>
          <w:rStyle w:val="37"/>
          <w:rFonts w:ascii="仿宋" w:hAnsi="仿宋" w:eastAsia="仿宋" w:cs="仿宋"/>
          <w:b/>
          <w:bCs/>
          <w:color w:val="auto"/>
          <w:sz w:val="28"/>
          <w:szCs w:val="28"/>
          <w:highlight w:val="none"/>
        </w:rPr>
      </w:pPr>
      <w:r>
        <w:rPr>
          <w:rStyle w:val="37"/>
          <w:rFonts w:hint="eastAsia" w:ascii="仿宋" w:hAnsi="仿宋" w:eastAsia="仿宋" w:cs="仿宋"/>
          <w:b/>
          <w:bCs/>
          <w:color w:val="auto"/>
          <w:sz w:val="28"/>
          <w:szCs w:val="28"/>
          <w:highlight w:val="none"/>
        </w:rPr>
        <w:t>非联合体不分包投标声明</w:t>
      </w:r>
    </w:p>
    <w:p w14:paraId="7140355C">
      <w:pPr>
        <w:widowControl w:val="0"/>
        <w:spacing w:line="500" w:lineRule="exact"/>
        <w:ind w:firstLine="480" w:firstLineChars="200"/>
        <w:rPr>
          <w:rStyle w:val="37"/>
          <w:rFonts w:ascii="仿宋" w:hAnsi="仿宋" w:eastAsia="仿宋" w:cs="仿宋"/>
          <w:color w:val="auto"/>
          <w:highlight w:val="none"/>
        </w:rPr>
      </w:pPr>
    </w:p>
    <w:p w14:paraId="01958C60">
      <w:pPr>
        <w:widowControl w:val="0"/>
        <w:spacing w:line="500" w:lineRule="exact"/>
        <w:ind w:firstLine="480" w:firstLineChars="200"/>
        <w:jc w:val="left"/>
        <w:rPr>
          <w:rStyle w:val="37"/>
          <w:rFonts w:ascii="仿宋" w:hAnsi="仿宋" w:eastAsia="仿宋" w:cs="仿宋"/>
          <w:color w:val="auto"/>
          <w:highlight w:val="none"/>
        </w:rPr>
      </w:pPr>
      <w:r>
        <w:rPr>
          <w:rStyle w:val="37"/>
          <w:rFonts w:hint="eastAsia" w:ascii="仿宋" w:hAnsi="仿宋" w:eastAsia="仿宋" w:cs="仿宋"/>
          <w:color w:val="auto"/>
          <w:highlight w:val="none"/>
        </w:rPr>
        <w:t>本单位郑重声明，参加</w:t>
      </w:r>
      <w:r>
        <w:rPr>
          <w:rStyle w:val="37"/>
          <w:rFonts w:hint="eastAsia" w:ascii="仿宋" w:hAnsi="仿宋" w:eastAsia="仿宋" w:cs="仿宋"/>
          <w:color w:val="auto"/>
          <w:highlight w:val="none"/>
          <w:u w:val="single"/>
        </w:rPr>
        <w:t>(采购人</w:t>
      </w:r>
      <w:r>
        <w:rPr>
          <w:rStyle w:val="37"/>
          <w:rFonts w:hint="eastAsia" w:ascii="仿宋" w:hAnsi="仿宋" w:eastAsia="仿宋" w:cs="仿宋"/>
          <w:color w:val="auto"/>
          <w:highlight w:val="none"/>
          <w:u w:val="single"/>
          <w:lang w:val="en-US" w:eastAsia="zh-CN"/>
        </w:rPr>
        <w:t>名称</w:t>
      </w:r>
      <w:r>
        <w:rPr>
          <w:rStyle w:val="37"/>
          <w:rFonts w:hint="eastAsia" w:ascii="仿宋" w:hAnsi="仿宋" w:eastAsia="仿宋" w:cs="仿宋"/>
          <w:color w:val="auto"/>
          <w:highlight w:val="none"/>
          <w:u w:val="single"/>
        </w:rPr>
        <w:t>）</w:t>
      </w:r>
      <w:r>
        <w:rPr>
          <w:rStyle w:val="37"/>
          <w:rFonts w:hint="eastAsia" w:ascii="仿宋" w:hAnsi="仿宋" w:eastAsia="仿宋" w:cs="仿宋"/>
          <w:color w:val="auto"/>
          <w:highlight w:val="none"/>
        </w:rPr>
        <w:t>的</w:t>
      </w:r>
      <w:r>
        <w:rPr>
          <w:rStyle w:val="37"/>
          <w:rFonts w:hint="eastAsia" w:ascii="仿宋" w:hAnsi="仿宋" w:eastAsia="仿宋" w:cs="仿宋"/>
          <w:color w:val="auto"/>
          <w:highlight w:val="none"/>
          <w:u w:val="single" w:color="000000"/>
        </w:rPr>
        <w:t>项目名称</w:t>
      </w:r>
      <w:r>
        <w:rPr>
          <w:rStyle w:val="37"/>
          <w:rFonts w:hint="eastAsia" w:ascii="仿宋" w:hAnsi="仿宋" w:eastAsia="仿宋" w:cs="仿宋"/>
          <w:color w:val="auto"/>
          <w:highlight w:val="none"/>
        </w:rPr>
        <w:t>（项目编号：</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）采购活动，为非联合体投标，本项目实施过程由本单位独立承担。</w:t>
      </w:r>
    </w:p>
    <w:p w14:paraId="679936C1">
      <w:pPr>
        <w:widowControl w:val="0"/>
        <w:spacing w:line="500" w:lineRule="exact"/>
        <w:ind w:firstLine="480" w:firstLineChars="200"/>
        <w:jc w:val="left"/>
        <w:rPr>
          <w:rStyle w:val="37"/>
          <w:rFonts w:ascii="仿宋" w:hAnsi="仿宋" w:eastAsia="仿宋" w:cs="仿宋"/>
          <w:color w:val="auto"/>
          <w:highlight w:val="none"/>
        </w:rPr>
      </w:pPr>
      <w:r>
        <w:rPr>
          <w:rStyle w:val="37"/>
          <w:rFonts w:hint="eastAsia" w:ascii="仿宋" w:hAnsi="仿宋" w:eastAsia="仿宋" w:cs="仿宋"/>
          <w:color w:val="auto"/>
          <w:highlight w:val="none"/>
        </w:rPr>
        <w:t>本单位对上述声明的真实性负责。如有虚假，将依法承担相应责任。</w:t>
      </w:r>
    </w:p>
    <w:p w14:paraId="5040E36F">
      <w:pPr>
        <w:widowControl w:val="0"/>
        <w:spacing w:line="500" w:lineRule="exact"/>
        <w:ind w:firstLine="480" w:firstLineChars="200"/>
        <w:jc w:val="left"/>
        <w:rPr>
          <w:rStyle w:val="37"/>
          <w:rFonts w:ascii="仿宋" w:hAnsi="仿宋" w:eastAsia="仿宋" w:cs="仿宋"/>
          <w:color w:val="auto"/>
          <w:highlight w:val="none"/>
        </w:rPr>
      </w:pPr>
    </w:p>
    <w:p w14:paraId="0AEC4D33">
      <w:pPr>
        <w:pStyle w:val="62"/>
        <w:widowControl w:val="0"/>
        <w:rPr>
          <w:rStyle w:val="37"/>
          <w:rFonts w:ascii="仿宋" w:hAnsi="仿宋" w:eastAsia="仿宋" w:cs="仿宋"/>
          <w:color w:val="auto"/>
          <w:highlight w:val="none"/>
        </w:rPr>
      </w:pPr>
    </w:p>
    <w:p w14:paraId="5CE63011">
      <w:pPr>
        <w:widowControl w:val="0"/>
        <w:spacing w:line="500" w:lineRule="exact"/>
        <w:ind w:firstLine="4320" w:firstLineChars="1800"/>
        <w:rPr>
          <w:rStyle w:val="37"/>
          <w:rFonts w:ascii="仿宋" w:hAnsi="仿宋" w:eastAsia="仿宋" w:cs="仿宋"/>
          <w:color w:val="auto"/>
          <w:highlight w:val="none"/>
        </w:rPr>
      </w:pPr>
      <w:r>
        <w:rPr>
          <w:rStyle w:val="37"/>
          <w:rFonts w:hint="eastAsia" w:ascii="仿宋" w:hAnsi="仿宋" w:eastAsia="仿宋" w:cs="仿宋"/>
          <w:color w:val="auto"/>
          <w:highlight w:val="none"/>
        </w:rPr>
        <w:t>供应商名称：</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（加盖公章）</w:t>
      </w:r>
    </w:p>
    <w:p w14:paraId="732D72AA">
      <w:pPr>
        <w:widowControl w:val="0"/>
        <w:tabs>
          <w:tab w:val="left" w:pos="5670"/>
        </w:tabs>
        <w:spacing w:line="500" w:lineRule="exact"/>
        <w:ind w:firstLine="4560" w:firstLineChars="1900"/>
        <w:jc w:val="left"/>
        <w:rPr>
          <w:rStyle w:val="37"/>
          <w:rFonts w:ascii="仿宋" w:hAnsi="仿宋" w:eastAsia="仿宋" w:cs="仿宋"/>
          <w:color w:val="auto"/>
          <w:highlight w:val="none"/>
        </w:rPr>
      </w:pPr>
      <w:r>
        <w:rPr>
          <w:rStyle w:val="37"/>
          <w:rFonts w:hint="eastAsia" w:ascii="仿宋" w:hAnsi="仿宋" w:eastAsia="仿宋" w:cs="仿宋"/>
          <w:color w:val="auto"/>
          <w:highlight w:val="none"/>
        </w:rPr>
        <w:t>日期：　　年　月　日</w:t>
      </w:r>
    </w:p>
    <w:p w14:paraId="26794112">
      <w:pPr>
        <w:pStyle w:val="102"/>
        <w:widowControl w:val="0"/>
        <w:ind w:firstLine="210"/>
        <w:rPr>
          <w:rStyle w:val="37"/>
          <w:rFonts w:ascii="仿宋" w:hAnsi="仿宋" w:eastAsia="仿宋" w:cs="仿宋"/>
          <w:color w:val="auto"/>
          <w:highlight w:val="none"/>
        </w:rPr>
      </w:pPr>
    </w:p>
    <w:p w14:paraId="23FE1117">
      <w:pPr>
        <w:pStyle w:val="102"/>
        <w:widowControl w:val="0"/>
        <w:ind w:firstLine="210"/>
        <w:rPr>
          <w:rStyle w:val="37"/>
          <w:rFonts w:ascii="仿宋" w:hAnsi="仿宋" w:eastAsia="仿宋" w:cs="仿宋"/>
          <w:color w:val="auto"/>
          <w:highlight w:val="none"/>
        </w:rPr>
      </w:pPr>
    </w:p>
    <w:p w14:paraId="445D23D1">
      <w:pPr>
        <w:pStyle w:val="102"/>
        <w:widowControl w:val="0"/>
        <w:ind w:firstLine="210"/>
        <w:rPr>
          <w:rStyle w:val="37"/>
          <w:rFonts w:ascii="仿宋" w:hAnsi="仿宋" w:eastAsia="仿宋" w:cs="仿宋"/>
          <w:color w:val="auto"/>
          <w:highlight w:val="none"/>
        </w:rPr>
      </w:pPr>
    </w:p>
    <w:p w14:paraId="1BDCC19F">
      <w:pPr>
        <w:pStyle w:val="102"/>
        <w:widowControl w:val="0"/>
        <w:ind w:firstLine="210"/>
        <w:rPr>
          <w:rStyle w:val="37"/>
          <w:rFonts w:ascii="仿宋" w:hAnsi="仿宋" w:eastAsia="仿宋" w:cs="仿宋"/>
          <w:color w:val="auto"/>
          <w:highlight w:val="none"/>
        </w:rPr>
      </w:pPr>
    </w:p>
    <w:p w14:paraId="450A45DF">
      <w:pPr>
        <w:pStyle w:val="102"/>
        <w:widowControl w:val="0"/>
        <w:ind w:firstLine="210"/>
        <w:rPr>
          <w:rStyle w:val="37"/>
          <w:rFonts w:ascii="仿宋" w:hAnsi="仿宋" w:eastAsia="仿宋" w:cs="仿宋"/>
          <w:color w:val="auto"/>
          <w:highlight w:val="none"/>
        </w:rPr>
      </w:pPr>
    </w:p>
    <w:p w14:paraId="7512895E">
      <w:pPr>
        <w:pStyle w:val="102"/>
        <w:widowControl w:val="0"/>
        <w:ind w:firstLine="210"/>
        <w:rPr>
          <w:rStyle w:val="37"/>
          <w:rFonts w:ascii="仿宋" w:hAnsi="仿宋" w:eastAsia="仿宋" w:cs="仿宋"/>
          <w:color w:val="auto"/>
          <w:highlight w:val="none"/>
        </w:rPr>
      </w:pPr>
    </w:p>
    <w:p w14:paraId="6E1592EF">
      <w:pPr>
        <w:pStyle w:val="102"/>
        <w:widowControl w:val="0"/>
        <w:ind w:firstLine="210"/>
        <w:rPr>
          <w:rStyle w:val="37"/>
          <w:rFonts w:ascii="仿宋" w:hAnsi="仿宋" w:eastAsia="仿宋" w:cs="仿宋"/>
          <w:color w:val="auto"/>
          <w:highlight w:val="none"/>
        </w:rPr>
      </w:pPr>
    </w:p>
    <w:p w14:paraId="69786598">
      <w:pPr>
        <w:pStyle w:val="102"/>
        <w:widowControl w:val="0"/>
        <w:ind w:firstLine="210"/>
        <w:rPr>
          <w:rStyle w:val="37"/>
          <w:rFonts w:ascii="仿宋" w:hAnsi="仿宋" w:eastAsia="仿宋" w:cs="仿宋"/>
          <w:color w:val="auto"/>
          <w:highlight w:val="none"/>
        </w:rPr>
      </w:pPr>
    </w:p>
    <w:p w14:paraId="149757C4">
      <w:pPr>
        <w:pStyle w:val="102"/>
        <w:widowControl w:val="0"/>
        <w:ind w:firstLine="210"/>
        <w:rPr>
          <w:rStyle w:val="37"/>
          <w:rFonts w:ascii="仿宋" w:hAnsi="仿宋" w:eastAsia="仿宋" w:cs="仿宋"/>
          <w:color w:val="auto"/>
          <w:highlight w:val="none"/>
        </w:rPr>
      </w:pPr>
    </w:p>
    <w:p w14:paraId="7F7F0FE9">
      <w:pPr>
        <w:pStyle w:val="102"/>
        <w:widowControl w:val="0"/>
        <w:ind w:firstLine="210"/>
        <w:rPr>
          <w:rStyle w:val="37"/>
          <w:rFonts w:ascii="仿宋" w:hAnsi="仿宋" w:eastAsia="仿宋" w:cs="仿宋"/>
          <w:color w:val="auto"/>
          <w:highlight w:val="none"/>
        </w:rPr>
      </w:pPr>
    </w:p>
    <w:p w14:paraId="0C936559">
      <w:pPr>
        <w:pStyle w:val="102"/>
        <w:widowControl w:val="0"/>
        <w:ind w:firstLine="210"/>
        <w:rPr>
          <w:rStyle w:val="37"/>
          <w:rFonts w:ascii="仿宋" w:hAnsi="仿宋" w:eastAsia="仿宋" w:cs="仿宋"/>
          <w:color w:val="auto"/>
          <w:highlight w:val="none"/>
        </w:rPr>
      </w:pPr>
    </w:p>
    <w:p w14:paraId="1CD3E363">
      <w:pPr>
        <w:pStyle w:val="102"/>
        <w:widowControl w:val="0"/>
        <w:ind w:firstLine="210"/>
        <w:rPr>
          <w:rStyle w:val="37"/>
          <w:rFonts w:ascii="仿宋" w:hAnsi="仿宋" w:eastAsia="仿宋" w:cs="仿宋"/>
          <w:color w:val="auto"/>
          <w:highlight w:val="none"/>
        </w:rPr>
      </w:pPr>
    </w:p>
    <w:p w14:paraId="7A7C582F">
      <w:pPr>
        <w:pStyle w:val="102"/>
        <w:widowControl w:val="0"/>
        <w:ind w:firstLine="210"/>
        <w:rPr>
          <w:rStyle w:val="37"/>
          <w:rFonts w:ascii="仿宋" w:hAnsi="仿宋" w:eastAsia="仿宋" w:cs="仿宋"/>
          <w:color w:val="auto"/>
          <w:highlight w:val="none"/>
        </w:rPr>
      </w:pPr>
    </w:p>
    <w:p w14:paraId="383E243F">
      <w:pPr>
        <w:pStyle w:val="102"/>
        <w:widowControl w:val="0"/>
        <w:ind w:firstLine="210"/>
        <w:rPr>
          <w:rStyle w:val="37"/>
          <w:rFonts w:ascii="仿宋" w:hAnsi="仿宋" w:eastAsia="仿宋" w:cs="仿宋"/>
          <w:color w:val="auto"/>
          <w:highlight w:val="none"/>
        </w:rPr>
      </w:pPr>
    </w:p>
    <w:p w14:paraId="09F6A1BF">
      <w:pPr>
        <w:pStyle w:val="102"/>
        <w:widowControl w:val="0"/>
        <w:ind w:firstLine="210"/>
        <w:rPr>
          <w:rStyle w:val="37"/>
          <w:rFonts w:ascii="仿宋" w:hAnsi="仿宋" w:eastAsia="仿宋" w:cs="仿宋"/>
          <w:color w:val="auto"/>
          <w:highlight w:val="none"/>
        </w:rPr>
      </w:pPr>
    </w:p>
    <w:p w14:paraId="13DE17A1">
      <w:pPr>
        <w:pStyle w:val="102"/>
        <w:widowControl w:val="0"/>
        <w:ind w:firstLine="210"/>
        <w:rPr>
          <w:rStyle w:val="37"/>
          <w:rFonts w:ascii="仿宋" w:hAnsi="仿宋" w:eastAsia="仿宋" w:cs="仿宋"/>
          <w:color w:val="auto"/>
          <w:highlight w:val="none"/>
        </w:rPr>
      </w:pPr>
    </w:p>
    <w:p w14:paraId="70C24BD4">
      <w:pPr>
        <w:pStyle w:val="102"/>
        <w:widowControl w:val="0"/>
        <w:ind w:firstLine="210"/>
        <w:rPr>
          <w:rStyle w:val="37"/>
          <w:rFonts w:ascii="仿宋" w:hAnsi="仿宋" w:eastAsia="仿宋" w:cs="仿宋"/>
          <w:color w:val="auto"/>
          <w:highlight w:val="none"/>
        </w:rPr>
      </w:pPr>
    </w:p>
    <w:p w14:paraId="70A6244B">
      <w:pPr>
        <w:pStyle w:val="102"/>
        <w:widowControl w:val="0"/>
        <w:ind w:firstLine="210"/>
        <w:rPr>
          <w:rStyle w:val="37"/>
          <w:rFonts w:ascii="仿宋" w:hAnsi="仿宋" w:eastAsia="仿宋" w:cs="仿宋"/>
          <w:color w:val="auto"/>
          <w:highlight w:val="none"/>
        </w:rPr>
      </w:pPr>
    </w:p>
    <w:p w14:paraId="200C73F0">
      <w:pPr>
        <w:pStyle w:val="262"/>
        <w:widowControl w:val="0"/>
        <w:spacing w:before="0" w:after="0" w:line="360" w:lineRule="auto"/>
        <w:ind w:left="283"/>
        <w:outlineLvl w:val="1"/>
        <w:rPr>
          <w:rStyle w:val="37"/>
          <w:rFonts w:ascii="仿宋" w:hAnsi="仿宋" w:eastAsia="仿宋" w:cs="仿宋"/>
          <w:bCs w:val="0"/>
          <w:color w:val="auto"/>
          <w:sz w:val="32"/>
          <w:highlight w:val="none"/>
        </w:rPr>
      </w:pPr>
      <w:r>
        <w:rPr>
          <w:rStyle w:val="37"/>
          <w:rFonts w:hint="eastAsia" w:ascii="仿宋" w:hAnsi="仿宋" w:eastAsia="仿宋" w:cs="仿宋"/>
          <w:bCs w:val="0"/>
          <w:color w:val="auto"/>
          <w:sz w:val="32"/>
          <w:highlight w:val="none"/>
        </w:rPr>
        <w:t>第二部分 符合性证明文件</w:t>
      </w:r>
    </w:p>
    <w:p w14:paraId="5F366978">
      <w:pPr>
        <w:pStyle w:val="262"/>
        <w:widowControl w:val="0"/>
        <w:spacing w:before="0" w:after="0" w:line="360" w:lineRule="auto"/>
        <w:ind w:left="0"/>
        <w:jc w:val="both"/>
        <w:outlineLvl w:val="2"/>
        <w:rPr>
          <w:rStyle w:val="37"/>
          <w:rFonts w:hint="eastAsia" w:ascii="仿宋" w:hAnsi="仿宋" w:eastAsia="仿宋" w:cs="仿宋"/>
          <w:bCs w:val="0"/>
          <w:color w:val="auto"/>
          <w:sz w:val="24"/>
          <w:highlight w:val="none"/>
          <w:lang w:eastAsia="zh-CN"/>
        </w:rPr>
      </w:pPr>
      <w:r>
        <w:rPr>
          <w:rStyle w:val="37"/>
          <w:rFonts w:hint="eastAsia" w:ascii="仿宋" w:hAnsi="仿宋" w:eastAsia="仿宋" w:cs="仿宋"/>
          <w:bCs w:val="0"/>
          <w:color w:val="auto"/>
          <w:sz w:val="24"/>
          <w:highlight w:val="none"/>
        </w:rPr>
        <w:t>一、</w:t>
      </w:r>
      <w:r>
        <w:rPr>
          <w:rStyle w:val="37"/>
          <w:rFonts w:hint="eastAsia" w:ascii="仿宋" w:hAnsi="仿宋" w:eastAsia="仿宋" w:cs="仿宋"/>
          <w:bCs w:val="0"/>
          <w:color w:val="auto"/>
          <w:sz w:val="24"/>
          <w:highlight w:val="none"/>
          <w:lang w:eastAsia="zh-CN"/>
        </w:rPr>
        <w:t>投标函</w:t>
      </w:r>
    </w:p>
    <w:p w14:paraId="0F7F221C">
      <w:pPr>
        <w:pStyle w:val="262"/>
        <w:widowControl w:val="0"/>
        <w:spacing w:before="0" w:after="0" w:line="360" w:lineRule="auto"/>
        <w:ind w:left="283"/>
        <w:rPr>
          <w:rStyle w:val="37"/>
          <w:rFonts w:ascii="仿宋" w:hAnsi="仿宋" w:eastAsia="仿宋" w:cs="仿宋"/>
          <w:bCs w:val="0"/>
          <w:color w:val="auto"/>
          <w:sz w:val="32"/>
          <w:highlight w:val="none"/>
        </w:rPr>
      </w:pPr>
      <w:r>
        <w:rPr>
          <w:rStyle w:val="37"/>
          <w:rFonts w:hint="eastAsia" w:ascii="仿宋" w:hAnsi="仿宋" w:eastAsia="仿宋" w:cs="仿宋"/>
          <w:bCs w:val="0"/>
          <w:color w:val="auto"/>
          <w:sz w:val="32"/>
          <w:highlight w:val="none"/>
        </w:rPr>
        <w:t>投标函</w:t>
      </w:r>
    </w:p>
    <w:p w14:paraId="542FA7B3">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Chars="0"/>
        <w:textAlignment w:val="baseline"/>
        <w:rPr>
          <w:rStyle w:val="37"/>
          <w:rFonts w:ascii="仿宋" w:hAnsi="仿宋" w:eastAsia="仿宋" w:cs="仿宋"/>
          <w:color w:val="auto"/>
          <w:highlight w:val="none"/>
          <w:lang w:val="zh-CN"/>
        </w:rPr>
      </w:pPr>
      <w:r>
        <w:rPr>
          <w:rStyle w:val="37"/>
          <w:rFonts w:hint="eastAsia" w:ascii="仿宋" w:hAnsi="仿宋" w:eastAsia="仿宋" w:cs="仿宋"/>
          <w:color w:val="auto"/>
          <w:highlight w:val="none"/>
          <w:u w:val="single" w:color="000000"/>
        </w:rPr>
        <w:t>(采购人名称）</w:t>
      </w:r>
      <w:r>
        <w:rPr>
          <w:rStyle w:val="37"/>
          <w:rFonts w:hint="eastAsia" w:ascii="仿宋" w:hAnsi="仿宋" w:eastAsia="仿宋" w:cs="仿宋"/>
          <w:color w:val="auto"/>
          <w:highlight w:val="none"/>
          <w:lang w:val="zh-CN"/>
        </w:rPr>
        <w:t>：</w:t>
      </w:r>
    </w:p>
    <w:p w14:paraId="4F54E2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11" w:firstLine="480" w:firstLineChars="200"/>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我方收到贵单位发布的《</w:t>
      </w:r>
      <w:r>
        <w:rPr>
          <w:rStyle w:val="37"/>
          <w:rFonts w:hint="eastAsia" w:ascii="仿宋" w:hAnsi="仿宋" w:eastAsia="仿宋" w:cs="仿宋"/>
          <w:color w:val="auto"/>
          <w:szCs w:val="24"/>
          <w:highlight w:val="none"/>
          <w:u w:val="single" w:color="000000"/>
        </w:rPr>
        <w:t>项目名称</w:t>
      </w:r>
      <w:r>
        <w:rPr>
          <w:rStyle w:val="37"/>
          <w:rFonts w:hint="eastAsia" w:ascii="仿宋" w:hAnsi="仿宋" w:eastAsia="仿宋" w:cs="仿宋"/>
          <w:color w:val="auto"/>
          <w:szCs w:val="24"/>
          <w:highlight w:val="none"/>
        </w:rPr>
        <w:t>》（项目编号：</w:t>
      </w:r>
      <w:r>
        <w:rPr>
          <w:rStyle w:val="37"/>
          <w:rFonts w:hint="eastAsia" w:ascii="仿宋" w:hAnsi="仿宋" w:eastAsia="仿宋" w:cs="仿宋"/>
          <w:color w:val="auto"/>
          <w:szCs w:val="24"/>
          <w:highlight w:val="none"/>
          <w:u w:val="single" w:color="000000"/>
        </w:rPr>
        <w:t xml:space="preserve">         </w:t>
      </w:r>
      <w:r>
        <w:rPr>
          <w:rStyle w:val="37"/>
          <w:rFonts w:hint="eastAsia" w:ascii="仿宋" w:hAnsi="仿宋" w:eastAsia="仿宋" w:cs="仿宋"/>
          <w:color w:val="auto"/>
          <w:szCs w:val="24"/>
          <w:highlight w:val="none"/>
        </w:rPr>
        <w:t>）招标文件，经详细研究，我方决定参加该项目招标活动。为此，我方郑重声明以下诸点，并负法律责任。</w:t>
      </w:r>
    </w:p>
    <w:p w14:paraId="05C97DEE">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jc w:val="left"/>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一、我方已详细阅读了招标文件，完全理解并同意招标文件的所有事项及内容。</w:t>
      </w:r>
    </w:p>
    <w:p w14:paraId="04DBF8B7">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jc w:val="left"/>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二、我方已悉知并关注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14:paraId="0BFA2EDE">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jc w:val="left"/>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三、我方同意向贵方提供与本投标有关的任何证明材料，保证所提交的证明材料真实、合法、有效</w:t>
      </w:r>
      <w:r>
        <w:rPr>
          <w:rStyle w:val="37"/>
          <w:rFonts w:hint="eastAsia" w:ascii="仿宋" w:hAnsi="仿宋" w:eastAsia="仿宋" w:cs="仿宋"/>
          <w:color w:val="auto"/>
          <w:szCs w:val="24"/>
          <w:highlight w:val="none"/>
          <w:lang w:eastAsia="zh-CN"/>
        </w:rPr>
        <w:t>，</w:t>
      </w:r>
      <w:r>
        <w:rPr>
          <w:rStyle w:val="37"/>
          <w:rFonts w:hint="eastAsia" w:ascii="仿宋" w:hAnsi="仿宋" w:eastAsia="仿宋" w:cs="仿宋"/>
          <w:color w:val="auto"/>
          <w:szCs w:val="24"/>
          <w:highlight w:val="none"/>
        </w:rPr>
        <w:t>并尊重评标委员会的评审结果。</w:t>
      </w:r>
    </w:p>
    <w:p w14:paraId="3D7E18A8">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jc w:val="left"/>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四、我方愿意按照招标文件中的一切要求，完成本项目合同责任和义务。</w:t>
      </w:r>
    </w:p>
    <w:p w14:paraId="36EF979D">
      <w:pPr>
        <w:pStyle w:val="9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Style w:val="37"/>
          <w:rFonts w:ascii="仿宋" w:hAnsi="仿宋" w:eastAsia="仿宋" w:cs="仿宋"/>
          <w:color w:val="auto"/>
          <w:kern w:val="2"/>
          <w:highlight w:val="none"/>
        </w:rPr>
      </w:pPr>
      <w:r>
        <w:rPr>
          <w:rStyle w:val="37"/>
          <w:rFonts w:hint="eastAsia" w:ascii="仿宋" w:hAnsi="仿宋" w:eastAsia="仿宋" w:cs="仿宋"/>
          <w:color w:val="auto"/>
          <w:kern w:val="2"/>
          <w:highlight w:val="none"/>
          <w:lang w:val="en-US" w:eastAsia="zh-CN"/>
        </w:rPr>
        <w:t>五</w:t>
      </w:r>
      <w:r>
        <w:rPr>
          <w:rStyle w:val="37"/>
          <w:rFonts w:hint="eastAsia" w:ascii="仿宋" w:hAnsi="仿宋" w:eastAsia="仿宋" w:cs="仿宋"/>
          <w:color w:val="auto"/>
          <w:kern w:val="2"/>
          <w:highlight w:val="none"/>
        </w:rPr>
        <w:t>、我方提交电子投标文件壹份。</w:t>
      </w:r>
    </w:p>
    <w:p w14:paraId="2E2F0356">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jc w:val="left"/>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lang w:val="en-US" w:eastAsia="zh-CN"/>
        </w:rPr>
        <w:t>六</w:t>
      </w:r>
      <w:r>
        <w:rPr>
          <w:rStyle w:val="37"/>
          <w:rFonts w:hint="eastAsia" w:ascii="仿宋" w:hAnsi="仿宋" w:eastAsia="仿宋" w:cs="仿宋"/>
          <w:color w:val="auto"/>
          <w:szCs w:val="24"/>
          <w:highlight w:val="none"/>
        </w:rPr>
        <w:t>、开标后在规定的投标有效期内撤回投标，我们愿接受政府采购的有关处罚决定。</w:t>
      </w:r>
    </w:p>
    <w:p w14:paraId="3FB11B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lang w:val="en-US" w:eastAsia="zh-CN"/>
        </w:rPr>
        <w:t>七</w:t>
      </w:r>
      <w:r>
        <w:rPr>
          <w:rStyle w:val="37"/>
          <w:rFonts w:hint="eastAsia" w:ascii="仿宋" w:hAnsi="仿宋" w:eastAsia="仿宋" w:cs="仿宋"/>
          <w:color w:val="auto"/>
          <w:szCs w:val="24"/>
          <w:highlight w:val="none"/>
        </w:rPr>
        <w:t>、我方的投标文件在开标之日起</w:t>
      </w:r>
      <w:r>
        <w:rPr>
          <w:rStyle w:val="37"/>
          <w:rFonts w:hint="eastAsia" w:ascii="仿宋" w:hAnsi="仿宋" w:eastAsia="仿宋" w:cs="仿宋"/>
          <w:color w:val="auto"/>
          <w:szCs w:val="24"/>
          <w:highlight w:val="none"/>
          <w:u w:val="single" w:color="000000"/>
        </w:rPr>
        <w:t xml:space="preserve"> </w:t>
      </w:r>
      <w:r>
        <w:rPr>
          <w:rStyle w:val="37"/>
          <w:rFonts w:hint="eastAsia" w:ascii="仿宋" w:hAnsi="仿宋" w:eastAsia="仿宋" w:cs="仿宋"/>
          <w:b/>
          <w:bCs/>
          <w:color w:val="auto"/>
          <w:szCs w:val="24"/>
          <w:highlight w:val="none"/>
          <w:u w:val="single" w:color="000000"/>
        </w:rPr>
        <w:t>90</w:t>
      </w:r>
      <w:r>
        <w:rPr>
          <w:rStyle w:val="37"/>
          <w:rFonts w:hint="eastAsia" w:ascii="仿宋" w:hAnsi="仿宋" w:eastAsia="仿宋" w:cs="仿宋"/>
          <w:color w:val="auto"/>
          <w:szCs w:val="24"/>
          <w:highlight w:val="none"/>
          <w:u w:val="single" w:color="000000"/>
        </w:rPr>
        <w:t xml:space="preserve"> </w:t>
      </w:r>
      <w:r>
        <w:rPr>
          <w:rStyle w:val="37"/>
          <w:rFonts w:hint="eastAsia" w:ascii="仿宋" w:hAnsi="仿宋" w:eastAsia="仿宋" w:cs="仿宋"/>
          <w:color w:val="auto"/>
          <w:szCs w:val="24"/>
          <w:highlight w:val="none"/>
        </w:rPr>
        <w:t>个日历日内有效，如中标，延长至合同执行完毕时止。</w:t>
      </w:r>
    </w:p>
    <w:p w14:paraId="1E9A83A2">
      <w:pPr>
        <w:pStyle w:val="4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baseline"/>
        <w:rPr>
          <w:rStyle w:val="37"/>
          <w:rFonts w:ascii="仿宋" w:hAnsi="仿宋" w:eastAsia="仿宋" w:cs="仿宋"/>
          <w:color w:val="auto"/>
          <w:kern w:val="0"/>
          <w:sz w:val="24"/>
          <w:szCs w:val="24"/>
          <w:highlight w:val="none"/>
        </w:rPr>
      </w:pPr>
      <w:r>
        <w:rPr>
          <w:rStyle w:val="37"/>
          <w:rFonts w:hint="eastAsia" w:ascii="仿宋" w:hAnsi="仿宋" w:eastAsia="仿宋" w:cs="仿宋"/>
          <w:color w:val="auto"/>
          <w:kern w:val="0"/>
          <w:sz w:val="24"/>
          <w:szCs w:val="24"/>
          <w:highlight w:val="none"/>
          <w:lang w:val="en-US" w:eastAsia="zh-CN"/>
        </w:rPr>
        <w:t>八</w:t>
      </w:r>
      <w:r>
        <w:rPr>
          <w:rStyle w:val="37"/>
          <w:rFonts w:hint="eastAsia" w:ascii="仿宋" w:hAnsi="仿宋" w:eastAsia="仿宋" w:cs="仿宋"/>
          <w:color w:val="auto"/>
          <w:kern w:val="0"/>
          <w:sz w:val="24"/>
          <w:szCs w:val="24"/>
          <w:highlight w:val="none"/>
        </w:rPr>
        <w:t>、我们同意，如果中标，向陕西正明项目管理有限公司交纳招标代理服务费。</w:t>
      </w:r>
    </w:p>
    <w:p w14:paraId="369E5902">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jc w:val="left"/>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lang w:val="en-US" w:eastAsia="zh-CN"/>
        </w:rPr>
        <w:t>九</w:t>
      </w:r>
      <w:r>
        <w:rPr>
          <w:rStyle w:val="37"/>
          <w:rFonts w:hint="eastAsia" w:ascii="仿宋" w:hAnsi="仿宋" w:eastAsia="仿宋" w:cs="仿宋"/>
          <w:color w:val="auto"/>
          <w:szCs w:val="24"/>
          <w:highlight w:val="none"/>
        </w:rPr>
        <w:t>、所有关于此次招标活动的函电，请按下列地址联系：</w:t>
      </w:r>
    </w:p>
    <w:p w14:paraId="22EFA826">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供应商名称：</w:t>
      </w:r>
      <w:r>
        <w:rPr>
          <w:rStyle w:val="37"/>
          <w:rFonts w:hint="eastAsia" w:ascii="仿宋" w:hAnsi="仿宋" w:eastAsia="仿宋" w:cs="仿宋"/>
          <w:color w:val="auto"/>
          <w:szCs w:val="24"/>
          <w:highlight w:val="none"/>
          <w:u w:val="single" w:color="000000"/>
        </w:rPr>
        <w:t xml:space="preserve">            </w:t>
      </w:r>
      <w:r>
        <w:rPr>
          <w:rStyle w:val="37"/>
          <w:rFonts w:hint="eastAsia" w:ascii="仿宋" w:hAnsi="仿宋" w:eastAsia="仿宋" w:cs="仿宋"/>
          <w:color w:val="auto"/>
          <w:szCs w:val="24"/>
          <w:highlight w:val="none"/>
        </w:rPr>
        <w:t>（加盖公章）</w:t>
      </w:r>
    </w:p>
    <w:p w14:paraId="18B99464">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地址：</w:t>
      </w:r>
    </w:p>
    <w:p w14:paraId="7E63949A">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开户银行：</w:t>
      </w:r>
    </w:p>
    <w:p w14:paraId="5DBDDC3B">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账号：</w:t>
      </w:r>
    </w:p>
    <w:p w14:paraId="7DB71B6A">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电话：</w:t>
      </w:r>
    </w:p>
    <w:p w14:paraId="46C424DA">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传真：</w:t>
      </w:r>
    </w:p>
    <w:p w14:paraId="5DE884B7">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邮编：</w:t>
      </w:r>
    </w:p>
    <w:p w14:paraId="0C42F8C8">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baseline"/>
        <w:rPr>
          <w:rStyle w:val="37"/>
          <w:rFonts w:ascii="仿宋" w:hAnsi="仿宋" w:eastAsia="仿宋" w:cs="仿宋"/>
          <w:color w:val="auto"/>
          <w:szCs w:val="24"/>
          <w:highlight w:val="none"/>
        </w:rPr>
      </w:pPr>
      <w:r>
        <w:rPr>
          <w:rStyle w:val="37"/>
          <w:rFonts w:hint="eastAsia" w:ascii="仿宋" w:hAnsi="仿宋" w:eastAsia="仿宋" w:cs="仿宋"/>
          <w:color w:val="auto"/>
          <w:szCs w:val="24"/>
          <w:highlight w:val="none"/>
        </w:rPr>
        <w:t>电子邮箱：</w:t>
      </w:r>
    </w:p>
    <w:p w14:paraId="7F1285E5">
      <w:pPr>
        <w:pStyle w:val="27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baseline"/>
        <w:rPr>
          <w:rStyle w:val="37"/>
          <w:rFonts w:hint="eastAsia" w:ascii="仿宋" w:hAnsi="仿宋" w:eastAsia="仿宋" w:cs="仿宋"/>
          <w:bCs w:val="0"/>
          <w:color w:val="auto"/>
          <w:sz w:val="24"/>
          <w:highlight w:val="none"/>
        </w:rPr>
      </w:pPr>
      <w:r>
        <w:rPr>
          <w:rStyle w:val="37"/>
          <w:rFonts w:hint="eastAsia" w:ascii="仿宋" w:hAnsi="仿宋" w:eastAsia="仿宋" w:cs="仿宋"/>
          <w:color w:val="auto"/>
          <w:szCs w:val="24"/>
          <w:highlight w:val="none"/>
        </w:rPr>
        <w:t>日期：　　年　月　日</w:t>
      </w:r>
    </w:p>
    <w:p w14:paraId="12F1D120">
      <w:pPr>
        <w:widowControl w:val="0"/>
        <w:rPr>
          <w:rStyle w:val="37"/>
          <w:rFonts w:hint="eastAsia" w:ascii="仿宋" w:hAnsi="仿宋" w:eastAsia="仿宋" w:cs="仿宋"/>
          <w:bCs w:val="0"/>
          <w:color w:val="auto"/>
          <w:sz w:val="24"/>
          <w:highlight w:val="none"/>
        </w:rPr>
      </w:pPr>
      <w:r>
        <w:rPr>
          <w:rStyle w:val="37"/>
          <w:rFonts w:hint="eastAsia" w:ascii="仿宋" w:hAnsi="仿宋" w:eastAsia="仿宋" w:cs="仿宋"/>
          <w:bCs w:val="0"/>
          <w:color w:val="auto"/>
          <w:sz w:val="24"/>
          <w:highlight w:val="none"/>
        </w:rPr>
        <w:br w:type="page"/>
      </w:r>
    </w:p>
    <w:p w14:paraId="3268C5DA">
      <w:pPr>
        <w:rPr>
          <w:rStyle w:val="37"/>
          <w:rFonts w:hint="default" w:ascii="仿宋" w:hAnsi="仿宋" w:eastAsia="仿宋" w:cs="仿宋"/>
          <w:bCs w:val="0"/>
          <w:color w:val="auto"/>
          <w:sz w:val="24"/>
          <w:highlight w:val="none"/>
          <w:lang w:val="en-US" w:eastAsia="zh-CN"/>
        </w:rPr>
      </w:pPr>
    </w:p>
    <w:p w14:paraId="322B93AB">
      <w:pPr>
        <w:pStyle w:val="262"/>
        <w:widowControl w:val="0"/>
        <w:spacing w:before="0" w:after="0" w:line="360" w:lineRule="auto"/>
        <w:ind w:left="0"/>
        <w:outlineLvl w:val="2"/>
        <w:rPr>
          <w:rFonts w:hint="default" w:ascii="仿宋" w:hAnsi="仿宋" w:eastAsia="仿宋" w:cs="仿宋"/>
          <w:b/>
          <w:color w:val="auto"/>
          <w:highlight w:val="none"/>
          <w:lang w:val="en-US" w:eastAsia="zh-CN"/>
        </w:rPr>
      </w:pPr>
      <w:r>
        <w:rPr>
          <w:rStyle w:val="37"/>
          <w:rFonts w:hint="eastAsia" w:ascii="仿宋" w:hAnsi="仿宋" w:eastAsia="仿宋" w:cs="仿宋"/>
          <w:bCs w:val="0"/>
          <w:color w:val="auto"/>
          <w:sz w:val="24"/>
          <w:highlight w:val="none"/>
          <w:lang w:val="en-US" w:eastAsia="zh-CN"/>
        </w:rPr>
        <w:t>二、</w:t>
      </w:r>
      <w:r>
        <w:rPr>
          <w:rFonts w:hint="eastAsia" w:ascii="仿宋" w:hAnsi="仿宋" w:eastAsia="仿宋" w:cs="仿宋"/>
          <w:b/>
          <w:color w:val="auto"/>
          <w:sz w:val="30"/>
          <w:szCs w:val="30"/>
          <w:highlight w:val="none"/>
          <w:lang w:val="en-US" w:eastAsia="zh-CN"/>
        </w:rPr>
        <w:t>材料清单品牌型号规格表</w:t>
      </w:r>
    </w:p>
    <w:tbl>
      <w:tblPr>
        <w:tblStyle w:val="30"/>
        <w:tblW w:w="9071" w:type="dxa"/>
        <w:jc w:val="center"/>
        <w:tblLayout w:type="autofit"/>
        <w:tblCellMar>
          <w:top w:w="0" w:type="dxa"/>
          <w:left w:w="28" w:type="dxa"/>
          <w:bottom w:w="0" w:type="dxa"/>
          <w:right w:w="28" w:type="dxa"/>
        </w:tblCellMar>
      </w:tblPr>
      <w:tblGrid>
        <w:gridCol w:w="853"/>
        <w:gridCol w:w="1510"/>
        <w:gridCol w:w="1147"/>
        <w:gridCol w:w="1911"/>
        <w:gridCol w:w="1192"/>
        <w:gridCol w:w="1223"/>
        <w:gridCol w:w="1235"/>
      </w:tblGrid>
      <w:tr w14:paraId="164FAF9C">
        <w:tblPrEx>
          <w:tblCellMar>
            <w:top w:w="0" w:type="dxa"/>
            <w:left w:w="28" w:type="dxa"/>
            <w:bottom w:w="0" w:type="dxa"/>
            <w:right w:w="28" w:type="dxa"/>
          </w:tblCellMar>
        </w:tblPrEx>
        <w:trPr>
          <w:trHeight w:val="850" w:hRule="atLeast"/>
          <w:jc w:val="center"/>
        </w:trPr>
        <w:tc>
          <w:tcPr>
            <w:tcW w:w="470" w:type="pct"/>
            <w:tcBorders>
              <w:top w:val="single" w:color="000000" w:sz="8" w:space="0"/>
              <w:left w:val="single" w:color="000000" w:sz="8" w:space="0"/>
              <w:bottom w:val="single" w:color="000000" w:sz="6" w:space="0"/>
              <w:right w:val="single" w:color="000000" w:sz="6" w:space="0"/>
            </w:tcBorders>
            <w:noWrap w:val="0"/>
            <w:vAlign w:val="center"/>
          </w:tcPr>
          <w:p w14:paraId="52B11547">
            <w:pPr>
              <w:keepNext w:val="0"/>
              <w:keepLines w:val="0"/>
              <w:pageBreakBefore w:val="0"/>
              <w:widowControl w:val="0"/>
              <w:kinsoku/>
              <w:wordWrap/>
              <w:overflowPunct/>
              <w:topLinePunct w:val="0"/>
              <w:autoSpaceDE w:val="0"/>
              <w:autoSpaceDN w:val="0"/>
              <w:bidi w:val="0"/>
              <w:adjustRightInd/>
              <w:snapToGrid/>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序号</w:t>
            </w:r>
          </w:p>
        </w:tc>
        <w:tc>
          <w:tcPr>
            <w:tcW w:w="832" w:type="pct"/>
            <w:tcBorders>
              <w:top w:val="single" w:color="000000" w:sz="8" w:space="0"/>
              <w:left w:val="single" w:color="000000" w:sz="6" w:space="0"/>
              <w:bottom w:val="single" w:color="000000" w:sz="6" w:space="0"/>
              <w:right w:val="single" w:color="000000" w:sz="6" w:space="0"/>
            </w:tcBorders>
            <w:noWrap w:val="0"/>
            <w:vAlign w:val="center"/>
          </w:tcPr>
          <w:p w14:paraId="301F9436">
            <w:pPr>
              <w:keepNext w:val="0"/>
              <w:keepLines w:val="0"/>
              <w:pageBreakBefore w:val="0"/>
              <w:widowControl w:val="0"/>
              <w:kinsoku/>
              <w:wordWrap/>
              <w:overflowPunct/>
              <w:topLinePunct w:val="0"/>
              <w:autoSpaceDE w:val="0"/>
              <w:autoSpaceDN w:val="0"/>
              <w:bidi w:val="0"/>
              <w:adjustRightInd/>
              <w:snapToGrid/>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产品名称</w:t>
            </w:r>
          </w:p>
        </w:tc>
        <w:tc>
          <w:tcPr>
            <w:tcW w:w="632" w:type="pct"/>
            <w:tcBorders>
              <w:top w:val="single" w:color="000000" w:sz="8" w:space="0"/>
              <w:left w:val="single" w:color="000000" w:sz="6" w:space="0"/>
              <w:bottom w:val="single" w:color="000000" w:sz="6" w:space="0"/>
              <w:right w:val="single" w:color="000000" w:sz="6" w:space="0"/>
            </w:tcBorders>
            <w:noWrap w:val="0"/>
            <w:vAlign w:val="center"/>
          </w:tcPr>
          <w:p w14:paraId="5A31A559">
            <w:pPr>
              <w:keepNext w:val="0"/>
              <w:keepLines w:val="0"/>
              <w:pageBreakBefore w:val="0"/>
              <w:widowControl w:val="0"/>
              <w:kinsoku/>
              <w:wordWrap/>
              <w:overflowPunct/>
              <w:topLinePunct w:val="0"/>
              <w:autoSpaceDE w:val="0"/>
              <w:autoSpaceDN w:val="0"/>
              <w:bidi w:val="0"/>
              <w:adjustRightInd/>
              <w:snapToGrid/>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品牌</w:t>
            </w:r>
          </w:p>
        </w:tc>
        <w:tc>
          <w:tcPr>
            <w:tcW w:w="1053" w:type="pct"/>
            <w:tcBorders>
              <w:top w:val="single" w:color="000000" w:sz="8" w:space="0"/>
              <w:left w:val="single" w:color="000000" w:sz="6" w:space="0"/>
              <w:bottom w:val="single" w:color="000000" w:sz="6" w:space="0"/>
              <w:right w:val="single" w:color="000000" w:sz="6" w:space="0"/>
            </w:tcBorders>
            <w:noWrap w:val="0"/>
            <w:vAlign w:val="center"/>
          </w:tcPr>
          <w:p w14:paraId="25AF3A04">
            <w:pPr>
              <w:keepNext w:val="0"/>
              <w:keepLines w:val="0"/>
              <w:pageBreakBefore w:val="0"/>
              <w:widowControl w:val="0"/>
              <w:kinsoku/>
              <w:wordWrap/>
              <w:overflowPunct/>
              <w:topLinePunct w:val="0"/>
              <w:autoSpaceDE w:val="0"/>
              <w:autoSpaceDN w:val="0"/>
              <w:bidi w:val="0"/>
              <w:adjustRightInd/>
              <w:snapToGrid/>
              <w:jc w:val="center"/>
              <w:textAlignment w:val="baseline"/>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规格型号</w:t>
            </w:r>
          </w:p>
        </w:tc>
        <w:tc>
          <w:tcPr>
            <w:tcW w:w="657" w:type="pct"/>
            <w:tcBorders>
              <w:top w:val="single" w:color="000000" w:sz="8" w:space="0"/>
              <w:left w:val="single" w:color="000000" w:sz="6" w:space="0"/>
              <w:bottom w:val="single" w:color="000000" w:sz="6" w:space="0"/>
              <w:right w:val="single" w:color="000000" w:sz="6" w:space="0"/>
            </w:tcBorders>
            <w:noWrap w:val="0"/>
            <w:vAlign w:val="center"/>
          </w:tcPr>
          <w:p w14:paraId="74519B5A">
            <w:pPr>
              <w:keepNext w:val="0"/>
              <w:keepLines w:val="0"/>
              <w:pageBreakBefore w:val="0"/>
              <w:widowControl w:val="0"/>
              <w:kinsoku/>
              <w:wordWrap/>
              <w:overflowPunct/>
              <w:topLinePunct w:val="0"/>
              <w:autoSpaceDE w:val="0"/>
              <w:autoSpaceDN w:val="0"/>
              <w:bidi w:val="0"/>
              <w:adjustRightInd/>
              <w:snapToGrid/>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原产地</w:t>
            </w:r>
          </w:p>
        </w:tc>
        <w:tc>
          <w:tcPr>
            <w:tcW w:w="674" w:type="pct"/>
            <w:tcBorders>
              <w:top w:val="single" w:color="000000" w:sz="8" w:space="0"/>
              <w:left w:val="single" w:color="000000" w:sz="6" w:space="0"/>
              <w:bottom w:val="single" w:color="000000" w:sz="6" w:space="0"/>
              <w:right w:val="single" w:color="000000" w:sz="6" w:space="0"/>
            </w:tcBorders>
            <w:noWrap w:val="0"/>
            <w:vAlign w:val="center"/>
          </w:tcPr>
          <w:p w14:paraId="4BE63904">
            <w:pPr>
              <w:keepNext w:val="0"/>
              <w:keepLines w:val="0"/>
              <w:pageBreakBefore w:val="0"/>
              <w:widowControl w:val="0"/>
              <w:kinsoku/>
              <w:wordWrap/>
              <w:overflowPunct/>
              <w:topLinePunct w:val="0"/>
              <w:autoSpaceDE w:val="0"/>
              <w:autoSpaceDN w:val="0"/>
              <w:bidi w:val="0"/>
              <w:adjustRightInd/>
              <w:snapToGrid/>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生产厂商</w:t>
            </w:r>
          </w:p>
        </w:tc>
        <w:tc>
          <w:tcPr>
            <w:tcW w:w="680" w:type="pct"/>
            <w:tcBorders>
              <w:top w:val="single" w:color="000000" w:sz="8" w:space="0"/>
              <w:left w:val="single" w:color="000000" w:sz="6" w:space="0"/>
              <w:bottom w:val="single" w:color="000000" w:sz="6" w:space="0"/>
              <w:right w:val="single" w:color="000000" w:sz="8" w:space="0"/>
            </w:tcBorders>
            <w:noWrap w:val="0"/>
            <w:vAlign w:val="center"/>
          </w:tcPr>
          <w:p w14:paraId="33102894">
            <w:pPr>
              <w:keepNext w:val="0"/>
              <w:keepLines w:val="0"/>
              <w:pageBreakBefore w:val="0"/>
              <w:widowControl w:val="0"/>
              <w:kinsoku/>
              <w:wordWrap/>
              <w:overflowPunct/>
              <w:topLinePunct w:val="0"/>
              <w:autoSpaceDE w:val="0"/>
              <w:autoSpaceDN w:val="0"/>
              <w:bidi w:val="0"/>
              <w:adjustRightInd/>
              <w:snapToGrid/>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14:paraId="7ABA6491">
        <w:tblPrEx>
          <w:tblCellMar>
            <w:top w:w="0" w:type="dxa"/>
            <w:left w:w="28" w:type="dxa"/>
            <w:bottom w:w="0" w:type="dxa"/>
            <w:right w:w="28" w:type="dxa"/>
          </w:tblCellMar>
        </w:tblPrEx>
        <w:trPr>
          <w:trHeight w:val="850" w:hRule="atLeast"/>
          <w:jc w:val="center"/>
        </w:trPr>
        <w:tc>
          <w:tcPr>
            <w:tcW w:w="470" w:type="pct"/>
            <w:tcBorders>
              <w:top w:val="single" w:color="000000" w:sz="6" w:space="0"/>
              <w:left w:val="single" w:color="000000" w:sz="8" w:space="0"/>
              <w:bottom w:val="single" w:color="000000" w:sz="6" w:space="0"/>
              <w:right w:val="single" w:color="000000" w:sz="6" w:space="0"/>
            </w:tcBorders>
            <w:noWrap w:val="0"/>
            <w:vAlign w:val="center"/>
          </w:tcPr>
          <w:p w14:paraId="44096C10">
            <w:pPr>
              <w:autoSpaceDE w:val="0"/>
              <w:autoSpaceDN w:val="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w:t>
            </w:r>
          </w:p>
        </w:tc>
        <w:tc>
          <w:tcPr>
            <w:tcW w:w="832" w:type="pct"/>
            <w:tcBorders>
              <w:top w:val="single" w:color="000000" w:sz="6" w:space="0"/>
              <w:left w:val="single" w:color="000000" w:sz="6" w:space="0"/>
              <w:bottom w:val="single" w:color="000000" w:sz="6" w:space="0"/>
              <w:right w:val="single" w:color="000000" w:sz="6" w:space="0"/>
            </w:tcBorders>
            <w:noWrap w:val="0"/>
            <w:vAlign w:val="center"/>
          </w:tcPr>
          <w:p w14:paraId="08AE1CA1">
            <w:pPr>
              <w:autoSpaceDE w:val="0"/>
              <w:autoSpaceDN w:val="0"/>
              <w:jc w:val="center"/>
              <w:rPr>
                <w:rFonts w:hint="eastAsia" w:ascii="仿宋" w:hAnsi="仿宋" w:eastAsia="仿宋" w:cs="仿宋"/>
                <w:color w:val="auto"/>
                <w:sz w:val="21"/>
                <w:szCs w:val="21"/>
                <w:highlight w:val="none"/>
                <w:lang w:val="zh-CN"/>
              </w:rPr>
            </w:pPr>
          </w:p>
        </w:tc>
        <w:tc>
          <w:tcPr>
            <w:tcW w:w="632" w:type="pct"/>
            <w:tcBorders>
              <w:top w:val="single" w:color="000000" w:sz="6" w:space="0"/>
              <w:left w:val="single" w:color="000000" w:sz="6" w:space="0"/>
              <w:bottom w:val="single" w:color="000000" w:sz="6" w:space="0"/>
              <w:right w:val="single" w:color="000000" w:sz="6" w:space="0"/>
            </w:tcBorders>
            <w:noWrap w:val="0"/>
            <w:vAlign w:val="center"/>
          </w:tcPr>
          <w:p w14:paraId="68644F46">
            <w:pPr>
              <w:autoSpaceDE w:val="0"/>
              <w:autoSpaceDN w:val="0"/>
              <w:jc w:val="center"/>
              <w:rPr>
                <w:rFonts w:hint="eastAsia" w:ascii="仿宋" w:hAnsi="仿宋" w:eastAsia="仿宋" w:cs="仿宋"/>
                <w:color w:val="auto"/>
                <w:sz w:val="21"/>
                <w:szCs w:val="21"/>
                <w:highlight w:val="none"/>
                <w:lang w:val="zh-CN"/>
              </w:rPr>
            </w:pPr>
          </w:p>
        </w:tc>
        <w:tc>
          <w:tcPr>
            <w:tcW w:w="1053" w:type="pct"/>
            <w:tcBorders>
              <w:top w:val="single" w:color="000000" w:sz="6" w:space="0"/>
              <w:left w:val="single" w:color="000000" w:sz="6" w:space="0"/>
              <w:bottom w:val="single" w:color="000000" w:sz="6" w:space="0"/>
              <w:right w:val="single" w:color="000000" w:sz="6" w:space="0"/>
            </w:tcBorders>
            <w:noWrap w:val="0"/>
            <w:vAlign w:val="center"/>
          </w:tcPr>
          <w:p w14:paraId="398E1006">
            <w:pPr>
              <w:autoSpaceDE w:val="0"/>
              <w:autoSpaceDN w:val="0"/>
              <w:jc w:val="center"/>
              <w:rPr>
                <w:rFonts w:hint="eastAsia" w:ascii="仿宋" w:hAnsi="仿宋" w:eastAsia="仿宋" w:cs="仿宋"/>
                <w:color w:val="auto"/>
                <w:sz w:val="21"/>
                <w:szCs w:val="21"/>
                <w:highlight w:val="none"/>
                <w:lang w:val="zh-CN"/>
              </w:rPr>
            </w:pPr>
          </w:p>
        </w:tc>
        <w:tc>
          <w:tcPr>
            <w:tcW w:w="657" w:type="pct"/>
            <w:tcBorders>
              <w:top w:val="single" w:color="000000" w:sz="6" w:space="0"/>
              <w:left w:val="single" w:color="000000" w:sz="6" w:space="0"/>
              <w:bottom w:val="single" w:color="000000" w:sz="6" w:space="0"/>
              <w:right w:val="single" w:color="000000" w:sz="6" w:space="0"/>
            </w:tcBorders>
            <w:noWrap w:val="0"/>
            <w:vAlign w:val="center"/>
          </w:tcPr>
          <w:p w14:paraId="37B318B6">
            <w:pPr>
              <w:autoSpaceDE w:val="0"/>
              <w:autoSpaceDN w:val="0"/>
              <w:jc w:val="center"/>
              <w:rPr>
                <w:rFonts w:hint="eastAsia" w:ascii="仿宋" w:hAnsi="仿宋" w:eastAsia="仿宋" w:cs="仿宋"/>
                <w:color w:val="auto"/>
                <w:sz w:val="21"/>
                <w:szCs w:val="21"/>
                <w:highlight w:val="none"/>
                <w:lang w:val="zh-CN"/>
              </w:rPr>
            </w:pPr>
          </w:p>
        </w:tc>
        <w:tc>
          <w:tcPr>
            <w:tcW w:w="674" w:type="pct"/>
            <w:tcBorders>
              <w:top w:val="single" w:color="000000" w:sz="6" w:space="0"/>
              <w:left w:val="single" w:color="000000" w:sz="6" w:space="0"/>
              <w:bottom w:val="single" w:color="000000" w:sz="6" w:space="0"/>
              <w:right w:val="single" w:color="000000" w:sz="6" w:space="0"/>
            </w:tcBorders>
            <w:noWrap w:val="0"/>
            <w:vAlign w:val="center"/>
          </w:tcPr>
          <w:p w14:paraId="24D2A7CB">
            <w:pPr>
              <w:autoSpaceDE w:val="0"/>
              <w:autoSpaceDN w:val="0"/>
              <w:jc w:val="center"/>
              <w:rPr>
                <w:rFonts w:hint="eastAsia" w:ascii="仿宋" w:hAnsi="仿宋" w:eastAsia="仿宋" w:cs="仿宋"/>
                <w:color w:val="auto"/>
                <w:sz w:val="21"/>
                <w:szCs w:val="21"/>
                <w:highlight w:val="none"/>
                <w:lang w:val="zh-CN"/>
              </w:rPr>
            </w:pPr>
          </w:p>
        </w:tc>
        <w:tc>
          <w:tcPr>
            <w:tcW w:w="680" w:type="pct"/>
            <w:tcBorders>
              <w:top w:val="single" w:color="000000" w:sz="6" w:space="0"/>
              <w:left w:val="single" w:color="000000" w:sz="6" w:space="0"/>
              <w:bottom w:val="single" w:color="000000" w:sz="6" w:space="0"/>
              <w:right w:val="single" w:color="000000" w:sz="8" w:space="0"/>
            </w:tcBorders>
            <w:noWrap w:val="0"/>
            <w:vAlign w:val="center"/>
          </w:tcPr>
          <w:p w14:paraId="021833D7">
            <w:pPr>
              <w:autoSpaceDE w:val="0"/>
              <w:autoSpaceDN w:val="0"/>
              <w:jc w:val="center"/>
              <w:rPr>
                <w:rFonts w:hint="eastAsia" w:ascii="仿宋" w:hAnsi="仿宋" w:eastAsia="仿宋" w:cs="仿宋"/>
                <w:color w:val="auto"/>
                <w:sz w:val="21"/>
                <w:szCs w:val="21"/>
                <w:highlight w:val="none"/>
                <w:lang w:val="zh-CN"/>
              </w:rPr>
            </w:pPr>
          </w:p>
        </w:tc>
      </w:tr>
      <w:tr w14:paraId="4A37B22F">
        <w:tblPrEx>
          <w:tblCellMar>
            <w:top w:w="0" w:type="dxa"/>
            <w:left w:w="28" w:type="dxa"/>
            <w:bottom w:w="0" w:type="dxa"/>
            <w:right w:w="28" w:type="dxa"/>
          </w:tblCellMar>
        </w:tblPrEx>
        <w:trPr>
          <w:trHeight w:val="850" w:hRule="atLeast"/>
          <w:jc w:val="center"/>
        </w:trPr>
        <w:tc>
          <w:tcPr>
            <w:tcW w:w="470" w:type="pct"/>
            <w:tcBorders>
              <w:top w:val="single" w:color="000000" w:sz="6" w:space="0"/>
              <w:left w:val="single" w:color="000000" w:sz="8" w:space="0"/>
              <w:bottom w:val="single" w:color="000000" w:sz="6" w:space="0"/>
              <w:right w:val="single" w:color="000000" w:sz="6" w:space="0"/>
            </w:tcBorders>
            <w:noWrap w:val="0"/>
            <w:vAlign w:val="center"/>
          </w:tcPr>
          <w:p w14:paraId="3472C4D4">
            <w:pPr>
              <w:autoSpaceDE w:val="0"/>
              <w:autoSpaceDN w:val="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w:t>
            </w:r>
          </w:p>
        </w:tc>
        <w:tc>
          <w:tcPr>
            <w:tcW w:w="832" w:type="pct"/>
            <w:tcBorders>
              <w:top w:val="single" w:color="000000" w:sz="6" w:space="0"/>
              <w:left w:val="single" w:color="000000" w:sz="6" w:space="0"/>
              <w:bottom w:val="single" w:color="000000" w:sz="6" w:space="0"/>
              <w:right w:val="single" w:color="000000" w:sz="6" w:space="0"/>
            </w:tcBorders>
            <w:noWrap w:val="0"/>
            <w:vAlign w:val="center"/>
          </w:tcPr>
          <w:p w14:paraId="6F21300D">
            <w:pPr>
              <w:autoSpaceDE w:val="0"/>
              <w:autoSpaceDN w:val="0"/>
              <w:jc w:val="center"/>
              <w:rPr>
                <w:rFonts w:hint="eastAsia" w:ascii="仿宋" w:hAnsi="仿宋" w:eastAsia="仿宋" w:cs="仿宋"/>
                <w:color w:val="auto"/>
                <w:sz w:val="21"/>
                <w:szCs w:val="21"/>
                <w:highlight w:val="none"/>
                <w:lang w:val="zh-CN"/>
              </w:rPr>
            </w:pPr>
          </w:p>
        </w:tc>
        <w:tc>
          <w:tcPr>
            <w:tcW w:w="632" w:type="pct"/>
            <w:tcBorders>
              <w:top w:val="single" w:color="000000" w:sz="6" w:space="0"/>
              <w:left w:val="single" w:color="000000" w:sz="6" w:space="0"/>
              <w:bottom w:val="single" w:color="000000" w:sz="6" w:space="0"/>
              <w:right w:val="single" w:color="000000" w:sz="6" w:space="0"/>
            </w:tcBorders>
            <w:noWrap w:val="0"/>
            <w:vAlign w:val="center"/>
          </w:tcPr>
          <w:p w14:paraId="2795D67A">
            <w:pPr>
              <w:autoSpaceDE w:val="0"/>
              <w:autoSpaceDN w:val="0"/>
              <w:jc w:val="center"/>
              <w:rPr>
                <w:rFonts w:hint="eastAsia" w:ascii="仿宋" w:hAnsi="仿宋" w:eastAsia="仿宋" w:cs="仿宋"/>
                <w:color w:val="auto"/>
                <w:sz w:val="21"/>
                <w:szCs w:val="21"/>
                <w:highlight w:val="none"/>
                <w:lang w:val="zh-CN"/>
              </w:rPr>
            </w:pPr>
          </w:p>
        </w:tc>
        <w:tc>
          <w:tcPr>
            <w:tcW w:w="1053" w:type="pct"/>
            <w:tcBorders>
              <w:top w:val="single" w:color="000000" w:sz="6" w:space="0"/>
              <w:left w:val="single" w:color="000000" w:sz="6" w:space="0"/>
              <w:bottom w:val="single" w:color="000000" w:sz="6" w:space="0"/>
              <w:right w:val="single" w:color="000000" w:sz="6" w:space="0"/>
            </w:tcBorders>
            <w:noWrap w:val="0"/>
            <w:vAlign w:val="center"/>
          </w:tcPr>
          <w:p w14:paraId="4F623B10">
            <w:pPr>
              <w:autoSpaceDE w:val="0"/>
              <w:autoSpaceDN w:val="0"/>
              <w:jc w:val="center"/>
              <w:rPr>
                <w:rFonts w:hint="eastAsia" w:ascii="仿宋" w:hAnsi="仿宋" w:eastAsia="仿宋" w:cs="仿宋"/>
                <w:color w:val="auto"/>
                <w:sz w:val="21"/>
                <w:szCs w:val="21"/>
                <w:highlight w:val="none"/>
                <w:lang w:val="zh-CN"/>
              </w:rPr>
            </w:pPr>
          </w:p>
        </w:tc>
        <w:tc>
          <w:tcPr>
            <w:tcW w:w="657" w:type="pct"/>
            <w:tcBorders>
              <w:top w:val="single" w:color="000000" w:sz="6" w:space="0"/>
              <w:left w:val="single" w:color="000000" w:sz="6" w:space="0"/>
              <w:bottom w:val="single" w:color="000000" w:sz="6" w:space="0"/>
              <w:right w:val="single" w:color="000000" w:sz="6" w:space="0"/>
            </w:tcBorders>
            <w:noWrap w:val="0"/>
            <w:vAlign w:val="center"/>
          </w:tcPr>
          <w:p w14:paraId="78E5227B">
            <w:pPr>
              <w:autoSpaceDE w:val="0"/>
              <w:autoSpaceDN w:val="0"/>
              <w:jc w:val="center"/>
              <w:rPr>
                <w:rFonts w:hint="eastAsia" w:ascii="仿宋" w:hAnsi="仿宋" w:eastAsia="仿宋" w:cs="仿宋"/>
                <w:color w:val="auto"/>
                <w:sz w:val="21"/>
                <w:szCs w:val="21"/>
                <w:highlight w:val="none"/>
                <w:lang w:val="zh-CN"/>
              </w:rPr>
            </w:pPr>
          </w:p>
        </w:tc>
        <w:tc>
          <w:tcPr>
            <w:tcW w:w="674" w:type="pct"/>
            <w:tcBorders>
              <w:top w:val="single" w:color="000000" w:sz="6" w:space="0"/>
              <w:left w:val="single" w:color="000000" w:sz="6" w:space="0"/>
              <w:bottom w:val="single" w:color="000000" w:sz="6" w:space="0"/>
              <w:right w:val="single" w:color="000000" w:sz="6" w:space="0"/>
            </w:tcBorders>
            <w:noWrap w:val="0"/>
            <w:vAlign w:val="center"/>
          </w:tcPr>
          <w:p w14:paraId="75500C93">
            <w:pPr>
              <w:autoSpaceDE w:val="0"/>
              <w:autoSpaceDN w:val="0"/>
              <w:jc w:val="center"/>
              <w:rPr>
                <w:rFonts w:hint="eastAsia" w:ascii="仿宋" w:hAnsi="仿宋" w:eastAsia="仿宋" w:cs="仿宋"/>
                <w:color w:val="auto"/>
                <w:sz w:val="21"/>
                <w:szCs w:val="21"/>
                <w:highlight w:val="none"/>
                <w:lang w:val="zh-CN"/>
              </w:rPr>
            </w:pPr>
          </w:p>
        </w:tc>
        <w:tc>
          <w:tcPr>
            <w:tcW w:w="680" w:type="pct"/>
            <w:tcBorders>
              <w:top w:val="single" w:color="000000" w:sz="6" w:space="0"/>
              <w:left w:val="single" w:color="000000" w:sz="6" w:space="0"/>
              <w:bottom w:val="single" w:color="000000" w:sz="6" w:space="0"/>
              <w:right w:val="single" w:color="000000" w:sz="8" w:space="0"/>
            </w:tcBorders>
            <w:noWrap w:val="0"/>
            <w:vAlign w:val="center"/>
          </w:tcPr>
          <w:p w14:paraId="725E7886">
            <w:pPr>
              <w:autoSpaceDE w:val="0"/>
              <w:autoSpaceDN w:val="0"/>
              <w:jc w:val="center"/>
              <w:rPr>
                <w:rFonts w:hint="eastAsia" w:ascii="仿宋" w:hAnsi="仿宋" w:eastAsia="仿宋" w:cs="仿宋"/>
                <w:color w:val="auto"/>
                <w:sz w:val="21"/>
                <w:szCs w:val="21"/>
                <w:highlight w:val="none"/>
                <w:lang w:val="zh-CN"/>
              </w:rPr>
            </w:pPr>
          </w:p>
        </w:tc>
      </w:tr>
      <w:tr w14:paraId="1EC30491">
        <w:tblPrEx>
          <w:tblCellMar>
            <w:top w:w="0" w:type="dxa"/>
            <w:left w:w="28" w:type="dxa"/>
            <w:bottom w:w="0" w:type="dxa"/>
            <w:right w:w="28" w:type="dxa"/>
          </w:tblCellMar>
        </w:tblPrEx>
        <w:trPr>
          <w:trHeight w:val="850" w:hRule="atLeast"/>
          <w:jc w:val="center"/>
        </w:trPr>
        <w:tc>
          <w:tcPr>
            <w:tcW w:w="470" w:type="pct"/>
            <w:tcBorders>
              <w:top w:val="single" w:color="000000" w:sz="6" w:space="0"/>
              <w:left w:val="single" w:color="000000" w:sz="8" w:space="0"/>
              <w:bottom w:val="single" w:color="000000" w:sz="6" w:space="0"/>
              <w:right w:val="single" w:color="000000" w:sz="6" w:space="0"/>
            </w:tcBorders>
            <w:noWrap w:val="0"/>
            <w:vAlign w:val="center"/>
          </w:tcPr>
          <w:p w14:paraId="40A9198C">
            <w:pPr>
              <w:autoSpaceDE w:val="0"/>
              <w:autoSpaceDN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832" w:type="pct"/>
            <w:tcBorders>
              <w:top w:val="single" w:color="000000" w:sz="6" w:space="0"/>
              <w:left w:val="single" w:color="000000" w:sz="6" w:space="0"/>
              <w:bottom w:val="single" w:color="000000" w:sz="6" w:space="0"/>
              <w:right w:val="single" w:color="000000" w:sz="6" w:space="0"/>
            </w:tcBorders>
            <w:noWrap w:val="0"/>
            <w:vAlign w:val="center"/>
          </w:tcPr>
          <w:p w14:paraId="310D5C97">
            <w:pPr>
              <w:autoSpaceDE w:val="0"/>
              <w:autoSpaceDN w:val="0"/>
              <w:jc w:val="center"/>
              <w:rPr>
                <w:rFonts w:hint="eastAsia" w:ascii="仿宋" w:hAnsi="仿宋" w:eastAsia="仿宋" w:cs="仿宋"/>
                <w:color w:val="auto"/>
                <w:sz w:val="21"/>
                <w:szCs w:val="21"/>
                <w:highlight w:val="none"/>
                <w:lang w:val="zh-CN"/>
              </w:rPr>
            </w:pPr>
          </w:p>
        </w:tc>
        <w:tc>
          <w:tcPr>
            <w:tcW w:w="632" w:type="pct"/>
            <w:tcBorders>
              <w:top w:val="single" w:color="000000" w:sz="6" w:space="0"/>
              <w:left w:val="single" w:color="000000" w:sz="6" w:space="0"/>
              <w:bottom w:val="single" w:color="000000" w:sz="6" w:space="0"/>
              <w:right w:val="single" w:color="000000" w:sz="6" w:space="0"/>
            </w:tcBorders>
            <w:noWrap w:val="0"/>
            <w:vAlign w:val="center"/>
          </w:tcPr>
          <w:p w14:paraId="32EE717C">
            <w:pPr>
              <w:autoSpaceDE w:val="0"/>
              <w:autoSpaceDN w:val="0"/>
              <w:jc w:val="center"/>
              <w:rPr>
                <w:rFonts w:hint="eastAsia" w:ascii="仿宋" w:hAnsi="仿宋" w:eastAsia="仿宋" w:cs="仿宋"/>
                <w:color w:val="auto"/>
                <w:sz w:val="21"/>
                <w:szCs w:val="21"/>
                <w:highlight w:val="none"/>
                <w:lang w:val="zh-CN"/>
              </w:rPr>
            </w:pPr>
          </w:p>
        </w:tc>
        <w:tc>
          <w:tcPr>
            <w:tcW w:w="1053" w:type="pct"/>
            <w:tcBorders>
              <w:top w:val="single" w:color="000000" w:sz="6" w:space="0"/>
              <w:left w:val="single" w:color="000000" w:sz="6" w:space="0"/>
              <w:bottom w:val="single" w:color="000000" w:sz="6" w:space="0"/>
              <w:right w:val="single" w:color="000000" w:sz="6" w:space="0"/>
            </w:tcBorders>
            <w:noWrap w:val="0"/>
            <w:vAlign w:val="center"/>
          </w:tcPr>
          <w:p w14:paraId="79A1986F">
            <w:pPr>
              <w:autoSpaceDE w:val="0"/>
              <w:autoSpaceDN w:val="0"/>
              <w:jc w:val="center"/>
              <w:rPr>
                <w:rFonts w:hint="eastAsia" w:ascii="仿宋" w:hAnsi="仿宋" w:eastAsia="仿宋" w:cs="仿宋"/>
                <w:color w:val="auto"/>
                <w:sz w:val="21"/>
                <w:szCs w:val="21"/>
                <w:highlight w:val="none"/>
                <w:lang w:val="zh-CN"/>
              </w:rPr>
            </w:pPr>
          </w:p>
        </w:tc>
        <w:tc>
          <w:tcPr>
            <w:tcW w:w="657" w:type="pct"/>
            <w:tcBorders>
              <w:top w:val="single" w:color="000000" w:sz="6" w:space="0"/>
              <w:left w:val="single" w:color="000000" w:sz="6" w:space="0"/>
              <w:bottom w:val="single" w:color="000000" w:sz="6" w:space="0"/>
              <w:right w:val="single" w:color="000000" w:sz="6" w:space="0"/>
            </w:tcBorders>
            <w:noWrap w:val="0"/>
            <w:vAlign w:val="center"/>
          </w:tcPr>
          <w:p w14:paraId="451AE585">
            <w:pPr>
              <w:autoSpaceDE w:val="0"/>
              <w:autoSpaceDN w:val="0"/>
              <w:jc w:val="center"/>
              <w:rPr>
                <w:rFonts w:hint="eastAsia" w:ascii="仿宋" w:hAnsi="仿宋" w:eastAsia="仿宋" w:cs="仿宋"/>
                <w:color w:val="auto"/>
                <w:sz w:val="21"/>
                <w:szCs w:val="21"/>
                <w:highlight w:val="none"/>
                <w:lang w:val="zh-CN"/>
              </w:rPr>
            </w:pPr>
          </w:p>
        </w:tc>
        <w:tc>
          <w:tcPr>
            <w:tcW w:w="674" w:type="pct"/>
            <w:tcBorders>
              <w:top w:val="single" w:color="000000" w:sz="6" w:space="0"/>
              <w:left w:val="single" w:color="000000" w:sz="6" w:space="0"/>
              <w:bottom w:val="single" w:color="000000" w:sz="6" w:space="0"/>
              <w:right w:val="single" w:color="000000" w:sz="6" w:space="0"/>
            </w:tcBorders>
            <w:noWrap w:val="0"/>
            <w:vAlign w:val="center"/>
          </w:tcPr>
          <w:p w14:paraId="0249CCB4">
            <w:pPr>
              <w:autoSpaceDE w:val="0"/>
              <w:autoSpaceDN w:val="0"/>
              <w:jc w:val="center"/>
              <w:rPr>
                <w:rFonts w:hint="eastAsia" w:ascii="仿宋" w:hAnsi="仿宋" w:eastAsia="仿宋" w:cs="仿宋"/>
                <w:color w:val="auto"/>
                <w:sz w:val="21"/>
                <w:szCs w:val="21"/>
                <w:highlight w:val="none"/>
                <w:lang w:val="zh-CN"/>
              </w:rPr>
            </w:pPr>
          </w:p>
        </w:tc>
        <w:tc>
          <w:tcPr>
            <w:tcW w:w="680" w:type="pct"/>
            <w:tcBorders>
              <w:top w:val="single" w:color="000000" w:sz="6" w:space="0"/>
              <w:left w:val="single" w:color="000000" w:sz="6" w:space="0"/>
              <w:bottom w:val="single" w:color="000000" w:sz="6" w:space="0"/>
              <w:right w:val="single" w:color="000000" w:sz="8" w:space="0"/>
            </w:tcBorders>
            <w:noWrap w:val="0"/>
            <w:vAlign w:val="center"/>
          </w:tcPr>
          <w:p w14:paraId="29CA3926">
            <w:pPr>
              <w:autoSpaceDE w:val="0"/>
              <w:autoSpaceDN w:val="0"/>
              <w:jc w:val="center"/>
              <w:rPr>
                <w:rFonts w:hint="eastAsia" w:ascii="仿宋" w:hAnsi="仿宋" w:eastAsia="仿宋" w:cs="仿宋"/>
                <w:color w:val="auto"/>
                <w:sz w:val="21"/>
                <w:szCs w:val="21"/>
                <w:highlight w:val="none"/>
                <w:lang w:val="zh-CN"/>
              </w:rPr>
            </w:pPr>
          </w:p>
        </w:tc>
      </w:tr>
      <w:tr w14:paraId="5101EE98">
        <w:tblPrEx>
          <w:tblCellMar>
            <w:top w:w="0" w:type="dxa"/>
            <w:left w:w="28" w:type="dxa"/>
            <w:bottom w:w="0" w:type="dxa"/>
            <w:right w:w="28" w:type="dxa"/>
          </w:tblCellMar>
        </w:tblPrEx>
        <w:trPr>
          <w:trHeight w:val="850" w:hRule="atLeast"/>
          <w:jc w:val="center"/>
        </w:trPr>
        <w:tc>
          <w:tcPr>
            <w:tcW w:w="470" w:type="pct"/>
            <w:tcBorders>
              <w:top w:val="single" w:color="000000" w:sz="6" w:space="0"/>
              <w:left w:val="single" w:color="000000" w:sz="8" w:space="0"/>
              <w:bottom w:val="single" w:color="000000" w:sz="6" w:space="0"/>
              <w:right w:val="single" w:color="000000" w:sz="6" w:space="0"/>
            </w:tcBorders>
            <w:noWrap w:val="0"/>
            <w:vAlign w:val="center"/>
          </w:tcPr>
          <w:p w14:paraId="19D5959D">
            <w:pPr>
              <w:autoSpaceDE w:val="0"/>
              <w:autoSpaceDN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32" w:type="pct"/>
            <w:tcBorders>
              <w:top w:val="single" w:color="000000" w:sz="6" w:space="0"/>
              <w:left w:val="single" w:color="000000" w:sz="6" w:space="0"/>
              <w:bottom w:val="single" w:color="000000" w:sz="6" w:space="0"/>
              <w:right w:val="single" w:color="000000" w:sz="6" w:space="0"/>
            </w:tcBorders>
            <w:noWrap w:val="0"/>
            <w:vAlign w:val="center"/>
          </w:tcPr>
          <w:p w14:paraId="0D3B809E">
            <w:pPr>
              <w:autoSpaceDE w:val="0"/>
              <w:autoSpaceDN w:val="0"/>
              <w:jc w:val="center"/>
              <w:rPr>
                <w:rFonts w:hint="eastAsia" w:ascii="仿宋" w:hAnsi="仿宋" w:eastAsia="仿宋" w:cs="仿宋"/>
                <w:color w:val="auto"/>
                <w:sz w:val="21"/>
                <w:szCs w:val="21"/>
                <w:highlight w:val="none"/>
                <w:lang w:val="zh-CN"/>
              </w:rPr>
            </w:pPr>
          </w:p>
        </w:tc>
        <w:tc>
          <w:tcPr>
            <w:tcW w:w="632" w:type="pct"/>
            <w:tcBorders>
              <w:top w:val="single" w:color="000000" w:sz="6" w:space="0"/>
              <w:left w:val="single" w:color="000000" w:sz="6" w:space="0"/>
              <w:bottom w:val="single" w:color="000000" w:sz="6" w:space="0"/>
              <w:right w:val="single" w:color="000000" w:sz="6" w:space="0"/>
            </w:tcBorders>
            <w:noWrap w:val="0"/>
            <w:vAlign w:val="center"/>
          </w:tcPr>
          <w:p w14:paraId="14F6F1CB">
            <w:pPr>
              <w:autoSpaceDE w:val="0"/>
              <w:autoSpaceDN w:val="0"/>
              <w:jc w:val="center"/>
              <w:rPr>
                <w:rFonts w:hint="eastAsia" w:ascii="仿宋" w:hAnsi="仿宋" w:eastAsia="仿宋" w:cs="仿宋"/>
                <w:color w:val="auto"/>
                <w:sz w:val="21"/>
                <w:szCs w:val="21"/>
                <w:highlight w:val="none"/>
                <w:lang w:val="zh-CN"/>
              </w:rPr>
            </w:pPr>
          </w:p>
        </w:tc>
        <w:tc>
          <w:tcPr>
            <w:tcW w:w="1053" w:type="pct"/>
            <w:tcBorders>
              <w:top w:val="single" w:color="000000" w:sz="6" w:space="0"/>
              <w:left w:val="single" w:color="000000" w:sz="6" w:space="0"/>
              <w:bottom w:val="single" w:color="000000" w:sz="6" w:space="0"/>
              <w:right w:val="single" w:color="000000" w:sz="6" w:space="0"/>
            </w:tcBorders>
            <w:noWrap w:val="0"/>
            <w:vAlign w:val="center"/>
          </w:tcPr>
          <w:p w14:paraId="21DC1F95">
            <w:pPr>
              <w:autoSpaceDE w:val="0"/>
              <w:autoSpaceDN w:val="0"/>
              <w:jc w:val="center"/>
              <w:rPr>
                <w:rFonts w:hint="eastAsia" w:ascii="仿宋" w:hAnsi="仿宋" w:eastAsia="仿宋" w:cs="仿宋"/>
                <w:color w:val="auto"/>
                <w:sz w:val="21"/>
                <w:szCs w:val="21"/>
                <w:highlight w:val="none"/>
                <w:lang w:val="zh-CN"/>
              </w:rPr>
            </w:pPr>
          </w:p>
        </w:tc>
        <w:tc>
          <w:tcPr>
            <w:tcW w:w="657" w:type="pct"/>
            <w:tcBorders>
              <w:top w:val="single" w:color="000000" w:sz="6" w:space="0"/>
              <w:left w:val="single" w:color="000000" w:sz="6" w:space="0"/>
              <w:bottom w:val="single" w:color="000000" w:sz="6" w:space="0"/>
              <w:right w:val="single" w:color="000000" w:sz="6" w:space="0"/>
            </w:tcBorders>
            <w:noWrap w:val="0"/>
            <w:vAlign w:val="center"/>
          </w:tcPr>
          <w:p w14:paraId="255427B3">
            <w:pPr>
              <w:autoSpaceDE w:val="0"/>
              <w:autoSpaceDN w:val="0"/>
              <w:jc w:val="center"/>
              <w:rPr>
                <w:rFonts w:hint="eastAsia" w:ascii="仿宋" w:hAnsi="仿宋" w:eastAsia="仿宋" w:cs="仿宋"/>
                <w:color w:val="auto"/>
                <w:sz w:val="21"/>
                <w:szCs w:val="21"/>
                <w:highlight w:val="none"/>
                <w:lang w:val="zh-CN"/>
              </w:rPr>
            </w:pPr>
          </w:p>
        </w:tc>
        <w:tc>
          <w:tcPr>
            <w:tcW w:w="674" w:type="pct"/>
            <w:tcBorders>
              <w:top w:val="single" w:color="000000" w:sz="6" w:space="0"/>
              <w:left w:val="single" w:color="000000" w:sz="6" w:space="0"/>
              <w:bottom w:val="single" w:color="000000" w:sz="6" w:space="0"/>
              <w:right w:val="single" w:color="000000" w:sz="6" w:space="0"/>
            </w:tcBorders>
            <w:noWrap w:val="0"/>
            <w:vAlign w:val="center"/>
          </w:tcPr>
          <w:p w14:paraId="5AFB7657">
            <w:pPr>
              <w:autoSpaceDE w:val="0"/>
              <w:autoSpaceDN w:val="0"/>
              <w:jc w:val="center"/>
              <w:rPr>
                <w:rFonts w:hint="eastAsia" w:ascii="仿宋" w:hAnsi="仿宋" w:eastAsia="仿宋" w:cs="仿宋"/>
                <w:color w:val="auto"/>
                <w:sz w:val="21"/>
                <w:szCs w:val="21"/>
                <w:highlight w:val="none"/>
                <w:lang w:val="zh-CN"/>
              </w:rPr>
            </w:pPr>
          </w:p>
        </w:tc>
        <w:tc>
          <w:tcPr>
            <w:tcW w:w="680" w:type="pct"/>
            <w:tcBorders>
              <w:top w:val="single" w:color="000000" w:sz="6" w:space="0"/>
              <w:left w:val="single" w:color="000000" w:sz="6" w:space="0"/>
              <w:bottom w:val="single" w:color="000000" w:sz="6" w:space="0"/>
              <w:right w:val="single" w:color="000000" w:sz="8" w:space="0"/>
            </w:tcBorders>
            <w:noWrap w:val="0"/>
            <w:vAlign w:val="center"/>
          </w:tcPr>
          <w:p w14:paraId="684F6591">
            <w:pPr>
              <w:autoSpaceDE w:val="0"/>
              <w:autoSpaceDN w:val="0"/>
              <w:jc w:val="center"/>
              <w:rPr>
                <w:rFonts w:hint="eastAsia" w:ascii="仿宋" w:hAnsi="仿宋" w:eastAsia="仿宋" w:cs="仿宋"/>
                <w:color w:val="auto"/>
                <w:sz w:val="21"/>
                <w:szCs w:val="21"/>
                <w:highlight w:val="none"/>
                <w:lang w:val="zh-CN"/>
              </w:rPr>
            </w:pPr>
          </w:p>
        </w:tc>
      </w:tr>
      <w:tr w14:paraId="0B83BE17">
        <w:tblPrEx>
          <w:tblCellMar>
            <w:top w:w="0" w:type="dxa"/>
            <w:left w:w="28" w:type="dxa"/>
            <w:bottom w:w="0" w:type="dxa"/>
            <w:right w:w="28" w:type="dxa"/>
          </w:tblCellMar>
        </w:tblPrEx>
        <w:trPr>
          <w:trHeight w:val="850" w:hRule="atLeast"/>
          <w:jc w:val="center"/>
        </w:trPr>
        <w:tc>
          <w:tcPr>
            <w:tcW w:w="470" w:type="pct"/>
            <w:tcBorders>
              <w:top w:val="single" w:color="000000" w:sz="6" w:space="0"/>
              <w:left w:val="single" w:color="000000" w:sz="8" w:space="0"/>
              <w:bottom w:val="single" w:color="000000" w:sz="6" w:space="0"/>
              <w:right w:val="single" w:color="000000" w:sz="6" w:space="0"/>
            </w:tcBorders>
            <w:noWrap w:val="0"/>
            <w:vAlign w:val="center"/>
          </w:tcPr>
          <w:p w14:paraId="77EBF726">
            <w:pPr>
              <w:autoSpaceDE w:val="0"/>
              <w:autoSpaceDN w:val="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p>
        </w:tc>
        <w:tc>
          <w:tcPr>
            <w:tcW w:w="832" w:type="pct"/>
            <w:tcBorders>
              <w:top w:val="single" w:color="000000" w:sz="6" w:space="0"/>
              <w:left w:val="single" w:color="000000" w:sz="6" w:space="0"/>
              <w:bottom w:val="single" w:color="000000" w:sz="6" w:space="0"/>
              <w:right w:val="single" w:color="000000" w:sz="6" w:space="0"/>
            </w:tcBorders>
            <w:noWrap w:val="0"/>
            <w:vAlign w:val="center"/>
          </w:tcPr>
          <w:p w14:paraId="587446AA">
            <w:pPr>
              <w:autoSpaceDE w:val="0"/>
              <w:autoSpaceDN w:val="0"/>
              <w:jc w:val="center"/>
              <w:rPr>
                <w:rFonts w:hint="eastAsia" w:ascii="仿宋" w:hAnsi="仿宋" w:eastAsia="仿宋" w:cs="仿宋"/>
                <w:color w:val="auto"/>
                <w:sz w:val="21"/>
                <w:szCs w:val="21"/>
                <w:highlight w:val="none"/>
                <w:lang w:val="zh-CN"/>
              </w:rPr>
            </w:pPr>
          </w:p>
        </w:tc>
        <w:tc>
          <w:tcPr>
            <w:tcW w:w="632" w:type="pct"/>
            <w:tcBorders>
              <w:top w:val="single" w:color="000000" w:sz="6" w:space="0"/>
              <w:left w:val="single" w:color="000000" w:sz="6" w:space="0"/>
              <w:bottom w:val="single" w:color="000000" w:sz="6" w:space="0"/>
              <w:right w:val="single" w:color="000000" w:sz="6" w:space="0"/>
            </w:tcBorders>
            <w:noWrap w:val="0"/>
            <w:vAlign w:val="center"/>
          </w:tcPr>
          <w:p w14:paraId="65A8E188">
            <w:pPr>
              <w:autoSpaceDE w:val="0"/>
              <w:autoSpaceDN w:val="0"/>
              <w:jc w:val="center"/>
              <w:rPr>
                <w:rFonts w:hint="eastAsia" w:ascii="仿宋" w:hAnsi="仿宋" w:eastAsia="仿宋" w:cs="仿宋"/>
                <w:color w:val="auto"/>
                <w:sz w:val="21"/>
                <w:szCs w:val="21"/>
                <w:highlight w:val="none"/>
                <w:lang w:val="zh-CN"/>
              </w:rPr>
            </w:pPr>
          </w:p>
        </w:tc>
        <w:tc>
          <w:tcPr>
            <w:tcW w:w="1053" w:type="pct"/>
            <w:tcBorders>
              <w:top w:val="single" w:color="000000" w:sz="6" w:space="0"/>
              <w:left w:val="single" w:color="000000" w:sz="6" w:space="0"/>
              <w:bottom w:val="single" w:color="000000" w:sz="6" w:space="0"/>
              <w:right w:val="single" w:color="000000" w:sz="6" w:space="0"/>
            </w:tcBorders>
            <w:noWrap w:val="0"/>
            <w:vAlign w:val="center"/>
          </w:tcPr>
          <w:p w14:paraId="5E1643CB">
            <w:pPr>
              <w:autoSpaceDE w:val="0"/>
              <w:autoSpaceDN w:val="0"/>
              <w:jc w:val="center"/>
              <w:rPr>
                <w:rFonts w:hint="eastAsia" w:ascii="仿宋" w:hAnsi="仿宋" w:eastAsia="仿宋" w:cs="仿宋"/>
                <w:color w:val="auto"/>
                <w:sz w:val="21"/>
                <w:szCs w:val="21"/>
                <w:highlight w:val="none"/>
                <w:lang w:val="zh-CN"/>
              </w:rPr>
            </w:pPr>
          </w:p>
        </w:tc>
        <w:tc>
          <w:tcPr>
            <w:tcW w:w="657" w:type="pct"/>
            <w:tcBorders>
              <w:top w:val="single" w:color="000000" w:sz="6" w:space="0"/>
              <w:left w:val="single" w:color="000000" w:sz="6" w:space="0"/>
              <w:bottom w:val="single" w:color="000000" w:sz="6" w:space="0"/>
              <w:right w:val="single" w:color="000000" w:sz="6" w:space="0"/>
            </w:tcBorders>
            <w:noWrap w:val="0"/>
            <w:vAlign w:val="center"/>
          </w:tcPr>
          <w:p w14:paraId="6F58ED9A">
            <w:pPr>
              <w:autoSpaceDE w:val="0"/>
              <w:autoSpaceDN w:val="0"/>
              <w:jc w:val="center"/>
              <w:rPr>
                <w:rFonts w:hint="eastAsia" w:ascii="仿宋" w:hAnsi="仿宋" w:eastAsia="仿宋" w:cs="仿宋"/>
                <w:color w:val="auto"/>
                <w:sz w:val="21"/>
                <w:szCs w:val="21"/>
                <w:highlight w:val="none"/>
                <w:lang w:val="zh-CN"/>
              </w:rPr>
            </w:pPr>
          </w:p>
        </w:tc>
        <w:tc>
          <w:tcPr>
            <w:tcW w:w="674" w:type="pct"/>
            <w:tcBorders>
              <w:top w:val="single" w:color="000000" w:sz="6" w:space="0"/>
              <w:left w:val="single" w:color="000000" w:sz="6" w:space="0"/>
              <w:bottom w:val="single" w:color="000000" w:sz="6" w:space="0"/>
              <w:right w:val="single" w:color="000000" w:sz="6" w:space="0"/>
            </w:tcBorders>
            <w:noWrap w:val="0"/>
            <w:vAlign w:val="center"/>
          </w:tcPr>
          <w:p w14:paraId="7B822326">
            <w:pPr>
              <w:autoSpaceDE w:val="0"/>
              <w:autoSpaceDN w:val="0"/>
              <w:jc w:val="center"/>
              <w:rPr>
                <w:rFonts w:hint="eastAsia" w:ascii="仿宋" w:hAnsi="仿宋" w:eastAsia="仿宋" w:cs="仿宋"/>
                <w:color w:val="auto"/>
                <w:sz w:val="21"/>
                <w:szCs w:val="21"/>
                <w:highlight w:val="none"/>
                <w:lang w:val="zh-CN"/>
              </w:rPr>
            </w:pPr>
          </w:p>
        </w:tc>
        <w:tc>
          <w:tcPr>
            <w:tcW w:w="680" w:type="pct"/>
            <w:tcBorders>
              <w:top w:val="single" w:color="000000" w:sz="6" w:space="0"/>
              <w:left w:val="single" w:color="000000" w:sz="6" w:space="0"/>
              <w:bottom w:val="single" w:color="000000" w:sz="6" w:space="0"/>
              <w:right w:val="single" w:color="000000" w:sz="8" w:space="0"/>
            </w:tcBorders>
            <w:noWrap w:val="0"/>
            <w:vAlign w:val="center"/>
          </w:tcPr>
          <w:p w14:paraId="18B5385B">
            <w:pPr>
              <w:autoSpaceDE w:val="0"/>
              <w:autoSpaceDN w:val="0"/>
              <w:jc w:val="center"/>
              <w:rPr>
                <w:rFonts w:hint="eastAsia" w:ascii="仿宋" w:hAnsi="仿宋" w:eastAsia="仿宋" w:cs="仿宋"/>
                <w:color w:val="auto"/>
                <w:sz w:val="21"/>
                <w:szCs w:val="21"/>
                <w:highlight w:val="none"/>
                <w:lang w:val="zh-CN"/>
              </w:rPr>
            </w:pPr>
          </w:p>
        </w:tc>
      </w:tr>
    </w:tbl>
    <w:p w14:paraId="75E6FB98">
      <w:pPr>
        <w:tabs>
          <w:tab w:val="right" w:pos="9072"/>
        </w:tabs>
        <w:ind w:firstLine="840" w:firstLineChars="400"/>
        <w:rPr>
          <w:rFonts w:hint="eastAsia" w:ascii="仿宋" w:hAnsi="仿宋" w:eastAsia="仿宋" w:cs="仿宋"/>
          <w:color w:val="auto"/>
          <w:sz w:val="21"/>
          <w:szCs w:val="21"/>
          <w:highlight w:val="none"/>
        </w:rPr>
      </w:pPr>
    </w:p>
    <w:p w14:paraId="4C085275">
      <w:pPr>
        <w:tabs>
          <w:tab w:val="right" w:pos="9072"/>
        </w:tabs>
        <w:ind w:firstLine="420" w:firstLineChars="200"/>
        <w:rPr>
          <w:rFonts w:hint="eastAsia" w:ascii="仿宋" w:hAnsi="仿宋" w:eastAsia="仿宋" w:cs="仿宋"/>
          <w:color w:val="auto"/>
          <w:szCs w:val="24"/>
          <w:highlight w:val="none"/>
        </w:rPr>
      </w:pPr>
      <w:r>
        <w:rPr>
          <w:rFonts w:hint="eastAsia" w:ascii="仿宋" w:hAnsi="仿宋" w:eastAsia="仿宋" w:cs="仿宋"/>
          <w:color w:val="auto"/>
          <w:sz w:val="21"/>
          <w:szCs w:val="21"/>
          <w:highlight w:val="none"/>
        </w:rPr>
        <w:t>备注：供应商可适当调整该表格式，但不得减少信息内容。</w:t>
      </w:r>
    </w:p>
    <w:p w14:paraId="750908A2">
      <w:pPr>
        <w:pStyle w:val="2"/>
        <w:rPr>
          <w:rFonts w:hint="eastAsia" w:ascii="仿宋" w:hAnsi="仿宋" w:eastAsia="仿宋" w:cs="仿宋"/>
          <w:color w:val="auto"/>
          <w:highlight w:val="none"/>
        </w:rPr>
      </w:pPr>
    </w:p>
    <w:p w14:paraId="28E198E2">
      <w:pPr>
        <w:widowControl w:val="0"/>
        <w:spacing w:line="480" w:lineRule="auto"/>
        <w:ind w:right="616"/>
        <w:jc w:val="left"/>
        <w:rPr>
          <w:rStyle w:val="37"/>
          <w:rFonts w:ascii="仿宋" w:hAnsi="仿宋" w:eastAsia="仿宋" w:cs="仿宋"/>
          <w:color w:val="auto"/>
          <w:highlight w:val="none"/>
        </w:rPr>
      </w:pPr>
      <w:r>
        <w:rPr>
          <w:rStyle w:val="37"/>
          <w:rFonts w:hint="eastAsia" w:ascii="仿宋" w:hAnsi="仿宋" w:eastAsia="仿宋" w:cs="仿宋"/>
          <w:color w:val="auto"/>
          <w:highlight w:val="none"/>
        </w:rPr>
        <w:t>供应商名称：</w:t>
      </w:r>
      <w:r>
        <w:rPr>
          <w:rStyle w:val="37"/>
          <w:rFonts w:hint="eastAsia" w:ascii="仿宋" w:hAnsi="仿宋" w:eastAsia="仿宋" w:cs="仿宋"/>
          <w:color w:val="auto"/>
          <w:spacing w:val="4"/>
          <w:highlight w:val="none"/>
          <w:u w:val="single" w:color="000000"/>
        </w:rPr>
        <w:t xml:space="preserve">                   </w:t>
      </w:r>
      <w:r>
        <w:rPr>
          <w:rStyle w:val="37"/>
          <w:rFonts w:hint="eastAsia" w:ascii="仿宋" w:hAnsi="仿宋" w:eastAsia="仿宋" w:cs="仿宋"/>
          <w:color w:val="auto"/>
          <w:spacing w:val="4"/>
          <w:highlight w:val="none"/>
        </w:rPr>
        <w:t>（盖单位公章）</w:t>
      </w:r>
    </w:p>
    <w:p w14:paraId="111BAFDA">
      <w:pPr>
        <w:widowControl w:val="0"/>
        <w:spacing w:line="480" w:lineRule="auto"/>
        <w:ind w:right="616"/>
        <w:rPr>
          <w:rStyle w:val="37"/>
          <w:rFonts w:ascii="仿宋" w:hAnsi="仿宋" w:eastAsia="仿宋" w:cs="仿宋"/>
          <w:color w:val="auto"/>
          <w:highlight w:val="none"/>
        </w:rPr>
      </w:pPr>
      <w:r>
        <w:rPr>
          <w:rStyle w:val="37"/>
          <w:rFonts w:hint="eastAsia" w:ascii="仿宋" w:hAnsi="仿宋" w:eastAsia="仿宋" w:cs="仿宋"/>
          <w:color w:val="auto"/>
          <w:highlight w:val="none"/>
        </w:rPr>
        <w:t>日    期：      年   月    日</w:t>
      </w:r>
    </w:p>
    <w:p w14:paraId="483818CA">
      <w:pPr>
        <w:rPr>
          <w:rStyle w:val="37"/>
          <w:rFonts w:hint="eastAsia" w:ascii="仿宋" w:hAnsi="仿宋" w:eastAsia="仿宋" w:cs="仿宋"/>
          <w:bCs w:val="0"/>
          <w:color w:val="auto"/>
          <w:sz w:val="24"/>
          <w:highlight w:val="none"/>
          <w:lang w:val="en-US" w:eastAsia="zh-CN"/>
        </w:rPr>
      </w:pPr>
      <w:r>
        <w:rPr>
          <w:rStyle w:val="37"/>
          <w:rFonts w:hint="eastAsia" w:ascii="仿宋" w:hAnsi="仿宋" w:eastAsia="仿宋" w:cs="仿宋"/>
          <w:bCs w:val="0"/>
          <w:color w:val="auto"/>
          <w:sz w:val="24"/>
          <w:highlight w:val="none"/>
          <w:lang w:val="en-US" w:eastAsia="zh-CN"/>
        </w:rPr>
        <w:br w:type="page"/>
      </w:r>
    </w:p>
    <w:p w14:paraId="08930E1A">
      <w:pPr>
        <w:pStyle w:val="262"/>
        <w:widowControl w:val="0"/>
        <w:spacing w:before="0" w:after="0" w:line="360" w:lineRule="auto"/>
        <w:ind w:left="0"/>
        <w:outlineLvl w:val="2"/>
        <w:rPr>
          <w:rStyle w:val="37"/>
          <w:rFonts w:ascii="仿宋" w:hAnsi="仿宋" w:eastAsia="仿宋" w:cs="仿宋"/>
          <w:bCs w:val="0"/>
          <w:color w:val="auto"/>
          <w:sz w:val="24"/>
          <w:highlight w:val="none"/>
        </w:rPr>
      </w:pPr>
      <w:r>
        <w:rPr>
          <w:rStyle w:val="37"/>
          <w:rFonts w:hint="eastAsia" w:ascii="仿宋" w:hAnsi="仿宋" w:eastAsia="仿宋" w:cs="仿宋"/>
          <w:bCs w:val="0"/>
          <w:color w:val="auto"/>
          <w:sz w:val="24"/>
          <w:highlight w:val="none"/>
          <w:lang w:val="en-US" w:eastAsia="zh-CN"/>
        </w:rPr>
        <w:t>三</w:t>
      </w:r>
      <w:r>
        <w:rPr>
          <w:rStyle w:val="37"/>
          <w:rFonts w:hint="eastAsia" w:ascii="仿宋" w:hAnsi="仿宋" w:eastAsia="仿宋" w:cs="仿宋"/>
          <w:bCs w:val="0"/>
          <w:color w:val="auto"/>
          <w:sz w:val="24"/>
          <w:highlight w:val="none"/>
        </w:rPr>
        <w:t>、供应商参加政府采购活动承诺书</w:t>
      </w:r>
    </w:p>
    <w:p w14:paraId="6BA82DCB">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未签署下列承诺书的，其责任由供应商自行承担。</w:t>
      </w:r>
    </w:p>
    <w:p w14:paraId="46194F80">
      <w:pPr>
        <w:widowControl w:val="0"/>
        <w:spacing w:before="166" w:line="500" w:lineRule="exact"/>
        <w:ind w:firstLine="482" w:firstLineChars="200"/>
        <w:outlineLvl w:val="9"/>
        <w:rPr>
          <w:rStyle w:val="37"/>
          <w:rFonts w:ascii="仿宋" w:hAnsi="仿宋" w:eastAsia="仿宋" w:cs="仿宋"/>
          <w:b/>
          <w:bCs/>
          <w:color w:val="auto"/>
          <w:highlight w:val="none"/>
        </w:rPr>
      </w:pPr>
      <w:r>
        <w:rPr>
          <w:rStyle w:val="37"/>
          <w:rFonts w:hint="eastAsia" w:ascii="仿宋" w:hAnsi="仿宋" w:eastAsia="仿宋" w:cs="仿宋"/>
          <w:b/>
          <w:bCs/>
          <w:color w:val="auto"/>
          <w:highlight w:val="none"/>
        </w:rPr>
        <w:t>（一）质量安全责任承诺书</w:t>
      </w:r>
    </w:p>
    <w:p w14:paraId="23EE08E9">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为保证本采购项目顺利进行，作为投标供应商，现郑重承诺：</w:t>
      </w:r>
    </w:p>
    <w:p w14:paraId="7144DFB4">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1、我方投标产品的生产（包括设计、制造、安装、改造、维修等）、投入使用的材料等均完全符合国家现行质量、安全、环保标准和要求。</w:t>
      </w:r>
    </w:p>
    <w:p w14:paraId="06BA8D27">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2、我方将严格按照国家现行相关储存、运输、安装调试技术标准及规范、服务标准及规范、施工标准及规范，在规定的时限内，保质、保量完成项目全部内容，并向采购人交付合格产品。</w:t>
      </w:r>
    </w:p>
    <w:p w14:paraId="6D752EF4">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3、对于因产品生产质量以及储存、运输、安装调试、服务、施工等过程中产生的任何安全事故，我方承担全部责任。</w:t>
      </w:r>
    </w:p>
    <w:p w14:paraId="1AAEE4D1">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4、我方提供的货物、工程、服务等符合现行的国家、行业、地区、企业标准及要求，标准不一致的，以更为严格的为准，我方对提供的货物、工程、服务等的质量、安全、环保等承担全部责任。</w:t>
      </w:r>
    </w:p>
    <w:p w14:paraId="137199C0">
      <w:pPr>
        <w:widowControl w:val="0"/>
        <w:spacing w:line="500" w:lineRule="exact"/>
        <w:ind w:firstLine="480" w:firstLineChars="200"/>
        <w:rPr>
          <w:rStyle w:val="37"/>
          <w:rFonts w:ascii="仿宋" w:hAnsi="仿宋" w:eastAsia="仿宋" w:cs="仿宋"/>
          <w:color w:val="auto"/>
          <w:highlight w:val="none"/>
        </w:rPr>
      </w:pPr>
    </w:p>
    <w:p w14:paraId="7675D68C">
      <w:pPr>
        <w:widowControl w:val="0"/>
        <w:spacing w:line="500" w:lineRule="exact"/>
        <w:ind w:firstLine="4320" w:firstLineChars="1800"/>
        <w:rPr>
          <w:rStyle w:val="37"/>
          <w:rFonts w:ascii="仿宋" w:hAnsi="仿宋" w:eastAsia="仿宋" w:cs="仿宋"/>
          <w:color w:val="auto"/>
          <w:highlight w:val="none"/>
        </w:rPr>
      </w:pPr>
      <w:r>
        <w:rPr>
          <w:rStyle w:val="37"/>
          <w:rFonts w:hint="eastAsia" w:ascii="仿宋" w:hAnsi="仿宋" w:eastAsia="仿宋" w:cs="仿宋"/>
          <w:color w:val="auto"/>
          <w:highlight w:val="none"/>
        </w:rPr>
        <w:t>供应商名称：</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（加盖公章）</w:t>
      </w:r>
    </w:p>
    <w:p w14:paraId="5D2E4FF1">
      <w:pPr>
        <w:widowControl w:val="0"/>
        <w:spacing w:line="500" w:lineRule="exact"/>
        <w:ind w:firstLine="4560" w:firstLineChars="1900"/>
        <w:rPr>
          <w:rStyle w:val="37"/>
          <w:rFonts w:ascii="仿宋" w:hAnsi="仿宋" w:eastAsia="仿宋" w:cs="仿宋"/>
          <w:color w:val="auto"/>
          <w:highlight w:val="none"/>
        </w:rPr>
      </w:pPr>
      <w:r>
        <w:rPr>
          <w:rStyle w:val="37"/>
          <w:rFonts w:hint="eastAsia" w:ascii="仿宋" w:hAnsi="仿宋" w:eastAsia="仿宋" w:cs="仿宋"/>
          <w:color w:val="auto"/>
          <w:highlight w:val="none"/>
        </w:rPr>
        <w:t>日期：　年　月　日</w:t>
      </w:r>
    </w:p>
    <w:p w14:paraId="21AB4A4F">
      <w:pPr>
        <w:widowControl w:val="0"/>
        <w:spacing w:line="500" w:lineRule="exact"/>
        <w:rPr>
          <w:rStyle w:val="37"/>
          <w:rFonts w:ascii="仿宋" w:hAnsi="仿宋" w:eastAsia="仿宋" w:cs="仿宋"/>
          <w:color w:val="auto"/>
          <w:highlight w:val="none"/>
        </w:rPr>
      </w:pPr>
    </w:p>
    <w:p w14:paraId="307F93B6">
      <w:pPr>
        <w:widowControl w:val="0"/>
        <w:spacing w:line="500" w:lineRule="exact"/>
        <w:rPr>
          <w:rStyle w:val="37"/>
          <w:rFonts w:ascii="仿宋" w:hAnsi="仿宋" w:eastAsia="仿宋" w:cs="仿宋"/>
          <w:color w:val="auto"/>
          <w:highlight w:val="none"/>
        </w:rPr>
      </w:pPr>
    </w:p>
    <w:p w14:paraId="5B1AF719">
      <w:pPr>
        <w:widowControl w:val="0"/>
        <w:spacing w:line="500" w:lineRule="exact"/>
        <w:rPr>
          <w:rStyle w:val="37"/>
          <w:rFonts w:ascii="仿宋" w:hAnsi="仿宋" w:eastAsia="仿宋" w:cs="仿宋"/>
          <w:color w:val="auto"/>
          <w:highlight w:val="none"/>
        </w:rPr>
      </w:pPr>
    </w:p>
    <w:p w14:paraId="0FCF2C02">
      <w:pPr>
        <w:widowControl w:val="0"/>
        <w:spacing w:line="500" w:lineRule="exact"/>
        <w:rPr>
          <w:rStyle w:val="37"/>
          <w:rFonts w:ascii="仿宋" w:hAnsi="仿宋" w:eastAsia="仿宋" w:cs="仿宋"/>
          <w:color w:val="auto"/>
          <w:highlight w:val="none"/>
        </w:rPr>
      </w:pPr>
    </w:p>
    <w:p w14:paraId="25C9C96E">
      <w:pPr>
        <w:pStyle w:val="2"/>
        <w:rPr>
          <w:rStyle w:val="37"/>
          <w:rFonts w:ascii="仿宋" w:hAnsi="仿宋" w:eastAsia="仿宋" w:cs="仿宋"/>
          <w:color w:val="auto"/>
          <w:highlight w:val="none"/>
        </w:rPr>
      </w:pPr>
    </w:p>
    <w:p w14:paraId="30E9A3CD">
      <w:pPr>
        <w:rPr>
          <w:color w:val="auto"/>
          <w:highlight w:val="none"/>
        </w:rPr>
      </w:pPr>
    </w:p>
    <w:p w14:paraId="694CE9A6">
      <w:pPr>
        <w:widowControl w:val="0"/>
        <w:spacing w:line="500" w:lineRule="exact"/>
        <w:rPr>
          <w:rStyle w:val="37"/>
          <w:rFonts w:ascii="仿宋" w:hAnsi="仿宋" w:eastAsia="仿宋" w:cs="仿宋"/>
          <w:color w:val="auto"/>
          <w:highlight w:val="none"/>
        </w:rPr>
      </w:pPr>
    </w:p>
    <w:p w14:paraId="5BD41889">
      <w:pPr>
        <w:pStyle w:val="102"/>
        <w:widowControl w:val="0"/>
        <w:ind w:firstLine="210"/>
        <w:rPr>
          <w:rStyle w:val="37"/>
          <w:rFonts w:ascii="仿宋" w:hAnsi="仿宋" w:eastAsia="仿宋" w:cs="仿宋"/>
          <w:color w:val="auto"/>
          <w:highlight w:val="none"/>
        </w:rPr>
      </w:pPr>
    </w:p>
    <w:p w14:paraId="76D77A74">
      <w:pPr>
        <w:pStyle w:val="102"/>
        <w:widowControl w:val="0"/>
        <w:ind w:firstLine="210"/>
        <w:rPr>
          <w:rStyle w:val="37"/>
          <w:rFonts w:ascii="仿宋" w:hAnsi="仿宋" w:eastAsia="仿宋" w:cs="仿宋"/>
          <w:color w:val="auto"/>
          <w:highlight w:val="none"/>
        </w:rPr>
      </w:pPr>
    </w:p>
    <w:p w14:paraId="5FCEFEFC">
      <w:pPr>
        <w:widowControl w:val="0"/>
        <w:spacing w:line="500" w:lineRule="exact"/>
        <w:rPr>
          <w:rStyle w:val="37"/>
          <w:rFonts w:ascii="仿宋" w:hAnsi="仿宋" w:eastAsia="仿宋" w:cs="仿宋"/>
          <w:color w:val="auto"/>
          <w:highlight w:val="none"/>
        </w:rPr>
      </w:pPr>
    </w:p>
    <w:p w14:paraId="2D8571FC">
      <w:pPr>
        <w:pStyle w:val="102"/>
        <w:widowControl w:val="0"/>
        <w:ind w:firstLine="210"/>
        <w:rPr>
          <w:rStyle w:val="37"/>
          <w:rFonts w:ascii="仿宋" w:hAnsi="仿宋" w:eastAsia="仿宋" w:cs="仿宋"/>
          <w:color w:val="auto"/>
          <w:highlight w:val="none"/>
        </w:rPr>
      </w:pPr>
    </w:p>
    <w:p w14:paraId="334C9E90">
      <w:pPr>
        <w:widowControl w:val="0"/>
        <w:outlineLvl w:val="9"/>
        <w:rPr>
          <w:rStyle w:val="37"/>
          <w:rFonts w:ascii="仿宋" w:hAnsi="仿宋" w:eastAsia="仿宋" w:cs="仿宋"/>
          <w:b/>
          <w:bCs/>
          <w:color w:val="auto"/>
          <w:highlight w:val="none"/>
        </w:rPr>
      </w:pPr>
      <w:r>
        <w:rPr>
          <w:rStyle w:val="37"/>
          <w:rFonts w:hint="eastAsia" w:ascii="仿宋" w:hAnsi="仿宋" w:eastAsia="仿宋" w:cs="仿宋"/>
          <w:b/>
          <w:bCs/>
          <w:color w:val="auto"/>
          <w:highlight w:val="none"/>
        </w:rPr>
        <w:t>（二）拒绝政府采购领域商业贿赂承诺书</w:t>
      </w:r>
    </w:p>
    <w:p w14:paraId="4B3D53AC">
      <w:pPr>
        <w:widowControl w:val="0"/>
        <w:spacing w:line="440" w:lineRule="exact"/>
        <w:jc w:val="center"/>
        <w:rPr>
          <w:rStyle w:val="37"/>
          <w:rFonts w:ascii="仿宋" w:hAnsi="仿宋" w:eastAsia="仿宋" w:cs="仿宋"/>
          <w:color w:val="auto"/>
          <w:highlight w:val="none"/>
        </w:rPr>
      </w:pPr>
    </w:p>
    <w:p w14:paraId="366027C4">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为响应党中央、国务院关于治理政府采购领域商业贿赂行为的号召，我公司在此庄严承诺：</w:t>
      </w:r>
    </w:p>
    <w:p w14:paraId="4904B35F">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1、在参与政府采购活动中遵纪守法、诚信经营、公平竞标。</w:t>
      </w:r>
    </w:p>
    <w:p w14:paraId="1B5FF98C">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2、不向政府采购人、采购代理机构和政府采购评审专家进行任何形式的商业贿赂以谋取交易机会。</w:t>
      </w:r>
    </w:p>
    <w:p w14:paraId="2929C68F">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3、不向政府采购代理机构和采购人提供虚假资质文件或采用虚假应标方式参与政府采购市场竞争并谋取中标、成交。</w:t>
      </w:r>
    </w:p>
    <w:p w14:paraId="59F0B06B">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4、不采取“围标、陪标”等商业欺诈手段获得政府采购定单。</w:t>
      </w:r>
    </w:p>
    <w:p w14:paraId="528AD7F6">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5、不采取不正当手段诋毁、排挤其他供应商。</w:t>
      </w:r>
    </w:p>
    <w:p w14:paraId="16368115">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6、不在提供商品和服务时“偷梁换柱、以次充好”损害采购人的合法权益。</w:t>
      </w:r>
    </w:p>
    <w:p w14:paraId="1D4D7697">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7、不与采购人、采购代理机构政府采购评审专家或其它供应商恶意串通，进行质疑和投诉，维护政府采购市场秩序。</w:t>
      </w:r>
    </w:p>
    <w:p w14:paraId="182349F9">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8、尊重和接受政府采购监督管理部门的监督和政府采购代理机构招标采购要求，承担因违约行为给采购人造成的损失。</w:t>
      </w:r>
    </w:p>
    <w:p w14:paraId="4305E5A8">
      <w:pPr>
        <w:widowControl w:val="0"/>
        <w:spacing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9、不发生其他有悖于政府采购公开、公平、公正和诚信原则的行为。</w:t>
      </w:r>
    </w:p>
    <w:p w14:paraId="3959A552">
      <w:pPr>
        <w:widowControl w:val="0"/>
        <w:spacing w:line="500" w:lineRule="exact"/>
        <w:rPr>
          <w:rStyle w:val="37"/>
          <w:rFonts w:ascii="仿宋" w:hAnsi="仿宋" w:eastAsia="仿宋" w:cs="仿宋"/>
          <w:color w:val="auto"/>
          <w:highlight w:val="none"/>
        </w:rPr>
      </w:pPr>
    </w:p>
    <w:p w14:paraId="0CE9F9A0">
      <w:pPr>
        <w:widowControl w:val="0"/>
        <w:spacing w:line="500" w:lineRule="exact"/>
        <w:ind w:firstLine="4320" w:firstLineChars="1800"/>
        <w:rPr>
          <w:rStyle w:val="37"/>
          <w:rFonts w:ascii="仿宋" w:hAnsi="仿宋" w:eastAsia="仿宋" w:cs="仿宋"/>
          <w:color w:val="auto"/>
          <w:highlight w:val="none"/>
        </w:rPr>
      </w:pPr>
      <w:r>
        <w:rPr>
          <w:rStyle w:val="37"/>
          <w:rFonts w:hint="eastAsia" w:ascii="仿宋" w:hAnsi="仿宋" w:eastAsia="仿宋" w:cs="仿宋"/>
          <w:color w:val="auto"/>
          <w:highlight w:val="none"/>
        </w:rPr>
        <w:t>供应商名称：</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（加盖公章）</w:t>
      </w:r>
    </w:p>
    <w:p w14:paraId="7FF06563">
      <w:pPr>
        <w:widowControl w:val="0"/>
        <w:spacing w:line="500" w:lineRule="exact"/>
        <w:ind w:firstLine="4560" w:firstLineChars="1900"/>
        <w:rPr>
          <w:rStyle w:val="37"/>
          <w:rFonts w:ascii="仿宋" w:hAnsi="仿宋" w:eastAsia="仿宋" w:cs="仿宋"/>
          <w:color w:val="auto"/>
          <w:highlight w:val="none"/>
        </w:rPr>
      </w:pPr>
      <w:r>
        <w:rPr>
          <w:rStyle w:val="37"/>
          <w:rFonts w:hint="eastAsia" w:ascii="仿宋" w:hAnsi="仿宋" w:eastAsia="仿宋" w:cs="仿宋"/>
          <w:color w:val="auto"/>
          <w:highlight w:val="none"/>
        </w:rPr>
        <w:t>日期：　  年　月　日</w:t>
      </w:r>
    </w:p>
    <w:p w14:paraId="62004C96">
      <w:pPr>
        <w:spacing w:line="500" w:lineRule="exact"/>
        <w:jc w:val="center"/>
        <w:outlineLvl w:val="2"/>
        <w:rPr>
          <w:rFonts w:hint="eastAsia" w:ascii="仿宋" w:hAnsi="仿宋" w:eastAsia="仿宋" w:cs="仿宋"/>
          <w:b/>
          <w:bCs/>
          <w:color w:val="auto"/>
          <w:sz w:val="32"/>
          <w:szCs w:val="32"/>
          <w:highlight w:val="none"/>
        </w:rPr>
      </w:pPr>
      <w:r>
        <w:rPr>
          <w:rStyle w:val="37"/>
          <w:rFonts w:hint="eastAsia" w:ascii="仿宋" w:hAnsi="仿宋" w:eastAsia="仿宋" w:cs="仿宋"/>
          <w:color w:val="auto"/>
          <w:highlight w:val="none"/>
        </w:rPr>
        <w:br w:type="page"/>
      </w:r>
      <w:r>
        <w:rPr>
          <w:rStyle w:val="37"/>
          <w:rFonts w:hint="eastAsia" w:ascii="仿宋" w:hAnsi="仿宋" w:eastAsia="仿宋" w:cs="仿宋"/>
          <w:b/>
          <w:bCs/>
          <w:color w:val="auto"/>
          <w:sz w:val="32"/>
          <w:szCs w:val="32"/>
          <w:highlight w:val="none"/>
          <w:lang w:val="en-US" w:eastAsia="zh-CN"/>
        </w:rPr>
        <w:t>四</w:t>
      </w:r>
      <w:r>
        <w:rPr>
          <w:rStyle w:val="37"/>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rPr>
        <w:t>技术服务偏差表</w:t>
      </w:r>
    </w:p>
    <w:tbl>
      <w:tblPr>
        <w:tblStyle w:val="30"/>
        <w:tblW w:w="92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6BE6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7" w:type="dxa"/>
            <w:shd w:val="clear" w:color="auto" w:fill="D8D8D8"/>
            <w:noWrap w:val="0"/>
            <w:vAlign w:val="center"/>
          </w:tcPr>
          <w:p w14:paraId="7D5163AE">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序号</w:t>
            </w:r>
          </w:p>
        </w:tc>
        <w:tc>
          <w:tcPr>
            <w:tcW w:w="1698" w:type="dxa"/>
            <w:shd w:val="clear" w:color="auto" w:fill="D8D8D8"/>
            <w:noWrap w:val="0"/>
            <w:vAlign w:val="center"/>
          </w:tcPr>
          <w:p w14:paraId="3F2A7125">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招标文件要求</w:t>
            </w:r>
          </w:p>
        </w:tc>
        <w:tc>
          <w:tcPr>
            <w:tcW w:w="3132" w:type="dxa"/>
            <w:shd w:val="clear" w:color="auto" w:fill="D8D8D8"/>
            <w:noWrap w:val="0"/>
            <w:vAlign w:val="center"/>
          </w:tcPr>
          <w:p w14:paraId="0758BB20">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投</w:t>
            </w:r>
            <w:r>
              <w:rPr>
                <w:rFonts w:hint="eastAsia" w:ascii="仿宋" w:hAnsi="仿宋" w:eastAsia="仿宋" w:cs="仿宋"/>
                <w:b/>
                <w:bCs/>
                <w:color w:val="auto"/>
                <w:szCs w:val="24"/>
                <w:highlight w:val="none"/>
              </w:rPr>
              <w:t>标文件响应条款</w:t>
            </w:r>
          </w:p>
        </w:tc>
        <w:tc>
          <w:tcPr>
            <w:tcW w:w="1530" w:type="dxa"/>
            <w:shd w:val="clear" w:color="auto" w:fill="D8D8D8"/>
            <w:noWrap w:val="0"/>
            <w:vAlign w:val="center"/>
          </w:tcPr>
          <w:p w14:paraId="76566DAE">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偏离程度</w:t>
            </w:r>
          </w:p>
        </w:tc>
        <w:tc>
          <w:tcPr>
            <w:tcW w:w="2066" w:type="dxa"/>
            <w:shd w:val="clear" w:color="auto" w:fill="D8D8D8"/>
            <w:noWrap w:val="0"/>
            <w:vAlign w:val="center"/>
          </w:tcPr>
          <w:p w14:paraId="4CC2D312">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偏离简述</w:t>
            </w:r>
          </w:p>
          <w:p w14:paraId="0288E616">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或相关证明材料</w:t>
            </w:r>
          </w:p>
        </w:tc>
      </w:tr>
      <w:tr w14:paraId="421A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6EBD0F1">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698" w:type="dxa"/>
            <w:noWrap w:val="0"/>
            <w:vAlign w:val="center"/>
          </w:tcPr>
          <w:p w14:paraId="3E13F316">
            <w:pPr>
              <w:spacing w:line="440" w:lineRule="exact"/>
              <w:rPr>
                <w:rFonts w:hint="eastAsia" w:ascii="仿宋" w:hAnsi="仿宋" w:eastAsia="仿宋" w:cs="仿宋"/>
                <w:color w:val="auto"/>
                <w:szCs w:val="24"/>
                <w:highlight w:val="none"/>
              </w:rPr>
            </w:pPr>
          </w:p>
        </w:tc>
        <w:tc>
          <w:tcPr>
            <w:tcW w:w="3132" w:type="dxa"/>
            <w:noWrap w:val="0"/>
            <w:vAlign w:val="center"/>
          </w:tcPr>
          <w:p w14:paraId="4923E2C8">
            <w:pPr>
              <w:spacing w:line="440" w:lineRule="exact"/>
              <w:rPr>
                <w:rFonts w:hint="eastAsia" w:ascii="仿宋" w:hAnsi="仿宋" w:eastAsia="仿宋" w:cs="仿宋"/>
                <w:color w:val="auto"/>
                <w:szCs w:val="24"/>
                <w:highlight w:val="none"/>
              </w:rPr>
            </w:pPr>
          </w:p>
        </w:tc>
        <w:tc>
          <w:tcPr>
            <w:tcW w:w="1530" w:type="dxa"/>
            <w:noWrap w:val="0"/>
            <w:vAlign w:val="center"/>
          </w:tcPr>
          <w:p w14:paraId="565ED576">
            <w:pPr>
              <w:spacing w:line="440" w:lineRule="exact"/>
              <w:rPr>
                <w:rFonts w:hint="eastAsia" w:ascii="仿宋" w:hAnsi="仿宋" w:eastAsia="仿宋" w:cs="仿宋"/>
                <w:color w:val="auto"/>
                <w:szCs w:val="24"/>
                <w:highlight w:val="none"/>
              </w:rPr>
            </w:pPr>
          </w:p>
        </w:tc>
        <w:tc>
          <w:tcPr>
            <w:tcW w:w="2066" w:type="dxa"/>
            <w:noWrap w:val="0"/>
            <w:vAlign w:val="center"/>
          </w:tcPr>
          <w:p w14:paraId="3D95B661">
            <w:pPr>
              <w:spacing w:line="440" w:lineRule="exact"/>
              <w:rPr>
                <w:rFonts w:hint="eastAsia" w:ascii="仿宋" w:hAnsi="仿宋" w:eastAsia="仿宋" w:cs="仿宋"/>
                <w:color w:val="auto"/>
                <w:szCs w:val="24"/>
                <w:highlight w:val="none"/>
              </w:rPr>
            </w:pPr>
          </w:p>
        </w:tc>
      </w:tr>
      <w:tr w14:paraId="7B85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926B76C">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698" w:type="dxa"/>
            <w:noWrap w:val="0"/>
            <w:vAlign w:val="center"/>
          </w:tcPr>
          <w:p w14:paraId="1CEE22D5">
            <w:pPr>
              <w:spacing w:line="440" w:lineRule="exact"/>
              <w:rPr>
                <w:rFonts w:hint="eastAsia" w:ascii="仿宋" w:hAnsi="仿宋" w:eastAsia="仿宋" w:cs="仿宋"/>
                <w:color w:val="auto"/>
                <w:szCs w:val="24"/>
                <w:highlight w:val="none"/>
              </w:rPr>
            </w:pPr>
          </w:p>
        </w:tc>
        <w:tc>
          <w:tcPr>
            <w:tcW w:w="3132" w:type="dxa"/>
            <w:noWrap w:val="0"/>
            <w:vAlign w:val="center"/>
          </w:tcPr>
          <w:p w14:paraId="63613666">
            <w:pPr>
              <w:spacing w:line="440" w:lineRule="exact"/>
              <w:rPr>
                <w:rFonts w:hint="eastAsia" w:ascii="仿宋" w:hAnsi="仿宋" w:eastAsia="仿宋" w:cs="仿宋"/>
                <w:color w:val="auto"/>
                <w:szCs w:val="24"/>
                <w:highlight w:val="none"/>
              </w:rPr>
            </w:pPr>
          </w:p>
        </w:tc>
        <w:tc>
          <w:tcPr>
            <w:tcW w:w="1530" w:type="dxa"/>
            <w:noWrap w:val="0"/>
            <w:vAlign w:val="center"/>
          </w:tcPr>
          <w:p w14:paraId="4604F493">
            <w:pPr>
              <w:spacing w:line="440" w:lineRule="exact"/>
              <w:rPr>
                <w:rFonts w:hint="eastAsia" w:ascii="仿宋" w:hAnsi="仿宋" w:eastAsia="仿宋" w:cs="仿宋"/>
                <w:color w:val="auto"/>
                <w:szCs w:val="24"/>
                <w:highlight w:val="none"/>
              </w:rPr>
            </w:pPr>
          </w:p>
        </w:tc>
        <w:tc>
          <w:tcPr>
            <w:tcW w:w="2066" w:type="dxa"/>
            <w:noWrap w:val="0"/>
            <w:vAlign w:val="center"/>
          </w:tcPr>
          <w:p w14:paraId="54B1CFA6">
            <w:pPr>
              <w:spacing w:line="440" w:lineRule="exact"/>
              <w:rPr>
                <w:rFonts w:hint="eastAsia" w:ascii="仿宋" w:hAnsi="仿宋" w:eastAsia="仿宋" w:cs="仿宋"/>
                <w:color w:val="auto"/>
                <w:szCs w:val="24"/>
                <w:highlight w:val="none"/>
              </w:rPr>
            </w:pPr>
          </w:p>
        </w:tc>
      </w:tr>
      <w:tr w14:paraId="74AC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52A78B">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698" w:type="dxa"/>
            <w:noWrap w:val="0"/>
            <w:vAlign w:val="center"/>
          </w:tcPr>
          <w:p w14:paraId="10CAAD81">
            <w:pPr>
              <w:spacing w:line="440" w:lineRule="exact"/>
              <w:rPr>
                <w:rFonts w:hint="eastAsia" w:ascii="仿宋" w:hAnsi="仿宋" w:eastAsia="仿宋" w:cs="仿宋"/>
                <w:color w:val="auto"/>
                <w:szCs w:val="24"/>
                <w:highlight w:val="none"/>
              </w:rPr>
            </w:pPr>
          </w:p>
        </w:tc>
        <w:tc>
          <w:tcPr>
            <w:tcW w:w="3132" w:type="dxa"/>
            <w:noWrap w:val="0"/>
            <w:vAlign w:val="center"/>
          </w:tcPr>
          <w:p w14:paraId="5EAF3761">
            <w:pPr>
              <w:spacing w:line="440" w:lineRule="exact"/>
              <w:rPr>
                <w:rFonts w:hint="eastAsia" w:ascii="仿宋" w:hAnsi="仿宋" w:eastAsia="仿宋" w:cs="仿宋"/>
                <w:color w:val="auto"/>
                <w:szCs w:val="24"/>
                <w:highlight w:val="none"/>
              </w:rPr>
            </w:pPr>
          </w:p>
        </w:tc>
        <w:tc>
          <w:tcPr>
            <w:tcW w:w="1530" w:type="dxa"/>
            <w:noWrap w:val="0"/>
            <w:vAlign w:val="center"/>
          </w:tcPr>
          <w:p w14:paraId="1139847B">
            <w:pPr>
              <w:spacing w:line="440" w:lineRule="exact"/>
              <w:rPr>
                <w:rFonts w:hint="eastAsia" w:ascii="仿宋" w:hAnsi="仿宋" w:eastAsia="仿宋" w:cs="仿宋"/>
                <w:color w:val="auto"/>
                <w:szCs w:val="24"/>
                <w:highlight w:val="none"/>
              </w:rPr>
            </w:pPr>
          </w:p>
        </w:tc>
        <w:tc>
          <w:tcPr>
            <w:tcW w:w="2066" w:type="dxa"/>
            <w:noWrap w:val="0"/>
            <w:vAlign w:val="center"/>
          </w:tcPr>
          <w:p w14:paraId="6189940F">
            <w:pPr>
              <w:spacing w:line="440" w:lineRule="exact"/>
              <w:rPr>
                <w:rFonts w:hint="eastAsia" w:ascii="仿宋" w:hAnsi="仿宋" w:eastAsia="仿宋" w:cs="仿宋"/>
                <w:color w:val="auto"/>
                <w:szCs w:val="24"/>
                <w:highlight w:val="none"/>
              </w:rPr>
            </w:pPr>
          </w:p>
        </w:tc>
      </w:tr>
      <w:tr w14:paraId="2F25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93C9850">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1698" w:type="dxa"/>
            <w:noWrap w:val="0"/>
            <w:vAlign w:val="center"/>
          </w:tcPr>
          <w:p w14:paraId="403C13EB">
            <w:pPr>
              <w:spacing w:line="440" w:lineRule="exact"/>
              <w:rPr>
                <w:rFonts w:hint="eastAsia" w:ascii="仿宋" w:hAnsi="仿宋" w:eastAsia="仿宋" w:cs="仿宋"/>
                <w:color w:val="auto"/>
                <w:szCs w:val="24"/>
                <w:highlight w:val="none"/>
              </w:rPr>
            </w:pPr>
          </w:p>
        </w:tc>
        <w:tc>
          <w:tcPr>
            <w:tcW w:w="3132" w:type="dxa"/>
            <w:noWrap w:val="0"/>
            <w:vAlign w:val="center"/>
          </w:tcPr>
          <w:p w14:paraId="0BB2DABE">
            <w:pPr>
              <w:spacing w:line="440" w:lineRule="exact"/>
              <w:rPr>
                <w:rFonts w:hint="eastAsia" w:ascii="仿宋" w:hAnsi="仿宋" w:eastAsia="仿宋" w:cs="仿宋"/>
                <w:color w:val="auto"/>
                <w:szCs w:val="24"/>
                <w:highlight w:val="none"/>
              </w:rPr>
            </w:pPr>
          </w:p>
        </w:tc>
        <w:tc>
          <w:tcPr>
            <w:tcW w:w="1530" w:type="dxa"/>
            <w:noWrap w:val="0"/>
            <w:vAlign w:val="center"/>
          </w:tcPr>
          <w:p w14:paraId="7A47ABAC">
            <w:pPr>
              <w:spacing w:line="440" w:lineRule="exact"/>
              <w:rPr>
                <w:rFonts w:hint="eastAsia" w:ascii="仿宋" w:hAnsi="仿宋" w:eastAsia="仿宋" w:cs="仿宋"/>
                <w:color w:val="auto"/>
                <w:szCs w:val="24"/>
                <w:highlight w:val="none"/>
              </w:rPr>
            </w:pPr>
          </w:p>
        </w:tc>
        <w:tc>
          <w:tcPr>
            <w:tcW w:w="2066" w:type="dxa"/>
            <w:noWrap w:val="0"/>
            <w:vAlign w:val="center"/>
          </w:tcPr>
          <w:p w14:paraId="2FB37F43">
            <w:pPr>
              <w:spacing w:line="440" w:lineRule="exact"/>
              <w:rPr>
                <w:rFonts w:hint="eastAsia" w:ascii="仿宋" w:hAnsi="仿宋" w:eastAsia="仿宋" w:cs="仿宋"/>
                <w:color w:val="auto"/>
                <w:szCs w:val="24"/>
                <w:highlight w:val="none"/>
              </w:rPr>
            </w:pPr>
          </w:p>
        </w:tc>
      </w:tr>
      <w:tr w14:paraId="3F3B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B60D6D0">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1698" w:type="dxa"/>
            <w:noWrap w:val="0"/>
            <w:vAlign w:val="center"/>
          </w:tcPr>
          <w:p w14:paraId="7F82CB31">
            <w:pPr>
              <w:spacing w:line="440" w:lineRule="exact"/>
              <w:rPr>
                <w:rFonts w:hint="eastAsia" w:ascii="仿宋" w:hAnsi="仿宋" w:eastAsia="仿宋" w:cs="仿宋"/>
                <w:color w:val="auto"/>
                <w:szCs w:val="24"/>
                <w:highlight w:val="none"/>
              </w:rPr>
            </w:pPr>
          </w:p>
        </w:tc>
        <w:tc>
          <w:tcPr>
            <w:tcW w:w="3132" w:type="dxa"/>
            <w:noWrap w:val="0"/>
            <w:vAlign w:val="center"/>
          </w:tcPr>
          <w:p w14:paraId="275EB6ED">
            <w:pPr>
              <w:spacing w:line="440" w:lineRule="exact"/>
              <w:rPr>
                <w:rFonts w:hint="eastAsia" w:ascii="仿宋" w:hAnsi="仿宋" w:eastAsia="仿宋" w:cs="仿宋"/>
                <w:color w:val="auto"/>
                <w:szCs w:val="24"/>
                <w:highlight w:val="none"/>
              </w:rPr>
            </w:pPr>
          </w:p>
        </w:tc>
        <w:tc>
          <w:tcPr>
            <w:tcW w:w="1530" w:type="dxa"/>
            <w:noWrap w:val="0"/>
            <w:vAlign w:val="center"/>
          </w:tcPr>
          <w:p w14:paraId="2AA41D6A">
            <w:pPr>
              <w:spacing w:line="440" w:lineRule="exact"/>
              <w:rPr>
                <w:rFonts w:hint="eastAsia" w:ascii="仿宋" w:hAnsi="仿宋" w:eastAsia="仿宋" w:cs="仿宋"/>
                <w:color w:val="auto"/>
                <w:szCs w:val="24"/>
                <w:highlight w:val="none"/>
              </w:rPr>
            </w:pPr>
          </w:p>
        </w:tc>
        <w:tc>
          <w:tcPr>
            <w:tcW w:w="2066" w:type="dxa"/>
            <w:noWrap w:val="0"/>
            <w:vAlign w:val="center"/>
          </w:tcPr>
          <w:p w14:paraId="2F199C61">
            <w:pPr>
              <w:spacing w:line="440" w:lineRule="exact"/>
              <w:rPr>
                <w:rFonts w:hint="eastAsia" w:ascii="仿宋" w:hAnsi="仿宋" w:eastAsia="仿宋" w:cs="仿宋"/>
                <w:color w:val="auto"/>
                <w:szCs w:val="24"/>
                <w:highlight w:val="none"/>
              </w:rPr>
            </w:pPr>
          </w:p>
        </w:tc>
      </w:tr>
      <w:tr w14:paraId="3C7A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5D49A63">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1698" w:type="dxa"/>
            <w:noWrap w:val="0"/>
            <w:vAlign w:val="center"/>
          </w:tcPr>
          <w:p w14:paraId="14273498">
            <w:pPr>
              <w:spacing w:line="440" w:lineRule="exact"/>
              <w:rPr>
                <w:rFonts w:hint="eastAsia" w:ascii="仿宋" w:hAnsi="仿宋" w:eastAsia="仿宋" w:cs="仿宋"/>
                <w:color w:val="auto"/>
                <w:szCs w:val="24"/>
                <w:highlight w:val="none"/>
              </w:rPr>
            </w:pPr>
          </w:p>
        </w:tc>
        <w:tc>
          <w:tcPr>
            <w:tcW w:w="3132" w:type="dxa"/>
            <w:noWrap w:val="0"/>
            <w:vAlign w:val="center"/>
          </w:tcPr>
          <w:p w14:paraId="1B55A4F8">
            <w:pPr>
              <w:spacing w:line="440" w:lineRule="exact"/>
              <w:rPr>
                <w:rFonts w:hint="eastAsia" w:ascii="仿宋" w:hAnsi="仿宋" w:eastAsia="仿宋" w:cs="仿宋"/>
                <w:color w:val="auto"/>
                <w:szCs w:val="24"/>
                <w:highlight w:val="none"/>
              </w:rPr>
            </w:pPr>
          </w:p>
        </w:tc>
        <w:tc>
          <w:tcPr>
            <w:tcW w:w="1530" w:type="dxa"/>
            <w:noWrap w:val="0"/>
            <w:vAlign w:val="center"/>
          </w:tcPr>
          <w:p w14:paraId="07BDF661">
            <w:pPr>
              <w:spacing w:line="440" w:lineRule="exact"/>
              <w:rPr>
                <w:rFonts w:hint="eastAsia" w:ascii="仿宋" w:hAnsi="仿宋" w:eastAsia="仿宋" w:cs="仿宋"/>
                <w:color w:val="auto"/>
                <w:szCs w:val="24"/>
                <w:highlight w:val="none"/>
              </w:rPr>
            </w:pPr>
          </w:p>
        </w:tc>
        <w:tc>
          <w:tcPr>
            <w:tcW w:w="2066" w:type="dxa"/>
            <w:noWrap w:val="0"/>
            <w:vAlign w:val="center"/>
          </w:tcPr>
          <w:p w14:paraId="6E6B6E2A">
            <w:pPr>
              <w:spacing w:line="440" w:lineRule="exact"/>
              <w:rPr>
                <w:rFonts w:hint="eastAsia" w:ascii="仿宋" w:hAnsi="仿宋" w:eastAsia="仿宋" w:cs="仿宋"/>
                <w:color w:val="auto"/>
                <w:szCs w:val="24"/>
                <w:highlight w:val="none"/>
              </w:rPr>
            </w:pPr>
          </w:p>
        </w:tc>
      </w:tr>
      <w:tr w14:paraId="4147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FFAB3B6">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1698" w:type="dxa"/>
            <w:noWrap w:val="0"/>
            <w:vAlign w:val="center"/>
          </w:tcPr>
          <w:p w14:paraId="59DB7050">
            <w:pPr>
              <w:spacing w:line="440" w:lineRule="exact"/>
              <w:rPr>
                <w:rFonts w:hint="eastAsia" w:ascii="仿宋" w:hAnsi="仿宋" w:eastAsia="仿宋" w:cs="仿宋"/>
                <w:color w:val="auto"/>
                <w:szCs w:val="24"/>
                <w:highlight w:val="none"/>
              </w:rPr>
            </w:pPr>
          </w:p>
        </w:tc>
        <w:tc>
          <w:tcPr>
            <w:tcW w:w="3132" w:type="dxa"/>
            <w:noWrap w:val="0"/>
            <w:vAlign w:val="center"/>
          </w:tcPr>
          <w:p w14:paraId="58F46EBD">
            <w:pPr>
              <w:spacing w:line="440" w:lineRule="exact"/>
              <w:rPr>
                <w:rFonts w:hint="eastAsia" w:ascii="仿宋" w:hAnsi="仿宋" w:eastAsia="仿宋" w:cs="仿宋"/>
                <w:color w:val="auto"/>
                <w:szCs w:val="24"/>
                <w:highlight w:val="none"/>
              </w:rPr>
            </w:pPr>
          </w:p>
        </w:tc>
        <w:tc>
          <w:tcPr>
            <w:tcW w:w="1530" w:type="dxa"/>
            <w:noWrap w:val="0"/>
            <w:vAlign w:val="center"/>
          </w:tcPr>
          <w:p w14:paraId="4BC6B1B4">
            <w:pPr>
              <w:spacing w:line="440" w:lineRule="exact"/>
              <w:rPr>
                <w:rFonts w:hint="eastAsia" w:ascii="仿宋" w:hAnsi="仿宋" w:eastAsia="仿宋" w:cs="仿宋"/>
                <w:color w:val="auto"/>
                <w:szCs w:val="24"/>
                <w:highlight w:val="none"/>
              </w:rPr>
            </w:pPr>
          </w:p>
        </w:tc>
        <w:tc>
          <w:tcPr>
            <w:tcW w:w="2066" w:type="dxa"/>
            <w:noWrap w:val="0"/>
            <w:vAlign w:val="center"/>
          </w:tcPr>
          <w:p w14:paraId="534ADAEA">
            <w:pPr>
              <w:spacing w:line="440" w:lineRule="exact"/>
              <w:rPr>
                <w:rFonts w:hint="eastAsia" w:ascii="仿宋" w:hAnsi="仿宋" w:eastAsia="仿宋" w:cs="仿宋"/>
                <w:color w:val="auto"/>
                <w:szCs w:val="24"/>
                <w:highlight w:val="none"/>
              </w:rPr>
            </w:pPr>
          </w:p>
        </w:tc>
      </w:tr>
    </w:tbl>
    <w:p w14:paraId="0F841881">
      <w:pPr>
        <w:pStyle w:val="25"/>
        <w:widowControl w:val="0"/>
        <w:spacing w:before="0" w:beforeAutospacing="0" w:after="0" w:afterAutospacing="0" w:line="500" w:lineRule="exact"/>
        <w:ind w:firstLine="48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1、本表只填写投标文件中与招标文件第四章采购内容及技术要求有偏离（包括正偏离和负偏离）的内容，投标文件中技术服务响应与招标文件要求完全一致的，不用在此表中列出，但必须提交空白表。</w:t>
      </w:r>
    </w:p>
    <w:p w14:paraId="51810355">
      <w:pPr>
        <w:pStyle w:val="25"/>
        <w:widowControl w:val="0"/>
        <w:spacing w:before="0" w:beforeAutospacing="0" w:after="0" w:afterAutospacing="0"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2、供应商必须据实填写，不得虚假响应，否则将取消其投标或中标资格，并按有关规定进</w:t>
      </w:r>
      <w:r>
        <w:rPr>
          <w:rFonts w:hint="eastAsia" w:ascii="仿宋" w:hAnsi="仿宋" w:eastAsia="仿宋" w:cs="仿宋"/>
          <w:color w:val="auto"/>
          <w:highlight w:val="none"/>
          <w:lang w:val="en-US" w:eastAsia="zh-CN"/>
        </w:rPr>
        <w:t>行</w:t>
      </w:r>
      <w:r>
        <w:rPr>
          <w:rFonts w:hint="eastAsia" w:ascii="仿宋" w:hAnsi="仿宋" w:eastAsia="仿宋" w:cs="仿宋"/>
          <w:color w:val="auto"/>
          <w:highlight w:val="none"/>
        </w:rPr>
        <w:t>处罚。</w:t>
      </w:r>
    </w:p>
    <w:p w14:paraId="500B8A38">
      <w:pPr>
        <w:ind w:left="1" w:firstLine="420" w:firstLineChars="200"/>
        <w:rPr>
          <w:rFonts w:hint="eastAsia" w:ascii="仿宋" w:hAnsi="仿宋" w:eastAsia="仿宋" w:cs="仿宋"/>
          <w:color w:val="auto"/>
          <w:sz w:val="21"/>
          <w:szCs w:val="21"/>
          <w:highlight w:val="none"/>
        </w:rPr>
      </w:pPr>
    </w:p>
    <w:p w14:paraId="74451FDE">
      <w:pPr>
        <w:pStyle w:val="2"/>
        <w:spacing w:line="500" w:lineRule="exact"/>
        <w:rPr>
          <w:rFonts w:hint="eastAsia" w:ascii="仿宋" w:hAnsi="仿宋" w:eastAsia="仿宋" w:cs="仿宋"/>
          <w:color w:val="auto"/>
          <w:sz w:val="28"/>
          <w:szCs w:val="28"/>
          <w:highlight w:val="none"/>
        </w:rPr>
      </w:pPr>
    </w:p>
    <w:p w14:paraId="62D260FE">
      <w:pPr>
        <w:pStyle w:val="2"/>
        <w:spacing w:line="500" w:lineRule="exact"/>
        <w:ind w:firstLine="3600" w:firstLineChars="1500"/>
        <w:rPr>
          <w:rFonts w:hint="eastAsia" w:ascii="仿宋" w:hAnsi="仿宋" w:eastAsia="仿宋" w:cs="仿宋"/>
          <w:color w:val="auto"/>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（加盖公章）</w:t>
      </w:r>
      <w:r>
        <w:rPr>
          <w:rFonts w:hint="eastAsia" w:ascii="仿宋" w:hAnsi="仿宋" w:eastAsia="仿宋" w:cs="仿宋"/>
          <w:color w:val="auto"/>
          <w:highlight w:val="none"/>
        </w:rPr>
        <w:tab/>
      </w:r>
    </w:p>
    <w:p w14:paraId="1C19E756">
      <w:pPr>
        <w:tabs>
          <w:tab w:val="right" w:pos="9070"/>
        </w:tabs>
        <w:spacing w:line="500" w:lineRule="exact"/>
        <w:ind w:firstLine="4800" w:firstLineChars="2000"/>
        <w:rPr>
          <w:rFonts w:hint="eastAsia" w:ascii="仿宋" w:hAnsi="仿宋" w:eastAsia="仿宋" w:cs="仿宋"/>
          <w:color w:val="auto"/>
          <w:highlight w:val="none"/>
        </w:rPr>
      </w:pPr>
      <w:r>
        <w:rPr>
          <w:rFonts w:hint="eastAsia" w:ascii="仿宋" w:hAnsi="仿宋" w:eastAsia="仿宋" w:cs="仿宋"/>
          <w:color w:val="auto"/>
          <w:highlight w:val="none"/>
        </w:rPr>
        <w:t>日期：　年　月　日</w:t>
      </w:r>
      <w:r>
        <w:rPr>
          <w:rFonts w:hint="eastAsia" w:ascii="仿宋" w:hAnsi="仿宋" w:eastAsia="仿宋" w:cs="仿宋"/>
          <w:color w:val="auto"/>
          <w:highlight w:val="none"/>
        </w:rPr>
        <w:tab/>
      </w:r>
    </w:p>
    <w:p w14:paraId="44D951C4">
      <w:pPr>
        <w:tabs>
          <w:tab w:val="right" w:pos="9070"/>
        </w:tabs>
        <w:spacing w:line="500" w:lineRule="exact"/>
        <w:ind w:firstLine="480" w:firstLineChars="200"/>
        <w:rPr>
          <w:rFonts w:hint="eastAsia" w:ascii="仿宋" w:hAnsi="仿宋" w:eastAsia="仿宋" w:cs="仿宋"/>
          <w:color w:val="auto"/>
          <w:highlight w:val="none"/>
        </w:rPr>
      </w:pPr>
    </w:p>
    <w:p w14:paraId="24154A17">
      <w:pPr>
        <w:bidi w:val="0"/>
        <w:rPr>
          <w:rFonts w:hint="eastAsia"/>
          <w:color w:val="auto"/>
          <w:highlight w:val="none"/>
        </w:rPr>
      </w:pPr>
    </w:p>
    <w:p w14:paraId="1EB5EF28">
      <w:pPr>
        <w:bidi w:val="0"/>
        <w:rPr>
          <w:rFonts w:hint="eastAsia"/>
          <w:color w:val="auto"/>
          <w:highlight w:val="none"/>
        </w:rPr>
      </w:pPr>
    </w:p>
    <w:p w14:paraId="1904CE96">
      <w:pPr>
        <w:bidi w:val="0"/>
        <w:rPr>
          <w:rFonts w:hint="eastAsia"/>
          <w:color w:val="auto"/>
          <w:highlight w:val="none"/>
        </w:rPr>
      </w:pPr>
    </w:p>
    <w:p w14:paraId="7BB92940">
      <w:pPr>
        <w:rPr>
          <w:rFonts w:hint="eastAsia"/>
          <w:color w:val="auto"/>
          <w:highlight w:val="none"/>
        </w:rPr>
      </w:pPr>
      <w:r>
        <w:rPr>
          <w:rFonts w:hint="eastAsia"/>
          <w:color w:val="auto"/>
          <w:highlight w:val="none"/>
        </w:rPr>
        <w:br w:type="page"/>
      </w:r>
    </w:p>
    <w:p w14:paraId="2636552C">
      <w:pPr>
        <w:widowControl w:val="0"/>
        <w:spacing w:after="166" w:line="360" w:lineRule="auto"/>
        <w:jc w:val="left"/>
        <w:outlineLvl w:val="2"/>
        <w:rPr>
          <w:rStyle w:val="37"/>
          <w:rFonts w:ascii="仿宋" w:hAnsi="仿宋" w:eastAsia="仿宋" w:cs="仿宋"/>
          <w:b/>
          <w:bCs/>
          <w:color w:val="auto"/>
          <w:sz w:val="32"/>
          <w:szCs w:val="32"/>
          <w:highlight w:val="none"/>
        </w:rPr>
      </w:pPr>
      <w:r>
        <w:rPr>
          <w:rStyle w:val="37"/>
          <w:rFonts w:hint="eastAsia" w:ascii="仿宋" w:hAnsi="仿宋" w:eastAsia="仿宋" w:cs="仿宋"/>
          <w:b/>
          <w:bCs/>
          <w:color w:val="auto"/>
          <w:sz w:val="32"/>
          <w:szCs w:val="32"/>
          <w:highlight w:val="none"/>
          <w:lang w:val="en-US" w:eastAsia="zh-CN"/>
        </w:rPr>
        <w:t>五、</w:t>
      </w:r>
      <w:r>
        <w:rPr>
          <w:rStyle w:val="37"/>
          <w:rFonts w:hint="eastAsia" w:ascii="仿宋" w:hAnsi="仿宋" w:eastAsia="仿宋" w:cs="仿宋"/>
          <w:b/>
          <w:bCs/>
          <w:color w:val="auto"/>
          <w:sz w:val="32"/>
          <w:szCs w:val="32"/>
          <w:highlight w:val="none"/>
        </w:rPr>
        <w:t>合同条款偏离表</w:t>
      </w:r>
    </w:p>
    <w:tbl>
      <w:tblPr>
        <w:tblStyle w:val="30"/>
        <w:tblW w:w="91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1935"/>
        <w:gridCol w:w="1995"/>
        <w:gridCol w:w="2085"/>
        <w:gridCol w:w="1260"/>
        <w:gridCol w:w="944"/>
      </w:tblGrid>
      <w:tr w14:paraId="134C5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882" w:type="dxa"/>
            <w:tcBorders>
              <w:top w:val="single" w:color="000000" w:sz="4" w:space="0"/>
              <w:left w:val="single" w:color="000000" w:sz="4" w:space="0"/>
              <w:bottom w:val="single" w:color="000000" w:sz="4" w:space="0"/>
              <w:right w:val="single" w:color="000000" w:sz="4" w:space="0"/>
            </w:tcBorders>
            <w:vAlign w:val="center"/>
          </w:tcPr>
          <w:p w14:paraId="191BB2D9">
            <w:pPr>
              <w:pStyle w:val="98"/>
              <w:widowControl w:val="0"/>
              <w:spacing w:before="0" w:after="0"/>
              <w:jc w:val="center"/>
              <w:rPr>
                <w:rStyle w:val="37"/>
                <w:rFonts w:ascii="仿宋" w:hAnsi="仿宋" w:eastAsia="仿宋" w:cs="仿宋"/>
                <w:color w:val="auto"/>
                <w:highlight w:val="none"/>
              </w:rPr>
            </w:pPr>
            <w:r>
              <w:rPr>
                <w:rStyle w:val="37"/>
                <w:rFonts w:hint="eastAsia" w:ascii="仿宋" w:hAnsi="仿宋" w:eastAsia="仿宋" w:cs="仿宋"/>
                <w:color w:val="auto"/>
                <w:highlight w:val="none"/>
              </w:rPr>
              <w:t>序号</w:t>
            </w:r>
          </w:p>
        </w:tc>
        <w:tc>
          <w:tcPr>
            <w:tcW w:w="1935" w:type="dxa"/>
            <w:tcBorders>
              <w:top w:val="single" w:color="000000" w:sz="4" w:space="0"/>
              <w:left w:val="single" w:color="000000" w:sz="4" w:space="0"/>
              <w:bottom w:val="single" w:color="000000" w:sz="4" w:space="0"/>
              <w:right w:val="single" w:color="000000" w:sz="4" w:space="0"/>
            </w:tcBorders>
            <w:vAlign w:val="center"/>
          </w:tcPr>
          <w:p w14:paraId="71BE3C17">
            <w:pPr>
              <w:pStyle w:val="98"/>
              <w:widowControl w:val="0"/>
              <w:spacing w:before="0" w:after="0"/>
              <w:jc w:val="center"/>
              <w:rPr>
                <w:rStyle w:val="37"/>
                <w:rFonts w:ascii="仿宋" w:hAnsi="仿宋" w:eastAsia="仿宋" w:cs="仿宋"/>
                <w:color w:val="auto"/>
                <w:highlight w:val="none"/>
              </w:rPr>
            </w:pPr>
            <w:r>
              <w:rPr>
                <w:rStyle w:val="37"/>
                <w:rFonts w:hint="eastAsia" w:ascii="仿宋" w:hAnsi="仿宋" w:eastAsia="仿宋" w:cs="仿宋"/>
                <w:color w:val="auto"/>
                <w:highlight w:val="none"/>
              </w:rPr>
              <w:t>招标文件条目号</w:t>
            </w:r>
          </w:p>
        </w:tc>
        <w:tc>
          <w:tcPr>
            <w:tcW w:w="1995" w:type="dxa"/>
            <w:tcBorders>
              <w:top w:val="single" w:color="000000" w:sz="4" w:space="0"/>
              <w:left w:val="single" w:color="000000" w:sz="4" w:space="0"/>
              <w:bottom w:val="single" w:color="000000" w:sz="4" w:space="0"/>
              <w:right w:val="single" w:color="000000" w:sz="4" w:space="0"/>
            </w:tcBorders>
            <w:vAlign w:val="center"/>
          </w:tcPr>
          <w:p w14:paraId="13F9D8B4">
            <w:pPr>
              <w:pStyle w:val="98"/>
              <w:widowControl w:val="0"/>
              <w:spacing w:before="0" w:after="0"/>
              <w:jc w:val="center"/>
              <w:rPr>
                <w:rStyle w:val="37"/>
                <w:rFonts w:ascii="仿宋" w:hAnsi="仿宋" w:eastAsia="仿宋" w:cs="仿宋"/>
                <w:color w:val="auto"/>
                <w:highlight w:val="none"/>
              </w:rPr>
            </w:pPr>
            <w:r>
              <w:rPr>
                <w:rStyle w:val="37"/>
                <w:rFonts w:hint="eastAsia" w:ascii="仿宋" w:hAnsi="仿宋" w:eastAsia="仿宋" w:cs="仿宋"/>
                <w:color w:val="auto"/>
                <w:highlight w:val="none"/>
              </w:rPr>
              <w:t>招标文件的商务条款</w:t>
            </w:r>
          </w:p>
        </w:tc>
        <w:tc>
          <w:tcPr>
            <w:tcW w:w="2085" w:type="dxa"/>
            <w:tcBorders>
              <w:top w:val="single" w:color="000000" w:sz="4" w:space="0"/>
              <w:left w:val="single" w:color="000000" w:sz="4" w:space="0"/>
              <w:bottom w:val="single" w:color="000000" w:sz="4" w:space="0"/>
              <w:right w:val="single" w:color="000000" w:sz="4" w:space="0"/>
            </w:tcBorders>
            <w:vAlign w:val="center"/>
          </w:tcPr>
          <w:p w14:paraId="6B7A80CE">
            <w:pPr>
              <w:pStyle w:val="98"/>
              <w:widowControl w:val="0"/>
              <w:spacing w:before="0" w:after="0"/>
              <w:jc w:val="center"/>
              <w:rPr>
                <w:rStyle w:val="37"/>
                <w:rFonts w:ascii="仿宋" w:hAnsi="仿宋" w:eastAsia="仿宋" w:cs="仿宋"/>
                <w:color w:val="auto"/>
                <w:highlight w:val="none"/>
              </w:rPr>
            </w:pPr>
            <w:r>
              <w:rPr>
                <w:rStyle w:val="37"/>
                <w:rFonts w:hint="eastAsia" w:ascii="仿宋" w:hAnsi="仿宋" w:eastAsia="仿宋" w:cs="仿宋"/>
                <w:color w:val="auto"/>
                <w:highlight w:val="none"/>
              </w:rPr>
              <w:t>投标文件的商务条款</w:t>
            </w:r>
          </w:p>
        </w:tc>
        <w:tc>
          <w:tcPr>
            <w:tcW w:w="1260" w:type="dxa"/>
            <w:tcBorders>
              <w:top w:val="single" w:color="000000" w:sz="4" w:space="0"/>
              <w:left w:val="single" w:color="000000" w:sz="4" w:space="0"/>
              <w:bottom w:val="single" w:color="000000" w:sz="4" w:space="0"/>
              <w:right w:val="single" w:color="000000" w:sz="4" w:space="0"/>
            </w:tcBorders>
            <w:vAlign w:val="center"/>
          </w:tcPr>
          <w:p w14:paraId="60662B4B">
            <w:pPr>
              <w:pStyle w:val="98"/>
              <w:widowControl w:val="0"/>
              <w:spacing w:before="0" w:after="0"/>
              <w:jc w:val="center"/>
              <w:rPr>
                <w:rStyle w:val="37"/>
                <w:rFonts w:ascii="仿宋" w:hAnsi="仿宋" w:eastAsia="仿宋" w:cs="仿宋"/>
                <w:color w:val="auto"/>
                <w:highlight w:val="none"/>
              </w:rPr>
            </w:pPr>
            <w:r>
              <w:rPr>
                <w:rStyle w:val="37"/>
                <w:rFonts w:hint="eastAsia" w:ascii="仿宋" w:hAnsi="仿宋" w:eastAsia="仿宋" w:cs="仿宋"/>
                <w:color w:val="auto"/>
                <w:highlight w:val="none"/>
              </w:rPr>
              <w:t>偏离</w:t>
            </w:r>
          </w:p>
        </w:tc>
        <w:tc>
          <w:tcPr>
            <w:tcW w:w="944" w:type="dxa"/>
            <w:tcBorders>
              <w:top w:val="single" w:color="000000" w:sz="4" w:space="0"/>
              <w:left w:val="single" w:color="000000" w:sz="4" w:space="0"/>
              <w:bottom w:val="single" w:color="000000" w:sz="4" w:space="0"/>
              <w:right w:val="single" w:color="000000" w:sz="4" w:space="0"/>
            </w:tcBorders>
            <w:vAlign w:val="center"/>
          </w:tcPr>
          <w:p w14:paraId="048DC7EE">
            <w:pPr>
              <w:pStyle w:val="98"/>
              <w:widowControl w:val="0"/>
              <w:spacing w:before="0" w:after="0"/>
              <w:jc w:val="center"/>
              <w:rPr>
                <w:rStyle w:val="37"/>
                <w:rFonts w:ascii="仿宋" w:hAnsi="仿宋" w:eastAsia="仿宋" w:cs="仿宋"/>
                <w:color w:val="auto"/>
                <w:highlight w:val="none"/>
              </w:rPr>
            </w:pPr>
            <w:r>
              <w:rPr>
                <w:rStyle w:val="37"/>
                <w:rFonts w:hint="eastAsia" w:ascii="仿宋" w:hAnsi="仿宋" w:eastAsia="仿宋" w:cs="仿宋"/>
                <w:color w:val="auto"/>
                <w:highlight w:val="none"/>
              </w:rPr>
              <w:t>说明</w:t>
            </w:r>
          </w:p>
        </w:tc>
      </w:tr>
      <w:tr w14:paraId="67680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882" w:type="dxa"/>
            <w:tcBorders>
              <w:top w:val="single" w:color="000000" w:sz="4" w:space="0"/>
              <w:left w:val="single" w:color="000000" w:sz="4" w:space="0"/>
              <w:bottom w:val="single" w:color="000000" w:sz="4" w:space="0"/>
              <w:right w:val="single" w:color="000000" w:sz="4" w:space="0"/>
            </w:tcBorders>
            <w:vAlign w:val="center"/>
          </w:tcPr>
          <w:p w14:paraId="0AFB94EE">
            <w:pPr>
              <w:pStyle w:val="98"/>
              <w:widowControl w:val="0"/>
              <w:spacing w:before="0" w:after="0"/>
              <w:ind w:firstLine="480" w:firstLineChars="200"/>
              <w:jc w:val="center"/>
              <w:rPr>
                <w:rStyle w:val="37"/>
                <w:rFonts w:ascii="仿宋" w:hAnsi="仿宋" w:eastAsia="仿宋" w:cs="仿宋"/>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337C5D72">
            <w:pPr>
              <w:pStyle w:val="98"/>
              <w:widowControl w:val="0"/>
              <w:spacing w:before="0" w:after="0"/>
              <w:ind w:firstLine="480" w:firstLineChars="200"/>
              <w:jc w:val="center"/>
              <w:rPr>
                <w:rStyle w:val="37"/>
                <w:rFonts w:ascii="仿宋" w:hAnsi="仿宋" w:eastAsia="仿宋" w:cs="仿宋"/>
                <w:color w:val="auto"/>
                <w:highlight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14:paraId="416A6ABF">
            <w:pPr>
              <w:pStyle w:val="98"/>
              <w:widowControl w:val="0"/>
              <w:spacing w:before="0" w:after="0"/>
              <w:ind w:firstLine="480" w:firstLineChars="200"/>
              <w:jc w:val="center"/>
              <w:rPr>
                <w:rStyle w:val="37"/>
                <w:rFonts w:ascii="仿宋" w:hAnsi="仿宋" w:eastAsia="仿宋" w:cs="仿宋"/>
                <w:color w:val="auto"/>
                <w:highlight w:val="none"/>
              </w:rPr>
            </w:pPr>
          </w:p>
        </w:tc>
        <w:tc>
          <w:tcPr>
            <w:tcW w:w="2085" w:type="dxa"/>
            <w:tcBorders>
              <w:top w:val="single" w:color="000000" w:sz="4" w:space="0"/>
              <w:left w:val="single" w:color="000000" w:sz="4" w:space="0"/>
              <w:bottom w:val="single" w:color="000000" w:sz="4" w:space="0"/>
              <w:right w:val="single" w:color="000000" w:sz="4" w:space="0"/>
            </w:tcBorders>
            <w:vAlign w:val="center"/>
          </w:tcPr>
          <w:p w14:paraId="142080E9">
            <w:pPr>
              <w:pStyle w:val="98"/>
              <w:widowControl w:val="0"/>
              <w:spacing w:before="0" w:after="0"/>
              <w:ind w:firstLine="480" w:firstLineChars="200"/>
              <w:jc w:val="center"/>
              <w:rPr>
                <w:rStyle w:val="37"/>
                <w:rFonts w:ascii="仿宋" w:hAnsi="仿宋" w:eastAsia="仿宋" w:cs="仿宋"/>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B9A6108">
            <w:pPr>
              <w:pStyle w:val="98"/>
              <w:widowControl w:val="0"/>
              <w:spacing w:before="0" w:after="0"/>
              <w:ind w:firstLine="480" w:firstLineChars="200"/>
              <w:jc w:val="center"/>
              <w:rPr>
                <w:rStyle w:val="37"/>
                <w:rFonts w:ascii="仿宋" w:hAnsi="仿宋" w:eastAsia="仿宋" w:cs="仿宋"/>
                <w:color w:val="auto"/>
                <w:highlight w:val="none"/>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775F950">
            <w:pPr>
              <w:pStyle w:val="98"/>
              <w:widowControl w:val="0"/>
              <w:spacing w:before="0" w:after="0"/>
              <w:ind w:firstLine="480" w:firstLineChars="200"/>
              <w:jc w:val="center"/>
              <w:rPr>
                <w:rStyle w:val="37"/>
                <w:rFonts w:ascii="仿宋" w:hAnsi="仿宋" w:eastAsia="仿宋" w:cs="仿宋"/>
                <w:color w:val="auto"/>
                <w:highlight w:val="none"/>
              </w:rPr>
            </w:pPr>
          </w:p>
        </w:tc>
      </w:tr>
      <w:tr w14:paraId="197DB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882" w:type="dxa"/>
            <w:tcBorders>
              <w:top w:val="single" w:color="000000" w:sz="4" w:space="0"/>
              <w:left w:val="single" w:color="000000" w:sz="4" w:space="0"/>
              <w:bottom w:val="single" w:color="000000" w:sz="4" w:space="0"/>
              <w:right w:val="single" w:color="000000" w:sz="4" w:space="0"/>
            </w:tcBorders>
            <w:vAlign w:val="center"/>
          </w:tcPr>
          <w:p w14:paraId="4C6B1822">
            <w:pPr>
              <w:pStyle w:val="98"/>
              <w:widowControl w:val="0"/>
              <w:spacing w:before="0" w:after="0"/>
              <w:ind w:firstLine="480" w:firstLineChars="200"/>
              <w:jc w:val="center"/>
              <w:rPr>
                <w:rStyle w:val="37"/>
                <w:rFonts w:ascii="仿宋" w:hAnsi="仿宋" w:eastAsia="仿宋" w:cs="仿宋"/>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4EC1FF98">
            <w:pPr>
              <w:pStyle w:val="98"/>
              <w:widowControl w:val="0"/>
              <w:spacing w:before="0" w:after="0"/>
              <w:ind w:firstLine="480" w:firstLineChars="200"/>
              <w:jc w:val="center"/>
              <w:rPr>
                <w:rStyle w:val="37"/>
                <w:rFonts w:ascii="仿宋" w:hAnsi="仿宋" w:eastAsia="仿宋" w:cs="仿宋"/>
                <w:color w:val="auto"/>
                <w:highlight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14:paraId="62161850">
            <w:pPr>
              <w:pStyle w:val="98"/>
              <w:widowControl w:val="0"/>
              <w:spacing w:before="0" w:after="0"/>
              <w:ind w:firstLine="480" w:firstLineChars="200"/>
              <w:jc w:val="center"/>
              <w:rPr>
                <w:rStyle w:val="37"/>
                <w:rFonts w:ascii="仿宋" w:hAnsi="仿宋" w:eastAsia="仿宋" w:cs="仿宋"/>
                <w:color w:val="auto"/>
                <w:highlight w:val="none"/>
              </w:rPr>
            </w:pPr>
          </w:p>
        </w:tc>
        <w:tc>
          <w:tcPr>
            <w:tcW w:w="2085" w:type="dxa"/>
            <w:tcBorders>
              <w:top w:val="single" w:color="000000" w:sz="4" w:space="0"/>
              <w:left w:val="single" w:color="000000" w:sz="4" w:space="0"/>
              <w:bottom w:val="single" w:color="000000" w:sz="4" w:space="0"/>
              <w:right w:val="single" w:color="000000" w:sz="4" w:space="0"/>
            </w:tcBorders>
            <w:vAlign w:val="center"/>
          </w:tcPr>
          <w:p w14:paraId="0EA3BB04">
            <w:pPr>
              <w:pStyle w:val="98"/>
              <w:widowControl w:val="0"/>
              <w:spacing w:before="0" w:after="0"/>
              <w:ind w:firstLine="480" w:firstLineChars="200"/>
              <w:jc w:val="center"/>
              <w:rPr>
                <w:rStyle w:val="37"/>
                <w:rFonts w:ascii="仿宋" w:hAnsi="仿宋" w:eastAsia="仿宋" w:cs="仿宋"/>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4E111DD">
            <w:pPr>
              <w:pStyle w:val="98"/>
              <w:widowControl w:val="0"/>
              <w:spacing w:before="0" w:after="0"/>
              <w:ind w:firstLine="480" w:firstLineChars="200"/>
              <w:jc w:val="center"/>
              <w:rPr>
                <w:rStyle w:val="37"/>
                <w:rFonts w:ascii="仿宋" w:hAnsi="仿宋" w:eastAsia="仿宋" w:cs="仿宋"/>
                <w:color w:val="auto"/>
                <w:highlight w:val="none"/>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5FB27EE1">
            <w:pPr>
              <w:pStyle w:val="98"/>
              <w:widowControl w:val="0"/>
              <w:spacing w:before="0" w:after="0"/>
              <w:ind w:firstLine="480" w:firstLineChars="200"/>
              <w:jc w:val="center"/>
              <w:rPr>
                <w:rStyle w:val="37"/>
                <w:rFonts w:ascii="仿宋" w:hAnsi="仿宋" w:eastAsia="仿宋" w:cs="仿宋"/>
                <w:color w:val="auto"/>
                <w:highlight w:val="none"/>
              </w:rPr>
            </w:pPr>
          </w:p>
        </w:tc>
      </w:tr>
      <w:tr w14:paraId="217A0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882" w:type="dxa"/>
            <w:tcBorders>
              <w:top w:val="single" w:color="000000" w:sz="4" w:space="0"/>
              <w:left w:val="single" w:color="000000" w:sz="4" w:space="0"/>
              <w:bottom w:val="single" w:color="000000" w:sz="4" w:space="0"/>
              <w:right w:val="single" w:color="000000" w:sz="4" w:space="0"/>
            </w:tcBorders>
            <w:vAlign w:val="center"/>
          </w:tcPr>
          <w:p w14:paraId="675F3FB3">
            <w:pPr>
              <w:pStyle w:val="98"/>
              <w:widowControl w:val="0"/>
              <w:spacing w:before="0" w:after="0"/>
              <w:ind w:firstLine="480" w:firstLineChars="200"/>
              <w:jc w:val="center"/>
              <w:rPr>
                <w:rStyle w:val="37"/>
                <w:rFonts w:ascii="仿宋" w:hAnsi="仿宋" w:eastAsia="仿宋" w:cs="仿宋"/>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75F7C3D6">
            <w:pPr>
              <w:pStyle w:val="98"/>
              <w:widowControl w:val="0"/>
              <w:spacing w:before="0" w:after="0"/>
              <w:ind w:firstLine="480" w:firstLineChars="200"/>
              <w:jc w:val="center"/>
              <w:rPr>
                <w:rStyle w:val="37"/>
                <w:rFonts w:ascii="仿宋" w:hAnsi="仿宋" w:eastAsia="仿宋" w:cs="仿宋"/>
                <w:color w:val="auto"/>
                <w:highlight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14:paraId="0CBBBFEF">
            <w:pPr>
              <w:pStyle w:val="98"/>
              <w:widowControl w:val="0"/>
              <w:spacing w:before="0" w:after="0"/>
              <w:ind w:firstLine="480" w:firstLineChars="200"/>
              <w:jc w:val="center"/>
              <w:rPr>
                <w:rStyle w:val="37"/>
                <w:rFonts w:ascii="仿宋" w:hAnsi="仿宋" w:eastAsia="仿宋" w:cs="仿宋"/>
                <w:color w:val="auto"/>
                <w:highlight w:val="none"/>
              </w:rPr>
            </w:pPr>
          </w:p>
        </w:tc>
        <w:tc>
          <w:tcPr>
            <w:tcW w:w="2085" w:type="dxa"/>
            <w:tcBorders>
              <w:top w:val="single" w:color="000000" w:sz="4" w:space="0"/>
              <w:left w:val="single" w:color="000000" w:sz="4" w:space="0"/>
              <w:bottom w:val="single" w:color="000000" w:sz="4" w:space="0"/>
              <w:right w:val="single" w:color="000000" w:sz="4" w:space="0"/>
            </w:tcBorders>
            <w:vAlign w:val="center"/>
          </w:tcPr>
          <w:p w14:paraId="270E6D30">
            <w:pPr>
              <w:pStyle w:val="98"/>
              <w:widowControl w:val="0"/>
              <w:spacing w:before="0" w:after="0"/>
              <w:ind w:firstLine="480" w:firstLineChars="200"/>
              <w:jc w:val="center"/>
              <w:rPr>
                <w:rStyle w:val="37"/>
                <w:rFonts w:ascii="仿宋" w:hAnsi="仿宋" w:eastAsia="仿宋" w:cs="仿宋"/>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6F7A48B">
            <w:pPr>
              <w:pStyle w:val="98"/>
              <w:widowControl w:val="0"/>
              <w:spacing w:before="0" w:after="0"/>
              <w:ind w:firstLine="480" w:firstLineChars="200"/>
              <w:jc w:val="center"/>
              <w:rPr>
                <w:rStyle w:val="37"/>
                <w:rFonts w:ascii="仿宋" w:hAnsi="仿宋" w:eastAsia="仿宋" w:cs="仿宋"/>
                <w:color w:val="auto"/>
                <w:highlight w:val="none"/>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09F966A5">
            <w:pPr>
              <w:pStyle w:val="98"/>
              <w:widowControl w:val="0"/>
              <w:spacing w:before="0" w:after="0"/>
              <w:ind w:firstLine="480" w:firstLineChars="200"/>
              <w:jc w:val="center"/>
              <w:rPr>
                <w:rStyle w:val="37"/>
                <w:rFonts w:ascii="仿宋" w:hAnsi="仿宋" w:eastAsia="仿宋" w:cs="仿宋"/>
                <w:color w:val="auto"/>
                <w:highlight w:val="none"/>
              </w:rPr>
            </w:pPr>
          </w:p>
        </w:tc>
      </w:tr>
      <w:tr w14:paraId="20AEA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882" w:type="dxa"/>
            <w:tcBorders>
              <w:top w:val="single" w:color="000000" w:sz="4" w:space="0"/>
              <w:left w:val="single" w:color="000000" w:sz="4" w:space="0"/>
              <w:bottom w:val="single" w:color="000000" w:sz="4" w:space="0"/>
              <w:right w:val="single" w:color="000000" w:sz="4" w:space="0"/>
            </w:tcBorders>
            <w:vAlign w:val="center"/>
          </w:tcPr>
          <w:p w14:paraId="4A6B8EFD">
            <w:pPr>
              <w:pStyle w:val="98"/>
              <w:widowControl w:val="0"/>
              <w:spacing w:before="0" w:after="0"/>
              <w:ind w:firstLine="480" w:firstLineChars="200"/>
              <w:jc w:val="center"/>
              <w:rPr>
                <w:rStyle w:val="37"/>
                <w:rFonts w:ascii="仿宋" w:hAnsi="仿宋" w:eastAsia="仿宋" w:cs="仿宋"/>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3CF0E70">
            <w:pPr>
              <w:pStyle w:val="98"/>
              <w:widowControl w:val="0"/>
              <w:spacing w:before="0" w:after="0"/>
              <w:ind w:firstLine="480" w:firstLineChars="200"/>
              <w:jc w:val="center"/>
              <w:rPr>
                <w:rStyle w:val="37"/>
                <w:rFonts w:ascii="仿宋" w:hAnsi="仿宋" w:eastAsia="仿宋" w:cs="仿宋"/>
                <w:color w:val="auto"/>
                <w:highlight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14:paraId="68C26565">
            <w:pPr>
              <w:pStyle w:val="98"/>
              <w:widowControl w:val="0"/>
              <w:spacing w:before="0" w:after="0"/>
              <w:ind w:firstLine="480" w:firstLineChars="200"/>
              <w:jc w:val="center"/>
              <w:rPr>
                <w:rStyle w:val="37"/>
                <w:rFonts w:ascii="仿宋" w:hAnsi="仿宋" w:eastAsia="仿宋" w:cs="仿宋"/>
                <w:color w:val="auto"/>
                <w:highlight w:val="none"/>
              </w:rPr>
            </w:pPr>
          </w:p>
        </w:tc>
        <w:tc>
          <w:tcPr>
            <w:tcW w:w="2085" w:type="dxa"/>
            <w:tcBorders>
              <w:top w:val="single" w:color="000000" w:sz="4" w:space="0"/>
              <w:left w:val="single" w:color="000000" w:sz="4" w:space="0"/>
              <w:bottom w:val="single" w:color="000000" w:sz="4" w:space="0"/>
              <w:right w:val="single" w:color="000000" w:sz="4" w:space="0"/>
            </w:tcBorders>
            <w:vAlign w:val="center"/>
          </w:tcPr>
          <w:p w14:paraId="277B8D03">
            <w:pPr>
              <w:pStyle w:val="98"/>
              <w:widowControl w:val="0"/>
              <w:spacing w:before="0" w:after="0"/>
              <w:ind w:firstLine="480" w:firstLineChars="200"/>
              <w:jc w:val="center"/>
              <w:rPr>
                <w:rStyle w:val="37"/>
                <w:rFonts w:ascii="仿宋" w:hAnsi="仿宋" w:eastAsia="仿宋" w:cs="仿宋"/>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6F81E0BE">
            <w:pPr>
              <w:pStyle w:val="98"/>
              <w:widowControl w:val="0"/>
              <w:spacing w:before="0" w:after="0"/>
              <w:ind w:firstLine="480" w:firstLineChars="200"/>
              <w:jc w:val="center"/>
              <w:rPr>
                <w:rStyle w:val="37"/>
                <w:rFonts w:ascii="仿宋" w:hAnsi="仿宋" w:eastAsia="仿宋" w:cs="仿宋"/>
                <w:color w:val="auto"/>
                <w:highlight w:val="none"/>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7A4E6BC">
            <w:pPr>
              <w:pStyle w:val="98"/>
              <w:widowControl w:val="0"/>
              <w:spacing w:before="0" w:after="0"/>
              <w:ind w:firstLine="480" w:firstLineChars="200"/>
              <w:jc w:val="center"/>
              <w:rPr>
                <w:rStyle w:val="37"/>
                <w:rFonts w:ascii="仿宋" w:hAnsi="仿宋" w:eastAsia="仿宋" w:cs="仿宋"/>
                <w:color w:val="auto"/>
                <w:highlight w:val="none"/>
              </w:rPr>
            </w:pPr>
          </w:p>
        </w:tc>
      </w:tr>
      <w:tr w14:paraId="11C95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882" w:type="dxa"/>
            <w:tcBorders>
              <w:top w:val="single" w:color="000000" w:sz="4" w:space="0"/>
              <w:left w:val="single" w:color="000000" w:sz="4" w:space="0"/>
              <w:bottom w:val="single" w:color="000000" w:sz="4" w:space="0"/>
              <w:right w:val="single" w:color="000000" w:sz="4" w:space="0"/>
            </w:tcBorders>
            <w:vAlign w:val="center"/>
          </w:tcPr>
          <w:p w14:paraId="39343E5E">
            <w:pPr>
              <w:pStyle w:val="98"/>
              <w:widowControl w:val="0"/>
              <w:spacing w:before="0" w:after="0"/>
              <w:ind w:firstLine="480" w:firstLineChars="200"/>
              <w:jc w:val="center"/>
              <w:rPr>
                <w:rStyle w:val="37"/>
                <w:rFonts w:ascii="仿宋" w:hAnsi="仿宋" w:eastAsia="仿宋" w:cs="仿宋"/>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0C397630">
            <w:pPr>
              <w:pStyle w:val="98"/>
              <w:widowControl w:val="0"/>
              <w:spacing w:before="0" w:after="0"/>
              <w:ind w:firstLine="480" w:firstLineChars="200"/>
              <w:jc w:val="center"/>
              <w:rPr>
                <w:rStyle w:val="37"/>
                <w:rFonts w:ascii="仿宋" w:hAnsi="仿宋" w:eastAsia="仿宋" w:cs="仿宋"/>
                <w:color w:val="auto"/>
                <w:highlight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14:paraId="015BF156">
            <w:pPr>
              <w:pStyle w:val="98"/>
              <w:widowControl w:val="0"/>
              <w:spacing w:before="0" w:after="0"/>
              <w:ind w:firstLine="480" w:firstLineChars="200"/>
              <w:jc w:val="center"/>
              <w:rPr>
                <w:rStyle w:val="37"/>
                <w:rFonts w:ascii="仿宋" w:hAnsi="仿宋" w:eastAsia="仿宋" w:cs="仿宋"/>
                <w:color w:val="auto"/>
                <w:highlight w:val="none"/>
              </w:rPr>
            </w:pPr>
          </w:p>
        </w:tc>
        <w:tc>
          <w:tcPr>
            <w:tcW w:w="2085" w:type="dxa"/>
            <w:tcBorders>
              <w:top w:val="single" w:color="000000" w:sz="4" w:space="0"/>
              <w:left w:val="single" w:color="000000" w:sz="4" w:space="0"/>
              <w:bottom w:val="single" w:color="000000" w:sz="4" w:space="0"/>
              <w:right w:val="single" w:color="000000" w:sz="4" w:space="0"/>
            </w:tcBorders>
            <w:vAlign w:val="center"/>
          </w:tcPr>
          <w:p w14:paraId="29B802D6">
            <w:pPr>
              <w:pStyle w:val="98"/>
              <w:widowControl w:val="0"/>
              <w:spacing w:before="0" w:after="0"/>
              <w:ind w:firstLine="480" w:firstLineChars="200"/>
              <w:jc w:val="center"/>
              <w:rPr>
                <w:rStyle w:val="37"/>
                <w:rFonts w:ascii="仿宋" w:hAnsi="仿宋" w:eastAsia="仿宋" w:cs="仿宋"/>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67599F5">
            <w:pPr>
              <w:pStyle w:val="98"/>
              <w:widowControl w:val="0"/>
              <w:spacing w:before="0" w:after="0"/>
              <w:ind w:firstLine="480" w:firstLineChars="200"/>
              <w:jc w:val="center"/>
              <w:rPr>
                <w:rStyle w:val="37"/>
                <w:rFonts w:ascii="仿宋" w:hAnsi="仿宋" w:eastAsia="仿宋" w:cs="仿宋"/>
                <w:color w:val="auto"/>
                <w:highlight w:val="none"/>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51C9C7D">
            <w:pPr>
              <w:pStyle w:val="98"/>
              <w:widowControl w:val="0"/>
              <w:spacing w:before="0" w:after="0"/>
              <w:ind w:firstLine="480" w:firstLineChars="200"/>
              <w:jc w:val="center"/>
              <w:rPr>
                <w:rStyle w:val="37"/>
                <w:rFonts w:ascii="仿宋" w:hAnsi="仿宋" w:eastAsia="仿宋" w:cs="仿宋"/>
                <w:color w:val="auto"/>
                <w:highlight w:val="none"/>
              </w:rPr>
            </w:pPr>
          </w:p>
        </w:tc>
      </w:tr>
      <w:tr w14:paraId="551CF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882" w:type="dxa"/>
            <w:tcBorders>
              <w:top w:val="single" w:color="000000" w:sz="4" w:space="0"/>
              <w:left w:val="single" w:color="000000" w:sz="4" w:space="0"/>
              <w:bottom w:val="single" w:color="000000" w:sz="4" w:space="0"/>
              <w:right w:val="single" w:color="000000" w:sz="4" w:space="0"/>
            </w:tcBorders>
            <w:vAlign w:val="center"/>
          </w:tcPr>
          <w:p w14:paraId="7DAA1378">
            <w:pPr>
              <w:pStyle w:val="98"/>
              <w:widowControl w:val="0"/>
              <w:spacing w:before="0" w:after="0"/>
              <w:ind w:firstLine="480" w:firstLineChars="200"/>
              <w:jc w:val="center"/>
              <w:rPr>
                <w:rStyle w:val="37"/>
                <w:rFonts w:ascii="仿宋" w:hAnsi="仿宋" w:eastAsia="仿宋" w:cs="仿宋"/>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767C1138">
            <w:pPr>
              <w:pStyle w:val="98"/>
              <w:widowControl w:val="0"/>
              <w:spacing w:before="0" w:after="0"/>
              <w:ind w:firstLine="480" w:firstLineChars="200"/>
              <w:jc w:val="center"/>
              <w:rPr>
                <w:rStyle w:val="37"/>
                <w:rFonts w:ascii="仿宋" w:hAnsi="仿宋" w:eastAsia="仿宋" w:cs="仿宋"/>
                <w:color w:val="auto"/>
                <w:highlight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14:paraId="717B0FE5">
            <w:pPr>
              <w:pStyle w:val="98"/>
              <w:widowControl w:val="0"/>
              <w:spacing w:before="0" w:after="0"/>
              <w:ind w:firstLine="480" w:firstLineChars="200"/>
              <w:jc w:val="center"/>
              <w:rPr>
                <w:rStyle w:val="37"/>
                <w:rFonts w:ascii="仿宋" w:hAnsi="仿宋" w:eastAsia="仿宋" w:cs="仿宋"/>
                <w:color w:val="auto"/>
                <w:highlight w:val="none"/>
              </w:rPr>
            </w:pPr>
          </w:p>
        </w:tc>
        <w:tc>
          <w:tcPr>
            <w:tcW w:w="2085" w:type="dxa"/>
            <w:tcBorders>
              <w:top w:val="single" w:color="000000" w:sz="4" w:space="0"/>
              <w:left w:val="single" w:color="000000" w:sz="4" w:space="0"/>
              <w:bottom w:val="single" w:color="000000" w:sz="4" w:space="0"/>
              <w:right w:val="single" w:color="000000" w:sz="4" w:space="0"/>
            </w:tcBorders>
            <w:vAlign w:val="center"/>
          </w:tcPr>
          <w:p w14:paraId="155EEA36">
            <w:pPr>
              <w:pStyle w:val="98"/>
              <w:widowControl w:val="0"/>
              <w:spacing w:before="0" w:after="0"/>
              <w:ind w:firstLine="480" w:firstLineChars="200"/>
              <w:jc w:val="center"/>
              <w:rPr>
                <w:rStyle w:val="37"/>
                <w:rFonts w:ascii="仿宋" w:hAnsi="仿宋" w:eastAsia="仿宋" w:cs="仿宋"/>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5C3DEC0">
            <w:pPr>
              <w:pStyle w:val="98"/>
              <w:widowControl w:val="0"/>
              <w:spacing w:before="0" w:after="0"/>
              <w:ind w:firstLine="480" w:firstLineChars="200"/>
              <w:jc w:val="center"/>
              <w:rPr>
                <w:rStyle w:val="37"/>
                <w:rFonts w:ascii="仿宋" w:hAnsi="仿宋" w:eastAsia="仿宋" w:cs="仿宋"/>
                <w:color w:val="auto"/>
                <w:highlight w:val="none"/>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5A129381">
            <w:pPr>
              <w:pStyle w:val="98"/>
              <w:widowControl w:val="0"/>
              <w:spacing w:before="0" w:after="0"/>
              <w:ind w:firstLine="480" w:firstLineChars="200"/>
              <w:jc w:val="center"/>
              <w:rPr>
                <w:rStyle w:val="37"/>
                <w:rFonts w:ascii="仿宋" w:hAnsi="仿宋" w:eastAsia="仿宋" w:cs="仿宋"/>
                <w:color w:val="auto"/>
                <w:highlight w:val="none"/>
              </w:rPr>
            </w:pPr>
          </w:p>
        </w:tc>
      </w:tr>
      <w:tr w14:paraId="461E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882" w:type="dxa"/>
            <w:tcBorders>
              <w:top w:val="single" w:color="000000" w:sz="4" w:space="0"/>
              <w:left w:val="single" w:color="000000" w:sz="4" w:space="0"/>
              <w:bottom w:val="single" w:color="000000" w:sz="4" w:space="0"/>
              <w:right w:val="single" w:color="000000" w:sz="4" w:space="0"/>
            </w:tcBorders>
            <w:vAlign w:val="center"/>
          </w:tcPr>
          <w:p w14:paraId="71B3A926">
            <w:pPr>
              <w:pStyle w:val="98"/>
              <w:widowControl w:val="0"/>
              <w:spacing w:before="0" w:after="0"/>
              <w:ind w:firstLine="480" w:firstLineChars="200"/>
              <w:jc w:val="center"/>
              <w:rPr>
                <w:rStyle w:val="37"/>
                <w:rFonts w:ascii="仿宋" w:hAnsi="仿宋" w:eastAsia="仿宋" w:cs="仿宋"/>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3480D919">
            <w:pPr>
              <w:pStyle w:val="98"/>
              <w:widowControl w:val="0"/>
              <w:spacing w:before="0" w:after="0"/>
              <w:ind w:firstLine="480" w:firstLineChars="200"/>
              <w:jc w:val="center"/>
              <w:rPr>
                <w:rStyle w:val="37"/>
                <w:rFonts w:ascii="仿宋" w:hAnsi="仿宋" w:eastAsia="仿宋" w:cs="仿宋"/>
                <w:color w:val="auto"/>
                <w:highlight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14:paraId="1823CC7F">
            <w:pPr>
              <w:pStyle w:val="98"/>
              <w:widowControl w:val="0"/>
              <w:spacing w:before="0" w:after="0"/>
              <w:ind w:firstLine="480" w:firstLineChars="200"/>
              <w:jc w:val="center"/>
              <w:rPr>
                <w:rStyle w:val="37"/>
                <w:rFonts w:ascii="仿宋" w:hAnsi="仿宋" w:eastAsia="仿宋" w:cs="仿宋"/>
                <w:color w:val="auto"/>
                <w:highlight w:val="none"/>
              </w:rPr>
            </w:pPr>
          </w:p>
        </w:tc>
        <w:tc>
          <w:tcPr>
            <w:tcW w:w="2085" w:type="dxa"/>
            <w:tcBorders>
              <w:top w:val="single" w:color="000000" w:sz="4" w:space="0"/>
              <w:left w:val="single" w:color="000000" w:sz="4" w:space="0"/>
              <w:bottom w:val="single" w:color="000000" w:sz="4" w:space="0"/>
              <w:right w:val="single" w:color="000000" w:sz="4" w:space="0"/>
            </w:tcBorders>
            <w:vAlign w:val="center"/>
          </w:tcPr>
          <w:p w14:paraId="2EC36EEB">
            <w:pPr>
              <w:pStyle w:val="98"/>
              <w:widowControl w:val="0"/>
              <w:spacing w:before="0" w:after="0"/>
              <w:ind w:firstLine="480" w:firstLineChars="200"/>
              <w:jc w:val="center"/>
              <w:rPr>
                <w:rStyle w:val="37"/>
                <w:rFonts w:ascii="仿宋" w:hAnsi="仿宋" w:eastAsia="仿宋" w:cs="仿宋"/>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AD3AA73">
            <w:pPr>
              <w:pStyle w:val="98"/>
              <w:widowControl w:val="0"/>
              <w:spacing w:before="0" w:after="0"/>
              <w:ind w:firstLine="480" w:firstLineChars="200"/>
              <w:jc w:val="center"/>
              <w:rPr>
                <w:rStyle w:val="37"/>
                <w:rFonts w:ascii="仿宋" w:hAnsi="仿宋" w:eastAsia="仿宋" w:cs="仿宋"/>
                <w:color w:val="auto"/>
                <w:highlight w:val="none"/>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B0CAA4F">
            <w:pPr>
              <w:pStyle w:val="98"/>
              <w:widowControl w:val="0"/>
              <w:spacing w:before="0" w:after="0"/>
              <w:ind w:firstLine="480" w:firstLineChars="200"/>
              <w:jc w:val="center"/>
              <w:rPr>
                <w:rStyle w:val="37"/>
                <w:rFonts w:ascii="仿宋" w:hAnsi="仿宋" w:eastAsia="仿宋" w:cs="仿宋"/>
                <w:color w:val="auto"/>
                <w:highlight w:val="none"/>
              </w:rPr>
            </w:pPr>
          </w:p>
        </w:tc>
      </w:tr>
    </w:tbl>
    <w:p w14:paraId="4D81A6FE">
      <w:pPr>
        <w:pStyle w:val="98"/>
        <w:widowControl w:val="0"/>
        <w:spacing w:before="0" w:after="0"/>
        <w:rPr>
          <w:rStyle w:val="37"/>
          <w:rFonts w:ascii="仿宋" w:hAnsi="仿宋" w:eastAsia="仿宋" w:cs="仿宋"/>
          <w:color w:val="auto"/>
          <w:highlight w:val="none"/>
        </w:rPr>
      </w:pPr>
      <w:r>
        <w:rPr>
          <w:rStyle w:val="37"/>
          <w:rFonts w:hint="eastAsia" w:ascii="仿宋" w:hAnsi="仿宋" w:eastAsia="仿宋" w:cs="仿宋"/>
          <w:color w:val="auto"/>
          <w:highlight w:val="none"/>
        </w:rPr>
        <w:t>说明：</w:t>
      </w:r>
    </w:p>
    <w:p w14:paraId="70C78D9B">
      <w:pPr>
        <w:pStyle w:val="98"/>
        <w:widowControl w:val="0"/>
        <w:spacing w:before="0" w:after="0" w:line="500" w:lineRule="exact"/>
        <w:ind w:firstLine="482" w:firstLineChars="200"/>
        <w:jc w:val="both"/>
        <w:rPr>
          <w:rStyle w:val="37"/>
          <w:rFonts w:ascii="仿宋" w:hAnsi="仿宋" w:eastAsia="仿宋" w:cs="仿宋"/>
          <w:b/>
          <w:bCs/>
          <w:color w:val="auto"/>
          <w:highlight w:val="none"/>
        </w:rPr>
      </w:pPr>
      <w:r>
        <w:rPr>
          <w:rStyle w:val="37"/>
          <w:rFonts w:hint="eastAsia" w:ascii="仿宋" w:hAnsi="仿宋" w:eastAsia="仿宋" w:cs="仿宋"/>
          <w:b/>
          <w:bCs/>
          <w:color w:val="auto"/>
          <w:highlight w:val="none"/>
        </w:rPr>
        <w:t>1、本表只填写投标文件中与招标文件有偏离（包括正偏离和负偏离）的内容，投标文件中商务响应与招标文件要求完全一致的，不用在此表中列出，但必须提交空白表。</w:t>
      </w:r>
    </w:p>
    <w:p w14:paraId="79037A4F">
      <w:pPr>
        <w:pStyle w:val="98"/>
        <w:widowControl w:val="0"/>
        <w:spacing w:before="0" w:after="0" w:line="500" w:lineRule="exact"/>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2、供应商必须据实填写，不得虚假响应，否则将取消其投标或中标资格，并按有关规定进</w:t>
      </w:r>
      <w:r>
        <w:rPr>
          <w:rStyle w:val="37"/>
          <w:rFonts w:hint="eastAsia" w:ascii="仿宋" w:hAnsi="仿宋" w:eastAsia="仿宋" w:cs="仿宋"/>
          <w:color w:val="auto"/>
          <w:highlight w:val="none"/>
          <w:lang w:val="en-US" w:eastAsia="zh-CN"/>
        </w:rPr>
        <w:t>行</w:t>
      </w:r>
      <w:r>
        <w:rPr>
          <w:rStyle w:val="37"/>
          <w:rFonts w:hint="eastAsia" w:ascii="仿宋" w:hAnsi="仿宋" w:eastAsia="仿宋" w:cs="仿宋"/>
          <w:color w:val="auto"/>
          <w:highlight w:val="none"/>
        </w:rPr>
        <w:t>处罚。</w:t>
      </w:r>
    </w:p>
    <w:p w14:paraId="5F9D7303">
      <w:pPr>
        <w:pStyle w:val="98"/>
        <w:widowControl w:val="0"/>
        <w:spacing w:before="0" w:after="0"/>
        <w:ind w:firstLine="480" w:firstLineChars="200"/>
        <w:rPr>
          <w:rStyle w:val="37"/>
          <w:rFonts w:ascii="仿宋" w:hAnsi="仿宋" w:eastAsia="仿宋" w:cs="仿宋"/>
          <w:color w:val="auto"/>
          <w:highlight w:val="none"/>
        </w:rPr>
      </w:pPr>
      <w:r>
        <w:rPr>
          <w:rStyle w:val="37"/>
          <w:rFonts w:hint="eastAsia" w:ascii="仿宋" w:hAnsi="仿宋" w:eastAsia="仿宋" w:cs="仿宋"/>
          <w:color w:val="auto"/>
          <w:highlight w:val="none"/>
        </w:rPr>
        <w:t>供应商名称：</w:t>
      </w:r>
      <w:r>
        <w:rPr>
          <w:rStyle w:val="37"/>
          <w:rFonts w:hint="eastAsia" w:ascii="仿宋" w:hAnsi="仿宋" w:eastAsia="仿宋" w:cs="仿宋"/>
          <w:color w:val="auto"/>
          <w:highlight w:val="none"/>
          <w:u w:val="single" w:color="000000"/>
        </w:rPr>
        <w:t xml:space="preserve">                     </w:t>
      </w:r>
      <w:r>
        <w:rPr>
          <w:rStyle w:val="37"/>
          <w:rFonts w:hint="eastAsia" w:ascii="仿宋" w:hAnsi="仿宋" w:eastAsia="仿宋" w:cs="仿宋"/>
          <w:color w:val="auto"/>
          <w:highlight w:val="none"/>
        </w:rPr>
        <w:t>（盖单位公章）</w:t>
      </w:r>
    </w:p>
    <w:p w14:paraId="21C879E0">
      <w:pPr>
        <w:widowControl w:val="0"/>
        <w:spacing w:line="500" w:lineRule="exact"/>
        <w:ind w:firstLine="496" w:firstLineChars="200"/>
        <w:jc w:val="left"/>
        <w:rPr>
          <w:rStyle w:val="37"/>
          <w:rFonts w:ascii="仿宋" w:hAnsi="仿宋" w:eastAsia="仿宋" w:cs="仿宋"/>
          <w:color w:val="auto"/>
          <w:spacing w:val="4"/>
          <w:highlight w:val="none"/>
        </w:rPr>
      </w:pPr>
      <w:r>
        <w:rPr>
          <w:rStyle w:val="37"/>
          <w:rFonts w:hint="eastAsia" w:ascii="仿宋" w:hAnsi="仿宋" w:eastAsia="仿宋" w:cs="仿宋"/>
          <w:color w:val="auto"/>
          <w:spacing w:val="4"/>
          <w:highlight w:val="none"/>
        </w:rPr>
        <w:t>法定代表人或被授权人：</w:t>
      </w:r>
      <w:r>
        <w:rPr>
          <w:rStyle w:val="37"/>
          <w:rFonts w:hint="eastAsia" w:ascii="仿宋" w:hAnsi="仿宋" w:eastAsia="仿宋" w:cs="仿宋"/>
          <w:color w:val="auto"/>
          <w:spacing w:val="4"/>
          <w:highlight w:val="none"/>
          <w:u w:val="single" w:color="000000"/>
        </w:rPr>
        <w:t xml:space="preserve">      </w:t>
      </w:r>
      <w:r>
        <w:rPr>
          <w:rStyle w:val="37"/>
          <w:rFonts w:hint="eastAsia" w:ascii="仿宋" w:hAnsi="仿宋" w:eastAsia="仿宋" w:cs="仿宋"/>
          <w:color w:val="auto"/>
          <w:spacing w:val="4"/>
          <w:highlight w:val="none"/>
        </w:rPr>
        <w:t>（签字或盖章）</w:t>
      </w:r>
    </w:p>
    <w:p w14:paraId="55D310A8">
      <w:pPr>
        <w:widowControl w:val="0"/>
        <w:spacing w:line="520" w:lineRule="exact"/>
        <w:ind w:firstLine="480" w:firstLineChars="200"/>
        <w:rPr>
          <w:rStyle w:val="37"/>
          <w:rFonts w:hint="eastAsia" w:ascii="仿宋" w:hAnsi="仿宋" w:eastAsia="仿宋" w:cs="仿宋"/>
          <w:color w:val="auto"/>
          <w:szCs w:val="24"/>
          <w:highlight w:val="none"/>
        </w:rPr>
      </w:pPr>
      <w:r>
        <w:rPr>
          <w:rStyle w:val="37"/>
          <w:rFonts w:hint="eastAsia" w:ascii="仿宋" w:hAnsi="仿宋" w:eastAsia="仿宋" w:cs="仿宋"/>
          <w:color w:val="auto"/>
          <w:szCs w:val="24"/>
          <w:highlight w:val="none"/>
        </w:rPr>
        <w:t>日      期：      年   月    日</w:t>
      </w:r>
    </w:p>
    <w:p w14:paraId="3FE3E6E9">
      <w:pPr>
        <w:rPr>
          <w:rStyle w:val="37"/>
          <w:rFonts w:hint="eastAsia" w:ascii="仿宋" w:hAnsi="仿宋" w:eastAsia="仿宋" w:cs="仿宋"/>
          <w:color w:val="auto"/>
          <w:szCs w:val="24"/>
          <w:highlight w:val="none"/>
        </w:rPr>
      </w:pPr>
      <w:r>
        <w:rPr>
          <w:rStyle w:val="37"/>
          <w:rFonts w:hint="eastAsia" w:ascii="仿宋" w:hAnsi="仿宋" w:eastAsia="仿宋" w:cs="仿宋"/>
          <w:color w:val="auto"/>
          <w:szCs w:val="24"/>
          <w:highlight w:val="none"/>
        </w:rPr>
        <w:br w:type="page"/>
      </w:r>
    </w:p>
    <w:p w14:paraId="67C23E9D">
      <w:pPr>
        <w:pStyle w:val="295"/>
        <w:widowControl w:val="0"/>
        <w:ind w:left="283"/>
        <w:rPr>
          <w:rFonts w:hint="eastAsia" w:ascii="仿宋" w:hAnsi="仿宋" w:eastAsia="仿宋" w:cs="仿宋"/>
          <w:b w:val="0"/>
          <w:bCs w:val="0"/>
          <w:color w:val="auto"/>
          <w:highlight w:val="none"/>
        </w:rPr>
      </w:pPr>
      <w:bookmarkStart w:id="33" w:name="_Toc21101"/>
      <w:bookmarkStart w:id="34" w:name="_Toc20524"/>
      <w:bookmarkStart w:id="35" w:name="_Toc31045"/>
      <w:bookmarkStart w:id="36" w:name="_Toc21079"/>
      <w:bookmarkStart w:id="37" w:name="_Toc13676"/>
      <w:r>
        <w:rPr>
          <w:rFonts w:hint="eastAsia" w:ascii="仿宋" w:hAnsi="仿宋" w:eastAsia="仿宋" w:cs="仿宋"/>
          <w:color w:val="auto"/>
          <w:sz w:val="32"/>
          <w:highlight w:val="none"/>
        </w:rPr>
        <w:t>第三部分 投标方案</w:t>
      </w:r>
      <w:bookmarkEnd w:id="33"/>
      <w:bookmarkEnd w:id="34"/>
      <w:bookmarkEnd w:id="35"/>
      <w:bookmarkEnd w:id="36"/>
      <w:bookmarkEnd w:id="37"/>
    </w:p>
    <w:p w14:paraId="72F5E5F2">
      <w:pPr>
        <w:widowControl w:val="0"/>
        <w:spacing w:line="360" w:lineRule="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、技术方案</w:t>
      </w:r>
    </w:p>
    <w:p w14:paraId="1654791D">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仿宋" w:hAnsi="仿宋" w:eastAsia="仿宋" w:cs="仿宋"/>
          <w:color w:val="auto"/>
          <w:highlight w:val="none"/>
        </w:rPr>
      </w:pPr>
      <w:r>
        <w:rPr>
          <w:rFonts w:hint="eastAsia" w:ascii="仿宋" w:hAnsi="仿宋" w:eastAsia="仿宋" w:cs="仿宋"/>
          <w:color w:val="auto"/>
          <w:highlight w:val="none"/>
        </w:rPr>
        <w:t>参照招标文件第五章评标方法</w:t>
      </w:r>
      <w:r>
        <w:rPr>
          <w:rFonts w:hint="eastAsia" w:ascii="仿宋" w:hAnsi="仿宋" w:eastAsia="仿宋" w:cs="仿宋"/>
          <w:b/>
          <w:color w:val="auto"/>
          <w:szCs w:val="24"/>
          <w:highlight w:val="none"/>
          <w:lang w:val="en-US" w:eastAsia="zh-CN"/>
        </w:rPr>
        <w:t>二</w:t>
      </w:r>
      <w:r>
        <w:rPr>
          <w:rFonts w:hint="eastAsia" w:ascii="仿宋" w:hAnsi="仿宋" w:eastAsia="仿宋" w:cs="仿宋"/>
          <w:b/>
          <w:color w:val="auto"/>
          <w:szCs w:val="24"/>
          <w:highlight w:val="none"/>
        </w:rPr>
        <w:t>、评审标准</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.2分值构成与评分标准</w:t>
      </w:r>
      <w:r>
        <w:rPr>
          <w:rFonts w:hint="eastAsia" w:ascii="仿宋" w:hAnsi="仿宋" w:eastAsia="仿宋" w:cs="仿宋"/>
          <w:color w:val="auto"/>
          <w:highlight w:val="none"/>
        </w:rPr>
        <w:t>各条款的要求，结合第四章《采购内容及技术要求》编制投标方案。</w:t>
      </w:r>
    </w:p>
    <w:p w14:paraId="0DBB3C9C">
      <w:pPr>
        <w:widowControl w:val="0"/>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8D1C6CA">
      <w:pPr>
        <w:widowControl w:val="0"/>
        <w:outlineLvl w:val="2"/>
        <w:rPr>
          <w:rFonts w:hint="eastAsia" w:ascii="仿宋" w:hAnsi="仿宋" w:eastAsia="仿宋" w:cs="仿宋"/>
          <w:color w:val="auto"/>
          <w:sz w:val="30"/>
          <w:szCs w:val="30"/>
          <w:highlight w:val="none"/>
        </w:rPr>
      </w:pP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、供应商认为有利于中标的其他情况说明</w:t>
      </w:r>
    </w:p>
    <w:p w14:paraId="7DB2870F">
      <w:pPr>
        <w:widowControl/>
        <w:spacing w:line="500" w:lineRule="exact"/>
        <w:ind w:firstLine="482" w:firstLineChars="200"/>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（一）供应商性质</w:t>
      </w:r>
    </w:p>
    <w:p w14:paraId="258DC205">
      <w:pPr>
        <w:spacing w:line="5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根据招标文件第五章《评标方法》落实的政府采购政策，投标供应商在货物采购项目中，货物由小微企业制造，即货物由小微企业生产且使用该小微企业商号或者注册商标； 在工程采购项目中，工程由小微企业承建，即工程施工单位为小微企业； 在服务采购项目中，服务由小微企业承接，即提供服务的人员为小微企业依照《中华人民共和国劳动合同法》订立劳动合同的从业人员，符合政策扣减的单位应提供《中小企业声明函》（按下文给定格式），符合要求则享受招标文件规定的价格扣除。未提供或未按给定格式提供《中小企业声明函》的，将不能享受招标文件规定的价格扣除，但不影响投标文件的有效性。</w:t>
      </w:r>
    </w:p>
    <w:p w14:paraId="3563FFB9">
      <w:pPr>
        <w:spacing w:line="50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残疾人福利性单位投标时，应当提供残疾人福利性单位声明函，未提供或未按给定格式提供《残疾人福利性单位声明函》的，将不能享受招标文件规定的价格扣除，但不影响投标文件的有效性。</w:t>
      </w:r>
    </w:p>
    <w:p w14:paraId="2743CA97">
      <w:pPr>
        <w:spacing w:line="5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监狱企业投标时，应当提供由省级以上监狱管理局、戒毒管理局（含新疆生产建设兵团）出具的属于监狱企业的</w:t>
      </w:r>
      <w:r>
        <w:rPr>
          <w:rFonts w:hint="eastAsia" w:ascii="仿宋" w:hAnsi="仿宋" w:eastAsia="仿宋" w:cs="仿宋"/>
          <w:b/>
          <w:bCs/>
          <w:color w:val="auto"/>
          <w:szCs w:val="24"/>
          <w:highlight w:val="none"/>
        </w:rPr>
        <w:t>证明文件</w:t>
      </w:r>
      <w:r>
        <w:rPr>
          <w:rFonts w:hint="eastAsia" w:ascii="仿宋" w:hAnsi="仿宋" w:eastAsia="仿宋" w:cs="仿宋"/>
          <w:color w:val="auto"/>
          <w:szCs w:val="24"/>
          <w:highlight w:val="none"/>
        </w:rPr>
        <w:t>（格式不做要求）。未提供证明文件的不能享受招标文件规定的价格扣除，但不影响投标文件的有效性。</w:t>
      </w:r>
    </w:p>
    <w:p w14:paraId="44F8836D">
      <w:pPr>
        <w:spacing w:line="5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招标文件允许联合体投标的，组成联合体的投标供应商应提供《联合体协议》及《中小企业声明函》；招标文件允许分包的，拟分包的投标供应商提供《分包意向协议》及《中小企业声明函》，满足第二章《供应商须知》（十二）落实的政府采购政策要求的，将享受招标文件规定的价格扣除。</w:t>
      </w:r>
    </w:p>
    <w:p w14:paraId="31655D75">
      <w:pPr>
        <w:spacing w:line="5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非中小企业、残疾人福利性单位、监狱企业，也无联合体及分包情况的，可不提供此项内容。</w:t>
      </w:r>
    </w:p>
    <w:p w14:paraId="25BB6727">
      <w:pPr>
        <w:pStyle w:val="8"/>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供应商可根据企业从业人员、营业收入、资产总额等指标，按照采购文件约定的采购标的对应的中小企业划分标准所属行业和《中小企业划型标准规定》（工信部联企业〔2011〕300号）进行自测，判断属于中型、小型还是微型企业。也可登录工业和信息化部的中小企业规模类型自测小程序（http://202.106.120.146/baosong/appweb/orgScale.html）进行测算。</w:t>
      </w:r>
    </w:p>
    <w:p w14:paraId="5CA923CA">
      <w:pPr>
        <w:spacing w:line="500" w:lineRule="exact"/>
        <w:ind w:firstLine="482" w:firstLine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特别提醒：中标供应商享受中小企业扶持政策的，中标供应商的《中小企业声明函》或证明文件将随中标结果公告一同公布，接受社会监督。</w:t>
      </w:r>
    </w:p>
    <w:p w14:paraId="47706EF5">
      <w:pPr>
        <w:keepNext/>
        <w:spacing w:before="166" w:beforeLines="50"/>
        <w:jc w:val="center"/>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2"/>
          <w:szCs w:val="32"/>
          <w:highlight w:val="none"/>
        </w:rPr>
        <w:t>中小企业声明函（货物）</w:t>
      </w:r>
    </w:p>
    <w:p w14:paraId="761E117A">
      <w:pPr>
        <w:pStyle w:val="2"/>
        <w:rPr>
          <w:rFonts w:hint="eastAsia" w:ascii="仿宋" w:hAnsi="仿宋" w:eastAsia="仿宋" w:cs="仿宋"/>
          <w:b/>
          <w:color w:val="auto"/>
          <w:sz w:val="24"/>
          <w:szCs w:val="24"/>
          <w:highlight w:val="none"/>
        </w:rPr>
      </w:pPr>
    </w:p>
    <w:p w14:paraId="2B488C20">
      <w:pPr>
        <w:pStyle w:val="2"/>
        <w:tabs>
          <w:tab w:val="left" w:pos="9120"/>
        </w:tabs>
        <w:spacing w:before="55" w:after="0" w:line="360" w:lineRule="auto"/>
        <w:ind w:firstLine="64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本公司郑重声明，根据《政府采购促进中小</w:t>
      </w:r>
      <w:r>
        <w:rPr>
          <w:rFonts w:hint="eastAsia" w:ascii="仿宋" w:hAnsi="仿宋" w:eastAsia="仿宋" w:cs="仿宋"/>
          <w:color w:val="auto"/>
          <w:spacing w:val="-18"/>
          <w:sz w:val="24"/>
          <w:szCs w:val="24"/>
          <w:highlight w:val="none"/>
        </w:rPr>
        <w:t>企业发展管理办法》</w:t>
      </w:r>
      <w:r>
        <w:rPr>
          <w:rFonts w:hint="eastAsia" w:ascii="仿宋" w:hAnsi="仿宋" w:eastAsia="仿宋" w:cs="仿宋"/>
          <w:color w:val="auto"/>
          <w:sz w:val="24"/>
          <w:szCs w:val="24"/>
          <w:highlight w:val="none"/>
        </w:rPr>
        <w:t>（</w:t>
      </w:r>
      <w:r>
        <w:rPr>
          <w:rFonts w:hint="eastAsia" w:ascii="仿宋" w:hAnsi="仿宋" w:eastAsia="仿宋" w:cs="仿宋"/>
          <w:color w:val="auto"/>
          <w:spacing w:val="5"/>
          <w:sz w:val="24"/>
          <w:szCs w:val="24"/>
          <w:highlight w:val="none"/>
        </w:rPr>
        <w:t>财库</w:t>
      </w:r>
      <w:r>
        <w:rPr>
          <w:rFonts w:hint="eastAsia" w:ascii="仿宋" w:hAnsi="仿宋" w:eastAsia="仿宋" w:cs="仿宋"/>
          <w:color w:val="auto"/>
          <w:sz w:val="24"/>
          <w:szCs w:val="24"/>
          <w:highlight w:val="none"/>
        </w:rPr>
        <w:t>﹝2020﹞46</w:t>
      </w:r>
      <w:r>
        <w:rPr>
          <w:rFonts w:hint="eastAsia" w:ascii="仿宋" w:hAnsi="仿宋" w:eastAsia="仿宋" w:cs="仿宋"/>
          <w:color w:val="auto"/>
          <w:spacing w:val="-38"/>
          <w:sz w:val="24"/>
          <w:szCs w:val="24"/>
          <w:highlight w:val="none"/>
        </w:rPr>
        <w:t xml:space="preserve"> 号</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的规定，本公司（联合体）</w:t>
      </w:r>
      <w:r>
        <w:rPr>
          <w:rFonts w:hint="eastAsia" w:ascii="仿宋" w:hAnsi="仿宋" w:eastAsia="仿宋" w:cs="仿宋"/>
          <w:color w:val="auto"/>
          <w:spacing w:val="-2"/>
          <w:sz w:val="24"/>
          <w:szCs w:val="24"/>
          <w:highlight w:val="none"/>
        </w:rPr>
        <w:t>参加</w:t>
      </w:r>
      <w:r>
        <w:rPr>
          <w:rFonts w:hint="eastAsia" w:ascii="仿宋" w:hAnsi="仿宋" w:eastAsia="仿宋" w:cs="仿宋"/>
          <w:color w:val="auto"/>
          <w:spacing w:val="-2"/>
          <w:sz w:val="24"/>
          <w:szCs w:val="24"/>
          <w:highlight w:val="none"/>
          <w:u w:val="single"/>
          <w:lang w:val="zh-CN"/>
        </w:rPr>
        <w:t>（单位名称）</w:t>
      </w:r>
      <w:r>
        <w:rPr>
          <w:rFonts w:hint="eastAsia" w:ascii="仿宋" w:hAnsi="仿宋" w:eastAsia="仿宋" w:cs="仿宋"/>
          <w:color w:val="auto"/>
          <w:spacing w:val="-2"/>
          <w:sz w:val="24"/>
          <w:szCs w:val="24"/>
          <w:highlight w:val="none"/>
        </w:rPr>
        <w:t>的</w:t>
      </w:r>
      <w:r>
        <w:rPr>
          <w:rFonts w:hint="eastAsia" w:ascii="仿宋" w:hAnsi="仿宋" w:eastAsia="仿宋" w:cs="仿宋"/>
          <w:color w:val="auto"/>
          <w:spacing w:val="-2"/>
          <w:sz w:val="24"/>
          <w:szCs w:val="24"/>
          <w:highlight w:val="none"/>
          <w:u w:val="single"/>
          <w:lang w:val="zh-CN"/>
        </w:rPr>
        <w:t>（项目名称）</w:t>
      </w:r>
      <w:r>
        <w:rPr>
          <w:rFonts w:hint="eastAsia" w:ascii="仿宋" w:hAnsi="仿宋" w:eastAsia="仿宋" w:cs="仿宋"/>
          <w:color w:val="auto"/>
          <w:spacing w:val="-2"/>
          <w:sz w:val="24"/>
          <w:szCs w:val="24"/>
          <w:highlight w:val="none"/>
        </w:rPr>
        <w:t>采购活动，提供的货物全部由符合政策要求的中小企业制造。相关企业（含联合体中的中小企业、签订分包意向协议的中小企业） 的具体情况如下：</w:t>
      </w:r>
    </w:p>
    <w:p w14:paraId="1DB9F888">
      <w:pPr>
        <w:pStyle w:val="2"/>
        <w:numPr>
          <w:ilvl w:val="0"/>
          <w:numId w:val="6"/>
        </w:numPr>
        <w:spacing w:before="2"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（标的名称）</w:t>
      </w:r>
      <w:r>
        <w:rPr>
          <w:rFonts w:hint="eastAsia" w:ascii="仿宋" w:hAnsi="仿宋" w:eastAsia="仿宋" w:cs="仿宋"/>
          <w:color w:val="auto"/>
          <w:sz w:val="24"/>
          <w:szCs w:val="24"/>
          <w:highlight w:val="none"/>
        </w:rPr>
        <w:t>，属 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sz w:val="24"/>
          <w:szCs w:val="24"/>
          <w:highlight w:val="none"/>
        </w:rPr>
        <w:t>行业；</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4D1CB723">
      <w:pPr>
        <w:pStyle w:val="2"/>
        <w:numPr>
          <w:ilvl w:val="0"/>
          <w:numId w:val="6"/>
        </w:numPr>
        <w:spacing w:before="2"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w:t>
      </w:r>
      <w:r>
        <w:rPr>
          <w:rFonts w:hint="eastAsia" w:ascii="仿宋" w:hAnsi="仿宋" w:eastAsia="仿宋" w:cs="仿宋"/>
          <w:color w:val="auto"/>
          <w:kern w:val="0"/>
          <w:sz w:val="24"/>
          <w:szCs w:val="24"/>
          <w:highlight w:val="none"/>
          <w:lang w:eastAsia="zh-CN"/>
        </w:rPr>
        <w:t>制造商</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854CF33">
      <w:pPr>
        <w:pStyle w:val="2"/>
        <w:spacing w:before="2" w:line="360" w:lineRule="auto"/>
        <w:ind w:left="480" w:left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9401DA1">
      <w:pPr>
        <w:pStyle w:val="2"/>
        <w:spacing w:before="2"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1E8B9B3C">
      <w:pPr>
        <w:pStyle w:val="2"/>
        <w:spacing w:before="2" w:line="360" w:lineRule="auto"/>
        <w:ind w:left="480" w:left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34C38C5B">
      <w:pPr>
        <w:pStyle w:val="296"/>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62CC09D7">
      <w:pPr>
        <w:spacing w:line="500" w:lineRule="exact"/>
        <w:ind w:firstLine="480" w:firstLineChars="20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日期：</w:t>
      </w:r>
    </w:p>
    <w:p w14:paraId="679F2193">
      <w:pPr>
        <w:pStyle w:val="296"/>
        <w:spacing w:line="360" w:lineRule="auto"/>
        <w:ind w:firstLine="4560" w:firstLineChars="1900"/>
        <w:jc w:val="left"/>
        <w:rPr>
          <w:rFonts w:hint="eastAsia" w:ascii="仿宋" w:hAnsi="仿宋" w:eastAsia="仿宋" w:cs="仿宋"/>
          <w:color w:val="auto"/>
          <w:sz w:val="24"/>
          <w:szCs w:val="24"/>
          <w:highlight w:val="none"/>
        </w:rPr>
      </w:pPr>
    </w:p>
    <w:p w14:paraId="45B9934A">
      <w:pPr>
        <w:tabs>
          <w:tab w:val="left" w:pos="5670"/>
        </w:tabs>
        <w:spacing w:line="4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备注：</w:t>
      </w:r>
      <w:r>
        <w:rPr>
          <w:rFonts w:hint="eastAsia" w:ascii="仿宋" w:hAnsi="仿宋" w:eastAsia="仿宋" w:cs="仿宋"/>
          <w:color w:val="auto"/>
          <w:sz w:val="24"/>
          <w:szCs w:val="24"/>
          <w:highlight w:val="none"/>
        </w:rPr>
        <w:t>1、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5753906B">
      <w:pPr>
        <w:pStyle w:val="28"/>
        <w:spacing w:after="0"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2、从业人员、营业收入、资产总额填报上一年度数据，无上一年度数据的新成立企业可不填报。</w:t>
      </w:r>
    </w:p>
    <w:p w14:paraId="7491E1C0">
      <w:pPr>
        <w:pStyle w:val="28"/>
        <w:spacing w:after="0"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3、供应商不属于小微企业的不填写此表。</w:t>
      </w:r>
    </w:p>
    <w:p w14:paraId="729AF025">
      <w:pPr>
        <w:pStyle w:val="28"/>
        <w:spacing w:after="0" w:line="400" w:lineRule="exact"/>
        <w:ind w:firstLineChars="200"/>
        <w:rPr>
          <w:rFonts w:hint="eastAsia" w:ascii="仿宋" w:hAnsi="仿宋" w:eastAsia="仿宋" w:cs="仿宋"/>
          <w:color w:val="auto"/>
          <w:szCs w:val="21"/>
          <w:highlight w:val="none"/>
        </w:rPr>
      </w:pPr>
    </w:p>
    <w:p w14:paraId="07076911">
      <w:pPr>
        <w:pStyle w:val="28"/>
        <w:spacing w:after="0" w:line="400" w:lineRule="exact"/>
        <w:ind w:firstLine="210"/>
        <w:rPr>
          <w:rFonts w:hint="eastAsia" w:ascii="仿宋" w:hAnsi="仿宋" w:eastAsia="仿宋" w:cs="仿宋"/>
          <w:color w:val="auto"/>
          <w:szCs w:val="21"/>
          <w:highlight w:val="none"/>
        </w:rPr>
      </w:pPr>
    </w:p>
    <w:p w14:paraId="77EC8531">
      <w:pPr>
        <w:tabs>
          <w:tab w:val="left" w:pos="5670"/>
        </w:tabs>
        <w:spacing w:line="50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bCs/>
          <w:color w:val="auto"/>
          <w:sz w:val="30"/>
          <w:szCs w:val="30"/>
          <w:highlight w:val="none"/>
        </w:rPr>
        <w:t>残疾人福利性单位声明函</w:t>
      </w:r>
    </w:p>
    <w:p w14:paraId="797B5666">
      <w:pPr>
        <w:spacing w:line="50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highlight w:val="none"/>
          <w:u w:val="single"/>
        </w:rPr>
        <w:t xml:space="preserve">   项目名称</w:t>
      </w:r>
      <w:r>
        <w:rPr>
          <w:rFonts w:hint="eastAsia" w:ascii="仿宋" w:hAnsi="仿宋" w:eastAsia="仿宋" w:cs="仿宋"/>
          <w:color w:val="auto"/>
          <w:highlight w:val="none"/>
          <w:u w:val="single"/>
          <w:lang w:eastAsia="zh-CN"/>
        </w:rPr>
        <w:t>、</w:t>
      </w:r>
      <w:r>
        <w:rPr>
          <w:rFonts w:hint="eastAsia" w:ascii="仿宋" w:hAnsi="仿宋" w:eastAsia="仿宋" w:cs="仿宋"/>
          <w:iCs/>
          <w:color w:val="auto"/>
          <w:szCs w:val="24"/>
          <w:highlight w:val="none"/>
          <w:u w:val="single"/>
          <w:lang w:val="en-US" w:eastAsia="zh-CN" w:bidi="ar"/>
        </w:rPr>
        <w:t>标段号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）采购活动提供本单位制造的货物（由本单位承担工程/提供服务），或者提供其他残疾人福利性单位制造的货物（不包括使用非残疾人福利性单位注册商标的货物）。</w:t>
      </w:r>
    </w:p>
    <w:p w14:paraId="47B7C2FA">
      <w:pPr>
        <w:spacing w:line="50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14:paraId="1CEAEA51">
      <w:pPr>
        <w:spacing w:line="500" w:lineRule="exact"/>
        <w:ind w:firstLine="480" w:firstLineChars="200"/>
        <w:jc w:val="left"/>
        <w:rPr>
          <w:rFonts w:hint="eastAsia" w:ascii="仿宋" w:hAnsi="仿宋" w:eastAsia="仿宋" w:cs="仿宋"/>
          <w:color w:val="auto"/>
          <w:highlight w:val="none"/>
        </w:rPr>
      </w:pPr>
    </w:p>
    <w:p w14:paraId="0A28E1F2">
      <w:pPr>
        <w:tabs>
          <w:tab w:val="left" w:pos="5670"/>
        </w:tabs>
        <w:spacing w:line="500" w:lineRule="exact"/>
        <w:ind w:firstLine="4320" w:firstLineChars="1800"/>
        <w:jc w:val="left"/>
        <w:rPr>
          <w:rFonts w:hint="eastAsia" w:ascii="仿宋" w:hAnsi="仿宋" w:eastAsia="仿宋" w:cs="仿宋"/>
          <w:color w:val="auto"/>
          <w:highlight w:val="none"/>
        </w:rPr>
      </w:pPr>
      <w:r>
        <w:rPr>
          <w:rFonts w:hint="eastAsia" w:ascii="仿宋" w:hAnsi="仿宋" w:eastAsia="仿宋" w:cs="仿宋"/>
          <w:color w:val="auto"/>
          <w:highlight w:val="none"/>
        </w:rPr>
        <w:t>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（加盖公章）</w:t>
      </w:r>
    </w:p>
    <w:p w14:paraId="5CC8B5E6">
      <w:pPr>
        <w:tabs>
          <w:tab w:val="left" w:pos="5670"/>
        </w:tabs>
        <w:spacing w:line="500" w:lineRule="exact"/>
        <w:ind w:firstLine="4560" w:firstLineChars="1900"/>
        <w:jc w:val="left"/>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2E57BB9D">
      <w:pPr>
        <w:tabs>
          <w:tab w:val="left" w:pos="5670"/>
        </w:tabs>
        <w:spacing w:line="500" w:lineRule="exact"/>
        <w:ind w:firstLine="480" w:firstLineChars="200"/>
        <w:jc w:val="left"/>
        <w:rPr>
          <w:rFonts w:hint="eastAsia" w:ascii="仿宋" w:hAnsi="仿宋" w:eastAsia="仿宋" w:cs="仿宋"/>
          <w:color w:val="auto"/>
          <w:highlight w:val="none"/>
        </w:rPr>
      </w:pPr>
    </w:p>
    <w:p w14:paraId="7FD73D02">
      <w:pPr>
        <w:tabs>
          <w:tab w:val="left" w:pos="5670"/>
        </w:tabs>
        <w:ind w:firstLine="566"/>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备注：</w:t>
      </w:r>
    </w:p>
    <w:p w14:paraId="6715FE6F">
      <w:pPr>
        <w:tabs>
          <w:tab w:val="left" w:pos="5670"/>
        </w:tabs>
        <w:ind w:firstLine="566"/>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根据《财政部 民政部 中国残疾人联合会关于促进残疾人就业政府采购政策的通知》（财库〔2017〕141号）的规定：</w:t>
      </w:r>
    </w:p>
    <w:p w14:paraId="7704ADCB">
      <w:pPr>
        <w:tabs>
          <w:tab w:val="left" w:pos="5670"/>
        </w:tabs>
        <w:ind w:firstLine="566"/>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一、享受政府采购支持政策的残疾人福利性单位应当同时满足以下条件：</w:t>
      </w:r>
    </w:p>
    <w:p w14:paraId="4CB6A38B">
      <w:pPr>
        <w:tabs>
          <w:tab w:val="left" w:pos="5670"/>
        </w:tabs>
        <w:ind w:firstLine="566"/>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（一）安置的残疾人占本单位在职职工人数的比例不低于25%（含25%），并且安置的残疾人人数不少于10人（含10人）；</w:t>
      </w:r>
    </w:p>
    <w:p w14:paraId="0B1DFD8C">
      <w:pPr>
        <w:tabs>
          <w:tab w:val="left" w:pos="5670"/>
        </w:tabs>
        <w:ind w:firstLine="566"/>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（二）依法与安置的每位残疾人签订了一年以上（含一年）的劳动合同或服务协议；</w:t>
      </w:r>
    </w:p>
    <w:p w14:paraId="65F422C5">
      <w:pPr>
        <w:tabs>
          <w:tab w:val="left" w:pos="5670"/>
        </w:tabs>
        <w:ind w:firstLine="566"/>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（三）为安置的每位残疾人按月足额交纳了基本养老保险、基本医疗保险、失业保险、工伤保险和生育保险等社会保险费；</w:t>
      </w:r>
    </w:p>
    <w:p w14:paraId="26ACBF6D">
      <w:pPr>
        <w:tabs>
          <w:tab w:val="left" w:pos="5670"/>
        </w:tabs>
        <w:ind w:firstLine="566"/>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（四）通过银行等金融机构向安置的每位残疾人，按月支付了不低于单位所在区县适用的经省级人民政府批准的月最低工资标准的工资；</w:t>
      </w:r>
    </w:p>
    <w:p w14:paraId="785FAE7B">
      <w:pPr>
        <w:tabs>
          <w:tab w:val="left" w:pos="5670"/>
        </w:tabs>
        <w:ind w:firstLine="566"/>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ACCAB55">
      <w:pPr>
        <w:tabs>
          <w:tab w:val="left" w:pos="5670"/>
        </w:tabs>
        <w:ind w:firstLine="566"/>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FA635C">
      <w:pPr>
        <w:tabs>
          <w:tab w:val="left" w:pos="5670"/>
        </w:tabs>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二、中标、成交供应商为残疾人福利性单位的，采购人或者其委托的采购代理机构应当随中标、成交结果同时公告其《残疾人福利性单位声明函》，接受社会监督。</w:t>
      </w:r>
    </w:p>
    <w:p w14:paraId="01966502">
      <w:pPr>
        <w:tabs>
          <w:tab w:val="left" w:pos="5670"/>
        </w:tabs>
        <w:ind w:firstLine="480" w:firstLineChars="200"/>
        <w:jc w:val="left"/>
        <w:rPr>
          <w:rFonts w:hint="eastAsia" w:ascii="仿宋" w:hAnsi="仿宋" w:eastAsia="仿宋" w:cs="仿宋"/>
          <w:color w:val="auto"/>
          <w:highlight w:val="none"/>
        </w:rPr>
      </w:pPr>
    </w:p>
    <w:p w14:paraId="5901CD8F">
      <w:pPr>
        <w:tabs>
          <w:tab w:val="left" w:pos="5670"/>
        </w:tabs>
        <w:spacing w:line="500" w:lineRule="exact"/>
        <w:ind w:firstLine="3313" w:firstLineChars="1100"/>
        <w:jc w:val="left"/>
        <w:rPr>
          <w:rFonts w:hint="eastAsia" w:ascii="仿宋" w:hAnsi="仿宋" w:eastAsia="仿宋" w:cs="仿宋"/>
          <w:b/>
          <w:bCs/>
          <w:color w:val="auto"/>
          <w:sz w:val="30"/>
          <w:szCs w:val="30"/>
          <w:highlight w:val="none"/>
        </w:rPr>
      </w:pPr>
    </w:p>
    <w:p w14:paraId="7797FC03">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bCs/>
          <w:color w:val="auto"/>
          <w:sz w:val="30"/>
          <w:szCs w:val="30"/>
          <w:highlight w:val="none"/>
        </w:rPr>
        <w:t>监狱企业证明函</w:t>
      </w:r>
    </w:p>
    <w:p w14:paraId="3E6A8158">
      <w:pPr>
        <w:spacing w:line="50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56ADC5">
      <w:pPr>
        <w:spacing w:line="360" w:lineRule="auto"/>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t>监狱企业参加政府采购活动时，应当提供由省级以上监狱管理局、戒毒管理局（含新疆生产建设兵团）出具的属于监狱企业的证明文件。</w:t>
      </w:r>
    </w:p>
    <w:p w14:paraId="7E0D738F">
      <w:pPr>
        <w:pStyle w:val="2"/>
        <w:spacing w:after="0"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r>
        <w:rPr>
          <w:rFonts w:hint="eastAsia" w:ascii="仿宋" w:hAnsi="仿宋" w:eastAsia="仿宋" w:cs="仿宋"/>
          <w:b/>
          <w:bCs/>
          <w:color w:val="auto"/>
          <w:kern w:val="0"/>
          <w:sz w:val="24"/>
          <w:szCs w:val="24"/>
          <w:highlight w:val="none"/>
        </w:rPr>
        <w:t>（二）其他有必要说明的内容</w:t>
      </w:r>
    </w:p>
    <w:p w14:paraId="6382275B">
      <w:pPr>
        <w:spacing w:line="360" w:lineRule="auto"/>
        <w:rPr>
          <w:rFonts w:hint="eastAsia" w:ascii="仿宋" w:hAnsi="仿宋" w:eastAsia="仿宋" w:cs="仿宋"/>
          <w:color w:val="auto"/>
          <w:highlight w:val="none"/>
        </w:rPr>
      </w:pPr>
    </w:p>
    <w:p w14:paraId="10C1C135">
      <w:pPr>
        <w:spacing w:line="360" w:lineRule="auto"/>
        <w:rPr>
          <w:rFonts w:hint="eastAsia" w:ascii="仿宋" w:hAnsi="仿宋" w:eastAsia="仿宋" w:cs="仿宋"/>
          <w:color w:val="auto"/>
          <w:highlight w:val="none"/>
        </w:rPr>
      </w:pPr>
    </w:p>
    <w:p w14:paraId="3C0E372B">
      <w:pPr>
        <w:rPr>
          <w:rFonts w:hint="eastAsia" w:ascii="仿宋" w:hAnsi="仿宋" w:eastAsia="仿宋" w:cs="仿宋"/>
          <w:color w:val="auto"/>
          <w:highlight w:val="none"/>
        </w:rPr>
      </w:pPr>
    </w:p>
    <w:p w14:paraId="75928997">
      <w:pPr>
        <w:widowControl w:val="0"/>
        <w:tabs>
          <w:tab w:val="left" w:pos="1620"/>
          <w:tab w:val="left" w:pos="1800"/>
        </w:tabs>
        <w:spacing w:line="440" w:lineRule="exact"/>
        <w:ind w:right="616"/>
        <w:rPr>
          <w:rStyle w:val="37"/>
          <w:rFonts w:ascii="仿宋" w:hAnsi="仿宋" w:eastAsia="仿宋" w:cs="仿宋"/>
          <w:color w:val="auto"/>
          <w:highlight w:val="none"/>
        </w:rPr>
      </w:pPr>
    </w:p>
    <w:p w14:paraId="0F86676D">
      <w:pPr>
        <w:pStyle w:val="40"/>
        <w:widowControl w:val="0"/>
        <w:rPr>
          <w:rStyle w:val="37"/>
          <w:rFonts w:ascii="仿宋" w:hAnsi="仿宋" w:eastAsia="仿宋" w:cs="仿宋"/>
          <w:color w:val="auto"/>
          <w:highlight w:val="none"/>
        </w:rPr>
      </w:pPr>
    </w:p>
    <w:p w14:paraId="21378C78">
      <w:pPr>
        <w:widowControl w:val="0"/>
        <w:spacing w:line="360" w:lineRule="auto"/>
        <w:rPr>
          <w:rStyle w:val="37"/>
          <w:rFonts w:hint="eastAsia" w:ascii="仿宋" w:hAnsi="仿宋" w:eastAsia="仿宋" w:cs="仿宋"/>
          <w:color w:val="auto"/>
          <w:highlight w:val="none"/>
          <w:lang w:val="en-US" w:eastAsia="zh-CN"/>
        </w:rPr>
      </w:pPr>
      <w:r>
        <w:rPr>
          <w:rStyle w:val="37"/>
          <w:rFonts w:hint="eastAsia" w:ascii="仿宋" w:hAnsi="仿宋" w:eastAsia="仿宋" w:cs="仿宋"/>
          <w:color w:val="auto"/>
          <w:highlight w:val="none"/>
          <w:lang w:val="en-US" w:eastAsia="zh-CN"/>
        </w:rPr>
        <w:t xml:space="preserve"> </w:t>
      </w:r>
    </w:p>
    <w:sectPr>
      <w:pgSz w:w="11906" w:h="16838"/>
      <w:pgMar w:top="1417" w:right="1417" w:bottom="1417" w:left="1417" w:header="1134" w:footer="992" w:gutter="0"/>
      <w:pgNumType w:fmt="decimal"/>
      <w:cols w:space="425" w:num="1"/>
      <w:titlePg/>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FF72">
    <w:pPr>
      <w:tabs>
        <w:tab w:val="left" w:pos="5646"/>
      </w:tabs>
      <w:rPr>
        <w:rStyle w:val="37"/>
        <w:sz w:val="18"/>
        <w:szCs w:val="18"/>
      </w:rPr>
    </w:pPr>
    <w:r>
      <w:rPr>
        <w:rStyle w:val="3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905" b="1270"/>
              <wp:wrapNone/>
              <wp:docPr id="6"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4FEDA4A">
                          <w:pPr>
                            <w:pStyle w:val="17"/>
                            <w:rPr>
                              <w:rStyle w:val="37"/>
                            </w:rPr>
                          </w:pPr>
                        </w:p>
                        <w:p w14:paraId="75448042">
                          <w:pPr>
                            <w:topLinePunct/>
                            <w:rPr>
                              <w:rStyle w:val="37"/>
                            </w:rPr>
                          </w:pP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pPZA0gAAAAUBAAAPAAAAAAAAAAEAIAAAACIAAABkcnMvZG93bnJldi54bWxQSwECFAAU&#10;AAAACACHTuJAeFFXTvcBAAAGBAAADgAAAAAAAAABACAAAAAhAQAAZHJzL2Uyb0RvYy54bWxQSwUG&#10;AAAAAAYABgBZAQAAigUAAAAA&#10;">
              <v:fill on="f" focussize="0,0"/>
              <v:stroke on="f"/>
              <v:imagedata o:title=""/>
              <o:lock v:ext="edit" aspectratio="f"/>
              <v:textbox inset="0mm,0mm,0mm,0mm">
                <w:txbxContent>
                  <w:p w14:paraId="14FEDA4A">
                    <w:pPr>
                      <w:pStyle w:val="17"/>
                      <w:rPr>
                        <w:rStyle w:val="37"/>
                      </w:rPr>
                    </w:pPr>
                  </w:p>
                  <w:p w14:paraId="75448042">
                    <w:pPr>
                      <w:topLinePunct/>
                      <w:rPr>
                        <w:rStyle w:val="3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2768">
    <w:pPr>
      <w:tabs>
        <w:tab w:val="left" w:pos="5646"/>
      </w:tabs>
      <w:rPr>
        <w:rStyle w:val="37"/>
      </w:rPr>
    </w:pPr>
    <w:r>
      <w:rPr>
        <w:rStyle w:val="37"/>
        <w:sz w:val="18"/>
        <w:szCs w:val="18"/>
      </w:rPr>
      <mc:AlternateContent>
        <mc:Choice Requires="wps">
          <w:drawing>
            <wp:anchor distT="0" distB="0" distL="114300" distR="114300" simplePos="0" relativeHeight="251659264" behindDoc="0" locked="0" layoutInCell="1" allowOverlap="1">
              <wp:simplePos x="0" y="0"/>
              <wp:positionH relativeFrom="margin">
                <wp:posOffset>1902460</wp:posOffset>
              </wp:positionH>
              <wp:positionV relativeFrom="paragraph">
                <wp:posOffset>221615</wp:posOffset>
              </wp:positionV>
              <wp:extent cx="1892300" cy="1607185"/>
              <wp:effectExtent l="1905" t="0" r="1270" b="3175"/>
              <wp:wrapNone/>
              <wp:docPr id="5"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892300" cy="1607185"/>
                      </a:xfrm>
                      <a:prstGeom prst="rect">
                        <a:avLst/>
                      </a:prstGeom>
                      <a:noFill/>
                      <a:ln>
                        <a:noFill/>
                      </a:ln>
                    </wps:spPr>
                    <wps:txbx>
                      <w:txbxContent>
                        <w:p w14:paraId="74E4BDCD"/>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149.8pt;margin-top:17.45pt;height:126.55pt;width:149pt;mso-position-horizontal-relative:margin;z-index:251659264;mso-width-relative:page;mso-height-relative:page;" filled="f" stroked="f" coordsize="21600,21600" o:gfxdata="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lMqfbYAAAACgEAAA8AAAAAAAAAAQAgAAAAIgAAAGRycy9kb3du&#10;cmV2LnhtbFBLAQIUABQAAAAIAIdO4kABMFE5/wEAAAYEAAAOAAAAAAAAAAEAIAAAACcBAABkcnMv&#10;ZTJvRG9jLnhtbFBLBQYAAAAABgAGAFkBAACYBQAAAAA=&#10;">
              <v:fill on="f" focussize="0,0"/>
              <v:stroke on="f"/>
              <v:imagedata o:title=""/>
              <o:lock v:ext="edit" aspectratio="f"/>
              <v:textbox inset="0mm,0mm,0mm,0mm">
                <w:txbxContent>
                  <w:p w14:paraId="74E4BDC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D513">
    <w:pPr>
      <w:tabs>
        <w:tab w:val="left" w:pos="5646"/>
      </w:tabs>
      <w:rPr>
        <w:rStyle w:val="37"/>
        <w:sz w:val="18"/>
        <w:szCs w:val="18"/>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7960">
                          <w:pPr>
                            <w:pStyle w:val="17"/>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317960">
                    <w:pPr>
                      <w:pStyle w:val="17"/>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Style w:val="3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905" b="1270"/>
              <wp:wrapNone/>
              <wp:docPr id="3"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0774D1F">
                          <w:pPr>
                            <w:pStyle w:val="17"/>
                            <w:rPr>
                              <w:rStyle w:val="37"/>
                            </w:rPr>
                          </w:pPr>
                        </w:p>
                        <w:p w14:paraId="1CC1F4F1">
                          <w:pPr>
                            <w:topLinePunct/>
                            <w:rPr>
                              <w:rStyle w:val="37"/>
                            </w:rPr>
                          </w:pP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Id48Vr4AQAABgQAAA4AAAAAAAAAAQAgAAAAIQEAAGRycy9lMm9Eb2MueG1sUEsF&#10;BgAAAAAGAAYAWQEAAIsFAAAAAA==&#10;">
              <v:fill on="f" focussize="0,0"/>
              <v:stroke on="f"/>
              <v:imagedata o:title=""/>
              <o:lock v:ext="edit" aspectratio="f"/>
              <v:textbox inset="0mm,0mm,0mm,0mm">
                <w:txbxContent>
                  <w:p w14:paraId="40774D1F">
                    <w:pPr>
                      <w:pStyle w:val="17"/>
                      <w:rPr>
                        <w:rStyle w:val="37"/>
                      </w:rPr>
                    </w:pPr>
                  </w:p>
                  <w:p w14:paraId="1CC1F4F1">
                    <w:pPr>
                      <w:topLinePunct/>
                      <w:rPr>
                        <w:rStyle w:val="37"/>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C0A7">
    <w:pPr>
      <w:tabs>
        <w:tab w:val="left" w:pos="5646"/>
      </w:tabs>
      <w:rPr>
        <w:rStyle w:val="37"/>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35897">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235897">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Style w:val="37"/>
        <w:sz w:val="18"/>
        <w:szCs w:val="18"/>
      </w:rPr>
      <mc:AlternateContent>
        <mc:Choice Requires="wps">
          <w:drawing>
            <wp:anchor distT="0" distB="0" distL="114300" distR="114300" simplePos="0" relativeHeight="251662336" behindDoc="0" locked="0" layoutInCell="1" allowOverlap="1">
              <wp:simplePos x="0" y="0"/>
              <wp:positionH relativeFrom="margin">
                <wp:posOffset>1902460</wp:posOffset>
              </wp:positionH>
              <wp:positionV relativeFrom="paragraph">
                <wp:posOffset>221615</wp:posOffset>
              </wp:positionV>
              <wp:extent cx="1892300" cy="1607185"/>
              <wp:effectExtent l="1905" t="0" r="1270" b="3175"/>
              <wp:wrapNone/>
              <wp:docPr id="1"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892300" cy="1607185"/>
                      </a:xfrm>
                      <a:prstGeom prst="rect">
                        <a:avLst/>
                      </a:prstGeom>
                      <a:noFill/>
                      <a:ln>
                        <a:noFill/>
                      </a:ln>
                    </wps:spPr>
                    <wps:txbx>
                      <w:txbxContent>
                        <w:p w14:paraId="6B4DE4C9"/>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149.8pt;margin-top:17.45pt;height:126.55pt;width:149pt;mso-position-horizontal-relative:margin;z-index:251662336;mso-width-relative:page;mso-height-relative:page;" filled="f" stroked="f" coordsize="21600,21600" o:gfxdata="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TKn22AAAAAoBAAAPAAAAAAAAAAEAIAAAACIAAABkcnMvZG93bnJl&#10;di54bWxQSwECFAAUAAAACACHTuJAWico7v0BAAAGBAAADgAAAAAAAAABACAAAAAnAQAAZHJzL2Uy&#10;b0RvYy54bWxQSwUGAAAAAAYABgBZAQAAlgUAAAAA&#10;">
              <v:fill on="f" focussize="0,0"/>
              <v:stroke on="f"/>
              <v:imagedata o:title=""/>
              <o:lock v:ext="edit" aspectratio="f"/>
              <v:textbox inset="0mm,0mm,0mm,0mm">
                <w:txbxContent>
                  <w:p w14:paraId="6B4DE4C9"/>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B741">
    <w:pPr>
      <w:pStyle w:val="18"/>
      <w:jc w:val="left"/>
      <w:rPr>
        <w:rStyle w:val="37"/>
        <w:rFonts w:ascii="仿宋" w:hAnsi="仿宋" w:eastAsia="仿宋"/>
      </w:rPr>
    </w:pPr>
    <w:r>
      <w:rPr>
        <w:rStyle w:val="37"/>
        <w:rFonts w:hint="eastAsia" w:ascii="仿宋" w:hAnsi="仿宋" w:eastAsia="仿宋"/>
      </w:rPr>
      <w:t>沣西新城2024-2025春季学期、2025-2026秋季学期营养改善计划食材采购</w:t>
    </w:r>
    <w:r>
      <w:rPr>
        <w:rStyle w:val="37"/>
        <w:rFonts w:hint="eastAsia" w:ascii="仿宋" w:hAnsi="仿宋" w:eastAsia="仿宋"/>
        <w:lang w:eastAsia="zh-CN"/>
      </w:rPr>
      <w:t>（</w:t>
    </w:r>
    <w:r>
      <w:rPr>
        <w:rStyle w:val="37"/>
        <w:rFonts w:hint="eastAsia" w:ascii="仿宋" w:hAnsi="仿宋" w:eastAsia="仿宋"/>
        <w:lang w:val="en-US" w:eastAsia="zh-CN"/>
      </w:rPr>
      <w:t>二次</w:t>
    </w:r>
    <w:r>
      <w:rPr>
        <w:rStyle w:val="37"/>
        <w:rFonts w:hint="eastAsia" w:ascii="仿宋" w:hAnsi="仿宋" w:eastAsia="仿宋"/>
        <w:lang w:eastAsia="zh-CN"/>
      </w:rPr>
      <w:t>）</w:t>
    </w:r>
    <w:r>
      <w:rPr>
        <w:rStyle w:val="37"/>
        <w:rFonts w:hint="eastAsia" w:ascii="仿宋" w:hAnsi="仿宋" w:eastAsia="仿宋"/>
        <w:lang w:val="en-US" w:eastAsia="zh-CN"/>
      </w:rPr>
      <w:t xml:space="preserve">                  </w:t>
    </w:r>
    <w:r>
      <w:rPr>
        <w:rStyle w:val="37"/>
        <w:rFonts w:ascii="仿宋" w:hAnsi="仿宋" w:eastAsia="仿宋"/>
      </w:rPr>
      <w:t>招标文件</w:t>
    </w:r>
  </w:p>
  <w:p w14:paraId="5A764A32">
    <w:pPr>
      <w:pStyle w:val="18"/>
      <w:pBdr>
        <w:bottom w:val="none" w:color="auto" w:sz="0" w:space="0"/>
      </w:pBdr>
      <w:rPr>
        <w:rStyle w:val="3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9ACE">
    <w:pPr>
      <w:pStyle w:val="18"/>
      <w:pBdr>
        <w:bottom w:val="none" w:color="auto" w:sz="0" w:space="1"/>
      </w:pBdr>
      <w:jc w:val="both"/>
      <w:rPr>
        <w:rFonts w:ascii="仿宋" w:hAnsi="仿宋" w:eastAsia="仿宋" w:cs="仿宋"/>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A4D7">
    <w:pPr>
      <w:pStyle w:val="18"/>
      <w:jc w:val="left"/>
      <w:rPr>
        <w:rFonts w:hint="eastAsia"/>
        <w:sz w:val="18"/>
        <w:szCs w:val="18"/>
      </w:rPr>
    </w:pPr>
    <w:r>
      <w:rPr>
        <w:rStyle w:val="37"/>
        <w:rFonts w:hint="eastAsia" w:ascii="仿宋" w:hAnsi="仿宋" w:eastAsia="仿宋"/>
      </w:rPr>
      <w:t>沣西新城2024-2025春季学期、2025-2026秋季学期营养改善计划食材采购</w:t>
    </w:r>
    <w:r>
      <w:rPr>
        <w:rStyle w:val="37"/>
        <w:rFonts w:hint="eastAsia" w:ascii="仿宋" w:hAnsi="仿宋" w:eastAsia="仿宋"/>
        <w:lang w:eastAsia="zh-CN"/>
      </w:rPr>
      <w:t>（</w:t>
    </w:r>
    <w:r>
      <w:rPr>
        <w:rStyle w:val="37"/>
        <w:rFonts w:hint="eastAsia" w:ascii="仿宋" w:hAnsi="仿宋" w:eastAsia="仿宋"/>
        <w:lang w:val="en-US" w:eastAsia="zh-CN"/>
      </w:rPr>
      <w:t>二次</w:t>
    </w:r>
    <w:r>
      <w:rPr>
        <w:rStyle w:val="37"/>
        <w:rFonts w:hint="eastAsia" w:ascii="仿宋" w:hAnsi="仿宋" w:eastAsia="仿宋"/>
        <w:lang w:eastAsia="zh-CN"/>
      </w:rPr>
      <w:t>）</w:t>
    </w:r>
    <w:r>
      <w:rPr>
        <w:rStyle w:val="37"/>
        <w:rFonts w:ascii="仿宋" w:hAnsi="仿宋" w:eastAsia="仿宋"/>
      </w:rPr>
      <w:t xml:space="preserve">  </w:t>
    </w:r>
    <w:r>
      <w:rPr>
        <w:rStyle w:val="37"/>
        <w:rFonts w:hint="eastAsia" w:ascii="仿宋" w:hAnsi="仿宋" w:eastAsia="仿宋"/>
        <w:lang w:val="en-US" w:eastAsia="zh-CN"/>
      </w:rPr>
      <w:t xml:space="preserve">                </w:t>
    </w:r>
    <w:r>
      <w:rPr>
        <w:rStyle w:val="37"/>
        <w:rFonts w:ascii="仿宋" w:hAnsi="仿宋" w:eastAsia="仿宋"/>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7484B">
    <w:pPr>
      <w:pStyle w:val="18"/>
      <w:jc w:val="left"/>
    </w:pPr>
    <w:r>
      <w:rPr>
        <w:rStyle w:val="37"/>
        <w:rFonts w:hint="eastAsia" w:ascii="仿宋" w:hAnsi="仿宋" w:eastAsia="仿宋"/>
      </w:rPr>
      <w:t>沣西新城2024-2025春季学期、2025-2026秋季学期营养改善计划食材采购</w:t>
    </w:r>
    <w:r>
      <w:rPr>
        <w:rStyle w:val="37"/>
        <w:rFonts w:hint="eastAsia" w:ascii="仿宋" w:hAnsi="仿宋" w:eastAsia="仿宋"/>
        <w:lang w:val="en-US" w:eastAsia="zh-CN"/>
      </w:rPr>
      <w:t xml:space="preserve">（二次）                   </w:t>
    </w:r>
    <w:r>
      <w:rPr>
        <w:rStyle w:val="37"/>
        <w:rFonts w:ascii="仿宋" w:hAnsi="仿宋" w:eastAsia="仿宋"/>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69"/>
      <w:lvlText w:val="%1. "/>
      <w:lvlJc w:val="left"/>
      <w:pPr>
        <w:tabs>
          <w:tab w:val="left" w:pos="839"/>
        </w:tabs>
        <w:ind w:left="839" w:hanging="419"/>
        <w:textAlignment w:val="baseline"/>
      </w:pPr>
    </w:lvl>
    <w:lvl w:ilvl="1" w:tentative="0">
      <w:start w:val="1"/>
      <w:numFmt w:val="upperLetter"/>
      <w:pStyle w:val="245"/>
      <w:lvlText w:val="%1. "/>
      <w:lvlJc w:val="left"/>
      <w:pPr>
        <w:tabs>
          <w:tab w:val="left" w:pos="1049"/>
        </w:tabs>
        <w:ind w:left="1049" w:hanging="420"/>
        <w:textAlignment w:val="baseline"/>
      </w:pPr>
    </w:lvl>
    <w:lvl w:ilvl="2" w:tentative="0">
      <w:start w:val="1"/>
      <w:numFmt w:val="lowerLetter"/>
      <w:pStyle w:val="257"/>
      <w:lvlText w:val="%1. "/>
      <w:lvlJc w:val="left"/>
      <w:pPr>
        <w:tabs>
          <w:tab w:val="left" w:pos="1259"/>
        </w:tabs>
        <w:ind w:left="1259" w:hanging="420"/>
        <w:textAlignment w:val="baseline"/>
      </w:pPr>
    </w:lvl>
    <w:lvl w:ilvl="3" w:tentative="0">
      <w:start w:val="1"/>
      <w:numFmt w:val="lowerLetter"/>
      <w:pStyle w:val="248"/>
      <w:lvlText w:val="%1) "/>
      <w:lvlJc w:val="left"/>
      <w:pPr>
        <w:tabs>
          <w:tab w:val="left" w:pos="1469"/>
        </w:tabs>
        <w:ind w:left="1469" w:hanging="420"/>
        <w:textAlignment w:val="baseline"/>
      </w:pPr>
    </w:lvl>
    <w:lvl w:ilvl="4" w:tentative="0">
      <w:start w:val="1"/>
      <w:numFmt w:val="decimal"/>
      <w:suff w:val="nothing"/>
      <w:lvlText w:val=""/>
      <w:lvlJc w:val="left"/>
      <w:pPr>
        <w:ind w:left="1259" w:firstLine="0"/>
        <w:textAlignment w:val="baseline"/>
      </w:pPr>
    </w:lvl>
    <w:lvl w:ilvl="5" w:tentative="0">
      <w:start w:val="1"/>
      <w:numFmt w:val="decimal"/>
      <w:suff w:val="nothing"/>
      <w:lvlText w:val=""/>
      <w:lvlJc w:val="left"/>
      <w:pPr>
        <w:ind w:left="1259" w:firstLine="0"/>
        <w:textAlignment w:val="baseline"/>
      </w:pPr>
    </w:lvl>
    <w:lvl w:ilvl="6" w:tentative="0">
      <w:start w:val="1"/>
      <w:numFmt w:val="decimal"/>
      <w:suff w:val="nothing"/>
      <w:lvlText w:val=""/>
      <w:lvlJc w:val="left"/>
      <w:pPr>
        <w:ind w:left="1259" w:firstLine="0"/>
        <w:textAlignment w:val="baseline"/>
      </w:pPr>
    </w:lvl>
    <w:lvl w:ilvl="7" w:tentative="0">
      <w:start w:val="1"/>
      <w:numFmt w:val="decimal"/>
      <w:suff w:val="nothing"/>
      <w:lvlText w:val=""/>
      <w:lvlJc w:val="left"/>
      <w:pPr>
        <w:ind w:left="1259" w:firstLine="0"/>
        <w:textAlignment w:val="baseline"/>
      </w:pPr>
    </w:lvl>
    <w:lvl w:ilvl="8" w:tentative="0">
      <w:start w:val="1"/>
      <w:numFmt w:val="decimal"/>
      <w:suff w:val="nothing"/>
      <w:lvlText w:val=""/>
      <w:lvlJc w:val="left"/>
      <w:pPr>
        <w:ind w:left="1259" w:firstLine="0"/>
        <w:textAlignment w:val="baseline"/>
      </w:pPr>
    </w:lvl>
  </w:abstractNum>
  <w:abstractNum w:abstractNumId="1">
    <w:nsid w:val="0000001F"/>
    <w:multiLevelType w:val="singleLevel"/>
    <w:tmpl w:val="0000001F"/>
    <w:lvl w:ilvl="0" w:tentative="0">
      <w:start w:val="1"/>
      <w:numFmt w:val="decimal"/>
      <w:pStyle w:val="259"/>
      <w:lvlText w:val="%1．"/>
      <w:lvlJc w:val="left"/>
      <w:pPr>
        <w:tabs>
          <w:tab w:val="left" w:pos="720"/>
        </w:tabs>
        <w:ind w:left="720" w:hanging="720"/>
        <w:textAlignment w:val="baseline"/>
      </w:pPr>
    </w:lvl>
  </w:abstractNum>
  <w:abstractNum w:abstractNumId="2">
    <w:nsid w:val="00000024"/>
    <w:multiLevelType w:val="multilevel"/>
    <w:tmpl w:val="00000024"/>
    <w:lvl w:ilvl="0" w:tentative="0">
      <w:start w:val="1"/>
      <w:numFmt w:val="bullet"/>
      <w:lvlText w:val=""/>
      <w:lvlJc w:val="left"/>
      <w:pPr>
        <w:tabs>
          <w:tab w:val="left" w:pos="420"/>
        </w:tabs>
        <w:ind w:left="420" w:hanging="420"/>
        <w:textAlignment w:val="baseline"/>
      </w:pPr>
      <w:rPr>
        <w:rFonts w:ascii="Wingdings" w:hAnsi="Wingdings"/>
      </w:rPr>
    </w:lvl>
    <w:lvl w:ilvl="1" w:tentative="0">
      <w:start w:val="1"/>
      <w:numFmt w:val="bullet"/>
      <w:lvlText w:val=""/>
      <w:lvlJc w:val="left"/>
      <w:pPr>
        <w:tabs>
          <w:tab w:val="left" w:pos="840"/>
        </w:tabs>
        <w:ind w:left="840" w:hanging="420"/>
        <w:textAlignment w:val="baseline"/>
      </w:pPr>
      <w:rPr>
        <w:rFonts w:ascii="Wingdings" w:hAnsi="Wingdings"/>
      </w:rPr>
    </w:lvl>
    <w:lvl w:ilvl="2" w:tentative="0">
      <w:start w:val="1"/>
      <w:numFmt w:val="bullet"/>
      <w:lvlText w:val=""/>
      <w:lvlJc w:val="left"/>
      <w:pPr>
        <w:tabs>
          <w:tab w:val="left" w:pos="1260"/>
        </w:tabs>
        <w:ind w:left="1260" w:hanging="420"/>
        <w:textAlignment w:val="baseline"/>
      </w:pPr>
      <w:rPr>
        <w:rFonts w:ascii="Wingdings" w:hAnsi="Wingdings"/>
      </w:rPr>
    </w:lvl>
    <w:lvl w:ilvl="3" w:tentative="0">
      <w:start w:val="1"/>
      <w:numFmt w:val="bullet"/>
      <w:pStyle w:val="287"/>
      <w:lvlText w:val=""/>
      <w:lvlJc w:val="left"/>
      <w:pPr>
        <w:tabs>
          <w:tab w:val="left" w:pos="1680"/>
        </w:tabs>
        <w:ind w:left="1680" w:hanging="420"/>
        <w:textAlignment w:val="baseline"/>
      </w:pPr>
      <w:rPr>
        <w:rFonts w:ascii="Wingdings" w:hAnsi="Wingdings"/>
      </w:rPr>
    </w:lvl>
    <w:lvl w:ilvl="4" w:tentative="0">
      <w:start w:val="1"/>
      <w:numFmt w:val="bullet"/>
      <w:lvlText w:val=""/>
      <w:lvlJc w:val="left"/>
      <w:pPr>
        <w:tabs>
          <w:tab w:val="left" w:pos="2100"/>
        </w:tabs>
        <w:ind w:left="2100" w:hanging="420"/>
        <w:textAlignment w:val="baseline"/>
      </w:pPr>
      <w:rPr>
        <w:rFonts w:ascii="Wingdings" w:hAnsi="Wingdings"/>
      </w:rPr>
    </w:lvl>
    <w:lvl w:ilvl="5" w:tentative="0">
      <w:start w:val="1"/>
      <w:numFmt w:val="bullet"/>
      <w:lvlText w:val=""/>
      <w:lvlJc w:val="left"/>
      <w:pPr>
        <w:tabs>
          <w:tab w:val="left" w:pos="2520"/>
        </w:tabs>
        <w:ind w:left="2520" w:hanging="420"/>
        <w:textAlignment w:val="baseline"/>
      </w:pPr>
      <w:rPr>
        <w:rFonts w:ascii="Wingdings" w:hAnsi="Wingdings"/>
      </w:rPr>
    </w:lvl>
    <w:lvl w:ilvl="6" w:tentative="0">
      <w:start w:val="1"/>
      <w:numFmt w:val="bullet"/>
      <w:lvlText w:val=""/>
      <w:lvlJc w:val="left"/>
      <w:pPr>
        <w:tabs>
          <w:tab w:val="left" w:pos="2940"/>
        </w:tabs>
        <w:ind w:left="2940" w:hanging="420"/>
        <w:textAlignment w:val="baseline"/>
      </w:pPr>
      <w:rPr>
        <w:rFonts w:ascii="Wingdings" w:hAnsi="Wingdings"/>
      </w:rPr>
    </w:lvl>
    <w:lvl w:ilvl="7" w:tentative="0">
      <w:start w:val="1"/>
      <w:numFmt w:val="bullet"/>
      <w:lvlText w:val=""/>
      <w:lvlJc w:val="left"/>
      <w:pPr>
        <w:tabs>
          <w:tab w:val="left" w:pos="3360"/>
        </w:tabs>
        <w:ind w:left="3360" w:hanging="420"/>
        <w:textAlignment w:val="baseline"/>
      </w:pPr>
      <w:rPr>
        <w:rFonts w:ascii="Wingdings" w:hAnsi="Wingdings"/>
      </w:rPr>
    </w:lvl>
    <w:lvl w:ilvl="8" w:tentative="0">
      <w:start w:val="1"/>
      <w:numFmt w:val="bullet"/>
      <w:lvlText w:val=""/>
      <w:lvlJc w:val="left"/>
      <w:pPr>
        <w:tabs>
          <w:tab w:val="left" w:pos="3780"/>
        </w:tabs>
        <w:ind w:left="3780" w:hanging="420"/>
        <w:textAlignment w:val="baseline"/>
      </w:pPr>
      <w:rPr>
        <w:rFonts w:ascii="Wingdings" w:hAnsi="Wingdings"/>
      </w:rPr>
    </w:lvl>
  </w:abstractNum>
  <w:abstractNum w:abstractNumId="3">
    <w:nsid w:val="00000031"/>
    <w:multiLevelType w:val="multilevel"/>
    <w:tmpl w:val="00000031"/>
    <w:lvl w:ilvl="0" w:tentative="0">
      <w:start w:val="1"/>
      <w:numFmt w:val="decimal"/>
      <w:lvlText w:val="%1."/>
      <w:lvlJc w:val="left"/>
      <w:pPr>
        <w:tabs>
          <w:tab w:val="left" w:pos="420"/>
        </w:tabs>
        <w:ind w:left="420" w:hanging="420"/>
        <w:textAlignment w:val="baseline"/>
      </w:pPr>
    </w:lvl>
    <w:lvl w:ilvl="1" w:tentative="0">
      <w:start w:val="1"/>
      <w:numFmt w:val="bullet"/>
      <w:pStyle w:val="22"/>
      <w:lvlText w:val=""/>
      <w:lvlJc w:val="left"/>
      <w:pPr>
        <w:tabs>
          <w:tab w:val="left" w:pos="840"/>
        </w:tabs>
        <w:ind w:left="840" w:hanging="420"/>
        <w:textAlignment w:val="baseline"/>
      </w:pPr>
      <w:rPr>
        <w:rFonts w:ascii="Wingdings" w:hAnsi="Wingdings"/>
      </w:r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4"/>
      <w:numFmt w:val="decimal"/>
      <w:lvlText w:val="%1、"/>
      <w:lvlJc w:val="left"/>
      <w:pPr>
        <w:tabs>
          <w:tab w:val="left" w:pos="2160"/>
        </w:tabs>
        <w:ind w:left="2160" w:hanging="480"/>
        <w:textAlignment w:val="baseline"/>
      </w:pPr>
    </w:lvl>
    <w:lvl w:ilvl="5" w:tentative="0">
      <w:start w:val="28"/>
      <w:numFmt w:val="decimal"/>
      <w:lvlText w:val="%1．"/>
      <w:lvlJc w:val="lef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4">
    <w:nsid w:val="1F657066"/>
    <w:multiLevelType w:val="singleLevel"/>
    <w:tmpl w:val="1F657066"/>
    <w:lvl w:ilvl="0" w:tentative="0">
      <w:start w:val="1"/>
      <w:numFmt w:val="decimal"/>
      <w:suff w:val="nothing"/>
      <w:lvlText w:val="（%1）"/>
      <w:lvlJc w:val="left"/>
      <w:pPr>
        <w:ind w:left="-4"/>
      </w:pPr>
    </w:lvl>
  </w:abstractNum>
  <w:abstractNum w:abstractNumId="5">
    <w:nsid w:val="5B0CE37E"/>
    <w:multiLevelType w:val="singleLevel"/>
    <w:tmpl w:val="5B0CE37E"/>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MjA4MDE1M2UyNDQ5OTZmNTY2MzZkYzY2NjJiOTQifQ=="/>
  </w:docVars>
  <w:rsids>
    <w:rsidRoot w:val="00D01BD7"/>
    <w:rsid w:val="000A08A0"/>
    <w:rsid w:val="000E0CC3"/>
    <w:rsid w:val="00214129"/>
    <w:rsid w:val="002B112C"/>
    <w:rsid w:val="003D41E8"/>
    <w:rsid w:val="00476722"/>
    <w:rsid w:val="00482B57"/>
    <w:rsid w:val="004874D8"/>
    <w:rsid w:val="004B58D3"/>
    <w:rsid w:val="004D0124"/>
    <w:rsid w:val="005A20AC"/>
    <w:rsid w:val="00625B62"/>
    <w:rsid w:val="00700CEB"/>
    <w:rsid w:val="00777393"/>
    <w:rsid w:val="007E5282"/>
    <w:rsid w:val="007F56DE"/>
    <w:rsid w:val="008D74E0"/>
    <w:rsid w:val="008E7044"/>
    <w:rsid w:val="00964841"/>
    <w:rsid w:val="009E322A"/>
    <w:rsid w:val="00A62458"/>
    <w:rsid w:val="00AA238F"/>
    <w:rsid w:val="00B734D7"/>
    <w:rsid w:val="00B95C1A"/>
    <w:rsid w:val="00BB1F5C"/>
    <w:rsid w:val="00BF7599"/>
    <w:rsid w:val="00C208F5"/>
    <w:rsid w:val="00CA543B"/>
    <w:rsid w:val="00CE7850"/>
    <w:rsid w:val="00D01BD7"/>
    <w:rsid w:val="00D41D40"/>
    <w:rsid w:val="00DC7F22"/>
    <w:rsid w:val="00E463F9"/>
    <w:rsid w:val="00E9339C"/>
    <w:rsid w:val="00F565D4"/>
    <w:rsid w:val="00F83CA0"/>
    <w:rsid w:val="01472E5B"/>
    <w:rsid w:val="03421CA7"/>
    <w:rsid w:val="036B1BAF"/>
    <w:rsid w:val="03BA6BEC"/>
    <w:rsid w:val="03FB58FC"/>
    <w:rsid w:val="04D550AF"/>
    <w:rsid w:val="04E92477"/>
    <w:rsid w:val="05D3730F"/>
    <w:rsid w:val="06B807E5"/>
    <w:rsid w:val="06E8221E"/>
    <w:rsid w:val="07EB1159"/>
    <w:rsid w:val="080D5FE1"/>
    <w:rsid w:val="09261A09"/>
    <w:rsid w:val="094B5940"/>
    <w:rsid w:val="098977BD"/>
    <w:rsid w:val="09DD422A"/>
    <w:rsid w:val="0A1C479F"/>
    <w:rsid w:val="0A67264E"/>
    <w:rsid w:val="0B0E6386"/>
    <w:rsid w:val="0B2B49A2"/>
    <w:rsid w:val="0C0546F8"/>
    <w:rsid w:val="0C6F1945"/>
    <w:rsid w:val="0CB906CC"/>
    <w:rsid w:val="0CD36378"/>
    <w:rsid w:val="0E6A3693"/>
    <w:rsid w:val="0F406695"/>
    <w:rsid w:val="0F9E7E9E"/>
    <w:rsid w:val="0FB7640F"/>
    <w:rsid w:val="0FE004B2"/>
    <w:rsid w:val="116E041E"/>
    <w:rsid w:val="11810C8B"/>
    <w:rsid w:val="11A60498"/>
    <w:rsid w:val="11B53A18"/>
    <w:rsid w:val="11E14163"/>
    <w:rsid w:val="11F83E75"/>
    <w:rsid w:val="12FA3A2A"/>
    <w:rsid w:val="12FB03D7"/>
    <w:rsid w:val="13207035"/>
    <w:rsid w:val="1351056E"/>
    <w:rsid w:val="14211F36"/>
    <w:rsid w:val="14D709D0"/>
    <w:rsid w:val="154F67B8"/>
    <w:rsid w:val="157C6787"/>
    <w:rsid w:val="158C11EF"/>
    <w:rsid w:val="15A563D8"/>
    <w:rsid w:val="16EF08F1"/>
    <w:rsid w:val="17493B7C"/>
    <w:rsid w:val="17C81463"/>
    <w:rsid w:val="17CF340B"/>
    <w:rsid w:val="18660174"/>
    <w:rsid w:val="18E34932"/>
    <w:rsid w:val="190432EC"/>
    <w:rsid w:val="191102E6"/>
    <w:rsid w:val="19172C6B"/>
    <w:rsid w:val="19904BB6"/>
    <w:rsid w:val="19E219A9"/>
    <w:rsid w:val="19EC2F20"/>
    <w:rsid w:val="19F41CF7"/>
    <w:rsid w:val="1A2F284E"/>
    <w:rsid w:val="1A330456"/>
    <w:rsid w:val="1A79620A"/>
    <w:rsid w:val="1AF13644"/>
    <w:rsid w:val="1BC91963"/>
    <w:rsid w:val="1BE91714"/>
    <w:rsid w:val="1BFE4976"/>
    <w:rsid w:val="1C124A9F"/>
    <w:rsid w:val="1C3A0300"/>
    <w:rsid w:val="1C4E374A"/>
    <w:rsid w:val="1C876837"/>
    <w:rsid w:val="1D9D3D90"/>
    <w:rsid w:val="1EAB089E"/>
    <w:rsid w:val="1EC61EA9"/>
    <w:rsid w:val="1EC75171"/>
    <w:rsid w:val="1EFA1543"/>
    <w:rsid w:val="1F197FB3"/>
    <w:rsid w:val="1F6650A6"/>
    <w:rsid w:val="1FAF3F4A"/>
    <w:rsid w:val="20A0611A"/>
    <w:rsid w:val="22160361"/>
    <w:rsid w:val="22326284"/>
    <w:rsid w:val="22770AC2"/>
    <w:rsid w:val="227E692E"/>
    <w:rsid w:val="22DE7660"/>
    <w:rsid w:val="22F64717"/>
    <w:rsid w:val="2390535F"/>
    <w:rsid w:val="239E2D1A"/>
    <w:rsid w:val="24114338"/>
    <w:rsid w:val="2431147E"/>
    <w:rsid w:val="2559654E"/>
    <w:rsid w:val="25BA1A2C"/>
    <w:rsid w:val="260E6540"/>
    <w:rsid w:val="26174DCE"/>
    <w:rsid w:val="264F248B"/>
    <w:rsid w:val="27567ED6"/>
    <w:rsid w:val="275D391F"/>
    <w:rsid w:val="27652721"/>
    <w:rsid w:val="27AE3812"/>
    <w:rsid w:val="28B2037A"/>
    <w:rsid w:val="28B37938"/>
    <w:rsid w:val="29580C18"/>
    <w:rsid w:val="29CB7253"/>
    <w:rsid w:val="29DD101E"/>
    <w:rsid w:val="2A734035"/>
    <w:rsid w:val="2AB37928"/>
    <w:rsid w:val="2B207187"/>
    <w:rsid w:val="2B3202B6"/>
    <w:rsid w:val="2B665486"/>
    <w:rsid w:val="2B886FD5"/>
    <w:rsid w:val="2BEE5F65"/>
    <w:rsid w:val="2C416A03"/>
    <w:rsid w:val="2C4F369F"/>
    <w:rsid w:val="2C7A21ED"/>
    <w:rsid w:val="2CAA1870"/>
    <w:rsid w:val="2D2A39DF"/>
    <w:rsid w:val="2E110657"/>
    <w:rsid w:val="2E8B7856"/>
    <w:rsid w:val="2F047266"/>
    <w:rsid w:val="2F425F90"/>
    <w:rsid w:val="2F6405B3"/>
    <w:rsid w:val="2FF0022B"/>
    <w:rsid w:val="306A7B82"/>
    <w:rsid w:val="30F4495F"/>
    <w:rsid w:val="30FE1366"/>
    <w:rsid w:val="31CB6C56"/>
    <w:rsid w:val="31F17723"/>
    <w:rsid w:val="320C1861"/>
    <w:rsid w:val="322D17D7"/>
    <w:rsid w:val="32727086"/>
    <w:rsid w:val="3274536B"/>
    <w:rsid w:val="337B2CE7"/>
    <w:rsid w:val="33FF6261"/>
    <w:rsid w:val="340E4F17"/>
    <w:rsid w:val="34AC3CB6"/>
    <w:rsid w:val="34CC5547"/>
    <w:rsid w:val="356D12B5"/>
    <w:rsid w:val="35BD2160"/>
    <w:rsid w:val="36B36A3B"/>
    <w:rsid w:val="36B82C17"/>
    <w:rsid w:val="36E05ADF"/>
    <w:rsid w:val="374E46CA"/>
    <w:rsid w:val="37BA1D5F"/>
    <w:rsid w:val="37CD1864"/>
    <w:rsid w:val="385A3964"/>
    <w:rsid w:val="389745F6"/>
    <w:rsid w:val="38D92F68"/>
    <w:rsid w:val="391C7540"/>
    <w:rsid w:val="39365415"/>
    <w:rsid w:val="39691347"/>
    <w:rsid w:val="39DF785B"/>
    <w:rsid w:val="3AA87AF5"/>
    <w:rsid w:val="3ACB113B"/>
    <w:rsid w:val="3C2D2B00"/>
    <w:rsid w:val="3C3F2833"/>
    <w:rsid w:val="3CB45B3E"/>
    <w:rsid w:val="3CC21106"/>
    <w:rsid w:val="3D0E1545"/>
    <w:rsid w:val="3D272672"/>
    <w:rsid w:val="3E027FBC"/>
    <w:rsid w:val="3E1F3D47"/>
    <w:rsid w:val="3E822044"/>
    <w:rsid w:val="3EBF7C5B"/>
    <w:rsid w:val="3F5877BC"/>
    <w:rsid w:val="4044666A"/>
    <w:rsid w:val="4070745F"/>
    <w:rsid w:val="4080519A"/>
    <w:rsid w:val="40B25AFA"/>
    <w:rsid w:val="40C2091E"/>
    <w:rsid w:val="41CC2DBB"/>
    <w:rsid w:val="42162288"/>
    <w:rsid w:val="42646168"/>
    <w:rsid w:val="42BD2703"/>
    <w:rsid w:val="42D90192"/>
    <w:rsid w:val="42EE7707"/>
    <w:rsid w:val="43212C92"/>
    <w:rsid w:val="458B6FC7"/>
    <w:rsid w:val="45F6233E"/>
    <w:rsid w:val="45F91CA4"/>
    <w:rsid w:val="46140DB3"/>
    <w:rsid w:val="46202B45"/>
    <w:rsid w:val="468D0F98"/>
    <w:rsid w:val="46B01139"/>
    <w:rsid w:val="46F43DC9"/>
    <w:rsid w:val="47262F6D"/>
    <w:rsid w:val="473513C9"/>
    <w:rsid w:val="47A23BC4"/>
    <w:rsid w:val="47DE6D7A"/>
    <w:rsid w:val="47E66AA7"/>
    <w:rsid w:val="480C16A5"/>
    <w:rsid w:val="489F35CB"/>
    <w:rsid w:val="48D015CA"/>
    <w:rsid w:val="4975328B"/>
    <w:rsid w:val="49771C5F"/>
    <w:rsid w:val="4A067ECB"/>
    <w:rsid w:val="4A54334B"/>
    <w:rsid w:val="4A595B99"/>
    <w:rsid w:val="4BC15012"/>
    <w:rsid w:val="4BD5286C"/>
    <w:rsid w:val="4C1467CD"/>
    <w:rsid w:val="4C36439B"/>
    <w:rsid w:val="4C985138"/>
    <w:rsid w:val="4DBD7A5B"/>
    <w:rsid w:val="4DF0398D"/>
    <w:rsid w:val="4DF96A72"/>
    <w:rsid w:val="4E0F6F0F"/>
    <w:rsid w:val="4E9C73F5"/>
    <w:rsid w:val="4EBE29F8"/>
    <w:rsid w:val="4ECC7F56"/>
    <w:rsid w:val="4EDD1CFD"/>
    <w:rsid w:val="4FFB7237"/>
    <w:rsid w:val="50697A27"/>
    <w:rsid w:val="51297F72"/>
    <w:rsid w:val="52100AA2"/>
    <w:rsid w:val="52AD62F0"/>
    <w:rsid w:val="52CD782E"/>
    <w:rsid w:val="52E50471"/>
    <w:rsid w:val="534D2CFC"/>
    <w:rsid w:val="538D116C"/>
    <w:rsid w:val="53AA2830"/>
    <w:rsid w:val="53BC4E35"/>
    <w:rsid w:val="53DF43E9"/>
    <w:rsid w:val="53F27DE0"/>
    <w:rsid w:val="540D5FE8"/>
    <w:rsid w:val="54664F2D"/>
    <w:rsid w:val="555A1668"/>
    <w:rsid w:val="55AE6607"/>
    <w:rsid w:val="56255F09"/>
    <w:rsid w:val="564E345D"/>
    <w:rsid w:val="56C1236A"/>
    <w:rsid w:val="56C206D4"/>
    <w:rsid w:val="575344E2"/>
    <w:rsid w:val="5829466B"/>
    <w:rsid w:val="58A90154"/>
    <w:rsid w:val="58BF1AFB"/>
    <w:rsid w:val="592F7A5F"/>
    <w:rsid w:val="59726A19"/>
    <w:rsid w:val="59BE7831"/>
    <w:rsid w:val="5A20202F"/>
    <w:rsid w:val="5A8311F8"/>
    <w:rsid w:val="5B560B7E"/>
    <w:rsid w:val="5B5E7652"/>
    <w:rsid w:val="5BCE7A03"/>
    <w:rsid w:val="5BF40DAB"/>
    <w:rsid w:val="5C9B540C"/>
    <w:rsid w:val="5CD3167B"/>
    <w:rsid w:val="5D312178"/>
    <w:rsid w:val="5D3F223B"/>
    <w:rsid w:val="5DD77524"/>
    <w:rsid w:val="5E1049E5"/>
    <w:rsid w:val="5E28164B"/>
    <w:rsid w:val="5E712A21"/>
    <w:rsid w:val="5F092881"/>
    <w:rsid w:val="5F0D255D"/>
    <w:rsid w:val="5F1D48CF"/>
    <w:rsid w:val="5F473629"/>
    <w:rsid w:val="5F712057"/>
    <w:rsid w:val="5F88408D"/>
    <w:rsid w:val="5FCB6008"/>
    <w:rsid w:val="600E2A31"/>
    <w:rsid w:val="60285B1A"/>
    <w:rsid w:val="6032122F"/>
    <w:rsid w:val="60FC6CC7"/>
    <w:rsid w:val="610836B6"/>
    <w:rsid w:val="61DF347F"/>
    <w:rsid w:val="62161411"/>
    <w:rsid w:val="62280BFD"/>
    <w:rsid w:val="62CA6B84"/>
    <w:rsid w:val="62E46DE1"/>
    <w:rsid w:val="62E90F1D"/>
    <w:rsid w:val="634501F1"/>
    <w:rsid w:val="63C026D9"/>
    <w:rsid w:val="63C33A51"/>
    <w:rsid w:val="641F4B74"/>
    <w:rsid w:val="64BD682A"/>
    <w:rsid w:val="650E2B03"/>
    <w:rsid w:val="65B654C1"/>
    <w:rsid w:val="65D379C4"/>
    <w:rsid w:val="663514EB"/>
    <w:rsid w:val="663E0B6F"/>
    <w:rsid w:val="67535261"/>
    <w:rsid w:val="6870599E"/>
    <w:rsid w:val="68C32826"/>
    <w:rsid w:val="69A730D7"/>
    <w:rsid w:val="6A9E1E7C"/>
    <w:rsid w:val="6B5E4754"/>
    <w:rsid w:val="6B675732"/>
    <w:rsid w:val="6B8E57D8"/>
    <w:rsid w:val="6BE277FF"/>
    <w:rsid w:val="6C997C32"/>
    <w:rsid w:val="6CED5810"/>
    <w:rsid w:val="6D197C52"/>
    <w:rsid w:val="6D9D751F"/>
    <w:rsid w:val="6E4A7E8E"/>
    <w:rsid w:val="6F3A0AB4"/>
    <w:rsid w:val="6F63000B"/>
    <w:rsid w:val="6F9A5EE2"/>
    <w:rsid w:val="70421AB1"/>
    <w:rsid w:val="705B6330"/>
    <w:rsid w:val="71070DA8"/>
    <w:rsid w:val="71663DE2"/>
    <w:rsid w:val="717C72B8"/>
    <w:rsid w:val="72026A24"/>
    <w:rsid w:val="7238797B"/>
    <w:rsid w:val="72526981"/>
    <w:rsid w:val="72A921D9"/>
    <w:rsid w:val="73025106"/>
    <w:rsid w:val="732857F3"/>
    <w:rsid w:val="734C0DB6"/>
    <w:rsid w:val="737F73DD"/>
    <w:rsid w:val="738D1AFA"/>
    <w:rsid w:val="742B135E"/>
    <w:rsid w:val="745D029D"/>
    <w:rsid w:val="749244DE"/>
    <w:rsid w:val="74B80455"/>
    <w:rsid w:val="74EF52FC"/>
    <w:rsid w:val="75C81268"/>
    <w:rsid w:val="76515FD0"/>
    <w:rsid w:val="77CC40C2"/>
    <w:rsid w:val="77DA2AD6"/>
    <w:rsid w:val="77E66DCA"/>
    <w:rsid w:val="77FF5426"/>
    <w:rsid w:val="79A701B0"/>
    <w:rsid w:val="7A6D4A53"/>
    <w:rsid w:val="7ADB6B0B"/>
    <w:rsid w:val="7B8167E7"/>
    <w:rsid w:val="7B9951D9"/>
    <w:rsid w:val="7BA34E22"/>
    <w:rsid w:val="7C321491"/>
    <w:rsid w:val="7C5036C5"/>
    <w:rsid w:val="7C683105"/>
    <w:rsid w:val="7E4E281E"/>
    <w:rsid w:val="7EC31FF2"/>
    <w:rsid w:val="7EC330C4"/>
    <w:rsid w:val="7F69341C"/>
    <w:rsid w:val="7F9E0BEB"/>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宋体" w:hAnsi="Times New Roman" w:eastAsia="宋体" w:cstheme="minorBidi"/>
      <w:sz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5">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6">
    <w:name w:val="heading 4"/>
    <w:basedOn w:val="1"/>
    <w:next w:val="1"/>
    <w:autoRedefine/>
    <w:semiHidden/>
    <w:unhideWhenUsed/>
    <w:qFormat/>
    <w:uiPriority w:val="0"/>
    <w:pPr>
      <w:spacing w:beforeAutospacing="1" w:afterAutospacing="1"/>
      <w:jc w:val="left"/>
      <w:outlineLvl w:val="3"/>
    </w:pPr>
    <w:rPr>
      <w:rFonts w:hint="eastAsia" w:hAnsi="宋体" w:cs="Times New Roman"/>
      <w:b/>
      <w:bCs/>
      <w:szCs w:val="24"/>
    </w:rPr>
  </w:style>
  <w:style w:type="paragraph" w:styleId="7">
    <w:name w:val="heading 6"/>
    <w:basedOn w:val="1"/>
    <w:next w:val="1"/>
    <w:autoRedefine/>
    <w:semiHidden/>
    <w:unhideWhenUsed/>
    <w:qFormat/>
    <w:uiPriority w:val="0"/>
    <w:pPr>
      <w:spacing w:beforeAutospacing="1" w:afterAutospacing="1"/>
      <w:jc w:val="left"/>
      <w:outlineLvl w:val="5"/>
    </w:pPr>
    <w:rPr>
      <w:rFonts w:hint="eastAsia" w:hAnsi="宋体" w:cs="Times New Roman"/>
      <w:b/>
      <w:bCs/>
      <w:sz w:val="15"/>
      <w:szCs w:val="15"/>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kern w:val="2"/>
      <w:sz w:val="21"/>
    </w:rPr>
  </w:style>
  <w:style w:type="paragraph" w:styleId="8">
    <w:name w:val="Normal Indent"/>
    <w:basedOn w:val="1"/>
    <w:autoRedefine/>
    <w:qFormat/>
    <w:uiPriority w:val="0"/>
    <w:pPr>
      <w:spacing w:line="300" w:lineRule="auto"/>
      <w:ind w:firstLine="420" w:firstLineChars="200"/>
    </w:pPr>
    <w:rPr>
      <w:rFonts w:ascii="Times New Roman"/>
      <w:kern w:val="2"/>
      <w:sz w:val="21"/>
      <w:szCs w:val="24"/>
    </w:rPr>
  </w:style>
  <w:style w:type="paragraph" w:styleId="9">
    <w:name w:val="caption"/>
    <w:basedOn w:val="1"/>
    <w:next w:val="1"/>
    <w:link w:val="64"/>
    <w:autoRedefine/>
    <w:qFormat/>
    <w:uiPriority w:val="0"/>
    <w:pPr>
      <w:spacing w:before="152" w:after="160"/>
    </w:pPr>
    <w:rPr>
      <w:rFonts w:ascii="Arial" w:hAnsi="Arial" w:eastAsia="黑体"/>
      <w:kern w:val="2"/>
      <w:sz w:val="20"/>
    </w:rPr>
  </w:style>
  <w:style w:type="paragraph" w:styleId="10">
    <w:name w:val="annotation text"/>
    <w:basedOn w:val="1"/>
    <w:link w:val="291"/>
    <w:autoRedefine/>
    <w:qFormat/>
    <w:uiPriority w:val="0"/>
    <w:pPr>
      <w:jc w:val="left"/>
    </w:pPr>
  </w:style>
  <w:style w:type="paragraph" w:styleId="11">
    <w:name w:val="Body Text Indent"/>
    <w:basedOn w:val="1"/>
    <w:next w:val="1"/>
    <w:autoRedefine/>
    <w:qFormat/>
    <w:uiPriority w:val="0"/>
    <w:pPr>
      <w:widowControl/>
      <w:ind w:firstLine="652" w:firstLineChars="233"/>
    </w:pPr>
    <w:rPr>
      <w:rFonts w:ascii="Times New Roman"/>
      <w:sz w:val="28"/>
    </w:rPr>
  </w:style>
  <w:style w:type="paragraph" w:styleId="12">
    <w:name w:val="Block Text"/>
    <w:basedOn w:val="1"/>
    <w:autoRedefine/>
    <w:qFormat/>
    <w:uiPriority w:val="0"/>
    <w:pPr>
      <w:ind w:left="1440" w:leftChars="700" w:right="700" w:rightChars="700"/>
    </w:pPr>
  </w:style>
  <w:style w:type="paragraph" w:styleId="13">
    <w:name w:val="Plain Text"/>
    <w:basedOn w:val="1"/>
    <w:next w:val="1"/>
    <w:autoRedefine/>
    <w:qFormat/>
    <w:uiPriority w:val="0"/>
    <w:rPr>
      <w:rFonts w:hAnsi="Courier New"/>
      <w:kern w:val="2"/>
      <w:sz w:val="21"/>
    </w:rPr>
  </w:style>
  <w:style w:type="paragraph" w:styleId="14">
    <w:name w:val="Date"/>
    <w:basedOn w:val="1"/>
    <w:next w:val="1"/>
    <w:link w:val="80"/>
    <w:autoRedefine/>
    <w:qFormat/>
    <w:uiPriority w:val="0"/>
    <w:rPr>
      <w:rFonts w:ascii="Times New Roman"/>
      <w:kern w:val="2"/>
      <w:sz w:val="28"/>
    </w:rPr>
  </w:style>
  <w:style w:type="paragraph" w:styleId="15">
    <w:name w:val="Body Text Indent 2"/>
    <w:basedOn w:val="1"/>
    <w:autoRedefine/>
    <w:qFormat/>
    <w:uiPriority w:val="0"/>
    <w:pPr>
      <w:widowControl/>
      <w:spacing w:after="120" w:line="480" w:lineRule="auto"/>
      <w:ind w:left="420" w:leftChars="200"/>
      <w:jc w:val="left"/>
    </w:pPr>
    <w:rPr>
      <w:rFonts w:ascii="Times New Roman" w:hAnsi="Times New Roman"/>
      <w:kern w:val="0"/>
      <w:sz w:val="20"/>
      <w:szCs w:val="20"/>
    </w:rPr>
  </w:style>
  <w:style w:type="paragraph" w:styleId="16">
    <w:name w:val="Balloon Text"/>
    <w:basedOn w:val="1"/>
    <w:link w:val="293"/>
    <w:autoRedefine/>
    <w:qFormat/>
    <w:uiPriority w:val="0"/>
    <w:rPr>
      <w:sz w:val="18"/>
      <w:szCs w:val="18"/>
    </w:rPr>
  </w:style>
  <w:style w:type="paragraph" w:styleId="17">
    <w:name w:val="footer"/>
    <w:basedOn w:val="1"/>
    <w:link w:val="85"/>
    <w:autoRedefine/>
    <w:qFormat/>
    <w:uiPriority w:val="0"/>
    <w:pPr>
      <w:tabs>
        <w:tab w:val="center" w:pos="4153"/>
        <w:tab w:val="right" w:pos="8306"/>
      </w:tabs>
      <w:snapToGrid w:val="0"/>
      <w:jc w:val="left"/>
    </w:pPr>
    <w:rPr>
      <w:rFonts w:ascii="Times New Roman"/>
      <w:kern w:val="2"/>
      <w:sz w:val="18"/>
      <w:szCs w:val="18"/>
    </w:rPr>
  </w:style>
  <w:style w:type="paragraph" w:styleId="18">
    <w:name w:val="header"/>
    <w:basedOn w:val="1"/>
    <w:link w:val="86"/>
    <w:autoRedefine/>
    <w:qFormat/>
    <w:uiPriority w:val="0"/>
    <w:pPr>
      <w:pBdr>
        <w:bottom w:val="single" w:color="000000"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qFormat/>
    <w:uiPriority w:val="0"/>
  </w:style>
  <w:style w:type="paragraph" w:styleId="20">
    <w:name w:val="toc 4"/>
    <w:basedOn w:val="1"/>
    <w:next w:val="1"/>
    <w:autoRedefine/>
    <w:unhideWhenUsed/>
    <w:qFormat/>
    <w:uiPriority w:val="39"/>
    <w:pPr>
      <w:ind w:left="1260" w:leftChars="600"/>
    </w:pPr>
  </w:style>
  <w:style w:type="paragraph" w:styleId="21">
    <w:name w:val="Subtitle"/>
    <w:basedOn w:val="1"/>
    <w:next w:val="1"/>
    <w:link w:val="89"/>
    <w:autoRedefine/>
    <w:qFormat/>
    <w:uiPriority w:val="0"/>
    <w:pPr>
      <w:spacing w:before="240" w:after="60" w:line="312" w:lineRule="auto"/>
      <w:jc w:val="center"/>
    </w:pPr>
    <w:rPr>
      <w:rFonts w:ascii="Cambria" w:hAnsi="Cambria" w:cs="Times New Roman"/>
      <w:b/>
      <w:bCs/>
      <w:kern w:val="28"/>
      <w:sz w:val="32"/>
      <w:szCs w:val="32"/>
    </w:rPr>
  </w:style>
  <w:style w:type="paragraph" w:styleId="22">
    <w:name w:val="List"/>
    <w:basedOn w:val="1"/>
    <w:autoRedefine/>
    <w:qFormat/>
    <w:uiPriority w:val="0"/>
    <w:pPr>
      <w:numPr>
        <w:ilvl w:val="1"/>
        <w:numId w:val="1"/>
      </w:numPr>
      <w:spacing w:line="360" w:lineRule="auto"/>
      <w:jc w:val="left"/>
    </w:pPr>
    <w:rPr>
      <w:szCs w:val="24"/>
    </w:rPr>
  </w:style>
  <w:style w:type="paragraph" w:styleId="23">
    <w:name w:val="Body Text 2"/>
    <w:basedOn w:val="1"/>
    <w:autoRedefine/>
    <w:qFormat/>
    <w:uiPriority w:val="0"/>
    <w:rPr>
      <w:rFonts w:ascii="楷体_GB2312" w:hAnsi="Copperplate Gothic Bold" w:eastAsia="楷体_GB2312"/>
      <w:kern w:val="2"/>
      <w:sz w:val="28"/>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sz w:val="20"/>
    </w:rPr>
  </w:style>
  <w:style w:type="paragraph" w:styleId="25">
    <w:name w:val="Normal (Web)"/>
    <w:basedOn w:val="1"/>
    <w:autoRedefine/>
    <w:qFormat/>
    <w:uiPriority w:val="0"/>
    <w:pPr>
      <w:spacing w:beforeAutospacing="1" w:afterAutospacing="1"/>
      <w:jc w:val="left"/>
    </w:pPr>
    <w:rPr>
      <w:rFonts w:cs="Times New Roman"/>
    </w:rPr>
  </w:style>
  <w:style w:type="paragraph" w:styleId="26">
    <w:name w:val="Title"/>
    <w:basedOn w:val="1"/>
    <w:next w:val="1"/>
    <w:link w:val="99"/>
    <w:autoRedefine/>
    <w:qFormat/>
    <w:uiPriority w:val="0"/>
    <w:pPr>
      <w:spacing w:before="240" w:after="60"/>
      <w:jc w:val="center"/>
    </w:pPr>
    <w:rPr>
      <w:rFonts w:ascii="Cambria" w:hAnsi="Cambria" w:cs="Times New Roman"/>
      <w:b/>
      <w:bCs/>
      <w:kern w:val="2"/>
      <w:sz w:val="32"/>
      <w:szCs w:val="32"/>
    </w:rPr>
  </w:style>
  <w:style w:type="paragraph" w:styleId="27">
    <w:name w:val="annotation subject"/>
    <w:basedOn w:val="10"/>
    <w:next w:val="10"/>
    <w:link w:val="292"/>
    <w:autoRedefine/>
    <w:qFormat/>
    <w:uiPriority w:val="0"/>
    <w:rPr>
      <w:b/>
      <w:bCs/>
    </w:rPr>
  </w:style>
  <w:style w:type="paragraph" w:styleId="28">
    <w:name w:val="Body Text First Indent"/>
    <w:basedOn w:val="2"/>
    <w:next w:val="29"/>
    <w:autoRedefine/>
    <w:qFormat/>
    <w:uiPriority w:val="99"/>
    <w:pPr>
      <w:widowControl w:val="0"/>
      <w:spacing w:after="120" w:afterLines="0"/>
      <w:ind w:firstLine="420" w:firstLineChars="100"/>
      <w:jc w:val="both"/>
    </w:pPr>
    <w:rPr>
      <w:rFonts w:ascii="宋体" w:hAnsi="Times New Roman" w:eastAsia="宋体" w:cs="Times New Roman"/>
      <w:kern w:val="2"/>
      <w:sz w:val="21"/>
      <w:lang w:val="en-US" w:eastAsia="zh-CN" w:bidi="ar-SA"/>
    </w:rPr>
  </w:style>
  <w:style w:type="paragraph" w:styleId="29">
    <w:name w:val="Body Text First Indent 2"/>
    <w:basedOn w:val="11"/>
    <w:next w:val="1"/>
    <w:autoRedefine/>
    <w:qFormat/>
    <w:uiPriority w:val="99"/>
    <w:pPr>
      <w:spacing w:after="120"/>
      <w:ind w:left="420" w:leftChars="200" w:right="0" w:rightChars="0" w:firstLine="420" w:firstLineChars="200"/>
    </w:pPr>
    <w:rPr>
      <w:rFonts w:ascii="Times New Roman" w:hAnsi="Times New Roman"/>
      <w:sz w:val="21"/>
      <w:szCs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rFonts w:cs="Times New Roman"/>
      <w:b/>
      <w:bCs/>
    </w:rPr>
  </w:style>
  <w:style w:type="character" w:styleId="34">
    <w:name w:val="FollowedHyperlink"/>
    <w:autoRedefine/>
    <w:qFormat/>
    <w:uiPriority w:val="0"/>
    <w:rPr>
      <w:rFonts w:ascii="宋体" w:hAnsi="宋体" w:eastAsia="宋体"/>
      <w:color w:val="000000"/>
      <w:sz w:val="18"/>
      <w:szCs w:val="18"/>
    </w:rPr>
  </w:style>
  <w:style w:type="character" w:styleId="35">
    <w:name w:val="Emphasis"/>
    <w:autoRedefine/>
    <w:qFormat/>
    <w:uiPriority w:val="0"/>
    <w:rPr>
      <w:i/>
      <w:iCs/>
    </w:rPr>
  </w:style>
  <w:style w:type="character" w:styleId="36">
    <w:name w:val="Hyperlink"/>
    <w:basedOn w:val="37"/>
    <w:autoRedefine/>
    <w:qFormat/>
    <w:uiPriority w:val="0"/>
    <w:rPr>
      <w:rFonts w:ascii="宋体" w:hAnsi="宋体" w:eastAsia="宋体"/>
      <w:color w:val="000000"/>
      <w:sz w:val="18"/>
      <w:szCs w:val="18"/>
    </w:rPr>
  </w:style>
  <w:style w:type="character" w:customStyle="1" w:styleId="37">
    <w:name w:val="NormalCharacter"/>
    <w:autoRedefine/>
    <w:qFormat/>
    <w:uiPriority w:val="0"/>
  </w:style>
  <w:style w:type="character" w:styleId="38">
    <w:name w:val="annotation reference"/>
    <w:basedOn w:val="32"/>
    <w:autoRedefine/>
    <w:qFormat/>
    <w:uiPriority w:val="0"/>
    <w:rPr>
      <w:sz w:val="21"/>
      <w:szCs w:val="21"/>
    </w:rPr>
  </w:style>
  <w:style w:type="paragraph" w:customStyle="1" w:styleId="3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BodyText"/>
    <w:basedOn w:val="1"/>
    <w:next w:val="1"/>
    <w:link w:val="51"/>
    <w:autoRedefine/>
    <w:qFormat/>
    <w:uiPriority w:val="0"/>
    <w:pPr>
      <w:spacing w:after="120"/>
    </w:pPr>
    <w:rPr>
      <w:rFonts w:ascii="Times New Roman"/>
      <w:kern w:val="2"/>
      <w:sz w:val="21"/>
    </w:rPr>
  </w:style>
  <w:style w:type="paragraph" w:customStyle="1" w:styleId="41">
    <w:name w:val="Heading1"/>
    <w:basedOn w:val="1"/>
    <w:next w:val="1"/>
    <w:link w:val="52"/>
    <w:autoRedefine/>
    <w:qFormat/>
    <w:uiPriority w:val="0"/>
    <w:pPr>
      <w:keepNext/>
    </w:pPr>
    <w:rPr>
      <w:rFonts w:ascii="仿宋_GB2312" w:hAnsi="宋体" w:eastAsia="仿宋_GB2312"/>
      <w:b/>
      <w:kern w:val="2"/>
      <w:sz w:val="32"/>
    </w:rPr>
  </w:style>
  <w:style w:type="paragraph" w:customStyle="1" w:styleId="42">
    <w:name w:val="Heading2"/>
    <w:basedOn w:val="1"/>
    <w:next w:val="1"/>
    <w:link w:val="53"/>
    <w:autoRedefine/>
    <w:qFormat/>
    <w:uiPriority w:val="0"/>
    <w:pPr>
      <w:keepNext/>
      <w:keepLines/>
      <w:spacing w:before="260" w:after="260"/>
      <w:ind w:left="284"/>
      <w:jc w:val="left"/>
    </w:pPr>
    <w:rPr>
      <w:rFonts w:ascii="Arial" w:hAnsi="Arial" w:cs="Times New Roman"/>
      <w:b/>
      <w:bCs/>
      <w:sz w:val="28"/>
      <w:szCs w:val="32"/>
    </w:rPr>
  </w:style>
  <w:style w:type="paragraph" w:customStyle="1" w:styleId="43">
    <w:name w:val="Heading3"/>
    <w:basedOn w:val="1"/>
    <w:next w:val="1"/>
    <w:link w:val="54"/>
    <w:autoRedefine/>
    <w:qFormat/>
    <w:uiPriority w:val="0"/>
    <w:pPr>
      <w:keepNext/>
      <w:spacing w:before="624" w:line="400" w:lineRule="exact"/>
      <w:jc w:val="center"/>
    </w:pPr>
    <w:rPr>
      <w:rFonts w:ascii="Times New Roman" w:cs="Times New Roman"/>
      <w:b/>
      <w:bCs/>
      <w:kern w:val="2"/>
      <w:szCs w:val="24"/>
    </w:rPr>
  </w:style>
  <w:style w:type="paragraph" w:customStyle="1" w:styleId="44">
    <w:name w:val="Heading4"/>
    <w:basedOn w:val="1"/>
    <w:next w:val="1"/>
    <w:link w:val="55"/>
    <w:autoRedefine/>
    <w:qFormat/>
    <w:uiPriority w:val="0"/>
    <w:pPr>
      <w:keepNext/>
      <w:keepLines/>
      <w:tabs>
        <w:tab w:val="left" w:pos="864"/>
      </w:tabs>
      <w:spacing w:before="120" w:line="360" w:lineRule="auto"/>
      <w:ind w:left="864" w:hanging="864"/>
    </w:pPr>
    <w:rPr>
      <w:rFonts w:ascii="Arial" w:hAnsi="Arial" w:cs="Times New Roman"/>
      <w:bCs/>
      <w:kern w:val="2"/>
      <w:szCs w:val="28"/>
    </w:rPr>
  </w:style>
  <w:style w:type="paragraph" w:customStyle="1" w:styleId="45">
    <w:name w:val="Heading5"/>
    <w:basedOn w:val="1"/>
    <w:next w:val="1"/>
    <w:link w:val="56"/>
    <w:autoRedefine/>
    <w:qFormat/>
    <w:uiPriority w:val="0"/>
    <w:pPr>
      <w:keepNext/>
      <w:keepLines/>
      <w:tabs>
        <w:tab w:val="left" w:pos="1008"/>
        <w:tab w:val="left" w:pos="1218"/>
      </w:tabs>
      <w:spacing w:before="60" w:line="360" w:lineRule="auto"/>
      <w:ind w:left="1008" w:hanging="1008"/>
    </w:pPr>
    <w:rPr>
      <w:rFonts w:ascii="Arial Unicode MS" w:hAnsi="Arial Unicode MS" w:cs="Times New Roman"/>
      <w:bCs/>
      <w:kern w:val="2"/>
      <w:szCs w:val="24"/>
    </w:rPr>
  </w:style>
  <w:style w:type="paragraph" w:customStyle="1" w:styleId="46">
    <w:name w:val="Heading6"/>
    <w:basedOn w:val="1"/>
    <w:next w:val="1"/>
    <w:link w:val="57"/>
    <w:autoRedefine/>
    <w:qFormat/>
    <w:uiPriority w:val="0"/>
    <w:pPr>
      <w:keepNext/>
      <w:keepLines/>
      <w:tabs>
        <w:tab w:val="left" w:pos="1152"/>
      </w:tabs>
      <w:spacing w:before="60" w:line="360" w:lineRule="auto"/>
      <w:ind w:left="1152" w:hanging="1152"/>
    </w:pPr>
    <w:rPr>
      <w:rFonts w:ascii="Arial Unicode MS" w:hAnsi="Arial Unicode MS" w:cs="Times New Roman"/>
      <w:bCs/>
      <w:kern w:val="2"/>
      <w:szCs w:val="24"/>
    </w:rPr>
  </w:style>
  <w:style w:type="paragraph" w:customStyle="1" w:styleId="47">
    <w:name w:val="Heading7"/>
    <w:basedOn w:val="1"/>
    <w:next w:val="1"/>
    <w:link w:val="58"/>
    <w:autoRedefine/>
    <w:qFormat/>
    <w:uiPriority w:val="0"/>
    <w:pPr>
      <w:keepNext/>
      <w:tabs>
        <w:tab w:val="left" w:pos="1296"/>
      </w:tabs>
      <w:spacing w:line="288" w:lineRule="auto"/>
      <w:ind w:left="1296" w:hanging="1296"/>
    </w:pPr>
    <w:rPr>
      <w:rFonts w:ascii="Arial" w:hAnsi="Arial"/>
      <w:b/>
      <w:color w:val="000000"/>
      <w:kern w:val="2"/>
      <w:sz w:val="15"/>
    </w:rPr>
  </w:style>
  <w:style w:type="paragraph" w:customStyle="1" w:styleId="48">
    <w:name w:val="Heading8"/>
    <w:basedOn w:val="1"/>
    <w:next w:val="1"/>
    <w:link w:val="59"/>
    <w:autoRedefine/>
    <w:qFormat/>
    <w:uiPriority w:val="0"/>
    <w:pPr>
      <w:keepNext/>
      <w:tabs>
        <w:tab w:val="left" w:pos="1440"/>
      </w:tabs>
      <w:spacing w:line="360" w:lineRule="auto"/>
      <w:ind w:left="1440" w:hanging="1440"/>
    </w:pPr>
    <w:rPr>
      <w:rFonts w:ascii="仿宋_GB2312" w:eastAsia="仿宋_GB2312"/>
      <w:b/>
      <w:kern w:val="2"/>
    </w:rPr>
  </w:style>
  <w:style w:type="paragraph" w:customStyle="1" w:styleId="49">
    <w:name w:val="Heading9"/>
    <w:basedOn w:val="1"/>
    <w:next w:val="1"/>
    <w:link w:val="60"/>
    <w:autoRedefine/>
    <w:qFormat/>
    <w:uiPriority w:val="0"/>
    <w:pPr>
      <w:keepNext/>
      <w:keepLines/>
      <w:tabs>
        <w:tab w:val="left" w:pos="1584"/>
      </w:tabs>
      <w:spacing w:before="240" w:after="64" w:line="320" w:lineRule="auto"/>
      <w:ind w:left="1584" w:hanging="1584"/>
    </w:pPr>
    <w:rPr>
      <w:rFonts w:ascii="Arial" w:hAnsi="Arial" w:eastAsia="黑体"/>
      <w:kern w:val="2"/>
      <w:sz w:val="21"/>
      <w:szCs w:val="21"/>
    </w:rPr>
  </w:style>
  <w:style w:type="table" w:customStyle="1" w:styleId="50">
    <w:name w:val="TableNormal"/>
    <w:autoRedefine/>
    <w:qFormat/>
    <w:uiPriority w:val="0"/>
    <w:tblPr>
      <w:tblCellMar>
        <w:top w:w="0" w:type="dxa"/>
        <w:left w:w="0" w:type="dxa"/>
        <w:bottom w:w="0" w:type="dxa"/>
        <w:right w:w="0" w:type="dxa"/>
      </w:tblCellMar>
    </w:tblPr>
  </w:style>
  <w:style w:type="character" w:customStyle="1" w:styleId="51">
    <w:name w:val="UserStyle_0"/>
    <w:link w:val="40"/>
    <w:autoRedefine/>
    <w:qFormat/>
    <w:uiPriority w:val="0"/>
    <w:rPr>
      <w:kern w:val="2"/>
      <w:sz w:val="21"/>
    </w:rPr>
  </w:style>
  <w:style w:type="character" w:customStyle="1" w:styleId="52">
    <w:name w:val="UserStyle_1"/>
    <w:link w:val="41"/>
    <w:autoRedefine/>
    <w:qFormat/>
    <w:uiPriority w:val="0"/>
    <w:rPr>
      <w:rFonts w:ascii="仿宋_GB2312" w:hAnsi="宋体" w:eastAsia="仿宋_GB2312"/>
      <w:b/>
      <w:kern w:val="2"/>
      <w:sz w:val="32"/>
    </w:rPr>
  </w:style>
  <w:style w:type="character" w:customStyle="1" w:styleId="53">
    <w:name w:val="UserStyle_2"/>
    <w:link w:val="42"/>
    <w:autoRedefine/>
    <w:qFormat/>
    <w:uiPriority w:val="0"/>
    <w:rPr>
      <w:rFonts w:ascii="Arial" w:hAnsi="Arial" w:cs="Times New Roman"/>
      <w:b/>
      <w:bCs/>
      <w:sz w:val="28"/>
      <w:szCs w:val="32"/>
    </w:rPr>
  </w:style>
  <w:style w:type="character" w:customStyle="1" w:styleId="54">
    <w:name w:val="UserStyle_3"/>
    <w:link w:val="43"/>
    <w:autoRedefine/>
    <w:qFormat/>
    <w:uiPriority w:val="0"/>
    <w:rPr>
      <w:rFonts w:cs="Times New Roman"/>
      <w:b/>
      <w:bCs/>
      <w:kern w:val="2"/>
      <w:sz w:val="24"/>
      <w:szCs w:val="24"/>
    </w:rPr>
  </w:style>
  <w:style w:type="character" w:customStyle="1" w:styleId="55">
    <w:name w:val="UserStyle_4"/>
    <w:link w:val="44"/>
    <w:autoRedefine/>
    <w:qFormat/>
    <w:uiPriority w:val="0"/>
    <w:rPr>
      <w:rFonts w:ascii="Arial" w:hAnsi="Arial" w:cs="Times New Roman"/>
      <w:bCs/>
      <w:kern w:val="2"/>
      <w:sz w:val="24"/>
      <w:szCs w:val="28"/>
    </w:rPr>
  </w:style>
  <w:style w:type="character" w:customStyle="1" w:styleId="56">
    <w:name w:val="UserStyle_5"/>
    <w:link w:val="45"/>
    <w:autoRedefine/>
    <w:qFormat/>
    <w:uiPriority w:val="0"/>
    <w:rPr>
      <w:rFonts w:ascii="Arial Unicode MS" w:hAnsi="Arial Unicode MS" w:cs="Times New Roman"/>
      <w:bCs/>
      <w:kern w:val="2"/>
      <w:sz w:val="24"/>
      <w:szCs w:val="24"/>
    </w:rPr>
  </w:style>
  <w:style w:type="character" w:customStyle="1" w:styleId="57">
    <w:name w:val="UserStyle_6"/>
    <w:link w:val="46"/>
    <w:autoRedefine/>
    <w:qFormat/>
    <w:uiPriority w:val="0"/>
    <w:rPr>
      <w:rFonts w:ascii="Arial Unicode MS" w:hAnsi="Arial Unicode MS" w:cs="Times New Roman"/>
      <w:bCs/>
      <w:kern w:val="2"/>
      <w:sz w:val="24"/>
      <w:szCs w:val="24"/>
    </w:rPr>
  </w:style>
  <w:style w:type="character" w:customStyle="1" w:styleId="58">
    <w:name w:val="UserStyle_7"/>
    <w:link w:val="47"/>
    <w:autoRedefine/>
    <w:qFormat/>
    <w:uiPriority w:val="0"/>
    <w:rPr>
      <w:rFonts w:ascii="Arial" w:hAnsi="Arial"/>
      <w:b/>
      <w:color w:val="000000"/>
      <w:kern w:val="2"/>
      <w:sz w:val="15"/>
    </w:rPr>
  </w:style>
  <w:style w:type="character" w:customStyle="1" w:styleId="59">
    <w:name w:val="UserStyle_8"/>
    <w:link w:val="48"/>
    <w:autoRedefine/>
    <w:qFormat/>
    <w:uiPriority w:val="0"/>
    <w:rPr>
      <w:rFonts w:ascii="仿宋_GB2312" w:eastAsia="仿宋_GB2312"/>
      <w:b/>
      <w:kern w:val="2"/>
      <w:sz w:val="24"/>
    </w:rPr>
  </w:style>
  <w:style w:type="character" w:customStyle="1" w:styleId="60">
    <w:name w:val="UserStyle_9"/>
    <w:link w:val="49"/>
    <w:autoRedefine/>
    <w:qFormat/>
    <w:uiPriority w:val="0"/>
    <w:rPr>
      <w:rFonts w:ascii="Arial" w:hAnsi="Arial" w:eastAsia="黑体"/>
      <w:kern w:val="2"/>
      <w:sz w:val="21"/>
      <w:szCs w:val="21"/>
    </w:rPr>
  </w:style>
  <w:style w:type="paragraph" w:customStyle="1" w:styleId="61">
    <w:name w:val="TOC7"/>
    <w:basedOn w:val="1"/>
    <w:next w:val="1"/>
    <w:autoRedefine/>
    <w:qFormat/>
    <w:uiPriority w:val="0"/>
    <w:pPr>
      <w:ind w:left="2520" w:leftChars="1200"/>
    </w:pPr>
  </w:style>
  <w:style w:type="paragraph" w:customStyle="1" w:styleId="62">
    <w:name w:val="NormalIndent"/>
    <w:basedOn w:val="1"/>
    <w:link w:val="63"/>
    <w:autoRedefine/>
    <w:qFormat/>
    <w:uiPriority w:val="0"/>
    <w:pPr>
      <w:spacing w:line="300" w:lineRule="auto"/>
      <w:ind w:firstLine="420" w:firstLineChars="200"/>
    </w:pPr>
    <w:rPr>
      <w:rFonts w:ascii="Times New Roman"/>
      <w:kern w:val="2"/>
      <w:sz w:val="21"/>
      <w:szCs w:val="24"/>
    </w:rPr>
  </w:style>
  <w:style w:type="character" w:customStyle="1" w:styleId="63">
    <w:name w:val="UserStyle_10"/>
    <w:link w:val="62"/>
    <w:autoRedefine/>
    <w:qFormat/>
    <w:uiPriority w:val="0"/>
    <w:rPr>
      <w:kern w:val="2"/>
      <w:sz w:val="21"/>
      <w:szCs w:val="24"/>
    </w:rPr>
  </w:style>
  <w:style w:type="character" w:customStyle="1" w:styleId="64">
    <w:name w:val="题注 字符"/>
    <w:link w:val="9"/>
    <w:autoRedefine/>
    <w:qFormat/>
    <w:uiPriority w:val="0"/>
    <w:rPr>
      <w:rFonts w:ascii="Arial" w:hAnsi="Arial" w:eastAsia="黑体"/>
      <w:kern w:val="2"/>
    </w:rPr>
  </w:style>
  <w:style w:type="paragraph" w:customStyle="1" w:styleId="65">
    <w:name w:val="NavPane"/>
    <w:basedOn w:val="1"/>
    <w:link w:val="66"/>
    <w:autoRedefine/>
    <w:qFormat/>
    <w:uiPriority w:val="0"/>
    <w:pPr>
      <w:shd w:val="clear" w:color="auto" w:fill="000080"/>
    </w:pPr>
    <w:rPr>
      <w:rFonts w:ascii="Times New Roman"/>
      <w:kern w:val="2"/>
      <w:sz w:val="21"/>
    </w:rPr>
  </w:style>
  <w:style w:type="character" w:customStyle="1" w:styleId="66">
    <w:name w:val="UserStyle_12"/>
    <w:link w:val="65"/>
    <w:autoRedefine/>
    <w:qFormat/>
    <w:uiPriority w:val="0"/>
    <w:rPr>
      <w:kern w:val="2"/>
      <w:sz w:val="21"/>
      <w:shd w:val="clear" w:color="auto" w:fill="000080"/>
    </w:rPr>
  </w:style>
  <w:style w:type="paragraph" w:customStyle="1" w:styleId="67">
    <w:name w:val="AnnotationText"/>
    <w:basedOn w:val="1"/>
    <w:link w:val="68"/>
    <w:autoRedefine/>
    <w:qFormat/>
    <w:uiPriority w:val="0"/>
    <w:pPr>
      <w:jc w:val="left"/>
    </w:pPr>
    <w:rPr>
      <w:rFonts w:ascii="Times New Roman"/>
      <w:kern w:val="2"/>
      <w:sz w:val="21"/>
      <w:szCs w:val="24"/>
    </w:rPr>
  </w:style>
  <w:style w:type="character" w:customStyle="1" w:styleId="68">
    <w:name w:val="UserStyle_13"/>
    <w:link w:val="67"/>
    <w:autoRedefine/>
    <w:qFormat/>
    <w:uiPriority w:val="0"/>
    <w:rPr>
      <w:rFonts w:eastAsia="宋体"/>
      <w:kern w:val="2"/>
      <w:sz w:val="21"/>
      <w:szCs w:val="24"/>
      <w:lang w:val="en-US" w:eastAsia="zh-CN" w:bidi="ar-SA"/>
    </w:rPr>
  </w:style>
  <w:style w:type="paragraph" w:customStyle="1" w:styleId="69">
    <w:name w:val="BodyText3"/>
    <w:basedOn w:val="1"/>
    <w:link w:val="70"/>
    <w:autoRedefine/>
    <w:qFormat/>
    <w:uiPriority w:val="0"/>
    <w:pPr>
      <w:jc w:val="center"/>
    </w:pPr>
    <w:rPr>
      <w:rFonts w:ascii="Times New Roman"/>
      <w:b/>
      <w:spacing w:val="-20"/>
      <w:w w:val="110"/>
      <w:kern w:val="2"/>
      <w:sz w:val="52"/>
    </w:rPr>
  </w:style>
  <w:style w:type="character" w:customStyle="1" w:styleId="70">
    <w:name w:val="UserStyle_14"/>
    <w:link w:val="69"/>
    <w:autoRedefine/>
    <w:qFormat/>
    <w:uiPriority w:val="0"/>
    <w:rPr>
      <w:b/>
      <w:spacing w:val="-20"/>
      <w:w w:val="110"/>
      <w:kern w:val="2"/>
      <w:sz w:val="52"/>
    </w:rPr>
  </w:style>
  <w:style w:type="paragraph" w:customStyle="1" w:styleId="71">
    <w:name w:val="BodyTextIndent"/>
    <w:basedOn w:val="1"/>
    <w:link w:val="72"/>
    <w:autoRedefine/>
    <w:qFormat/>
    <w:uiPriority w:val="0"/>
    <w:pPr>
      <w:ind w:firstLine="652" w:firstLineChars="233"/>
    </w:pPr>
    <w:rPr>
      <w:rFonts w:ascii="Times New Roman"/>
      <w:sz w:val="28"/>
    </w:rPr>
  </w:style>
  <w:style w:type="character" w:customStyle="1" w:styleId="72">
    <w:name w:val="UserStyle_15"/>
    <w:link w:val="71"/>
    <w:autoRedefine/>
    <w:qFormat/>
    <w:uiPriority w:val="0"/>
    <w:rPr>
      <w:sz w:val="28"/>
    </w:rPr>
  </w:style>
  <w:style w:type="paragraph" w:customStyle="1" w:styleId="73">
    <w:name w:val="BlockQuote"/>
    <w:basedOn w:val="1"/>
    <w:autoRedefine/>
    <w:qFormat/>
    <w:uiPriority w:val="0"/>
    <w:pPr>
      <w:spacing w:after="120"/>
      <w:ind w:left="1440" w:leftChars="700" w:right="700" w:rightChars="700"/>
    </w:pPr>
    <w:rPr>
      <w:rFonts w:ascii="Times New Roman"/>
    </w:rPr>
  </w:style>
  <w:style w:type="paragraph" w:customStyle="1" w:styleId="74">
    <w:name w:val="HtmlAddress"/>
    <w:basedOn w:val="1"/>
    <w:autoRedefine/>
    <w:qFormat/>
    <w:uiPriority w:val="0"/>
    <w:pPr>
      <w:jc w:val="left"/>
    </w:pPr>
    <w:rPr>
      <w:rFonts w:hAnsi="宋体"/>
      <w:i/>
      <w:iCs/>
      <w:szCs w:val="24"/>
    </w:rPr>
  </w:style>
  <w:style w:type="paragraph" w:customStyle="1" w:styleId="75">
    <w:name w:val="TOC5"/>
    <w:basedOn w:val="1"/>
    <w:next w:val="1"/>
    <w:autoRedefine/>
    <w:qFormat/>
    <w:uiPriority w:val="0"/>
    <w:pPr>
      <w:ind w:left="1680" w:leftChars="800"/>
    </w:pPr>
  </w:style>
  <w:style w:type="paragraph" w:customStyle="1" w:styleId="76">
    <w:name w:val="TOC3"/>
    <w:basedOn w:val="1"/>
    <w:next w:val="1"/>
    <w:autoRedefine/>
    <w:qFormat/>
    <w:uiPriority w:val="0"/>
    <w:pPr>
      <w:ind w:left="840" w:leftChars="400"/>
    </w:pPr>
  </w:style>
  <w:style w:type="paragraph" w:customStyle="1" w:styleId="77">
    <w:name w:val="PlainText"/>
    <w:basedOn w:val="1"/>
    <w:link w:val="78"/>
    <w:autoRedefine/>
    <w:qFormat/>
    <w:uiPriority w:val="0"/>
    <w:rPr>
      <w:rFonts w:hAnsi="Courier New"/>
      <w:kern w:val="2"/>
      <w:sz w:val="21"/>
    </w:rPr>
  </w:style>
  <w:style w:type="character" w:customStyle="1" w:styleId="78">
    <w:name w:val="UserStyle_16"/>
    <w:link w:val="77"/>
    <w:autoRedefine/>
    <w:qFormat/>
    <w:uiPriority w:val="0"/>
    <w:rPr>
      <w:rFonts w:ascii="宋体" w:hAnsi="Courier New" w:eastAsia="宋体"/>
      <w:kern w:val="2"/>
      <w:sz w:val="21"/>
      <w:lang w:val="en-US" w:eastAsia="zh-CN" w:bidi="ar-SA"/>
    </w:rPr>
  </w:style>
  <w:style w:type="paragraph" w:customStyle="1" w:styleId="79">
    <w:name w:val="TOC8"/>
    <w:basedOn w:val="1"/>
    <w:next w:val="1"/>
    <w:autoRedefine/>
    <w:qFormat/>
    <w:uiPriority w:val="0"/>
    <w:pPr>
      <w:ind w:left="2940" w:leftChars="1400"/>
    </w:pPr>
  </w:style>
  <w:style w:type="character" w:customStyle="1" w:styleId="80">
    <w:name w:val="日期 字符"/>
    <w:link w:val="14"/>
    <w:autoRedefine/>
    <w:qFormat/>
    <w:uiPriority w:val="0"/>
    <w:rPr>
      <w:kern w:val="2"/>
      <w:sz w:val="28"/>
    </w:rPr>
  </w:style>
  <w:style w:type="paragraph" w:customStyle="1" w:styleId="81">
    <w:name w:val="BodyTextIndent2"/>
    <w:basedOn w:val="1"/>
    <w:link w:val="82"/>
    <w:autoRedefine/>
    <w:qFormat/>
    <w:uiPriority w:val="0"/>
    <w:pPr>
      <w:tabs>
        <w:tab w:val="left" w:pos="5625"/>
      </w:tabs>
      <w:ind w:left="1138" w:leftChars="542"/>
    </w:pPr>
    <w:rPr>
      <w:rFonts w:ascii="Times New Roman"/>
      <w:kern w:val="2"/>
    </w:rPr>
  </w:style>
  <w:style w:type="character" w:customStyle="1" w:styleId="82">
    <w:name w:val="UserStyle_18"/>
    <w:link w:val="81"/>
    <w:autoRedefine/>
    <w:qFormat/>
    <w:uiPriority w:val="0"/>
    <w:rPr>
      <w:kern w:val="2"/>
      <w:sz w:val="24"/>
    </w:rPr>
  </w:style>
  <w:style w:type="paragraph" w:customStyle="1" w:styleId="83">
    <w:name w:val="Acetate"/>
    <w:basedOn w:val="1"/>
    <w:link w:val="84"/>
    <w:autoRedefine/>
    <w:qFormat/>
    <w:uiPriority w:val="0"/>
    <w:rPr>
      <w:rFonts w:ascii="Times New Roman"/>
      <w:kern w:val="2"/>
      <w:sz w:val="18"/>
      <w:szCs w:val="18"/>
    </w:rPr>
  </w:style>
  <w:style w:type="character" w:customStyle="1" w:styleId="84">
    <w:name w:val="UserStyle_19"/>
    <w:link w:val="83"/>
    <w:autoRedefine/>
    <w:qFormat/>
    <w:uiPriority w:val="0"/>
    <w:rPr>
      <w:kern w:val="2"/>
      <w:sz w:val="18"/>
      <w:szCs w:val="18"/>
    </w:rPr>
  </w:style>
  <w:style w:type="character" w:customStyle="1" w:styleId="85">
    <w:name w:val="页脚 字符"/>
    <w:link w:val="17"/>
    <w:autoRedefine/>
    <w:qFormat/>
    <w:uiPriority w:val="0"/>
    <w:rPr>
      <w:rFonts w:eastAsia="宋体"/>
      <w:kern w:val="2"/>
      <w:sz w:val="18"/>
      <w:szCs w:val="18"/>
      <w:lang w:val="en-US" w:eastAsia="zh-CN" w:bidi="ar-SA"/>
    </w:rPr>
  </w:style>
  <w:style w:type="character" w:customStyle="1" w:styleId="86">
    <w:name w:val="页眉 字符"/>
    <w:link w:val="18"/>
    <w:autoRedefine/>
    <w:qFormat/>
    <w:uiPriority w:val="0"/>
    <w:rPr>
      <w:rFonts w:eastAsia="宋体"/>
      <w:kern w:val="2"/>
      <w:sz w:val="18"/>
      <w:szCs w:val="18"/>
      <w:lang w:val="en-US" w:eastAsia="zh-CN" w:bidi="ar-SA"/>
    </w:rPr>
  </w:style>
  <w:style w:type="paragraph" w:customStyle="1" w:styleId="87">
    <w:name w:val="TOC1"/>
    <w:basedOn w:val="1"/>
    <w:next w:val="1"/>
    <w:autoRedefine/>
    <w:qFormat/>
    <w:uiPriority w:val="0"/>
    <w:pPr>
      <w:tabs>
        <w:tab w:val="left" w:pos="1418"/>
        <w:tab w:val="right" w:leader="dot" w:pos="8302"/>
      </w:tabs>
      <w:spacing w:line="960" w:lineRule="auto"/>
    </w:pPr>
  </w:style>
  <w:style w:type="paragraph" w:customStyle="1" w:styleId="88">
    <w:name w:val="TOC4"/>
    <w:basedOn w:val="1"/>
    <w:next w:val="1"/>
    <w:autoRedefine/>
    <w:qFormat/>
    <w:uiPriority w:val="0"/>
    <w:pPr>
      <w:ind w:left="1260" w:leftChars="600"/>
    </w:pPr>
  </w:style>
  <w:style w:type="character" w:customStyle="1" w:styleId="89">
    <w:name w:val="副标题 字符"/>
    <w:link w:val="21"/>
    <w:autoRedefine/>
    <w:qFormat/>
    <w:uiPriority w:val="0"/>
    <w:rPr>
      <w:rFonts w:ascii="Cambria" w:hAnsi="Cambria" w:cs="Times New Roman"/>
      <w:b/>
      <w:bCs/>
      <w:kern w:val="28"/>
      <w:sz w:val="32"/>
      <w:szCs w:val="32"/>
    </w:rPr>
  </w:style>
  <w:style w:type="paragraph" w:customStyle="1" w:styleId="90">
    <w:name w:val="TOC6"/>
    <w:basedOn w:val="1"/>
    <w:next w:val="1"/>
    <w:autoRedefine/>
    <w:qFormat/>
    <w:uiPriority w:val="0"/>
    <w:pPr>
      <w:ind w:left="2100" w:leftChars="1000"/>
    </w:pPr>
  </w:style>
  <w:style w:type="paragraph" w:customStyle="1" w:styleId="91">
    <w:name w:val="BodyTextIndent3"/>
    <w:basedOn w:val="1"/>
    <w:link w:val="92"/>
    <w:autoRedefine/>
    <w:qFormat/>
    <w:uiPriority w:val="0"/>
    <w:pPr>
      <w:spacing w:line="410" w:lineRule="exact"/>
      <w:ind w:left="619" w:leftChars="295" w:firstLine="390" w:firstLineChars="179"/>
    </w:pPr>
    <w:rPr>
      <w:rFonts w:hAnsi="宋体"/>
      <w:spacing w:val="4"/>
      <w:kern w:val="2"/>
      <w:sz w:val="21"/>
    </w:rPr>
  </w:style>
  <w:style w:type="character" w:customStyle="1" w:styleId="92">
    <w:name w:val="UserStyle_23"/>
    <w:link w:val="91"/>
    <w:autoRedefine/>
    <w:qFormat/>
    <w:uiPriority w:val="0"/>
    <w:rPr>
      <w:rFonts w:ascii="宋体" w:hAnsi="宋体"/>
      <w:spacing w:val="4"/>
      <w:kern w:val="2"/>
      <w:sz w:val="21"/>
    </w:rPr>
  </w:style>
  <w:style w:type="paragraph" w:customStyle="1" w:styleId="93">
    <w:name w:val="TOC2"/>
    <w:basedOn w:val="1"/>
    <w:next w:val="1"/>
    <w:autoRedefine/>
    <w:qFormat/>
    <w:uiPriority w:val="0"/>
    <w:pPr>
      <w:tabs>
        <w:tab w:val="right" w:leader="dot" w:pos="8302"/>
      </w:tabs>
      <w:spacing w:line="960" w:lineRule="auto"/>
      <w:ind w:left="420" w:leftChars="200"/>
    </w:pPr>
  </w:style>
  <w:style w:type="paragraph" w:customStyle="1" w:styleId="94">
    <w:name w:val="TOC9"/>
    <w:basedOn w:val="1"/>
    <w:next w:val="1"/>
    <w:autoRedefine/>
    <w:qFormat/>
    <w:uiPriority w:val="0"/>
    <w:pPr>
      <w:ind w:left="3360" w:leftChars="1600"/>
    </w:pPr>
  </w:style>
  <w:style w:type="paragraph" w:customStyle="1" w:styleId="95">
    <w:name w:val="BodyText2"/>
    <w:basedOn w:val="1"/>
    <w:link w:val="96"/>
    <w:autoRedefine/>
    <w:qFormat/>
    <w:uiPriority w:val="0"/>
    <w:rPr>
      <w:rFonts w:ascii="楷体_GB2312" w:hAnsi="Copperplate Gothic Bold" w:eastAsia="楷体_GB2312"/>
      <w:kern w:val="2"/>
      <w:sz w:val="28"/>
    </w:rPr>
  </w:style>
  <w:style w:type="character" w:customStyle="1" w:styleId="96">
    <w:name w:val="UserStyle_24"/>
    <w:link w:val="95"/>
    <w:autoRedefine/>
    <w:qFormat/>
    <w:uiPriority w:val="0"/>
    <w:rPr>
      <w:rFonts w:ascii="楷体_GB2312" w:hAnsi="Copperplate Gothic Bold" w:eastAsia="楷体_GB2312"/>
      <w:kern w:val="2"/>
      <w:sz w:val="28"/>
    </w:rPr>
  </w:style>
  <w:style w:type="paragraph" w:customStyle="1" w:styleId="97">
    <w:name w:val="HtmlPre"/>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rPr>
  </w:style>
  <w:style w:type="paragraph" w:customStyle="1" w:styleId="98">
    <w:name w:val="HtmlNormal"/>
    <w:basedOn w:val="1"/>
    <w:autoRedefine/>
    <w:qFormat/>
    <w:uiPriority w:val="0"/>
    <w:pPr>
      <w:spacing w:before="100" w:beforeAutospacing="1" w:after="100" w:afterAutospacing="1"/>
      <w:jc w:val="left"/>
    </w:pPr>
    <w:rPr>
      <w:rFonts w:hAnsi="宋体"/>
      <w:szCs w:val="24"/>
    </w:rPr>
  </w:style>
  <w:style w:type="character" w:customStyle="1" w:styleId="99">
    <w:name w:val="标题 字符"/>
    <w:link w:val="26"/>
    <w:autoRedefine/>
    <w:qFormat/>
    <w:uiPriority w:val="0"/>
    <w:rPr>
      <w:rFonts w:ascii="Cambria" w:hAnsi="Cambria" w:cs="Times New Roman"/>
      <w:b/>
      <w:bCs/>
      <w:kern w:val="2"/>
      <w:sz w:val="32"/>
      <w:szCs w:val="32"/>
    </w:rPr>
  </w:style>
  <w:style w:type="paragraph" w:customStyle="1" w:styleId="100">
    <w:name w:val="AnnotationSubject"/>
    <w:basedOn w:val="67"/>
    <w:next w:val="67"/>
    <w:link w:val="101"/>
    <w:autoRedefine/>
    <w:qFormat/>
    <w:uiPriority w:val="0"/>
    <w:rPr>
      <w:rFonts w:cs="Times New Roman"/>
      <w:b/>
      <w:bCs/>
    </w:rPr>
  </w:style>
  <w:style w:type="character" w:customStyle="1" w:styleId="101">
    <w:name w:val="UserStyle_26"/>
    <w:link w:val="100"/>
    <w:autoRedefine/>
    <w:qFormat/>
    <w:uiPriority w:val="0"/>
    <w:rPr>
      <w:rFonts w:eastAsia="宋体" w:cs="Times New Roman"/>
      <w:b/>
      <w:bCs/>
      <w:kern w:val="2"/>
      <w:sz w:val="21"/>
      <w:szCs w:val="24"/>
      <w:lang w:val="en-US" w:eastAsia="zh-CN" w:bidi="ar-SA"/>
    </w:rPr>
  </w:style>
  <w:style w:type="paragraph" w:customStyle="1" w:styleId="102">
    <w:name w:val="BodyText1I"/>
    <w:basedOn w:val="40"/>
    <w:autoRedefine/>
    <w:qFormat/>
    <w:uiPriority w:val="0"/>
    <w:pPr>
      <w:ind w:firstLine="420" w:firstLineChars="100"/>
    </w:pPr>
    <w:rPr>
      <w:rFonts w:ascii="宋体"/>
    </w:rPr>
  </w:style>
  <w:style w:type="table" w:customStyle="1" w:styleId="103">
    <w:name w:val="TableGrid"/>
    <w:basedOn w:val="50"/>
    <w:autoRedefine/>
    <w:qFormat/>
    <w:uiPriority w:val="0"/>
  </w:style>
  <w:style w:type="character" w:customStyle="1" w:styleId="104">
    <w:name w:val="PageNumber"/>
    <w:basedOn w:val="37"/>
    <w:autoRedefine/>
    <w:qFormat/>
    <w:uiPriority w:val="0"/>
  </w:style>
  <w:style w:type="character" w:customStyle="1" w:styleId="105">
    <w:name w:val="HtmlDfn"/>
    <w:basedOn w:val="37"/>
    <w:autoRedefine/>
    <w:qFormat/>
    <w:uiPriority w:val="0"/>
  </w:style>
  <w:style w:type="character" w:customStyle="1" w:styleId="106">
    <w:name w:val="HtmlTt"/>
    <w:autoRedefine/>
    <w:qFormat/>
    <w:uiPriority w:val="0"/>
    <w:rPr>
      <w:rFonts w:ascii="黑体" w:hAnsi="Courier New" w:eastAsia="黑体"/>
      <w:sz w:val="20"/>
      <w:szCs w:val="20"/>
    </w:rPr>
  </w:style>
  <w:style w:type="character" w:customStyle="1" w:styleId="107">
    <w:name w:val="HtmlAcronym"/>
    <w:basedOn w:val="37"/>
    <w:autoRedefine/>
    <w:qFormat/>
    <w:uiPriority w:val="0"/>
  </w:style>
  <w:style w:type="character" w:customStyle="1" w:styleId="108">
    <w:name w:val="HtmlVar"/>
    <w:basedOn w:val="37"/>
    <w:autoRedefine/>
    <w:qFormat/>
    <w:uiPriority w:val="0"/>
  </w:style>
  <w:style w:type="character" w:customStyle="1" w:styleId="109">
    <w:name w:val="HtmlCode"/>
    <w:basedOn w:val="37"/>
    <w:autoRedefine/>
    <w:qFormat/>
    <w:uiPriority w:val="0"/>
    <w:rPr>
      <w:rFonts w:ascii="Consolas" w:hAnsi="Consolas" w:eastAsia="Consolas"/>
      <w:color w:val="C7254E"/>
      <w:sz w:val="21"/>
      <w:szCs w:val="21"/>
      <w:shd w:val="clear" w:color="auto" w:fill="F9F2F4"/>
    </w:rPr>
  </w:style>
  <w:style w:type="character" w:customStyle="1" w:styleId="110">
    <w:name w:val="AnnotationReference"/>
    <w:autoRedefine/>
    <w:qFormat/>
    <w:uiPriority w:val="0"/>
    <w:rPr>
      <w:sz w:val="21"/>
      <w:szCs w:val="21"/>
    </w:rPr>
  </w:style>
  <w:style w:type="character" w:customStyle="1" w:styleId="111">
    <w:name w:val="HtmlCite"/>
    <w:basedOn w:val="37"/>
    <w:autoRedefine/>
    <w:qFormat/>
    <w:uiPriority w:val="0"/>
  </w:style>
  <w:style w:type="character" w:customStyle="1" w:styleId="112">
    <w:name w:val="HtmlKbd"/>
    <w:basedOn w:val="37"/>
    <w:autoRedefine/>
    <w:qFormat/>
    <w:uiPriority w:val="0"/>
    <w:rPr>
      <w:rFonts w:ascii="Consolas" w:hAnsi="Consolas" w:eastAsia="Consolas"/>
      <w:color w:val="FFFFFF"/>
      <w:sz w:val="21"/>
      <w:szCs w:val="21"/>
      <w:shd w:val="clear" w:color="auto" w:fill="333333"/>
    </w:rPr>
  </w:style>
  <w:style w:type="character" w:customStyle="1" w:styleId="113">
    <w:name w:val="htmlSamp"/>
    <w:basedOn w:val="37"/>
    <w:autoRedefine/>
    <w:qFormat/>
    <w:uiPriority w:val="0"/>
    <w:rPr>
      <w:rFonts w:ascii="Consolas" w:hAnsi="Consolas" w:eastAsia="Consolas"/>
      <w:sz w:val="21"/>
      <w:szCs w:val="21"/>
    </w:rPr>
  </w:style>
  <w:style w:type="paragraph" w:customStyle="1" w:styleId="114">
    <w:name w:val="UserStyle_27"/>
    <w:basedOn w:val="1"/>
    <w:autoRedefine/>
    <w:qFormat/>
    <w:uiPriority w:val="0"/>
    <w:pPr>
      <w:ind w:firstLine="420" w:firstLineChars="200"/>
    </w:pPr>
  </w:style>
  <w:style w:type="character" w:customStyle="1" w:styleId="115">
    <w:name w:val="UserStyle_28"/>
    <w:basedOn w:val="37"/>
    <w:autoRedefine/>
    <w:qFormat/>
    <w:uiPriority w:val="0"/>
    <w:rPr>
      <w:color w:val="FFA800"/>
    </w:rPr>
  </w:style>
  <w:style w:type="character" w:customStyle="1" w:styleId="116">
    <w:name w:val="UserStyle_29"/>
    <w:basedOn w:val="37"/>
    <w:autoRedefine/>
    <w:qFormat/>
    <w:uiPriority w:val="0"/>
  </w:style>
  <w:style w:type="character" w:customStyle="1" w:styleId="117">
    <w:name w:val="UserStyle_30"/>
    <w:basedOn w:val="37"/>
    <w:autoRedefine/>
    <w:qFormat/>
    <w:uiPriority w:val="0"/>
    <w:rPr>
      <w:color w:val="666666"/>
    </w:rPr>
  </w:style>
  <w:style w:type="character" w:customStyle="1" w:styleId="118">
    <w:name w:val="UserStyle_31"/>
    <w:basedOn w:val="37"/>
    <w:autoRedefine/>
    <w:qFormat/>
    <w:uiPriority w:val="0"/>
    <w:rPr>
      <w:rFonts w:cs="Times New Roman"/>
      <w:b/>
      <w:bCs/>
      <w:color w:val="000000"/>
      <w:sz w:val="19"/>
      <w:szCs w:val="19"/>
    </w:rPr>
  </w:style>
  <w:style w:type="character" w:customStyle="1" w:styleId="119">
    <w:name w:val="UserStyle_32"/>
    <w:basedOn w:val="37"/>
    <w:autoRedefine/>
    <w:qFormat/>
    <w:uiPriority w:val="0"/>
  </w:style>
  <w:style w:type="character" w:customStyle="1" w:styleId="120">
    <w:name w:val="UserStyle_33"/>
    <w:basedOn w:val="37"/>
    <w:autoRedefine/>
    <w:qFormat/>
    <w:uiPriority w:val="0"/>
    <w:rPr>
      <w:color w:val="000000"/>
    </w:rPr>
  </w:style>
  <w:style w:type="character" w:customStyle="1" w:styleId="121">
    <w:name w:val="UserStyle_34"/>
    <w:basedOn w:val="37"/>
    <w:autoRedefine/>
    <w:qFormat/>
    <w:uiPriority w:val="0"/>
    <w:rPr>
      <w:shd w:val="clear" w:color="auto" w:fill="EEEEEE"/>
    </w:rPr>
  </w:style>
  <w:style w:type="character" w:customStyle="1" w:styleId="122">
    <w:name w:val="UserStyle_35"/>
    <w:basedOn w:val="37"/>
    <w:autoRedefine/>
    <w:qFormat/>
    <w:uiPriority w:val="0"/>
  </w:style>
  <w:style w:type="character" w:customStyle="1" w:styleId="123">
    <w:name w:val="UserStyle_36"/>
    <w:basedOn w:val="37"/>
    <w:autoRedefine/>
    <w:qFormat/>
    <w:uiPriority w:val="0"/>
    <w:rPr>
      <w:color w:val="1632EF"/>
      <w:u w:val="single"/>
    </w:rPr>
  </w:style>
  <w:style w:type="character" w:customStyle="1" w:styleId="124">
    <w:name w:val="UserStyle_37"/>
    <w:basedOn w:val="37"/>
    <w:autoRedefine/>
    <w:qFormat/>
    <w:uiPriority w:val="0"/>
    <w:rPr>
      <w:color w:val="3C88FF"/>
    </w:rPr>
  </w:style>
  <w:style w:type="character" w:customStyle="1" w:styleId="125">
    <w:name w:val="UserStyle_38"/>
    <w:basedOn w:val="37"/>
    <w:autoRedefine/>
    <w:qFormat/>
    <w:uiPriority w:val="0"/>
  </w:style>
  <w:style w:type="character" w:customStyle="1" w:styleId="126">
    <w:name w:val="UserStyle_39"/>
    <w:basedOn w:val="37"/>
    <w:autoRedefine/>
    <w:qFormat/>
    <w:uiPriority w:val="0"/>
  </w:style>
  <w:style w:type="character" w:customStyle="1" w:styleId="127">
    <w:name w:val="UserStyle_40"/>
    <w:basedOn w:val="37"/>
    <w:autoRedefine/>
    <w:qFormat/>
    <w:uiPriority w:val="0"/>
  </w:style>
  <w:style w:type="character" w:customStyle="1" w:styleId="128">
    <w:name w:val="UserStyle_41"/>
    <w:basedOn w:val="37"/>
    <w:autoRedefine/>
    <w:qFormat/>
    <w:uiPriority w:val="0"/>
  </w:style>
  <w:style w:type="character" w:customStyle="1" w:styleId="129">
    <w:name w:val="UserStyle_42"/>
    <w:autoRedefine/>
    <w:semiHidden/>
    <w:qFormat/>
    <w:uiPriority w:val="0"/>
    <w:rPr>
      <w:kern w:val="2"/>
      <w:sz w:val="16"/>
      <w:szCs w:val="16"/>
    </w:rPr>
  </w:style>
  <w:style w:type="character" w:customStyle="1" w:styleId="130">
    <w:name w:val="UserStyle_43"/>
    <w:basedOn w:val="37"/>
    <w:autoRedefine/>
    <w:qFormat/>
    <w:uiPriority w:val="0"/>
    <w:rPr>
      <w:color w:val="666666"/>
    </w:rPr>
  </w:style>
  <w:style w:type="character" w:customStyle="1" w:styleId="131">
    <w:name w:val="UserStyle_44"/>
    <w:basedOn w:val="37"/>
    <w:autoRedefine/>
    <w:qFormat/>
    <w:uiPriority w:val="0"/>
  </w:style>
  <w:style w:type="character" w:customStyle="1" w:styleId="132">
    <w:name w:val="UserStyle_45"/>
    <w:basedOn w:val="37"/>
    <w:autoRedefine/>
    <w:qFormat/>
    <w:uiPriority w:val="0"/>
  </w:style>
  <w:style w:type="character" w:customStyle="1" w:styleId="133">
    <w:name w:val="UserStyle_46"/>
    <w:basedOn w:val="37"/>
    <w:autoRedefine/>
    <w:qFormat/>
    <w:uiPriority w:val="0"/>
    <w:rPr>
      <w:color w:val="FFFFFF"/>
    </w:rPr>
  </w:style>
  <w:style w:type="character" w:customStyle="1" w:styleId="134">
    <w:name w:val="UserStyle_47"/>
    <w:autoRedefine/>
    <w:qFormat/>
    <w:uiPriority w:val="0"/>
    <w:rPr>
      <w:rFonts w:ascii="宋体"/>
      <w:sz w:val="24"/>
      <w:lang w:val="en-US" w:eastAsia="zh-CN" w:bidi="ar-SA"/>
    </w:rPr>
  </w:style>
  <w:style w:type="character" w:customStyle="1" w:styleId="135">
    <w:name w:val="UserStyle_48"/>
    <w:basedOn w:val="37"/>
    <w:autoRedefine/>
    <w:qFormat/>
    <w:uiPriority w:val="0"/>
    <w:rPr>
      <w:u w:val="single"/>
    </w:rPr>
  </w:style>
  <w:style w:type="character" w:customStyle="1" w:styleId="136">
    <w:name w:val="UserStyle_49"/>
    <w:autoRedefine/>
    <w:qFormat/>
    <w:uiPriority w:val="0"/>
    <w:rPr>
      <w:sz w:val="21"/>
      <w:szCs w:val="21"/>
    </w:rPr>
  </w:style>
  <w:style w:type="character" w:customStyle="1" w:styleId="137">
    <w:name w:val="UserStyle_50"/>
    <w:basedOn w:val="37"/>
    <w:autoRedefine/>
    <w:qFormat/>
    <w:uiPriority w:val="0"/>
    <w:rPr>
      <w:u w:val="single"/>
    </w:rPr>
  </w:style>
  <w:style w:type="character" w:customStyle="1" w:styleId="138">
    <w:name w:val="UserStyle_51"/>
    <w:basedOn w:val="37"/>
    <w:autoRedefine/>
    <w:qFormat/>
    <w:uiPriority w:val="0"/>
    <w:rPr>
      <w:color w:val="666666"/>
      <w:shd w:val="clear" w:color="auto" w:fill="111111"/>
    </w:rPr>
  </w:style>
  <w:style w:type="character" w:customStyle="1" w:styleId="139">
    <w:name w:val="UserStyle_52"/>
    <w:basedOn w:val="37"/>
    <w:autoRedefine/>
    <w:qFormat/>
    <w:uiPriority w:val="0"/>
    <w:rPr>
      <w:u w:val="single"/>
    </w:rPr>
  </w:style>
  <w:style w:type="character" w:customStyle="1" w:styleId="140">
    <w:name w:val="UserStyle_53"/>
    <w:basedOn w:val="37"/>
    <w:autoRedefine/>
    <w:qFormat/>
    <w:uiPriority w:val="0"/>
  </w:style>
  <w:style w:type="character" w:customStyle="1" w:styleId="141">
    <w:name w:val="UserStyle_54"/>
    <w:basedOn w:val="37"/>
    <w:autoRedefine/>
    <w:qFormat/>
    <w:uiPriority w:val="0"/>
  </w:style>
  <w:style w:type="character" w:customStyle="1" w:styleId="142">
    <w:name w:val="UserStyle_55"/>
    <w:basedOn w:val="37"/>
    <w:autoRedefine/>
    <w:qFormat/>
    <w:uiPriority w:val="0"/>
  </w:style>
  <w:style w:type="character" w:customStyle="1" w:styleId="143">
    <w:name w:val="UserStyle_56"/>
    <w:basedOn w:val="37"/>
    <w:autoRedefine/>
    <w:qFormat/>
    <w:uiPriority w:val="0"/>
    <w:rPr>
      <w:shd w:val="clear" w:color="auto" w:fill="B00006"/>
    </w:rPr>
  </w:style>
  <w:style w:type="character" w:customStyle="1" w:styleId="144">
    <w:name w:val="UserStyle_57"/>
    <w:basedOn w:val="37"/>
    <w:autoRedefine/>
    <w:qFormat/>
    <w:uiPriority w:val="0"/>
    <w:rPr>
      <w:color w:val="3C88FF"/>
    </w:rPr>
  </w:style>
  <w:style w:type="character" w:customStyle="1" w:styleId="145">
    <w:name w:val="UserStyle_58"/>
    <w:basedOn w:val="37"/>
    <w:autoRedefine/>
    <w:qFormat/>
    <w:uiPriority w:val="0"/>
    <w:rPr>
      <w:shd w:val="clear" w:color="auto" w:fill="F6F6F6"/>
    </w:rPr>
  </w:style>
  <w:style w:type="character" w:customStyle="1" w:styleId="146">
    <w:name w:val="UserStyle_59"/>
    <w:basedOn w:val="37"/>
    <w:autoRedefine/>
    <w:qFormat/>
    <w:uiPriority w:val="0"/>
    <w:rPr>
      <w:rFonts w:ascii="Arial" w:hAnsi="Arial"/>
      <w:sz w:val="15"/>
      <w:szCs w:val="15"/>
    </w:rPr>
  </w:style>
  <w:style w:type="character" w:customStyle="1" w:styleId="147">
    <w:name w:val="UserStyle_60"/>
    <w:link w:val="148"/>
    <w:autoRedefine/>
    <w:qFormat/>
    <w:uiPriority w:val="0"/>
    <w:rPr>
      <w:rFonts w:ascii="宋体" w:hAnsi="宋体"/>
      <w:color w:val="000000"/>
      <w:sz w:val="24"/>
      <w:szCs w:val="28"/>
    </w:rPr>
  </w:style>
  <w:style w:type="paragraph" w:customStyle="1" w:styleId="148">
    <w:name w:val="UserStyle_61"/>
    <w:basedOn w:val="1"/>
    <w:link w:val="147"/>
    <w:autoRedefine/>
    <w:qFormat/>
    <w:uiPriority w:val="0"/>
    <w:pPr>
      <w:snapToGrid w:val="0"/>
      <w:spacing w:line="560" w:lineRule="exact"/>
      <w:ind w:firstLine="560" w:firstLineChars="200"/>
      <w:jc w:val="left"/>
    </w:pPr>
    <w:rPr>
      <w:rFonts w:hAnsi="宋体"/>
      <w:color w:val="000000"/>
      <w:szCs w:val="28"/>
    </w:rPr>
  </w:style>
  <w:style w:type="character" w:customStyle="1" w:styleId="149">
    <w:name w:val="UserStyle_62"/>
    <w:basedOn w:val="37"/>
    <w:autoRedefine/>
    <w:qFormat/>
    <w:uiPriority w:val="0"/>
    <w:rPr>
      <w:color w:val="FFFFFF"/>
    </w:rPr>
  </w:style>
  <w:style w:type="character" w:customStyle="1" w:styleId="150">
    <w:name w:val="UserStyle_63"/>
    <w:basedOn w:val="37"/>
    <w:autoRedefine/>
    <w:qFormat/>
    <w:uiPriority w:val="0"/>
    <w:rPr>
      <w:color w:val="A1A1A1"/>
      <w:sz w:val="19"/>
      <w:szCs w:val="19"/>
    </w:rPr>
  </w:style>
  <w:style w:type="character" w:customStyle="1" w:styleId="151">
    <w:name w:val="UserStyle_64"/>
    <w:basedOn w:val="37"/>
    <w:autoRedefine/>
    <w:qFormat/>
    <w:uiPriority w:val="0"/>
  </w:style>
  <w:style w:type="character" w:customStyle="1" w:styleId="152">
    <w:name w:val="UserStyle_65"/>
    <w:basedOn w:val="37"/>
    <w:autoRedefine/>
    <w:qFormat/>
    <w:uiPriority w:val="0"/>
  </w:style>
  <w:style w:type="character" w:customStyle="1" w:styleId="153">
    <w:name w:val="UserStyle_66"/>
    <w:basedOn w:val="37"/>
    <w:autoRedefine/>
    <w:qFormat/>
    <w:uiPriority w:val="0"/>
    <w:rPr>
      <w:color w:val="3C88FF"/>
    </w:rPr>
  </w:style>
  <w:style w:type="character" w:customStyle="1" w:styleId="154">
    <w:name w:val="UserStyle_67"/>
    <w:link w:val="155"/>
    <w:autoRedefine/>
    <w:qFormat/>
    <w:uiPriority w:val="0"/>
    <w:rPr>
      <w:rFonts w:ascii="Calibri" w:hAnsi="Calibri"/>
      <w:kern w:val="2"/>
      <w:sz w:val="21"/>
      <w:szCs w:val="22"/>
    </w:rPr>
  </w:style>
  <w:style w:type="paragraph" w:customStyle="1" w:styleId="155">
    <w:name w:val="179"/>
    <w:basedOn w:val="1"/>
    <w:link w:val="154"/>
    <w:autoRedefine/>
    <w:qFormat/>
    <w:uiPriority w:val="0"/>
    <w:pPr>
      <w:ind w:firstLine="420" w:firstLineChars="200"/>
    </w:pPr>
    <w:rPr>
      <w:rFonts w:ascii="Calibri" w:hAnsi="Calibri"/>
      <w:kern w:val="2"/>
      <w:sz w:val="21"/>
      <w:szCs w:val="22"/>
    </w:rPr>
  </w:style>
  <w:style w:type="character" w:customStyle="1" w:styleId="156">
    <w:name w:val="UserStyle_68"/>
    <w:basedOn w:val="37"/>
    <w:autoRedefine/>
    <w:qFormat/>
    <w:uiPriority w:val="0"/>
    <w:rPr>
      <w:bdr w:val="single" w:color="000000" w:sz="68" w:space="0"/>
    </w:rPr>
  </w:style>
  <w:style w:type="character" w:customStyle="1" w:styleId="157">
    <w:name w:val="UserStyle_69"/>
    <w:basedOn w:val="37"/>
    <w:autoRedefine/>
    <w:qFormat/>
    <w:uiPriority w:val="0"/>
    <w:rPr>
      <w:color w:val="EE5959"/>
    </w:rPr>
  </w:style>
  <w:style w:type="character" w:customStyle="1" w:styleId="158">
    <w:name w:val="UserStyle_70"/>
    <w:basedOn w:val="37"/>
    <w:autoRedefine/>
    <w:qFormat/>
    <w:uiPriority w:val="0"/>
    <w:rPr>
      <w:shd w:val="clear" w:color="auto" w:fill="EEEEEE"/>
    </w:rPr>
  </w:style>
  <w:style w:type="character" w:customStyle="1" w:styleId="159">
    <w:name w:val="UserStyle_71"/>
    <w:basedOn w:val="37"/>
    <w:autoRedefine/>
    <w:qFormat/>
    <w:uiPriority w:val="0"/>
  </w:style>
  <w:style w:type="character" w:customStyle="1" w:styleId="160">
    <w:name w:val="UserStyle_72"/>
    <w:basedOn w:val="37"/>
    <w:autoRedefine/>
    <w:qFormat/>
    <w:uiPriority w:val="0"/>
    <w:rPr>
      <w:color w:val="3D91FF"/>
    </w:rPr>
  </w:style>
  <w:style w:type="character" w:customStyle="1" w:styleId="161">
    <w:name w:val="UserStyle_73"/>
    <w:basedOn w:val="37"/>
    <w:autoRedefine/>
    <w:qFormat/>
    <w:uiPriority w:val="0"/>
  </w:style>
  <w:style w:type="character" w:customStyle="1" w:styleId="162">
    <w:name w:val="UserStyle_74"/>
    <w:basedOn w:val="37"/>
    <w:autoRedefine/>
    <w:qFormat/>
    <w:uiPriority w:val="0"/>
  </w:style>
  <w:style w:type="character" w:customStyle="1" w:styleId="163">
    <w:name w:val="UserStyle_75"/>
    <w:basedOn w:val="37"/>
    <w:autoRedefine/>
    <w:qFormat/>
    <w:uiPriority w:val="0"/>
  </w:style>
  <w:style w:type="character" w:customStyle="1" w:styleId="164">
    <w:name w:val="UserStyle_76"/>
    <w:autoRedefine/>
    <w:qFormat/>
    <w:uiPriority w:val="0"/>
  </w:style>
  <w:style w:type="character" w:customStyle="1" w:styleId="165">
    <w:name w:val="UserStyle_77"/>
    <w:autoRedefine/>
    <w:qFormat/>
    <w:uiPriority w:val="0"/>
    <w:rPr>
      <w:rFonts w:ascii="Arial" w:hAnsi="Arial"/>
      <w:sz w:val="18"/>
      <w:szCs w:val="18"/>
    </w:rPr>
  </w:style>
  <w:style w:type="character" w:customStyle="1" w:styleId="166">
    <w:name w:val="UserStyle_78"/>
    <w:basedOn w:val="37"/>
    <w:autoRedefine/>
    <w:qFormat/>
    <w:uiPriority w:val="0"/>
    <w:rPr>
      <w:shd w:val="clear" w:color="auto" w:fill="555555"/>
    </w:rPr>
  </w:style>
  <w:style w:type="character" w:customStyle="1" w:styleId="167">
    <w:name w:val="UserStyle_79"/>
    <w:basedOn w:val="37"/>
    <w:autoRedefine/>
    <w:qFormat/>
    <w:uiPriority w:val="0"/>
    <w:rPr>
      <w:color w:val="FFA800"/>
    </w:rPr>
  </w:style>
  <w:style w:type="character" w:customStyle="1" w:styleId="168">
    <w:name w:val="UserStyle_80"/>
    <w:basedOn w:val="37"/>
    <w:autoRedefine/>
    <w:qFormat/>
    <w:uiPriority w:val="0"/>
    <w:rPr>
      <w:color w:val="3088FF"/>
    </w:rPr>
  </w:style>
  <w:style w:type="character" w:customStyle="1" w:styleId="169">
    <w:name w:val="UserStyle_81"/>
    <w:autoRedefine/>
    <w:qFormat/>
    <w:uiPriority w:val="0"/>
    <w:rPr>
      <w:rFonts w:ascii="Cambria" w:hAnsi="Cambria" w:cs="Times New Roman"/>
      <w:b/>
      <w:bCs/>
      <w:kern w:val="28"/>
      <w:sz w:val="32"/>
      <w:szCs w:val="32"/>
    </w:rPr>
  </w:style>
  <w:style w:type="character" w:customStyle="1" w:styleId="170">
    <w:name w:val="UserStyle_82"/>
    <w:basedOn w:val="37"/>
    <w:autoRedefine/>
    <w:qFormat/>
    <w:uiPriority w:val="0"/>
    <w:rPr>
      <w:shd w:val="clear" w:color="auto" w:fill="111111"/>
    </w:rPr>
  </w:style>
  <w:style w:type="character" w:customStyle="1" w:styleId="171">
    <w:name w:val="UserStyle_83"/>
    <w:autoRedefine/>
    <w:qFormat/>
    <w:uiPriority w:val="0"/>
    <w:rPr>
      <w:color w:val="333333"/>
    </w:rPr>
  </w:style>
  <w:style w:type="character" w:customStyle="1" w:styleId="172">
    <w:name w:val="UserStyle_84"/>
    <w:basedOn w:val="37"/>
    <w:autoRedefine/>
    <w:qFormat/>
    <w:uiPriority w:val="0"/>
    <w:rPr>
      <w:color w:val="3D91FF"/>
    </w:rPr>
  </w:style>
  <w:style w:type="character" w:customStyle="1" w:styleId="173">
    <w:name w:val="UserStyle_85"/>
    <w:basedOn w:val="37"/>
    <w:autoRedefine/>
    <w:qFormat/>
    <w:uiPriority w:val="0"/>
    <w:rPr>
      <w:color w:val="FF8833"/>
      <w:sz w:val="18"/>
      <w:szCs w:val="18"/>
    </w:rPr>
  </w:style>
  <w:style w:type="character" w:customStyle="1" w:styleId="174">
    <w:name w:val="UserStyle_86"/>
    <w:basedOn w:val="37"/>
    <w:autoRedefine/>
    <w:qFormat/>
    <w:uiPriority w:val="0"/>
    <w:rPr>
      <w:shd w:val="clear" w:color="auto" w:fill="F74A4E"/>
    </w:rPr>
  </w:style>
  <w:style w:type="character" w:customStyle="1" w:styleId="175">
    <w:name w:val="UserStyle_87"/>
    <w:basedOn w:val="37"/>
    <w:autoRedefine/>
    <w:qFormat/>
    <w:uiPriority w:val="0"/>
  </w:style>
  <w:style w:type="character" w:customStyle="1" w:styleId="176">
    <w:name w:val="UserStyle_88"/>
    <w:basedOn w:val="37"/>
    <w:autoRedefine/>
    <w:qFormat/>
    <w:uiPriority w:val="0"/>
    <w:rPr>
      <w:color w:val="FFFFFF"/>
      <w:shd w:val="clear" w:color="auto" w:fill="FF3F3F"/>
    </w:rPr>
  </w:style>
  <w:style w:type="character" w:customStyle="1" w:styleId="177">
    <w:name w:val="UserStyle_89"/>
    <w:autoRedefine/>
    <w:qFormat/>
    <w:uiPriority w:val="0"/>
    <w:rPr>
      <w:rFonts w:ascii="宋体" w:hAnsi="Courier New" w:eastAsia="宋体"/>
      <w:kern w:val="2"/>
      <w:sz w:val="21"/>
      <w:lang w:val="en-US" w:eastAsia="zh-CN" w:bidi="ar-SA"/>
    </w:rPr>
  </w:style>
  <w:style w:type="character" w:customStyle="1" w:styleId="178">
    <w:name w:val="UserStyle_90"/>
    <w:basedOn w:val="37"/>
    <w:autoRedefine/>
    <w:qFormat/>
    <w:uiPriority w:val="0"/>
  </w:style>
  <w:style w:type="character" w:customStyle="1" w:styleId="179">
    <w:name w:val="UserStyle_91"/>
    <w:basedOn w:val="37"/>
    <w:autoRedefine/>
    <w:qFormat/>
    <w:uiPriority w:val="0"/>
  </w:style>
  <w:style w:type="character" w:customStyle="1" w:styleId="180">
    <w:name w:val="UserStyle_92"/>
    <w:basedOn w:val="37"/>
    <w:autoRedefine/>
    <w:qFormat/>
    <w:uiPriority w:val="0"/>
    <w:rPr>
      <w:color w:val="1632EF"/>
      <w:u w:val="single"/>
    </w:rPr>
  </w:style>
  <w:style w:type="character" w:customStyle="1" w:styleId="181">
    <w:name w:val="UserStyle_93"/>
    <w:basedOn w:val="37"/>
    <w:autoRedefine/>
    <w:qFormat/>
    <w:uiPriority w:val="0"/>
    <w:rPr>
      <w:color w:val="FFFFFF"/>
      <w:shd w:val="clear" w:color="auto" w:fill="3C88FF"/>
    </w:rPr>
  </w:style>
  <w:style w:type="character" w:customStyle="1" w:styleId="182">
    <w:name w:val="UserStyle_94"/>
    <w:basedOn w:val="37"/>
    <w:autoRedefine/>
    <w:qFormat/>
    <w:uiPriority w:val="0"/>
  </w:style>
  <w:style w:type="character" w:customStyle="1" w:styleId="183">
    <w:name w:val="UserStyle_95"/>
    <w:basedOn w:val="37"/>
    <w:autoRedefine/>
    <w:qFormat/>
    <w:uiPriority w:val="0"/>
  </w:style>
  <w:style w:type="character" w:customStyle="1" w:styleId="184">
    <w:name w:val="UserStyle_96"/>
    <w:basedOn w:val="37"/>
    <w:autoRedefine/>
    <w:qFormat/>
    <w:uiPriority w:val="0"/>
    <w:rPr>
      <w:u w:val="single"/>
    </w:rPr>
  </w:style>
  <w:style w:type="character" w:customStyle="1" w:styleId="185">
    <w:name w:val="UserStyle_97"/>
    <w:basedOn w:val="37"/>
    <w:autoRedefine/>
    <w:qFormat/>
    <w:uiPriority w:val="0"/>
  </w:style>
  <w:style w:type="character" w:customStyle="1" w:styleId="186">
    <w:name w:val="UserStyle_98"/>
    <w:basedOn w:val="37"/>
    <w:autoRedefine/>
    <w:qFormat/>
    <w:uiPriority w:val="0"/>
    <w:rPr>
      <w:u w:val="single"/>
    </w:rPr>
  </w:style>
  <w:style w:type="character" w:customStyle="1" w:styleId="187">
    <w:name w:val="UserStyle_99"/>
    <w:basedOn w:val="37"/>
    <w:autoRedefine/>
    <w:qFormat/>
    <w:uiPriority w:val="0"/>
  </w:style>
  <w:style w:type="character" w:customStyle="1" w:styleId="188">
    <w:name w:val="UserStyle_100"/>
    <w:basedOn w:val="37"/>
    <w:autoRedefine/>
    <w:qFormat/>
    <w:uiPriority w:val="0"/>
    <w:rPr>
      <w:color w:val="0C0C0C"/>
      <w:sz w:val="21"/>
      <w:szCs w:val="21"/>
      <w:shd w:val="clear" w:color="auto" w:fill="D5D9EB"/>
    </w:rPr>
  </w:style>
  <w:style w:type="character" w:customStyle="1" w:styleId="189">
    <w:name w:val="UserStyle_101"/>
    <w:link w:val="190"/>
    <w:autoRedefine/>
    <w:qFormat/>
    <w:uiPriority w:val="0"/>
    <w:rPr>
      <w:kern w:val="2"/>
      <w:sz w:val="24"/>
    </w:rPr>
  </w:style>
  <w:style w:type="paragraph" w:customStyle="1" w:styleId="190">
    <w:name w:val="UserStyle_102"/>
    <w:basedOn w:val="62"/>
    <w:link w:val="189"/>
    <w:autoRedefine/>
    <w:qFormat/>
    <w:uiPriority w:val="0"/>
    <w:pPr>
      <w:spacing w:before="156" w:after="156" w:line="360" w:lineRule="auto"/>
      <w:ind w:firstLine="480"/>
    </w:pPr>
    <w:rPr>
      <w:sz w:val="24"/>
      <w:szCs w:val="20"/>
    </w:rPr>
  </w:style>
  <w:style w:type="character" w:customStyle="1" w:styleId="191">
    <w:name w:val="UserStyle_103"/>
    <w:basedOn w:val="37"/>
    <w:autoRedefine/>
    <w:qFormat/>
    <w:uiPriority w:val="0"/>
    <w:rPr>
      <w:u w:val="single"/>
    </w:rPr>
  </w:style>
  <w:style w:type="character" w:customStyle="1" w:styleId="192">
    <w:name w:val="UserStyle_104"/>
    <w:autoRedefine/>
    <w:qFormat/>
    <w:uiPriority w:val="0"/>
    <w:rPr>
      <w:rFonts w:ascii="宋体" w:hAnsi="宋体" w:eastAsia="宋体"/>
      <w:sz w:val="28"/>
      <w:szCs w:val="28"/>
    </w:rPr>
  </w:style>
  <w:style w:type="character" w:customStyle="1" w:styleId="193">
    <w:name w:val="UserStyle_105"/>
    <w:basedOn w:val="37"/>
    <w:autoRedefine/>
    <w:qFormat/>
    <w:uiPriority w:val="0"/>
  </w:style>
  <w:style w:type="character" w:customStyle="1" w:styleId="194">
    <w:name w:val="UserStyle_106"/>
    <w:basedOn w:val="37"/>
    <w:autoRedefine/>
    <w:qFormat/>
    <w:uiPriority w:val="0"/>
  </w:style>
  <w:style w:type="character" w:customStyle="1" w:styleId="195">
    <w:name w:val="UserStyle_107"/>
    <w:basedOn w:val="37"/>
    <w:autoRedefine/>
    <w:qFormat/>
    <w:uiPriority w:val="0"/>
    <w:rPr>
      <w:color w:val="222222"/>
    </w:rPr>
  </w:style>
  <w:style w:type="character" w:customStyle="1" w:styleId="196">
    <w:name w:val="UserStyle_108"/>
    <w:basedOn w:val="37"/>
    <w:autoRedefine/>
    <w:qFormat/>
    <w:uiPriority w:val="0"/>
  </w:style>
  <w:style w:type="character" w:customStyle="1" w:styleId="197">
    <w:name w:val="UserStyle_109"/>
    <w:basedOn w:val="37"/>
    <w:autoRedefine/>
    <w:qFormat/>
    <w:uiPriority w:val="0"/>
  </w:style>
  <w:style w:type="character" w:customStyle="1" w:styleId="198">
    <w:name w:val="UserStyle_110"/>
    <w:basedOn w:val="37"/>
    <w:autoRedefine/>
    <w:qFormat/>
    <w:uiPriority w:val="0"/>
  </w:style>
  <w:style w:type="character" w:customStyle="1" w:styleId="199">
    <w:name w:val="UserStyle_111"/>
    <w:basedOn w:val="37"/>
    <w:autoRedefine/>
    <w:qFormat/>
    <w:uiPriority w:val="0"/>
    <w:rPr>
      <w:shd w:val="clear" w:color="auto" w:fill="EEEEEE"/>
    </w:rPr>
  </w:style>
  <w:style w:type="character" w:customStyle="1" w:styleId="200">
    <w:name w:val="UserStyle_112"/>
    <w:basedOn w:val="37"/>
    <w:autoRedefine/>
    <w:qFormat/>
    <w:uiPriority w:val="0"/>
    <w:rPr>
      <w:u w:val="single"/>
    </w:rPr>
  </w:style>
  <w:style w:type="character" w:customStyle="1" w:styleId="201">
    <w:name w:val="UserStyle_113"/>
    <w:basedOn w:val="37"/>
    <w:autoRedefine/>
    <w:qFormat/>
    <w:uiPriority w:val="0"/>
    <w:rPr>
      <w:color w:val="999999"/>
    </w:rPr>
  </w:style>
  <w:style w:type="character" w:customStyle="1" w:styleId="202">
    <w:name w:val="UserStyle_114"/>
    <w:basedOn w:val="37"/>
    <w:autoRedefine/>
    <w:qFormat/>
    <w:uiPriority w:val="0"/>
  </w:style>
  <w:style w:type="character" w:customStyle="1" w:styleId="203">
    <w:name w:val="UserStyle_115"/>
    <w:basedOn w:val="37"/>
    <w:autoRedefine/>
    <w:qFormat/>
    <w:uiPriority w:val="0"/>
    <w:rPr>
      <w:color w:val="999999"/>
    </w:rPr>
  </w:style>
  <w:style w:type="character" w:customStyle="1" w:styleId="204">
    <w:name w:val="UserStyle_116"/>
    <w:basedOn w:val="37"/>
    <w:autoRedefine/>
    <w:qFormat/>
    <w:uiPriority w:val="0"/>
  </w:style>
  <w:style w:type="character" w:customStyle="1" w:styleId="205">
    <w:name w:val="UserStyle_117"/>
    <w:basedOn w:val="37"/>
    <w:autoRedefine/>
    <w:qFormat/>
    <w:uiPriority w:val="0"/>
  </w:style>
  <w:style w:type="character" w:customStyle="1" w:styleId="206">
    <w:name w:val="UserStyle_118"/>
    <w:basedOn w:val="37"/>
    <w:autoRedefine/>
    <w:qFormat/>
    <w:uiPriority w:val="0"/>
    <w:rPr>
      <w:color w:val="FFFFFF"/>
    </w:rPr>
  </w:style>
  <w:style w:type="character" w:customStyle="1" w:styleId="207">
    <w:name w:val="UserStyle_119"/>
    <w:basedOn w:val="37"/>
    <w:autoRedefine/>
    <w:qFormat/>
    <w:uiPriority w:val="0"/>
    <w:rPr>
      <w:vanish/>
    </w:rPr>
  </w:style>
  <w:style w:type="character" w:customStyle="1" w:styleId="208">
    <w:name w:val="UserStyle_120"/>
    <w:basedOn w:val="37"/>
    <w:autoRedefine/>
    <w:qFormat/>
    <w:uiPriority w:val="0"/>
    <w:rPr>
      <w:color w:val="222222"/>
    </w:rPr>
  </w:style>
  <w:style w:type="character" w:customStyle="1" w:styleId="209">
    <w:name w:val="UserStyle_121"/>
    <w:basedOn w:val="37"/>
    <w:autoRedefine/>
    <w:qFormat/>
    <w:uiPriority w:val="0"/>
    <w:rPr>
      <w:u w:val="single"/>
    </w:rPr>
  </w:style>
  <w:style w:type="character" w:customStyle="1" w:styleId="210">
    <w:name w:val="UserStyle_122"/>
    <w:basedOn w:val="37"/>
    <w:autoRedefine/>
    <w:qFormat/>
    <w:uiPriority w:val="0"/>
    <w:rPr>
      <w:color w:val="FFFFFF"/>
    </w:rPr>
  </w:style>
  <w:style w:type="character" w:customStyle="1" w:styleId="211">
    <w:name w:val="UserStyle_123"/>
    <w:basedOn w:val="37"/>
    <w:autoRedefine/>
    <w:qFormat/>
    <w:uiPriority w:val="0"/>
  </w:style>
  <w:style w:type="character" w:customStyle="1" w:styleId="212">
    <w:name w:val="UserStyle_124"/>
    <w:basedOn w:val="37"/>
    <w:autoRedefine/>
    <w:qFormat/>
    <w:uiPriority w:val="0"/>
  </w:style>
  <w:style w:type="character" w:customStyle="1" w:styleId="213">
    <w:name w:val="UserStyle_125"/>
    <w:basedOn w:val="37"/>
    <w:autoRedefine/>
    <w:qFormat/>
    <w:uiPriority w:val="0"/>
    <w:rPr>
      <w:color w:val="FF8833"/>
      <w:sz w:val="18"/>
      <w:szCs w:val="18"/>
    </w:rPr>
  </w:style>
  <w:style w:type="character" w:customStyle="1" w:styleId="214">
    <w:name w:val="UserStyle_126"/>
    <w:basedOn w:val="37"/>
    <w:autoRedefine/>
    <w:qFormat/>
    <w:uiPriority w:val="0"/>
  </w:style>
  <w:style w:type="character" w:customStyle="1" w:styleId="215">
    <w:name w:val="UserStyle_127"/>
    <w:basedOn w:val="37"/>
    <w:autoRedefine/>
    <w:qFormat/>
    <w:uiPriority w:val="0"/>
    <w:rPr>
      <w:color w:val="222222"/>
    </w:rPr>
  </w:style>
  <w:style w:type="character" w:customStyle="1" w:styleId="216">
    <w:name w:val="UserStyle_128"/>
    <w:basedOn w:val="37"/>
    <w:autoRedefine/>
    <w:qFormat/>
    <w:uiPriority w:val="0"/>
  </w:style>
  <w:style w:type="character" w:customStyle="1" w:styleId="217">
    <w:name w:val="UserStyle_129"/>
    <w:basedOn w:val="37"/>
    <w:autoRedefine/>
    <w:qFormat/>
    <w:uiPriority w:val="0"/>
  </w:style>
  <w:style w:type="character" w:customStyle="1" w:styleId="218">
    <w:name w:val="UserStyle_130"/>
    <w:autoRedefine/>
    <w:semiHidden/>
    <w:qFormat/>
    <w:uiPriority w:val="0"/>
    <w:rPr>
      <w:kern w:val="2"/>
      <w:sz w:val="21"/>
    </w:rPr>
  </w:style>
  <w:style w:type="character" w:customStyle="1" w:styleId="219">
    <w:name w:val="UserStyle_131"/>
    <w:basedOn w:val="37"/>
    <w:autoRedefine/>
    <w:qFormat/>
    <w:uiPriority w:val="0"/>
  </w:style>
  <w:style w:type="character" w:customStyle="1" w:styleId="220">
    <w:name w:val="UserStyle_132"/>
    <w:autoRedefine/>
    <w:qFormat/>
    <w:uiPriority w:val="0"/>
    <w:rPr>
      <w:sz w:val="28"/>
      <w:szCs w:val="28"/>
    </w:rPr>
  </w:style>
  <w:style w:type="character" w:customStyle="1" w:styleId="221">
    <w:name w:val="UserStyle_133"/>
    <w:basedOn w:val="37"/>
    <w:autoRedefine/>
    <w:qFormat/>
    <w:uiPriority w:val="0"/>
    <w:rPr>
      <w:color w:val="999999"/>
    </w:rPr>
  </w:style>
  <w:style w:type="character" w:customStyle="1" w:styleId="222">
    <w:name w:val="UserStyle_134"/>
    <w:basedOn w:val="37"/>
    <w:autoRedefine/>
    <w:qFormat/>
    <w:uiPriority w:val="0"/>
    <w:rPr>
      <w:color w:val="FFFFFF"/>
      <w:shd w:val="clear" w:color="auto" w:fill="A00000"/>
    </w:rPr>
  </w:style>
  <w:style w:type="character" w:customStyle="1" w:styleId="223">
    <w:name w:val="UserStyle_135"/>
    <w:basedOn w:val="37"/>
    <w:autoRedefine/>
    <w:qFormat/>
    <w:uiPriority w:val="0"/>
    <w:rPr>
      <w:sz w:val="24"/>
      <w:szCs w:val="24"/>
    </w:rPr>
  </w:style>
  <w:style w:type="character" w:customStyle="1" w:styleId="224">
    <w:name w:val="UserStyle_136"/>
    <w:basedOn w:val="37"/>
    <w:autoRedefine/>
    <w:qFormat/>
    <w:uiPriority w:val="0"/>
  </w:style>
  <w:style w:type="paragraph" w:customStyle="1" w:styleId="225">
    <w:name w:val="UserStyle_137"/>
    <w:basedOn w:val="1"/>
    <w:autoRedefine/>
    <w:qFormat/>
    <w:uiPriority w:val="0"/>
    <w:pPr>
      <w:snapToGrid w:val="0"/>
      <w:spacing w:line="312" w:lineRule="atLeast"/>
    </w:pPr>
    <w:rPr>
      <w:szCs w:val="21"/>
    </w:rPr>
  </w:style>
  <w:style w:type="paragraph" w:customStyle="1" w:styleId="226">
    <w:name w:val="UserStyle_138"/>
    <w:basedOn w:val="1"/>
    <w:autoRedefine/>
    <w:qFormat/>
    <w:uiPriority w:val="0"/>
    <w:pPr>
      <w:spacing w:after="160" w:line="240" w:lineRule="exact"/>
      <w:jc w:val="center"/>
    </w:pPr>
    <w:rPr>
      <w:rFonts w:hAnsi="宋体"/>
      <w:b/>
      <w:sz w:val="28"/>
      <w:szCs w:val="28"/>
      <w:lang w:eastAsia="en-US"/>
    </w:rPr>
  </w:style>
  <w:style w:type="paragraph" w:customStyle="1" w:styleId="227">
    <w:name w:val="UserStyle_139"/>
    <w:basedOn w:val="1"/>
    <w:autoRedefine/>
    <w:qFormat/>
    <w:uiPriority w:val="0"/>
    <w:pPr>
      <w:spacing w:before="150"/>
      <w:jc w:val="left"/>
    </w:pPr>
    <w:rPr>
      <w:b/>
      <w:sz w:val="22"/>
      <w:szCs w:val="22"/>
    </w:rPr>
  </w:style>
  <w:style w:type="paragraph" w:customStyle="1" w:styleId="228">
    <w:name w:val="UserStyle_140"/>
    <w:basedOn w:val="1"/>
    <w:next w:val="1"/>
    <w:autoRedefine/>
    <w:qFormat/>
    <w:uiPriority w:val="0"/>
    <w:rPr>
      <w:rFonts w:ascii="黑体" w:eastAsia="黑体"/>
      <w:sz w:val="28"/>
    </w:rPr>
  </w:style>
  <w:style w:type="paragraph" w:customStyle="1" w:styleId="229">
    <w:name w:val="UserStyle_141"/>
    <w:basedOn w:val="1"/>
    <w:autoRedefine/>
    <w:qFormat/>
    <w:uiPriority w:val="0"/>
    <w:pPr>
      <w:snapToGrid w:val="0"/>
      <w:spacing w:line="300" w:lineRule="auto"/>
      <w:ind w:left="350" w:hanging="350" w:hangingChars="350"/>
    </w:pPr>
    <w:rPr>
      <w:rFonts w:eastAsia="仿宋_GB2312" w:cs="Times New Roman"/>
      <w:bCs/>
      <w:color w:val="000000"/>
      <w:szCs w:val="24"/>
    </w:rPr>
  </w:style>
  <w:style w:type="paragraph" w:customStyle="1" w:styleId="230">
    <w:name w:val="UserStyle_142"/>
    <w:basedOn w:val="1"/>
    <w:autoRedefine/>
    <w:qFormat/>
    <w:uiPriority w:val="0"/>
    <w:pPr>
      <w:tabs>
        <w:tab w:val="left" w:pos="555"/>
      </w:tabs>
      <w:spacing w:line="360" w:lineRule="auto"/>
      <w:ind w:firstLine="420" w:firstLineChars="200"/>
    </w:pPr>
    <w:rPr>
      <w:rFonts w:hAnsi="宋体" w:cs="Times New Roman"/>
      <w:bCs/>
    </w:rPr>
  </w:style>
  <w:style w:type="paragraph" w:customStyle="1" w:styleId="231">
    <w:name w:val="UserStyle_143"/>
    <w:basedOn w:val="1"/>
    <w:autoRedefine/>
    <w:qFormat/>
    <w:uiPriority w:val="0"/>
    <w:pPr>
      <w:snapToGrid w:val="0"/>
      <w:spacing w:before="50" w:after="50"/>
      <w:ind w:left="22" w:leftChars="8"/>
      <w:jc w:val="center"/>
    </w:pPr>
    <w:rPr>
      <w:rFonts w:cs="Times New Roman"/>
      <w:b/>
      <w:bCs/>
      <w:color w:val="000000"/>
      <w:sz w:val="32"/>
      <w:szCs w:val="32"/>
    </w:rPr>
  </w:style>
  <w:style w:type="paragraph" w:customStyle="1" w:styleId="232">
    <w:name w:val="UserStyle_144"/>
    <w:basedOn w:val="1"/>
    <w:autoRedefine/>
    <w:qFormat/>
    <w:uiPriority w:val="0"/>
    <w:pPr>
      <w:ind w:firstLine="420" w:firstLineChars="200"/>
    </w:pPr>
  </w:style>
  <w:style w:type="paragraph" w:customStyle="1" w:styleId="233">
    <w:name w:val="UserStyle_145"/>
    <w:basedOn w:val="1"/>
    <w:autoRedefine/>
    <w:qFormat/>
    <w:uiPriority w:val="0"/>
    <w:rPr>
      <w:rFonts w:hAnsi="宋体"/>
      <w:szCs w:val="24"/>
    </w:rPr>
  </w:style>
  <w:style w:type="paragraph" w:customStyle="1" w:styleId="234">
    <w:name w:val="UserStyle_146"/>
    <w:basedOn w:val="1"/>
    <w:autoRedefine/>
    <w:qFormat/>
    <w:uiPriority w:val="0"/>
    <w:pPr>
      <w:spacing w:line="324" w:lineRule="auto"/>
    </w:pPr>
    <w:rPr>
      <w:rFonts w:hAnsi="Courier New"/>
      <w:szCs w:val="21"/>
    </w:rPr>
  </w:style>
  <w:style w:type="paragraph" w:customStyle="1" w:styleId="235">
    <w:name w:val="UserStyle_147"/>
    <w:basedOn w:val="1"/>
    <w:autoRedefine/>
    <w:qFormat/>
    <w:uiPriority w:val="0"/>
  </w:style>
  <w:style w:type="paragraph" w:customStyle="1" w:styleId="236">
    <w:name w:val="UserStyle_148"/>
    <w:basedOn w:val="1"/>
    <w:autoRedefine/>
    <w:qFormat/>
    <w:uiPriority w:val="0"/>
    <w:pPr>
      <w:spacing w:after="160" w:line="240" w:lineRule="exact"/>
      <w:jc w:val="left"/>
    </w:pPr>
    <w:rPr>
      <w:rFonts w:ascii="Verdana" w:hAnsi="Verdana" w:eastAsia="楷体_GB2312"/>
      <w:b/>
      <w:i/>
      <w:iCs/>
      <w:color w:val="000000"/>
      <w:sz w:val="20"/>
      <w:lang w:eastAsia="en-US"/>
    </w:rPr>
  </w:style>
  <w:style w:type="paragraph" w:customStyle="1" w:styleId="237">
    <w:name w:val="UserStyle_149"/>
    <w:autoRedefine/>
    <w:qFormat/>
    <w:uiPriority w:val="0"/>
    <w:pPr>
      <w:spacing w:line="315" w:lineRule="atLeast"/>
      <w:textAlignment w:val="baseline"/>
    </w:pPr>
    <w:rPr>
      <w:rFonts w:ascii="宋体" w:hAnsi="Times New Roman" w:eastAsia="宋体" w:cstheme="minorBidi"/>
      <w:sz w:val="24"/>
      <w:lang w:val="en-US" w:eastAsia="zh-CN" w:bidi="ar-SA"/>
    </w:rPr>
  </w:style>
  <w:style w:type="paragraph" w:customStyle="1" w:styleId="238">
    <w:name w:val="UserStyle_150"/>
    <w:basedOn w:val="1"/>
    <w:autoRedefine/>
    <w:qFormat/>
    <w:uiPriority w:val="0"/>
    <w:pPr>
      <w:ind w:firstLine="420" w:firstLineChars="200"/>
    </w:pPr>
  </w:style>
  <w:style w:type="paragraph" w:customStyle="1" w:styleId="239">
    <w:name w:val="UserStyle_151"/>
    <w:basedOn w:val="1"/>
    <w:autoRedefine/>
    <w:qFormat/>
    <w:uiPriority w:val="0"/>
    <w:pPr>
      <w:tabs>
        <w:tab w:val="left" w:pos="360"/>
      </w:tabs>
    </w:pPr>
    <w:rPr>
      <w:szCs w:val="24"/>
    </w:rPr>
  </w:style>
  <w:style w:type="paragraph" w:customStyle="1" w:styleId="240">
    <w:name w:val="UserStyle_152"/>
    <w:basedOn w:val="1"/>
    <w:autoRedefine/>
    <w:qFormat/>
    <w:uiPriority w:val="0"/>
    <w:pPr>
      <w:tabs>
        <w:tab w:val="left" w:pos="360"/>
      </w:tabs>
      <w:ind w:left="360" w:hanging="360" w:hangingChars="200"/>
    </w:pPr>
    <w:rPr>
      <w:szCs w:val="24"/>
    </w:rPr>
  </w:style>
  <w:style w:type="paragraph" w:customStyle="1" w:styleId="241">
    <w:name w:val="UserStyle_153"/>
    <w:basedOn w:val="43"/>
    <w:autoRedefine/>
    <w:qFormat/>
    <w:uiPriority w:val="0"/>
    <w:pPr>
      <w:jc w:val="left"/>
    </w:pPr>
  </w:style>
  <w:style w:type="paragraph" w:customStyle="1" w:styleId="242">
    <w:name w:val="UserStyle_154"/>
    <w:basedOn w:val="1"/>
    <w:autoRedefine/>
    <w:qFormat/>
    <w:uiPriority w:val="0"/>
    <w:pPr>
      <w:jc w:val="left"/>
    </w:pPr>
  </w:style>
  <w:style w:type="paragraph" w:customStyle="1" w:styleId="243">
    <w:name w:val="UserStyle_155"/>
    <w:basedOn w:val="1"/>
    <w:autoRedefine/>
    <w:qFormat/>
    <w:uiPriority w:val="0"/>
    <w:pPr>
      <w:jc w:val="left"/>
    </w:pPr>
    <w:rPr>
      <w:szCs w:val="24"/>
    </w:rPr>
  </w:style>
  <w:style w:type="paragraph" w:customStyle="1" w:styleId="244">
    <w:name w:val="UserStyle_156"/>
    <w:basedOn w:val="1"/>
    <w:autoRedefine/>
    <w:qFormat/>
    <w:uiPriority w:val="0"/>
    <w:pPr>
      <w:spacing w:line="360" w:lineRule="exact"/>
      <w:ind w:firstLine="200" w:firstLineChars="200"/>
    </w:pPr>
    <w:rPr>
      <w:rFonts w:cs="宋体"/>
      <w:b/>
      <w:bCs/>
      <w:color w:val="000000"/>
      <w:kern w:val="20"/>
    </w:rPr>
  </w:style>
  <w:style w:type="paragraph" w:customStyle="1" w:styleId="245">
    <w:name w:val="UserStyle_157"/>
    <w:basedOn w:val="1"/>
    <w:autoRedefine/>
    <w:qFormat/>
    <w:uiPriority w:val="0"/>
    <w:pPr>
      <w:numPr>
        <w:ilvl w:val="1"/>
        <w:numId w:val="2"/>
      </w:numPr>
      <w:spacing w:before="60"/>
    </w:pPr>
    <w:rPr>
      <w:szCs w:val="24"/>
    </w:rPr>
  </w:style>
  <w:style w:type="paragraph" w:customStyle="1" w:styleId="246">
    <w:name w:val="UserStyle_158"/>
    <w:basedOn w:val="1"/>
    <w:autoRedefine/>
    <w:qFormat/>
    <w:uiPriority w:val="0"/>
    <w:pPr>
      <w:spacing w:before="100" w:beforeAutospacing="1" w:after="100" w:afterAutospacing="1"/>
      <w:jc w:val="left"/>
    </w:pPr>
    <w:rPr>
      <w:rFonts w:hAnsi="宋体"/>
      <w:szCs w:val="24"/>
    </w:rPr>
  </w:style>
  <w:style w:type="paragraph" w:customStyle="1" w:styleId="247">
    <w:name w:val="UserStyle_159"/>
    <w:basedOn w:val="1"/>
    <w:autoRedefine/>
    <w:qFormat/>
    <w:uiPriority w:val="0"/>
    <w:pPr>
      <w:jc w:val="left"/>
    </w:pPr>
  </w:style>
  <w:style w:type="paragraph" w:customStyle="1" w:styleId="248">
    <w:name w:val="UserStyle_160"/>
    <w:basedOn w:val="1"/>
    <w:autoRedefine/>
    <w:qFormat/>
    <w:uiPriority w:val="0"/>
    <w:pPr>
      <w:numPr>
        <w:ilvl w:val="3"/>
        <w:numId w:val="2"/>
      </w:numPr>
      <w:spacing w:before="60"/>
    </w:pPr>
    <w:rPr>
      <w:szCs w:val="24"/>
    </w:rPr>
  </w:style>
  <w:style w:type="paragraph" w:customStyle="1" w:styleId="249">
    <w:name w:val="UserStyle_161"/>
    <w:basedOn w:val="1"/>
    <w:autoRedefine/>
    <w:qFormat/>
    <w:uiPriority w:val="0"/>
    <w:pPr>
      <w:tabs>
        <w:tab w:val="left" w:pos="360"/>
      </w:tabs>
      <w:ind w:left="360" w:hanging="360" w:hangingChars="200"/>
    </w:pPr>
    <w:rPr>
      <w:szCs w:val="24"/>
    </w:rPr>
  </w:style>
  <w:style w:type="paragraph" w:customStyle="1" w:styleId="250">
    <w:name w:val="UserStyle_162"/>
    <w:autoRedefine/>
    <w:qFormat/>
    <w:uiPriority w:val="0"/>
    <w:pPr>
      <w:jc w:val="both"/>
      <w:textAlignment w:val="baseline"/>
    </w:pPr>
    <w:rPr>
      <w:rFonts w:ascii="Calibri" w:hAnsi="Calibri" w:eastAsia="宋体" w:cstheme="minorBidi"/>
      <w:kern w:val="2"/>
      <w:sz w:val="21"/>
      <w:szCs w:val="24"/>
      <w:lang w:val="en-US" w:eastAsia="zh-CN" w:bidi="ar-SA"/>
    </w:rPr>
  </w:style>
  <w:style w:type="paragraph" w:customStyle="1" w:styleId="251">
    <w:name w:val="266"/>
    <w:basedOn w:val="41"/>
    <w:next w:val="1"/>
    <w:autoRedefine/>
    <w:qFormat/>
    <w:uiPriority w:val="0"/>
    <w:pPr>
      <w:keepLines/>
      <w:spacing w:before="480" w:line="276" w:lineRule="auto"/>
      <w:jc w:val="left"/>
    </w:pPr>
    <w:rPr>
      <w:rFonts w:ascii="Cambria" w:hAnsi="Cambria" w:eastAsia="宋体" w:cs="Times New Roman"/>
      <w:bCs/>
      <w:color w:val="365F91"/>
      <w:kern w:val="0"/>
      <w:sz w:val="28"/>
      <w:szCs w:val="28"/>
    </w:rPr>
  </w:style>
  <w:style w:type="paragraph" w:customStyle="1" w:styleId="252">
    <w:name w:val="UserStyle_163"/>
    <w:basedOn w:val="1"/>
    <w:autoRedefine/>
    <w:qFormat/>
    <w:uiPriority w:val="0"/>
    <w:pPr>
      <w:ind w:firstLine="420" w:firstLineChars="200"/>
    </w:pPr>
    <w:rPr>
      <w:rFonts w:ascii="Calibri" w:hAnsi="Calibri"/>
      <w:szCs w:val="22"/>
    </w:rPr>
  </w:style>
  <w:style w:type="paragraph" w:customStyle="1" w:styleId="253">
    <w:name w:val="UserStyle_164"/>
    <w:basedOn w:val="41"/>
    <w:next w:val="1"/>
    <w:autoRedefine/>
    <w:qFormat/>
    <w:uiPriority w:val="0"/>
    <w:pPr>
      <w:spacing w:before="480" w:line="276" w:lineRule="auto"/>
      <w:jc w:val="left"/>
    </w:pPr>
    <w:rPr>
      <w:rFonts w:ascii="Cambria" w:hAnsi="Cambria" w:eastAsia="宋体"/>
      <w:color w:val="365F91"/>
      <w:kern w:val="0"/>
      <w:sz w:val="28"/>
      <w:szCs w:val="28"/>
    </w:rPr>
  </w:style>
  <w:style w:type="paragraph" w:customStyle="1" w:styleId="254">
    <w:name w:val="UserStyle_165"/>
    <w:basedOn w:val="1"/>
    <w:autoRedefine/>
    <w:qFormat/>
    <w:uiPriority w:val="0"/>
    <w:pPr>
      <w:snapToGrid w:val="0"/>
      <w:spacing w:line="360" w:lineRule="auto"/>
    </w:pPr>
    <w:rPr>
      <w:rFonts w:eastAsia="仿宋_GB2312"/>
      <w:spacing w:val="-8"/>
    </w:rPr>
  </w:style>
  <w:style w:type="paragraph" w:customStyle="1" w:styleId="255">
    <w:name w:val="UserStyle_166"/>
    <w:basedOn w:val="1"/>
    <w:autoRedefine/>
    <w:qFormat/>
    <w:uiPriority w:val="0"/>
    <w:pPr>
      <w:tabs>
        <w:tab w:val="left" w:pos="420"/>
      </w:tabs>
      <w:spacing w:line="360" w:lineRule="auto"/>
      <w:ind w:left="358" w:leftChars="128" w:firstLine="2"/>
    </w:pPr>
    <w:rPr>
      <w:spacing w:val="20"/>
      <w:szCs w:val="24"/>
    </w:rPr>
  </w:style>
  <w:style w:type="paragraph" w:customStyle="1" w:styleId="256">
    <w:name w:val="UserStyle_167"/>
    <w:basedOn w:val="1"/>
    <w:next w:val="1"/>
    <w:autoRedefine/>
    <w:qFormat/>
    <w:uiPriority w:val="0"/>
    <w:pPr>
      <w:spacing w:before="156" w:after="156" w:line="300" w:lineRule="auto"/>
      <w:jc w:val="center"/>
    </w:pPr>
    <w:rPr>
      <w:rFonts w:ascii="Arial" w:hAnsi="Arial" w:eastAsia="黑体" w:cs="Times New Roman"/>
      <w:bCs/>
      <w:sz w:val="32"/>
      <w:szCs w:val="24"/>
    </w:rPr>
  </w:style>
  <w:style w:type="paragraph" w:customStyle="1" w:styleId="257">
    <w:name w:val="UserStyle_168"/>
    <w:basedOn w:val="1"/>
    <w:autoRedefine/>
    <w:qFormat/>
    <w:uiPriority w:val="0"/>
    <w:pPr>
      <w:numPr>
        <w:ilvl w:val="2"/>
        <w:numId w:val="2"/>
      </w:numPr>
      <w:spacing w:before="60"/>
    </w:pPr>
    <w:rPr>
      <w:szCs w:val="24"/>
    </w:rPr>
  </w:style>
  <w:style w:type="paragraph" w:customStyle="1" w:styleId="258">
    <w:name w:val="UserStyle_169"/>
    <w:autoRedefine/>
    <w:qFormat/>
    <w:uiPriority w:val="0"/>
    <w:pPr>
      <w:spacing w:line="315" w:lineRule="atLeast"/>
      <w:textAlignment w:val="baseline"/>
    </w:pPr>
    <w:rPr>
      <w:rFonts w:ascii="宋体" w:hAnsi="Times New Roman" w:eastAsia="宋体" w:cstheme="minorBidi"/>
      <w:sz w:val="24"/>
      <w:lang w:val="en-US" w:eastAsia="zh-CN" w:bidi="ar-SA"/>
    </w:rPr>
  </w:style>
  <w:style w:type="paragraph" w:customStyle="1" w:styleId="259">
    <w:name w:val="UserStyle_170"/>
    <w:basedOn w:val="1"/>
    <w:autoRedefine/>
    <w:qFormat/>
    <w:uiPriority w:val="0"/>
    <w:pPr>
      <w:numPr>
        <w:ilvl w:val="0"/>
        <w:numId w:val="3"/>
      </w:numPr>
      <w:tabs>
        <w:tab w:val="left" w:pos="1200"/>
      </w:tabs>
      <w:ind w:left="1200" w:hanging="360"/>
    </w:pPr>
    <w:rPr>
      <w:szCs w:val="24"/>
    </w:rPr>
  </w:style>
  <w:style w:type="paragraph" w:customStyle="1" w:styleId="260">
    <w:name w:val="UserStyle_171"/>
    <w:basedOn w:val="1"/>
    <w:next w:val="1"/>
    <w:autoRedefine/>
    <w:qFormat/>
    <w:uiPriority w:val="0"/>
    <w:rPr>
      <w:rFonts w:ascii="黑体" w:eastAsia="黑体"/>
      <w:sz w:val="28"/>
    </w:rPr>
  </w:style>
  <w:style w:type="paragraph" w:customStyle="1" w:styleId="261">
    <w:name w:val="UserStyle_172"/>
    <w:basedOn w:val="1"/>
    <w:autoRedefine/>
    <w:qFormat/>
    <w:uiPriority w:val="0"/>
    <w:rPr>
      <w:rFonts w:hAnsi="宋体"/>
      <w:szCs w:val="24"/>
    </w:rPr>
  </w:style>
  <w:style w:type="paragraph" w:customStyle="1" w:styleId="262">
    <w:name w:val="UserStyle_173"/>
    <w:basedOn w:val="42"/>
    <w:autoRedefine/>
    <w:qFormat/>
    <w:uiPriority w:val="0"/>
    <w:pPr>
      <w:jc w:val="center"/>
    </w:pPr>
  </w:style>
  <w:style w:type="paragraph" w:customStyle="1" w:styleId="263">
    <w:name w:val="UserStyle_174"/>
    <w:basedOn w:val="1"/>
    <w:autoRedefine/>
    <w:qFormat/>
    <w:uiPriority w:val="0"/>
    <w:pPr>
      <w:spacing w:before="120" w:after="120"/>
    </w:pPr>
    <w:rPr>
      <w:rFonts w:ascii="新宋体" w:hAnsi="宋体" w:eastAsia="新宋体" w:cs="Times New Roman"/>
      <w:bCs/>
      <w:color w:val="000000"/>
      <w:sz w:val="18"/>
      <w:szCs w:val="18"/>
    </w:rPr>
  </w:style>
  <w:style w:type="paragraph" w:customStyle="1" w:styleId="264">
    <w:name w:val="UserStyle_175"/>
    <w:basedOn w:val="1"/>
    <w:next w:val="1"/>
    <w:autoRedefine/>
    <w:qFormat/>
    <w:uiPriority w:val="0"/>
    <w:pPr>
      <w:spacing w:before="80" w:after="80"/>
      <w:jc w:val="left"/>
    </w:pPr>
    <w:rPr>
      <w:rFonts w:ascii="Arial" w:hAnsi="Arial"/>
      <w:b/>
      <w:lang w:val="de-DE" w:eastAsia="en-US"/>
    </w:rPr>
  </w:style>
  <w:style w:type="paragraph" w:customStyle="1" w:styleId="265">
    <w:name w:val="UserStyle_176"/>
    <w:basedOn w:val="77"/>
    <w:autoRedefine/>
    <w:qFormat/>
    <w:uiPriority w:val="0"/>
    <w:pPr>
      <w:spacing w:line="240" w:lineRule="atLeast"/>
    </w:pPr>
    <w:rPr>
      <w:sz w:val="28"/>
    </w:rPr>
  </w:style>
  <w:style w:type="paragraph" w:customStyle="1" w:styleId="266">
    <w:name w:val="UserStyle_177"/>
    <w:basedOn w:val="1"/>
    <w:autoRedefine/>
    <w:qFormat/>
    <w:uiPriority w:val="0"/>
    <w:pPr>
      <w:spacing w:before="150"/>
      <w:jc w:val="left"/>
    </w:pPr>
    <w:rPr>
      <w:rFonts w:cs="Times New Roman"/>
      <w:b/>
      <w:bCs/>
      <w:sz w:val="22"/>
      <w:szCs w:val="22"/>
    </w:rPr>
  </w:style>
  <w:style w:type="paragraph" w:customStyle="1" w:styleId="267">
    <w:name w:val="UserStyle_178"/>
    <w:basedOn w:val="1"/>
    <w:next w:val="62"/>
    <w:autoRedefine/>
    <w:qFormat/>
    <w:uiPriority w:val="0"/>
    <w:pPr>
      <w:tabs>
        <w:tab w:val="left" w:pos="1440"/>
      </w:tabs>
      <w:spacing w:line="360" w:lineRule="auto"/>
      <w:ind w:left="1021" w:hanging="1021"/>
    </w:pPr>
    <w:rPr>
      <w:spacing w:val="20"/>
      <w:szCs w:val="24"/>
    </w:rPr>
  </w:style>
  <w:style w:type="paragraph" w:customStyle="1" w:styleId="268">
    <w:name w:val="Null"/>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269">
    <w:name w:val="UserStyle_179"/>
    <w:basedOn w:val="1"/>
    <w:autoRedefine/>
    <w:qFormat/>
    <w:uiPriority w:val="0"/>
    <w:pPr>
      <w:numPr>
        <w:ilvl w:val="0"/>
        <w:numId w:val="2"/>
      </w:numPr>
      <w:spacing w:before="60"/>
    </w:pPr>
    <w:rPr>
      <w:szCs w:val="24"/>
    </w:rPr>
  </w:style>
  <w:style w:type="paragraph" w:customStyle="1" w:styleId="270">
    <w:name w:val="UserStyle_180"/>
    <w:basedOn w:val="1"/>
    <w:autoRedefine/>
    <w:qFormat/>
    <w:uiPriority w:val="0"/>
    <w:pPr>
      <w:spacing w:before="100" w:beforeAutospacing="1" w:after="100" w:afterAutospacing="1"/>
      <w:jc w:val="left"/>
    </w:pPr>
    <w:rPr>
      <w:rFonts w:hAnsi="宋体"/>
      <w:szCs w:val="24"/>
    </w:rPr>
  </w:style>
  <w:style w:type="paragraph" w:customStyle="1" w:styleId="271">
    <w:name w:val="UserStyle_181"/>
    <w:basedOn w:val="1"/>
    <w:autoRedefine/>
    <w:qFormat/>
    <w:uiPriority w:val="0"/>
    <w:pPr>
      <w:snapToGrid w:val="0"/>
      <w:ind w:left="22" w:leftChars="8"/>
      <w:jc w:val="center"/>
    </w:pPr>
    <w:rPr>
      <w:szCs w:val="24"/>
    </w:rPr>
  </w:style>
  <w:style w:type="paragraph" w:customStyle="1" w:styleId="272">
    <w:name w:val="UserStyle_182"/>
    <w:basedOn w:val="1"/>
    <w:autoRedefine/>
    <w:qFormat/>
    <w:uiPriority w:val="0"/>
    <w:pPr>
      <w:spacing w:after="160" w:line="240" w:lineRule="exact"/>
      <w:jc w:val="center"/>
    </w:pPr>
    <w:rPr>
      <w:rFonts w:hAnsi="宋体"/>
      <w:b/>
      <w:sz w:val="28"/>
      <w:szCs w:val="28"/>
      <w:lang w:eastAsia="en-US"/>
    </w:rPr>
  </w:style>
  <w:style w:type="paragraph" w:customStyle="1" w:styleId="273">
    <w:name w:val="UserStyle_183"/>
    <w:basedOn w:val="1"/>
    <w:autoRedefine/>
    <w:qFormat/>
    <w:uiPriority w:val="0"/>
    <w:rPr>
      <w:rFonts w:ascii="Tahoma" w:hAnsi="Tahoma"/>
    </w:rPr>
  </w:style>
  <w:style w:type="paragraph" w:customStyle="1" w:styleId="274">
    <w:name w:val="UserStyle_184"/>
    <w:basedOn w:val="1"/>
    <w:autoRedefine/>
    <w:qFormat/>
    <w:uiPriority w:val="0"/>
    <w:pPr>
      <w:spacing w:line="360" w:lineRule="auto"/>
      <w:ind w:hanging="627"/>
      <w:jc w:val="left"/>
    </w:pPr>
    <w:rPr>
      <w:b/>
    </w:rPr>
  </w:style>
  <w:style w:type="paragraph" w:customStyle="1" w:styleId="275">
    <w:name w:val="UserStyle_185"/>
    <w:basedOn w:val="1"/>
    <w:autoRedefine/>
    <w:qFormat/>
    <w:uiPriority w:val="0"/>
    <w:rPr>
      <w:rFonts w:ascii="黑体" w:eastAsia="黑体"/>
      <w:szCs w:val="24"/>
    </w:rPr>
  </w:style>
  <w:style w:type="paragraph" w:customStyle="1" w:styleId="276">
    <w:name w:val="UserStyle_186"/>
    <w:basedOn w:val="1"/>
    <w:autoRedefine/>
    <w:qFormat/>
    <w:uiPriority w:val="0"/>
    <w:pPr>
      <w:spacing w:before="150"/>
      <w:jc w:val="left"/>
    </w:pPr>
    <w:rPr>
      <w:b/>
      <w:sz w:val="22"/>
      <w:szCs w:val="22"/>
    </w:rPr>
  </w:style>
  <w:style w:type="paragraph" w:customStyle="1" w:styleId="277">
    <w:name w:val="UserStyle_187"/>
    <w:basedOn w:val="1"/>
    <w:autoRedefine/>
    <w:qFormat/>
    <w:uiPriority w:val="0"/>
    <w:pPr>
      <w:tabs>
        <w:tab w:val="left" w:pos="1871"/>
        <w:tab w:val="left" w:pos="2081"/>
      </w:tabs>
      <w:spacing w:line="360" w:lineRule="exact"/>
      <w:ind w:left="1871" w:hanging="510"/>
    </w:pPr>
  </w:style>
  <w:style w:type="paragraph" w:customStyle="1" w:styleId="278">
    <w:name w:val="UserStyle_188"/>
    <w:basedOn w:val="1"/>
    <w:autoRedefine/>
    <w:qFormat/>
    <w:uiPriority w:val="0"/>
    <w:pPr>
      <w:ind w:firstLine="200" w:firstLineChars="200"/>
    </w:pPr>
  </w:style>
  <w:style w:type="paragraph" w:customStyle="1" w:styleId="279">
    <w:name w:val="UserStyle_189"/>
    <w:basedOn w:val="1"/>
    <w:autoRedefine/>
    <w:qFormat/>
    <w:uiPriority w:val="0"/>
    <w:pPr>
      <w:jc w:val="left"/>
    </w:pPr>
  </w:style>
  <w:style w:type="paragraph" w:customStyle="1" w:styleId="280">
    <w:name w:val="UserStyle_190"/>
    <w:basedOn w:val="1"/>
    <w:next w:val="1"/>
    <w:autoRedefine/>
    <w:qFormat/>
    <w:uiPriority w:val="0"/>
    <w:pPr>
      <w:spacing w:after="120"/>
    </w:pPr>
    <w:rPr>
      <w:rFonts w:ascii="Times New Roman"/>
      <w:kern w:val="2"/>
      <w:sz w:val="21"/>
    </w:rPr>
  </w:style>
  <w:style w:type="paragraph" w:customStyle="1" w:styleId="281">
    <w:name w:val="UserStyle_191"/>
    <w:basedOn w:val="1"/>
    <w:autoRedefine/>
    <w:qFormat/>
    <w:uiPriority w:val="0"/>
    <w:rPr>
      <w:rFonts w:hAnsi="宋体"/>
      <w:lang w:val="zh-CN" w:bidi="zh-CN"/>
    </w:rPr>
  </w:style>
  <w:style w:type="paragraph" w:customStyle="1" w:styleId="282">
    <w:name w:val="UserStyle_192"/>
    <w:basedOn w:val="1"/>
    <w:autoRedefine/>
    <w:qFormat/>
    <w:uiPriority w:val="0"/>
    <w:pPr>
      <w:spacing w:before="100" w:beforeAutospacing="1" w:after="100" w:afterAutospacing="1"/>
      <w:jc w:val="center"/>
    </w:pPr>
    <w:rPr>
      <w:rFonts w:ascii="Arial Unicode MS" w:hAnsi="Arial Unicode MS" w:eastAsia="Arial Unicode MS"/>
      <w:b/>
      <w:sz w:val="32"/>
    </w:rPr>
  </w:style>
  <w:style w:type="paragraph" w:customStyle="1" w:styleId="283">
    <w:name w:val="UserStyle_193"/>
    <w:basedOn w:val="1"/>
    <w:autoRedefine/>
    <w:qFormat/>
    <w:uiPriority w:val="0"/>
    <w:pPr>
      <w:tabs>
        <w:tab w:val="left" w:pos="360"/>
      </w:tabs>
    </w:pPr>
    <w:rPr>
      <w:szCs w:val="24"/>
    </w:rPr>
  </w:style>
  <w:style w:type="paragraph" w:customStyle="1" w:styleId="284">
    <w:name w:val="UserStyle_194"/>
    <w:basedOn w:val="1"/>
    <w:autoRedefine/>
    <w:qFormat/>
    <w:uiPriority w:val="0"/>
    <w:pPr>
      <w:spacing w:line="318" w:lineRule="atLeast"/>
    </w:pPr>
    <w:rPr>
      <w:rFonts w:ascii="楷体_GB2312" w:hAnsi="宋体" w:eastAsia="楷体_GB2312"/>
    </w:rPr>
  </w:style>
  <w:style w:type="paragraph" w:customStyle="1" w:styleId="285">
    <w:name w:val="UserStyle_195"/>
    <w:basedOn w:val="1"/>
    <w:autoRedefine/>
    <w:qFormat/>
    <w:uiPriority w:val="0"/>
    <w:pPr>
      <w:spacing w:before="100" w:beforeAutospacing="1" w:after="100" w:afterAutospacing="1"/>
      <w:jc w:val="left"/>
    </w:pPr>
    <w:rPr>
      <w:rFonts w:hAnsi="宋体"/>
      <w:szCs w:val="24"/>
    </w:rPr>
  </w:style>
  <w:style w:type="paragraph" w:customStyle="1" w:styleId="286">
    <w:name w:val="UserStyle_196"/>
    <w:basedOn w:val="1"/>
    <w:autoRedefine/>
    <w:qFormat/>
    <w:uiPriority w:val="0"/>
    <w:pPr>
      <w:spacing w:before="100" w:beforeAutospacing="1" w:after="100" w:afterAutospacing="1"/>
      <w:jc w:val="left"/>
    </w:pPr>
    <w:rPr>
      <w:rFonts w:hAnsi="宋体"/>
      <w:color w:val="000000"/>
      <w:szCs w:val="24"/>
    </w:rPr>
  </w:style>
  <w:style w:type="paragraph" w:customStyle="1" w:styleId="287">
    <w:name w:val="UserStyle_197"/>
    <w:basedOn w:val="1"/>
    <w:next w:val="1"/>
    <w:autoRedefine/>
    <w:qFormat/>
    <w:uiPriority w:val="0"/>
    <w:pPr>
      <w:numPr>
        <w:ilvl w:val="3"/>
        <w:numId w:val="4"/>
      </w:numPr>
      <w:jc w:val="left"/>
    </w:pPr>
    <w:rPr>
      <w:rFonts w:eastAsia="黑体"/>
    </w:rPr>
  </w:style>
  <w:style w:type="paragraph" w:customStyle="1" w:styleId="288">
    <w:name w:val="UserStyle_198"/>
    <w:basedOn w:val="1"/>
    <w:autoRedefine/>
    <w:qFormat/>
    <w:uiPriority w:val="0"/>
    <w:pPr>
      <w:ind w:firstLine="420" w:firstLineChars="200"/>
    </w:pPr>
  </w:style>
  <w:style w:type="paragraph" w:customStyle="1" w:styleId="289">
    <w:name w:val="UserStyle_199"/>
    <w:autoRedefine/>
    <w:qFormat/>
    <w:uiPriority w:val="0"/>
    <w:pPr>
      <w:textAlignment w:val="baseline"/>
    </w:pPr>
    <w:rPr>
      <w:rFonts w:ascii="AGYXIQ+Frutiger-Cn" w:hAnsi="Times New Roman" w:eastAsia="AGYXIQ+Frutiger-Cn" w:cstheme="minorBidi"/>
      <w:color w:val="000000"/>
      <w:sz w:val="24"/>
      <w:szCs w:val="24"/>
      <w:lang w:val="en-US" w:eastAsia="zh-CN" w:bidi="ar-SA"/>
    </w:rPr>
  </w:style>
  <w:style w:type="paragraph" w:customStyle="1" w:styleId="290">
    <w:name w:val="UserStyle_200"/>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top"/>
    </w:pPr>
    <w:rPr>
      <w:rFonts w:hAnsi="宋体" w:cs="Times New Roman"/>
      <w:b/>
      <w:bCs/>
      <w:szCs w:val="24"/>
    </w:rPr>
  </w:style>
  <w:style w:type="character" w:customStyle="1" w:styleId="291">
    <w:name w:val="批注文字 字符"/>
    <w:basedOn w:val="32"/>
    <w:link w:val="10"/>
    <w:autoRedefine/>
    <w:qFormat/>
    <w:uiPriority w:val="0"/>
    <w:rPr>
      <w:rFonts w:ascii="宋体" w:cstheme="minorBidi"/>
      <w:sz w:val="24"/>
    </w:rPr>
  </w:style>
  <w:style w:type="character" w:customStyle="1" w:styleId="292">
    <w:name w:val="批注主题 字符"/>
    <w:basedOn w:val="291"/>
    <w:link w:val="27"/>
    <w:autoRedefine/>
    <w:qFormat/>
    <w:uiPriority w:val="0"/>
    <w:rPr>
      <w:rFonts w:ascii="宋体" w:cstheme="minorBidi"/>
      <w:b/>
      <w:bCs/>
      <w:sz w:val="24"/>
    </w:rPr>
  </w:style>
  <w:style w:type="character" w:customStyle="1" w:styleId="293">
    <w:name w:val="批注框文本 字符"/>
    <w:basedOn w:val="32"/>
    <w:link w:val="16"/>
    <w:autoRedefine/>
    <w:qFormat/>
    <w:uiPriority w:val="0"/>
    <w:rPr>
      <w:rFonts w:ascii="宋体" w:cstheme="minorBidi"/>
      <w:sz w:val="18"/>
      <w:szCs w:val="18"/>
    </w:rPr>
  </w:style>
  <w:style w:type="paragraph" w:styleId="294">
    <w:name w:val="List Paragraph"/>
    <w:basedOn w:val="1"/>
    <w:autoRedefine/>
    <w:qFormat/>
    <w:uiPriority w:val="99"/>
    <w:pPr>
      <w:ind w:firstLine="420" w:firstLineChars="200"/>
    </w:pPr>
  </w:style>
  <w:style w:type="paragraph" w:customStyle="1" w:styleId="295">
    <w:name w:val="标题 2（投标文件）"/>
    <w:basedOn w:val="4"/>
    <w:autoRedefine/>
    <w:qFormat/>
    <w:uiPriority w:val="99"/>
    <w:pPr>
      <w:jc w:val="center"/>
    </w:pPr>
  </w:style>
  <w:style w:type="paragraph" w:customStyle="1" w:styleId="296">
    <w:name w:val="正文缩进1"/>
    <w:basedOn w:val="1"/>
    <w:autoRedefine/>
    <w:qFormat/>
    <w:uiPriority w:val="0"/>
    <w:pPr>
      <w:ind w:firstLine="420" w:firstLineChars="200"/>
    </w:pPr>
  </w:style>
  <w:style w:type="paragraph" w:customStyle="1" w:styleId="297">
    <w:name w:val="标题 3（投标文件）"/>
    <w:basedOn w:val="5"/>
    <w:autoRedefine/>
    <w:qFormat/>
    <w:uiPriority w:val="99"/>
    <w:pPr>
      <w:jc w:val="left"/>
    </w:pPr>
    <w:rPr>
      <w:u w:val="none"/>
    </w:rPr>
  </w:style>
  <w:style w:type="character" w:customStyle="1" w:styleId="298">
    <w:name w:val="font41"/>
    <w:autoRedefine/>
    <w:qFormat/>
    <w:uiPriority w:val="0"/>
    <w:rPr>
      <w:rFonts w:ascii="宋体" w:hAnsi="宋体" w:eastAsia="宋体"/>
      <w:color w:val="000000"/>
      <w:sz w:val="18"/>
      <w:u w:val="none"/>
    </w:rPr>
  </w:style>
  <w:style w:type="character" w:customStyle="1" w:styleId="299">
    <w:name w:val="font21"/>
    <w:autoRedefine/>
    <w:qFormat/>
    <w:uiPriority w:val="0"/>
    <w:rPr>
      <w:rFonts w:hint="eastAsia" w:ascii="仿宋_GB2312" w:eastAsia="仿宋_GB2312" w:cs="仿宋_GB2312"/>
      <w:color w:val="000000"/>
      <w:sz w:val="18"/>
      <w:szCs w:val="18"/>
      <w:u w:val="none"/>
    </w:rPr>
  </w:style>
  <w:style w:type="paragraph" w:customStyle="1" w:styleId="30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1">
    <w:name w:val="正文 A"/>
    <w:autoRedefine/>
    <w:qFormat/>
    <w:uiPriority w:val="0"/>
    <w:pPr>
      <w:widowControl w:val="0"/>
      <w:spacing w:line="360" w:lineRule="auto"/>
      <w:ind w:left="2"/>
    </w:pPr>
    <w:rPr>
      <w:rFonts w:ascii="宋体" w:hAnsi="宋体" w:eastAsia="宋体" w:cs="宋体"/>
      <w:color w:val="000000"/>
      <w:kern w:val="2"/>
      <w:sz w:val="24"/>
      <w:szCs w:val="24"/>
      <w:u w:val="none" w:color="000000"/>
      <w:lang w:val="zh-TW" w:eastAsia="zh-TW" w:bidi="ar-SA"/>
    </w:rPr>
  </w:style>
  <w:style w:type="paragraph" w:customStyle="1" w:styleId="302">
    <w:name w:val="_Style 3"/>
    <w:basedOn w:val="1"/>
    <w:autoRedefine/>
    <w:qFormat/>
    <w:uiPriority w:val="34"/>
    <w:pPr>
      <w:ind w:firstLine="420" w:firstLineChars="200"/>
    </w:pPr>
    <w:rPr>
      <w:rFonts w:ascii="Calibri" w:hAnsi="Calibri" w:eastAsia="宋体" w:cs="Times New Roman"/>
      <w:szCs w:val="22"/>
    </w:rPr>
  </w:style>
  <w:style w:type="paragraph" w:customStyle="1" w:styleId="30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04">
    <w:name w:val="List Paragraph1"/>
    <w:basedOn w:val="1"/>
    <w:autoRedefine/>
    <w:qFormat/>
    <w:uiPriority w:val="99"/>
    <w:pPr>
      <w:ind w:firstLine="420" w:firstLineChars="200"/>
    </w:pPr>
  </w:style>
  <w:style w:type="paragraph" w:customStyle="1" w:styleId="305">
    <w:name w:val="列出段落1"/>
    <w:basedOn w:val="1"/>
    <w:autoRedefine/>
    <w:qFormat/>
    <w:uiPriority w:val="0"/>
    <w:pPr>
      <w:ind w:firstLine="420" w:firstLineChars="200"/>
    </w:pPr>
  </w:style>
  <w:style w:type="table" w:customStyle="1" w:styleId="306">
    <w:name w:val="Table Normal"/>
    <w:autoRedefine/>
    <w:unhideWhenUsed/>
    <w:qFormat/>
    <w:uiPriority w:val="0"/>
    <w:tblPr>
      <w:tblCellMar>
        <w:top w:w="0" w:type="dxa"/>
        <w:left w:w="0" w:type="dxa"/>
        <w:bottom w:w="0" w:type="dxa"/>
        <w:right w:w="0" w:type="dxa"/>
      </w:tblCellMar>
    </w:tblPr>
  </w:style>
  <w:style w:type="paragraph" w:customStyle="1" w:styleId="30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19169</Words>
  <Characters>21128</Characters>
  <Lines>313</Lines>
  <Paragraphs>88</Paragraphs>
  <TotalTime>62</TotalTime>
  <ScaleCrop>false</ScaleCrop>
  <LinksUpToDate>false</LinksUpToDate>
  <CharactersWithSpaces>21254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2023-02-21T05:33:00Z</dcterms:created>
  <dc:creator>Administrator</dc:creator>
  <cp:lastModifiedBy>清欢</cp:lastModifiedBy>
  <cp:lastPrinted>2024-04-18T04:13:00Z</cp:lastPrinted>
  <dcterms:modified xsi:type="dcterms:W3CDTF">2025-02-10T09:06:26Z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09D1FDFEAFDF41D1A37071CA4AAA8CDE_13</vt:lpwstr>
  </property>
  <property fmtid="{D5CDD505-2E9C-101B-9397-08002B2CF9AE}" pid="4" name="KSOTemplateDocerSaveRecord">
    <vt:lpwstr>eyJoZGlkIjoiZmVlZjYzZGZmNWQwNzA2MzU3ODYyMTUwNWY1MDBmNDkiLCJ1c2VySWQiOiI0MTIyNjcyMjEifQ==</vt:lpwstr>
  </property>
</Properties>
</file>