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725"/>
        <w:gridCol w:w="6814"/>
      </w:tblGrid>
      <w:tr w14:paraId="5B86C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3F88754F">
            <w:pPr>
              <w:pStyle w:val="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25" w:type="dxa"/>
          </w:tcPr>
          <w:p w14:paraId="23453DCC">
            <w:pPr>
              <w:pStyle w:val="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814" w:type="dxa"/>
          </w:tcPr>
          <w:p w14:paraId="380B3EF7">
            <w:pPr>
              <w:pStyle w:val="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技术参数与性能指标</w:t>
            </w:r>
          </w:p>
        </w:tc>
      </w:tr>
      <w:tr w14:paraId="27682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6E853B5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725" w:type="dxa"/>
          </w:tcPr>
          <w:p w14:paraId="1A33FBAD">
            <w:pPr>
              <w:pStyle w:val="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814" w:type="dxa"/>
          </w:tcPr>
          <w:p w14:paraId="3FA726DD">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一、服务内容：</w:t>
            </w:r>
          </w:p>
          <w:p w14:paraId="73E5EAC1">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（一）建设内容</w:t>
            </w:r>
          </w:p>
          <w:p w14:paraId="59C1DEC7">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w:t>
            </w:r>
            <w:r>
              <w:rPr>
                <w:rFonts w:hint="eastAsia" w:ascii="宋体" w:hAnsi="宋体" w:eastAsia="宋体" w:cs="宋体"/>
                <w:sz w:val="24"/>
                <w:szCs w:val="24"/>
                <w:highlight w:val="none"/>
                <w:lang w:val="en-US" w:eastAsia="zh-CN"/>
              </w:rPr>
              <w:t>采购项目</w:t>
            </w:r>
            <w:r>
              <w:rPr>
                <w:rFonts w:hint="eastAsia" w:ascii="宋体" w:hAnsi="宋体" w:eastAsia="宋体" w:cs="宋体"/>
                <w:sz w:val="24"/>
                <w:szCs w:val="24"/>
                <w:highlight w:val="none"/>
                <w:lang w:eastAsia="zh-CN"/>
              </w:rPr>
              <w:t>建设内容为陕西省政府还贷一级收费公路财政电子票据服务平台，对接省财政票据管理系统，通过小程序为用户提供在线电子票据开具功能，实现财政票据电子化。</w:t>
            </w:r>
          </w:p>
          <w:p w14:paraId="68736E23">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（二）建设功能</w:t>
            </w:r>
          </w:p>
          <w:p w14:paraId="26449E65">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1.对接省交通云，部署通行费电子票据服务平台。该平台根据申请免费使用，无额外费用。</w:t>
            </w:r>
          </w:p>
          <w:p w14:paraId="5A5DC659">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2.交易数据汇聚及标准化。实现收费站现金及移动支付交易数据传输、汇聚、清洗、处理、统计等功能。</w:t>
            </w:r>
          </w:p>
          <w:p w14:paraId="7C014CBD">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3.电子票据管理。完成业务处理、开票申请与交易数据匹配，实现电子票据分发业务审批以及财政电子票据申请、下载、推送功能，实现客诉处理、异常问题原因分析、技术问题反馈、统计分析等功能。</w:t>
            </w:r>
          </w:p>
          <w:p w14:paraId="2D0A9429">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4.用户开票微信小程序。通过扫描二维码，获取微信授权手机号码或手工录入手机号码、实现用户自助开票、通行记录及已开票据查询、用户消息提醒、在线客服、常见问题及异常处理等功能。</w:t>
            </w:r>
          </w:p>
          <w:p w14:paraId="2ED34C7D">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5.对接财政票据管理系统。</w:t>
            </w:r>
            <w:r>
              <w:rPr>
                <w:rFonts w:hint="eastAsia" w:ascii="宋体" w:hAnsi="宋体" w:eastAsia="宋体" w:cs="宋体"/>
                <w:sz w:val="24"/>
                <w:szCs w:val="24"/>
                <w:highlight w:val="none"/>
                <w:lang w:eastAsia="zh-CN"/>
              </w:rPr>
              <w:t>与财政票据系统支持厂家对接，衔接省财政电子票据管理系统与通行费电子票据服务平台，向省财政电子票据管理系统推送开票申请信息，实现电子票据签名调用及版式文件生成、票据预览与推送、票据红冲及换票、票据统计、票据存储管理等功能，实现财政票据申请、加密、开具。</w:t>
            </w:r>
            <w:r>
              <w:rPr>
                <w:rFonts w:hint="eastAsia" w:ascii="宋体" w:hAnsi="宋体" w:eastAsia="宋体" w:cs="宋体"/>
                <w:color w:val="auto"/>
                <w:sz w:val="24"/>
                <w:szCs w:val="24"/>
                <w:highlight w:val="none"/>
                <w:lang w:val="en-US" w:eastAsia="zh-CN"/>
              </w:rPr>
              <w:t>对接所需费用包含在项目预算内，采购人不额外支付其他费用</w:t>
            </w:r>
            <w:r>
              <w:rPr>
                <w:rFonts w:hint="eastAsia" w:ascii="宋体" w:hAnsi="宋体" w:eastAsia="宋体" w:cs="宋体"/>
                <w:color w:val="auto"/>
                <w:sz w:val="24"/>
                <w:szCs w:val="24"/>
                <w:highlight w:val="none"/>
                <w:lang w:eastAsia="zh-CN"/>
              </w:rPr>
              <w:t>。</w:t>
            </w:r>
          </w:p>
          <w:p w14:paraId="01C7A514">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（三）平台工作流程</w:t>
            </w:r>
          </w:p>
          <w:p w14:paraId="2B1A904B">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用户通行政府还贷一级公路缴费车道，在车道领取热敏打印开票二维码，驶离收费站后扫码自助在线开具电子票据，可通过电子票据平台获取一张通行费电子票据，票面金额为实际交费金额。</w:t>
            </w:r>
          </w:p>
          <w:p w14:paraId="7D2D67D5">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）网络设计</w:t>
            </w:r>
          </w:p>
          <w:p w14:paraId="58F4362B">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级公路收费系统为行业专网，由车道系统、收费站系统及省中心系统构成。本项目基于现有网络架构，在确保系统的安全性、稳定性和可用性的基础上，进行安全网络设计，构建安全稳定、高效的现金交易数据传输网络。</w:t>
            </w:r>
          </w:p>
          <w:p w14:paraId="4D500666">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租用数据交换4G网络服务。收费站将用户交易信息通过串口发送给数据安全传输终端，数据安全传输终端将交易信息加密后，通过运营商专用4G网络传输至开票平台，实现9个收费站的开票数据传输，保障收费站系统的安全性；</w:t>
            </w:r>
          </w:p>
          <w:p w14:paraId="56001AFB">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2.通行费电子票据服务平台为用户提供开票服务，部署在云资源，通过防火墙、堡垒机、ssl证书、漏洞扫描等安全防护手段进行安全防护；</w:t>
            </w:r>
          </w:p>
          <w:p w14:paraId="4E078092">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3.省财政票据管理系统与通行费电子票据服务平台通过点对点网络准入互联网通道，通过https协议进行数据交互，保障数据安全性。</w:t>
            </w:r>
          </w:p>
        </w:tc>
      </w:tr>
      <w:tr w14:paraId="17C16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68290E6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725" w:type="dxa"/>
          </w:tcPr>
          <w:p w14:paraId="3CB3FBA5">
            <w:pPr>
              <w:pStyle w:val="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yellow"/>
              </w:rPr>
            </w:pPr>
          </w:p>
        </w:tc>
        <w:tc>
          <w:tcPr>
            <w:tcW w:w="6814" w:type="dxa"/>
          </w:tcPr>
          <w:p w14:paraId="02DD3863">
            <w:pPr>
              <w:pStyle w:val="6"/>
              <w:keepNext w:val="0"/>
              <w:keepLines w:val="0"/>
              <w:pageBreakBefore w:val="0"/>
              <w:numPr>
                <w:ilvl w:val="0"/>
                <w:numId w:val="1"/>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内容清单</w:t>
            </w:r>
          </w:p>
          <w:p w14:paraId="47017752">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1、建设通行费电子票据服务平台建设</w:t>
            </w:r>
          </w:p>
          <w:p w14:paraId="75AC6467">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（1）对接省交通云，部署通行费电子票据服务平台。</w:t>
            </w:r>
          </w:p>
          <w:p w14:paraId="0D344184">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（2）提供电子票据的后台管理功能，实现现金缴费、移动支付缴费电子票据的开具的数据交换、处理、存储、开票查询、常见问题及异常处理、意见反馈处理、统计分析等功能。</w:t>
            </w:r>
          </w:p>
          <w:p w14:paraId="770A6BA6">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（3）用户开票小程序：为用户提供客户服务能力，用户可在小程序自助完成开票、换票、领票等操作，快速获取电子票据。</w:t>
            </w:r>
          </w:p>
          <w:p w14:paraId="6496E55C">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（4）数据汇聚功能，对接数据安全传输终端，完成数据汇聚、清洗、处理、统计等功能。</w:t>
            </w:r>
          </w:p>
          <w:p w14:paraId="1C6BC9AD">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（5）对接省财政票据管理系统，实现电子票据开具、冲红、交付等功能。</w:t>
            </w:r>
          </w:p>
          <w:p w14:paraId="5FB8203C">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费用计算标准：根据中国软件行业基准数据CSBMK®-202210 标准计算，按功能点规模计取。</w:t>
            </w:r>
          </w:p>
          <w:p w14:paraId="4B57D0AE">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系统进入服务期后，供应商应提供5天/周*8小时/天的技术支持服务，对存在的各类故障及问题在1小时响应时间内及时应答并处理，确保政府还贷一级公路财政票据电子化工作顺利开展。</w:t>
            </w:r>
          </w:p>
          <w:p w14:paraId="298E94F5">
            <w:pPr>
              <w:pStyle w:val="6"/>
              <w:keepNext w:val="0"/>
              <w:keepLines w:val="0"/>
              <w:pageBreakBefore w:val="0"/>
              <w:numPr>
                <w:ilvl w:val="0"/>
                <w:numId w:val="2"/>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对接省财政票据管理系统</w:t>
            </w:r>
          </w:p>
          <w:p w14:paraId="797C6AA6">
            <w:pPr>
              <w:pStyle w:val="6"/>
              <w:keepNext w:val="0"/>
              <w:keepLines w:val="0"/>
              <w:pageBreakBefore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由财政票据系统支持厂家提供，提供财政票据管理功能，衔接陕西省财政厅电子票据系统与通行费电子票据服务平台，实现电子票据开具功能</w:t>
            </w:r>
            <w:r>
              <w:rPr>
                <w:rFonts w:hint="default"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对接所需费用包含在项目预算内，采购人不额外支付其他费用</w:t>
            </w:r>
            <w:r>
              <w:rPr>
                <w:rFonts w:hint="eastAsia" w:ascii="宋体" w:hAnsi="宋体" w:eastAsia="宋体" w:cs="宋体"/>
                <w:color w:val="auto"/>
                <w:sz w:val="24"/>
                <w:szCs w:val="24"/>
                <w:highlight w:val="none"/>
                <w:lang w:eastAsia="zh-CN"/>
              </w:rPr>
              <w:t>。</w:t>
            </w:r>
          </w:p>
          <w:p w14:paraId="21FDE584">
            <w:pPr>
              <w:pStyle w:val="6"/>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租用数据交换4G网络服务</w:t>
            </w:r>
          </w:p>
          <w:p w14:paraId="7F13874F">
            <w:pPr>
              <w:pStyle w:val="6"/>
              <w:keepNext w:val="0"/>
              <w:keepLines w:val="0"/>
              <w:pageBreakBefore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租用运营商4G网络，保障9个收费站数据安全传输终端与开票平台进行数据交换，处理因网络出现故障导致的数据终端问题。</w:t>
            </w:r>
          </w:p>
        </w:tc>
      </w:tr>
      <w:tr w14:paraId="40475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09C99AB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725" w:type="dxa"/>
          </w:tcPr>
          <w:p w14:paraId="3461514F">
            <w:pPr>
              <w:pStyle w:val="6"/>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814" w:type="dxa"/>
          </w:tcPr>
          <w:p w14:paraId="6F36173C">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服务要求</w:t>
            </w:r>
          </w:p>
          <w:p w14:paraId="62CCCC68">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（一）服务时间及地点</w:t>
            </w:r>
          </w:p>
          <w:p w14:paraId="47448184">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服务时间：供应商应于合同签订后3个月内完成所有功能开发并部署，具备使用条件，并向甲方出具包含开通运行、功能测试与申请上线等内容的书面交付报告，双方确认签章并以此确定试运行期开始时间。系统1个月试运行期满，并通过甲方验收之日起正式进入服务期，服务期为12个月。</w:t>
            </w:r>
          </w:p>
          <w:p w14:paraId="7868DA8F">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服务地点：陕西省高速公路收费中心。</w:t>
            </w:r>
          </w:p>
          <w:p w14:paraId="2D18250B">
            <w:pPr>
              <w:pStyle w:val="6"/>
              <w:keepNext w:val="0"/>
              <w:keepLines w:val="0"/>
              <w:pageBreakBefore w:val="0"/>
              <w:numPr>
                <w:ilvl w:val="0"/>
                <w:numId w:val="3"/>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项目人员管理要求</w:t>
            </w:r>
          </w:p>
          <w:p w14:paraId="12D7C113">
            <w:pPr>
              <w:pStyle w:val="6"/>
              <w:keepNext w:val="0"/>
              <w:keepLines w:val="0"/>
              <w:pageBreakBefore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在服务过程中，对于供应商向甲方提供服务过程中所指派具体承担服务的人员，应向甲方提供人员名单、简历、学历等相应证明文件，并保证所提供信息的准确性和有效性。甲方有权对派入人员的资格和相关信息进行审核。为确保甲方服务工作的顺利开展，供应商应对服务人员及现场驻场人员素质整体把关，原则上应满足以下条件：</w:t>
            </w:r>
          </w:p>
          <w:p w14:paraId="6E7CE1AD">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1.指定一名项目经理，须拥有集成项目管理从业经验，</w:t>
            </w:r>
            <w:r>
              <w:rPr>
                <w:rFonts w:hint="eastAsia" w:ascii="宋体" w:hAnsi="宋体" w:eastAsia="宋体" w:cs="宋体"/>
                <w:sz w:val="24"/>
                <w:szCs w:val="24"/>
                <w:highlight w:val="none"/>
              </w:rPr>
              <w:t>具有信息系统项目管理从业资质</w:t>
            </w:r>
            <w:r>
              <w:rPr>
                <w:rFonts w:hint="eastAsia" w:ascii="宋体" w:hAnsi="宋体" w:eastAsia="宋体" w:cs="宋体"/>
                <w:sz w:val="24"/>
                <w:szCs w:val="24"/>
              </w:rPr>
              <w:t>，具有1个及以上同类项目的项目经理任职经历，同时应具有预见和应对项目风险的能力。</w:t>
            </w:r>
          </w:p>
          <w:p w14:paraId="5F74E448">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2.项目组成员（不包括项目经理）至少三人及以上。三名以上服务人员（包括但不限于软件设计、网络工程、数据安全</w:t>
            </w:r>
            <w:r>
              <w:rPr>
                <w:rFonts w:hint="eastAsia" w:ascii="宋体" w:hAnsi="宋体" w:eastAsia="宋体" w:cs="宋体"/>
                <w:sz w:val="24"/>
                <w:szCs w:val="24"/>
                <w:lang w:val="en-US" w:eastAsia="zh-CN"/>
              </w:rPr>
              <w:t>专业</w:t>
            </w:r>
            <w:r>
              <w:rPr>
                <w:rFonts w:hint="eastAsia" w:ascii="宋体" w:hAnsi="宋体" w:eastAsia="宋体" w:cs="宋体"/>
                <w:sz w:val="24"/>
                <w:szCs w:val="24"/>
              </w:rPr>
              <w:t>），具有相关专业服务从业资质；</w:t>
            </w:r>
          </w:p>
          <w:p w14:paraId="4D5A4BB8">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3.为保证项目的连续性，在项目服务周期内不得随意更换服务人员。</w:t>
            </w:r>
          </w:p>
          <w:p w14:paraId="09F3FB5C">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（三）保密要求</w:t>
            </w:r>
          </w:p>
          <w:p w14:paraId="68FE7C96">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项目实施过程中所收集、产生的所有与本项目相关的文档、资料，包括</w:t>
            </w:r>
            <w:r>
              <w:rPr>
                <w:rFonts w:hint="eastAsia" w:ascii="宋体" w:hAnsi="宋体" w:eastAsia="宋体" w:cs="宋体"/>
                <w:sz w:val="24"/>
                <w:szCs w:val="24"/>
                <w:highlight w:val="none"/>
              </w:rPr>
              <w:t>文字、图片、表格、数字等各种形式的所属权均归属</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，供应商必须对所涉及到的内容保密，供应商及服务人员应按照要求</w:t>
            </w:r>
            <w:r>
              <w:rPr>
                <w:rFonts w:hint="eastAsia" w:ascii="宋体" w:hAnsi="宋体" w:eastAsia="宋体" w:cs="宋体"/>
                <w:sz w:val="24"/>
                <w:szCs w:val="24"/>
              </w:rPr>
              <w:t>签署保密协议。</w:t>
            </w:r>
          </w:p>
          <w:p w14:paraId="0CFB4BEC">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（四）网络安全要求</w:t>
            </w:r>
          </w:p>
          <w:p w14:paraId="44CBE6F6">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供应商具备健全的网络安全服务体系，具有网络安全隐患排查、完善加固、预警监测、应对攻击等服务能力，配备具有相关技术能力的网络安全专项人员，为本项目提供漏洞检测、策略配置、加固整改、安全监测、应急处置等保障措施，确保系统安全稳定运行。供应商未发生过重大网络安全事件，按照要求签署网络安全责任协议。</w:t>
            </w:r>
          </w:p>
          <w:p w14:paraId="70E15839">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（五）技术支持服务</w:t>
            </w:r>
          </w:p>
          <w:p w14:paraId="4BEDEA77">
            <w:pPr>
              <w:pStyle w:val="6"/>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系统进入服务期后，供应商应提供5天/周*8小时/天的技术支持服务，对存在的各类故障及问题在1小时响应时间内及时应答并处理，确保政府还贷一级公路财政票据电子化工作顺利开展。</w:t>
            </w:r>
          </w:p>
        </w:tc>
      </w:tr>
    </w:tbl>
    <w:p w14:paraId="0CC6AB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2498A"/>
    <w:multiLevelType w:val="singleLevel"/>
    <w:tmpl w:val="9812498A"/>
    <w:lvl w:ilvl="0" w:tentative="0">
      <w:start w:val="2"/>
      <w:numFmt w:val="decimal"/>
      <w:suff w:val="nothing"/>
      <w:lvlText w:val="%1、"/>
      <w:lvlJc w:val="left"/>
    </w:lvl>
  </w:abstractNum>
  <w:abstractNum w:abstractNumId="1">
    <w:nsid w:val="275D75D4"/>
    <w:multiLevelType w:val="singleLevel"/>
    <w:tmpl w:val="275D75D4"/>
    <w:lvl w:ilvl="0" w:tentative="0">
      <w:start w:val="2"/>
      <w:numFmt w:val="chineseCounting"/>
      <w:suff w:val="nothing"/>
      <w:lvlText w:val="（%1）"/>
      <w:lvlJc w:val="left"/>
      <w:rPr>
        <w:rFonts w:hint="eastAsia"/>
      </w:rPr>
    </w:lvl>
  </w:abstractNum>
  <w:abstractNum w:abstractNumId="2">
    <w:nsid w:val="580E763E"/>
    <w:multiLevelType w:val="singleLevel"/>
    <w:tmpl w:val="580E763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60A0D"/>
    <w:rsid w:val="06960A0D"/>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before="100" w:beforeAutospacing="1" w:afterLines="25" w:line="300" w:lineRule="auto"/>
      <w:ind w:firstLine="420" w:firstLineChars="200"/>
    </w:pPr>
    <w:rPr>
      <w:rFonts w:ascii="Arial" w:hAnsi="Arial" w:cs="Arial"/>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2025-03-28T03:28:00Z</dcterms:created>
  <dc:creator>张娜</dc:creator>
  <cp:lastModifiedBy>张娜</cp:lastModifiedBy>
  <dcterms:modified xsi:type="dcterms:W3CDTF">2025-03-28T03:28:16Z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CAD2D24A6F054C4B968AB7AAE9305B91_11</vt:lpwstr>
  </property>
  <property fmtid="{D5CDD505-2E9C-101B-9397-08002B2CF9AE}" pid="4" name="KSOTemplateDocerSaveRecord">
    <vt:lpwstr>eyJoZGlkIjoiOGFlZDBjMTkxMjAyY2VhMDJmNjJkYjY5NWY5ZGZmNGMiLCJ1c2VySWQiOiI0NTE5NDQwNTQifQ==</vt:lpwstr>
  </property>
</Properties>
</file>