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9F67" w14:textId="3AA81B5F" w:rsidR="00337BB0" w:rsidRPr="00631179" w:rsidRDefault="00337BB0" w:rsidP="00337BB0">
      <w:pPr>
        <w:pStyle w:val="null3"/>
        <w:jc w:val="center"/>
        <w:rPr>
          <w:rFonts w:ascii="仿宋" w:eastAsia="仿宋" w:hAnsi="仿宋"/>
          <w:b/>
          <w:bCs/>
          <w:sz w:val="36"/>
          <w:szCs w:val="36"/>
          <w:lang w:eastAsia="zh-CN"/>
        </w:rPr>
      </w:pPr>
      <w:bookmarkStart w:id="0" w:name="OLE_LINK106"/>
      <w:r w:rsidRPr="00631179">
        <w:rPr>
          <w:rFonts w:ascii="仿宋" w:eastAsia="仿宋" w:hAnsi="仿宋" w:cs="仿宋_GB2312"/>
          <w:b/>
          <w:bCs/>
          <w:sz w:val="36"/>
          <w:szCs w:val="36"/>
        </w:rPr>
        <w:t>采购需求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6"/>
        <w:gridCol w:w="476"/>
        <w:gridCol w:w="7294"/>
      </w:tblGrid>
      <w:tr w:rsidR="00337BB0" w:rsidRPr="00631179" w14:paraId="14F3B633" w14:textId="77777777" w:rsidTr="00A61F68">
        <w:trPr>
          <w:jc w:val="center"/>
        </w:trPr>
        <w:tc>
          <w:tcPr>
            <w:tcW w:w="0" w:type="auto"/>
          </w:tcPr>
          <w:p w14:paraId="0D76F987" w14:textId="77777777" w:rsidR="00337BB0" w:rsidRPr="00631179" w:rsidRDefault="00337BB0" w:rsidP="00A61F68">
            <w:pPr>
              <w:pStyle w:val="null3"/>
              <w:rPr>
                <w:rFonts w:ascii="仿宋" w:eastAsia="仿宋" w:hAnsi="仿宋"/>
              </w:rPr>
            </w:pPr>
            <w:r w:rsidRPr="00631179">
              <w:rPr>
                <w:rFonts w:ascii="仿宋" w:eastAsia="仿宋" w:hAnsi="仿宋" w:cs="仿宋_GB2312"/>
              </w:rPr>
              <w:t>参数性质</w:t>
            </w:r>
          </w:p>
        </w:tc>
        <w:tc>
          <w:tcPr>
            <w:tcW w:w="0" w:type="auto"/>
          </w:tcPr>
          <w:p w14:paraId="284F71FB" w14:textId="77777777" w:rsidR="00337BB0" w:rsidRPr="00631179" w:rsidRDefault="00337BB0" w:rsidP="00A61F68">
            <w:pPr>
              <w:pStyle w:val="null3"/>
              <w:rPr>
                <w:rFonts w:ascii="仿宋" w:eastAsia="仿宋" w:hAnsi="仿宋"/>
              </w:rPr>
            </w:pPr>
            <w:r w:rsidRPr="00631179">
              <w:rPr>
                <w:rFonts w:ascii="仿宋" w:eastAsia="仿宋" w:hAnsi="仿宋" w:cs="仿宋_GB2312"/>
              </w:rPr>
              <w:t xml:space="preserve"> 序号</w:t>
            </w:r>
          </w:p>
        </w:tc>
        <w:tc>
          <w:tcPr>
            <w:tcW w:w="0" w:type="auto"/>
            <w:vAlign w:val="center"/>
          </w:tcPr>
          <w:p w14:paraId="0AD47E08" w14:textId="77777777" w:rsidR="00337BB0" w:rsidRPr="00631179" w:rsidRDefault="00337BB0" w:rsidP="00A61F68">
            <w:pPr>
              <w:pStyle w:val="null3"/>
              <w:jc w:val="center"/>
              <w:rPr>
                <w:rFonts w:ascii="仿宋" w:eastAsia="仿宋" w:hAnsi="仿宋"/>
              </w:rPr>
            </w:pPr>
            <w:r w:rsidRPr="00631179">
              <w:rPr>
                <w:rFonts w:ascii="仿宋" w:eastAsia="仿宋" w:hAnsi="仿宋" w:cs="仿宋_GB2312"/>
              </w:rPr>
              <w:t>技术参数与性能指标</w:t>
            </w:r>
          </w:p>
        </w:tc>
      </w:tr>
      <w:tr w:rsidR="00337BB0" w:rsidRPr="00631179" w14:paraId="1E598CC6" w14:textId="77777777" w:rsidTr="00A61F68">
        <w:trPr>
          <w:jc w:val="center"/>
        </w:trPr>
        <w:tc>
          <w:tcPr>
            <w:tcW w:w="0" w:type="auto"/>
          </w:tcPr>
          <w:p w14:paraId="64A18C54" w14:textId="77777777" w:rsidR="00337BB0" w:rsidRPr="00631179" w:rsidRDefault="00337BB0" w:rsidP="00A61F68">
            <w:pPr>
              <w:rPr>
                <w:rFonts w:ascii="仿宋" w:eastAsia="仿宋" w:hAnsi="仿宋" w:hint="eastAsia"/>
              </w:rPr>
            </w:pPr>
          </w:p>
        </w:tc>
        <w:tc>
          <w:tcPr>
            <w:tcW w:w="0" w:type="auto"/>
          </w:tcPr>
          <w:p w14:paraId="24916F7F" w14:textId="77777777" w:rsidR="00337BB0" w:rsidRPr="00631179" w:rsidRDefault="00337BB0" w:rsidP="00A61F68">
            <w:pPr>
              <w:pStyle w:val="null3"/>
              <w:rPr>
                <w:rFonts w:ascii="仿宋" w:eastAsia="仿宋" w:hAnsi="仿宋"/>
              </w:rPr>
            </w:pPr>
            <w:r w:rsidRPr="00631179">
              <w:rPr>
                <w:rFonts w:ascii="仿宋" w:eastAsia="仿宋" w:hAnsi="仿宋" w:cs="仿宋_GB2312"/>
              </w:rPr>
              <w:t>1</w:t>
            </w:r>
          </w:p>
        </w:tc>
        <w:tc>
          <w:tcPr>
            <w:tcW w:w="0" w:type="auto"/>
          </w:tcPr>
          <w:p w14:paraId="256EAA41"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采购包1：汉中市2025-2026年基本医疗保险门诊慢特病承办服务项目（包1）</w:t>
            </w:r>
          </w:p>
          <w:p w14:paraId="21864CA4"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一、项目概述</w:t>
            </w:r>
          </w:p>
          <w:p w14:paraId="3836FEEE"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基本医疗保险门诊慢性病、特殊病（以下简称基本医保门诊慢特病）是指临床诊断明确、病情相对稳定、治疗方案变化不大，需长期或明确治疗周期在门诊治疗，符合基本医疗保险统筹基金支付范围的慢性病和特殊疾病。为进一步提高本市基本医保门诊慢特病精细化服务水平，方便参保患者线上申办，推动便民利民惠民高质量医保服务体系向纵深发展，提高医疗保障服务效能，有效防范基金风险，控制门诊慢特病医疗费用不合理增长，按照国务院印发《关于进一步优化政务服务提升行政效能推动“高效办成一件事”的指导意见》、《陕西省医疗保障局 陕西省财政厅 陕西省卫生健康委员会关于印发&lt;陕西省基本医疗保险门诊慢特病规范管理办法&gt;的通知》（陕医保发〔2024〕35号）、《汉中市医疗保障局市财政局市卫健委关于印发汉中市基本医疗保险门诊慢特病实施办法的通知》（汉市医保发〔2024〕66号）等文件精神，为确保基本医保门诊慢特病工作顺利开展，拟采用公开招标方式选定两家供应商共同为第三方承办机构，负责全市基本医疗保险门诊慢特病全流程经办工作，包括但不限于受理政策咨询及举报投诉、搭建使用门诊慢特病经办管理信息系统、线上线下受理申请、组织鉴定、信息备案、费用审核、结算支付、配合医保部门开展医保基金监管、门诊慢特病保险运行分析和资料归档保存等。</w:t>
            </w:r>
          </w:p>
          <w:p w14:paraId="30DEB1A6"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二、项目预算</w:t>
            </w:r>
          </w:p>
          <w:p w14:paraId="6A520831"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总预算：120万元/年，为年度报销额的60%</w:t>
            </w:r>
          </w:p>
          <w:p w14:paraId="6811264D"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三、承办服务对象</w:t>
            </w:r>
          </w:p>
          <w:p w14:paraId="74F74464"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汉中市基本医疗保险参保人员。</w:t>
            </w:r>
          </w:p>
          <w:p w14:paraId="4D07AA29"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四、承办服务人数</w:t>
            </w:r>
          </w:p>
          <w:p w14:paraId="3A17CE39"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约320万人/年（具体以当年实际参保缴费人数为准）。</w:t>
            </w:r>
          </w:p>
          <w:p w14:paraId="3E4F26B1"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五、承办服务期间</w:t>
            </w:r>
          </w:p>
          <w:p w14:paraId="7D8C20CD" w14:textId="77F733A2"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承办服务期两年，业务涵盖范围自2025年1月1日起至2026年12月31日止。承办服务意向合同一次签两年，工作协议1年一签，按照上一年度的年终考核结果，决定下一年度协议是否续签。政府采购服务合同签订后，承办方于2025年</w:t>
            </w:r>
            <w:r w:rsidR="00DE43C9">
              <w:rPr>
                <w:rFonts w:ascii="仿宋" w:eastAsia="仿宋" w:hAnsi="仿宋"/>
                <w:lang w:eastAsia="zh-CN"/>
              </w:rPr>
              <w:t>5</w:t>
            </w:r>
            <w:r w:rsidRPr="00631179">
              <w:rPr>
                <w:rFonts w:ascii="仿宋" w:eastAsia="仿宋" w:hAnsi="仿宋"/>
              </w:rPr>
              <w:t>月1</w:t>
            </w:r>
            <w:r w:rsidR="00DE43C9">
              <w:rPr>
                <w:rFonts w:ascii="仿宋" w:eastAsia="仿宋" w:hAnsi="仿宋"/>
                <w:lang w:eastAsia="zh-CN"/>
              </w:rPr>
              <w:t>5</w:t>
            </w:r>
            <w:r w:rsidRPr="00631179">
              <w:rPr>
                <w:rFonts w:ascii="仿宋" w:eastAsia="仿宋" w:hAnsi="仿宋"/>
              </w:rPr>
              <w:t>日前完成承办门诊慢特病所必需的各项准备工作，于2025年</w:t>
            </w:r>
            <w:r w:rsidR="00DE43C9">
              <w:rPr>
                <w:rFonts w:ascii="仿宋" w:eastAsia="仿宋" w:hAnsi="仿宋"/>
                <w:lang w:eastAsia="zh-CN"/>
              </w:rPr>
              <w:t>5</w:t>
            </w:r>
            <w:r w:rsidRPr="00631179">
              <w:rPr>
                <w:rFonts w:ascii="仿宋" w:eastAsia="仿宋" w:hAnsi="仿宋"/>
              </w:rPr>
              <w:t>月1</w:t>
            </w:r>
            <w:r w:rsidR="00DE43C9">
              <w:rPr>
                <w:rFonts w:ascii="仿宋" w:eastAsia="仿宋" w:hAnsi="仿宋"/>
                <w:lang w:eastAsia="zh-CN"/>
              </w:rPr>
              <w:t>6</w:t>
            </w:r>
            <w:r w:rsidRPr="00631179">
              <w:rPr>
                <w:rFonts w:ascii="仿宋" w:eastAsia="仿宋" w:hAnsi="仿宋"/>
              </w:rPr>
              <w:t>日正式启动门诊慢特病承办服务工作。</w:t>
            </w:r>
          </w:p>
          <w:p w14:paraId="03D343C6"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六、承办服务费</w:t>
            </w:r>
          </w:p>
          <w:p w14:paraId="5ADBBA9A"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（一）报价要求：本项目采用费率报价，报价上限为当年基本医保门诊慢特病报销总金额的1%，投标报价有效范围为1%（含）以下，报价超出1%的均视为无效投标。</w:t>
            </w:r>
          </w:p>
          <w:p w14:paraId="3A927E36"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特别说明:依据《中华人民共和国政府采购法》第二条规定:本法所称采购，是指以合同方式有偿取得货物、工程和服务的行为，包括购买、租赁、委托、雇用等。并且本项目要求服务人员为专职人员，非兼职人员，故投标人报价不得为0%，报价为0%视为无效投标。若报价极低的或明显低于承办服务成本的，投标人须提供</w:t>
            </w:r>
            <w:r w:rsidRPr="00631179">
              <w:rPr>
                <w:rFonts w:ascii="仿宋" w:eastAsia="仿宋" w:hAnsi="仿宋"/>
              </w:rPr>
              <w:lastRenderedPageBreak/>
              <w:t>相关证明材料，用以证明其报价的合理性，如不能提供证明材料或证明材料依据不充分的，视为无效投标。</w:t>
            </w:r>
          </w:p>
          <w:p w14:paraId="2100B669"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（二）包1承办服务费年度最高限额为120万元/年，两年共计240万元。实际以当年实际报销总额×60%×中标报价为准。如当年实际报销总额×60%×中标报价的金额高于120万元，承办服务费按120万元确定。</w:t>
            </w:r>
          </w:p>
          <w:p w14:paraId="336296FD"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（三）承办服务费为采购方向供应商支付的经办服务款项（包括但不限于人力成本、信息系统、运营成本以及承办门诊慢特病保险各项运行成本和收益）。</w:t>
            </w:r>
          </w:p>
          <w:p w14:paraId="68472E44"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（四）门诊慢特病保险承办服务费按年度计算、不一次性提前支付，经医保、财政部门决算后，按决算和考核结果执行。</w:t>
            </w:r>
          </w:p>
          <w:p w14:paraId="0DC6D60D"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七、承办资金要求</w:t>
            </w:r>
          </w:p>
          <w:p w14:paraId="200E610E"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（一）总体要求</w:t>
            </w:r>
          </w:p>
          <w:p w14:paraId="62AE0FA1"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门诊慢特病基金在医保基金中集中管理。基金支付由供应商向市级医疗保险业务经办机构申报，经审核后向财政部门申请拨付。资金实行预算拨付制，年初预拨25%，年内按进度再拨付60%，市医保经办机构按6:4比例分别拨付包1包2供应商的基本医保门诊慢特病资金专户，剩余金额待决算、考核后按结果执行。</w:t>
            </w:r>
          </w:p>
          <w:p w14:paraId="4A9A8082"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（二）专户管理</w:t>
            </w:r>
          </w:p>
          <w:p w14:paraId="2440E015"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供应商应按要求设立基本医保门诊慢特病资金支出专户，实行单独核算，专账管理，确保资金安全，保证偿付能力，接受财政、审计、监察部门和医保管理部门的监督检查。</w:t>
            </w:r>
          </w:p>
          <w:p w14:paraId="67E14BD6"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（三）资金垫付</w:t>
            </w:r>
          </w:p>
          <w:p w14:paraId="49273226"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供应商应建立资金垫付机制并做出具体承诺（承诺书最低须由投标人的省级公司出具并加盖公章），在基本医保门诊慢特病资金未拨付到位期间，供应商应先行垫付费用（所垫付费用按包1包2比例承担），确保及时拨付给定点医药机构及参保患者，不得影响定点医药机构和参保人的权益。若因资金垫付不及时，造成群体性上访事件或不良社会影响的，采购人有权解除中标合同，并追究相关责任。</w:t>
            </w:r>
          </w:p>
          <w:p w14:paraId="7FBBBABC"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（四）基金清算</w:t>
            </w:r>
          </w:p>
          <w:p w14:paraId="5FF7C3D1"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医保经办机构按照市财政、医保规定要求，编制年度基金决算报告，报告基金年度运行及管理情况。如当年门诊慢特病基金支出超出年度预算额度的，由商业保险机构进行弥补，包1包2供应商按6:4比例承担亏损金额。基本医保门诊慢特病资金专户年度决算后有结余（含利息）的，中标方应将结余资金（含利息）及时返还基本医保基金财政专户。如发生基金当年入不敷出的，首先从中标方经办服务费抵扣；仍有差额时，由基金与中标方按3:7比例分担。（注：2024年度基金总额约4.8亿元）</w:t>
            </w:r>
          </w:p>
          <w:p w14:paraId="3F201D24"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因中标方监管不力、人情鉴定、审核不严、履职不力等因素造成门诊慢特病基金损失的，由中标方全部承担。</w:t>
            </w:r>
          </w:p>
          <w:p w14:paraId="4E0ABD5A"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（五）经办服务费</w:t>
            </w:r>
          </w:p>
          <w:p w14:paraId="0D0F0648"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发挥其第三方参与门诊慢特病受理经办、基金监管、防范基金风险作用，将经办服务费兑付与全年门诊慢特病基金支出降幅、开展稽核检查成效挂钩。经办服务费定额的80%作为基础服务费，20%为绩效服务费，基础服务费足额支付，制定措施有效控制本年度门诊慢特病基金支出不合理增长，且稽核检查查实追回一定额度费用的，按比例兑付绩效服务费。</w:t>
            </w:r>
          </w:p>
          <w:p w14:paraId="1470B0CE"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八、承办能力要求</w:t>
            </w:r>
          </w:p>
          <w:p w14:paraId="423B8E9A"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（一）总体要求</w:t>
            </w:r>
          </w:p>
          <w:p w14:paraId="01DA7387"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lastRenderedPageBreak/>
              <w:t>包括综合偿付能力、风险综合评级能力、资金垫付能力（包含垫资额和垫资时长）、社会影响力、企业信誉一般违法情况；服务部分包括服务能力水平和项目实施方案，其中服务能力水平具体包含：专业管理部门、专项服务团队、专业人员（必须包含项目负责人）、本地化服务、办公场所及硬件设备、团队管理、信息系统。项目实施方案具体包含：全市各县区内服务网点设置方案、承办门诊慢特病经办服务流程方案、信息系统建设运行方案、财务管理制度方案、风险预案应急方案、费用结算支付方案、监督检查方案、服务质量保证措施方案、运行分析方案、配合医保部门服务工作方案、培训及宣传方案、经办中心建设方案、档案管理数据安全方案，以及服务创新及增值服务内容。</w:t>
            </w:r>
          </w:p>
          <w:p w14:paraId="348EC3C2"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（二）具体要求</w:t>
            </w:r>
          </w:p>
          <w:p w14:paraId="63F8A86B"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1.由中标方包1牵头，包2配合共同在汉中市区建立独立的基本医保门诊慢特病经办服务中心，统一办理全市基本医保门诊慢特病全流程相关业务。服务中心人力资源、软硬件设施设备、办公场地等费用由包1包2供应商按6:4比例自行分担。</w:t>
            </w:r>
          </w:p>
          <w:p w14:paraId="5561F187"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2.供应商应按市级统筹的管理模式，组建基本医保门诊慢特病专职服务队伍，统一共同办理门诊慢特病业务。专职服务队伍中，应配备一定比例的医学（医疗、护理、药学）、计算机、财务、统计分析等专业背景的人员，能为基本医保门诊慢特病承办提供便捷高效和专业的服务。总人数不少于45人，包1不少于 27人，包2不少于18人。其中各包医学类专业人员占比不少于 50%。具备较强的服务意识和专业素养，人员配备相对稳定，原则上不得随意变动。</w:t>
            </w:r>
          </w:p>
          <w:p w14:paraId="297BAE06"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3.原则上供应商在全市各县区有稳定且独立运营的分支机构。在市、县区医保经办中心设立服务窗口，派驻专职工作人员，负责该辖区基本医保门诊慢特病相关政策宣传咨询答复、申请受理、组织鉴定、信息备案、费用审核、结算支付、运行分析、配合医保部门进行稽核监督和档案管理等业务。</w:t>
            </w:r>
          </w:p>
          <w:p w14:paraId="08CFD7D4"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4.服务窗口人力资源、软硬件设施设备、办公场地租赁等费用由中标方自行承担，具体费用按包1包2比例进行划分。</w:t>
            </w:r>
          </w:p>
          <w:p w14:paraId="2897839C"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5.包1中标方牵头方制定全市统一的服务网点人员架构设置、岗位职责、岗位工作标准及服务流程等，报市医保经办机构备案后执行。中标方包2配合包1中标方进行人员岗位安置。</w:t>
            </w:r>
          </w:p>
          <w:p w14:paraId="57A0B5DC"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6.建立完善信息系统。包1中标方开发建设门诊慢特病经办管理信息系统，其功能模块应该包括且不限于系统框架结构、业务流程设计、线上线下申请受理管理、鉴定复审管理、信息备案管理、定点机构管理和服务过程跟踪管理、结算支付管理、档案管理、稽核巡查和智能监控等方面。同时要根据政策变动和业务需求适时升级，提高运用信息技术手段监控医疗费用支出的能力，不断提升信息系统对经办业务的支持力度和日常维护。包2中标方需按要求做好日常经办工作和包1中标方的其他配合工作，提出优化完善意见。供应商应加强信息系统的管理和维护，建立并执行严格的保密制度，严格用户权限管理，切实保护参保人信息安全。不得向定点医药机构收取任何与信息系统端口改造相关的任何费用。</w:t>
            </w:r>
          </w:p>
          <w:p w14:paraId="4B6DAFFC"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7.承办服务内容。由包1中标方牵头组织经办服务工作方案（标书中须包含详细的工作方案）、包2中标方配合出台经办服务工作方案（标书中须包含如何配合包1中标方的工作方案）、包1包2要建立中标方的合作和争议机制。具体承办工作由包1包2中标方协作完成。</w:t>
            </w:r>
          </w:p>
          <w:p w14:paraId="4A052213"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（1）建立标准化经办服务流程。在中标方包1牵头下制定门诊慢特病内部管理办法和工作人员岗位职责，围绕参保患者申请，承办机构受理、组织鉴定、备案</w:t>
            </w:r>
            <w:r w:rsidRPr="00631179">
              <w:rPr>
                <w:rFonts w:ascii="仿宋" w:eastAsia="仿宋" w:hAnsi="仿宋"/>
              </w:rPr>
              <w:lastRenderedPageBreak/>
              <w:t>结果反馈、费用审核等受理鉴定流程“一站式”“一窗口”，以及支付结算、稽核核查，建立标准化的经办服务流程，提高经办服务质量。</w:t>
            </w:r>
          </w:p>
          <w:p w14:paraId="41F91057"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2）信息化需求。提供门诊慢特病专属服务系统，受理线上线下申请，便于开展门诊慢特病资格鉴定、结算费用智能审核服务，提高慢特病医疗保障基金风险管控信息化水平。确保数据的安全存储和传输，同时实现与医保部门信息系统的数据共享，以便及时获取和更新参保人员的信息。不得向定点医药机构收取与门诊慢特病专属服务系统接口改造相关的任何费用，及时无条件提供技术支持。</w:t>
            </w:r>
          </w:p>
          <w:p w14:paraId="0AF4A07E"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（3）受理申请、审核资料。线上线下受理基本医保门诊慢特病资格申请，对申请信息进行初审，无异议的按要求在规定时间内组织鉴定专家开展鉴定。</w:t>
            </w:r>
          </w:p>
          <w:p w14:paraId="65BDAECE"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（4）组织全过程鉴定认定。中标方负责组织开展鉴定审核，包括但不限于做好鉴定复审、鉴定结论登记、信息备案及相关材料的归档管理等。</w:t>
            </w:r>
          </w:p>
          <w:p w14:paraId="38E7F50B"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（5）配合医保部门开展门诊慢特病基金监管工作。要配合医保部门通过台账审核、现场稽核、随机抽查、电话回访核查等方式开展基本医保门诊慢特病基金监管。</w:t>
            </w:r>
          </w:p>
          <w:p w14:paraId="35B08987"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6）费用结算。中标方按照医保部门基金支付待遇清单规定的月结清算时限要求及时、足额结算和支付。包1供应商作为牵头方，应制定合理的门诊慢特病费用结算方案，确保费用支付及时；包2供应商须配合执行。</w:t>
            </w:r>
          </w:p>
          <w:p w14:paraId="5098D469"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（7）受理政策咨询及举报投诉。各服务窗口开通经办服务电话，受理门诊慢特病政策咨询、举报投诉，并按要求办结。</w:t>
            </w:r>
          </w:p>
          <w:p w14:paraId="1219AE38"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8）档案管理与数据统计分析。按照标准化、科学化的档案管理要求，采取“一人一档”方式，为每个参保患者建立纸质及电子档案，包括申请人个人基本信息资料、申请表、病历资料、待遇享受、核查记录等。档案所有权归市医保经办中心，双方合作期间，档案由中标方保管，如不再继续合作，应将档案、系统数据等资料及时移交给市医保经办中心。</w:t>
            </w:r>
          </w:p>
          <w:p w14:paraId="7E3D474C"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9）接受医保部门的监督和考核。配合医保部门开展检查和稽核工作。根据医保部门确定专项检查重点、针对医疗费用花销大、基金支出多的门诊慢特病病种开展重点稽核，其中未设置限额的三种门诊慢特病检查比例不低于该病种总数的70%，并将结果报送医保部门。</w:t>
            </w:r>
          </w:p>
          <w:p w14:paraId="0FE52E37"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10）定期向医保部门报告工作进展和业务数据。按月、季度于次月（季）10日前向医保部门报送实施情况、基金运行分析报告、月度报表基金运行和承保经办服务的运行分析等报告。发现基金运行异常情况要做好深入调查和问题剖析，在7个工作日内以书面形式向医保部门提出预警，提供可行的建议或方案。</w:t>
            </w:r>
          </w:p>
          <w:p w14:paraId="662AB458"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8.服务创新及增值服务是指投标人提出具有创新性的门诊慢特病经办管理理念或模式，能够有效提升门诊慢特病患者的就医体验、服务质量和参保患者满意度等。</w:t>
            </w:r>
          </w:p>
          <w:p w14:paraId="0F556EEF"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（三)承办商保公司职责</w:t>
            </w:r>
          </w:p>
          <w:p w14:paraId="5B8D8DEE"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承办商保公司主要承办：门诊慢特病政策宣传与咨询，组建管理医疗鉴定专家组，开展定点医药机构工作人员和鉴定专家的培训；开发应用门诊慢特病经办管理系统；受理线上线下门诊慢特病病种资格申请、组织鉴定、信息备案及结果送达；门诊慢特病定点医药机构月结数据核对，费用审核结算、支付管理；接受医保部门监督考核，定期向医保部门报告工作进展和业务数据；配合做好使用门诊慢特病医保基金稽核和年度考核；做好门诊慢特病定点机构服务质量监管、服务质量举报投诉受理和满意度调查及评价；资料整理归集和建档（备份)；其他协商需要委托承办的业务。</w:t>
            </w:r>
          </w:p>
          <w:p w14:paraId="608ACBC2"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lastRenderedPageBreak/>
              <w:t>包1包2中标公司要共同成立独立于商保机构之外的门诊慢特病承办服务中心，配置办公软硬件设施，满足日常工作需求。按照要求划分职能和配备全职工作人员，在市门诊慢特病承办服务中心配备承办业务足够的工作人员，分设管理岗、受理岗、审核岗、财务岗、咨询回访岗、稽核岗等岗位，负责统筹安排日常经办事务，在各级医保经办机构派驻专职人员实行联合办公开展工作。严格按照门诊慢特病规定的项目和标准支出，不得擅自增加支出项目、随意提高补偿标准；强化内部控制管理，规范支出测算、审核和支付，确保医保基金安全。按政府财务统计的时限规定提供报表，无条件向医保经办中心提供本项目产生的全部数据信息，资料报表和档案等。接受市医保经办中心的监督考核；履行招标文件建立资金先行支付机制，不得因资金未到位，暂停工作，影响社会和谐与参保人的利益。</w:t>
            </w:r>
          </w:p>
          <w:p w14:paraId="47B7CBAF"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包1包2中标公司共同完成承办工作。包1中标公司提供免费使用的门诊慢特病专属信息系统并做好相关的升级、维护工作，制定内部岗位职责和内部考核指标，制定明确的专户资金支付流程、费用分摊办法，共同做好门诊慢特病承办服务中心管理工作。</w:t>
            </w:r>
          </w:p>
          <w:p w14:paraId="710DDC3A"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（四）门诊慢特病相关政策</w:t>
            </w:r>
          </w:p>
          <w:p w14:paraId="3BC68D3D"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依据陕西省医疗保障局、省财政厅、省卫生健康委员会关于印发《陕西省基本医疗保险门诊慢特病管理办法》的通知（陕医保发〔2024〕35 号），陕西省医疗保障局《关于印发全省基本医疗保险门诊慢特病相关业务标准的通知》（陕医保发〔2024〕36 号），汉中市医疗保障局、市财政局、市卫健委关于印发《汉中市基本医疗保险门诊慢特病实施办法的通知》（汉医保发〔2024〕66号）执行。</w:t>
            </w:r>
          </w:p>
          <w:p w14:paraId="4B2533DA"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1.病种申请：汉中市基本医保参保人员所患疾病符合全省统一门诊慢特病I类病种鉴定标准，提供必需的病历资料接受统一组织认定，属于门诊慢特病I类病种和Ⅱ类病种按规定时限需进行复审的，提供必需的病历资料接受统一组织复审。中标公司负责市域内新申报门诊慢特病及待遇到期复审人员的资格认定，统计汇总。</w:t>
            </w:r>
          </w:p>
          <w:p w14:paraId="6D43121A"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2.待遇享受：门诊慢特病待遇支付实行年度参保、年度享受，以自然年度为待遇周期。参保人员取得门诊慢特病身份后次月开始享受待遇，恶性肿瘤门诊治疗、器官移植抗排异治疗、透析人员取得门诊慢特病身份后即可享受待遇。初次认定门诊慢特病身份年度的最高支付限额为该病种年度最高支付限额月平均值乘以剩余月份数取整确定。对门诊慢特病实行月度限额管理，每月医保支付金额原则上不超过月均限额的3倍。</w:t>
            </w:r>
            <w:r w:rsidRPr="00631179">
              <w:rPr>
                <w:rFonts w:ascii="Calibri" w:eastAsia="仿宋" w:hAnsi="Calibri" w:cs="Calibri" w:hint="default"/>
              </w:rPr>
              <w:t> </w:t>
            </w:r>
          </w:p>
          <w:p w14:paraId="411A5C77"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3.支付范围：门诊慢特病支付范围不设置病种用药，凡与申请认定病种（含并发症）相关的符合基本医疗保险用药目录（不含特药）、诊疗项目范围、医疗服务设施范围和支付标准内的检查、检验、药品、治疗、特殊卫生材料等医疗费用均可支付。与申请认定病种（含并发症）无关或上述目录外的检查、检验、药品、治疗、特殊材料等费用不予支付。</w:t>
            </w:r>
          </w:p>
          <w:p w14:paraId="2B5A2629"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4.支付政策：门诊慢特病病种起付线、报销比例及年度最高支付限额及复审时限等按照《汉中市基本医疗保险门诊慢特病待遇和复审时限》执行。罹患多种门诊慢特病保障范围疾病时，允许同时申报两种或两种以上门诊慢特病。年度支付限额按第一病种年度最高支付限额累加第二病种年度最高支付限额的20%和第三病种年度最高支付限额的10%和第四病种年度最高支付限额的5%计算，依次类推。按照申报病种支付限额由高到低排序确定多个病种限额计算次序。</w:t>
            </w:r>
          </w:p>
          <w:p w14:paraId="3C76C012" w14:textId="77777777" w:rsidR="00631179" w:rsidRPr="00631179" w:rsidRDefault="00631179" w:rsidP="00631179">
            <w:pPr>
              <w:pStyle w:val="null3"/>
              <w:ind w:firstLineChars="200" w:firstLine="400"/>
              <w:jc w:val="both"/>
              <w:rPr>
                <w:rFonts w:ascii="仿宋" w:eastAsia="仿宋" w:hAnsi="仿宋"/>
              </w:rPr>
            </w:pPr>
            <w:r w:rsidRPr="00631179">
              <w:rPr>
                <w:rFonts w:ascii="仿宋" w:eastAsia="仿宋" w:hAnsi="仿宋"/>
              </w:rPr>
              <w:t>5.基金拨付及决算：市医保经办机构按照财政拨付金额按6:4的比例分别拨付承办公司专户，承办公司具体对待遇和评估费用进行支付，市医保经办中心稽核</w:t>
            </w:r>
            <w:r w:rsidRPr="00631179">
              <w:rPr>
                <w:rFonts w:ascii="仿宋" w:eastAsia="仿宋" w:hAnsi="仿宋"/>
              </w:rPr>
              <w:lastRenderedPageBreak/>
              <w:t>管理。年度终了后，市医保经办机构按照市财政、医保、税务部门规定要求，编制年度基金决算草案，报告基金年度运行及管理情况，经主管部门审定，最后根据采购合同、年度考核情况支付承办服务费用。</w:t>
            </w:r>
          </w:p>
          <w:p w14:paraId="0ADEBF32" w14:textId="1F4E2CA8" w:rsidR="00337BB0" w:rsidRPr="00631179" w:rsidRDefault="00337BB0" w:rsidP="00A61F68">
            <w:pPr>
              <w:pStyle w:val="null3"/>
              <w:ind w:firstLineChars="200" w:firstLine="400"/>
              <w:jc w:val="both"/>
              <w:rPr>
                <w:rFonts w:ascii="仿宋" w:eastAsia="仿宋" w:hAnsi="仿宋"/>
              </w:rPr>
            </w:pPr>
          </w:p>
        </w:tc>
      </w:tr>
    </w:tbl>
    <w:p w14:paraId="6C7A56D4" w14:textId="77777777" w:rsidR="00337BB0" w:rsidRPr="00631179" w:rsidRDefault="00337BB0" w:rsidP="00337BB0">
      <w:pPr>
        <w:pStyle w:val="null3"/>
        <w:rPr>
          <w:rFonts w:ascii="仿宋" w:eastAsia="仿宋" w:hAnsi="仿宋" w:cs="仿宋_GB2312"/>
          <w:lang w:eastAsia="zh-CN"/>
        </w:rPr>
      </w:pPr>
    </w:p>
    <w:bookmarkEnd w:id="0"/>
    <w:p w14:paraId="637D2CCC" w14:textId="6D48DCDE" w:rsidR="00835F13" w:rsidRPr="00631179" w:rsidRDefault="00835F13" w:rsidP="00631179">
      <w:pPr>
        <w:widowControl/>
        <w:jc w:val="left"/>
        <w:rPr>
          <w:rFonts w:ascii="仿宋" w:eastAsia="仿宋" w:hAnsi="仿宋" w:cs="仿宋_GB2312" w:hint="eastAsia"/>
          <w:kern w:val="0"/>
          <w:sz w:val="20"/>
          <w:szCs w:val="20"/>
          <w:lang w:eastAsia="zh-Hans"/>
        </w:rPr>
      </w:pPr>
    </w:p>
    <w:sectPr w:rsidR="00835F13" w:rsidRPr="006311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FEE2" w14:textId="77777777" w:rsidR="00745D26" w:rsidRDefault="00745D26" w:rsidP="00337BB0">
      <w:pPr>
        <w:rPr>
          <w:rFonts w:hint="eastAsia"/>
        </w:rPr>
      </w:pPr>
      <w:r>
        <w:separator/>
      </w:r>
    </w:p>
  </w:endnote>
  <w:endnote w:type="continuationSeparator" w:id="0">
    <w:p w14:paraId="4A8A1E93" w14:textId="77777777" w:rsidR="00745D26" w:rsidRDefault="00745D26" w:rsidP="00337B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2206" w14:textId="77777777" w:rsidR="00745D26" w:rsidRDefault="00745D26" w:rsidP="00337BB0">
      <w:pPr>
        <w:rPr>
          <w:rFonts w:hint="eastAsia"/>
        </w:rPr>
      </w:pPr>
      <w:r>
        <w:separator/>
      </w:r>
    </w:p>
  </w:footnote>
  <w:footnote w:type="continuationSeparator" w:id="0">
    <w:p w14:paraId="7D7147E2" w14:textId="77777777" w:rsidR="00745D26" w:rsidRDefault="00745D26" w:rsidP="00337BB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7C"/>
    <w:rsid w:val="00015064"/>
    <w:rsid w:val="002B487C"/>
    <w:rsid w:val="00337BB0"/>
    <w:rsid w:val="003822A8"/>
    <w:rsid w:val="00441A31"/>
    <w:rsid w:val="00631179"/>
    <w:rsid w:val="006E0C53"/>
    <w:rsid w:val="00745D26"/>
    <w:rsid w:val="00784DC3"/>
    <w:rsid w:val="00835F13"/>
    <w:rsid w:val="00C642A6"/>
    <w:rsid w:val="00C83DEF"/>
    <w:rsid w:val="00D65721"/>
    <w:rsid w:val="00DE4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8143C"/>
  <w15:chartTrackingRefBased/>
  <w15:docId w15:val="{456BD413-1D79-494E-9CC6-121F28C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B48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B48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B48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B487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B487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B487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B487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87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B487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8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B48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B48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B487C"/>
    <w:rPr>
      <w:rFonts w:cstheme="majorBidi"/>
      <w:color w:val="0F4761" w:themeColor="accent1" w:themeShade="BF"/>
      <w:sz w:val="28"/>
      <w:szCs w:val="28"/>
    </w:rPr>
  </w:style>
  <w:style w:type="character" w:customStyle="1" w:styleId="50">
    <w:name w:val="标题 5 字符"/>
    <w:basedOn w:val="a0"/>
    <w:link w:val="5"/>
    <w:uiPriority w:val="9"/>
    <w:semiHidden/>
    <w:rsid w:val="002B487C"/>
    <w:rPr>
      <w:rFonts w:cstheme="majorBidi"/>
      <w:color w:val="0F4761" w:themeColor="accent1" w:themeShade="BF"/>
      <w:sz w:val="24"/>
      <w:szCs w:val="24"/>
    </w:rPr>
  </w:style>
  <w:style w:type="character" w:customStyle="1" w:styleId="60">
    <w:name w:val="标题 6 字符"/>
    <w:basedOn w:val="a0"/>
    <w:link w:val="6"/>
    <w:uiPriority w:val="9"/>
    <w:semiHidden/>
    <w:rsid w:val="002B487C"/>
    <w:rPr>
      <w:rFonts w:cstheme="majorBidi"/>
      <w:b/>
      <w:bCs/>
      <w:color w:val="0F4761" w:themeColor="accent1" w:themeShade="BF"/>
    </w:rPr>
  </w:style>
  <w:style w:type="character" w:customStyle="1" w:styleId="70">
    <w:name w:val="标题 7 字符"/>
    <w:basedOn w:val="a0"/>
    <w:link w:val="7"/>
    <w:uiPriority w:val="9"/>
    <w:semiHidden/>
    <w:rsid w:val="002B487C"/>
    <w:rPr>
      <w:rFonts w:cstheme="majorBidi"/>
      <w:b/>
      <w:bCs/>
      <w:color w:val="595959" w:themeColor="text1" w:themeTint="A6"/>
    </w:rPr>
  </w:style>
  <w:style w:type="character" w:customStyle="1" w:styleId="80">
    <w:name w:val="标题 8 字符"/>
    <w:basedOn w:val="a0"/>
    <w:link w:val="8"/>
    <w:uiPriority w:val="9"/>
    <w:semiHidden/>
    <w:rsid w:val="002B487C"/>
    <w:rPr>
      <w:rFonts w:cstheme="majorBidi"/>
      <w:color w:val="595959" w:themeColor="text1" w:themeTint="A6"/>
    </w:rPr>
  </w:style>
  <w:style w:type="character" w:customStyle="1" w:styleId="90">
    <w:name w:val="标题 9 字符"/>
    <w:basedOn w:val="a0"/>
    <w:link w:val="9"/>
    <w:uiPriority w:val="9"/>
    <w:semiHidden/>
    <w:rsid w:val="002B487C"/>
    <w:rPr>
      <w:rFonts w:eastAsiaTheme="majorEastAsia" w:cstheme="majorBidi"/>
      <w:color w:val="595959" w:themeColor="text1" w:themeTint="A6"/>
    </w:rPr>
  </w:style>
  <w:style w:type="paragraph" w:styleId="a3">
    <w:name w:val="Title"/>
    <w:basedOn w:val="a"/>
    <w:next w:val="a"/>
    <w:link w:val="a4"/>
    <w:uiPriority w:val="10"/>
    <w:qFormat/>
    <w:rsid w:val="002B48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8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87C"/>
    <w:pPr>
      <w:spacing w:before="160" w:after="160"/>
      <w:jc w:val="center"/>
    </w:pPr>
    <w:rPr>
      <w:i/>
      <w:iCs/>
      <w:color w:val="404040" w:themeColor="text1" w:themeTint="BF"/>
    </w:rPr>
  </w:style>
  <w:style w:type="character" w:customStyle="1" w:styleId="a8">
    <w:name w:val="引用 字符"/>
    <w:basedOn w:val="a0"/>
    <w:link w:val="a7"/>
    <w:uiPriority w:val="29"/>
    <w:rsid w:val="002B487C"/>
    <w:rPr>
      <w:i/>
      <w:iCs/>
      <w:color w:val="404040" w:themeColor="text1" w:themeTint="BF"/>
    </w:rPr>
  </w:style>
  <w:style w:type="paragraph" w:styleId="a9">
    <w:name w:val="List Paragraph"/>
    <w:basedOn w:val="a"/>
    <w:uiPriority w:val="34"/>
    <w:qFormat/>
    <w:rsid w:val="002B487C"/>
    <w:pPr>
      <w:ind w:left="720"/>
      <w:contextualSpacing/>
    </w:pPr>
  </w:style>
  <w:style w:type="character" w:styleId="aa">
    <w:name w:val="Intense Emphasis"/>
    <w:basedOn w:val="a0"/>
    <w:uiPriority w:val="21"/>
    <w:qFormat/>
    <w:rsid w:val="002B487C"/>
    <w:rPr>
      <w:i/>
      <w:iCs/>
      <w:color w:val="0F4761" w:themeColor="accent1" w:themeShade="BF"/>
    </w:rPr>
  </w:style>
  <w:style w:type="paragraph" w:styleId="ab">
    <w:name w:val="Intense Quote"/>
    <w:basedOn w:val="a"/>
    <w:next w:val="a"/>
    <w:link w:val="ac"/>
    <w:uiPriority w:val="30"/>
    <w:qFormat/>
    <w:rsid w:val="002B4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B487C"/>
    <w:rPr>
      <w:i/>
      <w:iCs/>
      <w:color w:val="0F4761" w:themeColor="accent1" w:themeShade="BF"/>
    </w:rPr>
  </w:style>
  <w:style w:type="character" w:styleId="ad">
    <w:name w:val="Intense Reference"/>
    <w:basedOn w:val="a0"/>
    <w:uiPriority w:val="32"/>
    <w:qFormat/>
    <w:rsid w:val="002B487C"/>
    <w:rPr>
      <w:b/>
      <w:bCs/>
      <w:smallCaps/>
      <w:color w:val="0F4761" w:themeColor="accent1" w:themeShade="BF"/>
      <w:spacing w:val="5"/>
    </w:rPr>
  </w:style>
  <w:style w:type="paragraph" w:styleId="ae">
    <w:name w:val="header"/>
    <w:basedOn w:val="a"/>
    <w:link w:val="af"/>
    <w:uiPriority w:val="99"/>
    <w:unhideWhenUsed/>
    <w:rsid w:val="00337BB0"/>
    <w:pPr>
      <w:tabs>
        <w:tab w:val="center" w:pos="4153"/>
        <w:tab w:val="right" w:pos="8306"/>
      </w:tabs>
      <w:snapToGrid w:val="0"/>
      <w:jc w:val="center"/>
    </w:pPr>
    <w:rPr>
      <w:sz w:val="18"/>
      <w:szCs w:val="18"/>
    </w:rPr>
  </w:style>
  <w:style w:type="character" w:customStyle="1" w:styleId="af">
    <w:name w:val="页眉 字符"/>
    <w:basedOn w:val="a0"/>
    <w:link w:val="ae"/>
    <w:uiPriority w:val="99"/>
    <w:rsid w:val="00337BB0"/>
    <w:rPr>
      <w:sz w:val="18"/>
      <w:szCs w:val="18"/>
    </w:rPr>
  </w:style>
  <w:style w:type="paragraph" w:styleId="af0">
    <w:name w:val="footer"/>
    <w:basedOn w:val="a"/>
    <w:link w:val="af1"/>
    <w:uiPriority w:val="99"/>
    <w:unhideWhenUsed/>
    <w:rsid w:val="00337BB0"/>
    <w:pPr>
      <w:tabs>
        <w:tab w:val="center" w:pos="4153"/>
        <w:tab w:val="right" w:pos="8306"/>
      </w:tabs>
      <w:snapToGrid w:val="0"/>
      <w:jc w:val="left"/>
    </w:pPr>
    <w:rPr>
      <w:sz w:val="18"/>
      <w:szCs w:val="18"/>
    </w:rPr>
  </w:style>
  <w:style w:type="character" w:customStyle="1" w:styleId="af1">
    <w:name w:val="页脚 字符"/>
    <w:basedOn w:val="a0"/>
    <w:link w:val="af0"/>
    <w:uiPriority w:val="99"/>
    <w:rsid w:val="00337BB0"/>
    <w:rPr>
      <w:sz w:val="18"/>
      <w:szCs w:val="18"/>
    </w:rPr>
  </w:style>
  <w:style w:type="paragraph" w:customStyle="1" w:styleId="null3">
    <w:name w:val="null3"/>
    <w:hidden/>
    <w:qFormat/>
    <w:rsid w:val="00337BB0"/>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765">
      <w:bodyDiv w:val="1"/>
      <w:marLeft w:val="0"/>
      <w:marRight w:val="0"/>
      <w:marTop w:val="0"/>
      <w:marBottom w:val="0"/>
      <w:divBdr>
        <w:top w:val="none" w:sz="0" w:space="0" w:color="auto"/>
        <w:left w:val="none" w:sz="0" w:space="0" w:color="auto"/>
        <w:bottom w:val="none" w:sz="0" w:space="0" w:color="auto"/>
        <w:right w:val="none" w:sz="0" w:space="0" w:color="auto"/>
      </w:divBdr>
    </w:div>
    <w:div w:id="13870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mx1413</dc:creator>
  <cp:keywords/>
  <dc:description/>
  <cp:lastModifiedBy>Administrator</cp:lastModifiedBy>
  <cp:revision>6</cp:revision>
  <dcterms:created xsi:type="dcterms:W3CDTF">2025-02-20T05:37:00Z</dcterms:created>
  <dcterms:modified xsi:type="dcterms:W3CDTF">2025-04-07T09:00:00Z</dcterms:modified>
</cp:coreProperties>
</file>