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D685">
      <w:pPr>
        <w:pStyle w:val="13"/>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合同包1</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地下水环境监测井建设</w:t>
      </w:r>
      <w:r>
        <w:rPr>
          <w:rFonts w:hint="eastAsia" w:ascii="宋体" w:hAnsi="宋体" w:cs="宋体"/>
          <w:b/>
          <w:bCs/>
          <w:color w:val="000000" w:themeColor="text1"/>
          <w:szCs w:val="21"/>
          <w:highlight w:val="none"/>
          <w:lang w:eastAsia="zh-CN"/>
          <w14:textFill>
            <w14:solidFill>
              <w14:schemeClr w14:val="tx1"/>
            </w14:solidFill>
          </w14:textFill>
        </w:rPr>
        <w:t>）</w:t>
      </w:r>
    </w:p>
    <w:p w14:paraId="2BDE691A">
      <w:pPr>
        <w:spacing w:line="360" w:lineRule="auto"/>
        <w:jc w:val="left"/>
        <w:outlineLvl w:val="9"/>
        <w:rPr>
          <w:rFonts w:ascii="宋体" w:hAnsi="宋体" w:cs="宋体"/>
          <w:b/>
          <w:bCs/>
          <w:color w:val="000000" w:themeColor="text1"/>
          <w:szCs w:val="21"/>
          <w:highlight w:val="none"/>
          <w14:textFill>
            <w14:solidFill>
              <w14:schemeClr w14:val="tx1"/>
            </w14:solidFill>
          </w14:textFill>
        </w:rPr>
      </w:pPr>
      <w:bookmarkStart w:id="0" w:name="_Toc3366"/>
      <w:bookmarkStart w:id="1" w:name="_Toc4976"/>
      <w:r>
        <w:rPr>
          <w:rFonts w:hint="eastAsia" w:ascii="宋体" w:hAnsi="宋体" w:cs="宋体"/>
          <w:b/>
          <w:bCs/>
          <w:color w:val="000000" w:themeColor="text1"/>
          <w:szCs w:val="21"/>
          <w:highlight w:val="none"/>
          <w14:textFill>
            <w14:solidFill>
              <w14:schemeClr w14:val="tx1"/>
            </w14:solidFill>
          </w14:textFill>
        </w:rPr>
        <w:t>一、项目概况</w:t>
      </w:r>
      <w:bookmarkEnd w:id="0"/>
      <w:bookmarkEnd w:id="1"/>
    </w:p>
    <w:p w14:paraId="32E582B0">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bookmarkStart w:id="2" w:name="_Toc19942"/>
      <w:bookmarkStart w:id="3" w:name="_Toc5558"/>
      <w:r>
        <w:rPr>
          <w:rFonts w:hint="eastAsia" w:ascii="宋体" w:hAnsi="宋体" w:cs="宋体"/>
          <w:color w:val="000000" w:themeColor="text1"/>
          <w:szCs w:val="21"/>
          <w:highlight w:val="none"/>
          <w14:textFill>
            <w14:solidFill>
              <w14:schemeClr w14:val="tx1"/>
            </w14:solidFill>
          </w14:textFill>
        </w:rPr>
        <w:t>陕西省化工园区地下水环境风险预警及溯源项目主要是通过分析陕西省化工园区地下水环境监管现状，整合评估各化工园区已有地下水监测井信息，补充新建地下水监测井，进一步健全我省化工园区地下水监测网络；初步构建化工园区地下水环境风险管理平台，实现地下水环境风险预警及溯源，为全省地下水生态环境管理、预警和决策提供科技支撑。</w:t>
      </w:r>
    </w:p>
    <w:p w14:paraId="6DC11CD5">
      <w:pPr>
        <w:spacing w:line="360" w:lineRule="auto"/>
        <w:outlineLvl w:val="9"/>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二、采购内容</w:t>
      </w:r>
      <w:bookmarkEnd w:id="2"/>
      <w:bookmarkEnd w:id="3"/>
    </w:p>
    <w:p w14:paraId="6BA214D5">
      <w:pPr>
        <w:spacing w:line="360" w:lineRule="auto"/>
        <w:ind w:firstLine="420" w:firstLineChars="20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成陕北、关中地区采购人指定的化工园区监测井建设和地下水井采样洗井。整合评估各化工园区已有地下水监测井信息，新建地下水监测井不少于20口，包括配套建设监测井井台和标识牌等井口保护设施；钻探总进尺不少于850米。完成地下水井采样洗井不少于568口次，并配合采购人完成采样。监测井建设和地下水井采样洗井满足《地下水监测工程技术规范》（GB/T51040—2014）、《地下水监测井建设规范》（DZ/T0270—2014）、《地下水环境监测技术规范》（HJ 164-2020）等相关技术规范要求。</w:t>
      </w:r>
    </w:p>
    <w:p w14:paraId="60639D07">
      <w:pPr>
        <w:spacing w:line="360" w:lineRule="auto"/>
        <w:jc w:val="left"/>
        <w:outlineLvl w:val="9"/>
        <w:rPr>
          <w:rFonts w:ascii="宋体" w:hAnsi="宋体" w:cs="宋体"/>
          <w:b/>
          <w:bCs/>
          <w:color w:val="000000" w:themeColor="text1"/>
          <w:szCs w:val="21"/>
          <w:highlight w:val="none"/>
          <w14:textFill>
            <w14:solidFill>
              <w14:schemeClr w14:val="tx1"/>
            </w14:solidFill>
          </w14:textFill>
        </w:rPr>
      </w:pPr>
      <w:bookmarkStart w:id="4" w:name="_Toc17456"/>
      <w:r>
        <w:rPr>
          <w:rFonts w:hint="eastAsia" w:ascii="宋体" w:hAnsi="宋体" w:cs="宋体"/>
          <w:b/>
          <w:bCs/>
          <w:color w:val="000000" w:themeColor="text1"/>
          <w:szCs w:val="21"/>
          <w:highlight w:val="none"/>
          <w14:textFill>
            <w14:solidFill>
              <w14:schemeClr w14:val="tx1"/>
            </w14:solidFill>
          </w14:textFill>
        </w:rPr>
        <w:t>三、技术和商务要求</w:t>
      </w:r>
      <w:bookmarkEnd w:id="4"/>
    </w:p>
    <w:p w14:paraId="02864CE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1.受委托的专业机构或者其所在的组织应是能够独立承担法律责任的实体，有明确的法律地位，对其监测井建设和洗井质量负责，并承担相应法律责任；</w:t>
      </w:r>
    </w:p>
    <w:p w14:paraId="3ED88B4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2.具有与地下水环境状况调查工作相适应的质量体系认证和环境体系认证；</w:t>
      </w:r>
    </w:p>
    <w:p w14:paraId="5C553E6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技术团队要求：技术人员中级以上人数不应少于11人，专业范围包括环境、土壤、水文地质、勘探等相关专业；11人中钻探人员应具有钻探专业工程师及以上职称，并具有2年以上钻探工作经验；项目负责人应具有高级以上职称，并具有2年以上的环境调查或同类工作经验。</w:t>
      </w:r>
    </w:p>
    <w:p w14:paraId="17ECB940">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建井工作至少配备2套钻探建井设备能满足土壤非扰动样采取（孔径不小于ø110mm，孔深30m内）、地层鉴别岩心采取（孔径不小于ø110mm，孔深100m内）、监测井建设（终孔成孔口径不小于ø325mm,孔深100m内）的钻探建井设备。</w:t>
      </w:r>
    </w:p>
    <w:p w14:paraId="4A089EC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5.现场钻探技术负责人应具备场地调查现场钻探采样及处理突发情况的经验。一般现场钻探人员应具有水文地质钻探经验；</w:t>
      </w:r>
    </w:p>
    <w:p w14:paraId="12A73C0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6.供应商应配合采样人员做好样品采集、保存和流转工作，在采样人员监督和指导下，负责土壤孔每回次钻探进尺、地下水样品采集前的洗井和样品采集过程中的汲水工作。</w:t>
      </w:r>
    </w:p>
    <w:p w14:paraId="57B63438">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7.受委托的专业机构及其工作人员对其在调查工作中所知悉的国家秘密、商业秘密和技术秘密负有保密义务，并制订实施相应的保密规定，落实保密责任。</w:t>
      </w:r>
    </w:p>
    <w:p w14:paraId="4A2918FD">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8.针对本项目提供明确的项目团队人员，要求人员为投标单位在职人员，具体详见评审细则及标准。</w:t>
      </w:r>
    </w:p>
    <w:p w14:paraId="03EF222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9.具有履行合同所必需的设施设备，满足项目需求。</w:t>
      </w:r>
    </w:p>
    <w:p w14:paraId="45AFA42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10.服务期限：合同签订后</w:t>
      </w:r>
      <w:r>
        <w:rPr>
          <w:rFonts w:hint="eastAsia" w:cs="宋体"/>
          <w:color w:val="000000" w:themeColor="text1"/>
          <w:szCs w:val="21"/>
          <w:highlight w:val="none"/>
          <w:lang w:val="en-US" w:eastAsia="zh-CN"/>
          <w14:textFill>
            <w14:solidFill>
              <w14:schemeClr w14:val="tx1"/>
            </w14:solidFill>
          </w14:textFill>
        </w:rPr>
        <w:t>6个月</w:t>
      </w:r>
      <w:r>
        <w:rPr>
          <w:rFonts w:hint="eastAsia" w:ascii="宋体" w:hAnsi="宋体" w:cs="宋体"/>
          <w:color w:val="000000" w:themeColor="text1"/>
          <w:szCs w:val="21"/>
          <w:highlight w:val="none"/>
          <w14:textFill>
            <w14:solidFill>
              <w14:schemeClr w14:val="tx1"/>
            </w14:solidFill>
          </w14:textFill>
        </w:rPr>
        <w:t>内完成；</w:t>
      </w:r>
    </w:p>
    <w:p w14:paraId="671164E9">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11.服务地点：按采购人要求。</w:t>
      </w:r>
    </w:p>
    <w:p w14:paraId="0C8DCBBF">
      <w:pPr>
        <w:spacing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四、保密要求</w:t>
      </w:r>
    </w:p>
    <w:p w14:paraId="0FC5602B">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收集的、开发的、整理的、复制的、研究的和准备的与本项目工作有关的所有资料在提供给中标人时，均被视为保密的，不得泄露给除采购人或指定的代表之外的任何人、企业或公司，不管本项目因何种原因终止，本保密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28AE5178">
      <w:pPr>
        <w:spacing w:after="160" w:line="360" w:lineRule="auto"/>
        <w:jc w:val="left"/>
        <w:outlineLvl w:val="9"/>
        <w:rPr>
          <w:rFonts w:ascii="宋体" w:hAnsi="宋体" w:cs="宋体"/>
          <w:b/>
          <w:bCs/>
          <w:color w:val="000000" w:themeColor="text1"/>
          <w:szCs w:val="21"/>
          <w:highlight w:val="none"/>
          <w14:textFill>
            <w14:solidFill>
              <w14:schemeClr w14:val="tx1"/>
            </w14:solidFill>
          </w14:textFill>
        </w:rPr>
      </w:pPr>
      <w:bookmarkStart w:id="5" w:name="_Toc8138"/>
      <w:bookmarkStart w:id="6" w:name="_Toc10637"/>
      <w:r>
        <w:rPr>
          <w:rFonts w:hint="eastAsia" w:ascii="宋体" w:hAnsi="宋体" w:cs="宋体"/>
          <w:b/>
          <w:bCs/>
          <w:color w:val="000000" w:themeColor="text1"/>
          <w:szCs w:val="21"/>
          <w:highlight w:val="none"/>
          <w14:textFill>
            <w14:solidFill>
              <w14:schemeClr w14:val="tx1"/>
            </w14:solidFill>
          </w14:textFill>
        </w:rPr>
        <w:t>五、报价要求</w:t>
      </w:r>
      <w:bookmarkEnd w:id="5"/>
      <w:bookmarkEnd w:id="6"/>
    </w:p>
    <w:p w14:paraId="6B77E2B1">
      <w:pPr>
        <w:widowControl/>
        <w:spacing w:line="360" w:lineRule="auto"/>
        <w:ind w:firstLine="420" w:firstLineChars="20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在项目实施过程中可能出现任务量增加情况，投标人报价应将此差异考虑在投标报价中，合同总价一次包死。</w:t>
      </w:r>
    </w:p>
    <w:p w14:paraId="18CFEB8F">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br w:type="page"/>
      </w:r>
    </w:p>
    <w:p w14:paraId="108AD60C">
      <w:pPr>
        <w:pStyle w:val="13"/>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合同包2（环境样品检测及综合分析）</w:t>
      </w:r>
    </w:p>
    <w:p w14:paraId="20049C01">
      <w:pPr>
        <w:spacing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一、项目概况</w:t>
      </w:r>
    </w:p>
    <w:p w14:paraId="706CFCC7">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陕西省化工园区地下水环境风险预警及溯源项目主要是通过分析陕西省化工园区地下水环境监管现状，整合评估各化工园区已有地下水监测井信息，补充新建地下水监测井，进一步健全我省化工园区地下水监测网络；初步构建化工园区地下水环境风险管理平台，实现地下水环境风险预警及溯源，为全省地下水生态环境管理、预警和决策提供科技支撑。</w:t>
      </w:r>
    </w:p>
    <w:p w14:paraId="555D7B6A">
      <w:pPr>
        <w:spacing w:line="360" w:lineRule="auto"/>
        <w:outlineLvl w:val="9"/>
        <w:rPr>
          <w:rFonts w:hint="eastAsia"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二、采购内容</w:t>
      </w:r>
    </w:p>
    <w:p w14:paraId="7AB85B56">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成陕北、关中地区化工园区土壤和地下水样品分析测试。包括：土壤颗粒分析不少于120件、土壤物理性质（密度、含水率、渗透系数等）测试不少于120件，矿物X衍射分析或电镜扫描不少于120件，地下水氮同位素样品取样和测试不少于150件、微生物宏基因组或转录组测序样品不少于35件。并对上述样品测试数据进行综合分析。</w:t>
      </w:r>
    </w:p>
    <w:p w14:paraId="759FF4C7">
      <w:pPr>
        <w:spacing w:line="360" w:lineRule="auto"/>
        <w:outlineLvl w:val="9"/>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三、技术和商务要求</w:t>
      </w:r>
    </w:p>
    <w:p w14:paraId="05363FBE">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1.受委托的专业机构或者其所在的组织应是能够独立承担法律责任的实体，有明确的法律地位，对其分析测试结果负责，并承担相应法律责任。</w:t>
      </w:r>
    </w:p>
    <w:p w14:paraId="1B280CE3">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2.受委托的专业机构及其工作人员对其在调查工作中所知悉的国家秘密、商业秘密和技术秘密负有保密义务，并制订实施相应的保密规定，落实保密责任。</w:t>
      </w:r>
    </w:p>
    <w:p w14:paraId="13A2579C">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3.参与本项目的工作人员不得少于5人，工作人员从事相关工作3年以上。</w:t>
      </w:r>
    </w:p>
    <w:p w14:paraId="2A5AE7BA">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4.针对本项目提供明确的项目团队人员，要求人员为投标单位在职人员，具体详见评审细则及标准。</w:t>
      </w:r>
    </w:p>
    <w:p w14:paraId="4FBFB237">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5.具有履行合同所必需的设施设备，满足项目需求。</w:t>
      </w:r>
    </w:p>
    <w:p w14:paraId="38C7CF09">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6.服务期限：</w:t>
      </w:r>
      <w:r>
        <w:rPr>
          <w:rFonts w:hint="eastAsia" w:ascii="宋体" w:hAnsi="宋体" w:cs="宋体"/>
          <w:color w:val="000000" w:themeColor="text1"/>
          <w:szCs w:val="21"/>
          <w:highlight w:val="none"/>
          <w:lang w:eastAsia="zh-CN"/>
          <w14:textFill>
            <w14:solidFill>
              <w14:schemeClr w14:val="tx1"/>
            </w14:solidFill>
          </w14:textFill>
        </w:rPr>
        <w:t>合同签订后6个月内完成</w:t>
      </w:r>
      <w:r>
        <w:rPr>
          <w:rFonts w:hint="eastAsia" w:ascii="宋体" w:hAnsi="宋体" w:cs="宋体"/>
          <w:color w:val="000000" w:themeColor="text1"/>
          <w:szCs w:val="21"/>
          <w:highlight w:val="none"/>
          <w14:textFill>
            <w14:solidFill>
              <w14:schemeClr w14:val="tx1"/>
            </w14:solidFill>
          </w14:textFill>
        </w:rPr>
        <w:t>；</w:t>
      </w:r>
    </w:p>
    <w:p w14:paraId="47D23AE4">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7.服务地点：按采购人要求。</w:t>
      </w:r>
    </w:p>
    <w:p w14:paraId="754A7AA1">
      <w:pPr>
        <w:spacing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四、保密要求</w:t>
      </w:r>
    </w:p>
    <w:p w14:paraId="260CD853">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收集的、开发的、整理的、复制的、研究的和准备的与本项目工作有关的所有资料在提供给中标人时，均被视为保密的，不得泄露给除采购人或指定的代表之外的任何人、企业或公司，不管本项目因何种原因终止，本保密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7114E373">
      <w:pPr>
        <w:spacing w:after="160"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五、报价要求</w:t>
      </w:r>
    </w:p>
    <w:p w14:paraId="1B58E0F9">
      <w:pPr>
        <w:widowControl/>
        <w:spacing w:line="360" w:lineRule="auto"/>
        <w:ind w:firstLine="420" w:firstLineChars="20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在项目实施过程中可能出现任务量增加情况，投标人报价应将此差异考虑在投标报价中，合同总价一次包死。</w:t>
      </w:r>
    </w:p>
    <w:p w14:paraId="22A6ECD8">
      <w:pPr>
        <w:pStyle w:val="2"/>
        <w:spacing w:line="360" w:lineRule="auto"/>
      </w:pPr>
    </w:p>
    <w:p w14:paraId="0F8A7E1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03EB4AD">
      <w:pPr>
        <w:pStyle w:val="2"/>
        <w:spacing w:line="360" w:lineRule="auto"/>
      </w:pPr>
    </w:p>
    <w:p w14:paraId="589D16F5">
      <w:pPr>
        <w:pStyle w:val="13"/>
        <w:spacing w:line="360" w:lineRule="auto"/>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合同包3</w:t>
      </w:r>
      <w:r>
        <w:rPr>
          <w:rFonts w:hint="eastAsia" w:eastAsia="宋体"/>
          <w:color w:val="000000" w:themeColor="text1"/>
          <w:highlight w:val="none"/>
          <w:lang w:val="en-US" w:eastAsia="zh-CN"/>
          <w14:textFill>
            <w14:solidFill>
              <w14:schemeClr w14:val="tx1"/>
            </w14:solidFill>
          </w14:textFill>
        </w:rPr>
        <w:tab/>
      </w:r>
      <w:r>
        <w:rPr>
          <w:rFonts w:hint="eastAsia" w:eastAsia="宋体"/>
          <w:color w:val="000000" w:themeColor="text1"/>
          <w:highlight w:val="none"/>
          <w:lang w:val="en-US" w:eastAsia="zh-CN"/>
          <w14:textFill>
            <w14:solidFill>
              <w14:schemeClr w14:val="tx1"/>
            </w14:solidFill>
          </w14:textFill>
        </w:rPr>
        <w:t>（化工园区地下水环境风险管理平台建设）</w:t>
      </w:r>
    </w:p>
    <w:p w14:paraId="75F6DA77">
      <w:pPr>
        <w:spacing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一、项目概况</w:t>
      </w:r>
    </w:p>
    <w:p w14:paraId="6D22F0D2">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陕西省化工园区地下水环境风险预警及溯源项目主要是通过分析陕西省化工园区地下水环境监管现状，整合评估各化工园区已有地下水监测井信息，补充新建地下水监测井，进一步健全我省化工园区地下水监测网络；初步构建化工园区地下水环境风险管理平台，实现地下水环境风险预警及溯源，为全省地下水生态环境管理、预警和决策提供科技支撑。</w:t>
      </w:r>
    </w:p>
    <w:p w14:paraId="4E1F57F1">
      <w:pPr>
        <w:spacing w:line="360" w:lineRule="auto"/>
        <w:outlineLvl w:val="9"/>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二、采购内容</w:t>
      </w:r>
    </w:p>
    <w:p w14:paraId="1EFC66CA">
      <w:pPr>
        <w:spacing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成化工园区地下水环境风险管理平台建设，包括编制平台建设实施方案1套，编制培训方案1套；开展化工园区监测井信息整合评估、地下水同位素溯源解析和地下水污染分布与水土介质迁移规律解析、化工园区地下水环境风险管理平台开发及测试等相关工作；采购数据库软件1套、操作系统2套、中间件2套。</w:t>
      </w:r>
    </w:p>
    <w:p w14:paraId="16750374">
      <w:pPr>
        <w:pStyle w:val="2"/>
        <w:spacing w:line="360" w:lineRule="auto"/>
        <w:outlineLvl w:val="9"/>
      </w:pPr>
      <w:r>
        <w:rPr>
          <w:rFonts w:hint="eastAsia" w:ascii="宋体" w:hAnsi="宋体" w:cs="宋体"/>
          <w:b/>
          <w:bCs/>
          <w:color w:val="000000" w:themeColor="text1"/>
          <w:szCs w:val="21"/>
          <w:highlight w:val="none"/>
          <w14:textFill>
            <w14:solidFill>
              <w14:schemeClr w14:val="tx1"/>
            </w14:solidFill>
          </w14:textFill>
        </w:rPr>
        <w:t>三、技术和商务要求</w:t>
      </w:r>
    </w:p>
    <w:p w14:paraId="581B306F">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1.整体要求</w:t>
      </w:r>
    </w:p>
    <w:p w14:paraId="20C04232">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遵循行业规范和国家标准，组件化开发，各子系统要有统一的权限管理，系统软件应满足后期深度开发功能，遵守保密原则。</w:t>
      </w:r>
    </w:p>
    <w:p w14:paraId="0F943C44">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2.安全要求</w:t>
      </w:r>
    </w:p>
    <w:p w14:paraId="3EF7ED4B">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本项目数据涉及环境质量能敏感信息，如何保障网络信息系统运行的安全性、稳定性、高效性是平台建设中的一项重要内容，主要包括数据安全、网络安全、应用安全等方面。</w:t>
      </w:r>
    </w:p>
    <w:p w14:paraId="4E2C8122">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据安全要求：实施方在数据处理过程中应充分考虑数据安全技术，涵盖数据获取、存储、使用及销毁等数据全生命周期各个阶段，规避可能出现的数据安全问题和隐私风险，提供身份与访问管理、数据防篡改等功能。</w:t>
      </w:r>
    </w:p>
    <w:p w14:paraId="610C38EB">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网络安全要求：实施方应进行定期安全巡检，内容包括但不限于基线检查、漏洞检查、风险文件扫描、弱口令检测等，巡检结果生成报告，可自动发送给用户，便于用户了解系统安全情况。</w:t>
      </w:r>
    </w:p>
    <w:p w14:paraId="0A120F34">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应用安全要求：实施方在身份认证方面需实现采用口令、动态验证码、生物识别技术等两种或两种以上组合的鉴别技术对登录的用户进行身份标识和鉴别，同时在访问控制方面需实现账户及权限的自定义调整。</w:t>
      </w:r>
    </w:p>
    <w:p w14:paraId="1743502C">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3.性能要求</w:t>
      </w:r>
    </w:p>
    <w:p w14:paraId="7ADF024F">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在平台设计时，综合考虑用户量、业务量、数据量、服务器负载，通过负载均衡、资源弹性加载等性能优化策略，尽可能降低平台负载，降低用户操作响应时限，增强用户使用体验。满足以下性能要求：</w:t>
      </w:r>
    </w:p>
    <w:p w14:paraId="2FAA9D0B">
      <w:pPr>
        <w:widowControl/>
        <w:spacing w:line="360" w:lineRule="auto"/>
        <w:ind w:firstLine="420" w:firstLineChars="200"/>
        <w:jc w:val="lef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可用性：要提供 7×24 小时的连续运行，平均年故障时间&lt;1天。</w:t>
      </w:r>
    </w:p>
    <w:p w14:paraId="1DD51D44">
      <w:pPr>
        <w:widowControl/>
        <w:spacing w:line="360" w:lineRule="auto"/>
        <w:ind w:firstLine="420" w:firstLineChars="20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安全性：要能按各用户的实际需求进行权限分配、划分安全等级，保障系统和数据的安全。</w:t>
      </w:r>
    </w:p>
    <w:p w14:paraId="44C8D77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可靠性：应具有较强的故障恢复能力。</w:t>
      </w:r>
    </w:p>
    <w:p w14:paraId="4E7E0A1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扩展性：系统发生变化时，应能方便进行扩充，支持负载的划分与均衡，保证合理的响应时间和吞吐量, 应充分考虑纵向、横向的平滑扩张能力。</w:t>
      </w:r>
    </w:p>
    <w:p w14:paraId="616A5866">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易用性：充分考虑当前用户数量，并考虑充分的冗余，保证高并发时的正常使用。</w:t>
      </w:r>
    </w:p>
    <w:p w14:paraId="34704946">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4.界面规范要求</w:t>
      </w:r>
    </w:p>
    <w:p w14:paraId="488E237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界面设计：针对登陆、布局、按钮、面板、菜单、标签、图标等，结合具体业务特点，在不破坏业务完整性的前提下统一界面风格，以满足最佳使用效果。</w:t>
      </w:r>
    </w:p>
    <w:p w14:paraId="564975B7">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交互设计：有清楚的错误提示，误操作后，系统提供有针对性的提示；给不同层次的用户提供多种可能性，让用户控制界面，如“下一步” 、“完成”、“执行”等标签按钮；允许兼用鼠标和键盘，同一种功能，同时可以用鼠标和键盘，提供多种可能性；允许工作中断；使用用户语言，而非技术语言；提供快速反馈，避免用户焦急；方便退出；导航功能，易从一个功能跳到另外一个功能；菜单深度一般要求最多控制在三层以内。</w:t>
      </w:r>
    </w:p>
    <w:p w14:paraId="43195E6B">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视觉设计：界面清晰、布局直观。</w:t>
      </w:r>
    </w:p>
    <w:p w14:paraId="221C745F">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5.数据规范要求</w:t>
      </w:r>
    </w:p>
    <w:p w14:paraId="4C853683">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要求对数据进行规范管理，清晰、准确、标准化描述，定义数据的内容、格式和结构等属性，以保证数据质量与可持续性。</w:t>
      </w:r>
    </w:p>
    <w:p w14:paraId="5A9EC171">
      <w:pPr>
        <w:spacing w:line="360" w:lineRule="auto"/>
        <w:ind w:firstLine="422" w:firstLineChars="200"/>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6.功能要求</w:t>
      </w:r>
    </w:p>
    <w:p w14:paraId="4BDA7C7B">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bookmarkStart w:id="7" w:name="_Toc308524560"/>
      <w:r>
        <w:rPr>
          <w:rFonts w:hint="eastAsia" w:ascii="宋体" w:hAnsi="宋体" w:cs="宋体"/>
          <w:color w:val="000000" w:themeColor="text1"/>
          <w:szCs w:val="21"/>
          <w:highlight w:val="none"/>
          <w14:textFill>
            <w14:solidFill>
              <w14:schemeClr w14:val="tx1"/>
            </w14:solidFill>
          </w14:textFill>
        </w:rPr>
        <w:t>（1）数据库建设</w:t>
      </w:r>
      <w:bookmarkEnd w:id="7"/>
    </w:p>
    <w:p w14:paraId="1BF0EA1A">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数据库建设要求采用国产化数据库软件，数据库建设包括：</w:t>
      </w:r>
    </w:p>
    <w:p w14:paraId="3CA8B01B">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原始数据库，存储监测井信息、监测设备信息、通信设备信息、报警记录信息、远程指令信息、监测井图片、数据导入模板、化工园区信息、园区企业信息以及系统中使用的一些基本参数如地下水类型、管理方式、监测数据类型等信息。</w:t>
      </w:r>
    </w:p>
    <w:p w14:paraId="31A7E4C0">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监测数据库，对化工园区野外的原始报文解析后的监测数据进行管理，通过设备接收、人工导入的方式对水位和水质数据进行整编、校核，为系统平台提供数据支撑；对监测人员在野外进行的设备维护、设备维修、故障上报、水位校测、水样采集等内容进行存储。</w:t>
      </w:r>
    </w:p>
    <w:p w14:paraId="3FCC960F">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③成果数据库，主要包括整编后的化工园区地下水位动态监测数据、水温数据、水质数据、监测特征因子，以及要求生成的图表信息及曲线图信息（各类统计图、专题图、分析评价表等）。</w:t>
      </w:r>
    </w:p>
    <w:p w14:paraId="6CACECB0">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（2）应用服务系统建设</w:t>
      </w:r>
    </w:p>
    <w:p w14:paraId="08C3C16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应用服务系统建设要求采用国产化操作系统，主要的功能包括：</w:t>
      </w:r>
    </w:p>
    <w:p w14:paraId="45809B3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①数据接收与设备管理</w:t>
      </w:r>
    </w:p>
    <w:p w14:paraId="637801F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a.具有化工园区自动监测数据的接收功能；</w:t>
      </w:r>
    </w:p>
    <w:p w14:paraId="4AF06F15">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b.具有自动采集设备类型与传输方式开发编写接收与解析功能；</w:t>
      </w:r>
    </w:p>
    <w:p w14:paraId="7ECC76C5">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c.具有管理地下水相关的井、通信设备、监测设备、数据接收情况等信息功能。</w:t>
      </w:r>
    </w:p>
    <w:p w14:paraId="73EF9B6C">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②基础数据管理</w:t>
      </w:r>
    </w:p>
    <w:p w14:paraId="25D5F366">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a.园区信息管理：</w:t>
      </w:r>
    </w:p>
    <w:p w14:paraId="342F9B9B">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对园区和企业信息进行集中管理。</w:t>
      </w:r>
    </w:p>
    <w:p w14:paraId="60D42E2C">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b.地理信息管理：对园区、企业、监测点等的地理位置进行管理，具备对地下水流向、污染扩散范围等的空间分析功能，并能根据新数据或建设项目更新地理信息。</w:t>
      </w:r>
    </w:p>
    <w:p w14:paraId="09B6FE4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c.监测数据管理模块</w:t>
      </w:r>
    </w:p>
    <w:p w14:paraId="4910BBF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设有专门的界面用于数据录入，并对自动化监测数据和人工采样分析数据进行校验以确保其准确性。</w:t>
      </w:r>
    </w:p>
    <w:p w14:paraId="63BB179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w:t>
      </w:r>
      <w:r>
        <w:rPr>
          <w:rFonts w:hint="eastAsia" w:ascii="宋体" w:hAnsi="宋体" w:cs="宋体"/>
          <w:color w:val="000000" w:themeColor="text1"/>
          <w:szCs w:val="21"/>
          <w:highlight w:val="none"/>
          <w:lang w:val="en-US" w:eastAsia="zh-CN"/>
          <w14:textFill>
            <w14:solidFill>
              <w14:schemeClr w14:val="tx1"/>
            </w14:solidFill>
          </w14:textFill>
        </w:rPr>
        <w:t>文档资料</w:t>
      </w:r>
      <w:r>
        <w:rPr>
          <w:rFonts w:hint="eastAsia" w:ascii="宋体" w:hAnsi="宋体" w:cs="宋体"/>
          <w:color w:val="000000" w:themeColor="text1"/>
          <w:szCs w:val="21"/>
          <w:highlight w:val="none"/>
          <w14:textFill>
            <w14:solidFill>
              <w14:schemeClr w14:val="tx1"/>
            </w14:solidFill>
          </w14:textFill>
        </w:rPr>
        <w:t>管理模块</w:t>
      </w:r>
    </w:p>
    <w:p w14:paraId="442DCD06">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主要用于存储与地下水监测相关的所有文档，可实现文档检索功能。</w:t>
      </w:r>
    </w:p>
    <w:p w14:paraId="1471B14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③综合分析</w:t>
      </w:r>
    </w:p>
    <w:p w14:paraId="23B3892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在地下水监测基础支撑平台的支持下，基于科学计算，提供数据分析工具以及服务。包括：</w:t>
      </w:r>
    </w:p>
    <w:p w14:paraId="52A08921">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a.地下水污染评价模块</w:t>
      </w:r>
    </w:p>
    <w:p w14:paraId="4BD02893">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开展地下水污染分布与水土介质迁移规律解析，以地下监测数据库为数据驱动，开发地下水污染评价功能。</w:t>
      </w:r>
    </w:p>
    <w:p w14:paraId="3E32DAC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b.地下水污染预警模块</w:t>
      </w:r>
    </w:p>
    <w:p w14:paraId="3A275B70">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开发污染趋势预测、预警评估功能。</w:t>
      </w:r>
    </w:p>
    <w:p w14:paraId="68FD14F5">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c.地下水污染溯源</w:t>
      </w:r>
    </w:p>
    <w:p w14:paraId="4970982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开展地下水同位素溯源解析，基于溯源模拟软件和模型，开发重点污染源地下水污染溯源功能。</w:t>
      </w:r>
    </w:p>
    <w:p w14:paraId="73FBFA75">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d.三维展示模块</w:t>
      </w:r>
    </w:p>
    <w:p w14:paraId="7341DB49">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实现三维可视化功能。</w:t>
      </w:r>
    </w:p>
    <w:p w14:paraId="40BCAB4A">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④展示与决策支持</w:t>
      </w:r>
    </w:p>
    <w:p w14:paraId="271F238C">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a.动态趋势展示模块</w:t>
      </w:r>
    </w:p>
    <w:p w14:paraId="5ECB8539">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该模块通过化工园区内地下水状况的历史和实时数据模型与变化图，显示水位、水质和其他相关指标的变化趋势。</w:t>
      </w:r>
    </w:p>
    <w:p w14:paraId="6A3BA941">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b.评价结果展示模块</w:t>
      </w:r>
    </w:p>
    <w:p w14:paraId="366AE959">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根据地下水的监测数据、历史数据和其他相关信息，生成一系列的评估报告和评分。</w:t>
      </w:r>
    </w:p>
    <w:p w14:paraId="63D3D9F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c.预警结果展示模块</w:t>
      </w:r>
    </w:p>
    <w:p w14:paraId="41D4DB50">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通过实时监测地下水的各种指标，一旦发现异常或达到预设的警戒值，系统即发出预警。</w:t>
      </w:r>
    </w:p>
    <w:p w14:paraId="14B3EA57">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d.溯源结果展示模块</w:t>
      </w:r>
    </w:p>
    <w:p w14:paraId="2252F7DE">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该模块具有高度的交互性，根据时间和不同类型的污染物可进行定制查询。</w:t>
      </w:r>
    </w:p>
    <w:p w14:paraId="3509CD5E">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（3）构建以“平台”为基础的地下水环境监管机制</w:t>
      </w:r>
    </w:p>
    <w:p w14:paraId="1F7A4EB6">
      <w:pPr>
        <w:spacing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开展立足“十四五”、面向“十五五”生态环境保护规划目标的地下水污染防治协同监管机制研究、地下水日常监测和监控信息快速响应机制研究、地下水环境预警应急机制研究。</w:t>
      </w:r>
    </w:p>
    <w:p w14:paraId="4EA31F70">
      <w:pPr>
        <w:spacing w:after="160" w:line="360" w:lineRule="auto"/>
        <w:ind w:firstLine="422" w:firstLineChars="200"/>
        <w:outlineLvl w:val="9"/>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7.软件参数要求</w:t>
      </w:r>
    </w:p>
    <w:p w14:paraId="6D14B9D9">
      <w:pPr>
        <w:spacing w:after="160" w:line="360" w:lineRule="auto"/>
        <w:ind w:firstLine="422" w:firstLineChars="200"/>
        <w:outlineLvl w:val="9"/>
        <w:rPr>
          <w:rFonts w:ascii="宋体" w:hAnsi="宋体" w:cs="宋体"/>
          <w:color w:val="000000" w:themeColor="text1"/>
          <w:szCs w:val="21"/>
          <w:highlight w:val="none"/>
          <w14:textFill>
            <w14:solidFill>
              <w14:schemeClr w14:val="tx1"/>
            </w14:solidFill>
          </w14:textFill>
        </w:rPr>
      </w:pPr>
      <w:bookmarkStart w:id="8" w:name="_GoBack"/>
      <w:bookmarkEnd w:id="8"/>
      <w:r>
        <w:rPr>
          <w:rFonts w:hint="eastAsia" w:ascii="宋体" w:hAnsi="宋体" w:cs="宋体"/>
          <w:b/>
          <w:bCs/>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人员配置要求</w:t>
      </w:r>
    </w:p>
    <w:p w14:paraId="213CEF3A">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针对本项目提供明确的项目团队人员，要求人员为投标单位在职人员，具体详见评审细则及标准。</w:t>
      </w:r>
    </w:p>
    <w:p w14:paraId="24FF1BB2">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9.设施设备配置要求</w:t>
      </w:r>
    </w:p>
    <w:p w14:paraId="3170126B">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具有履行合同所必需的设施设备，满足项目需求。</w:t>
      </w:r>
    </w:p>
    <w:p w14:paraId="2C1B240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10.等保要求</w:t>
      </w:r>
    </w:p>
    <w:p w14:paraId="7DDC8B2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平台建设完成后，供应商委托有资质的第三方测评机构对所建平台进行信息安全等级保护测评，要求满足三级等保测评，所委托的测评机构须经过采购人确认。</w:t>
      </w:r>
    </w:p>
    <w:p w14:paraId="347AC452">
      <w:pPr>
        <w:spacing w:after="160" w:line="360" w:lineRule="auto"/>
        <w:ind w:firstLine="420" w:firstLineChars="2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11.服务期限：</w:t>
      </w:r>
      <w:r>
        <w:rPr>
          <w:rFonts w:hint="eastAsia" w:ascii="宋体" w:hAnsi="宋体" w:cs="宋体"/>
          <w:bCs/>
          <w:color w:val="000000" w:themeColor="text1"/>
          <w:szCs w:val="21"/>
          <w:highlight w:val="none"/>
          <w:lang w:eastAsia="zh-CN"/>
          <w14:textFill>
            <w14:solidFill>
              <w14:schemeClr w14:val="tx1"/>
            </w14:solidFill>
          </w14:textFill>
        </w:rPr>
        <w:t>合同签订6个月内完成。合同签订后5个月完成平台全部部署工作；试运行期限：部署完成后1个月。运维期限：两年。</w:t>
      </w:r>
    </w:p>
    <w:p w14:paraId="06BF06F5">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12.服务地点：按采购人要求。</w:t>
      </w:r>
    </w:p>
    <w:p w14:paraId="41EA9619">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13.交付要求：按照编制要求和模板开展文档编制工作，技术文档应做到指标清晰合理，项目需求和设计文档必须通过评审。项目文档包括以下内容：</w:t>
      </w:r>
    </w:p>
    <w:p w14:paraId="34FB27B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14.文档成果物要求</w:t>
      </w:r>
    </w:p>
    <w:tbl>
      <w:tblPr>
        <w:tblStyle w:val="12"/>
        <w:tblW w:w="874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2"/>
        <w:gridCol w:w="4155"/>
      </w:tblGrid>
      <w:tr w14:paraId="0BCD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63EF66C6">
            <w:pPr>
              <w:spacing w:after="160" w:line="360" w:lineRule="auto"/>
              <w:jc w:val="center"/>
              <w:outlineLvl w:val="9"/>
              <w:rPr>
                <w:rFonts w:ascii="宋体" w:hAnsi="宋体" w:cs="宋体"/>
                <w:b/>
                <w:bCs/>
                <w:color w:val="000000" w:themeColor="text1"/>
                <w:kern w:val="0"/>
                <w:szCs w:val="21"/>
                <w:highlight w:val="none"/>
                <w:lang w:eastAsia="en-US"/>
                <w14:textFill>
                  <w14:solidFill>
                    <w14:schemeClr w14:val="tx1"/>
                  </w14:solidFill>
                </w14:textFill>
              </w:rPr>
            </w:pPr>
            <w:r>
              <w:rPr>
                <w:rFonts w:hint="eastAsia" w:ascii="宋体" w:hAnsi="宋体" w:cs="宋体"/>
                <w:b/>
                <w:bCs/>
                <w:color w:val="000000" w:themeColor="text1"/>
                <w:spacing w:val="-3"/>
                <w:kern w:val="0"/>
                <w:szCs w:val="21"/>
                <w:highlight w:val="none"/>
                <w:lang w:eastAsia="en-US"/>
                <w14:textFill>
                  <w14:solidFill>
                    <w14:schemeClr w14:val="tx1"/>
                  </w14:solidFill>
                </w14:textFill>
              </w:rPr>
              <w:t>交付物名称</w:t>
            </w:r>
          </w:p>
        </w:tc>
        <w:tc>
          <w:tcPr>
            <w:tcW w:w="4155" w:type="dxa"/>
            <w:vAlign w:val="center"/>
          </w:tcPr>
          <w:p w14:paraId="71656721">
            <w:pPr>
              <w:spacing w:after="160" w:line="360" w:lineRule="auto"/>
              <w:jc w:val="center"/>
              <w:outlineLvl w:val="9"/>
              <w:rPr>
                <w:rFonts w:ascii="宋体" w:hAnsi="宋体" w:cs="宋体"/>
                <w:b/>
                <w:bCs/>
                <w:color w:val="000000" w:themeColor="text1"/>
                <w:kern w:val="0"/>
                <w:szCs w:val="21"/>
                <w:highlight w:val="none"/>
                <w:lang w:eastAsia="en-US"/>
                <w14:textFill>
                  <w14:solidFill>
                    <w14:schemeClr w14:val="tx1"/>
                  </w14:solidFill>
                </w14:textFill>
              </w:rPr>
            </w:pPr>
            <w:r>
              <w:rPr>
                <w:rFonts w:hint="eastAsia" w:ascii="宋体" w:hAnsi="宋体" w:cs="宋体"/>
                <w:b/>
                <w:bCs/>
                <w:color w:val="000000" w:themeColor="text1"/>
                <w:spacing w:val="-3"/>
                <w:kern w:val="0"/>
                <w:szCs w:val="21"/>
                <w:highlight w:val="none"/>
                <w:lang w:eastAsia="en-US"/>
                <w14:textFill>
                  <w14:solidFill>
                    <w14:schemeClr w14:val="tx1"/>
                  </w14:solidFill>
                </w14:textFill>
              </w:rPr>
              <w:t>介质形式</w:t>
            </w:r>
          </w:p>
        </w:tc>
      </w:tr>
      <w:tr w14:paraId="0CE0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531E721D">
            <w:pPr>
              <w:spacing w:after="160" w:line="360" w:lineRule="auto"/>
              <w:jc w:val="center"/>
              <w:outlineLvl w:val="9"/>
              <w:rPr>
                <w:rFonts w:ascii="宋体" w:hAnsi="宋体" w:cs="宋体"/>
                <w:color w:val="000000" w:themeColor="text1"/>
                <w:kern w:val="0"/>
                <w:szCs w:val="21"/>
                <w:highlight w:val="none"/>
                <w:lang w:eastAsia="en-US"/>
                <w14:textFill>
                  <w14:solidFill>
                    <w14:schemeClr w14:val="tx1"/>
                  </w14:solidFill>
                </w14:textFill>
              </w:rPr>
            </w:pPr>
            <w:r>
              <w:rPr>
                <w:rFonts w:hint="eastAsia" w:ascii="宋体" w:hAnsi="宋体" w:cs="宋体"/>
                <w:color w:val="000000" w:themeColor="text1"/>
                <w:spacing w:val="-1"/>
                <w:kern w:val="0"/>
                <w:szCs w:val="21"/>
                <w:highlight w:val="none"/>
                <w:lang w:eastAsia="en-US"/>
                <w14:textFill>
                  <w14:solidFill>
                    <w14:schemeClr w14:val="tx1"/>
                  </w14:solidFill>
                </w14:textFill>
              </w:rPr>
              <w:t>《需求规格说明书》</w:t>
            </w:r>
          </w:p>
        </w:tc>
        <w:tc>
          <w:tcPr>
            <w:tcW w:w="4155" w:type="dxa"/>
            <w:vAlign w:val="center"/>
          </w:tcPr>
          <w:p w14:paraId="5EFAF84B">
            <w:pPr>
              <w:spacing w:after="160" w:line="360" w:lineRule="auto"/>
              <w:jc w:val="center"/>
              <w:outlineLvl w:val="9"/>
              <w:rPr>
                <w:rFonts w:ascii="宋体" w:hAnsi="宋体" w:cs="宋体"/>
                <w:color w:val="000000" w:themeColor="text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1320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62DC0D5B">
            <w:pPr>
              <w:spacing w:after="160" w:line="360" w:lineRule="auto"/>
              <w:jc w:val="center"/>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《系统设计与</w:t>
            </w:r>
            <w:r>
              <w:rPr>
                <w:rFonts w:hint="eastAsia" w:ascii="宋体" w:hAnsi="宋体" w:cs="宋体"/>
                <w:color w:val="000000" w:themeColor="text1"/>
                <w:spacing w:val="-2"/>
                <w:kern w:val="0"/>
                <w:szCs w:val="21"/>
                <w:highlight w:val="none"/>
                <w14:textFill>
                  <w14:solidFill>
                    <w14:schemeClr w14:val="tx1"/>
                  </w14:solidFill>
                </w14:textFill>
              </w:rPr>
              <w:t>运维</w:t>
            </w:r>
            <w:r>
              <w:rPr>
                <w:rFonts w:hint="eastAsia" w:ascii="宋体" w:hAnsi="宋体" w:cs="宋体"/>
                <w:color w:val="000000" w:themeColor="text1"/>
                <w:spacing w:val="-1"/>
                <w:kern w:val="0"/>
                <w:szCs w:val="21"/>
                <w:highlight w:val="none"/>
                <w14:textFill>
                  <w14:solidFill>
                    <w14:schemeClr w14:val="tx1"/>
                  </w14:solidFill>
                </w14:textFill>
              </w:rPr>
              <w:t>方案》</w:t>
            </w:r>
          </w:p>
        </w:tc>
        <w:tc>
          <w:tcPr>
            <w:tcW w:w="4155" w:type="dxa"/>
            <w:vAlign w:val="center"/>
          </w:tcPr>
          <w:p w14:paraId="5E9EDD48">
            <w:pPr>
              <w:spacing w:after="160" w:line="360" w:lineRule="auto"/>
              <w:jc w:val="center"/>
              <w:outlineLvl w:val="9"/>
              <w:rPr>
                <w:rFonts w:ascii="宋体" w:hAnsi="宋体" w:cs="宋体"/>
                <w:color w:val="000000" w:themeColor="text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1D93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6A270E88">
            <w:pPr>
              <w:spacing w:after="160" w:line="360" w:lineRule="auto"/>
              <w:jc w:val="center"/>
              <w:outlineLvl w:val="9"/>
              <w:rPr>
                <w:rFonts w:ascii="宋体" w:hAnsi="宋体" w:cs="宋体"/>
                <w:color w:val="000000" w:themeColor="text1"/>
                <w:kern w:val="0"/>
                <w:szCs w:val="21"/>
                <w:highlight w:val="none"/>
                <w:lang w:eastAsia="en-US"/>
                <w14:textFill>
                  <w14:solidFill>
                    <w14:schemeClr w14:val="tx1"/>
                  </w14:solidFill>
                </w14:textFill>
              </w:rPr>
            </w:pPr>
            <w:r>
              <w:rPr>
                <w:rFonts w:hint="eastAsia" w:ascii="宋体" w:hAnsi="宋体" w:cs="宋体"/>
                <w:color w:val="000000" w:themeColor="text1"/>
                <w:spacing w:val="-2"/>
                <w:kern w:val="0"/>
                <w:szCs w:val="21"/>
                <w:highlight w:val="none"/>
                <w:lang w:eastAsia="en-US"/>
                <w14:textFill>
                  <w14:solidFill>
                    <w14:schemeClr w14:val="tx1"/>
                  </w14:solidFill>
                </w14:textFill>
              </w:rPr>
              <w:t>《用户使用手册》</w:t>
            </w:r>
          </w:p>
        </w:tc>
        <w:tc>
          <w:tcPr>
            <w:tcW w:w="4155" w:type="dxa"/>
            <w:vAlign w:val="center"/>
          </w:tcPr>
          <w:p w14:paraId="45027896">
            <w:pPr>
              <w:spacing w:after="160" w:line="360" w:lineRule="auto"/>
              <w:jc w:val="center"/>
              <w:outlineLvl w:val="9"/>
              <w:rPr>
                <w:rFonts w:ascii="宋体" w:hAnsi="宋体" w:cs="宋体"/>
                <w:color w:val="000000" w:themeColor="text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2BFF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16BEF5A9">
            <w:pPr>
              <w:spacing w:after="160" w:line="360" w:lineRule="auto"/>
              <w:jc w:val="center"/>
              <w:outlineLvl w:val="9"/>
              <w:rPr>
                <w:rFonts w:ascii="宋体" w:hAnsi="宋体" w:cs="宋体"/>
                <w:color w:val="000000" w:themeColor="text1"/>
                <w:spacing w:val="-2"/>
                <w:kern w:val="0"/>
                <w:szCs w:val="21"/>
                <w:highlight w:val="none"/>
                <w:lang w:eastAsia="en-US"/>
                <w14:textFill>
                  <w14:solidFill>
                    <w14:schemeClr w14:val="tx1"/>
                  </w14:solidFill>
                </w14:textFill>
              </w:rPr>
            </w:pPr>
            <w:r>
              <w:rPr>
                <w:rFonts w:hint="eastAsia" w:ascii="宋体" w:hAnsi="宋体" w:cs="宋体"/>
                <w:color w:val="000000" w:themeColor="text1"/>
                <w:spacing w:val="-1"/>
                <w:kern w:val="0"/>
                <w:szCs w:val="21"/>
                <w:highlight w:val="none"/>
                <w:lang w:eastAsia="en-US"/>
                <w14:textFill>
                  <w14:solidFill>
                    <w14:schemeClr w14:val="tx1"/>
                  </w14:solidFill>
                </w14:textFill>
              </w:rPr>
              <w:t>《系统试运行报告》</w:t>
            </w:r>
          </w:p>
        </w:tc>
        <w:tc>
          <w:tcPr>
            <w:tcW w:w="4155" w:type="dxa"/>
            <w:vAlign w:val="center"/>
          </w:tcPr>
          <w:p w14:paraId="3DD86DF7">
            <w:pPr>
              <w:spacing w:after="160" w:line="360" w:lineRule="auto"/>
              <w:jc w:val="center"/>
              <w:outlineLvl w:val="9"/>
              <w:rPr>
                <w:rFonts w:ascii="宋体" w:hAnsi="宋体" w:cs="宋体"/>
                <w:color w:val="000000" w:themeColor="text1"/>
                <w:spacing w:val="-1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7CBD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7239927C">
            <w:pPr>
              <w:spacing w:after="160" w:line="360" w:lineRule="auto"/>
              <w:jc w:val="center"/>
              <w:outlineLvl w:val="9"/>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《地下水同位素溯源解析报告》</w:t>
            </w:r>
          </w:p>
        </w:tc>
        <w:tc>
          <w:tcPr>
            <w:tcW w:w="4155" w:type="dxa"/>
            <w:vAlign w:val="center"/>
          </w:tcPr>
          <w:p w14:paraId="33DAC7FB">
            <w:pPr>
              <w:spacing w:after="160" w:line="360" w:lineRule="auto"/>
              <w:jc w:val="center"/>
              <w:outlineLvl w:val="9"/>
              <w:rPr>
                <w:rFonts w:ascii="宋体" w:hAnsi="宋体" w:cs="宋体"/>
                <w:color w:val="000000" w:themeColor="text1"/>
                <w:spacing w:val="-1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334A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320DEA95">
            <w:pPr>
              <w:spacing w:after="160" w:line="360" w:lineRule="auto"/>
              <w:jc w:val="center"/>
              <w:outlineLvl w:val="9"/>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《地下水污染分布与水土介质迁移规律解析报告》</w:t>
            </w:r>
          </w:p>
        </w:tc>
        <w:tc>
          <w:tcPr>
            <w:tcW w:w="4155" w:type="dxa"/>
            <w:vAlign w:val="center"/>
          </w:tcPr>
          <w:p w14:paraId="7D3082FE">
            <w:pPr>
              <w:spacing w:after="160" w:line="360" w:lineRule="auto"/>
              <w:jc w:val="center"/>
              <w:outlineLvl w:val="9"/>
              <w:rPr>
                <w:rFonts w:ascii="宋体" w:hAnsi="宋体" w:cs="宋体"/>
                <w:color w:val="000000" w:themeColor="text1"/>
                <w:spacing w:val="-11"/>
                <w:kern w:val="0"/>
                <w:szCs w:val="21"/>
                <w:highlight w:val="none"/>
                <w:lang w:eastAsia="en-US"/>
                <w14:textFill>
                  <w14:solidFill>
                    <w14:schemeClr w14:val="tx1"/>
                  </w14:solidFill>
                </w14:textFill>
              </w:rPr>
            </w:pPr>
            <w:r>
              <w:rPr>
                <w:rFonts w:hint="eastAsia" w:ascii="宋体" w:hAnsi="宋体" w:cs="宋体"/>
                <w:color w:val="000000" w:themeColor="text1"/>
                <w:spacing w:val="-11"/>
                <w:kern w:val="0"/>
                <w:szCs w:val="21"/>
                <w:highlight w:val="none"/>
                <w:lang w:eastAsia="en-US"/>
                <w14:textFill>
                  <w14:solidFill>
                    <w14:schemeClr w14:val="tx1"/>
                  </w14:solidFill>
                </w14:textFill>
              </w:rPr>
              <w:t>电子/纸介质</w:t>
            </w:r>
          </w:p>
        </w:tc>
      </w:tr>
      <w:tr w14:paraId="71F3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7A20BA72">
            <w:pPr>
              <w:spacing w:after="160" w:line="360" w:lineRule="auto"/>
              <w:jc w:val="center"/>
              <w:outlineLvl w:val="9"/>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《平台建设实施方案》</w:t>
            </w:r>
          </w:p>
        </w:tc>
        <w:tc>
          <w:tcPr>
            <w:tcW w:w="4155" w:type="dxa"/>
            <w:vAlign w:val="center"/>
          </w:tcPr>
          <w:p w14:paraId="51AE68E3">
            <w:pPr>
              <w:spacing w:after="160" w:line="360" w:lineRule="auto"/>
              <w:jc w:val="center"/>
              <w:outlineLvl w:val="9"/>
              <w:rPr>
                <w:rFonts w:ascii="宋体" w:hAnsi="宋体" w:cs="宋体"/>
                <w:color w:val="000000" w:themeColor="text1"/>
                <w:spacing w:val="-11"/>
                <w:kern w:val="0"/>
                <w:szCs w:val="21"/>
                <w:highlight w:val="none"/>
                <w:lang w:eastAsia="en-US"/>
                <w14:textFill>
                  <w14:solidFill>
                    <w14:schemeClr w14:val="tx1"/>
                  </w14:solidFill>
                </w14:textFill>
              </w:rPr>
            </w:pPr>
            <w:r>
              <w:rPr>
                <w:rFonts w:hint="eastAsia" w:ascii="宋体" w:hAnsi="宋体" w:cs="宋体"/>
                <w:color w:val="000000" w:themeColor="text1"/>
                <w:spacing w:val="-2"/>
                <w:kern w:val="0"/>
                <w:szCs w:val="21"/>
                <w:highlight w:val="none"/>
                <w:lang w:eastAsia="en-US"/>
                <w14:textFill>
                  <w14:solidFill>
                    <w14:schemeClr w14:val="tx1"/>
                  </w14:solidFill>
                </w14:textFill>
              </w:rPr>
              <w:t>电子/纸介质</w:t>
            </w:r>
          </w:p>
        </w:tc>
      </w:tr>
      <w:tr w14:paraId="439E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92" w:type="dxa"/>
            <w:tcBorders>
              <w:left w:val="single" w:color="000000" w:sz="8" w:space="0"/>
            </w:tcBorders>
            <w:vAlign w:val="center"/>
          </w:tcPr>
          <w:p w14:paraId="060F0D44">
            <w:pPr>
              <w:spacing w:after="160" w:line="360" w:lineRule="auto"/>
              <w:jc w:val="center"/>
              <w:outlineLvl w:val="9"/>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《平台操作培训方案》</w:t>
            </w:r>
          </w:p>
        </w:tc>
        <w:tc>
          <w:tcPr>
            <w:tcW w:w="4155" w:type="dxa"/>
            <w:vAlign w:val="center"/>
          </w:tcPr>
          <w:p w14:paraId="6DB753FC">
            <w:pPr>
              <w:spacing w:after="160" w:line="360" w:lineRule="auto"/>
              <w:jc w:val="center"/>
              <w:outlineLvl w:val="9"/>
              <w:rPr>
                <w:rFonts w:ascii="宋体" w:hAnsi="宋体" w:cs="宋体"/>
                <w:color w:val="000000" w:themeColor="text1"/>
                <w:spacing w:val="-11"/>
                <w:kern w:val="0"/>
                <w:szCs w:val="21"/>
                <w:highlight w:val="none"/>
                <w:lang w:eastAsia="en-US"/>
                <w14:textFill>
                  <w14:solidFill>
                    <w14:schemeClr w14:val="tx1"/>
                  </w14:solidFill>
                </w14:textFill>
              </w:rPr>
            </w:pPr>
            <w:r>
              <w:rPr>
                <w:rFonts w:hint="eastAsia" w:ascii="宋体" w:hAnsi="宋体" w:cs="宋体"/>
                <w:color w:val="000000" w:themeColor="text1"/>
                <w:spacing w:val="-2"/>
                <w:kern w:val="0"/>
                <w:szCs w:val="21"/>
                <w:highlight w:val="none"/>
                <w:lang w:eastAsia="en-US"/>
                <w14:textFill>
                  <w14:solidFill>
                    <w14:schemeClr w14:val="tx1"/>
                  </w14:solidFill>
                </w14:textFill>
              </w:rPr>
              <w:t>电子/纸介质</w:t>
            </w:r>
          </w:p>
        </w:tc>
      </w:tr>
    </w:tbl>
    <w:p w14:paraId="1BF91FC3">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15.软件系统成果物要求</w:t>
      </w:r>
    </w:p>
    <w:tbl>
      <w:tblPr>
        <w:tblStyle w:val="12"/>
        <w:tblW w:w="8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0"/>
        <w:gridCol w:w="4152"/>
      </w:tblGrid>
      <w:tr w14:paraId="7A61F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4590" w:type="dxa"/>
            <w:vAlign w:val="center"/>
          </w:tcPr>
          <w:p w14:paraId="5C261A6F">
            <w:pPr>
              <w:spacing w:after="160" w:line="360" w:lineRule="auto"/>
              <w:jc w:val="center"/>
              <w:outlineLvl w:val="9"/>
              <w:rPr>
                <w:rFonts w:ascii="宋体" w:hAnsi="宋体" w:cs="宋体"/>
                <w:b/>
                <w:bCs/>
                <w:color w:val="000000" w:themeColor="text1"/>
                <w:spacing w:val="-3"/>
                <w:kern w:val="0"/>
                <w:szCs w:val="21"/>
                <w:highlight w:val="none"/>
                <w:lang w:eastAsia="en-US"/>
                <w14:textFill>
                  <w14:solidFill>
                    <w14:schemeClr w14:val="tx1"/>
                  </w14:solidFill>
                </w14:textFill>
              </w:rPr>
            </w:pPr>
            <w:r>
              <w:rPr>
                <w:rFonts w:hint="eastAsia" w:ascii="宋体" w:hAnsi="宋体" w:cs="宋体"/>
                <w:b/>
                <w:bCs/>
                <w:color w:val="000000" w:themeColor="text1"/>
                <w:spacing w:val="-3"/>
                <w:kern w:val="0"/>
                <w:szCs w:val="21"/>
                <w:highlight w:val="none"/>
                <w:lang w:eastAsia="en-US"/>
                <w14:textFill>
                  <w14:solidFill>
                    <w14:schemeClr w14:val="tx1"/>
                  </w14:solidFill>
                </w14:textFill>
              </w:rPr>
              <w:t>交付物名称</w:t>
            </w:r>
          </w:p>
        </w:tc>
        <w:tc>
          <w:tcPr>
            <w:tcW w:w="4152" w:type="dxa"/>
            <w:vAlign w:val="center"/>
          </w:tcPr>
          <w:p w14:paraId="431EA1DE">
            <w:pPr>
              <w:spacing w:after="160" w:line="360" w:lineRule="auto"/>
              <w:jc w:val="center"/>
              <w:outlineLvl w:val="9"/>
              <w:rPr>
                <w:rFonts w:ascii="宋体" w:hAnsi="宋体" w:cs="宋体"/>
                <w:b/>
                <w:bCs/>
                <w:color w:val="000000" w:themeColor="text1"/>
                <w:spacing w:val="-3"/>
                <w:kern w:val="0"/>
                <w:szCs w:val="21"/>
                <w:highlight w:val="none"/>
                <w:lang w:eastAsia="en-US"/>
                <w14:textFill>
                  <w14:solidFill>
                    <w14:schemeClr w14:val="tx1"/>
                  </w14:solidFill>
                </w14:textFill>
              </w:rPr>
            </w:pPr>
            <w:r>
              <w:rPr>
                <w:rFonts w:hint="eastAsia" w:ascii="宋体" w:hAnsi="宋体" w:cs="宋体"/>
                <w:b/>
                <w:bCs/>
                <w:color w:val="000000" w:themeColor="text1"/>
                <w:spacing w:val="-3"/>
                <w:kern w:val="0"/>
                <w:szCs w:val="21"/>
                <w:highlight w:val="none"/>
                <w:lang w:eastAsia="en-US"/>
                <w14:textFill>
                  <w14:solidFill>
                    <w14:schemeClr w14:val="tx1"/>
                  </w14:solidFill>
                </w14:textFill>
              </w:rPr>
              <w:t>介质形式</w:t>
            </w:r>
          </w:p>
        </w:tc>
      </w:tr>
      <w:tr w14:paraId="7697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4590" w:type="dxa"/>
            <w:vAlign w:val="center"/>
          </w:tcPr>
          <w:p w14:paraId="3DCCA4E8">
            <w:pPr>
              <w:spacing w:after="160" w:line="360" w:lineRule="auto"/>
              <w:jc w:val="center"/>
              <w:outlineLvl w:val="9"/>
              <w:rPr>
                <w:rFonts w:ascii="宋体" w:hAnsi="宋体" w:cs="宋体"/>
                <w:color w:val="000000" w:themeColor="text1"/>
                <w:spacing w:val="-3"/>
                <w:kern w:val="0"/>
                <w:szCs w:val="21"/>
                <w:highlight w:val="none"/>
                <w14:textFill>
                  <w14:solidFill>
                    <w14:schemeClr w14:val="tx1"/>
                  </w14:solidFill>
                </w14:textFill>
              </w:rPr>
            </w:pPr>
            <w:r>
              <w:rPr>
                <w:rFonts w:hint="eastAsia" w:ascii="宋体" w:hAnsi="宋体" w:cs="宋体"/>
                <w:color w:val="000000" w:themeColor="text1"/>
                <w:spacing w:val="-3"/>
                <w:kern w:val="0"/>
                <w:szCs w:val="21"/>
                <w:highlight w:val="none"/>
                <w14:textFill>
                  <w14:solidFill>
                    <w14:schemeClr w14:val="tx1"/>
                  </w14:solidFill>
                </w14:textFill>
              </w:rPr>
              <w:t>化工园区地下水环境风险管理平台及源代码</w:t>
            </w:r>
          </w:p>
        </w:tc>
        <w:tc>
          <w:tcPr>
            <w:tcW w:w="4152" w:type="dxa"/>
            <w:vAlign w:val="center"/>
          </w:tcPr>
          <w:p w14:paraId="2B16B643">
            <w:pPr>
              <w:spacing w:after="160" w:line="360" w:lineRule="auto"/>
              <w:jc w:val="center"/>
              <w:outlineLvl w:val="9"/>
              <w:rPr>
                <w:rFonts w:ascii="宋体" w:hAnsi="宋体" w:cs="宋体"/>
                <w:color w:val="000000" w:themeColor="text1"/>
                <w:spacing w:val="-3"/>
                <w:kern w:val="0"/>
                <w:szCs w:val="21"/>
                <w:highlight w:val="none"/>
                <w:lang w:eastAsia="en-US"/>
                <w14:textFill>
                  <w14:solidFill>
                    <w14:schemeClr w14:val="tx1"/>
                  </w14:solidFill>
                </w14:textFill>
              </w:rPr>
            </w:pPr>
            <w:r>
              <w:rPr>
                <w:rFonts w:hint="eastAsia" w:ascii="宋体" w:hAnsi="宋体" w:cs="宋体"/>
                <w:color w:val="000000" w:themeColor="text1"/>
                <w:spacing w:val="-3"/>
                <w:kern w:val="0"/>
                <w:szCs w:val="21"/>
                <w:highlight w:val="none"/>
                <w:lang w:eastAsia="en-US"/>
                <w14:textFill>
                  <w14:solidFill>
                    <w14:schemeClr w14:val="tx1"/>
                  </w14:solidFill>
                </w14:textFill>
              </w:rPr>
              <w:t>电子</w:t>
            </w:r>
          </w:p>
        </w:tc>
      </w:tr>
    </w:tbl>
    <w:p w14:paraId="5ECB148D">
      <w:pPr>
        <w:spacing w:after="160" w:line="360" w:lineRule="auto"/>
        <w:ind w:firstLine="422"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质保期售后服务要求</w:t>
      </w:r>
    </w:p>
    <w:p w14:paraId="2F56216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售后服务期要求为两年，自项目验收合格之日起计算。</w:t>
      </w:r>
    </w:p>
    <w:p w14:paraId="344E49F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针对数据分析服务、系统使用与运维需要，提供详细的技术支持与售后服务方案以及服务承诺。技术支持与售后服务方案要从技术支持与服务体系、服务保障、服务内容、服务措施、质保期等方面进行详细说明。</w:t>
      </w:r>
    </w:p>
    <w:p w14:paraId="0BDA9BF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在质保期内，供应商需承诺提供电话技术支持、现场响应等服务方式，在售后服务期内，供应商应提供7*24热线响应技术服务。质保期内的技术服务包含：数据分析服务、维护服务、优化服务，并提出技术服务期后的维护方案。</w:t>
      </w:r>
    </w:p>
    <w:p w14:paraId="7CB895C7">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②系统出现故障后，投标方需在5小时作出技术响应，如遇到远程无法解决的故障，项目核心人员需在24小时内到达现场。</w:t>
      </w:r>
    </w:p>
    <w:p w14:paraId="3C294B6B">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③质保期内供应商提供的所有的售后服务均包含在合同总额内，不得另行收费。</w:t>
      </w:r>
    </w:p>
    <w:p w14:paraId="15CD771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④质保期内供应商根据项目审计的需要及时配合完成化工园区地下水环境风险管理平台及源代码的审计工作。</w:t>
      </w:r>
    </w:p>
    <w:p w14:paraId="66F6DDD0">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17.质保期外的技术支持</w:t>
      </w:r>
    </w:p>
    <w:p w14:paraId="138B6527">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供应商应列出项目质保期外可提供的运行维护和售后服务的服务内容和工作方案，供采购人参考。如需额外费用，双方协商确定。</w:t>
      </w:r>
    </w:p>
    <w:p w14:paraId="53431316">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18.项目培训要求</w:t>
      </w:r>
    </w:p>
    <w:p w14:paraId="6CA4EE36">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供应商应针对本次采购项目的管理、维护和使用等提供相应的培训，培训次数不少于3次。具体培训要求包括：</w:t>
      </w:r>
    </w:p>
    <w:p w14:paraId="5B953AE6">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①供应商必须提供具有相应专业知识、实际工作和教学经验的培训讲师、辅导人员和相应的教材，培训所使用的语言和教材必须是中文。</w:t>
      </w:r>
    </w:p>
    <w:p w14:paraId="2F886154">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②供应商负责提供培训所需计划和资料（包括纸质文档和电子文档），采购人有权在系统内部使用这些培训资料。</w:t>
      </w:r>
    </w:p>
    <w:p w14:paraId="28667E9F">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③培训的时间、内容、人员、期次等项内容在具体执行过程中需根据采购人意见进行调整。</w:t>
      </w:r>
    </w:p>
    <w:p w14:paraId="6BE4BD63">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在投标文件中，供应商应提供培训方案和培训承诺。培训方案主要包括培训组织机构、培训体系、培训方式、培训质量保障等几个方面，并按照上述要求进行详细说明。</w:t>
      </w:r>
    </w:p>
    <w:p w14:paraId="318E4505">
      <w:pPr>
        <w:spacing w:after="160" w:line="360" w:lineRule="auto"/>
        <w:ind w:firstLine="422"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19.成果验收标准及要求</w:t>
      </w:r>
    </w:p>
    <w:p w14:paraId="55FDE82E">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①试运行结束无质量问题后，中标人向采购人提交验收申请。</w:t>
      </w:r>
    </w:p>
    <w:p w14:paraId="0E679AB6">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②采购人收到验收申请后进行验收，验收时中标人应无条件予以配合并提供验收所需的全部资料，若中标人不配合或者未按合同要求提供服务的，采购人将拒绝验收。</w:t>
      </w:r>
    </w:p>
    <w:p w14:paraId="3B0C7C33">
      <w:pPr>
        <w:spacing w:after="160" w:line="360" w:lineRule="auto"/>
        <w:ind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③验收依据：招标文件、投标文件、合同文本、国内相应的标准及规范。</w:t>
      </w:r>
    </w:p>
    <w:p w14:paraId="6F80EC5A">
      <w:pPr>
        <w:spacing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四、保密要求</w:t>
      </w:r>
    </w:p>
    <w:p w14:paraId="0908B18D">
      <w:pPr>
        <w:spacing w:after="160" w:line="360" w:lineRule="auto"/>
        <w:ind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收集的、开发的、整理的、复制的、研究的和准备的与本项目工作有关的所有资料在提供给中标人时，均被视为保密的，不得泄露给除采购人或指定的代表之外的任何人、企业或公司，不管本项目因何种原因终止，本保密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080F537B">
      <w:pPr>
        <w:spacing w:after="160" w:line="360" w:lineRule="auto"/>
        <w:jc w:val="left"/>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五、报价要求</w:t>
      </w:r>
    </w:p>
    <w:p w14:paraId="1C36D44A">
      <w:pPr>
        <w:widowControl/>
        <w:spacing w:line="360" w:lineRule="auto"/>
        <w:ind w:firstLine="420" w:firstLineChars="200"/>
        <w:jc w:val="left"/>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在项目实施过程中可能出现任务量增加情况，投标人报价应将此差异考虑在投标报价中，合同总价一次包死。</w:t>
      </w:r>
    </w:p>
    <w:p w14:paraId="058B97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D15ED"/>
    <w:multiLevelType w:val="multilevel"/>
    <w:tmpl w:val="565D15ED"/>
    <w:lvl w:ilvl="0" w:tentative="0">
      <w:start w:val="1"/>
      <w:numFmt w:val="chineseCountingThousand"/>
      <w:suff w:val="nothing"/>
      <w:lvlText w:val="%1、"/>
      <w:lvlJc w:val="left"/>
      <w:pPr>
        <w:ind w:left="0" w:firstLine="0"/>
      </w:pPr>
      <w:rPr>
        <w:rFonts w:hint="eastAsia" w:ascii="Times New Roman" w:hAnsi="Times New Roman" w:eastAsia="宋体"/>
        <w:b/>
        <w:i w:val="0"/>
        <w:sz w:val="32"/>
      </w:rPr>
    </w:lvl>
    <w:lvl w:ilvl="1" w:tentative="0">
      <w:start w:val="1"/>
      <w:numFmt w:val="decimal"/>
      <w:isLgl/>
      <w:suff w:val="nothing"/>
      <w:lvlText w:val="%1.%2、"/>
      <w:lvlJc w:val="left"/>
      <w:pPr>
        <w:ind w:left="3828" w:firstLine="0"/>
      </w:pPr>
      <w:rPr>
        <w:rFonts w:hint="eastAsia" w:ascii="Times New Roman" w:hAnsi="Times New Roman" w:eastAsia="宋体" w:cs="Times New Roman"/>
        <w:b/>
        <w:i w:val="0"/>
        <w:iCs w:val="0"/>
        <w:caps w:val="0"/>
        <w:smallCaps w:val="0"/>
        <w:strike w:val="0"/>
        <w:dstrike w:val="0"/>
        <w:outline w:val="0"/>
        <w:shadow w:val="0"/>
        <w:emboss w:val="0"/>
        <w:imprint w:val="0"/>
        <w:vanish w:val="0"/>
        <w:color w:val="000000"/>
        <w:spacing w:val="0"/>
        <w:position w:val="0"/>
        <w:sz w:val="30"/>
        <w:u w:val="none"/>
        <w:vertAlign w:val="baseline"/>
      </w:rPr>
    </w:lvl>
    <w:lvl w:ilvl="2" w:tentative="0">
      <w:start w:val="1"/>
      <w:numFmt w:val="decimal"/>
      <w:pStyle w:val="5"/>
      <w:isLgl/>
      <w:suff w:val="nothing"/>
      <w:lvlText w:val="%1.%2.%3、"/>
      <w:lvlJc w:val="left"/>
      <w:pPr>
        <w:ind w:left="-2" w:firstLine="0"/>
      </w:pPr>
      <w:rPr>
        <w:rFonts w:hint="eastAsia" w:ascii="Times New Roman" w:hAnsi="Times New Roman" w:eastAsia="宋体"/>
        <w:b/>
        <w:i w:val="0"/>
        <w:sz w:val="28"/>
      </w:rPr>
    </w:lvl>
    <w:lvl w:ilvl="3" w:tentative="0">
      <w:start w:val="1"/>
      <w:numFmt w:val="decimal"/>
      <w:isLgl/>
      <w:suff w:val="nothing"/>
      <w:lvlText w:val="%1.%2.%3.%4、"/>
      <w:lvlJc w:val="left"/>
      <w:pPr>
        <w:ind w:left="0" w:firstLine="0"/>
      </w:pPr>
      <w:rPr>
        <w:rFonts w:hint="eastAsia" w:ascii="Times New Roman" w:hAnsi="Times New Roman" w:eastAsia="宋体"/>
        <w:b/>
        <w:i w:val="0"/>
        <w:sz w:val="24"/>
      </w:rPr>
    </w:lvl>
    <w:lvl w:ilvl="4" w:tentative="0">
      <w:start w:val="1"/>
      <w:numFmt w:val="decimal"/>
      <w:isLgl/>
      <w:suff w:val="nothing"/>
      <w:lvlText w:val="%1.%2.%3.%4.%5、"/>
      <w:lvlJc w:val="left"/>
      <w:pPr>
        <w:ind w:left="0" w:firstLine="0"/>
      </w:pPr>
      <w:rPr>
        <w:rFonts w:hint="eastAsia" w:ascii="Times New Roman" w:hAnsi="Times New Roman" w:eastAsia="宋体"/>
        <w:b/>
        <w:i w:val="0"/>
        <w:sz w:val="21"/>
      </w:rPr>
    </w:lvl>
    <w:lvl w:ilvl="5" w:tentative="0">
      <w:start w:val="1"/>
      <w:numFmt w:val="decimal"/>
      <w:isLgl/>
      <w:suff w:val="nothing"/>
      <w:lvlText w:val="%1.%2.%3.%4.%5.%6、"/>
      <w:lvlJc w:val="left"/>
      <w:pPr>
        <w:ind w:left="0" w:firstLine="0"/>
      </w:pPr>
      <w:rPr>
        <w:rFonts w:hint="eastAsia" w:ascii="Times New Roman" w:hAnsi="Times New Roman" w:eastAsia="宋体"/>
        <w:b/>
        <w:i w:val="0"/>
        <w:sz w:val="21"/>
      </w:rPr>
    </w:lvl>
    <w:lvl w:ilvl="6" w:tentative="0">
      <w:start w:val="1"/>
      <w:numFmt w:val="decimal"/>
      <w:isLgl/>
      <w:suff w:val="nothing"/>
      <w:lvlText w:val="%1.%2.%3.%4.%5.%6.%7、"/>
      <w:lvlJc w:val="left"/>
      <w:pPr>
        <w:ind w:left="0" w:firstLine="0"/>
      </w:pPr>
      <w:rPr>
        <w:rFonts w:hint="eastAsia" w:ascii="Times New Roman" w:hAnsi="Times New Roman" w:eastAsia="宋体"/>
        <w:b/>
        <w:i w:val="0"/>
        <w:sz w:val="21"/>
      </w:rPr>
    </w:lvl>
    <w:lvl w:ilvl="7" w:tentative="0">
      <w:start w:val="1"/>
      <w:numFmt w:val="decimal"/>
      <w:isLgl/>
      <w:suff w:val="nothing"/>
      <w:lvlText w:val="%1.%2.%3.%4.%5.%6.%7.%8、"/>
      <w:lvlJc w:val="left"/>
      <w:pPr>
        <w:ind w:left="0" w:firstLine="0"/>
      </w:pPr>
      <w:rPr>
        <w:rFonts w:hint="eastAsia" w:ascii="Times New Roman" w:hAnsi="Times New Roman" w:eastAsia="宋体"/>
        <w:b/>
        <w:i w:val="0"/>
        <w:sz w:val="21"/>
      </w:rPr>
    </w:lvl>
    <w:lvl w:ilvl="8" w:tentative="0">
      <w:start w:val="1"/>
      <w:numFmt w:val="decimal"/>
      <w:isLgl/>
      <w:suff w:val="nothing"/>
      <w:lvlText w:val="%1.%2.%3.%4.%5.%6.%7.%8.%9、"/>
      <w:lvlJc w:val="left"/>
      <w:pPr>
        <w:ind w:left="0" w:firstLine="0"/>
      </w:pPr>
      <w:rPr>
        <w:rFonts w:hint="eastAsia" w:ascii="Times New Roman" w:hAnsi="Times New Roman" w:eastAsia="宋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7622"/>
    <w:rsid w:val="12CB79DD"/>
    <w:rsid w:val="1DD63602"/>
    <w:rsid w:val="26A61FB0"/>
    <w:rsid w:val="26B03FF2"/>
    <w:rsid w:val="2E98722B"/>
    <w:rsid w:val="305E56A9"/>
    <w:rsid w:val="32392915"/>
    <w:rsid w:val="3B332D85"/>
    <w:rsid w:val="3B61278D"/>
    <w:rsid w:val="483D1D78"/>
    <w:rsid w:val="4C46772F"/>
    <w:rsid w:val="4C4E30AC"/>
    <w:rsid w:val="4D9E092E"/>
    <w:rsid w:val="54784522"/>
    <w:rsid w:val="54A84FC1"/>
    <w:rsid w:val="57F723D1"/>
    <w:rsid w:val="5AFC4128"/>
    <w:rsid w:val="5C641313"/>
    <w:rsid w:val="63EE6919"/>
    <w:rsid w:val="64F2393F"/>
    <w:rsid w:val="6A82002E"/>
    <w:rsid w:val="6B4C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keepNext/>
      <w:spacing w:line="360" w:lineRule="auto"/>
      <w:jc w:val="center"/>
      <w:outlineLvl w:val="0"/>
    </w:pPr>
    <w:rPr>
      <w:rFonts w:ascii="Times New Roman" w:hAnsi="Times New Roman" w:eastAsia="宋体"/>
      <w:b/>
      <w:sz w:val="36"/>
    </w:rPr>
  </w:style>
  <w:style w:type="paragraph" w:styleId="4">
    <w:name w:val="heading 2"/>
    <w:basedOn w:val="1"/>
    <w:next w:val="1"/>
    <w:link w:val="10"/>
    <w:semiHidden/>
    <w:unhideWhenUsed/>
    <w:qFormat/>
    <w:uiPriority w:val="0"/>
    <w:pPr>
      <w:keepNext/>
      <w:keepLines/>
      <w:spacing w:line="360" w:lineRule="auto"/>
      <w:jc w:val="center"/>
      <w:outlineLvl w:val="1"/>
    </w:pPr>
    <w:rPr>
      <w:rFonts w:ascii="Arial" w:hAnsi="Arial" w:eastAsia="宋体" w:cs="Times New Roman"/>
      <w:b/>
      <w:sz w:val="32"/>
    </w:rPr>
  </w:style>
  <w:style w:type="paragraph" w:styleId="5">
    <w:name w:val="heading 3"/>
    <w:basedOn w:val="1"/>
    <w:next w:val="1"/>
    <w:link w:val="9"/>
    <w:semiHidden/>
    <w:unhideWhenUsed/>
    <w:qFormat/>
    <w:uiPriority w:val="0"/>
    <w:pPr>
      <w:keepNext/>
      <w:keepLines/>
      <w:numPr>
        <w:ilvl w:val="2"/>
        <w:numId w:val="1"/>
      </w:numPr>
      <w:spacing w:before="120" w:after="120" w:line="360" w:lineRule="auto"/>
      <w:jc w:val="center"/>
      <w:outlineLvl w:val="2"/>
    </w:pPr>
    <w:rPr>
      <w:rFonts w:ascii="Times New Roman" w:hAnsi="Times New Roman" w:eastAsia="宋体"/>
      <w:b/>
      <w:bCs/>
      <w:sz w:val="28"/>
      <w:szCs w:val="32"/>
    </w:rPr>
  </w:style>
  <w:style w:type="paragraph" w:styleId="6">
    <w:name w:val="heading 4"/>
    <w:basedOn w:val="1"/>
    <w:next w:val="1"/>
    <w:semiHidden/>
    <w:unhideWhenUsed/>
    <w:qFormat/>
    <w:uiPriority w:val="0"/>
    <w:pPr>
      <w:spacing w:before="0" w:beforeAutospacing="1" w:after="0" w:afterAutospacing="1"/>
      <w:jc w:val="left"/>
      <w:outlineLvl w:val="3"/>
    </w:pPr>
    <w:rPr>
      <w:rFonts w:hint="eastAsia" w:ascii="宋体" w:hAnsi="宋体" w:eastAsia="宋体" w:cs="宋体"/>
      <w:b/>
      <w:bCs/>
      <w:kern w:val="0"/>
      <w:sz w:val="30"/>
      <w:szCs w:val="24"/>
      <w:lang w:bidi="ar"/>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Times New Roman"/>
    </w:rPr>
  </w:style>
  <w:style w:type="character" w:customStyle="1" w:styleId="9">
    <w:name w:val="标题 3 Char"/>
    <w:link w:val="5"/>
    <w:qFormat/>
    <w:uiPriority w:val="0"/>
    <w:rPr>
      <w:rFonts w:ascii="Times New Roman" w:hAnsi="Times New Roman" w:eastAsia="宋体" w:cs="Times New Roman"/>
      <w:b/>
      <w:sz w:val="24"/>
    </w:rPr>
  </w:style>
  <w:style w:type="character" w:customStyle="1" w:styleId="10">
    <w:name w:val="标题 2 字符"/>
    <w:basedOn w:val="8"/>
    <w:link w:val="4"/>
    <w:autoRedefine/>
    <w:qFormat/>
    <w:uiPriority w:val="0"/>
    <w:rPr>
      <w:rFonts w:ascii="Arial" w:hAnsi="Arial" w:eastAsia="宋体" w:cs="Times New Roman"/>
      <w:b/>
      <w:sz w:val="32"/>
    </w:rPr>
  </w:style>
  <w:style w:type="character" w:customStyle="1" w:styleId="11">
    <w:name w:val="标题 1 Char"/>
    <w:link w:val="3"/>
    <w:qFormat/>
    <w:uiPriority w:val="0"/>
    <w:rPr>
      <w:rFonts w:ascii="Times New Roman" w:hAnsi="Times New Roman" w:eastAsia="宋体" w:cs="Times New Roman"/>
      <w:b/>
      <w:kern w:val="2"/>
      <w:sz w:val="32"/>
    </w:rPr>
  </w:style>
  <w:style w:type="table" w:customStyle="1" w:styleId="12">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3">
    <w:name w:val="样式 标题 1 + 宋体"/>
    <w:basedOn w:val="3"/>
    <w:qFormat/>
    <w:uiPriority w:val="0"/>
    <w:rPr>
      <w:rFonts w:ascii="宋体" w:hAnsi="宋体"/>
      <w:bCs/>
      <w:sz w:val="32"/>
    </w:rPr>
  </w:style>
  <w:style w:type="paragraph" w:customStyle="1" w:styleId="14">
    <w:name w:val="Table Text"/>
    <w:basedOn w:val="1"/>
    <w:semiHidden/>
    <w:qFormat/>
    <w:uiPriority w:val="0"/>
    <w:rPr>
      <w:rFonts w:ascii="仿宋" w:hAnsi="仿宋" w:eastAsia="仿宋" w:cs="仿宋"/>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2553</Words>
  <Characters>2723</Characters>
  <Lines>0</Lines>
  <Paragraphs>0</Paragraphs>
  <TotalTime>1</TotalTime>
  <ScaleCrop>false</ScaleCrop>
  <LinksUpToDate>false</LinksUpToDate>
  <CharactersWithSpaces>2736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2024-05-23T10:25:00Z</dcterms:created>
  <dc:creator>Administrator</dc:creator>
  <cp:lastModifiedBy>雨</cp:lastModifiedBy>
  <dcterms:modified xsi:type="dcterms:W3CDTF">2025-04-16T09:59:04Z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AA26AE102E8646E2BEAA89B73F0BC0A1_12</vt:lpwstr>
  </property>
  <property fmtid="{D5CDD505-2E9C-101B-9397-08002B2CF9AE}" pid="4" name="KSOTemplateDocerSaveRecord">
    <vt:lpwstr>eyJoZGlkIjoiNTdiNTgyMDM1NjNiNjU1Mzg0MGJjMzU5YWY5ZGRhNWQiLCJ1c2VySWQiOiIxMzg1NjY0MTcxIn0=</vt:lpwstr>
  </property>
</Properties>
</file>