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FBB9">
      <w:pPr>
        <w:pStyle w:val="13"/>
        <w:ind w:firstLine="560"/>
        <w:jc w:val="center"/>
        <w:rPr>
          <w:rFonts w:hint="eastAsia" w:ascii="仿宋_GB2312" w:hAnsi="仿宋_GB2312" w:eastAsia="仿宋_GB2312" w:cs="仿宋_GB2312"/>
          <w:b/>
          <w:bCs/>
          <w:color w:val="000000"/>
          <w:sz w:val="40"/>
          <w:szCs w:val="24"/>
          <w:lang w:val="en-US" w:eastAsia="zh-CN"/>
        </w:rPr>
      </w:pPr>
      <w:r>
        <w:rPr>
          <w:rFonts w:hint="eastAsia" w:ascii="仿宋_GB2312" w:hAnsi="仿宋_GB2312" w:eastAsia="仿宋_GB2312" w:cs="仿宋_GB2312"/>
          <w:b/>
          <w:bCs/>
          <w:color w:val="000000"/>
          <w:sz w:val="40"/>
          <w:szCs w:val="24"/>
          <w:lang w:val="en-US" w:eastAsia="zh-CN"/>
        </w:rPr>
        <w:t>采购需求</w:t>
      </w:r>
    </w:p>
    <w:p w14:paraId="52EB1192">
      <w:pPr>
        <w:pStyle w:val="13"/>
        <w:ind w:firstLine="560"/>
      </w:pPr>
      <w:r>
        <w:rPr>
          <w:rFonts w:ascii="仿宋_GB2312" w:hAnsi="仿宋_GB2312" w:eastAsia="仿宋_GB2312" w:cs="仿宋_GB2312"/>
          <w:color w:val="000000"/>
          <w:sz w:val="28"/>
        </w:rPr>
        <w:t>1.项目概况：对秦始皇帝陵博物院双回路供电工程实施阶段全过程造价控制与结算审计服务，按时出具结算审核报告。</w:t>
      </w:r>
    </w:p>
    <w:p w14:paraId="6C9FF800">
      <w:pPr>
        <w:pStyle w:val="13"/>
        <w:ind w:firstLine="560"/>
      </w:pPr>
      <w:r>
        <w:rPr>
          <w:rFonts w:ascii="仿宋_GB2312" w:hAnsi="仿宋_GB2312" w:eastAsia="仿宋_GB2312" w:cs="仿宋_GB2312"/>
          <w:color w:val="000000"/>
          <w:sz w:val="28"/>
        </w:rPr>
        <w:t>2.服务内容</w:t>
      </w:r>
    </w:p>
    <w:p w14:paraId="0224645A">
      <w:pPr>
        <w:pStyle w:val="13"/>
        <w:ind w:firstLine="560"/>
      </w:pPr>
      <w:r>
        <w:rPr>
          <w:rFonts w:ascii="仿宋_GB2312" w:hAnsi="仿宋_GB2312" w:eastAsia="仿宋_GB2312" w:cs="仿宋_GB2312"/>
          <w:color w:val="000000"/>
          <w:sz w:val="28"/>
        </w:rPr>
        <w:t>全过程造价控制工作内容包括但不限于：全过程造价控制审计工作从工程开工直至工程竣工验收结束，主要内容对招标阶段、项目实施阶段、结算审计阶段进行廉政风险分析，并提出廉政风险及廉政风险防范措施、对项目实施过程中暂列、暂估价、变更部分等的资料审核；对施工图纸实际情况的监督、工程计量等,制定详细的审计方案；</w:t>
      </w:r>
    </w:p>
    <w:p w14:paraId="6CC73ECC">
      <w:pPr>
        <w:pStyle w:val="13"/>
        <w:ind w:firstLine="560"/>
      </w:pPr>
      <w:r>
        <w:rPr>
          <w:rFonts w:ascii="仿宋_GB2312" w:hAnsi="仿宋_GB2312" w:eastAsia="仿宋_GB2312" w:cs="仿宋_GB2312"/>
          <w:color w:val="000000"/>
          <w:sz w:val="28"/>
        </w:rPr>
        <w:t>结算审计工作内容包括但不限于：从工程竣工验收结束后上报完整的审计资料直至工程结算审计结束，主要内容包含结算审核方法、结算审核内容、结算审核工作步骤等。</w:t>
      </w:r>
    </w:p>
    <w:p w14:paraId="383261DC">
      <w:pPr>
        <w:pStyle w:val="13"/>
        <w:ind w:firstLine="560"/>
      </w:pPr>
      <w:r>
        <w:rPr>
          <w:rFonts w:ascii="仿宋_GB2312" w:hAnsi="仿宋_GB2312" w:eastAsia="仿宋_GB2312" w:cs="仿宋_GB2312"/>
          <w:color w:val="000000"/>
          <w:sz w:val="28"/>
        </w:rPr>
        <w:t>3.服务期限及实施地点要求</w:t>
      </w:r>
    </w:p>
    <w:p w14:paraId="74E59E3A">
      <w:pPr>
        <w:pStyle w:val="13"/>
        <w:ind w:firstLine="560"/>
      </w:pPr>
      <w:r>
        <w:rPr>
          <w:rFonts w:ascii="仿宋_GB2312" w:hAnsi="仿宋_GB2312" w:eastAsia="仿宋_GB2312" w:cs="仿宋_GB2312"/>
          <w:color w:val="000000"/>
          <w:sz w:val="28"/>
        </w:rPr>
        <w:t>从被审计工程开工直至工程竣工验收结束为止的施工阶段全过程造价控制及工程结算审计工作；实施地点为秦始皇帝陵博物院。</w:t>
      </w:r>
    </w:p>
    <w:p w14:paraId="5B854FA4">
      <w:pPr>
        <w:pStyle w:val="13"/>
        <w:ind w:firstLine="560"/>
      </w:pPr>
      <w:r>
        <w:rPr>
          <w:rFonts w:ascii="仿宋_GB2312" w:hAnsi="仿宋_GB2312" w:eastAsia="仿宋_GB2312" w:cs="仿宋_GB2312"/>
          <w:color w:val="000000"/>
          <w:sz w:val="28"/>
        </w:rPr>
        <w:t>4.质量要求</w:t>
      </w:r>
    </w:p>
    <w:p w14:paraId="0F1F851B">
      <w:pPr>
        <w:pStyle w:val="13"/>
        <w:ind w:firstLine="560"/>
      </w:pPr>
      <w:r>
        <w:rPr>
          <w:rFonts w:ascii="仿宋_GB2312" w:hAnsi="仿宋_GB2312" w:eastAsia="仿宋_GB2312" w:cs="仿宋_GB2312"/>
          <w:color w:val="000000"/>
          <w:sz w:val="28"/>
        </w:rPr>
        <w:t>严格按照《中华人民共和国审计法》，《中华人民共和国建筑法》及财政部、建设部《建设工程价款结算暂行办法》（财建〔2004〕369号）；《建设工程造价咨询规范》，《建设项目工程结算编审规程》等相关法律法规及行业标准开展工程审计工作并出具真实、客观、公正的造价审核报告。</w:t>
      </w:r>
    </w:p>
    <w:p w14:paraId="603D1BBF">
      <w:pPr>
        <w:pStyle w:val="13"/>
        <w:ind w:firstLine="560"/>
      </w:pPr>
      <w:r>
        <w:rPr>
          <w:rFonts w:ascii="仿宋_GB2312" w:hAnsi="仿宋_GB2312" w:eastAsia="仿宋_GB2312" w:cs="仿宋_GB2312"/>
          <w:color w:val="000000"/>
          <w:sz w:val="21"/>
        </w:rPr>
        <w:t xml:space="preserve"> </w:t>
      </w:r>
      <w:r>
        <w:rPr>
          <w:rFonts w:ascii="仿宋_GB2312" w:hAnsi="仿宋_GB2312" w:eastAsia="仿宋_GB2312" w:cs="仿宋_GB2312"/>
          <w:color w:val="000000"/>
          <w:sz w:val="28"/>
        </w:rPr>
        <w:t>5.人员条件（配置人员必须为本单位在职员工且在本单位注册）</w:t>
      </w:r>
    </w:p>
    <w:p w14:paraId="05AEB42B">
      <w:pPr>
        <w:pStyle w:val="13"/>
        <w:ind w:firstLine="560"/>
      </w:pPr>
      <w:r>
        <w:rPr>
          <w:rFonts w:ascii="仿宋_GB2312" w:hAnsi="仿宋_GB2312" w:eastAsia="仿宋_GB2312" w:cs="仿宋_GB2312"/>
          <w:color w:val="000000"/>
          <w:sz w:val="28"/>
        </w:rPr>
        <w:t>（1）项目负责人（1人）：具备一级造价工程师证书且具有不少于5年的工作经验；</w:t>
      </w:r>
    </w:p>
    <w:p w14:paraId="058C5BF8">
      <w:pPr>
        <w:pStyle w:val="13"/>
        <w:ind w:firstLine="560"/>
      </w:pPr>
      <w:r>
        <w:rPr>
          <w:rFonts w:ascii="仿宋_GB2312" w:hAnsi="仿宋_GB2312" w:eastAsia="仿宋_GB2312" w:cs="仿宋_GB2312"/>
          <w:color w:val="000000"/>
          <w:sz w:val="28"/>
        </w:rPr>
        <w:t>（2）</w:t>
      </w:r>
      <w:bookmarkStart w:id="0" w:name="_GoBack"/>
      <w:bookmarkEnd w:id="0"/>
      <w:r>
        <w:rPr>
          <w:rFonts w:ascii="仿宋_GB2312" w:hAnsi="仿宋_GB2312" w:eastAsia="仿宋_GB2312" w:cs="仿宋_GB2312"/>
          <w:color w:val="000000"/>
          <w:sz w:val="28"/>
        </w:rPr>
        <w:t>全过程造价控制（除项目负责人外至少3人，且必须驻场）：其中一级造价工程师不少于1名，且均具有不少于3年的工作经验。</w:t>
      </w:r>
    </w:p>
    <w:p w14:paraId="6471ACC0">
      <w:pPr>
        <w:pStyle w:val="13"/>
        <w:ind w:firstLine="560"/>
      </w:pPr>
      <w:r>
        <w:rPr>
          <w:rFonts w:ascii="仿宋_GB2312" w:hAnsi="仿宋_GB2312" w:eastAsia="仿宋_GB2312" w:cs="仿宋_GB2312"/>
          <w:color w:val="000000"/>
          <w:sz w:val="28"/>
        </w:rPr>
        <w:t>（3）结算审计【除项目负责人外至少5人，可以与第（2）项重复】：其中一级造价工程师不少于1名，且均不少于3年工作经验。</w:t>
      </w:r>
    </w:p>
    <w:p w14:paraId="57D4FD05">
      <w:pPr>
        <w:pStyle w:val="13"/>
        <w:ind w:firstLine="560"/>
      </w:pPr>
      <w:r>
        <w:rPr>
          <w:rFonts w:ascii="仿宋_GB2312" w:hAnsi="仿宋_GB2312" w:eastAsia="仿宋_GB2312" w:cs="仿宋_GB2312"/>
          <w:color w:val="000000"/>
          <w:sz w:val="28"/>
        </w:rPr>
        <w:t>6.其他条件</w:t>
      </w:r>
    </w:p>
    <w:p w14:paraId="1C438D4D">
      <w:pPr>
        <w:pStyle w:val="13"/>
        <w:ind w:firstLine="560"/>
      </w:pPr>
      <w:r>
        <w:rPr>
          <w:rFonts w:ascii="仿宋_GB2312" w:hAnsi="仿宋_GB2312" w:eastAsia="仿宋_GB2312" w:cs="仿宋_GB2312"/>
          <w:color w:val="000000"/>
          <w:sz w:val="28"/>
        </w:rPr>
        <w:t>为保证工程全过程造价控制和结算审计的独立性，本项目不接受在秦始皇帝陵博物院提供工程项目咨询、工程设计概算编制（审核）、工程量清单及计价编制、施工图预算编制服务的供应商参加投标。</w:t>
      </w:r>
      <w:r>
        <w:rPr>
          <w:rFonts w:ascii="仿宋_GB2312" w:hAnsi="仿宋_GB2312" w:eastAsia="仿宋_GB2312" w:cs="仿宋_GB2312"/>
          <w:color w:val="000000"/>
          <w:sz w:val="21"/>
        </w:rPr>
        <w:t xml:space="preserve">    </w:t>
      </w:r>
    </w:p>
    <w:p w14:paraId="480F0F70">
      <w:pPr>
        <w:pStyle w:val="13"/>
        <w:ind w:firstLine="560"/>
      </w:pPr>
      <w:r>
        <w:rPr>
          <w:rFonts w:ascii="仿宋_GB2312" w:hAnsi="仿宋_GB2312" w:eastAsia="仿宋_GB2312" w:cs="仿宋_GB2312"/>
          <w:color w:val="000000"/>
          <w:sz w:val="28"/>
        </w:rPr>
        <w:t>7.其他要求</w:t>
      </w:r>
    </w:p>
    <w:p w14:paraId="564C1AD8">
      <w:pPr>
        <w:pStyle w:val="13"/>
        <w:ind w:firstLine="560"/>
      </w:pPr>
      <w:r>
        <w:rPr>
          <w:rFonts w:ascii="仿宋_GB2312" w:hAnsi="仿宋_GB2312" w:eastAsia="仿宋_GB2312" w:cs="仿宋_GB2312"/>
          <w:color w:val="000000"/>
          <w:sz w:val="28"/>
        </w:rPr>
        <w:t>（1）项目负责人合同执行期间每周现场工作时间不少于五个工作日，现场工作人员必须驻场，驻场人数不少于3人；现场工作人员在夜间施工和抢修项目中必须随叫随到；项目负责人未经采购人书面允许擅离岗位，驻场人员未按照要求的人数和时间落实，一经发现立即终止合同，并承担违约责任。</w:t>
      </w:r>
    </w:p>
    <w:p w14:paraId="0A7F874A">
      <w:pPr>
        <w:pStyle w:val="13"/>
        <w:ind w:firstLine="560"/>
      </w:pPr>
      <w:r>
        <w:rPr>
          <w:rFonts w:ascii="仿宋_GB2312" w:hAnsi="仿宋_GB2312" w:eastAsia="仿宋_GB2312" w:cs="仿宋_GB2312"/>
          <w:color w:val="000000"/>
          <w:sz w:val="28"/>
        </w:rPr>
        <w:t>（2）成交供应商在入场前应成立审计项目组（不少于6人），根据被审计项目情况编制全过程造价控制工作方案；按照采购人要求做好审计工作日志记录，现场影像、测量、监督资料的留存等工作；每周按时提交审计工作周报，列席项目会议等。</w:t>
      </w:r>
    </w:p>
    <w:p w14:paraId="71C6DB38">
      <w:pPr>
        <w:pStyle w:val="13"/>
        <w:ind w:firstLine="560"/>
      </w:pPr>
      <w:r>
        <w:rPr>
          <w:rFonts w:ascii="仿宋_GB2312" w:hAnsi="仿宋_GB2312" w:eastAsia="仿宋_GB2312" w:cs="仿宋_GB2312"/>
          <w:color w:val="000000"/>
          <w:sz w:val="28"/>
        </w:rPr>
        <w:t>（3）成交供应商人员应恪守审计人员职业道德，在执业过程中保证对所获悉的属于采购人及采购人关联方的且无法自公开渠道取得的文件及资料（包括但不限于商业秘密、公司计划、运营活动、财务信息、技术信息、经营信息及其他商业秘密）予以保密。未经采购人同意，成交供应商不得超出本合同约定的目的和范围使用该商业秘密，不得向任何第三方泄露该商业秘密的全部或部分内容。</w:t>
      </w:r>
    </w:p>
    <w:p w14:paraId="025E8DC0">
      <w:pPr>
        <w:ind w:firstLine="560" w:firstLineChars="200"/>
      </w:pPr>
      <w:r>
        <w:rPr>
          <w:rFonts w:ascii="仿宋_GB2312" w:hAnsi="仿宋_GB2312" w:eastAsia="仿宋_GB2312" w:cs="仿宋_GB2312"/>
          <w:color w:val="000000"/>
          <w:sz w:val="28"/>
        </w:rPr>
        <w:t>（4）被审计项目各方移交的结算资料完备后，在对审核结果无异议的情况下，10个工作日内出具审计报告。</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A6D64"/>
    <w:rsid w:val="00C34048"/>
    <w:rsid w:val="050471D5"/>
    <w:rsid w:val="053C7039"/>
    <w:rsid w:val="05711A44"/>
    <w:rsid w:val="07055153"/>
    <w:rsid w:val="07F933E3"/>
    <w:rsid w:val="09CF2980"/>
    <w:rsid w:val="09D0533B"/>
    <w:rsid w:val="0B6F77E5"/>
    <w:rsid w:val="0BE77DA2"/>
    <w:rsid w:val="117A2513"/>
    <w:rsid w:val="13FE0526"/>
    <w:rsid w:val="181C3FA3"/>
    <w:rsid w:val="18EF18DD"/>
    <w:rsid w:val="19235D7C"/>
    <w:rsid w:val="1F5A6197"/>
    <w:rsid w:val="23C949D6"/>
    <w:rsid w:val="26396924"/>
    <w:rsid w:val="26E13E53"/>
    <w:rsid w:val="27D868FE"/>
    <w:rsid w:val="283D6944"/>
    <w:rsid w:val="297558AC"/>
    <w:rsid w:val="2D901664"/>
    <w:rsid w:val="333A6108"/>
    <w:rsid w:val="34391CBC"/>
    <w:rsid w:val="34880D18"/>
    <w:rsid w:val="34E06B1D"/>
    <w:rsid w:val="34FD51B3"/>
    <w:rsid w:val="37B13F46"/>
    <w:rsid w:val="385935CD"/>
    <w:rsid w:val="3A6F7E2D"/>
    <w:rsid w:val="3ABB227F"/>
    <w:rsid w:val="3C31041F"/>
    <w:rsid w:val="3D1928D1"/>
    <w:rsid w:val="3F41226C"/>
    <w:rsid w:val="41271A71"/>
    <w:rsid w:val="427D3EB0"/>
    <w:rsid w:val="4A3C512E"/>
    <w:rsid w:val="4BE156B5"/>
    <w:rsid w:val="4EE80B08"/>
    <w:rsid w:val="50742555"/>
    <w:rsid w:val="530774AF"/>
    <w:rsid w:val="55A52421"/>
    <w:rsid w:val="579A3366"/>
    <w:rsid w:val="59502521"/>
    <w:rsid w:val="5B0842C5"/>
    <w:rsid w:val="5C036210"/>
    <w:rsid w:val="5CD53D97"/>
    <w:rsid w:val="5EAE573F"/>
    <w:rsid w:val="5F171848"/>
    <w:rsid w:val="615B30D9"/>
    <w:rsid w:val="615C33BC"/>
    <w:rsid w:val="636D3049"/>
    <w:rsid w:val="693A7F09"/>
    <w:rsid w:val="6A894E1B"/>
    <w:rsid w:val="6ACA6D64"/>
    <w:rsid w:val="6AF272E7"/>
    <w:rsid w:val="6B861DFC"/>
    <w:rsid w:val="6C136138"/>
    <w:rsid w:val="6C414997"/>
    <w:rsid w:val="6C5C1EDC"/>
    <w:rsid w:val="6E5824A9"/>
    <w:rsid w:val="70DA5D7D"/>
    <w:rsid w:val="72E3010A"/>
    <w:rsid w:val="738B22F5"/>
    <w:rsid w:val="75153B55"/>
    <w:rsid w:val="7540409A"/>
    <w:rsid w:val="75FC26D7"/>
    <w:rsid w:val="78A417BB"/>
    <w:rsid w:val="7B7D3A13"/>
    <w:rsid w:val="7CCE6984"/>
    <w:rsid w:val="7D393C95"/>
    <w:rsid w:val="7D6D78F8"/>
    <w:rsid w:val="7DF2584A"/>
    <w:rsid w:val="7E7D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6" w:lineRule="exact"/>
      <w:jc w:val="both"/>
    </w:pPr>
    <w:rPr>
      <w:rFonts w:ascii="Times New Roman" w:hAnsi="Times New Roman" w:eastAsia="仿宋_GB2312" w:cstheme="minorBidi"/>
      <w:kern w:val="2"/>
      <w:sz w:val="32"/>
      <w:lang w:val="en-US" w:eastAsia="zh-CN" w:bidi="ar-SA"/>
    </w:rPr>
  </w:style>
  <w:style w:type="paragraph" w:styleId="3">
    <w:name w:val="heading 1"/>
    <w:basedOn w:val="1"/>
    <w:next w:val="1"/>
    <w:link w:val="11"/>
    <w:autoRedefine/>
    <w:qFormat/>
    <w:uiPriority w:val="0"/>
    <w:pPr>
      <w:keepNext/>
      <w:adjustRightInd w:val="0"/>
      <w:snapToGrid w:val="0"/>
      <w:spacing w:line="700" w:lineRule="exact"/>
      <w:jc w:val="center"/>
      <w:outlineLvl w:val="0"/>
    </w:pPr>
    <w:rPr>
      <w:rFonts w:ascii="黑体" w:hAnsi="黑体" w:cs="Times New Roman"/>
      <w:b/>
      <w:sz w:val="36"/>
      <w:szCs w:val="24"/>
    </w:rPr>
  </w:style>
  <w:style w:type="paragraph" w:styleId="4">
    <w:name w:val="heading 2"/>
    <w:basedOn w:val="1"/>
    <w:next w:val="1"/>
    <w:link w:val="10"/>
    <w:semiHidden/>
    <w:unhideWhenUsed/>
    <w:qFormat/>
    <w:uiPriority w:val="0"/>
    <w:pPr>
      <w:keepNext/>
      <w:adjustRightInd w:val="0"/>
      <w:snapToGrid w:val="0"/>
      <w:spacing w:line="360" w:lineRule="auto"/>
      <w:outlineLvl w:val="1"/>
    </w:pPr>
    <w:rPr>
      <w:rFonts w:ascii="黑体" w:hAnsi="黑体" w:cs="Times New Roman"/>
      <w:b/>
      <w:sz w:val="32"/>
      <w:szCs w:val="24"/>
    </w:rPr>
  </w:style>
  <w:style w:type="paragraph" w:styleId="5">
    <w:name w:val="heading 3"/>
    <w:basedOn w:val="1"/>
    <w:next w:val="1"/>
    <w:link w:val="12"/>
    <w:semiHidden/>
    <w:unhideWhenUsed/>
    <w:qFormat/>
    <w:uiPriority w:val="0"/>
    <w:pPr>
      <w:keepNext/>
      <w:keepLines/>
      <w:adjustRightInd w:val="0"/>
      <w:snapToGrid w:val="0"/>
      <w:spacing w:beforeLines="0" w:beforeAutospacing="0" w:afterLines="0" w:afterAutospacing="0" w:line="360" w:lineRule="auto"/>
      <w:outlineLvl w:val="2"/>
    </w:pPr>
    <w:rPr>
      <w:rFonts w:ascii="Calibri" w:hAnsi="Calibri" w:cs="Times New Roman"/>
      <w:b/>
      <w:sz w:val="30"/>
      <w:szCs w:val="24"/>
    </w:rPr>
  </w:style>
  <w:style w:type="paragraph" w:styleId="6">
    <w:name w:val="heading 4"/>
    <w:basedOn w:val="1"/>
    <w:next w:val="1"/>
    <w:semiHidden/>
    <w:unhideWhenUsed/>
    <w:qFormat/>
    <w:uiPriority w:val="0"/>
    <w:pPr>
      <w:keepNext/>
      <w:keepLines/>
      <w:adjustRightInd w:val="0"/>
      <w:snapToGrid w:val="0"/>
      <w:spacing w:beforeLines="0" w:beforeAutospacing="0" w:afterLines="0" w:afterAutospacing="0" w:line="300" w:lineRule="auto"/>
      <w:outlineLvl w:val="3"/>
    </w:pPr>
    <w:rPr>
      <w:rFonts w:ascii="Arial" w:hAnsi="Arial" w:cs="Times New Roman"/>
      <w:b/>
      <w:sz w:val="30"/>
      <w:szCs w:val="2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7">
    <w:name w:val="Normal Indent"/>
    <w:basedOn w:val="1"/>
    <w:autoRedefine/>
    <w:qFormat/>
    <w:uiPriority w:val="0"/>
    <w:pPr>
      <w:ind w:firstLine="420" w:firstLineChars="200"/>
    </w:pPr>
  </w:style>
  <w:style w:type="character" w:customStyle="1" w:styleId="10">
    <w:name w:val="标题 2 Char"/>
    <w:link w:val="4"/>
    <w:autoRedefine/>
    <w:qFormat/>
    <w:uiPriority w:val="0"/>
    <w:rPr>
      <w:rFonts w:ascii="Arial" w:hAnsi="Arial" w:eastAsia="仿宋_GB2312" w:cs="Times New Roman"/>
      <w:b/>
      <w:snapToGrid w:val="0"/>
      <w:color w:val="000000"/>
      <w:kern w:val="0"/>
      <w:sz w:val="36"/>
      <w:szCs w:val="24"/>
      <w:lang w:eastAsia="en-US"/>
    </w:rPr>
  </w:style>
  <w:style w:type="character" w:customStyle="1" w:styleId="11">
    <w:name w:val="标题 1 Char"/>
    <w:link w:val="3"/>
    <w:autoRedefine/>
    <w:qFormat/>
    <w:uiPriority w:val="0"/>
    <w:rPr>
      <w:rFonts w:ascii="宋体" w:hAnsi="宋体" w:eastAsia="仿宋_GB2312" w:cs="Times New Roman"/>
      <w:b/>
      <w:bCs/>
      <w:snapToGrid w:val="0"/>
      <w:color w:val="000000"/>
      <w:spacing w:val="-4"/>
      <w:kern w:val="44"/>
      <w:sz w:val="44"/>
      <w:szCs w:val="24"/>
      <w:lang w:val="en-US" w:eastAsia="en-US" w:bidi="ar-SA"/>
    </w:rPr>
  </w:style>
  <w:style w:type="character" w:customStyle="1" w:styleId="12">
    <w:name w:val="标题 3 Char"/>
    <w:link w:val="5"/>
    <w:qFormat/>
    <w:uiPriority w:val="0"/>
    <w:rPr>
      <w:rFonts w:ascii="Calibri" w:hAnsi="Calibri" w:eastAsia="仿宋_GB2312" w:cs="Times New Roman"/>
      <w:b/>
      <w:bCs/>
      <w:sz w:val="32"/>
      <w:szCs w:val="24"/>
    </w:rPr>
  </w:style>
  <w:style w:type="paragraph" w:customStyle="1" w:styleId="13">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2025-04-17T06:28:00Z</dcterms:created>
  <dc:creator>华采</dc:creator>
  <cp:lastModifiedBy>华采</cp:lastModifiedBy>
  <dcterms:modified xsi:type="dcterms:W3CDTF">2025-04-17T06:30:05Z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E07FC9525F824110B3A56B09C9E4C1C6_11</vt:lpwstr>
  </property>
  <property fmtid="{D5CDD505-2E9C-101B-9397-08002B2CF9AE}" pid="4" name="KSOTemplateDocerSaveRecord">
    <vt:lpwstr>eyJoZGlkIjoiZjJhNzdmOTM5YmVkNWYxMDI1ZDJkZDk5YzNhZTc2YzAiLCJ1c2VySWQiOiIyNzA3NjExMTQifQ==</vt:lpwstr>
  </property>
</Properties>
</file>