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4534E8">
      <w:pPr>
        <w:pStyle w:val="4"/>
        <w:spacing w:line="360" w:lineRule="auto"/>
        <w:ind w:left="0" w:leftChars="0" w:firstLine="0" w:firstLineChars="0"/>
        <w:jc w:val="center"/>
        <w:rPr>
          <w:rFonts w:hint="eastAsia" w:ascii="黑体" w:hAnsi="黑体" w:eastAsia="黑体" w:cs="黑体"/>
          <w:kern w:val="2"/>
          <w:sz w:val="48"/>
          <w:szCs w:val="48"/>
          <w:lang w:val="en-US" w:eastAsia="zh-CN" w:bidi="ar-SA"/>
        </w:rPr>
      </w:pPr>
    </w:p>
    <w:p w14:paraId="7CD1CD38">
      <w:pPr>
        <w:pStyle w:val="4"/>
        <w:spacing w:line="360" w:lineRule="auto"/>
        <w:ind w:left="0" w:leftChars="0" w:firstLine="0" w:firstLineChars="0"/>
        <w:jc w:val="both"/>
        <w:rPr>
          <w:rFonts w:hint="eastAsia" w:ascii="黑体" w:hAnsi="黑体" w:eastAsia="黑体" w:cs="黑体"/>
          <w:kern w:val="2"/>
          <w:sz w:val="48"/>
          <w:szCs w:val="48"/>
          <w:lang w:val="en-US" w:eastAsia="zh-CN" w:bidi="ar-SA"/>
        </w:rPr>
      </w:pPr>
    </w:p>
    <w:p w14:paraId="7A313AAC">
      <w:pPr>
        <w:jc w:val="center"/>
        <w:rPr>
          <w:rFonts w:hint="eastAsia" w:ascii="宋体" w:hAnsi="宋体"/>
          <w:b/>
          <w:bCs/>
          <w:color w:val="000000"/>
          <w:sz w:val="44"/>
          <w:szCs w:val="52"/>
        </w:rPr>
      </w:pPr>
      <w:r>
        <w:rPr>
          <w:rFonts w:hint="eastAsia" w:ascii="宋体" w:hAnsi="宋体"/>
          <w:b/>
          <w:bCs/>
          <w:color w:val="000000"/>
          <w:sz w:val="44"/>
          <w:szCs w:val="52"/>
        </w:rPr>
        <w:t>科技信息化应用系统升级设备采购项目</w:t>
      </w:r>
    </w:p>
    <w:p w14:paraId="0662FAFD">
      <w:pPr>
        <w:rPr>
          <w:rFonts w:hint="eastAsia"/>
          <w:color w:val="000000"/>
        </w:rPr>
      </w:pPr>
      <w:r>
        <w:rPr>
          <w:rFonts w:hint="eastAsia" w:ascii="宋体" w:hAnsi="宋体"/>
          <w:b/>
          <w:bCs/>
          <w:color w:val="000000"/>
          <w:sz w:val="44"/>
          <w:szCs w:val="44"/>
          <w:lang w:val="en-US" w:eastAsia="zh-CN"/>
        </w:rPr>
        <w:t xml:space="preserve"> </w:t>
      </w:r>
    </w:p>
    <w:p w14:paraId="43ECFDEC">
      <w:pPr>
        <w:pStyle w:val="2"/>
        <w:rPr>
          <w:rFonts w:hint="eastAsia"/>
          <w:color w:val="000000"/>
        </w:rPr>
      </w:pPr>
    </w:p>
    <w:p w14:paraId="744CA143">
      <w:pPr>
        <w:rPr>
          <w:rFonts w:hint="eastAsia"/>
          <w:sz w:val="72"/>
          <w:szCs w:val="72"/>
        </w:rPr>
      </w:pPr>
    </w:p>
    <w:p w14:paraId="40B6A9C5">
      <w:pPr>
        <w:spacing w:line="360" w:lineRule="auto"/>
        <w:jc w:val="center"/>
        <w:rPr>
          <w:rFonts w:hint="eastAsia" w:ascii="宋体" w:hAnsi="宋体"/>
          <w:b/>
          <w:bCs/>
          <w:color w:val="000000"/>
          <w:spacing w:val="12"/>
          <w:sz w:val="72"/>
          <w:szCs w:val="72"/>
        </w:rPr>
      </w:pPr>
      <w:r>
        <w:rPr>
          <w:rFonts w:hint="eastAsia" w:ascii="宋体" w:hAnsi="宋体"/>
          <w:b/>
          <w:bCs/>
          <w:color w:val="000000"/>
          <w:spacing w:val="12"/>
          <w:sz w:val="72"/>
          <w:szCs w:val="72"/>
        </w:rPr>
        <w:t>政府采购合同</w:t>
      </w:r>
    </w:p>
    <w:p w14:paraId="2494EA84">
      <w:pPr>
        <w:spacing w:line="360" w:lineRule="auto"/>
        <w:jc w:val="center"/>
        <w:rPr>
          <w:rFonts w:hint="eastAsia" w:ascii="宋体" w:hAnsi="宋体"/>
          <w:color w:val="000000"/>
          <w:spacing w:val="12"/>
          <w:sz w:val="44"/>
          <w:szCs w:val="44"/>
        </w:rPr>
      </w:pPr>
      <w:r>
        <w:rPr>
          <w:rFonts w:hint="eastAsia" w:ascii="宋体" w:hAnsi="宋体"/>
          <w:color w:val="000000"/>
          <w:spacing w:val="12"/>
          <w:sz w:val="32"/>
          <w:szCs w:val="32"/>
        </w:rPr>
        <w:t xml:space="preserve">                   </w:t>
      </w:r>
    </w:p>
    <w:p w14:paraId="5E6E40AE">
      <w:pPr>
        <w:spacing w:line="360" w:lineRule="auto"/>
        <w:ind w:firstLine="516" w:firstLineChars="150"/>
        <w:rPr>
          <w:rFonts w:ascii="宋体" w:hAnsi="宋体"/>
          <w:color w:val="000000"/>
          <w:spacing w:val="12"/>
          <w:sz w:val="32"/>
          <w:szCs w:val="32"/>
        </w:rPr>
      </w:pPr>
    </w:p>
    <w:p w14:paraId="1898ADC0">
      <w:pPr>
        <w:rPr>
          <w:rFonts w:hint="eastAsia" w:ascii="宋体" w:hAnsi="宋体"/>
          <w:color w:val="000000"/>
          <w:spacing w:val="12"/>
          <w:sz w:val="32"/>
          <w:szCs w:val="32"/>
        </w:rPr>
      </w:pPr>
    </w:p>
    <w:p w14:paraId="21D65BC2">
      <w:pPr>
        <w:rPr>
          <w:rFonts w:hint="eastAsia" w:ascii="宋体" w:hAnsi="宋体"/>
          <w:color w:val="000000"/>
          <w:spacing w:val="12"/>
          <w:sz w:val="32"/>
          <w:szCs w:val="32"/>
        </w:rPr>
      </w:pPr>
    </w:p>
    <w:p w14:paraId="48967A0E">
      <w:pPr>
        <w:rPr>
          <w:rFonts w:ascii="宋体" w:hAnsi="宋体"/>
          <w:color w:val="000000"/>
        </w:rPr>
      </w:pPr>
    </w:p>
    <w:p w14:paraId="08A4E728">
      <w:pPr>
        <w:pStyle w:val="4"/>
        <w:rPr>
          <w:rFonts w:hint="eastAsia"/>
          <w:color w:val="000000"/>
        </w:rPr>
      </w:pPr>
    </w:p>
    <w:p w14:paraId="4A229DEA">
      <w:pPr>
        <w:pStyle w:val="11"/>
        <w:rPr>
          <w:rFonts w:hint="eastAsia"/>
          <w:color w:val="000000"/>
        </w:rPr>
      </w:pPr>
    </w:p>
    <w:p w14:paraId="62CC2545">
      <w:pPr>
        <w:rPr>
          <w:rFonts w:hint="eastAsia"/>
          <w:color w:val="000000"/>
        </w:rPr>
      </w:pPr>
    </w:p>
    <w:p w14:paraId="3BBEAD4C">
      <w:pPr>
        <w:rPr>
          <w:rFonts w:hint="eastAsia"/>
        </w:rPr>
      </w:pPr>
    </w:p>
    <w:p w14:paraId="37E4AC4E">
      <w:pPr>
        <w:pStyle w:val="5"/>
        <w:rPr>
          <w:rFonts w:hint="eastAsia"/>
        </w:rPr>
      </w:pPr>
    </w:p>
    <w:p w14:paraId="7C0B5273">
      <w:pPr>
        <w:rPr>
          <w:rFonts w:hint="eastAsia"/>
        </w:rPr>
      </w:pPr>
    </w:p>
    <w:p w14:paraId="345DCE97">
      <w:pPr>
        <w:pStyle w:val="5"/>
        <w:rPr>
          <w:rFonts w:hint="eastAsia"/>
        </w:rPr>
      </w:pPr>
    </w:p>
    <w:p w14:paraId="7FDB0415">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hint="eastAsia" w:ascii="宋体" w:hAnsi="宋体" w:eastAsia="宋体" w:cs="Times New Roman"/>
          <w:b/>
          <w:bCs/>
          <w:color w:val="000000"/>
          <w:spacing w:val="12"/>
          <w:sz w:val="32"/>
          <w:szCs w:val="32"/>
          <w:lang w:val="en-US" w:eastAsia="zh-CN"/>
        </w:rPr>
      </w:pPr>
      <w:r>
        <w:rPr>
          <w:rFonts w:hint="eastAsia" w:ascii="宋体" w:hAnsi="宋体"/>
          <w:b/>
          <w:bCs/>
          <w:color w:val="000000"/>
          <w:spacing w:val="12"/>
          <w:sz w:val="32"/>
          <w:szCs w:val="32"/>
          <w:lang w:val="en-US" w:eastAsia="zh-CN"/>
        </w:rPr>
        <w:t>采购人</w:t>
      </w:r>
      <w:r>
        <w:rPr>
          <w:rFonts w:hint="eastAsia" w:ascii="宋体" w:hAnsi="宋体"/>
          <w:b/>
          <w:bCs/>
          <w:color w:val="000000"/>
          <w:spacing w:val="12"/>
          <w:sz w:val="32"/>
          <w:szCs w:val="32"/>
        </w:rPr>
        <w:t>：渭南市公安局交通警察支队临渭大队</w:t>
      </w:r>
    </w:p>
    <w:p w14:paraId="4657DE0F">
      <w:pPr>
        <w:keepNext w:val="0"/>
        <w:keepLines w:val="0"/>
        <w:pageBreakBefore w:val="0"/>
        <w:widowControl w:val="0"/>
        <w:kinsoku/>
        <w:wordWrap/>
        <w:overflowPunct/>
        <w:topLinePunct w:val="0"/>
        <w:autoSpaceDE/>
        <w:autoSpaceDN/>
        <w:bidi w:val="0"/>
        <w:adjustRightInd/>
        <w:snapToGrid/>
        <w:spacing w:line="720" w:lineRule="auto"/>
        <w:ind w:firstLine="1036" w:firstLineChars="300"/>
        <w:jc w:val="both"/>
        <w:textAlignment w:val="auto"/>
        <w:rPr>
          <w:rFonts w:hint="eastAsia" w:ascii="宋体" w:hAnsi="宋体"/>
          <w:b/>
          <w:bCs/>
          <w:color w:val="000000"/>
          <w:spacing w:val="12"/>
          <w:sz w:val="32"/>
          <w:szCs w:val="32"/>
          <w:lang w:val="en-US" w:eastAsia="zh-CN"/>
        </w:rPr>
      </w:pPr>
      <w:r>
        <w:rPr>
          <w:rFonts w:hint="eastAsia" w:ascii="宋体" w:hAnsi="宋体"/>
          <w:b/>
          <w:bCs/>
          <w:color w:val="000000"/>
          <w:spacing w:val="12"/>
          <w:sz w:val="32"/>
          <w:szCs w:val="32"/>
          <w:lang w:val="en-US" w:eastAsia="zh-CN"/>
        </w:rPr>
        <w:t>供应商</w:t>
      </w:r>
      <w:r>
        <w:rPr>
          <w:rFonts w:hint="eastAsia" w:ascii="宋体" w:hAnsi="宋体"/>
          <w:b/>
          <w:bCs/>
          <w:color w:val="000000"/>
          <w:spacing w:val="12"/>
          <w:sz w:val="32"/>
          <w:szCs w:val="32"/>
        </w:rPr>
        <w:t>：</w:t>
      </w:r>
    </w:p>
    <w:p w14:paraId="0381F1DD">
      <w:pPr>
        <w:spacing w:line="440" w:lineRule="exact"/>
        <w:rPr>
          <w:rFonts w:hint="eastAsia" w:ascii="宋体" w:hAnsi="宋体"/>
          <w:b/>
          <w:bCs/>
          <w:color w:val="000000"/>
          <w:spacing w:val="12"/>
          <w:sz w:val="32"/>
          <w:szCs w:val="32"/>
          <w:lang w:val="en-US" w:eastAsia="zh-CN"/>
        </w:rPr>
        <w:sectPr>
          <w:pgSz w:w="11906" w:h="16838"/>
          <w:pgMar w:top="1417" w:right="1417" w:bottom="1417" w:left="1417" w:header="851" w:footer="992" w:gutter="0"/>
          <w:pgNumType w:fmt="decimal" w:start="1"/>
          <w:cols w:space="720" w:num="1"/>
          <w:docGrid w:type="lines" w:linePitch="312" w:charSpace="0"/>
        </w:sectPr>
      </w:pPr>
    </w:p>
    <w:p w14:paraId="772E4B26">
      <w:pPr>
        <w:spacing w:line="440" w:lineRule="exac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签订地点：  </w:t>
      </w:r>
    </w:p>
    <w:p w14:paraId="2B8391B4">
      <w:pPr>
        <w:spacing w:line="440" w:lineRule="exact"/>
        <w:rPr>
          <w:rFonts w:ascii="宋体" w:hAnsi="宋体"/>
          <w:color w:val="auto"/>
          <w:sz w:val="24"/>
          <w:highlight w:val="none"/>
        </w:rPr>
      </w:pPr>
      <w:r>
        <w:rPr>
          <w:rFonts w:hint="eastAsia" w:ascii="宋体" w:hAnsi="宋体"/>
          <w:color w:val="auto"/>
          <w:sz w:val="24"/>
          <w:highlight w:val="none"/>
        </w:rPr>
        <w:t>签订时间：  年  月  日</w:t>
      </w:r>
    </w:p>
    <w:p w14:paraId="0520CE38">
      <w:pPr>
        <w:spacing w:line="440" w:lineRule="exact"/>
        <w:rPr>
          <w:rFonts w:ascii="宋体" w:hAnsi="宋体"/>
          <w:color w:val="auto"/>
          <w:sz w:val="24"/>
          <w:highlight w:val="none"/>
        </w:rPr>
      </w:pPr>
      <w:r>
        <w:rPr>
          <w:rFonts w:hint="eastAsia" w:ascii="宋体" w:hAnsi="宋体" w:eastAsia="宋体" w:cs="Times New Roman"/>
          <w:color w:val="auto"/>
          <w:sz w:val="24"/>
          <w:highlight w:val="none"/>
        </w:rPr>
        <w:t>项目编号：</w:t>
      </w:r>
      <w:r>
        <w:rPr>
          <w:rFonts w:hint="eastAsia" w:ascii="宋体" w:hAnsi="宋体" w:eastAsia="宋体" w:cs="Times New Roman"/>
          <w:color w:val="auto"/>
          <w:sz w:val="24"/>
          <w:highlight w:val="none"/>
          <w:lang w:val="en-US" w:eastAsia="zh-CN"/>
        </w:rPr>
        <w:t xml:space="preserve">                          </w:t>
      </w:r>
      <w:r>
        <w:rPr>
          <w:rFonts w:hint="eastAsia" w:ascii="宋体" w:hAnsi="宋体" w:eastAsia="宋体" w:cs="Times New Roman"/>
          <w:color w:val="auto"/>
          <w:sz w:val="24"/>
          <w:highlight w:val="none"/>
        </w:rPr>
        <w:t xml:space="preserve"> </w:t>
      </w:r>
      <w:r>
        <w:rPr>
          <w:rFonts w:ascii="宋体" w:hAnsi="宋体"/>
          <w:color w:val="auto"/>
          <w:sz w:val="24"/>
          <w:highlight w:val="none"/>
        </w:rPr>
        <w:t xml:space="preserve">                 </w:t>
      </w:r>
    </w:p>
    <w:p w14:paraId="2DCB9975">
      <w:pPr>
        <w:spacing w:line="440" w:lineRule="exact"/>
        <w:rPr>
          <w:rFonts w:hint="eastAsia" w:ascii="宋体" w:hAnsi="宋体"/>
          <w:color w:val="auto"/>
          <w:sz w:val="24"/>
          <w:highlight w:val="none"/>
        </w:rPr>
      </w:pPr>
      <w:r>
        <w:rPr>
          <w:rFonts w:hint="eastAsia" w:ascii="宋体" w:hAnsi="宋体"/>
          <w:color w:val="auto"/>
          <w:sz w:val="24"/>
          <w:highlight w:val="none"/>
        </w:rPr>
        <w:t>采购人：</w:t>
      </w:r>
    </w:p>
    <w:p w14:paraId="6E669227">
      <w:pPr>
        <w:spacing w:line="440" w:lineRule="exact"/>
        <w:rPr>
          <w:rFonts w:hint="eastAsia" w:ascii="宋体" w:hAnsi="宋体"/>
          <w:color w:val="auto"/>
          <w:sz w:val="24"/>
          <w:highlight w:val="none"/>
        </w:rPr>
      </w:pPr>
      <w:r>
        <w:rPr>
          <w:rFonts w:hint="eastAsia" w:ascii="宋体" w:hAnsi="宋体"/>
          <w:color w:val="auto"/>
          <w:sz w:val="24"/>
          <w:highlight w:val="none"/>
        </w:rPr>
        <w:t>供应商：</w:t>
      </w:r>
    </w:p>
    <w:p w14:paraId="1526E1C6">
      <w:pPr>
        <w:pStyle w:val="4"/>
        <w:spacing w:line="360" w:lineRule="auto"/>
        <w:ind w:left="0" w:leftChars="0" w:firstLine="480" w:firstLineChars="0"/>
        <w:jc w:val="center"/>
        <w:rPr>
          <w:rFonts w:hint="eastAsia" w:ascii="宋体" w:hAnsi="宋体"/>
          <w:color w:val="auto"/>
          <w:sz w:val="24"/>
          <w:highlight w:val="none"/>
        </w:rPr>
      </w:pPr>
      <w:r>
        <w:rPr>
          <w:rFonts w:hint="eastAsia" w:ascii="宋体" w:hAnsi="宋体"/>
          <w:color w:val="auto"/>
          <w:sz w:val="24"/>
          <w:highlight w:val="none"/>
        </w:rPr>
        <w:t>根据</w:t>
      </w:r>
      <w:r>
        <w:rPr>
          <w:rFonts w:hint="eastAsia" w:ascii="宋体" w:hAnsi="宋体"/>
          <w:color w:val="auto"/>
          <w:sz w:val="24"/>
          <w:highlight w:val="none"/>
          <w:u w:val="single"/>
          <w:lang w:val="en-US" w:eastAsia="zh-CN"/>
        </w:rPr>
        <w:t xml:space="preserve"> </w:t>
      </w:r>
      <w:r>
        <w:rPr>
          <w:rFonts w:hint="eastAsia" w:ascii="宋体" w:hAnsi="宋体"/>
          <w:b/>
          <w:bCs/>
          <w:color w:val="auto"/>
          <w:sz w:val="24"/>
          <w:highlight w:val="none"/>
          <w:u w:val="single"/>
          <w:lang w:val="en-US" w:eastAsia="zh-CN"/>
        </w:rPr>
        <w:t>科技信息化应用系统升级设备采购项目</w:t>
      </w:r>
      <w:r>
        <w:rPr>
          <w:rFonts w:hint="eastAsia" w:ascii="宋体" w:hAnsi="宋体"/>
          <w:color w:val="auto"/>
          <w:sz w:val="24"/>
          <w:highlight w:val="none"/>
        </w:rPr>
        <w:t>的采购结果，按照《中华人民共和国</w:t>
      </w:r>
    </w:p>
    <w:p w14:paraId="4AA067BC">
      <w:pPr>
        <w:pStyle w:val="4"/>
        <w:spacing w:line="360" w:lineRule="auto"/>
        <w:ind w:left="0" w:leftChars="0" w:firstLine="0" w:firstLineChars="0"/>
        <w:jc w:val="both"/>
        <w:rPr>
          <w:rFonts w:ascii="宋体" w:hAnsi="宋体"/>
          <w:color w:val="auto"/>
          <w:sz w:val="24"/>
          <w:highlight w:val="none"/>
          <w:u w:val="single"/>
        </w:rPr>
      </w:pPr>
      <w:r>
        <w:rPr>
          <w:rFonts w:hint="eastAsia" w:ascii="宋体" w:hAnsi="宋体"/>
          <w:color w:val="auto"/>
          <w:sz w:val="24"/>
          <w:highlight w:val="none"/>
        </w:rPr>
        <w:t>政府采购法》、《中华人民共和国民法典》等规定，经双方协商，本着平等互利和诚实信用的原则，一致同意签订本合同如下。</w:t>
      </w:r>
    </w:p>
    <w:p w14:paraId="31033206">
      <w:pPr>
        <w:spacing w:line="360" w:lineRule="auto"/>
        <w:ind w:firstLine="482" w:firstLineChars="200"/>
        <w:rPr>
          <w:rFonts w:hint="eastAsia" w:ascii="宋体" w:hAnsi="宋体"/>
          <w:b/>
          <w:bCs/>
          <w:color w:val="auto"/>
          <w:sz w:val="24"/>
          <w:highlight w:val="none"/>
        </w:rPr>
      </w:pPr>
      <w:r>
        <w:rPr>
          <w:rFonts w:hint="eastAsia" w:ascii="宋体" w:hAnsi="宋体"/>
          <w:b/>
          <w:bCs/>
          <w:color w:val="auto"/>
          <w:sz w:val="24"/>
          <w:highlight w:val="none"/>
        </w:rPr>
        <w:t>一、合同文件</w:t>
      </w:r>
    </w:p>
    <w:p w14:paraId="551C6FE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lang w:val="en-US" w:eastAsia="zh-CN"/>
        </w:rPr>
        <w:t>合同</w:t>
      </w:r>
      <w:r>
        <w:rPr>
          <w:rFonts w:hint="eastAsia" w:ascii="宋体" w:hAnsi="宋体"/>
          <w:color w:val="auto"/>
          <w:sz w:val="24"/>
          <w:highlight w:val="none"/>
        </w:rPr>
        <w:t>条款；</w:t>
      </w:r>
    </w:p>
    <w:p w14:paraId="4052E5A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2、招标文件；</w:t>
      </w:r>
    </w:p>
    <w:p w14:paraId="66E6B07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3、投标文件；</w:t>
      </w:r>
    </w:p>
    <w:p w14:paraId="3AEBE4D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4、中标通知书；</w:t>
      </w:r>
    </w:p>
    <w:p w14:paraId="0AA1A0B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5、其他。</w:t>
      </w:r>
    </w:p>
    <w:p w14:paraId="77534BB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上述所指合同文件应认为是互相补充和解释的，但是有模棱两可或互相矛盾之处，以其所列内容顺序为准。</w:t>
      </w:r>
    </w:p>
    <w:p w14:paraId="0B67D65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二、交付条件：</w:t>
      </w:r>
    </w:p>
    <w:p w14:paraId="2B3D7E7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（一）交付地点：采购人指定地点。</w:t>
      </w:r>
    </w:p>
    <w:p w14:paraId="48222E31">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（二）交付期：合同签订后</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rPr>
        <w:t>个日历天内完成项目全部内容，并交付采购人验收合格。</w:t>
      </w:r>
    </w:p>
    <w:p w14:paraId="7259787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三</w:t>
      </w:r>
      <w:r>
        <w:rPr>
          <w:rFonts w:ascii="宋体" w:hAnsi="宋体" w:cs="宋体"/>
          <w:b/>
          <w:bCs/>
          <w:color w:val="auto"/>
          <w:kern w:val="0"/>
          <w:sz w:val="24"/>
          <w:highlight w:val="none"/>
        </w:rPr>
        <w:t>、</w:t>
      </w:r>
      <w:r>
        <w:rPr>
          <w:rFonts w:hint="eastAsia" w:ascii="宋体" w:hAnsi="宋体" w:cs="宋体"/>
          <w:b/>
          <w:bCs/>
          <w:color w:val="auto"/>
          <w:kern w:val="0"/>
          <w:sz w:val="24"/>
          <w:highlight w:val="none"/>
          <w:lang w:val="en-US" w:eastAsia="zh-CN"/>
        </w:rPr>
        <w:t>中标</w:t>
      </w:r>
      <w:r>
        <w:rPr>
          <w:rFonts w:ascii="宋体" w:hAnsi="宋体" w:cs="宋体"/>
          <w:b/>
          <w:bCs/>
          <w:color w:val="auto"/>
          <w:kern w:val="0"/>
          <w:sz w:val="24"/>
          <w:highlight w:val="none"/>
        </w:rPr>
        <w:t>价款</w:t>
      </w:r>
      <w:r>
        <w:rPr>
          <w:rFonts w:hint="eastAsia" w:ascii="宋体" w:hAnsi="宋体" w:cs="宋体"/>
          <w:b/>
          <w:bCs/>
          <w:color w:val="auto"/>
          <w:kern w:val="0"/>
          <w:sz w:val="24"/>
          <w:highlight w:val="none"/>
        </w:rPr>
        <w:t>及</w:t>
      </w:r>
      <w:r>
        <w:rPr>
          <w:rFonts w:ascii="宋体" w:hAnsi="宋体" w:cs="宋体"/>
          <w:b/>
          <w:bCs/>
          <w:color w:val="auto"/>
          <w:kern w:val="0"/>
          <w:sz w:val="24"/>
          <w:highlight w:val="none"/>
        </w:rPr>
        <w:t>款项结算</w:t>
      </w:r>
      <w:r>
        <w:rPr>
          <w:rFonts w:hint="eastAsia" w:ascii="宋体" w:hAnsi="宋体" w:cs="宋体"/>
          <w:b/>
          <w:bCs/>
          <w:color w:val="auto"/>
          <w:kern w:val="0"/>
          <w:sz w:val="24"/>
          <w:highlight w:val="none"/>
        </w:rPr>
        <w:t>：</w:t>
      </w:r>
    </w:p>
    <w:p w14:paraId="17C928BA">
      <w:pPr>
        <w:tabs>
          <w:tab w:val="left" w:pos="0"/>
          <w:tab w:val="left" w:pos="437"/>
          <w:tab w:val="left" w:pos="1311"/>
        </w:tabs>
        <w:adjustRightInd w:val="0"/>
        <w:snapToGrid w:val="0"/>
        <w:spacing w:line="360" w:lineRule="auto"/>
        <w:ind w:firstLine="480" w:firstLineChars="200"/>
        <w:jc w:val="left"/>
        <w:rPr>
          <w:rFonts w:hint="eastAsia"/>
          <w:color w:val="auto"/>
          <w:highlight w:val="none"/>
        </w:rPr>
      </w:pPr>
      <w:r>
        <w:rPr>
          <w:rFonts w:hint="eastAsia" w:ascii="宋体" w:hAnsi="宋体" w:eastAsia="宋体" w:cs="宋体"/>
          <w:color w:val="auto"/>
          <w:kern w:val="0"/>
          <w:sz w:val="24"/>
          <w:highlight w:val="none"/>
        </w:rPr>
        <w:t>（一）</w:t>
      </w:r>
      <w:r>
        <w:rPr>
          <w:rFonts w:hint="eastAsia" w:ascii="宋体" w:hAnsi="宋体" w:eastAsia="宋体" w:cs="宋体"/>
          <w:color w:val="auto"/>
          <w:kern w:val="0"/>
          <w:sz w:val="24"/>
          <w:highlight w:val="none"/>
          <w:lang w:val="en-US" w:eastAsia="zh-CN"/>
        </w:rPr>
        <w:t>中标价</w:t>
      </w:r>
      <w:r>
        <w:rPr>
          <w:rFonts w:hint="eastAsia" w:ascii="宋体" w:hAnsi="宋体" w:eastAsia="宋体" w:cs="宋体"/>
          <w:color w:val="auto"/>
          <w:kern w:val="0"/>
          <w:sz w:val="24"/>
          <w:highlight w:val="none"/>
        </w:rPr>
        <w:t>：大写：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，小写：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w:t>
      </w:r>
      <w:r>
        <w:rPr>
          <w:rFonts w:hint="eastAsia" w:ascii="宋体" w:hAnsi="宋体" w:eastAsia="宋体" w:cs="宋体"/>
          <w:color w:val="auto"/>
          <w:sz w:val="24"/>
          <w:highlight w:val="none"/>
        </w:rPr>
        <w:t>包含</w:t>
      </w:r>
      <w:r>
        <w:rPr>
          <w:rFonts w:hint="eastAsia" w:ascii="宋体" w:hAnsi="宋体" w:eastAsia="宋体" w:cs="宋体"/>
          <w:color w:val="auto"/>
          <w:sz w:val="24"/>
          <w:highlight w:val="none"/>
          <w:lang w:eastAsia="zh-CN"/>
        </w:rPr>
        <w:t>产品费（含税）+运输费+包装费+产品辅材费+验收费</w:t>
      </w:r>
      <w:r>
        <w:rPr>
          <w:rFonts w:hint="eastAsia" w:ascii="宋体" w:hAnsi="宋体" w:eastAsia="宋体" w:cs="宋体"/>
          <w:color w:val="auto"/>
          <w:sz w:val="24"/>
          <w:highlight w:val="none"/>
        </w:rPr>
        <w:t>+售后服务费+相关伴随费用等。</w:t>
      </w:r>
    </w:p>
    <w:tbl>
      <w:tblPr>
        <w:tblStyle w:val="13"/>
        <w:tblW w:w="98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2"/>
        <w:gridCol w:w="1666"/>
        <w:gridCol w:w="1018"/>
        <w:gridCol w:w="1326"/>
        <w:gridCol w:w="1083"/>
        <w:gridCol w:w="1083"/>
        <w:gridCol w:w="1083"/>
        <w:gridCol w:w="836"/>
        <w:gridCol w:w="1087"/>
      </w:tblGrid>
      <w:tr w14:paraId="4AA09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4" w:hRule="atLeast"/>
          <w:jc w:val="center"/>
        </w:trPr>
        <w:tc>
          <w:tcPr>
            <w:tcW w:w="632" w:type="dxa"/>
            <w:noWrap w:val="0"/>
            <w:vAlign w:val="center"/>
          </w:tcPr>
          <w:p w14:paraId="29E3785E">
            <w:pPr>
              <w:jc w:val="center"/>
              <w:rPr>
                <w:rFonts w:ascii="宋体" w:hAnsi="宋体" w:cs="宋体"/>
                <w:b/>
                <w:bCs/>
                <w:spacing w:val="-20"/>
                <w:sz w:val="24"/>
              </w:rPr>
            </w:pPr>
            <w:r>
              <w:rPr>
                <w:rFonts w:hint="eastAsia" w:ascii="宋体" w:hAnsi="宋体" w:cs="宋体"/>
                <w:b/>
                <w:bCs/>
                <w:spacing w:val="-20"/>
                <w:sz w:val="24"/>
              </w:rPr>
              <w:t>序号</w:t>
            </w:r>
          </w:p>
        </w:tc>
        <w:tc>
          <w:tcPr>
            <w:tcW w:w="1666" w:type="dxa"/>
            <w:noWrap w:val="0"/>
            <w:vAlign w:val="center"/>
          </w:tcPr>
          <w:p w14:paraId="309EAB3D">
            <w:pPr>
              <w:jc w:val="center"/>
              <w:rPr>
                <w:rFonts w:ascii="宋体" w:hAnsi="Courier New" w:cs="宋体"/>
                <w:b/>
                <w:bCs/>
                <w:sz w:val="24"/>
              </w:rPr>
            </w:pPr>
            <w:r>
              <w:rPr>
                <w:rFonts w:hint="eastAsia" w:ascii="宋体" w:hAnsi="宋体" w:cs="宋体"/>
                <w:b/>
                <w:bCs/>
                <w:spacing w:val="-20"/>
                <w:sz w:val="24"/>
              </w:rPr>
              <w:t>产品名称</w:t>
            </w:r>
          </w:p>
        </w:tc>
        <w:tc>
          <w:tcPr>
            <w:tcW w:w="1018" w:type="dxa"/>
            <w:noWrap w:val="0"/>
            <w:vAlign w:val="center"/>
          </w:tcPr>
          <w:p w14:paraId="047F81C7">
            <w:pPr>
              <w:jc w:val="center"/>
              <w:rPr>
                <w:rFonts w:ascii="宋体" w:hAnsi="宋体" w:cs="宋体"/>
                <w:b/>
                <w:bCs/>
                <w:spacing w:val="-20"/>
                <w:sz w:val="24"/>
              </w:rPr>
            </w:pPr>
            <w:r>
              <w:rPr>
                <w:rFonts w:hint="eastAsia" w:ascii="宋体" w:hAnsi="宋体" w:cs="宋体"/>
                <w:b/>
                <w:bCs/>
                <w:spacing w:val="-20"/>
                <w:sz w:val="24"/>
              </w:rPr>
              <w:t>品</w:t>
            </w:r>
            <w:r>
              <w:rPr>
                <w:rFonts w:ascii="宋体" w:hAnsi="宋体" w:cs="宋体"/>
                <w:b/>
                <w:bCs/>
                <w:spacing w:val="-20"/>
                <w:sz w:val="24"/>
              </w:rPr>
              <w:t xml:space="preserve"> </w:t>
            </w:r>
            <w:r>
              <w:rPr>
                <w:rFonts w:hint="eastAsia" w:ascii="宋体" w:hAnsi="宋体" w:cs="宋体"/>
                <w:b/>
                <w:bCs/>
                <w:spacing w:val="-20"/>
                <w:sz w:val="24"/>
              </w:rPr>
              <w:t>牌</w:t>
            </w:r>
          </w:p>
        </w:tc>
        <w:tc>
          <w:tcPr>
            <w:tcW w:w="1326" w:type="dxa"/>
            <w:noWrap w:val="0"/>
            <w:vAlign w:val="center"/>
          </w:tcPr>
          <w:p w14:paraId="261FFD66">
            <w:pPr>
              <w:jc w:val="center"/>
              <w:rPr>
                <w:rFonts w:ascii="宋体" w:hAnsi="宋体" w:cs="宋体"/>
                <w:b/>
                <w:bCs/>
                <w:spacing w:val="-20"/>
                <w:sz w:val="24"/>
              </w:rPr>
            </w:pPr>
            <w:r>
              <w:rPr>
                <w:rFonts w:hint="eastAsia" w:ascii="宋体" w:hAnsi="宋体" w:cs="宋体"/>
                <w:b/>
                <w:bCs/>
                <w:sz w:val="24"/>
              </w:rPr>
              <w:t>规格型号</w:t>
            </w:r>
          </w:p>
        </w:tc>
        <w:tc>
          <w:tcPr>
            <w:tcW w:w="1083" w:type="dxa"/>
            <w:noWrap w:val="0"/>
            <w:vAlign w:val="center"/>
          </w:tcPr>
          <w:p w14:paraId="1AA72897">
            <w:pPr>
              <w:jc w:val="center"/>
              <w:rPr>
                <w:rFonts w:ascii="宋体" w:hAnsi="宋体" w:cs="宋体"/>
                <w:b/>
                <w:bCs/>
                <w:sz w:val="24"/>
              </w:rPr>
            </w:pPr>
            <w:r>
              <w:rPr>
                <w:rFonts w:hint="eastAsia" w:ascii="宋体" w:hAnsi="宋体" w:cs="宋体"/>
                <w:b/>
                <w:bCs/>
                <w:spacing w:val="-20"/>
                <w:sz w:val="24"/>
              </w:rPr>
              <w:t>产</w:t>
            </w:r>
            <w:r>
              <w:rPr>
                <w:rFonts w:ascii="宋体" w:hAnsi="宋体" w:cs="宋体"/>
                <w:b/>
                <w:bCs/>
                <w:spacing w:val="-20"/>
                <w:sz w:val="24"/>
              </w:rPr>
              <w:t xml:space="preserve">  </w:t>
            </w:r>
            <w:r>
              <w:rPr>
                <w:rFonts w:hint="eastAsia" w:ascii="宋体" w:hAnsi="宋体" w:cs="宋体"/>
                <w:b/>
                <w:bCs/>
                <w:spacing w:val="-20"/>
                <w:sz w:val="24"/>
              </w:rPr>
              <w:t>地</w:t>
            </w:r>
          </w:p>
        </w:tc>
        <w:tc>
          <w:tcPr>
            <w:tcW w:w="1083" w:type="dxa"/>
            <w:noWrap w:val="0"/>
            <w:vAlign w:val="center"/>
          </w:tcPr>
          <w:p w14:paraId="38ED5920">
            <w:pPr>
              <w:ind w:firstLine="120" w:firstLineChars="50"/>
              <w:rPr>
                <w:rFonts w:ascii="宋体" w:hAnsi="宋体" w:cs="宋体"/>
                <w:b/>
                <w:bCs/>
                <w:sz w:val="24"/>
              </w:rPr>
            </w:pPr>
            <w:r>
              <w:rPr>
                <w:rFonts w:hint="eastAsia" w:ascii="宋体" w:hAnsi="宋体" w:cs="宋体"/>
                <w:b/>
                <w:bCs/>
                <w:sz w:val="24"/>
              </w:rPr>
              <w:t>单</w:t>
            </w:r>
            <w:r>
              <w:rPr>
                <w:rFonts w:ascii="宋体" w:hAnsi="宋体" w:cs="宋体"/>
                <w:b/>
                <w:bCs/>
                <w:sz w:val="24"/>
              </w:rPr>
              <w:t xml:space="preserve">  </w:t>
            </w:r>
            <w:r>
              <w:rPr>
                <w:rFonts w:hint="eastAsia" w:ascii="宋体" w:hAnsi="宋体" w:cs="宋体"/>
                <w:b/>
                <w:bCs/>
                <w:sz w:val="24"/>
              </w:rPr>
              <w:t>位</w:t>
            </w:r>
          </w:p>
        </w:tc>
        <w:tc>
          <w:tcPr>
            <w:tcW w:w="1083" w:type="dxa"/>
            <w:noWrap w:val="0"/>
            <w:vAlign w:val="center"/>
          </w:tcPr>
          <w:p w14:paraId="4BDA4CB7">
            <w:pPr>
              <w:spacing w:line="240" w:lineRule="auto"/>
              <w:ind w:firstLine="120" w:firstLineChars="50"/>
              <w:rPr>
                <w:rFonts w:ascii="宋体" w:hAnsi="宋体" w:cs="宋体"/>
                <w:b/>
                <w:bCs/>
                <w:sz w:val="24"/>
              </w:rPr>
            </w:pPr>
            <w:r>
              <w:rPr>
                <w:rFonts w:hint="eastAsia" w:ascii="宋体" w:hAnsi="宋体" w:cs="宋体"/>
                <w:b/>
                <w:bCs/>
                <w:sz w:val="24"/>
              </w:rPr>
              <w:t>数</w:t>
            </w:r>
            <w:r>
              <w:rPr>
                <w:rFonts w:ascii="宋体" w:hAnsi="宋体" w:cs="宋体"/>
                <w:b/>
                <w:bCs/>
                <w:sz w:val="24"/>
              </w:rPr>
              <w:t xml:space="preserve"> </w:t>
            </w:r>
            <w:r>
              <w:rPr>
                <w:rFonts w:hint="eastAsia" w:ascii="宋体" w:hAnsi="宋体" w:cs="宋体"/>
                <w:b/>
                <w:bCs/>
                <w:sz w:val="24"/>
              </w:rPr>
              <w:t>量</w:t>
            </w:r>
          </w:p>
        </w:tc>
        <w:tc>
          <w:tcPr>
            <w:tcW w:w="836" w:type="dxa"/>
            <w:noWrap w:val="0"/>
            <w:vAlign w:val="center"/>
          </w:tcPr>
          <w:p w14:paraId="23AF0760">
            <w:pPr>
              <w:jc w:val="center"/>
              <w:rPr>
                <w:rFonts w:ascii="宋体" w:hAnsi="宋体" w:cs="宋体"/>
                <w:b/>
                <w:bCs/>
                <w:sz w:val="24"/>
              </w:rPr>
            </w:pPr>
            <w:r>
              <w:rPr>
                <w:rFonts w:hint="eastAsia" w:ascii="宋体" w:hAnsi="宋体" w:cs="宋体"/>
                <w:b/>
                <w:bCs/>
                <w:sz w:val="24"/>
              </w:rPr>
              <w:t>单</w:t>
            </w:r>
            <w:r>
              <w:rPr>
                <w:rFonts w:ascii="宋体" w:hAnsi="宋体" w:cs="宋体"/>
                <w:b/>
                <w:bCs/>
                <w:sz w:val="24"/>
              </w:rPr>
              <w:t xml:space="preserve"> </w:t>
            </w:r>
            <w:r>
              <w:rPr>
                <w:rFonts w:hint="eastAsia" w:ascii="宋体" w:hAnsi="宋体" w:cs="宋体"/>
                <w:b/>
                <w:bCs/>
                <w:sz w:val="24"/>
              </w:rPr>
              <w:t>价</w:t>
            </w:r>
          </w:p>
        </w:tc>
        <w:tc>
          <w:tcPr>
            <w:tcW w:w="1087" w:type="dxa"/>
            <w:noWrap w:val="0"/>
            <w:vAlign w:val="center"/>
          </w:tcPr>
          <w:p w14:paraId="65DD670A">
            <w:pPr>
              <w:jc w:val="center"/>
              <w:rPr>
                <w:rFonts w:ascii="宋体" w:hAnsi="宋体" w:cs="宋体"/>
                <w:b/>
                <w:bCs/>
                <w:sz w:val="24"/>
              </w:rPr>
            </w:pPr>
            <w:r>
              <w:rPr>
                <w:rFonts w:hint="eastAsia" w:ascii="宋体" w:hAnsi="宋体" w:cs="宋体"/>
                <w:b/>
                <w:bCs/>
                <w:sz w:val="24"/>
              </w:rPr>
              <w:t>合</w:t>
            </w:r>
            <w:r>
              <w:rPr>
                <w:rFonts w:ascii="宋体" w:hAnsi="宋体" w:cs="宋体"/>
                <w:b/>
                <w:bCs/>
                <w:sz w:val="24"/>
              </w:rPr>
              <w:t xml:space="preserve"> </w:t>
            </w:r>
            <w:r>
              <w:rPr>
                <w:rFonts w:hint="eastAsia" w:ascii="宋体" w:hAnsi="宋体" w:cs="宋体"/>
                <w:b/>
                <w:bCs/>
                <w:sz w:val="24"/>
              </w:rPr>
              <w:t>计</w:t>
            </w:r>
          </w:p>
        </w:tc>
      </w:tr>
      <w:tr w14:paraId="3719F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632" w:type="dxa"/>
            <w:noWrap w:val="0"/>
            <w:vAlign w:val="center"/>
          </w:tcPr>
          <w:p w14:paraId="5D2A1C6C">
            <w:pPr>
              <w:jc w:val="center"/>
              <w:rPr>
                <w:rFonts w:ascii="宋体" w:cs="宋体"/>
                <w:sz w:val="24"/>
              </w:rPr>
            </w:pPr>
            <w:r>
              <w:rPr>
                <w:rFonts w:ascii="宋体" w:hAnsi="宋体" w:cs="宋体"/>
                <w:sz w:val="24"/>
              </w:rPr>
              <w:t>1</w:t>
            </w:r>
          </w:p>
        </w:tc>
        <w:tc>
          <w:tcPr>
            <w:tcW w:w="1666" w:type="dxa"/>
            <w:noWrap w:val="0"/>
            <w:vAlign w:val="center"/>
          </w:tcPr>
          <w:p w14:paraId="32D9F9FA">
            <w:pPr>
              <w:widowControl/>
              <w:jc w:val="center"/>
              <w:textAlignment w:val="center"/>
              <w:rPr>
                <w:rFonts w:ascii="宋体" w:cs="宋体"/>
                <w:sz w:val="24"/>
              </w:rPr>
            </w:pPr>
          </w:p>
        </w:tc>
        <w:tc>
          <w:tcPr>
            <w:tcW w:w="1018" w:type="dxa"/>
            <w:noWrap w:val="0"/>
            <w:vAlign w:val="center"/>
          </w:tcPr>
          <w:p w14:paraId="45462397">
            <w:pPr>
              <w:jc w:val="center"/>
              <w:rPr>
                <w:rFonts w:ascii="宋体" w:cs="宋体"/>
                <w:sz w:val="24"/>
              </w:rPr>
            </w:pPr>
          </w:p>
        </w:tc>
        <w:tc>
          <w:tcPr>
            <w:tcW w:w="1326" w:type="dxa"/>
            <w:noWrap w:val="0"/>
            <w:vAlign w:val="center"/>
          </w:tcPr>
          <w:p w14:paraId="60FAE9C0">
            <w:pPr>
              <w:jc w:val="center"/>
              <w:rPr>
                <w:rFonts w:ascii="宋体" w:cs="宋体"/>
                <w:sz w:val="24"/>
              </w:rPr>
            </w:pPr>
          </w:p>
        </w:tc>
        <w:tc>
          <w:tcPr>
            <w:tcW w:w="1083" w:type="dxa"/>
            <w:noWrap w:val="0"/>
            <w:vAlign w:val="center"/>
          </w:tcPr>
          <w:p w14:paraId="1B6E7277">
            <w:pPr>
              <w:rPr>
                <w:rFonts w:ascii="宋体" w:hAnsi="宋体" w:cs="宋体"/>
                <w:sz w:val="24"/>
              </w:rPr>
            </w:pPr>
          </w:p>
        </w:tc>
        <w:tc>
          <w:tcPr>
            <w:tcW w:w="1083" w:type="dxa"/>
            <w:noWrap w:val="0"/>
            <w:vAlign w:val="center"/>
          </w:tcPr>
          <w:p w14:paraId="143D4747">
            <w:pPr>
              <w:rPr>
                <w:rFonts w:ascii="宋体" w:hAnsi="宋体" w:cs="宋体"/>
                <w:sz w:val="24"/>
              </w:rPr>
            </w:pPr>
          </w:p>
        </w:tc>
        <w:tc>
          <w:tcPr>
            <w:tcW w:w="1083" w:type="dxa"/>
            <w:noWrap w:val="0"/>
            <w:vAlign w:val="center"/>
          </w:tcPr>
          <w:p w14:paraId="7EFE4D75">
            <w:pPr>
              <w:rPr>
                <w:rFonts w:ascii="宋体" w:hAnsi="宋体" w:cs="宋体"/>
                <w:sz w:val="24"/>
              </w:rPr>
            </w:pPr>
          </w:p>
        </w:tc>
        <w:tc>
          <w:tcPr>
            <w:tcW w:w="836" w:type="dxa"/>
            <w:noWrap w:val="0"/>
            <w:vAlign w:val="center"/>
          </w:tcPr>
          <w:p w14:paraId="2D3E0506">
            <w:pPr>
              <w:rPr>
                <w:rFonts w:ascii="宋体" w:hAnsi="宋体" w:cs="宋体"/>
                <w:sz w:val="24"/>
              </w:rPr>
            </w:pPr>
          </w:p>
        </w:tc>
        <w:tc>
          <w:tcPr>
            <w:tcW w:w="1087" w:type="dxa"/>
            <w:noWrap w:val="0"/>
            <w:vAlign w:val="center"/>
          </w:tcPr>
          <w:p w14:paraId="64FB2C6C">
            <w:pPr>
              <w:rPr>
                <w:rFonts w:ascii="宋体" w:hAnsi="宋体" w:cs="宋体"/>
                <w:spacing w:val="-6"/>
                <w:sz w:val="24"/>
              </w:rPr>
            </w:pPr>
          </w:p>
        </w:tc>
      </w:tr>
      <w:tr w14:paraId="5D946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atLeast"/>
          <w:jc w:val="center"/>
        </w:trPr>
        <w:tc>
          <w:tcPr>
            <w:tcW w:w="632" w:type="dxa"/>
            <w:noWrap w:val="0"/>
            <w:vAlign w:val="center"/>
          </w:tcPr>
          <w:p w14:paraId="5AAB232B">
            <w:pPr>
              <w:jc w:val="center"/>
              <w:rPr>
                <w:rFonts w:ascii="宋体" w:cs="宋体"/>
                <w:sz w:val="24"/>
              </w:rPr>
            </w:pPr>
            <w:r>
              <w:rPr>
                <w:rFonts w:ascii="宋体" w:hAnsi="宋体" w:cs="宋体"/>
                <w:sz w:val="24"/>
              </w:rPr>
              <w:t>2</w:t>
            </w:r>
          </w:p>
        </w:tc>
        <w:tc>
          <w:tcPr>
            <w:tcW w:w="1666" w:type="dxa"/>
            <w:noWrap w:val="0"/>
            <w:vAlign w:val="center"/>
          </w:tcPr>
          <w:p w14:paraId="0883501D">
            <w:pPr>
              <w:widowControl/>
              <w:jc w:val="center"/>
              <w:textAlignment w:val="center"/>
              <w:rPr>
                <w:rFonts w:ascii="宋体" w:cs="宋体"/>
                <w:sz w:val="24"/>
              </w:rPr>
            </w:pPr>
          </w:p>
        </w:tc>
        <w:tc>
          <w:tcPr>
            <w:tcW w:w="1018" w:type="dxa"/>
            <w:noWrap w:val="0"/>
            <w:vAlign w:val="center"/>
          </w:tcPr>
          <w:p w14:paraId="5B0235AB">
            <w:pPr>
              <w:jc w:val="center"/>
              <w:rPr>
                <w:rFonts w:ascii="宋体" w:cs="宋体"/>
                <w:sz w:val="24"/>
              </w:rPr>
            </w:pPr>
          </w:p>
        </w:tc>
        <w:tc>
          <w:tcPr>
            <w:tcW w:w="1326" w:type="dxa"/>
            <w:noWrap w:val="0"/>
            <w:vAlign w:val="center"/>
          </w:tcPr>
          <w:p w14:paraId="2DE7DFB6">
            <w:pPr>
              <w:jc w:val="center"/>
              <w:rPr>
                <w:rFonts w:ascii="宋体" w:cs="宋体"/>
                <w:sz w:val="24"/>
              </w:rPr>
            </w:pPr>
          </w:p>
        </w:tc>
        <w:tc>
          <w:tcPr>
            <w:tcW w:w="1083" w:type="dxa"/>
            <w:noWrap w:val="0"/>
            <w:vAlign w:val="center"/>
          </w:tcPr>
          <w:p w14:paraId="2C71FB80">
            <w:pPr>
              <w:rPr>
                <w:rFonts w:ascii="宋体" w:hAnsi="宋体" w:cs="宋体"/>
                <w:sz w:val="24"/>
              </w:rPr>
            </w:pPr>
          </w:p>
        </w:tc>
        <w:tc>
          <w:tcPr>
            <w:tcW w:w="1083" w:type="dxa"/>
            <w:noWrap w:val="0"/>
            <w:vAlign w:val="center"/>
          </w:tcPr>
          <w:p w14:paraId="25C70139">
            <w:pPr>
              <w:rPr>
                <w:rFonts w:ascii="宋体" w:hAnsi="宋体" w:cs="宋体"/>
                <w:sz w:val="24"/>
              </w:rPr>
            </w:pPr>
          </w:p>
        </w:tc>
        <w:tc>
          <w:tcPr>
            <w:tcW w:w="1083" w:type="dxa"/>
            <w:noWrap w:val="0"/>
            <w:vAlign w:val="center"/>
          </w:tcPr>
          <w:p w14:paraId="7CB94DF9">
            <w:pPr>
              <w:rPr>
                <w:rFonts w:ascii="宋体" w:hAnsi="宋体" w:cs="宋体"/>
                <w:sz w:val="24"/>
              </w:rPr>
            </w:pPr>
          </w:p>
        </w:tc>
        <w:tc>
          <w:tcPr>
            <w:tcW w:w="836" w:type="dxa"/>
            <w:noWrap w:val="0"/>
            <w:vAlign w:val="center"/>
          </w:tcPr>
          <w:p w14:paraId="2D4AE886">
            <w:pPr>
              <w:rPr>
                <w:rFonts w:ascii="宋体" w:hAnsi="宋体" w:cs="宋体"/>
                <w:sz w:val="24"/>
              </w:rPr>
            </w:pPr>
          </w:p>
        </w:tc>
        <w:tc>
          <w:tcPr>
            <w:tcW w:w="1087" w:type="dxa"/>
            <w:noWrap w:val="0"/>
            <w:vAlign w:val="center"/>
          </w:tcPr>
          <w:p w14:paraId="07746168">
            <w:pPr>
              <w:rPr>
                <w:rFonts w:ascii="宋体" w:hAnsi="宋体" w:cs="宋体"/>
                <w:spacing w:val="-6"/>
                <w:sz w:val="24"/>
              </w:rPr>
            </w:pPr>
          </w:p>
        </w:tc>
      </w:tr>
      <w:tr w14:paraId="324DF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632" w:type="dxa"/>
            <w:noWrap w:val="0"/>
            <w:vAlign w:val="center"/>
          </w:tcPr>
          <w:p w14:paraId="2F0112F5">
            <w:pPr>
              <w:jc w:val="center"/>
              <w:rPr>
                <w:rFonts w:ascii="宋体" w:cs="宋体"/>
                <w:sz w:val="24"/>
              </w:rPr>
            </w:pPr>
            <w:r>
              <w:rPr>
                <w:rFonts w:ascii="宋体" w:cs="宋体"/>
                <w:sz w:val="24"/>
              </w:rPr>
              <w:t>...</w:t>
            </w:r>
          </w:p>
        </w:tc>
        <w:tc>
          <w:tcPr>
            <w:tcW w:w="1666" w:type="dxa"/>
            <w:noWrap w:val="0"/>
            <w:vAlign w:val="center"/>
          </w:tcPr>
          <w:p w14:paraId="1E7F8ADE">
            <w:pPr>
              <w:widowControl/>
              <w:jc w:val="center"/>
              <w:textAlignment w:val="center"/>
              <w:rPr>
                <w:rFonts w:ascii="宋体" w:cs="宋体"/>
                <w:sz w:val="24"/>
              </w:rPr>
            </w:pPr>
          </w:p>
        </w:tc>
        <w:tc>
          <w:tcPr>
            <w:tcW w:w="1018" w:type="dxa"/>
            <w:noWrap w:val="0"/>
            <w:vAlign w:val="center"/>
          </w:tcPr>
          <w:p w14:paraId="200805E3">
            <w:pPr>
              <w:jc w:val="center"/>
              <w:rPr>
                <w:rFonts w:ascii="宋体" w:cs="宋体"/>
                <w:sz w:val="24"/>
              </w:rPr>
            </w:pPr>
          </w:p>
        </w:tc>
        <w:tc>
          <w:tcPr>
            <w:tcW w:w="1326" w:type="dxa"/>
            <w:noWrap w:val="0"/>
            <w:vAlign w:val="center"/>
          </w:tcPr>
          <w:p w14:paraId="15C18979">
            <w:pPr>
              <w:jc w:val="center"/>
              <w:rPr>
                <w:rFonts w:ascii="宋体" w:cs="宋体"/>
                <w:sz w:val="24"/>
              </w:rPr>
            </w:pPr>
          </w:p>
        </w:tc>
        <w:tc>
          <w:tcPr>
            <w:tcW w:w="1083" w:type="dxa"/>
            <w:noWrap w:val="0"/>
            <w:vAlign w:val="center"/>
          </w:tcPr>
          <w:p w14:paraId="2B01DC41">
            <w:pPr>
              <w:rPr>
                <w:rFonts w:ascii="宋体" w:hAnsi="宋体" w:cs="宋体"/>
                <w:sz w:val="24"/>
              </w:rPr>
            </w:pPr>
          </w:p>
        </w:tc>
        <w:tc>
          <w:tcPr>
            <w:tcW w:w="1083" w:type="dxa"/>
            <w:noWrap w:val="0"/>
            <w:vAlign w:val="center"/>
          </w:tcPr>
          <w:p w14:paraId="34E55FD1">
            <w:pPr>
              <w:rPr>
                <w:rFonts w:ascii="宋体" w:hAnsi="宋体" w:cs="宋体"/>
                <w:sz w:val="24"/>
              </w:rPr>
            </w:pPr>
          </w:p>
        </w:tc>
        <w:tc>
          <w:tcPr>
            <w:tcW w:w="1083" w:type="dxa"/>
            <w:noWrap w:val="0"/>
            <w:vAlign w:val="center"/>
          </w:tcPr>
          <w:p w14:paraId="132FEE53">
            <w:pPr>
              <w:rPr>
                <w:rFonts w:ascii="宋体" w:hAnsi="宋体" w:cs="宋体"/>
                <w:sz w:val="24"/>
              </w:rPr>
            </w:pPr>
          </w:p>
        </w:tc>
        <w:tc>
          <w:tcPr>
            <w:tcW w:w="836" w:type="dxa"/>
            <w:noWrap w:val="0"/>
            <w:vAlign w:val="center"/>
          </w:tcPr>
          <w:p w14:paraId="74DDA839">
            <w:pPr>
              <w:rPr>
                <w:rFonts w:ascii="宋体" w:hAnsi="宋体" w:cs="宋体"/>
                <w:sz w:val="24"/>
              </w:rPr>
            </w:pPr>
          </w:p>
        </w:tc>
        <w:tc>
          <w:tcPr>
            <w:tcW w:w="1087" w:type="dxa"/>
            <w:noWrap w:val="0"/>
            <w:vAlign w:val="center"/>
          </w:tcPr>
          <w:p w14:paraId="2126E062">
            <w:pPr>
              <w:rPr>
                <w:rFonts w:ascii="宋体" w:hAnsi="宋体" w:cs="宋体"/>
                <w:spacing w:val="-6"/>
                <w:sz w:val="24"/>
              </w:rPr>
            </w:pPr>
          </w:p>
        </w:tc>
      </w:tr>
      <w:tr w14:paraId="202F9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 w:hRule="atLeast"/>
          <w:jc w:val="center"/>
        </w:trPr>
        <w:tc>
          <w:tcPr>
            <w:tcW w:w="632" w:type="dxa"/>
            <w:noWrap w:val="0"/>
            <w:vAlign w:val="center"/>
          </w:tcPr>
          <w:p w14:paraId="3588A5E9">
            <w:pPr>
              <w:jc w:val="center"/>
              <w:rPr>
                <w:rFonts w:ascii="宋体" w:cs="宋体"/>
                <w:sz w:val="24"/>
              </w:rPr>
            </w:pPr>
            <w:r>
              <w:rPr>
                <w:rFonts w:ascii="宋体" w:hAnsi="宋体" w:cs="宋体"/>
                <w:sz w:val="24"/>
              </w:rPr>
              <w:t>N</w:t>
            </w:r>
          </w:p>
        </w:tc>
        <w:tc>
          <w:tcPr>
            <w:tcW w:w="1666" w:type="dxa"/>
            <w:noWrap w:val="0"/>
            <w:vAlign w:val="center"/>
          </w:tcPr>
          <w:p w14:paraId="206D5C2C">
            <w:pPr>
              <w:widowControl/>
              <w:jc w:val="center"/>
              <w:textAlignment w:val="center"/>
              <w:rPr>
                <w:rFonts w:ascii="宋体" w:cs="宋体"/>
                <w:kern w:val="0"/>
                <w:sz w:val="24"/>
              </w:rPr>
            </w:pPr>
          </w:p>
        </w:tc>
        <w:tc>
          <w:tcPr>
            <w:tcW w:w="1018" w:type="dxa"/>
            <w:noWrap w:val="0"/>
            <w:vAlign w:val="center"/>
          </w:tcPr>
          <w:p w14:paraId="347D21DB">
            <w:pPr>
              <w:jc w:val="center"/>
              <w:rPr>
                <w:rFonts w:ascii="宋体" w:cs="宋体"/>
                <w:sz w:val="24"/>
              </w:rPr>
            </w:pPr>
          </w:p>
        </w:tc>
        <w:tc>
          <w:tcPr>
            <w:tcW w:w="1326" w:type="dxa"/>
            <w:noWrap w:val="0"/>
            <w:vAlign w:val="center"/>
          </w:tcPr>
          <w:p w14:paraId="56BCBBFC">
            <w:pPr>
              <w:jc w:val="center"/>
              <w:rPr>
                <w:rFonts w:ascii="宋体" w:cs="宋体"/>
                <w:sz w:val="24"/>
              </w:rPr>
            </w:pPr>
          </w:p>
        </w:tc>
        <w:tc>
          <w:tcPr>
            <w:tcW w:w="1083" w:type="dxa"/>
            <w:noWrap w:val="0"/>
            <w:vAlign w:val="center"/>
          </w:tcPr>
          <w:p w14:paraId="21DAF6C5">
            <w:pPr>
              <w:rPr>
                <w:rFonts w:ascii="宋体" w:hAnsi="宋体" w:cs="宋体"/>
                <w:sz w:val="24"/>
              </w:rPr>
            </w:pPr>
          </w:p>
        </w:tc>
        <w:tc>
          <w:tcPr>
            <w:tcW w:w="1083" w:type="dxa"/>
            <w:noWrap w:val="0"/>
            <w:vAlign w:val="center"/>
          </w:tcPr>
          <w:p w14:paraId="48496B3A">
            <w:pPr>
              <w:rPr>
                <w:rFonts w:ascii="宋体" w:hAnsi="宋体" w:cs="宋体"/>
                <w:sz w:val="24"/>
              </w:rPr>
            </w:pPr>
          </w:p>
        </w:tc>
        <w:tc>
          <w:tcPr>
            <w:tcW w:w="1083" w:type="dxa"/>
            <w:noWrap w:val="0"/>
            <w:vAlign w:val="center"/>
          </w:tcPr>
          <w:p w14:paraId="096A3074">
            <w:pPr>
              <w:rPr>
                <w:rFonts w:ascii="宋体" w:hAnsi="宋体" w:cs="宋体"/>
                <w:sz w:val="24"/>
              </w:rPr>
            </w:pPr>
          </w:p>
        </w:tc>
        <w:tc>
          <w:tcPr>
            <w:tcW w:w="836" w:type="dxa"/>
            <w:noWrap w:val="0"/>
            <w:vAlign w:val="center"/>
          </w:tcPr>
          <w:p w14:paraId="11B982EA">
            <w:pPr>
              <w:rPr>
                <w:rFonts w:ascii="宋体" w:hAnsi="宋体" w:cs="宋体"/>
                <w:sz w:val="24"/>
              </w:rPr>
            </w:pPr>
          </w:p>
        </w:tc>
        <w:tc>
          <w:tcPr>
            <w:tcW w:w="1087" w:type="dxa"/>
            <w:noWrap w:val="0"/>
            <w:vAlign w:val="center"/>
          </w:tcPr>
          <w:p w14:paraId="4A520830">
            <w:pPr>
              <w:rPr>
                <w:rFonts w:ascii="宋体" w:hAnsi="宋体" w:cs="宋体"/>
                <w:spacing w:val="-6"/>
                <w:sz w:val="24"/>
              </w:rPr>
            </w:pPr>
          </w:p>
        </w:tc>
      </w:tr>
      <w:tr w14:paraId="2EC89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9814" w:type="dxa"/>
            <w:gridSpan w:val="9"/>
            <w:noWrap w:val="0"/>
            <w:vAlign w:val="center"/>
          </w:tcPr>
          <w:p w14:paraId="3B2EE753">
            <w:pPr>
              <w:rPr>
                <w:rFonts w:ascii="宋体" w:hAnsi="宋体" w:cs="宋体"/>
                <w:spacing w:val="-6"/>
                <w:sz w:val="24"/>
              </w:rPr>
            </w:pPr>
            <w:r>
              <w:rPr>
                <w:rFonts w:hint="eastAsia" w:ascii="宋体" w:hAnsi="宋体" w:cs="宋体"/>
                <w:spacing w:val="-6"/>
                <w:sz w:val="24"/>
              </w:rPr>
              <w:t>总报价（人民币大写）：</w:t>
            </w:r>
            <w:r>
              <w:rPr>
                <w:rFonts w:ascii="宋体" w:hAnsi="宋体" w:cs="宋体"/>
                <w:spacing w:val="-6"/>
                <w:sz w:val="24"/>
              </w:rPr>
              <w:t xml:space="preserve">                                          </w:t>
            </w:r>
            <w:r>
              <w:rPr>
                <w:rFonts w:hint="eastAsia" w:ascii="宋体" w:hAnsi="宋体" w:cs="宋体"/>
                <w:spacing w:val="-6"/>
                <w:sz w:val="24"/>
              </w:rPr>
              <w:t>（¥</w:t>
            </w:r>
            <w:r>
              <w:rPr>
                <w:rFonts w:ascii="宋体" w:hAnsi="宋体" w:cs="宋体"/>
                <w:spacing w:val="-6"/>
                <w:sz w:val="24"/>
              </w:rPr>
              <w:t xml:space="preserve">             </w:t>
            </w:r>
            <w:r>
              <w:rPr>
                <w:rFonts w:hint="eastAsia" w:ascii="宋体" w:hAnsi="宋体" w:cs="宋体"/>
                <w:spacing w:val="-6"/>
                <w:sz w:val="24"/>
              </w:rPr>
              <w:t>元）</w:t>
            </w:r>
          </w:p>
        </w:tc>
      </w:tr>
      <w:tr w14:paraId="2BDAC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 w:hRule="atLeast"/>
          <w:jc w:val="center"/>
        </w:trPr>
        <w:tc>
          <w:tcPr>
            <w:tcW w:w="9814" w:type="dxa"/>
            <w:gridSpan w:val="9"/>
            <w:noWrap w:val="0"/>
            <w:vAlign w:val="center"/>
          </w:tcPr>
          <w:p w14:paraId="31E552C6">
            <w:pPr>
              <w:rPr>
                <w:rFonts w:ascii="宋体" w:hAnsi="宋体" w:cs="宋体"/>
                <w:spacing w:val="-6"/>
                <w:sz w:val="24"/>
              </w:rPr>
            </w:pPr>
            <w:r>
              <w:rPr>
                <w:rFonts w:hint="eastAsia" w:ascii="宋体" w:hAnsi="宋体" w:cs="宋体"/>
                <w:spacing w:val="-6"/>
                <w:sz w:val="24"/>
              </w:rPr>
              <w:t>备注：表内报价内容以元为单位，保留小数点后两位。</w:t>
            </w:r>
          </w:p>
        </w:tc>
      </w:tr>
    </w:tbl>
    <w:p w14:paraId="3345AC59">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val="en-US" w:eastAsia="zh-CN"/>
        </w:rPr>
      </w:pPr>
    </w:p>
    <w:p w14:paraId="1F96B65C">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val="en-US" w:eastAsia="zh-CN"/>
        </w:rPr>
        <w:t>（二）付款方式：</w:t>
      </w:r>
      <w:r>
        <w:rPr>
          <w:rFonts w:hint="eastAsia" w:ascii="宋体" w:hAnsi="宋体" w:eastAsia="宋体" w:cs="宋体"/>
          <w:b/>
          <w:bCs/>
          <w:color w:val="auto"/>
          <w:kern w:val="0"/>
          <w:sz w:val="24"/>
          <w:highlight w:val="none"/>
          <w:lang w:val="en-US" w:eastAsia="zh-CN"/>
        </w:rPr>
        <w:t>合同签订后，所有货物供货完成，经验收合格，采购人支付货款的40%，货物技术指标经双方按合同要求验收合格并正常运行一个月后，如无争议问题，采购人将合同价款60%支付给中标人。</w:t>
      </w:r>
    </w:p>
    <w:p w14:paraId="48172EC1">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三</w:t>
      </w:r>
      <w:r>
        <w:rPr>
          <w:rFonts w:hint="eastAsia" w:ascii="宋体" w:hAnsi="宋体" w:eastAsia="宋体" w:cs="宋体"/>
          <w:color w:val="auto"/>
          <w:kern w:val="0"/>
          <w:sz w:val="24"/>
          <w:highlight w:val="none"/>
          <w:lang w:eastAsia="zh-CN"/>
        </w:rPr>
        <w:t>）支付方式：银行转账。</w:t>
      </w:r>
    </w:p>
    <w:p w14:paraId="667AC739">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四</w:t>
      </w:r>
      <w:r>
        <w:rPr>
          <w:rFonts w:hint="eastAsia" w:ascii="宋体" w:hAnsi="宋体" w:eastAsia="宋体" w:cs="宋体"/>
          <w:color w:val="auto"/>
          <w:kern w:val="0"/>
          <w:sz w:val="24"/>
          <w:highlight w:val="none"/>
          <w:lang w:eastAsia="zh-CN"/>
        </w:rPr>
        <w:t>）结算方式：采购人按照实际采购数量据实结算。</w:t>
      </w:r>
    </w:p>
    <w:p w14:paraId="447E543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四、质量保证</w:t>
      </w:r>
      <w:r>
        <w:rPr>
          <w:rFonts w:hint="eastAsia" w:ascii="宋体" w:hAnsi="宋体" w:cs="宋体"/>
          <w:b/>
          <w:bCs/>
          <w:color w:val="auto"/>
          <w:kern w:val="0"/>
          <w:sz w:val="24"/>
          <w:highlight w:val="none"/>
        </w:rPr>
        <w:t>:</w:t>
      </w:r>
    </w:p>
    <w:p w14:paraId="7E0B5460">
      <w:pPr>
        <w:tabs>
          <w:tab w:val="left" w:pos="0"/>
          <w:tab w:val="left" w:pos="437"/>
          <w:tab w:val="left" w:pos="1311"/>
        </w:tabs>
        <w:adjustRightInd w:val="0"/>
        <w:snapToGrid w:val="0"/>
        <w:spacing w:line="360" w:lineRule="auto"/>
        <w:ind w:firstLine="482" w:firstLineChars="200"/>
        <w:jc w:val="left"/>
        <w:rPr>
          <w:rFonts w:ascii="宋体" w:hAnsi="宋体" w:cs="宋体"/>
          <w:color w:val="auto"/>
          <w:kern w:val="0"/>
          <w:sz w:val="24"/>
          <w:highlight w:val="none"/>
        </w:rPr>
      </w:pPr>
      <w:r>
        <w:rPr>
          <w:rFonts w:hint="eastAsia" w:ascii="宋体" w:hAnsi="宋体" w:cs="宋体"/>
          <w:b/>
          <w:color w:val="auto"/>
          <w:kern w:val="0"/>
          <w:sz w:val="24"/>
          <w:highlight w:val="none"/>
        </w:rPr>
        <w:t>1、质保期为验收合格后</w:t>
      </w:r>
      <w:r>
        <w:rPr>
          <w:rFonts w:hint="eastAsia" w:ascii="宋体" w:hAnsi="宋体" w:cs="宋体"/>
          <w:b/>
          <w:color w:val="auto"/>
          <w:kern w:val="0"/>
          <w:sz w:val="24"/>
          <w:highlight w:val="none"/>
          <w:u w:val="single"/>
        </w:rPr>
        <w:t xml:space="preserve"> </w:t>
      </w:r>
      <w:r>
        <w:rPr>
          <w:rFonts w:ascii="宋体" w:hAnsi="宋体" w:cs="宋体"/>
          <w:b/>
          <w:color w:val="auto"/>
          <w:kern w:val="0"/>
          <w:sz w:val="24"/>
          <w:highlight w:val="none"/>
          <w:u w:val="single"/>
        </w:rPr>
        <w:t xml:space="preserve"> </w:t>
      </w:r>
      <w:r>
        <w:rPr>
          <w:rFonts w:hint="eastAsia" w:ascii="宋体" w:hAnsi="宋体" w:cs="宋体"/>
          <w:b/>
          <w:color w:val="auto"/>
          <w:kern w:val="0"/>
          <w:sz w:val="24"/>
          <w:highlight w:val="none"/>
          <w:u w:val="single"/>
          <w:lang w:val="en-US" w:eastAsia="zh-CN"/>
        </w:rPr>
        <w:t xml:space="preserve">                  </w:t>
      </w:r>
      <w:r>
        <w:rPr>
          <w:rFonts w:ascii="宋体" w:hAnsi="宋体" w:cs="宋体"/>
          <w:b/>
          <w:color w:val="auto"/>
          <w:kern w:val="0"/>
          <w:sz w:val="24"/>
          <w:highlight w:val="none"/>
          <w:u w:val="single"/>
        </w:rPr>
        <w:t xml:space="preserve">   </w:t>
      </w:r>
      <w:r>
        <w:rPr>
          <w:rFonts w:hint="eastAsia" w:ascii="宋体" w:hAnsi="宋体" w:cs="宋体"/>
          <w:color w:val="auto"/>
          <w:kern w:val="0"/>
          <w:sz w:val="24"/>
          <w:highlight w:val="none"/>
        </w:rPr>
        <w:t>。</w:t>
      </w:r>
    </w:p>
    <w:p w14:paraId="53A4A52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承诺的质保期起始时间为终验合格之日。</w:t>
      </w:r>
    </w:p>
    <w:p w14:paraId="55439D44">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3、所有产品质量必须符合国家有关规范和相关政策。所有</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必须是未使用过的新产品，质量优良、渠道正当，</w:t>
      </w:r>
      <w:r>
        <w:rPr>
          <w:rFonts w:hint="eastAsia" w:ascii="宋体" w:hAnsi="宋体" w:cs="宋体"/>
          <w:color w:val="auto"/>
          <w:kern w:val="0"/>
          <w:sz w:val="24"/>
          <w:highlight w:val="none"/>
          <w:lang w:val="en-US" w:eastAsia="zh-CN"/>
        </w:rPr>
        <w:t>证件齐全</w:t>
      </w:r>
      <w:r>
        <w:rPr>
          <w:rFonts w:hint="eastAsia" w:ascii="宋体" w:hAnsi="宋体" w:cs="宋体"/>
          <w:color w:val="auto"/>
          <w:kern w:val="0"/>
          <w:sz w:val="24"/>
          <w:highlight w:val="none"/>
        </w:rPr>
        <w:t>。</w:t>
      </w:r>
    </w:p>
    <w:p w14:paraId="5B0EAAE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4、质保期出现的质量问题由中标人负责解决并承担所有费用。</w:t>
      </w:r>
    </w:p>
    <w:p w14:paraId="574A78B0">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五、包装和储运</w:t>
      </w:r>
    </w:p>
    <w:p w14:paraId="4A102614">
      <w:pPr>
        <w:spacing w:line="440" w:lineRule="exact"/>
        <w:ind w:firstLine="482" w:firstLineChars="200"/>
        <w:rPr>
          <w:rFonts w:hint="eastAsia" w:ascii="宋体" w:hAnsi="宋体" w:eastAsia="宋体" w:cs="宋体"/>
          <w:sz w:val="24"/>
        </w:rPr>
      </w:pPr>
      <w:bookmarkStart w:id="0" w:name="_Hlk118582087"/>
      <w:r>
        <w:rPr>
          <w:rFonts w:hint="eastAsia" w:ascii="宋体" w:hAnsi="宋体" w:eastAsia="宋体" w:cs="宋体"/>
          <w:b/>
          <w:bCs/>
          <w:sz w:val="24"/>
        </w:rPr>
        <w:t>1</w:t>
      </w:r>
      <w:r>
        <w:rPr>
          <w:rFonts w:hint="eastAsia" w:ascii="宋体" w:hAnsi="宋体" w:eastAsia="宋体" w:cs="宋体"/>
          <w:b/>
          <w:bCs/>
          <w:sz w:val="24"/>
          <w:lang w:val="en-US" w:eastAsia="zh-CN"/>
        </w:rPr>
        <w:t>.</w:t>
      </w:r>
      <w:r>
        <w:rPr>
          <w:rFonts w:hint="eastAsia" w:ascii="宋体" w:hAnsi="宋体" w:eastAsia="宋体" w:cs="宋体"/>
          <w:b/>
          <w:bCs/>
          <w:sz w:val="24"/>
        </w:rPr>
        <w:t>包装：</w:t>
      </w:r>
      <w:r>
        <w:rPr>
          <w:rFonts w:hint="eastAsia" w:ascii="宋体" w:hAnsi="宋体" w:eastAsia="宋体" w:cs="宋体"/>
          <w:sz w:val="24"/>
        </w:rPr>
        <w:t>应采取防潮、防晒、防腐蚀、防震动及防止其它损坏的必要措施。中标人应承担由于其包装或防护措施不妥而引起的货物锈蚀、损坏和丢失等任何损失造成的责任或费用。</w:t>
      </w:r>
    </w:p>
    <w:p w14:paraId="2773277C">
      <w:pPr>
        <w:spacing w:line="440" w:lineRule="exact"/>
        <w:ind w:firstLine="482" w:firstLineChars="200"/>
        <w:rPr>
          <w:rFonts w:hint="eastAsia" w:ascii="宋体" w:hAnsi="宋体" w:eastAsia="宋体" w:cs="宋体"/>
          <w:sz w:val="24"/>
        </w:rPr>
      </w:pPr>
      <w:r>
        <w:rPr>
          <w:rFonts w:hint="eastAsia" w:ascii="宋体" w:hAnsi="宋体" w:eastAsia="宋体" w:cs="宋体"/>
          <w:b/>
          <w:bCs/>
          <w:sz w:val="24"/>
        </w:rPr>
        <w:t>2</w:t>
      </w:r>
      <w:r>
        <w:rPr>
          <w:rFonts w:hint="eastAsia" w:ascii="宋体" w:hAnsi="宋体" w:eastAsia="宋体" w:cs="宋体"/>
          <w:b/>
          <w:bCs/>
          <w:sz w:val="24"/>
          <w:lang w:val="en-US" w:eastAsia="zh-CN"/>
        </w:rPr>
        <w:t>.</w:t>
      </w:r>
      <w:r>
        <w:rPr>
          <w:rFonts w:hint="eastAsia" w:ascii="宋体" w:hAnsi="宋体" w:eastAsia="宋体" w:cs="宋体"/>
          <w:b/>
          <w:bCs/>
          <w:sz w:val="24"/>
        </w:rPr>
        <w:t>运输：</w:t>
      </w:r>
      <w:r>
        <w:rPr>
          <w:rFonts w:hint="eastAsia" w:ascii="宋体" w:hAnsi="宋体" w:eastAsia="宋体" w:cs="宋体"/>
          <w:sz w:val="24"/>
        </w:rPr>
        <w:t>选择运输风险小、运费低、距离短的运输路线。运杂费一次包死在总价内，包括生产厂到交货地所需的装卸、运输（含保险费）、现场保管费、二次倒运费、吊装费等费用。</w:t>
      </w:r>
    </w:p>
    <w:bookmarkEnd w:id="0"/>
    <w:p w14:paraId="408C5C2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六、验收</w:t>
      </w:r>
    </w:p>
    <w:p w14:paraId="5B95A04B">
      <w:pPr>
        <w:tabs>
          <w:tab w:val="left" w:pos="0"/>
          <w:tab w:val="left" w:pos="437"/>
          <w:tab w:val="left" w:pos="1311"/>
        </w:tabs>
        <w:adjustRightInd w:val="0"/>
        <w:snapToGrid w:val="0"/>
        <w:spacing w:line="360" w:lineRule="auto"/>
        <w:ind w:firstLine="480" w:firstLineChars="200"/>
        <w:jc w:val="left"/>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1、项目验收</w:t>
      </w:r>
    </w:p>
    <w:p w14:paraId="3F1F9CA9">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所供产品的规格、数量符合采购文件供应商投标承诺及采购合同约定的要求。</w:t>
      </w:r>
    </w:p>
    <w:p w14:paraId="2A3BF2E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所有产品均已运输至指定地点存放，运费由供应商承担。</w:t>
      </w:r>
    </w:p>
    <w:p w14:paraId="0666471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3</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由采购人和供应商共同进行验收。其内容包括产品质量是否达到现行国家有关验收规范“合格”标准进行逐项检查。</w:t>
      </w:r>
    </w:p>
    <w:p w14:paraId="7D4AD76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4</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所有产品使用包装完好、全新的合格产品，不得使用积压材料。</w:t>
      </w:r>
    </w:p>
    <w:p w14:paraId="53638BF2">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5</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生产厂家的企业资质、检验报告、货物的执行标准。</w:t>
      </w:r>
    </w:p>
    <w:p w14:paraId="7465167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验收不合格的中标单位，必须在接到通知后7个日历日内确保货物通过验收。如接到通知后7个日历日内验收仍不合格，采购人可提出索赔或取消其供货合同。采购代理机构将把成交资格授予评审排序下一名的成交单位。</w:t>
      </w:r>
    </w:p>
    <w:p w14:paraId="6E7B145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3、验收依据</w:t>
      </w:r>
    </w:p>
    <w:p w14:paraId="6F0EB0A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（1）合同文本及合同补充文件（条款）； </w:t>
      </w:r>
    </w:p>
    <w:p w14:paraId="534703F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（2）产品的合法来源渠道证明文件、响应功能证明材料；</w:t>
      </w:r>
    </w:p>
    <w:p w14:paraId="1462DFB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（3）招标文件；</w:t>
      </w:r>
    </w:p>
    <w:p w14:paraId="3C5C06D9">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（4）中标人的投标文件；</w:t>
      </w:r>
    </w:p>
    <w:p w14:paraId="6E9C85E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（5）货物清单；</w:t>
      </w:r>
    </w:p>
    <w:p w14:paraId="7D21EB70">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（6）生产厂家的企业资质、货物的执行标准。</w:t>
      </w:r>
    </w:p>
    <w:p w14:paraId="59900AC6">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七、售后服务</w:t>
      </w:r>
    </w:p>
    <w:p w14:paraId="0B981CE4">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质量保证期：自</w:t>
      </w:r>
      <w:r>
        <w:rPr>
          <w:rFonts w:hint="eastAsia" w:ascii="宋体" w:hAnsi="宋体" w:cs="宋体"/>
          <w:color w:val="auto"/>
          <w:kern w:val="0"/>
          <w:sz w:val="24"/>
          <w:highlight w:val="none"/>
        </w:rPr>
        <w:t>项目验收</w:t>
      </w:r>
      <w:r>
        <w:rPr>
          <w:rFonts w:ascii="宋体" w:hAnsi="宋体" w:cs="宋体"/>
          <w:color w:val="auto"/>
          <w:kern w:val="0"/>
          <w:sz w:val="24"/>
          <w:highlight w:val="none"/>
        </w:rPr>
        <w:t>之日起</w:t>
      </w:r>
      <w:r>
        <w:rPr>
          <w:rFonts w:hint="eastAsia" w:ascii="宋体" w:hAnsi="宋体" w:cs="宋体"/>
          <w:color w:val="auto"/>
          <w:kern w:val="0"/>
          <w:sz w:val="24"/>
          <w:highlight w:val="none"/>
          <w:u w:val="single"/>
        </w:rPr>
        <w:t xml:space="preserve"> </w:t>
      </w:r>
      <w:r>
        <w:rPr>
          <w:rFonts w:ascii="宋体" w:hAnsi="宋体" w:cs="宋体"/>
          <w:color w:val="auto"/>
          <w:kern w:val="0"/>
          <w:sz w:val="24"/>
          <w:highlight w:val="none"/>
          <w:u w:val="single"/>
        </w:rPr>
        <w:t xml:space="preserve">           </w:t>
      </w:r>
      <w:r>
        <w:rPr>
          <w:rFonts w:ascii="宋体" w:hAnsi="宋体" w:cs="宋体"/>
          <w:color w:val="auto"/>
          <w:kern w:val="0"/>
          <w:sz w:val="24"/>
          <w:highlight w:val="none"/>
        </w:rPr>
        <w:t>，若该质量保证期小于国家标准，则以国家标准为准。</w:t>
      </w:r>
    </w:p>
    <w:p w14:paraId="79771A2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质保期内，</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出现问题后，</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24小时内必须到达现场解决问题，保证</w:t>
      </w:r>
      <w:r>
        <w:rPr>
          <w:rFonts w:hint="eastAsia" w:ascii="宋体" w:hAnsi="宋体" w:cs="宋体"/>
          <w:color w:val="auto"/>
          <w:kern w:val="0"/>
          <w:sz w:val="24"/>
          <w:highlight w:val="none"/>
          <w:lang w:val="en-US" w:eastAsia="zh-CN"/>
        </w:rPr>
        <w:t>产品完好</w:t>
      </w:r>
      <w:r>
        <w:rPr>
          <w:rFonts w:hint="eastAsia" w:ascii="宋体" w:hAnsi="宋体" w:cs="宋体"/>
          <w:color w:val="auto"/>
          <w:kern w:val="0"/>
          <w:sz w:val="24"/>
          <w:highlight w:val="none"/>
        </w:rPr>
        <w:t>。</w:t>
      </w:r>
    </w:p>
    <w:p w14:paraId="6018045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质保期内出现的质量问题由</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负责解决并承担所有费用；质保期后出现问题，</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以优惠的价格提供。</w:t>
      </w:r>
    </w:p>
    <w:p w14:paraId="0FFDA579">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八、技术与服务</w:t>
      </w:r>
    </w:p>
    <w:p w14:paraId="69055E6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1、对技术服务的要求：</w:t>
      </w:r>
    </w:p>
    <w:p w14:paraId="3FD332C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2、技术资料：</w:t>
      </w:r>
    </w:p>
    <w:p w14:paraId="72A67D1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2-1、产品合格证及检验报告；</w:t>
      </w:r>
    </w:p>
    <w:p w14:paraId="37A27487">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2-2、产品使用说明书（中文）；</w:t>
      </w:r>
    </w:p>
    <w:p w14:paraId="5F8388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ascii="宋体" w:hAnsi="宋体" w:cs="宋体"/>
          <w:color w:val="auto"/>
          <w:kern w:val="0"/>
          <w:sz w:val="24"/>
          <w:highlight w:val="none"/>
        </w:rPr>
        <w:t>3</w:t>
      </w:r>
      <w:r>
        <w:rPr>
          <w:rFonts w:hint="eastAsia" w:ascii="宋体" w:hAnsi="宋体" w:cs="宋体"/>
          <w:color w:val="auto"/>
          <w:kern w:val="0"/>
          <w:sz w:val="24"/>
          <w:highlight w:val="none"/>
        </w:rPr>
        <w:t>、其它资料。</w:t>
      </w:r>
    </w:p>
    <w:p w14:paraId="6D8A282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3、伴随服务</w:t>
      </w:r>
    </w:p>
    <w:p w14:paraId="7DE76FE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应随同每套货物提供相应的中文的技术文件。</w:t>
      </w:r>
    </w:p>
    <w:p w14:paraId="067B7B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-1-1、制造厂的检验、测试报告、检验合格证书，计量合格等级证书，质量保证书等文件须随产品提供。</w:t>
      </w:r>
    </w:p>
    <w:p w14:paraId="1A51E1D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-1-3、</w:t>
      </w:r>
      <w:r>
        <w:rPr>
          <w:rFonts w:hint="eastAsia" w:ascii="宋体" w:hAnsi="宋体" w:cs="宋体"/>
          <w:color w:val="auto"/>
          <w:kern w:val="0"/>
          <w:sz w:val="24"/>
          <w:highlight w:val="none"/>
          <w:lang w:eastAsia="zh-CN"/>
        </w:rPr>
        <w:t>必需的</w:t>
      </w:r>
      <w:r>
        <w:rPr>
          <w:rFonts w:hint="eastAsia" w:ascii="宋体" w:hAnsi="宋体" w:cs="宋体"/>
          <w:color w:val="auto"/>
          <w:kern w:val="0"/>
          <w:sz w:val="24"/>
          <w:highlight w:val="none"/>
        </w:rPr>
        <w:t>其它技术资料。</w:t>
      </w:r>
    </w:p>
    <w:p w14:paraId="5D7AD88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-2、伴随服务的费用已含在合同价中，不单独进行支付。</w:t>
      </w:r>
    </w:p>
    <w:p w14:paraId="5DA9D72E">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（二）服务承诺</w:t>
      </w:r>
    </w:p>
    <w:p w14:paraId="0A094E86">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以</w:t>
      </w:r>
      <w:r>
        <w:rPr>
          <w:rFonts w:hint="eastAsia" w:ascii="宋体" w:hAnsi="宋体" w:cs="宋体"/>
          <w:color w:val="auto"/>
          <w:kern w:val="0"/>
          <w:sz w:val="24"/>
          <w:highlight w:val="none"/>
        </w:rPr>
        <w:t>招标</w:t>
      </w:r>
      <w:r>
        <w:rPr>
          <w:rFonts w:ascii="宋体" w:hAnsi="宋体" w:cs="宋体"/>
          <w:color w:val="auto"/>
          <w:kern w:val="0"/>
          <w:sz w:val="24"/>
          <w:highlight w:val="none"/>
        </w:rPr>
        <w:t>文件、</w:t>
      </w:r>
      <w:r>
        <w:rPr>
          <w:rFonts w:hint="eastAsia" w:ascii="宋体" w:hAnsi="宋体" w:cs="宋体"/>
          <w:color w:val="auto"/>
          <w:kern w:val="0"/>
          <w:sz w:val="24"/>
          <w:highlight w:val="none"/>
        </w:rPr>
        <w:t>投标文件</w:t>
      </w:r>
      <w:r>
        <w:rPr>
          <w:rFonts w:ascii="宋体" w:hAnsi="宋体" w:cs="宋体"/>
          <w:color w:val="auto"/>
          <w:kern w:val="0"/>
          <w:sz w:val="24"/>
          <w:highlight w:val="none"/>
        </w:rPr>
        <w:t>、合同和</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的相关文件为准。</w:t>
      </w:r>
    </w:p>
    <w:p w14:paraId="600C9747">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九、权利和义务</w:t>
      </w:r>
    </w:p>
    <w:p w14:paraId="684C9DF4">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权利及义务</w:t>
      </w:r>
    </w:p>
    <w:p w14:paraId="0756260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根据招标</w:t>
      </w:r>
      <w:r>
        <w:rPr>
          <w:rFonts w:ascii="宋体" w:hAnsi="宋体" w:cs="宋体"/>
          <w:color w:val="auto"/>
          <w:kern w:val="0"/>
          <w:sz w:val="24"/>
          <w:highlight w:val="none"/>
        </w:rPr>
        <w:t>文件</w:t>
      </w:r>
      <w:r>
        <w:rPr>
          <w:rFonts w:hint="eastAsia" w:ascii="宋体" w:hAnsi="宋体" w:cs="宋体"/>
          <w:color w:val="auto"/>
          <w:kern w:val="0"/>
          <w:sz w:val="24"/>
          <w:highlight w:val="none"/>
          <w:lang w:eastAsia="zh-CN"/>
        </w:rPr>
        <w:t>的</w:t>
      </w:r>
      <w:r>
        <w:rPr>
          <w:rFonts w:ascii="宋体" w:hAnsi="宋体" w:cs="宋体"/>
          <w:color w:val="auto"/>
          <w:kern w:val="0"/>
          <w:sz w:val="24"/>
          <w:highlight w:val="none"/>
        </w:rPr>
        <w:t>要求</w:t>
      </w:r>
      <w:r>
        <w:rPr>
          <w:rFonts w:hint="eastAsia" w:ascii="宋体" w:hAnsi="宋体" w:cs="宋体"/>
          <w:color w:val="auto"/>
          <w:kern w:val="0"/>
          <w:sz w:val="24"/>
          <w:highlight w:val="none"/>
        </w:rPr>
        <w:t>对</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进行验收</w:t>
      </w:r>
      <w:r>
        <w:rPr>
          <w:rFonts w:hint="eastAsia" w:ascii="宋体" w:hAnsi="宋体" w:cs="宋体"/>
          <w:color w:val="auto"/>
          <w:kern w:val="0"/>
          <w:sz w:val="24"/>
          <w:highlight w:val="none"/>
        </w:rPr>
        <w:t>。</w:t>
      </w:r>
    </w:p>
    <w:p w14:paraId="682CE2C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应按合同约定及时结付服务费用。</w:t>
      </w:r>
    </w:p>
    <w:p w14:paraId="6FF9170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权利及义务</w:t>
      </w:r>
    </w:p>
    <w:p w14:paraId="5E04881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根据招标</w:t>
      </w:r>
      <w:r>
        <w:rPr>
          <w:rFonts w:ascii="宋体" w:hAnsi="宋体" w:cs="宋体"/>
          <w:color w:val="auto"/>
          <w:kern w:val="0"/>
          <w:sz w:val="24"/>
          <w:highlight w:val="none"/>
        </w:rPr>
        <w:t>要求</w:t>
      </w:r>
      <w:r>
        <w:rPr>
          <w:rFonts w:hint="eastAsia" w:ascii="宋体" w:hAnsi="宋体" w:cs="宋体"/>
          <w:color w:val="auto"/>
          <w:kern w:val="0"/>
          <w:sz w:val="24"/>
          <w:highlight w:val="none"/>
        </w:rPr>
        <w:t>，</w:t>
      </w:r>
      <w:r>
        <w:rPr>
          <w:rFonts w:ascii="宋体" w:hAnsi="宋体" w:cs="宋体"/>
          <w:color w:val="auto"/>
          <w:kern w:val="0"/>
          <w:sz w:val="24"/>
          <w:highlight w:val="none"/>
        </w:rPr>
        <w:t>确保</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如期</w:t>
      </w:r>
      <w:r>
        <w:rPr>
          <w:rFonts w:ascii="宋体" w:hAnsi="宋体" w:cs="宋体"/>
          <w:color w:val="auto"/>
          <w:kern w:val="0"/>
          <w:sz w:val="24"/>
          <w:highlight w:val="none"/>
        </w:rPr>
        <w:t>保质保量</w:t>
      </w:r>
      <w:r>
        <w:rPr>
          <w:rFonts w:hint="eastAsia" w:ascii="宋体" w:hAnsi="宋体" w:cs="宋体"/>
          <w:color w:val="auto"/>
          <w:kern w:val="0"/>
          <w:sz w:val="24"/>
          <w:highlight w:val="none"/>
        </w:rPr>
        <w:t>交付。</w:t>
      </w:r>
    </w:p>
    <w:p w14:paraId="7A21E2E2">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确保所供</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供货渠道正规、产地及制造商明确，产品销售记录可追溯，生产厂家授权及售后服务承诺函完整。</w:t>
      </w:r>
    </w:p>
    <w:p w14:paraId="0C2E7B51">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应保证因供货不善而产生的所有风险，并自行承担由此导致的所有法律责任。1.中标供应商保证所有货物质量必须符合</w:t>
      </w:r>
      <w:bookmarkStart w:id="1" w:name="_GoBack"/>
      <w:bookmarkEnd w:id="1"/>
      <w:r>
        <w:rPr>
          <w:rFonts w:hint="eastAsia" w:ascii="宋体" w:hAnsi="宋体" w:cs="宋体"/>
          <w:color w:val="auto"/>
          <w:kern w:val="0"/>
          <w:sz w:val="24"/>
          <w:highlight w:val="none"/>
        </w:rPr>
        <w:t>国家有关规范和相关政策。所有货物及辅材必须是未使用过的新货物，质量优良、渠道正当，配置合理。</w:t>
      </w:r>
    </w:p>
    <w:p w14:paraId="2EB350C2">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4</w:t>
      </w:r>
      <w:r>
        <w:rPr>
          <w:rFonts w:hint="eastAsia" w:ascii="宋体" w:hAnsi="宋体" w:cs="宋体"/>
          <w:color w:val="auto"/>
          <w:kern w:val="0"/>
          <w:sz w:val="24"/>
          <w:highlight w:val="none"/>
        </w:rPr>
        <w:t>.在货物使用期间，出现故障或异常，中标供应商应在4小时内响应，24小时内到现场进行维修。故障严重不能及时解决时，应及时告知采购人。如不能在24小时内排除故障，应更换备件，故障备件应及时修复，并做好相应的记录。如因自身技术能力不足无法修复，需委托货物生产厂商服务的，供货单位须负责相关费用。</w:t>
      </w:r>
    </w:p>
    <w:p w14:paraId="7DDEFDB9">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5</w:t>
      </w:r>
      <w:r>
        <w:rPr>
          <w:rFonts w:hint="eastAsia" w:ascii="宋体" w:hAnsi="宋体" w:cs="宋体"/>
          <w:color w:val="auto"/>
          <w:kern w:val="0"/>
          <w:sz w:val="24"/>
          <w:highlight w:val="none"/>
        </w:rPr>
        <w:t>.</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需要提供品控管理方案，对产品品质有管理管控过程，有独立品管部门和专门品管人员，确保产品生产过程中的质量控制完善。</w:t>
      </w:r>
    </w:p>
    <w:p w14:paraId="225353F3">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6</w:t>
      </w:r>
      <w:r>
        <w:rPr>
          <w:rFonts w:hint="eastAsia" w:ascii="宋体" w:hAnsi="宋体" w:cs="宋体"/>
          <w:color w:val="auto"/>
          <w:kern w:val="0"/>
          <w:sz w:val="24"/>
          <w:highlight w:val="none"/>
        </w:rPr>
        <w:t>.</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提供的产品及材料必须为原厂正品，保证质量可靠，为市场最新或主流产品，进货渠道正常，配置合理齐全，供应商须按招标产品主流标准配置或以采购人的补充要求为准。所供产品工艺质量应严格按国家最新发布的规范标准执行，如发生质量问题由</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承担全部责任。</w:t>
      </w:r>
    </w:p>
    <w:p w14:paraId="445E2E4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7</w:t>
      </w:r>
      <w:r>
        <w:rPr>
          <w:rFonts w:hint="eastAsia" w:ascii="宋体" w:hAnsi="宋体" w:cs="宋体"/>
          <w:color w:val="auto"/>
          <w:kern w:val="0"/>
          <w:sz w:val="24"/>
          <w:highlight w:val="none"/>
        </w:rPr>
        <w:t>.调试及培训：中标人负责所有货物的调试、培训工作，中标人必须安排技术人员对使用单位的货物管理人员进行操作应用及维护保养方面的技能培训，使其掌握基本技能。</w:t>
      </w:r>
    </w:p>
    <w:p w14:paraId="59186D9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8</w:t>
      </w:r>
      <w:r>
        <w:rPr>
          <w:rFonts w:hint="eastAsia" w:ascii="宋体" w:hAnsi="宋体" w:cs="宋体"/>
          <w:color w:val="auto"/>
          <w:kern w:val="0"/>
          <w:sz w:val="24"/>
          <w:highlight w:val="none"/>
        </w:rPr>
        <w:t>.所有货物以验收之日为质保起始日期，质保期不低于一年，保修期内，由于货物设计缺陷或货物本身的质量问题，出现故障而3个月内未将其修好，厂商保证免费更换全新的货物(如有新型号同类货物，均免费更换)。质保期出现的质量问题由中标人负责解决并承担所有费用。</w:t>
      </w:r>
    </w:p>
    <w:p w14:paraId="548FC093">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9</w:t>
      </w:r>
      <w:r>
        <w:rPr>
          <w:rFonts w:hint="eastAsia" w:ascii="宋体" w:hAnsi="宋体" w:cs="宋体"/>
          <w:color w:val="auto"/>
          <w:kern w:val="0"/>
          <w:sz w:val="24"/>
          <w:highlight w:val="none"/>
        </w:rPr>
        <w:t>.若未能在交货期内完成合同规定的义务，由此对采购人造成的延误和一切损失，由中标人承担和赔偿。</w:t>
      </w:r>
    </w:p>
    <w:p w14:paraId="77FD35D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10</w:t>
      </w:r>
      <w:r>
        <w:rPr>
          <w:rFonts w:hint="eastAsia" w:ascii="宋体" w:hAnsi="宋体" w:cs="宋体"/>
          <w:color w:val="auto"/>
          <w:kern w:val="0"/>
          <w:sz w:val="24"/>
          <w:highlight w:val="none"/>
        </w:rPr>
        <w:t>.未按合同要求提供产品或货物质量不能满足技术要求，采购人有权终止合同，并对供方违约行为进行追究，同时按《中华人民共和国政府采购法》的有关规定进行处罚。</w:t>
      </w:r>
    </w:p>
    <w:p w14:paraId="2EB471D3">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11</w:t>
      </w:r>
      <w:r>
        <w:rPr>
          <w:rFonts w:hint="eastAsia" w:ascii="宋体" w:hAnsi="宋体" w:cs="宋体"/>
          <w:color w:val="auto"/>
          <w:kern w:val="0"/>
          <w:sz w:val="24"/>
          <w:highlight w:val="none"/>
        </w:rPr>
        <w:t>.系统搭建实施要求</w:t>
      </w:r>
    </w:p>
    <w:p w14:paraId="5570B6B6">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（1）系统业务功能建设模块要求完整、设计合理、科学。</w:t>
      </w:r>
    </w:p>
    <w:p w14:paraId="17B6996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（2）系统平台运维服务，中标人负责平台总体的日常检查、维护。</w:t>
      </w:r>
    </w:p>
    <w:p w14:paraId="3558B320">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（3）常规巡检要对问题及时发现、及时提交并处理。</w:t>
      </w:r>
    </w:p>
    <w:p w14:paraId="08041193">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（4）中标人向采购人提供全方位的技术服务，在项目实施的各个阶段中，项目工程师提供7*24小时的电话服务支持，接到用户电话后，在2小时内响应，24小时以内解决问题，以保障用户的正常使用。</w:t>
      </w:r>
    </w:p>
    <w:p w14:paraId="64083F33">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（5）系统验收完成后，需要对本项目提供详细的系统使用培训服务，提供详尽的培训方案及培训计划，并列出培训的具体内容及方式，确保使用人员能够独立熟练操作、维护和正常使用。</w:t>
      </w:r>
    </w:p>
    <w:p w14:paraId="70DB24C3">
      <w:pPr>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lang w:val="en-US" w:eastAsia="zh-CN"/>
        </w:rPr>
        <w:t>十、</w:t>
      </w:r>
      <w:r>
        <w:rPr>
          <w:rFonts w:hint="eastAsia" w:ascii="宋体" w:hAnsi="宋体" w:eastAsia="宋体" w:cs="宋体"/>
          <w:b/>
          <w:bCs/>
          <w:color w:val="auto"/>
          <w:kern w:val="0"/>
          <w:sz w:val="24"/>
          <w:highlight w:val="none"/>
        </w:rPr>
        <w:t>不可抗力</w:t>
      </w:r>
    </w:p>
    <w:p w14:paraId="4945074B">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1、</w:t>
      </w:r>
      <w:r>
        <w:rPr>
          <w:rFonts w:hint="eastAsia" w:ascii="宋体" w:hAnsi="宋体" w:eastAsia="宋体" w:cs="宋体"/>
          <w:color w:val="auto"/>
          <w:kern w:val="0"/>
          <w:sz w:val="24"/>
          <w:highlight w:val="none"/>
        </w:rPr>
        <w:t>不可抗力是指合同双方不能预见、不能避免且不能克服的客观情况。</w:t>
      </w:r>
    </w:p>
    <w:p w14:paraId="75A71C46">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2、</w:t>
      </w:r>
      <w:r>
        <w:rPr>
          <w:rFonts w:hint="eastAsia" w:ascii="宋体" w:hAnsi="宋体" w:eastAsia="宋体" w:cs="宋体"/>
          <w:color w:val="auto"/>
          <w:kern w:val="0"/>
          <w:sz w:val="24"/>
          <w:highlight w:val="none"/>
        </w:rPr>
        <w:t>任何一方对由于不可抗力造成的部分或全部不能履行合同不承担违约责任。但迟延履行后发生不可抗力的，不能免除责任。</w:t>
      </w:r>
    </w:p>
    <w:p w14:paraId="06426864">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3、</w:t>
      </w:r>
      <w:r>
        <w:rPr>
          <w:rFonts w:hint="eastAsia" w:ascii="宋体" w:hAnsi="宋体" w:eastAsia="宋体" w:cs="宋体"/>
          <w:color w:val="auto"/>
          <w:kern w:val="0"/>
          <w:sz w:val="24"/>
          <w:highlight w:val="none"/>
        </w:rPr>
        <w:t>遇有不可抗力的一方，应及时将事件情况以书面形式告知另一方，并在事件发生后及时向另一方提交合同不能履行或部分不能履行或需要延期履行的详细报告，以及证明不可抗力发生及其持续时间的证据。</w:t>
      </w:r>
    </w:p>
    <w:p w14:paraId="73B1B95E">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hint="eastAsia" w:ascii="宋体" w:hAnsi="宋体" w:cs="宋体"/>
          <w:b/>
          <w:bCs/>
          <w:color w:val="auto"/>
          <w:kern w:val="0"/>
          <w:sz w:val="24"/>
          <w:highlight w:val="none"/>
          <w:lang w:val="en-US" w:eastAsia="zh-CN"/>
        </w:rPr>
        <w:t>一</w:t>
      </w:r>
      <w:r>
        <w:rPr>
          <w:rFonts w:ascii="宋体" w:hAnsi="宋体" w:cs="宋体"/>
          <w:b/>
          <w:bCs/>
          <w:color w:val="auto"/>
          <w:kern w:val="0"/>
          <w:sz w:val="24"/>
          <w:highlight w:val="none"/>
        </w:rPr>
        <w:t>、争议的解决</w:t>
      </w:r>
    </w:p>
    <w:p w14:paraId="0602AAC7">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因本合同而引起的或与本合同</w:t>
      </w:r>
      <w:r>
        <w:rPr>
          <w:rFonts w:ascii="宋体" w:hAnsi="宋体" w:cs="宋体"/>
          <w:color w:val="auto"/>
          <w:kern w:val="0"/>
          <w:sz w:val="24"/>
          <w:highlight w:val="none"/>
        </w:rPr>
        <w:t>有关的</w:t>
      </w:r>
      <w:r>
        <w:rPr>
          <w:rFonts w:hint="eastAsia" w:ascii="宋体" w:hAnsi="宋体" w:cs="宋体"/>
          <w:color w:val="auto"/>
          <w:kern w:val="0"/>
          <w:sz w:val="24"/>
          <w:highlight w:val="none"/>
        </w:rPr>
        <w:t>任何</w:t>
      </w:r>
      <w:r>
        <w:rPr>
          <w:rFonts w:ascii="宋体" w:hAnsi="宋体" w:cs="宋体"/>
          <w:color w:val="auto"/>
          <w:kern w:val="0"/>
          <w:sz w:val="24"/>
          <w:highlight w:val="none"/>
        </w:rPr>
        <w:t>争议</w:t>
      </w:r>
      <w:r>
        <w:rPr>
          <w:rFonts w:hint="eastAsia" w:ascii="宋体" w:hAnsi="宋体" w:cs="宋体"/>
          <w:color w:val="auto"/>
          <w:kern w:val="0"/>
          <w:sz w:val="24"/>
          <w:highlight w:val="none"/>
        </w:rPr>
        <w:t>，双方应当友好协商解决。如协商未能达成一致时，按</w:t>
      </w:r>
      <w:r>
        <w:rPr>
          <w:rFonts w:ascii="宋体" w:hAnsi="宋体" w:cs="宋体"/>
          <w:color w:val="auto"/>
          <w:kern w:val="0"/>
          <w:sz w:val="24"/>
          <w:highlight w:val="none"/>
        </w:rPr>
        <w:t>以下第</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lang w:val="en-US" w:eastAsia="zh-CN"/>
        </w:rPr>
        <w:t>2</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种</w:t>
      </w:r>
      <w:r>
        <w:rPr>
          <w:rFonts w:ascii="宋体" w:hAnsi="宋体" w:cs="宋体"/>
          <w:color w:val="auto"/>
          <w:kern w:val="0"/>
          <w:sz w:val="24"/>
          <w:highlight w:val="none"/>
        </w:rPr>
        <w:t>方式解决</w:t>
      </w:r>
      <w:r>
        <w:rPr>
          <w:rFonts w:hint="eastAsia" w:ascii="宋体" w:hAnsi="宋体" w:cs="宋体"/>
          <w:color w:val="auto"/>
          <w:kern w:val="0"/>
          <w:sz w:val="24"/>
          <w:highlight w:val="none"/>
        </w:rPr>
        <w:t>。</w:t>
      </w:r>
    </w:p>
    <w:p w14:paraId="49D165D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ascii="宋体" w:hAnsi="宋体" w:cs="宋体"/>
          <w:color w:val="auto"/>
          <w:kern w:val="0"/>
          <w:sz w:val="24"/>
          <w:highlight w:val="none"/>
        </w:rPr>
        <w:t>）</w:t>
      </w:r>
      <w:r>
        <w:rPr>
          <w:rFonts w:hint="eastAsia" w:ascii="宋体" w:hAnsi="宋体" w:cs="宋体"/>
          <w:color w:val="auto"/>
          <w:kern w:val="0"/>
          <w:sz w:val="24"/>
          <w:highlight w:val="none"/>
        </w:rPr>
        <w:t>向有管辖权的人民法院提起诉讼。</w:t>
      </w:r>
    </w:p>
    <w:p w14:paraId="24A09083">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ascii="宋体" w:hAnsi="宋体" w:cs="宋体"/>
          <w:color w:val="auto"/>
          <w:kern w:val="0"/>
          <w:sz w:val="24"/>
          <w:highlight w:val="none"/>
        </w:rPr>
        <w:t>）</w:t>
      </w:r>
      <w:r>
        <w:rPr>
          <w:rFonts w:hint="eastAsia" w:ascii="宋体" w:hAnsi="宋体" w:cs="宋体"/>
          <w:color w:val="auto"/>
          <w:kern w:val="0"/>
          <w:sz w:val="24"/>
          <w:highlight w:val="none"/>
        </w:rPr>
        <w:t>向</w:t>
      </w:r>
      <w:r>
        <w:rPr>
          <w:rFonts w:hint="eastAsia" w:ascii="宋体" w:hAnsi="宋体" w:cs="宋体"/>
          <w:color w:val="auto"/>
          <w:kern w:val="0"/>
          <w:sz w:val="24"/>
          <w:highlight w:val="none"/>
          <w:lang w:val="en-US" w:eastAsia="zh-CN"/>
        </w:rPr>
        <w:t>渭南市</w:t>
      </w:r>
      <w:r>
        <w:rPr>
          <w:rFonts w:ascii="宋体" w:hAnsi="宋体" w:cs="宋体"/>
          <w:color w:val="auto"/>
          <w:kern w:val="0"/>
          <w:sz w:val="24"/>
          <w:highlight w:val="none"/>
        </w:rPr>
        <w:t>仲裁委员会</w:t>
      </w:r>
      <w:r>
        <w:rPr>
          <w:rFonts w:hint="eastAsia" w:ascii="宋体" w:hAnsi="宋体" w:cs="宋体"/>
          <w:color w:val="auto"/>
          <w:kern w:val="0"/>
          <w:sz w:val="24"/>
          <w:highlight w:val="none"/>
        </w:rPr>
        <w:t>提起</w:t>
      </w:r>
      <w:r>
        <w:rPr>
          <w:rFonts w:ascii="宋体" w:hAnsi="宋体" w:cs="宋体"/>
          <w:color w:val="auto"/>
          <w:kern w:val="0"/>
          <w:sz w:val="24"/>
          <w:highlight w:val="none"/>
        </w:rPr>
        <w:t>仲裁</w:t>
      </w:r>
      <w:r>
        <w:rPr>
          <w:rFonts w:hint="eastAsia" w:ascii="宋体" w:hAnsi="宋体" w:cs="宋体"/>
          <w:color w:val="auto"/>
          <w:kern w:val="0"/>
          <w:sz w:val="24"/>
          <w:highlight w:val="none"/>
        </w:rPr>
        <w:t>。</w:t>
      </w:r>
    </w:p>
    <w:p w14:paraId="4AD7F3E1">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hint="eastAsia" w:ascii="宋体" w:hAnsi="宋体" w:cs="宋体"/>
          <w:b/>
          <w:bCs/>
          <w:color w:val="auto"/>
          <w:kern w:val="0"/>
          <w:sz w:val="24"/>
          <w:highlight w:val="none"/>
          <w:lang w:val="en-US" w:eastAsia="zh-CN"/>
        </w:rPr>
        <w:t>二</w:t>
      </w:r>
      <w:r>
        <w:rPr>
          <w:rFonts w:ascii="宋体" w:hAnsi="宋体" w:cs="宋体"/>
          <w:b/>
          <w:bCs/>
          <w:color w:val="auto"/>
          <w:kern w:val="0"/>
          <w:sz w:val="24"/>
          <w:highlight w:val="none"/>
        </w:rPr>
        <w:t>、违约责任</w:t>
      </w:r>
    </w:p>
    <w:p w14:paraId="77528E9C">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w:t>
      </w:r>
      <w:r>
        <w:rPr>
          <w:rFonts w:hint="eastAsia" w:ascii="宋体" w:hAnsi="宋体" w:cs="宋体"/>
          <w:color w:val="auto"/>
          <w:kern w:val="0"/>
          <w:sz w:val="24"/>
          <w:highlight w:val="none"/>
        </w:rPr>
        <w:t>一</w:t>
      </w:r>
      <w:r>
        <w:rPr>
          <w:rFonts w:ascii="宋体" w:hAnsi="宋体" w:cs="宋体"/>
          <w:color w:val="auto"/>
          <w:kern w:val="0"/>
          <w:sz w:val="24"/>
          <w:highlight w:val="none"/>
        </w:rPr>
        <w:t>）未按合同要求提供</w:t>
      </w:r>
      <w:r>
        <w:rPr>
          <w:rFonts w:hint="eastAsia" w:ascii="宋体" w:hAnsi="宋体" w:cs="宋体"/>
          <w:color w:val="auto"/>
          <w:kern w:val="0"/>
          <w:sz w:val="24"/>
          <w:highlight w:val="none"/>
          <w:lang w:val="en-US" w:eastAsia="zh-CN"/>
        </w:rPr>
        <w:t>货物</w:t>
      </w:r>
      <w:r>
        <w:rPr>
          <w:rFonts w:ascii="宋体" w:hAnsi="宋体" w:cs="宋体"/>
          <w:color w:val="auto"/>
          <w:kern w:val="0"/>
          <w:sz w:val="24"/>
          <w:highlight w:val="none"/>
        </w:rPr>
        <w:t>或</w:t>
      </w:r>
      <w:r>
        <w:rPr>
          <w:rFonts w:hint="eastAsia" w:ascii="宋体" w:hAnsi="宋体" w:cs="宋体"/>
          <w:color w:val="auto"/>
          <w:kern w:val="0"/>
          <w:sz w:val="24"/>
          <w:highlight w:val="none"/>
        </w:rPr>
        <w:t>服务</w:t>
      </w:r>
      <w:r>
        <w:rPr>
          <w:rFonts w:ascii="宋体" w:hAnsi="宋体" w:cs="宋体"/>
          <w:color w:val="auto"/>
          <w:kern w:val="0"/>
          <w:sz w:val="24"/>
          <w:highlight w:val="none"/>
        </w:rPr>
        <w:t>质量不能满足合同要求，</w:t>
      </w:r>
      <w:r>
        <w:rPr>
          <w:rFonts w:hint="eastAsia" w:ascii="宋体" w:hAnsi="宋体" w:cs="宋体"/>
          <w:color w:val="auto"/>
          <w:kern w:val="0"/>
          <w:sz w:val="24"/>
          <w:highlight w:val="none"/>
        </w:rPr>
        <w:t>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w:t>
      </w:r>
    </w:p>
    <w:p w14:paraId="4FD1D73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（二）其他未尽事宜，</w:t>
      </w:r>
      <w:r>
        <w:rPr>
          <w:rFonts w:ascii="宋体" w:hAnsi="宋体" w:cs="宋体"/>
          <w:color w:val="auto"/>
          <w:kern w:val="0"/>
          <w:sz w:val="24"/>
          <w:highlight w:val="none"/>
        </w:rPr>
        <w:t>按《中华人民共和国</w:t>
      </w:r>
      <w:r>
        <w:rPr>
          <w:rFonts w:hint="eastAsia" w:ascii="宋体" w:hAnsi="宋体" w:cs="宋体"/>
          <w:color w:val="auto"/>
          <w:kern w:val="0"/>
          <w:sz w:val="24"/>
          <w:highlight w:val="none"/>
        </w:rPr>
        <w:t>民法典</w:t>
      </w:r>
      <w:r>
        <w:rPr>
          <w:rFonts w:ascii="宋体" w:hAnsi="宋体" w:cs="宋体"/>
          <w:color w:val="auto"/>
          <w:kern w:val="0"/>
          <w:sz w:val="24"/>
          <w:highlight w:val="none"/>
        </w:rPr>
        <w:t>》中的相关条款执行。</w:t>
      </w:r>
    </w:p>
    <w:p w14:paraId="19511EB0">
      <w:pPr>
        <w:spacing w:line="360" w:lineRule="auto"/>
        <w:ind w:firstLine="482" w:firstLineChars="200"/>
        <w:rPr>
          <w:rFonts w:hint="eastAsia"/>
          <w:b/>
          <w:bCs/>
          <w:color w:val="auto"/>
          <w:sz w:val="24"/>
          <w:highlight w:val="none"/>
        </w:rPr>
      </w:pPr>
      <w:r>
        <w:rPr>
          <w:rFonts w:hint="eastAsia"/>
          <w:b/>
          <w:bCs/>
          <w:color w:val="auto"/>
          <w:sz w:val="24"/>
          <w:highlight w:val="none"/>
        </w:rPr>
        <w:t>十</w:t>
      </w:r>
      <w:r>
        <w:rPr>
          <w:rFonts w:hint="eastAsia"/>
          <w:b/>
          <w:bCs/>
          <w:color w:val="auto"/>
          <w:sz w:val="24"/>
          <w:highlight w:val="none"/>
          <w:lang w:val="en-US" w:eastAsia="zh-CN"/>
        </w:rPr>
        <w:t>三</w:t>
      </w:r>
      <w:r>
        <w:rPr>
          <w:rFonts w:hint="eastAsia"/>
          <w:b/>
          <w:bCs/>
          <w:color w:val="auto"/>
          <w:sz w:val="24"/>
          <w:highlight w:val="none"/>
        </w:rPr>
        <w:t>、其他</w:t>
      </w:r>
    </w:p>
    <w:p w14:paraId="3CE0346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1、本合同经采购人、供应商法定代表人或其委托人签字并加盖公章后生效。</w:t>
      </w:r>
    </w:p>
    <w:p w14:paraId="51D8A174">
      <w:pPr>
        <w:bidi w:val="0"/>
        <w:ind w:firstLine="480" w:firstLineChars="200"/>
        <w:rPr>
          <w:rFonts w:hint="eastAsia" w:ascii="宋体" w:hAnsi="宋体" w:eastAsia="宋体" w:cs="宋体"/>
          <w:color w:val="auto"/>
          <w:sz w:val="24"/>
          <w:highlight w:val="none"/>
        </w:rPr>
      </w:pPr>
      <w:r>
        <w:rPr>
          <w:rFonts w:hint="eastAsia" w:ascii="宋体" w:hAnsi="宋体" w:cs="宋体"/>
          <w:color w:val="auto"/>
          <w:kern w:val="0"/>
          <w:sz w:val="24"/>
          <w:highlight w:val="none"/>
        </w:rPr>
        <w:t>2、本合同一式六份，采购人、供应商各执两份，其余二份提供给相关单位。</w:t>
      </w:r>
    </w:p>
    <w:p w14:paraId="5C1219B3">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采购人（章）：                           中标人（章）：        </w:t>
      </w:r>
    </w:p>
    <w:p w14:paraId="3A1FEFB5">
      <w:pPr>
        <w:ind w:firstLine="480" w:firstLineChars="200"/>
        <w:rPr>
          <w:rFonts w:hint="eastAsia" w:ascii="宋体" w:hAnsi="宋体" w:eastAsia="宋体" w:cs="宋体"/>
          <w:color w:val="auto"/>
          <w:sz w:val="24"/>
          <w:highlight w:val="none"/>
        </w:rPr>
      </w:pPr>
    </w:p>
    <w:p w14:paraId="42FD577F">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法定代表人                 　          　法定代表人  </w:t>
      </w:r>
    </w:p>
    <w:p w14:paraId="5463E2CE">
      <w:pPr>
        <w:rPr>
          <w:rFonts w:hint="eastAsia" w:ascii="宋体" w:hAnsi="宋体" w:eastAsia="宋体" w:cs="宋体"/>
          <w:color w:val="auto"/>
          <w:sz w:val="24"/>
          <w:highlight w:val="none"/>
        </w:rPr>
      </w:pPr>
      <w:r>
        <w:rPr>
          <w:rFonts w:hint="eastAsia" w:ascii="宋体" w:hAnsi="宋体" w:eastAsia="宋体" w:cs="宋体"/>
          <w:color w:val="auto"/>
          <w:sz w:val="24"/>
          <w:highlight w:val="none"/>
        </w:rPr>
        <w:t>或委托代理人（签字或盖章）：             或委托代理人（签字或盖章）：</w:t>
      </w:r>
    </w:p>
    <w:p w14:paraId="7BA76607">
      <w:pPr>
        <w:ind w:firstLine="1200" w:firstLineChars="500"/>
        <w:rPr>
          <w:rFonts w:hint="eastAsia" w:ascii="宋体" w:hAnsi="宋体" w:eastAsia="宋体" w:cs="宋体"/>
          <w:color w:val="auto"/>
          <w:sz w:val="24"/>
          <w:highlight w:val="none"/>
        </w:rPr>
      </w:pPr>
      <w:r>
        <w:rPr>
          <w:rFonts w:hint="eastAsia" w:ascii="宋体" w:hAnsi="宋体" w:eastAsia="宋体" w:cs="宋体"/>
          <w:color w:val="auto"/>
          <w:sz w:val="24"/>
          <w:highlight w:val="none"/>
        </w:rPr>
        <w:t>年   月   日                             年   月   日</w:t>
      </w:r>
    </w:p>
    <w:p w14:paraId="228B1872">
      <w:pPr>
        <w:pStyle w:val="12"/>
        <w:rPr>
          <w:rFonts w:hint="eastAsia" w:ascii="宋体" w:hAnsi="宋体" w:eastAsia="宋体" w:cs="宋体"/>
          <w:color w:val="auto"/>
          <w:highlight w:val="none"/>
        </w:rPr>
      </w:pPr>
    </w:p>
    <w:p w14:paraId="3DF5482B"/>
    <w:sectPr>
      <w:footerReference r:id="rId5" w:type="default"/>
      <w:pgSz w:w="11906" w:h="16838"/>
      <w:pgMar w:top="1417" w:right="1417" w:bottom="1417" w:left="141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20EFC">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BEADD5">
                          <w:pPr>
                            <w:pStyle w:val="9"/>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14:paraId="20BEADD5">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wMmY4ODJkNTZmNjA4MTU3ODk3ZTRjOGEwYmVhNGUifQ=="/>
  </w:docVars>
  <w:rsids>
    <w:rsidRoot w:val="00000000"/>
    <w:rsid w:val="010941FC"/>
    <w:rsid w:val="045B71F9"/>
    <w:rsid w:val="048D53F9"/>
    <w:rsid w:val="079A613C"/>
    <w:rsid w:val="08F44E17"/>
    <w:rsid w:val="0A6273E5"/>
    <w:rsid w:val="0B5D0AB4"/>
    <w:rsid w:val="0ED90EEF"/>
    <w:rsid w:val="1070516A"/>
    <w:rsid w:val="15E329A1"/>
    <w:rsid w:val="1BE85270"/>
    <w:rsid w:val="1C0F0A4F"/>
    <w:rsid w:val="1D772D50"/>
    <w:rsid w:val="23166B67"/>
    <w:rsid w:val="280A628D"/>
    <w:rsid w:val="287E5795"/>
    <w:rsid w:val="29DE4614"/>
    <w:rsid w:val="2C617665"/>
    <w:rsid w:val="2FDB2CCA"/>
    <w:rsid w:val="34B70F01"/>
    <w:rsid w:val="39C921EB"/>
    <w:rsid w:val="3CAF1767"/>
    <w:rsid w:val="401776B5"/>
    <w:rsid w:val="40C15F0C"/>
    <w:rsid w:val="411E572C"/>
    <w:rsid w:val="420A0F2A"/>
    <w:rsid w:val="43F6794C"/>
    <w:rsid w:val="46FD7F11"/>
    <w:rsid w:val="47906638"/>
    <w:rsid w:val="4B5210A3"/>
    <w:rsid w:val="4C96649F"/>
    <w:rsid w:val="50044C98"/>
    <w:rsid w:val="53735512"/>
    <w:rsid w:val="539F20DD"/>
    <w:rsid w:val="56A85310"/>
    <w:rsid w:val="5A56726E"/>
    <w:rsid w:val="61D03DA9"/>
    <w:rsid w:val="72C14FC3"/>
    <w:rsid w:val="76355158"/>
    <w:rsid w:val="76B7148E"/>
    <w:rsid w:val="7FB54F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tabs>
        <w:tab w:val="left" w:pos="432"/>
        <w:tab w:val="left" w:pos="576"/>
      </w:tabs>
      <w:ind w:left="431" w:hanging="431"/>
      <w:outlineLvl w:val="0"/>
    </w:pPr>
    <w:rPr>
      <w:kern w:val="44"/>
      <w:sz w:val="44"/>
    </w:rPr>
  </w:style>
  <w:style w:type="paragraph" w:styleId="3">
    <w:name w:val="heading 3"/>
    <w:basedOn w:val="1"/>
    <w:next w:val="1"/>
    <w:qFormat/>
    <w:uiPriority w:val="0"/>
    <w:pPr>
      <w:keepNext/>
      <w:keepLines/>
      <w:spacing w:line="360" w:lineRule="auto"/>
      <w:ind w:firstLine="200" w:firstLineChars="200"/>
      <w:outlineLvl w:val="2"/>
    </w:pPr>
    <w:rPr>
      <w:rFonts w:eastAsia="黑体"/>
      <w:b/>
      <w:bCs/>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5">
    <w:name w:val="Body Text"/>
    <w:basedOn w:val="1"/>
    <w:next w:val="1"/>
    <w:qFormat/>
    <w:uiPriority w:val="99"/>
    <w:rPr>
      <w:color w:val="993300"/>
      <w:sz w:val="24"/>
    </w:rPr>
  </w:style>
  <w:style w:type="paragraph" w:styleId="6">
    <w:name w:val="Body Text Indent"/>
    <w:basedOn w:val="1"/>
    <w:next w:val="7"/>
    <w:qFormat/>
    <w:uiPriority w:val="0"/>
    <w:pPr>
      <w:ind w:firstLine="480"/>
    </w:pPr>
    <w:rPr>
      <w:rFonts w:ascii="宋体" w:hAnsi="宋体"/>
    </w:rPr>
  </w:style>
  <w:style w:type="paragraph" w:customStyle="1" w:styleId="7">
    <w:name w:val="Style1"/>
    <w:basedOn w:val="1"/>
    <w:next w:val="8"/>
    <w:qFormat/>
    <w:uiPriority w:val="0"/>
    <w:pPr>
      <w:widowControl/>
      <w:tabs>
        <w:tab w:val="left" w:pos="-720"/>
      </w:tabs>
      <w:spacing w:after="120" w:afterLines="0"/>
    </w:pPr>
    <w:rPr>
      <w:rFonts w:ascii="Times New Roman" w:hAnsi="Times New Roman" w:eastAsia="宋体" w:cs="Times New Roman"/>
      <w:spacing w:val="-3"/>
      <w:kern w:val="0"/>
      <w:sz w:val="24"/>
      <w:szCs w:val="20"/>
      <w:lang w:val="en-AU" w:eastAsia="en-US"/>
    </w:rPr>
  </w:style>
  <w:style w:type="paragraph" w:customStyle="1" w:styleId="8">
    <w:name w:val="*正文"/>
    <w:basedOn w:val="1"/>
    <w:qFormat/>
    <w:uiPriority w:val="0"/>
    <w:pPr>
      <w:ind w:firstLine="200" w:firstLineChars="200"/>
    </w:pPr>
    <w:rPr>
      <w:rFonts w:ascii="宋体" w:hAnsi="宋体"/>
      <w:szCs w:val="22"/>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4"/>
    <w:basedOn w:val="1"/>
    <w:next w:val="1"/>
    <w:qFormat/>
    <w:uiPriority w:val="0"/>
    <w:pPr>
      <w:tabs>
        <w:tab w:val="left" w:pos="1890"/>
        <w:tab w:val="right" w:leader="dot" w:pos="8296"/>
      </w:tabs>
      <w:ind w:left="630" w:leftChars="300"/>
    </w:pPr>
    <w:rPr>
      <w:rFonts w:ascii="Calibri" w:hAnsi="Calibri"/>
      <w:szCs w:val="22"/>
    </w:rPr>
  </w:style>
  <w:style w:type="paragraph" w:styleId="12">
    <w:name w:val="Title"/>
    <w:basedOn w:val="1"/>
    <w:qFormat/>
    <w:uiPriority w:val="0"/>
    <w:pPr>
      <w:spacing w:before="240" w:after="60"/>
      <w:jc w:val="center"/>
      <w:outlineLvl w:val="0"/>
    </w:pPr>
    <w:rPr>
      <w:rFonts w:ascii="Cambria" w:hAnsi="Cambria"/>
      <w:b/>
      <w:bCs/>
      <w:sz w:val="32"/>
      <w:szCs w:val="32"/>
    </w:rPr>
  </w:style>
  <w:style w:type="paragraph" w:customStyle="1" w:styleId="15">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6">
    <w:name w:val="表格文字"/>
    <w:basedOn w:val="17"/>
    <w:next w:val="1"/>
    <w:qFormat/>
    <w:uiPriority w:val="0"/>
    <w:pPr>
      <w:spacing w:before="25" w:after="25" w:line="300" w:lineRule="auto"/>
    </w:pPr>
    <w:rPr>
      <w:rFonts w:ascii="宋体" w:hAnsi="宋体" w:cs="宋体"/>
      <w:spacing w:val="10"/>
      <w:kern w:val="0"/>
      <w:sz w:val="24"/>
    </w:rPr>
  </w:style>
  <w:style w:type="paragraph" w:customStyle="1" w:styleId="17">
    <w:name w:val="正文 New"/>
    <w:qFormat/>
    <w:uiPriority w:val="99"/>
    <w:pPr>
      <w:widowControl w:val="0"/>
      <w:jc w:val="both"/>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2318</Words>
  <Characters>2339</Characters>
  <Lines>0</Lines>
  <Paragraphs>0</Paragraphs>
  <TotalTime>1</TotalTime>
  <ScaleCrop>false</ScaleCrop>
  <LinksUpToDate>false</LinksUpToDate>
  <CharactersWithSpaces>2600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2024-10-24T01:55:00Z</dcterms:created>
  <dc:creator>新瑞</dc:creator>
  <cp:lastModifiedBy>有点甜</cp:lastModifiedBy>
  <dcterms:modified xsi:type="dcterms:W3CDTF">2025-07-15T02:05:57Z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31E90B52C71049AFBE8C69C70B2A4A15_13</vt:lpwstr>
  </property>
  <property fmtid="{D5CDD505-2E9C-101B-9397-08002B2CF9AE}" pid="4" name="KSOTemplateDocerSaveRecord">
    <vt:lpwstr>eyJoZGlkIjoiNzJjY2M5OTVjNGM0MTQ2YTJhMjI4NjJlOGU5NjUwNjQiLCJ1c2VySWQiOiI1NjY1MDY3MzkifQ==</vt:lpwstr>
  </property>
</Properties>
</file>