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482" w:firstLineChars="2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 </w:t>
      </w:r>
      <w:r>
        <w:rPr>
          <w:rFonts w:hint="eastAsia" w:ascii="宋体" w:hAnsi="宋体" w:cs="宋体"/>
          <w:sz w:val="24"/>
          <w:lang w:val="en-US" w:eastAsia="zh-CN"/>
        </w:rPr>
        <w:t>（详见格式2）</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4</w:t>
      </w:r>
      <w:bookmarkStart w:id="0" w:name="_GoBack"/>
      <w:bookmarkEnd w:id="0"/>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3064239C"/>
    <w:rsid w:val="38F545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2281</Words>
  <Characters>2341</Characters>
  <Lines>0</Lines>
  <Paragraphs>0</Paragraphs>
  <TotalTime>1</TotalTime>
  <ScaleCrop>false</ScaleCrop>
  <LinksUpToDate>false</LinksUpToDate>
  <CharactersWithSpaces>2706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2025-07-21T04:15:36Z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