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20776">
      <w:pPr>
        <w:spacing w:line="640" w:lineRule="exact"/>
        <w:ind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合阳县 2025 年度煤矿超层越界检测项目</w:t>
      </w:r>
    </w:p>
    <w:p w14:paraId="28859266">
      <w:pPr>
        <w:spacing w:line="640" w:lineRule="exact"/>
        <w:ind w:firstLine="0" w:firstLineChars="0"/>
        <w:jc w:val="center"/>
        <w:rPr>
          <w:rFonts w:hint="eastAsia"/>
          <w:lang w:val="en-US" w:eastAsia="zh-CN"/>
        </w:rPr>
      </w:pPr>
      <w:r>
        <w:rPr>
          <w:rFonts w:hint="eastAsia" w:ascii="方正小标宋简体" w:hAnsi="方正小标宋简体" w:eastAsia="方正小标宋简体" w:cs="方正小标宋简体"/>
          <w:b w:val="0"/>
          <w:bCs w:val="0"/>
          <w:sz w:val="44"/>
          <w:szCs w:val="44"/>
        </w:rPr>
        <w:t>采购需求</w:t>
      </w:r>
    </w:p>
    <w:p w14:paraId="2ABB91CA">
      <w:pPr>
        <w:pStyle w:val="12"/>
        <w:numPr>
          <w:ilvl w:val="0"/>
          <w:numId w:val="0"/>
        </w:numPr>
        <w:spacing w:line="360" w:lineRule="auto"/>
        <w:jc w:val="both"/>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一、基本要求</w:t>
      </w:r>
    </w:p>
    <w:p w14:paraId="0538EF2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1、功能要求：</w:t>
      </w:r>
      <w:r>
        <w:rPr>
          <w:rFonts w:hint="eastAsia" w:ascii="仿宋" w:hAnsi="仿宋" w:eastAsia="仿宋" w:cs="仿宋"/>
          <w:sz w:val="32"/>
          <w:szCs w:val="32"/>
          <w:lang w:val="en-US" w:eastAsia="zh-CN"/>
        </w:rPr>
        <w:t>依据《国务院关于预防煤矿生产安全事故的特别规定》（国务院令第 446 号）将超层越界开采明确列为重大安全隐患之一，和《国土资源部、国家安全生产监督管理总局、国家煤矿安全监察局关于开展煤矿超层越界开采专项检查整治行动的通知》等有关文件要求，需对合阳县行政区域内全部煤矿资源开采情况逐一进行检查并检测。</w:t>
      </w:r>
    </w:p>
    <w:p w14:paraId="10F3417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2、采购项目需要落实的政府采购政策：</w:t>
      </w:r>
    </w:p>
    <w:p w14:paraId="2B7513A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《政府采购促进中小企业发展管理办法》（财库〔2020〕46 号）</w:t>
      </w:r>
    </w:p>
    <w:p w14:paraId="60CE0D1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《关于进一步加大政府采购支持中小企业力度的通知》（财库〔2022〕19 号）、</w:t>
      </w:r>
    </w:p>
    <w:p w14:paraId="51F5A091">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《关于落实政府采购支持中小企业政策有关事项的通知》（陕财办采函〔2022〕10 号）。</w:t>
      </w:r>
    </w:p>
    <w:p w14:paraId="0693A754">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《财政部司法部关于政府采购支持监狱企业发展有关问题的通知》（财库〔2014〕68 号）</w:t>
      </w:r>
    </w:p>
    <w:p w14:paraId="015C9B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《关于促进残疾人就业政府采购政策的通知》（财库〔2017〕141 号）。</w:t>
      </w:r>
    </w:p>
    <w:p w14:paraId="726B38E7">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《陕西省中小企业政府采购信用融资办法》（陕财办采〔2018〕23 号）、</w:t>
      </w:r>
    </w:p>
    <w:p w14:paraId="5D3596B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《陕西省财政厅关于加快推进我省中小企业政府采购信用融资工作的通知》（陕财办采〔2020〕15 号）。</w:t>
      </w:r>
    </w:p>
    <w:p w14:paraId="3876B7F1">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《国务院办公厅关于建立政府强制采购节能产品制度的通知》（国办发〔2007〕51 号）</w:t>
      </w:r>
    </w:p>
    <w:p w14:paraId="763128D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《节能产品政府采购实施意见》（财库〔2004〕185 号）、</w:t>
      </w:r>
    </w:p>
    <w:p w14:paraId="669333D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《环境标志产品政府采购实施的意见》（财库〔2006〕90 号）、</w:t>
      </w:r>
    </w:p>
    <w:p w14:paraId="11960F3C">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《国务院办公厅关于建立政府强制采购节能产品制度的通知》（国办发〔2007〕51 号）、</w:t>
      </w:r>
    </w:p>
    <w:p w14:paraId="7BE7BD1E">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《财政部</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发展改革委</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生态环境部</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市场监管总局关于调整优化节能产品、环境标志产品政府采购执行机制的通知》（财库〔2019〕9 号）、</w:t>
      </w:r>
    </w:p>
    <w:p w14:paraId="784A712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《陕西省财政厅关于进一步落实政府采购支持中小企业相关政策的通知》；陕财办采〔2023〕3号；</w:t>
      </w:r>
    </w:p>
    <w:p w14:paraId="026CAC3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《陕西省财政厅关于进一步优化政府采购营商环境有关事项的通知》（陕财办采〔2023〕4号）；</w:t>
      </w:r>
    </w:p>
    <w:p w14:paraId="745640F7">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《关于运用政府采购政策支持乡村产业振兴的通知》（财库〔2021〕19 号）。</w:t>
      </w:r>
    </w:p>
    <w:p w14:paraId="782B74C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其他需要落实的政府采购政策。</w:t>
      </w:r>
    </w:p>
    <w:p w14:paraId="6168A845">
      <w:pPr>
        <w:keepNext w:val="0"/>
        <w:keepLines w:val="0"/>
        <w:pageBreakBefore w:val="0"/>
        <w:kinsoku/>
        <w:wordWrap/>
        <w:overflowPunct/>
        <w:topLinePunct w:val="0"/>
        <w:autoSpaceDE/>
        <w:autoSpaceDN/>
        <w:bidi w:val="0"/>
        <w:adjustRightInd/>
        <w:spacing w:line="54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满足《中华人民共和国政府采购法》第二十二条规定</w:t>
      </w:r>
    </w:p>
    <w:p w14:paraId="3615B3CC">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（1）具有独立承担民事责任能力的法人、其他组织或自然人，并出具合法有效的营业执照或事业单位法人证书等国家规定的相关证明，自然人参与的提供其身份证明；</w:t>
      </w:r>
    </w:p>
    <w:p w14:paraId="2EAA7A4C">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（2）企业法定代表人授权书（附法定代表人有效身份证复印件，法定代表人直接参加须提供法定代表人身份证明及本人有效身份证）及被授权人有效身份证原件和复印件； </w:t>
      </w:r>
    </w:p>
    <w:p w14:paraId="6C1E6AD3">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（3）供应商须具备测绘资质审批机关核发的乙级或以上测绘资质（专业范围含工程测量）；</w:t>
      </w:r>
    </w:p>
    <w:p w14:paraId="6BFC0CB3">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（4）项目负责人须具备测绘专业中级及以上职称；</w:t>
      </w:r>
    </w:p>
    <w:p w14:paraId="5A9B615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财务状况报告：提供2023年度的财务审计报告（至少包括资产负债表和利润表，成立时间至提交投标文件截止时间不足一年的可提供成立后任意时段的资产负债表），或其开标前六个月内银行开具的资信证明；</w:t>
      </w:r>
    </w:p>
    <w:p w14:paraId="383B9CB7">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（6）税收缴纳证明：提供投标文件递交截止日前六个月内任意一个月的纳税证明或完税证明，依法免税的单位应提供相关证明材料；</w:t>
      </w:r>
    </w:p>
    <w:p w14:paraId="472B27F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（7）社会保障资金缴纳证明：提供投标文件递交截止日前六个月内任意一个月的社会保障资金缴存单据或社保机构开具的社会保险参保缴费情况证明，依法不需要缴纳社会保障资金的单位应提供相关证明材料； </w:t>
      </w:r>
    </w:p>
    <w:p w14:paraId="1AD76B6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（8）参加政府采购活动前3年内，在经营活动中没有重大违法记录的书面声明；</w:t>
      </w:r>
    </w:p>
    <w:p w14:paraId="4116186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查询结果网页截图并加盖投标人公章）；</w:t>
      </w:r>
    </w:p>
    <w:p w14:paraId="1A662EE3">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4、服务期限：合同签订后365日历天</w:t>
      </w:r>
    </w:p>
    <w:p w14:paraId="275D2193">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5、服务地点：合阳县</w:t>
      </w:r>
    </w:p>
    <w:p w14:paraId="250921FD">
      <w:pPr>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sz w:val="32"/>
          <w:szCs w:val="32"/>
        </w:rPr>
      </w:pPr>
      <w:bookmarkStart w:id="0" w:name="_Toc21447"/>
      <w:r>
        <w:rPr>
          <w:rFonts w:hint="eastAsia" w:ascii="宋体" w:hAnsi="宋体" w:eastAsia="宋体" w:cs="宋体"/>
          <w:b/>
          <w:bCs/>
          <w:sz w:val="32"/>
          <w:szCs w:val="32"/>
        </w:rPr>
        <w:t>二、需执行的国家相关标准、行业标准、地方标准或者其他标准、规范标准</w:t>
      </w:r>
      <w:bookmarkEnd w:id="0"/>
    </w:p>
    <w:p w14:paraId="3BEA20EA">
      <w:pPr>
        <w:spacing w:line="640" w:lineRule="exact"/>
        <w:ind w:left="0" w:leftChars="0" w:firstLine="640" w:firstLineChars="200"/>
        <w:rPr>
          <w:rFonts w:hint="eastAsia" w:ascii="仿宋" w:hAnsi="仿宋" w:eastAsia="仿宋" w:cs="仿宋"/>
          <w:sz w:val="32"/>
          <w:szCs w:val="32"/>
        </w:rPr>
      </w:pPr>
      <w:bookmarkStart w:id="1" w:name="_Toc3257"/>
      <w:r>
        <w:rPr>
          <w:rFonts w:hint="eastAsia" w:ascii="仿宋" w:hAnsi="仿宋" w:eastAsia="仿宋" w:cs="仿宋"/>
          <w:sz w:val="32"/>
          <w:szCs w:val="32"/>
          <w:lang w:val="en-US" w:eastAsia="zh-CN"/>
        </w:rPr>
        <w:t>其他</w:t>
      </w:r>
      <w:r>
        <w:rPr>
          <w:rFonts w:hint="eastAsia" w:ascii="仿宋" w:hAnsi="仿宋" w:eastAsia="仿宋" w:cs="仿宋"/>
          <w:sz w:val="32"/>
          <w:szCs w:val="32"/>
        </w:rPr>
        <w:t>需执行的国家最新相关标准、行业标准、地方标准或者其他标准、规范。</w:t>
      </w:r>
    </w:p>
    <w:p w14:paraId="74A14F05">
      <w:pPr>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服务指标的具体要求</w:t>
      </w:r>
      <w:bookmarkEnd w:id="1"/>
    </w:p>
    <w:p w14:paraId="1DECD3A5">
      <w:pPr>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1、采购内容：</w:t>
      </w:r>
      <w:r>
        <w:rPr>
          <w:rFonts w:hint="eastAsia" w:ascii="仿宋" w:hAnsi="仿宋" w:eastAsia="仿宋" w:cs="仿宋"/>
          <w:b w:val="0"/>
          <w:bCs w:val="0"/>
          <w:kern w:val="2"/>
          <w:sz w:val="32"/>
          <w:szCs w:val="32"/>
          <w:lang w:val="en-US" w:eastAsia="zh-CN" w:bidi="ar-SA"/>
        </w:rPr>
        <w:t>合阳县 2025 年度煤矿超层越界检测项目</w:t>
      </w:r>
    </w:p>
    <w:p w14:paraId="6C64F861">
      <w:pPr>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2、工作内容：</w:t>
      </w:r>
    </w:p>
    <w:p w14:paraId="3029FF0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实地测量：对合阳县行政区域内所有在产煤矿、在建煤矿及        停产整顿煤矿进行井下实地测量。利用全站仪、GPS 等先进测量设备，精确测量井下巷道位置、标高、走向及开采边界，详细记录测量数据，并绘制井下实测图。对于疑似超层越界区域，进行重点测量与反复核实。</w:t>
      </w:r>
    </w:p>
    <w:p w14:paraId="3D487B9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地面遥感监测：运用卫星遥感技术，定期获取合阳县煤矿区域高分辨率卫星影像数据。借助专业图像处理软件和分析算法，对影像数据进行处理与分析，提取地表变形、塌陷、植被覆盖变化等信息，与煤矿合法开采范围对比，判断是否存在异常情况。</w:t>
      </w:r>
    </w:p>
    <w:p w14:paraId="7180212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数据对比与分析：将井下实测数据与煤矿提供的图纸资料、矿区范围数据进行详细比对，同时结合地面遥感监测分析结果，运用地理信息系统（GIS）技术进行空间分析和数据叠加。重点分析是否存在巷道超出矿区边界、开采煤层与设计煤层不符、开采深度超过规定范围等超层越界情况。对发现的异常数据和疑似问题，进行深入调查和核实，确保检测结果准确可靠。</w:t>
      </w:r>
    </w:p>
    <w:p w14:paraId="19AC99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报告编制：根据检测数据和分析结果，编制详细的煤矿超层越界检测报告。报告内容包括煤矿基本信息、检测依据、检测方法、检测结果（是否存在超层越界开采行为及具体情况描述）、存在问题分析、处理建议等。报告需经检测机构技术负责人审核签字，并加盖单位公章。</w:t>
      </w:r>
    </w:p>
    <w:p w14:paraId="063DD86F">
      <w:pPr>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3、工作要求</w:t>
      </w:r>
    </w:p>
    <w:p w14:paraId="7BB1562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w:t>
      </w:r>
      <w:r>
        <w:rPr>
          <w:rFonts w:hint="eastAsia" w:ascii="仿宋" w:hAnsi="仿宋" w:eastAsia="仿宋" w:cs="仿宋"/>
          <w:b w:val="0"/>
          <w:bCs w:val="0"/>
          <w:kern w:val="2"/>
          <w:sz w:val="32"/>
          <w:szCs w:val="32"/>
          <w:lang w:val="en-US" w:eastAsia="zh-CN" w:bidi="ar-SA"/>
        </w:rPr>
        <w:t>人员配备：供应商应根据项目需求，配备足够数量的专业技术人员，包括测量工程师、测绘技术员、地质工程师等。所有人员需具备相应的专业资质和丰富的煤矿检测经验，能够熟练操作各类检测设备，准确采集和分析数据。在投标文件中需明确列出项目团队成员名单、资质证书及相关工作经验介绍。</w:t>
      </w:r>
    </w:p>
    <w:p w14:paraId="25E2C34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b w:val="0"/>
          <w:bCs w:val="0"/>
          <w:kern w:val="2"/>
          <w:sz w:val="32"/>
          <w:szCs w:val="32"/>
          <w:lang w:val="en-US" w:eastAsia="zh-CN" w:bidi="ar-SA"/>
        </w:rPr>
        <w:t>设备要求：供应商应配备先进的检测设备，以满足项目需求。井下测量设备需包括高精度全站仪、防爆型 GPS 接收机、激光测距仪等，确保测量数据的准确性和可靠性；地面遥感监测设备需具备专业的卫星遥感数据接收能力，并配备高性能计算机及专业图像处理软件，如 ENVI、Erdas 等，用于影像数据的处理和分析；数据处理与分析设备需配备高性能服务器及 GIS 软件平台，如 ArcGIS 等，实现对各类数据的整合、存储、分析和可视化展示。在投标文件中需提供设备清单及设备的技术参数、购置时间等信息。</w:t>
      </w:r>
    </w:p>
    <w:p w14:paraId="2F396C8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w:t>
      </w:r>
      <w:r>
        <w:rPr>
          <w:rFonts w:hint="eastAsia" w:ascii="仿宋" w:hAnsi="仿宋" w:eastAsia="仿宋" w:cs="仿宋"/>
          <w:b w:val="0"/>
          <w:bCs w:val="0"/>
          <w:kern w:val="2"/>
          <w:sz w:val="32"/>
          <w:szCs w:val="32"/>
          <w:lang w:val="en-US" w:eastAsia="zh-CN" w:bidi="ar-SA"/>
        </w:rPr>
        <w:t>质量控制：供应商应建立完善的质量控制体系，制定详细的质量控制标准和操作规程。在项目实施过程中，加强对各个环节的质量监督，定期进行内部质量检查，及时发现并纠正存在的问题。对于关键环节和重要数据，进行重点监督和复核，确保检测结果的真实性、准确性和完整性。在投标文件中需提供质量控制方案，包括质量控制标准、质量检查流程、数据审核机制等内容。</w:t>
      </w:r>
    </w:p>
    <w:p w14:paraId="777F462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w:t>
      </w:r>
      <w:r>
        <w:rPr>
          <w:rFonts w:hint="eastAsia" w:ascii="仿宋" w:hAnsi="仿宋" w:eastAsia="仿宋" w:cs="仿宋"/>
          <w:b w:val="0"/>
          <w:bCs w:val="0"/>
          <w:kern w:val="2"/>
          <w:sz w:val="32"/>
          <w:szCs w:val="32"/>
          <w:lang w:val="en-US" w:eastAsia="zh-CN" w:bidi="ar-SA"/>
        </w:rPr>
        <w:t>安全保障：由于项目涉及井下实地测量等危险作业，供应商应制定严格的安全保障措施，确保项目实施过程中的人员安全。制定安全操作规程，明确作业人员的安全职责和操作要求；对参与项目实施的所有人员进行安全培训，包括煤矿安全生产知识、井下作业安全注意事项、应急救援知识等方面的培训；为井下作业人员配备必要的安全保障设备，如气体检测仪、通风设备、安全帽、自救器、矿灯等；建立应急救援机制，制定应急救援预案，配备应急救援物资和设备，定期组织应急演练。在投标文件中需提供安全保障方案，包括安全操作规程、安全培训计划、安全保障设备清单、应急救援预案等内容。</w:t>
      </w:r>
    </w:p>
    <w:p w14:paraId="5B47F931">
      <w:pPr>
        <w:pStyle w:val="9"/>
        <w:spacing w:line="360" w:lineRule="auto"/>
        <w:ind w:firstLine="643" w:firstLineChars="200"/>
        <w:outlineLvl w:val="2"/>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4、技术依据</w:t>
      </w:r>
    </w:p>
    <w:p w14:paraId="4A83D00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《中华人民共和国矿产资源法》</w:t>
      </w:r>
    </w:p>
    <w:p w14:paraId="0C0543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《中华人民共和国测绘法》</w:t>
      </w:r>
    </w:p>
    <w:p w14:paraId="10F425B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《矿产地质勘查规范 煤》（DZ/T 0215-2020）</w:t>
      </w:r>
    </w:p>
    <w:p w14:paraId="3CB0E96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《煤矿测量规程》</w:t>
      </w:r>
    </w:p>
    <w:p w14:paraId="285F362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《测绘生产成本费用定额》（财建〔2009〕17 号文）</w:t>
      </w:r>
    </w:p>
    <w:p w14:paraId="387E7E4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《工程勘察设计收费标准》（计价格〔2002〕10 号文）</w:t>
      </w:r>
    </w:p>
    <w:p w14:paraId="5B37E0B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《国土资源调查预算标准》（财建〔2007〕52 号文）</w:t>
      </w:r>
    </w:p>
    <w:p w14:paraId="7D21EC0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四、拟投入本项目的费用测算</w:t>
      </w:r>
    </w:p>
    <w:p w14:paraId="5EF7CDD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bookmarkStart w:id="2" w:name="_Toc14490"/>
      <w:r>
        <w:rPr>
          <w:rFonts w:hint="eastAsia" w:ascii="仿宋" w:hAnsi="仿宋" w:eastAsia="仿宋" w:cs="仿宋"/>
          <w:b w:val="0"/>
          <w:bCs w:val="0"/>
          <w:kern w:val="2"/>
          <w:sz w:val="32"/>
          <w:szCs w:val="32"/>
          <w:lang w:val="en-US" w:eastAsia="zh-CN" w:bidi="ar-SA"/>
        </w:rPr>
        <w:t>本次采购预算78万元，包括完成本项目所需的一切费用。</w:t>
      </w:r>
    </w:p>
    <w:p w14:paraId="0CD911E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五、服务质量、标准、期限、效率等要求</w:t>
      </w:r>
      <w:bookmarkEnd w:id="2"/>
    </w:p>
    <w:p w14:paraId="6035482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w:t>
      </w:r>
      <w:r>
        <w:rPr>
          <w:rFonts w:hint="default" w:ascii="仿宋" w:hAnsi="仿宋" w:eastAsia="仿宋" w:cs="仿宋"/>
          <w:b w:val="0"/>
          <w:bCs w:val="0"/>
          <w:kern w:val="2"/>
          <w:sz w:val="32"/>
          <w:szCs w:val="32"/>
          <w:lang w:val="en-US" w:eastAsia="zh-CN" w:bidi="ar-SA"/>
        </w:rPr>
        <w:t>执行国家与行业标准：严格遵循国家及行业现行相关标准规范开展检测工作，如《矿产地质勘查规范 煤》（DZ/T 0215 - 2020）、《煤矿测量规程》、</w:t>
      </w:r>
      <w:r>
        <w:rPr>
          <w:rFonts w:hint="eastAsia" w:ascii="仿宋" w:hAnsi="仿宋" w:eastAsia="仿宋" w:cs="仿宋"/>
          <w:b w:val="0"/>
          <w:bCs w:val="0"/>
          <w:kern w:val="2"/>
          <w:sz w:val="32"/>
          <w:szCs w:val="32"/>
          <w:lang w:val="en-US" w:eastAsia="zh-CN" w:bidi="ar-SA"/>
        </w:rPr>
        <w:t>《工程测量标准》（GB50026-2020）；</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kern w:val="2"/>
          <w:sz w:val="32"/>
          <w:szCs w:val="32"/>
          <w:lang w:val="en-US" w:eastAsia="zh-CN" w:bidi="ar-SA"/>
        </w:rPr>
        <w:t>《全球导航卫星系统(GNSS)测量规范》（GB/T 18314-2024）</w:t>
      </w:r>
      <w:r>
        <w:rPr>
          <w:rFonts w:hint="default" w:ascii="仿宋" w:hAnsi="仿宋" w:eastAsia="仿宋" w:cs="仿宋"/>
          <w:b w:val="0"/>
          <w:bCs w:val="0"/>
          <w:kern w:val="2"/>
          <w:sz w:val="32"/>
          <w:szCs w:val="32"/>
          <w:lang w:val="en-US" w:eastAsia="zh-CN" w:bidi="ar-SA"/>
        </w:rPr>
        <w:t>等。从矿区范围界定、测量方法选择到成果报告编制，都以这些标准为操作指南。</w:t>
      </w:r>
    </w:p>
    <w:p w14:paraId="17C29F0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kern w:val="2"/>
          <w:sz w:val="32"/>
          <w:szCs w:val="32"/>
          <w:lang w:val="en-US" w:eastAsia="zh-CN" w:bidi="ar-SA"/>
        </w:rPr>
      </w:pPr>
      <w:r>
        <w:rPr>
          <w:rFonts w:hint="eastAsia" w:ascii="仿宋" w:hAnsi="仿宋" w:eastAsia="仿宋" w:cs="仿宋"/>
          <w:b w:val="0"/>
          <w:bCs w:val="0"/>
          <w:kern w:val="2"/>
          <w:sz w:val="32"/>
          <w:szCs w:val="32"/>
          <w:lang w:val="en-US" w:eastAsia="zh-CN" w:bidi="ar-SA"/>
        </w:rPr>
        <w:t>2、</w:t>
      </w:r>
      <w:r>
        <w:rPr>
          <w:rFonts w:hint="default" w:ascii="仿宋" w:hAnsi="仿宋" w:eastAsia="仿宋" w:cs="仿宋"/>
          <w:b w:val="0"/>
          <w:bCs w:val="0"/>
          <w:kern w:val="2"/>
          <w:sz w:val="32"/>
          <w:szCs w:val="32"/>
          <w:lang w:val="en-US" w:eastAsia="zh-CN" w:bidi="ar-SA"/>
        </w:rPr>
        <w:t>成果报告规范：检测完成后，按规范编制详细检测报告。报告内容包括煤矿基本信息、检测依据、检测方法、检测结果（明确是否存在超层越界开采行为，如有需描述具体情况）、存在问题分析、处理建议等。报告格式符合行业惯例，数据图表清晰准确，结论表述严谨规范，且经技术负责人审核签字并加盖单位公章。</w:t>
      </w:r>
      <w:r>
        <w:rPr>
          <w:rFonts w:hint="eastAsia" w:ascii="仿宋" w:hAnsi="仿宋" w:eastAsia="仿宋" w:cs="仿宋"/>
          <w:b w:val="0"/>
          <w:bCs w:val="0"/>
          <w:kern w:val="2"/>
          <w:sz w:val="32"/>
          <w:szCs w:val="32"/>
          <w:lang w:val="en-US" w:eastAsia="zh-CN" w:bidi="ar-SA"/>
        </w:rPr>
        <w:t xml:space="preserve">  </w:t>
      </w:r>
      <w:r>
        <w:rPr>
          <w:rFonts w:hint="eastAsia" w:ascii="仿宋" w:hAnsi="仿宋" w:eastAsia="仿宋" w:cs="仿宋"/>
          <w:b w:val="0"/>
          <w:bCs/>
          <w:kern w:val="2"/>
          <w:sz w:val="32"/>
          <w:szCs w:val="32"/>
          <w:lang w:val="en-US" w:eastAsia="zh-CN" w:bidi="ar-SA"/>
        </w:rPr>
        <w:t xml:space="preserve">  </w:t>
      </w:r>
    </w:p>
    <w:p w14:paraId="7BF5F7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bCs/>
          <w:sz w:val="32"/>
          <w:szCs w:val="32"/>
          <w:lang w:eastAsia="zh-CN"/>
        </w:rPr>
      </w:pPr>
      <w:bookmarkStart w:id="3" w:name="_Toc20700"/>
      <w:r>
        <w:rPr>
          <w:rFonts w:hint="eastAsia" w:ascii="宋体" w:hAnsi="宋体" w:eastAsia="宋体" w:cs="宋体"/>
          <w:b/>
          <w:bCs/>
          <w:sz w:val="32"/>
          <w:szCs w:val="32"/>
        </w:rPr>
        <w:t>六、付款方式</w:t>
      </w:r>
      <w:bookmarkEnd w:id="3"/>
    </w:p>
    <w:p w14:paraId="7F147410">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kern w:val="2"/>
          <w:sz w:val="32"/>
          <w:szCs w:val="32"/>
          <w:highlight w:val="none"/>
          <w:lang w:val="en-US" w:eastAsia="zh-CN" w:bidi="ar-SA"/>
        </w:rPr>
      </w:pPr>
      <w:bookmarkStart w:id="4" w:name="_Toc5570"/>
      <w:r>
        <w:rPr>
          <w:rFonts w:hint="eastAsia" w:ascii="仿宋" w:hAnsi="仿宋" w:eastAsia="仿宋" w:cs="仿宋"/>
          <w:kern w:val="2"/>
          <w:sz w:val="32"/>
          <w:szCs w:val="32"/>
          <w:highlight w:val="none"/>
          <w:lang w:val="en-US" w:eastAsia="zh-CN" w:bidi="ar-SA"/>
        </w:rPr>
        <w:t>（1）乙方进场并开展工作后，支付合同总价的40%；（2）乙方成果完成并经初验合格后，支付合同总价的40%；（3）乙方提交合同约定的全部成果，并通过主管部门审查后支付至合同总价的100%；（4）在每次支付费用前，乙方应提交甲方等额发票。</w:t>
      </w:r>
    </w:p>
    <w:p w14:paraId="170729D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七、验收标准</w:t>
      </w:r>
      <w:bookmarkEnd w:id="4"/>
    </w:p>
    <w:p w14:paraId="4DF2598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1、供应商提交的检测报告内容完整、准确，符合相关技术标准和规范要求，数据真实可靠，结论明确清晰。报告需经专家评审通过，评审专家由采购人组织邀请相关领域的专业人士组成。</w:t>
      </w:r>
    </w:p>
    <w:p w14:paraId="174A4BD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2、检测结果与实际情况相符，通过对部分煤矿的实地抽查验证，未发现检测结果存在偏差或错误。抽查比例不低于煤矿总数的 [15]%。</w:t>
      </w:r>
    </w:p>
    <w:p w14:paraId="652368D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3、供应商按照合同约定的时间、进度要求完成所有工作任务，提交的相关资料齐全、规范。</w:t>
      </w:r>
    </w:p>
    <w:p w14:paraId="3F659C8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4、采购人对供应商在项目实施过程中的服务态度、工作质量等方面进行综合评价，评价结果为良好及以上。</w:t>
      </w:r>
    </w:p>
    <w:p w14:paraId="28DFA075">
      <w:pPr>
        <w:pStyle w:val="12"/>
        <w:rPr>
          <w:rFonts w:hint="eastAsia"/>
        </w:rPr>
      </w:pPr>
    </w:p>
    <w:p w14:paraId="51E78979">
      <w:pPr>
        <w:pStyle w:val="12"/>
        <w:rPr>
          <w:rFonts w:hint="eastAsia"/>
        </w:rPr>
      </w:pPr>
    </w:p>
    <w:p w14:paraId="67E80BD4">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sz w:val="32"/>
          <w:szCs w:val="32"/>
          <w:lang w:eastAsia="zh-CN"/>
        </w:rPr>
      </w:pPr>
      <w:r>
        <w:rPr>
          <w:rFonts w:hint="eastAsia" w:ascii="仿宋" w:hAnsi="仿宋" w:eastAsia="仿宋" w:cs="仿宋"/>
          <w:b w:val="0"/>
          <w:bCs w:val="0"/>
          <w:kern w:val="2"/>
          <w:sz w:val="32"/>
          <w:szCs w:val="32"/>
          <w:lang w:val="en-US" w:eastAsia="zh-CN" w:bidi="ar-SA"/>
        </w:rPr>
        <w:t xml:space="preserve">                             </w:t>
      </w:r>
      <w:bookmarkStart w:id="5" w:name="_GoBack"/>
      <w:bookmarkEnd w:id="5"/>
    </w:p>
    <w:p w14:paraId="5F398DE0">
      <w:pPr>
        <w:rPr>
          <w:rFonts w:hint="eastAsia"/>
        </w:rPr>
      </w:pPr>
    </w:p>
    <w:sectPr>
      <w:headerReference r:id="rId6" w:type="first"/>
      <w:footerReference r:id="rId9" w:type="first"/>
      <w:footerReference r:id="rId7" w:type="default"/>
      <w:headerReference r:id="rId5" w:type="even"/>
      <w:footerReference r:id="rId8" w:type="even"/>
      <w:pgSz w:w="11906" w:h="16838"/>
      <w:pgMar w:top="1701" w:right="1474" w:bottom="1417"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ADEC4">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634B9">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3832F">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B46AD">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3C16F">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B5454"/>
    <w:rsid w:val="07691ADF"/>
    <w:rsid w:val="099948FD"/>
    <w:rsid w:val="0A7B5454"/>
    <w:rsid w:val="0B734D82"/>
    <w:rsid w:val="0CF34325"/>
    <w:rsid w:val="108163B4"/>
    <w:rsid w:val="120D4BE7"/>
    <w:rsid w:val="14C801FD"/>
    <w:rsid w:val="16FD4038"/>
    <w:rsid w:val="1CCD7468"/>
    <w:rsid w:val="1E57048B"/>
    <w:rsid w:val="2DDA7E1B"/>
    <w:rsid w:val="32135BFE"/>
    <w:rsid w:val="32B37F2E"/>
    <w:rsid w:val="33945FB2"/>
    <w:rsid w:val="35A721B1"/>
    <w:rsid w:val="366909B3"/>
    <w:rsid w:val="43B70E6A"/>
    <w:rsid w:val="4A3E412A"/>
    <w:rsid w:val="4A984236"/>
    <w:rsid w:val="4C856040"/>
    <w:rsid w:val="4E24762C"/>
    <w:rsid w:val="4E9B1B4B"/>
    <w:rsid w:val="54CD67D6"/>
    <w:rsid w:val="5BA913F1"/>
    <w:rsid w:val="729055BB"/>
    <w:rsid w:val="79DD0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ind w:firstLine="720" w:firstLineChars="200"/>
      <w:jc w:val="both"/>
    </w:pPr>
    <w:rPr>
      <w:rFonts w:ascii="Times New Roman" w:hAnsi="Times New Roman" w:eastAsia="宋体" w:cs="Times New Roman"/>
      <w:kern w:val="2"/>
      <w:sz w:val="30"/>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line="360" w:lineRule="auto"/>
      <w:ind w:firstLine="560" w:firstLineChars="200"/>
    </w:pPr>
    <w:rPr>
      <w:rFonts w:ascii="宋体" w:hAnsi="宋体"/>
      <w:color w:val="FF0000"/>
      <w:sz w:val="28"/>
      <w:szCs w:val="2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1"/>
    <w:qFormat/>
    <w:uiPriority w:val="0"/>
    <w:pPr>
      <w:widowControl/>
      <w:ind w:firstLine="640" w:firstLineChars="233"/>
    </w:pPr>
    <w:rPr>
      <w:rFonts w:ascii="Times New Roman" w:hAnsi="Times New Roman" w:cs="Times New Roman"/>
      <w:sz w:val="28"/>
    </w:rPr>
  </w:style>
  <w:style w:type="paragraph" w:styleId="8">
    <w:name w:val="Body Text"/>
    <w:basedOn w:val="1"/>
    <w:next w:val="1"/>
    <w:qFormat/>
    <w:uiPriority w:val="0"/>
    <w:pPr>
      <w:spacing w:after="120" w:afterLines="0" w:afterAutospacing="0"/>
    </w:pPr>
  </w:style>
  <w:style w:type="paragraph" w:styleId="9">
    <w:name w:val="Plain Text"/>
    <w:basedOn w:val="1"/>
    <w:qFormat/>
    <w:uiPriority w:val="99"/>
    <w:pPr>
      <w:snapToGrid/>
      <w:spacing w:line="324" w:lineRule="auto"/>
      <w:ind w:firstLine="0" w:firstLineChars="0"/>
    </w:pPr>
    <w:rPr>
      <w:rFonts w:ascii="宋体" w:hAnsi="Courier New" w:eastAsia="仿宋"/>
      <w:sz w:val="32"/>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pacing w:line="240" w:lineRule="auto"/>
      <w:jc w:val="center"/>
    </w:pPr>
    <w:rPr>
      <w:sz w:val="18"/>
      <w:szCs w:val="18"/>
    </w:rPr>
  </w:style>
  <w:style w:type="paragraph" w:styleId="12">
    <w:name w:val="Body Text 2"/>
    <w:basedOn w:val="1"/>
    <w:qFormat/>
    <w:uiPriority w:val="0"/>
    <w:pPr>
      <w:spacing w:after="120" w:afterLines="0" w:afterAutospacing="0" w:line="480" w:lineRule="auto"/>
    </w:pPr>
  </w:style>
  <w:style w:type="character" w:styleId="15">
    <w:name w:val="Strong"/>
    <w:basedOn w:val="14"/>
    <w:qFormat/>
    <w:uiPriority w:val="0"/>
    <w:rPr>
      <w:b/>
    </w:rPr>
  </w:style>
  <w:style w:type="character" w:styleId="16">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3710</Words>
  <Characters>3921</Characters>
  <Lines>0</Lines>
  <Paragraphs>0</Paragraphs>
  <TotalTime>1</TotalTime>
  <ScaleCrop>false</ScaleCrop>
  <LinksUpToDate>false</LinksUpToDate>
  <CharactersWithSpaces>4034</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2025-05-21T09:21:00Z</dcterms:created>
  <dc:creator>96</dc:creator>
  <cp:lastModifiedBy>时间。负荷</cp:lastModifiedBy>
  <dcterms:modified xsi:type="dcterms:W3CDTF">2025-08-18T06:15:38Z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A2F2AE0AA1624CB4A1D2AC9F006013F0_13</vt:lpwstr>
  </property>
  <property fmtid="{D5CDD505-2E9C-101B-9397-08002B2CF9AE}" pid="4" name="KSOTemplateDocerSaveRecord">
    <vt:lpwstr>eyJoZGlkIjoiY2M1ZGZiNjhhNTJkMTlmZDk4Yzg3ZjAxMzUwYWMzOTIiLCJ1c2VySWQiOiI1MDY5NzczMDcifQ==</vt:lpwstr>
  </property>
</Properties>
</file>