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B58D">
      <w:pPr>
        <w:pStyle w:val="5"/>
        <w:outlineLvl w:val="2"/>
        <w:rPr>
          <w:rFonts w:hint="default" w:ascii="仿宋_GB2312" w:hAnsi="仿宋_GB2312" w:eastAsia="仿宋_GB2312" w:cs="仿宋_GB2312"/>
          <w:b/>
          <w:sz w:val="28"/>
          <w:lang w:val="en-US" w:eastAsia="zh-CN"/>
        </w:rPr>
      </w:pPr>
      <w:r>
        <w:rPr>
          <w:rFonts w:hint="eastAsia" w:ascii="仿宋_GB2312" w:hAnsi="仿宋_GB2312" w:eastAsia="仿宋_GB2312" w:cs="仿宋_GB2312"/>
          <w:b/>
          <w:sz w:val="28"/>
          <w:lang w:val="en-US" w:eastAsia="zh-CN"/>
        </w:rPr>
        <w:t xml:space="preserve">                        采购需求书</w:t>
      </w:r>
    </w:p>
    <w:p w14:paraId="39EAA79A">
      <w:pPr>
        <w:pStyle w:val="5"/>
        <w:outlineLvl w:val="2"/>
      </w:pPr>
      <w:r>
        <w:rPr>
          <w:rFonts w:ascii="仿宋_GB2312" w:hAnsi="仿宋_GB2312" w:eastAsia="仿宋_GB2312" w:cs="仿宋_GB2312"/>
          <w:b/>
          <w:sz w:val="28"/>
        </w:rPr>
        <w:t>3.1采购项目概况</w:t>
      </w:r>
    </w:p>
    <w:p w14:paraId="034C06C8">
      <w:pPr>
        <w:pStyle w:val="5"/>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依据自然资源部《关于做好城镇开发边界管理的通知（试行）》（自然资发〔2023〕193号）及陕西省自然资源厅《陕西省自然资源厅办公室关于进一步规范城镇开发边界局部优化工作的通知（试行）》（陕自然资办发〔2025〕165号）的指导精神，完成2025年度阎良区城镇开发边界局部优化方案的成果编制，优化阎良区城镇开发边界布局，确保局部优化方案的合法性与合规性，推动阎良区建设项目高效落地，有力支撑区域高质量发展</w:t>
      </w:r>
      <w:r>
        <w:rPr>
          <w:rFonts w:hint="eastAsia" w:ascii="仿宋_GB2312" w:hAnsi="仿宋_GB2312" w:eastAsia="仿宋_GB2312" w:cs="仿宋_GB2312"/>
        </w:rPr>
        <w:t>。</w:t>
      </w:r>
    </w:p>
    <w:p w14:paraId="10DD806D">
      <w:pPr>
        <w:pStyle w:val="5"/>
        <w:outlineLvl w:val="2"/>
      </w:pPr>
      <w:r>
        <w:rPr>
          <w:rFonts w:ascii="仿宋_GB2312" w:hAnsi="仿宋_GB2312" w:eastAsia="仿宋_GB2312" w:cs="仿宋_GB2312"/>
          <w:b/>
          <w:sz w:val="28"/>
        </w:rPr>
        <w:t>3.2服务内容及服务要求</w:t>
      </w:r>
    </w:p>
    <w:p w14:paraId="3CBB3CC7">
      <w:pPr>
        <w:pStyle w:val="5"/>
        <w:outlineLvl w:val="3"/>
      </w:pPr>
      <w:r>
        <w:rPr>
          <w:rFonts w:ascii="仿宋_GB2312" w:hAnsi="仿宋_GB2312" w:eastAsia="仿宋_GB2312" w:cs="仿宋_GB2312"/>
          <w:b/>
          <w:sz w:val="24"/>
        </w:rPr>
        <w:t>3.2.1服务内容</w:t>
      </w:r>
    </w:p>
    <w:p w14:paraId="0476B2C3">
      <w:pPr>
        <w:pStyle w:val="5"/>
      </w:pPr>
      <w:r>
        <w:rPr>
          <w:rFonts w:ascii="仿宋_GB2312" w:hAnsi="仿宋_GB2312" w:eastAsia="仿宋_GB2312" w:cs="仿宋_GB2312"/>
        </w:rPr>
        <w:t>采购包1：</w:t>
      </w:r>
    </w:p>
    <w:p w14:paraId="7634C37E">
      <w:pPr>
        <w:pStyle w:val="5"/>
        <w:rPr>
          <w:rFonts w:hint="eastAsia" w:eastAsia="仿宋_GB2312"/>
          <w:lang w:eastAsia="zh-CN"/>
        </w:rPr>
      </w:pPr>
      <w:r>
        <w:rPr>
          <w:rFonts w:ascii="仿宋_GB2312" w:hAnsi="仿宋_GB2312" w:eastAsia="仿宋_GB2312" w:cs="仿宋_GB2312"/>
        </w:rPr>
        <w:t xml:space="preserve">采购包预算金额（元）: </w:t>
      </w:r>
      <w:r>
        <w:rPr>
          <w:rFonts w:hint="eastAsia" w:ascii="仿宋_GB2312" w:hAnsi="仿宋_GB2312" w:eastAsia="仿宋_GB2312" w:cs="仿宋_GB2312"/>
          <w:lang w:eastAsia="zh-CN"/>
        </w:rPr>
        <w:t>450,000.00</w:t>
      </w:r>
    </w:p>
    <w:p w14:paraId="05E6DF2F">
      <w:pPr>
        <w:pStyle w:val="5"/>
        <w:rPr>
          <w:rFonts w:hint="eastAsia" w:eastAsia="仿宋_GB2312"/>
          <w:lang w:eastAsia="zh-CN"/>
        </w:rPr>
      </w:pPr>
      <w:r>
        <w:rPr>
          <w:rFonts w:ascii="仿宋_GB2312" w:hAnsi="仿宋_GB2312" w:eastAsia="仿宋_GB2312" w:cs="仿宋_GB2312"/>
        </w:rPr>
        <w:t xml:space="preserve">采购包最高限价（元）: </w:t>
      </w:r>
      <w:r>
        <w:rPr>
          <w:rFonts w:hint="eastAsia" w:ascii="仿宋_GB2312" w:hAnsi="仿宋_GB2312" w:eastAsia="仿宋_GB2312" w:cs="仿宋_GB2312"/>
          <w:lang w:eastAsia="zh-CN"/>
        </w:rPr>
        <w:t>450,000.00</w:t>
      </w:r>
    </w:p>
    <w:p w14:paraId="0F34D3DC">
      <w:pPr>
        <w:pStyle w:val="5"/>
      </w:pPr>
      <w:r>
        <w:rPr>
          <w:rFonts w:ascii="仿宋_GB2312" w:hAnsi="仿宋_GB2312" w:eastAsia="仿宋_GB2312" w:cs="仿宋_GB2312"/>
        </w:rPr>
        <w:t>供应商报价不允许超过标的金额</w:t>
      </w:r>
    </w:p>
    <w:p w14:paraId="35E4335D">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0"/>
        <w:gridCol w:w="1049"/>
        <w:gridCol w:w="652"/>
        <w:gridCol w:w="1229"/>
        <w:gridCol w:w="727"/>
        <w:gridCol w:w="811"/>
        <w:gridCol w:w="811"/>
        <w:gridCol w:w="811"/>
        <w:gridCol w:w="811"/>
        <w:gridCol w:w="811"/>
      </w:tblGrid>
      <w:tr w14:paraId="652EE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70B960A">
            <w:pPr>
              <w:pStyle w:val="5"/>
            </w:pPr>
            <w:r>
              <w:rPr>
                <w:rFonts w:ascii="仿宋_GB2312" w:hAnsi="仿宋_GB2312" w:eastAsia="仿宋_GB2312" w:cs="仿宋_GB2312"/>
              </w:rPr>
              <w:t>序号</w:t>
            </w:r>
          </w:p>
        </w:tc>
        <w:tc>
          <w:tcPr>
            <w:tcW w:w="1049" w:type="dxa"/>
          </w:tcPr>
          <w:p w14:paraId="66E11CD7">
            <w:pPr>
              <w:pStyle w:val="5"/>
            </w:pPr>
            <w:r>
              <w:rPr>
                <w:rFonts w:ascii="仿宋_GB2312" w:hAnsi="仿宋_GB2312" w:eastAsia="仿宋_GB2312" w:cs="仿宋_GB2312"/>
              </w:rPr>
              <w:t>标的名称</w:t>
            </w:r>
          </w:p>
        </w:tc>
        <w:tc>
          <w:tcPr>
            <w:tcW w:w="652" w:type="dxa"/>
          </w:tcPr>
          <w:p w14:paraId="76860955">
            <w:pPr>
              <w:pStyle w:val="5"/>
            </w:pPr>
            <w:r>
              <w:rPr>
                <w:rFonts w:ascii="仿宋_GB2312" w:hAnsi="仿宋_GB2312" w:eastAsia="仿宋_GB2312" w:cs="仿宋_GB2312"/>
              </w:rPr>
              <w:t>数量</w:t>
            </w:r>
          </w:p>
        </w:tc>
        <w:tc>
          <w:tcPr>
            <w:tcW w:w="1229" w:type="dxa"/>
          </w:tcPr>
          <w:p w14:paraId="5A470DFE">
            <w:pPr>
              <w:pStyle w:val="5"/>
            </w:pPr>
            <w:r>
              <w:rPr>
                <w:rFonts w:ascii="仿宋_GB2312" w:hAnsi="仿宋_GB2312" w:eastAsia="仿宋_GB2312" w:cs="仿宋_GB2312"/>
              </w:rPr>
              <w:t>标的金额 （元）</w:t>
            </w:r>
          </w:p>
        </w:tc>
        <w:tc>
          <w:tcPr>
            <w:tcW w:w="727" w:type="dxa"/>
          </w:tcPr>
          <w:p w14:paraId="446F844E">
            <w:pPr>
              <w:pStyle w:val="5"/>
            </w:pPr>
            <w:r>
              <w:rPr>
                <w:rFonts w:ascii="仿宋_GB2312" w:hAnsi="仿宋_GB2312" w:eastAsia="仿宋_GB2312" w:cs="仿宋_GB2312"/>
              </w:rPr>
              <w:t>计量单位</w:t>
            </w:r>
          </w:p>
        </w:tc>
        <w:tc>
          <w:tcPr>
            <w:tcW w:w="811" w:type="dxa"/>
          </w:tcPr>
          <w:p w14:paraId="6F0E20BE">
            <w:pPr>
              <w:pStyle w:val="5"/>
            </w:pPr>
            <w:r>
              <w:rPr>
                <w:rFonts w:ascii="仿宋_GB2312" w:hAnsi="仿宋_GB2312" w:eastAsia="仿宋_GB2312" w:cs="仿宋_GB2312"/>
              </w:rPr>
              <w:t>所属行业</w:t>
            </w:r>
          </w:p>
        </w:tc>
        <w:tc>
          <w:tcPr>
            <w:tcW w:w="811" w:type="dxa"/>
          </w:tcPr>
          <w:p w14:paraId="033CBEF5">
            <w:pPr>
              <w:pStyle w:val="5"/>
            </w:pPr>
            <w:r>
              <w:rPr>
                <w:rFonts w:ascii="仿宋_GB2312" w:hAnsi="仿宋_GB2312" w:eastAsia="仿宋_GB2312" w:cs="仿宋_GB2312"/>
              </w:rPr>
              <w:t>是否核心产品</w:t>
            </w:r>
          </w:p>
        </w:tc>
        <w:tc>
          <w:tcPr>
            <w:tcW w:w="811" w:type="dxa"/>
          </w:tcPr>
          <w:p w14:paraId="0020FBE0">
            <w:pPr>
              <w:pStyle w:val="5"/>
            </w:pPr>
            <w:r>
              <w:rPr>
                <w:rFonts w:ascii="仿宋_GB2312" w:hAnsi="仿宋_GB2312" w:eastAsia="仿宋_GB2312" w:cs="仿宋_GB2312"/>
              </w:rPr>
              <w:t>是否允许进口产品</w:t>
            </w:r>
          </w:p>
        </w:tc>
        <w:tc>
          <w:tcPr>
            <w:tcW w:w="811" w:type="dxa"/>
          </w:tcPr>
          <w:p w14:paraId="6294C143">
            <w:pPr>
              <w:pStyle w:val="5"/>
            </w:pPr>
            <w:r>
              <w:rPr>
                <w:rFonts w:ascii="仿宋_GB2312" w:hAnsi="仿宋_GB2312" w:eastAsia="仿宋_GB2312" w:cs="仿宋_GB2312"/>
              </w:rPr>
              <w:t>是否属于节能产品</w:t>
            </w:r>
          </w:p>
        </w:tc>
        <w:tc>
          <w:tcPr>
            <w:tcW w:w="811" w:type="dxa"/>
          </w:tcPr>
          <w:p w14:paraId="2FE674F3">
            <w:pPr>
              <w:pStyle w:val="5"/>
            </w:pPr>
            <w:r>
              <w:rPr>
                <w:rFonts w:ascii="仿宋_GB2312" w:hAnsi="仿宋_GB2312" w:eastAsia="仿宋_GB2312" w:cs="仿宋_GB2312"/>
              </w:rPr>
              <w:t>是否属于环境标志产品</w:t>
            </w:r>
          </w:p>
        </w:tc>
      </w:tr>
      <w:tr w14:paraId="1558D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44F4DD3E">
            <w:pPr>
              <w:pStyle w:val="5"/>
            </w:pPr>
            <w:r>
              <w:rPr>
                <w:rFonts w:ascii="仿宋_GB2312" w:hAnsi="仿宋_GB2312" w:eastAsia="仿宋_GB2312" w:cs="仿宋_GB2312"/>
              </w:rPr>
              <w:t>1</w:t>
            </w:r>
          </w:p>
        </w:tc>
        <w:tc>
          <w:tcPr>
            <w:tcW w:w="1049" w:type="dxa"/>
          </w:tcPr>
          <w:p w14:paraId="3387C181">
            <w:pPr>
              <w:pStyle w:val="5"/>
              <w:rPr>
                <w:rFonts w:hint="eastAsia" w:eastAsiaTheme="minorEastAsia"/>
                <w:lang w:eastAsia="zh-CN"/>
              </w:rPr>
            </w:pPr>
            <w:r>
              <w:rPr>
                <w:rFonts w:hint="eastAsia" w:ascii="仿宋_GB2312" w:hAnsi="仿宋_GB2312" w:eastAsia="仿宋_GB2312" w:cs="仿宋_GB2312"/>
                <w:lang w:eastAsia="zh-CN"/>
              </w:rPr>
              <w:t>阎良区城镇开发边界局部优化方案编制项目</w:t>
            </w:r>
          </w:p>
        </w:tc>
        <w:tc>
          <w:tcPr>
            <w:tcW w:w="652" w:type="dxa"/>
          </w:tcPr>
          <w:p w14:paraId="2BFF6344">
            <w:pPr>
              <w:pStyle w:val="5"/>
              <w:jc w:val="right"/>
            </w:pPr>
            <w:r>
              <w:rPr>
                <w:rFonts w:ascii="仿宋_GB2312" w:hAnsi="仿宋_GB2312" w:eastAsia="仿宋_GB2312" w:cs="仿宋_GB2312"/>
              </w:rPr>
              <w:t>1.00</w:t>
            </w:r>
          </w:p>
        </w:tc>
        <w:tc>
          <w:tcPr>
            <w:tcW w:w="1229" w:type="dxa"/>
          </w:tcPr>
          <w:p w14:paraId="05602EE1">
            <w:pPr>
              <w:pStyle w:val="5"/>
              <w:jc w:val="right"/>
              <w:rPr>
                <w:rFonts w:hint="eastAsia" w:eastAsiaTheme="minorEastAsia"/>
                <w:lang w:eastAsia="zh-CN"/>
              </w:rPr>
            </w:pPr>
            <w:r>
              <w:rPr>
                <w:rFonts w:hint="eastAsia" w:ascii="仿宋_GB2312" w:hAnsi="仿宋_GB2312" w:eastAsia="仿宋_GB2312" w:cs="仿宋_GB2312"/>
                <w:lang w:eastAsia="zh-CN"/>
              </w:rPr>
              <w:t>450,000.00</w:t>
            </w:r>
          </w:p>
        </w:tc>
        <w:tc>
          <w:tcPr>
            <w:tcW w:w="727" w:type="dxa"/>
          </w:tcPr>
          <w:p w14:paraId="21B71A16">
            <w:pPr>
              <w:pStyle w:val="5"/>
            </w:pPr>
            <w:r>
              <w:rPr>
                <w:rFonts w:ascii="仿宋_GB2312" w:hAnsi="仿宋_GB2312" w:eastAsia="仿宋_GB2312" w:cs="仿宋_GB2312"/>
              </w:rPr>
              <w:t>批</w:t>
            </w:r>
          </w:p>
        </w:tc>
        <w:tc>
          <w:tcPr>
            <w:tcW w:w="811" w:type="dxa"/>
          </w:tcPr>
          <w:p w14:paraId="564C018C">
            <w:pPr>
              <w:pStyle w:val="5"/>
              <w:rPr>
                <w:rFonts w:hint="eastAsia" w:eastAsiaTheme="minorEastAsia"/>
                <w:lang w:eastAsia="zh-CN"/>
              </w:rPr>
            </w:pPr>
            <w:r>
              <w:rPr>
                <w:rFonts w:hint="eastAsia" w:ascii="仿宋_GB2312" w:hAnsi="仿宋_GB2312" w:eastAsia="仿宋_GB2312" w:cs="仿宋_GB2312"/>
                <w:lang w:eastAsia="zh-CN"/>
              </w:rPr>
              <w:t>其他未列明行业</w:t>
            </w:r>
          </w:p>
        </w:tc>
        <w:tc>
          <w:tcPr>
            <w:tcW w:w="811" w:type="dxa"/>
          </w:tcPr>
          <w:p w14:paraId="2499AEE7">
            <w:pPr>
              <w:pStyle w:val="5"/>
            </w:pPr>
            <w:r>
              <w:rPr>
                <w:rFonts w:ascii="仿宋_GB2312" w:hAnsi="仿宋_GB2312" w:eastAsia="仿宋_GB2312" w:cs="仿宋_GB2312"/>
              </w:rPr>
              <w:t>否</w:t>
            </w:r>
          </w:p>
        </w:tc>
        <w:tc>
          <w:tcPr>
            <w:tcW w:w="811" w:type="dxa"/>
          </w:tcPr>
          <w:p w14:paraId="3DE92035">
            <w:pPr>
              <w:pStyle w:val="5"/>
            </w:pPr>
            <w:r>
              <w:rPr>
                <w:rFonts w:ascii="仿宋_GB2312" w:hAnsi="仿宋_GB2312" w:eastAsia="仿宋_GB2312" w:cs="仿宋_GB2312"/>
              </w:rPr>
              <w:t>否</w:t>
            </w:r>
          </w:p>
        </w:tc>
        <w:tc>
          <w:tcPr>
            <w:tcW w:w="811" w:type="dxa"/>
          </w:tcPr>
          <w:p w14:paraId="3A88993D">
            <w:pPr>
              <w:pStyle w:val="5"/>
            </w:pPr>
            <w:r>
              <w:rPr>
                <w:rFonts w:ascii="仿宋_GB2312" w:hAnsi="仿宋_GB2312" w:eastAsia="仿宋_GB2312" w:cs="仿宋_GB2312"/>
              </w:rPr>
              <w:t>否</w:t>
            </w:r>
          </w:p>
        </w:tc>
        <w:tc>
          <w:tcPr>
            <w:tcW w:w="811" w:type="dxa"/>
          </w:tcPr>
          <w:p w14:paraId="0E5ECEF6">
            <w:pPr>
              <w:pStyle w:val="5"/>
            </w:pPr>
            <w:r>
              <w:rPr>
                <w:rFonts w:ascii="仿宋_GB2312" w:hAnsi="仿宋_GB2312" w:eastAsia="仿宋_GB2312" w:cs="仿宋_GB2312"/>
              </w:rPr>
              <w:t>否</w:t>
            </w:r>
          </w:p>
        </w:tc>
      </w:tr>
    </w:tbl>
    <w:p w14:paraId="6F6AA6FF">
      <w:pPr>
        <w:pStyle w:val="5"/>
        <w:outlineLvl w:val="2"/>
      </w:pPr>
      <w:r>
        <w:rPr>
          <w:rFonts w:ascii="仿宋_GB2312" w:hAnsi="仿宋_GB2312" w:eastAsia="仿宋_GB2312" w:cs="仿宋_GB2312"/>
          <w:b/>
          <w:sz w:val="28"/>
        </w:rPr>
        <w:t>3.2.2服务要求</w:t>
      </w:r>
    </w:p>
    <w:p w14:paraId="2532A7E2">
      <w:pPr>
        <w:pStyle w:val="5"/>
      </w:pPr>
      <w:r>
        <w:rPr>
          <w:rFonts w:ascii="仿宋_GB2312" w:hAnsi="仿宋_GB2312" w:eastAsia="仿宋_GB2312" w:cs="仿宋_GB2312"/>
        </w:rPr>
        <w:t>采购包1：</w:t>
      </w:r>
    </w:p>
    <w:p w14:paraId="7AD28832">
      <w:pPr>
        <w:pStyle w:val="5"/>
        <w:rPr>
          <w:rFonts w:hint="eastAsia" w:eastAsia="仿宋_GB2312"/>
          <w:lang w:eastAsia="zh-CN"/>
        </w:rPr>
      </w:pPr>
      <w:r>
        <w:rPr>
          <w:rFonts w:ascii="仿宋_GB2312" w:hAnsi="仿宋_GB2312" w:eastAsia="仿宋_GB2312" w:cs="仿宋_GB2312"/>
        </w:rPr>
        <w:t>标的名称：</w:t>
      </w:r>
      <w:r>
        <w:rPr>
          <w:rFonts w:hint="eastAsia" w:ascii="仿宋_GB2312" w:hAnsi="仿宋_GB2312" w:eastAsia="仿宋_GB2312" w:cs="仿宋_GB2312"/>
          <w:lang w:eastAsia="zh-CN"/>
        </w:rPr>
        <w:t>阎良区城镇开发边界局部优化方案编制项目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1185"/>
        <w:gridCol w:w="6176"/>
      </w:tblGrid>
      <w:tr w14:paraId="7A803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 w:type="dxa"/>
          </w:tcPr>
          <w:p w14:paraId="1FA5792A">
            <w:pPr>
              <w:pStyle w:val="5"/>
            </w:pPr>
            <w:r>
              <w:rPr>
                <w:rFonts w:ascii="仿宋_GB2312" w:hAnsi="仿宋_GB2312" w:eastAsia="仿宋_GB2312" w:cs="仿宋_GB2312"/>
              </w:rPr>
              <w:t xml:space="preserve"> 序号</w:t>
            </w:r>
          </w:p>
        </w:tc>
        <w:tc>
          <w:tcPr>
            <w:tcW w:w="1185" w:type="dxa"/>
          </w:tcPr>
          <w:p w14:paraId="3813EA64">
            <w:pPr>
              <w:pStyle w:val="5"/>
            </w:pPr>
            <w:r>
              <w:rPr>
                <w:rFonts w:ascii="仿宋_GB2312" w:hAnsi="仿宋_GB2312" w:eastAsia="仿宋_GB2312" w:cs="仿宋_GB2312"/>
              </w:rPr>
              <w:t xml:space="preserve"> 参数性质</w:t>
            </w:r>
          </w:p>
        </w:tc>
        <w:tc>
          <w:tcPr>
            <w:tcW w:w="6176" w:type="dxa"/>
          </w:tcPr>
          <w:p w14:paraId="4285DA26">
            <w:pPr>
              <w:pStyle w:val="5"/>
            </w:pPr>
            <w:r>
              <w:rPr>
                <w:rFonts w:ascii="仿宋_GB2312" w:hAnsi="仿宋_GB2312" w:eastAsia="仿宋_GB2312" w:cs="仿宋_GB2312"/>
              </w:rPr>
              <w:t xml:space="preserve"> 技术参数与性能指标</w:t>
            </w:r>
          </w:p>
        </w:tc>
      </w:tr>
      <w:tr w14:paraId="09558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 w:type="dxa"/>
          </w:tcPr>
          <w:p w14:paraId="05F39B7A">
            <w:pPr>
              <w:pStyle w:val="5"/>
            </w:pPr>
            <w:r>
              <w:rPr>
                <w:rFonts w:ascii="仿宋_GB2312" w:hAnsi="仿宋_GB2312" w:eastAsia="仿宋_GB2312" w:cs="仿宋_GB2312"/>
              </w:rPr>
              <w:t>1</w:t>
            </w:r>
          </w:p>
        </w:tc>
        <w:tc>
          <w:tcPr>
            <w:tcW w:w="1185" w:type="dxa"/>
          </w:tcPr>
          <w:p w14:paraId="787BA600"/>
        </w:tc>
        <w:tc>
          <w:tcPr>
            <w:tcW w:w="6176" w:type="dxa"/>
          </w:tcPr>
          <w:p w14:paraId="51B0AE1B">
            <w:pPr>
              <w:spacing w:line="560" w:lineRule="exact"/>
              <w:ind w:firstLine="400" w:firstLineChars="200"/>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（一）工作范围</w:t>
            </w:r>
          </w:p>
          <w:p w14:paraId="19D0413D">
            <w:pPr>
              <w:spacing w:line="560" w:lineRule="exact"/>
              <w:ind w:firstLine="400" w:firstLineChars="200"/>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CN"/>
              </w:rPr>
              <w:t>西安市</w:t>
            </w:r>
            <w:r>
              <w:rPr>
                <w:rFonts w:hint="eastAsia" w:ascii="仿宋_GB2312" w:hAnsi="仿宋_GB2312" w:eastAsia="仿宋_GB2312" w:cs="仿宋_GB2312"/>
                <w:kern w:val="0"/>
                <w:sz w:val="20"/>
                <w:szCs w:val="20"/>
                <w:lang w:val="en-US" w:eastAsia="zh-Hans"/>
              </w:rPr>
              <w:t>阎良区行政区域（不含航空基地管辖范围）</w:t>
            </w:r>
          </w:p>
          <w:p w14:paraId="5B248211">
            <w:pPr>
              <w:spacing w:line="560" w:lineRule="exact"/>
              <w:ind w:firstLine="400" w:firstLineChars="200"/>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（二）工作内容</w:t>
            </w:r>
          </w:p>
          <w:p w14:paraId="059D4A19">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本项目服务内容涵盖2025年度阎良区城镇开发边界局部优化方案的成果编制工作，技术承担单位需主要负责以下几项工作：</w:t>
            </w:r>
          </w:p>
          <w:p w14:paraId="45D17325">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1.收集并整理各类基础资料、相关规划成果及数据；</w:t>
            </w:r>
          </w:p>
          <w:p w14:paraId="65BA8713">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2.开展前期数据处理和项目梳理，就调入项目类型及用地规模的合理性进行沟通衔接；</w:t>
            </w:r>
          </w:p>
          <w:p w14:paraId="328DFD91">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3.落实部省相关政策与要求，明确调入项目及其规模，同时确定对应调出图斑的规模和空间位置，平衡调入与调出方案；</w:t>
            </w:r>
          </w:p>
          <w:p w14:paraId="4DC2EA52">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4.根据城镇开发边界局部优化方案的编制要求，拟定阎良区城镇开发边界局部优化方案的初步方案，并征求政府及专家的论证意见；</w:t>
            </w:r>
          </w:p>
          <w:p w14:paraId="44F615EA">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5.依据城镇开发边界局部优化方案的编制导则及相关要求，形成包括方案文本、图纸、表格、数据库、附件等在内的规划成果；</w:t>
            </w:r>
          </w:p>
          <w:p w14:paraId="5E04B443">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6.协助完成专家论证评审、政府意见草拟及成果上报等相关工作。</w:t>
            </w:r>
          </w:p>
          <w:p w14:paraId="5504E8C2">
            <w:pPr>
              <w:spacing w:line="560" w:lineRule="exact"/>
              <w:ind w:firstLine="400" w:firstLineChars="200"/>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（三）工作成果</w:t>
            </w:r>
          </w:p>
          <w:p w14:paraId="4CF10BF3">
            <w:pPr>
              <w:spacing w:line="56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包括阎良区城镇开发边界局部优化方案文本、图件、矢量数据及附件（包含对应举证材料、阎良区城镇开发边界局部优化请示、阎良区人民政府同意意见、专家论证意见等文</w:t>
            </w:r>
            <w:bookmarkStart w:id="0" w:name="_GoBack"/>
            <w:r>
              <w:rPr>
                <w:rFonts w:hint="eastAsia" w:ascii="仿宋_GB2312" w:hAnsi="仿宋_GB2312" w:eastAsia="仿宋_GB2312" w:cs="仿宋_GB2312"/>
                <w:kern w:val="0"/>
                <w:sz w:val="20"/>
                <w:szCs w:val="20"/>
                <w:lang w:val="en-US" w:eastAsia="zh-CN"/>
              </w:rPr>
              <w:t>档材料）。乙方向甲方提供成果文件1式5份，成果文件均需提供电子版文件（包含PPT、文本、图件、数据库等所有电子文件）。</w:t>
            </w:r>
          </w:p>
          <w:bookmarkEnd w:id="0"/>
          <w:p w14:paraId="0792F00F">
            <w:pPr>
              <w:pStyle w:val="5"/>
              <w:jc w:val="both"/>
            </w:pPr>
          </w:p>
        </w:tc>
      </w:tr>
    </w:tbl>
    <w:p w14:paraId="6651B5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9194B"/>
    <w:rsid w:val="14304CFD"/>
    <w:rsid w:val="60A9194B"/>
    <w:rsid w:val="7EB6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360" w:lineRule="auto"/>
      <w:outlineLvl w:val="0"/>
    </w:pPr>
    <w:rPr>
      <w:rFonts w:ascii="等线" w:hAnsi="等线" w:eastAsia="黑体" w:cs="等线"/>
      <w:b/>
      <w:color w:val="000000"/>
      <w:kern w:val="44"/>
      <w:sz w:val="28"/>
      <w:lang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970</Characters>
  <Lines>0</Lines>
  <Paragraphs>0</Paragraphs>
  <TotalTime>0</TotalTime>
  <ScaleCrop>false</ScaleCrop>
  <LinksUpToDate>false</LinksUpToDate>
  <CharactersWithSpaces>1003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2025-08-20T01:00:00Z</dcterms:created>
  <dc:creator>Mr.好奇</dc:creator>
  <cp:lastModifiedBy>Mr.好奇</cp:lastModifiedBy>
  <dcterms:modified xsi:type="dcterms:W3CDTF">2025-08-20T08:44:02Z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B503C40FC8244857AB4E8647A3397D3E_11</vt:lpwstr>
  </property>
  <property fmtid="{D5CDD505-2E9C-101B-9397-08002B2CF9AE}" pid="4" name="KSOTemplateDocerSaveRecord">
    <vt:lpwstr>eyJoZGlkIjoiZDVjNGYzYTczOGZmYWYzMjJjNGMwNmQwZDUyYzczNGIiLCJ1c2VySWQiOiI1MzA2NTk0OTIifQ==</vt:lpwstr>
  </property>
</Properties>
</file>