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0046D">
      <w:pPr>
        <w:rPr>
          <w:rFonts w:hint="eastAsia" w:hAnsi="宋体" w:eastAsia="宋体" w:cs="宋体"/>
          <w:b/>
          <w:sz w:val="36"/>
          <w:highlight w:val="none"/>
          <w:lang w:eastAsia="zh-CN"/>
        </w:rPr>
      </w:pPr>
      <w:r>
        <w:rPr>
          <w:rFonts w:hint="eastAsia" w:hAnsi="宋体" w:cs="宋体"/>
          <w:b/>
          <w:bCs/>
          <w:kern w:val="2"/>
          <w:sz w:val="32"/>
          <w:szCs w:val="32"/>
          <w:highlight w:val="none"/>
        </w:rPr>
        <w:t>项目编号:</w:t>
      </w:r>
      <w:r>
        <w:rPr>
          <w:rFonts w:hint="eastAsia" w:hAnsi="宋体" w:cs="宋体"/>
          <w:b/>
          <w:bCs/>
          <w:kern w:val="2"/>
          <w:sz w:val="32"/>
          <w:szCs w:val="32"/>
          <w:highlight w:val="none"/>
          <w:lang w:eastAsia="zh-CN"/>
        </w:rPr>
        <w:t>YZZB-20250127</w:t>
      </w:r>
    </w:p>
    <w:p w14:paraId="6A951E6A">
      <w:pPr>
        <w:rPr>
          <w:rFonts w:hAnsi="宋体" w:cs="宋体"/>
          <w:b/>
          <w:sz w:val="36"/>
          <w:highlight w:val="none"/>
        </w:rPr>
      </w:pPr>
    </w:p>
    <w:p w14:paraId="4D832606">
      <w:pPr>
        <w:tabs>
          <w:tab w:val="left" w:pos="3375"/>
        </w:tabs>
        <w:rPr>
          <w:rFonts w:hAnsi="宋体" w:cs="宋体"/>
          <w:highlight w:val="none"/>
        </w:rPr>
      </w:pPr>
      <w:r>
        <w:rPr>
          <w:rFonts w:hint="eastAsia" w:hAnsi="宋体" w:cs="宋体"/>
          <w:highlight w:val="none"/>
        </w:rPr>
        <w:tab/>
      </w:r>
    </w:p>
    <w:p w14:paraId="16CCD507">
      <w:pPr>
        <w:jc w:val="center"/>
        <w:rPr>
          <w:rFonts w:asciiTheme="minorEastAsia" w:hAnsiTheme="minorEastAsia" w:eastAsiaTheme="minorEastAsia" w:cstheme="minorEastAsia"/>
          <w:b/>
          <w:sz w:val="36"/>
          <w:highlight w:val="none"/>
        </w:rPr>
      </w:pPr>
    </w:p>
    <w:p w14:paraId="4E9D265B">
      <w:pPr>
        <w:jc w:val="center"/>
        <w:rPr>
          <w:rFonts w:asciiTheme="minorEastAsia" w:hAnsiTheme="minorEastAsia" w:eastAsiaTheme="minorEastAsia" w:cstheme="minorEastAsia"/>
          <w:b/>
          <w:sz w:val="44"/>
          <w:szCs w:val="44"/>
          <w:highlight w:val="none"/>
        </w:rPr>
      </w:pPr>
    </w:p>
    <w:p w14:paraId="15A5881A">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56"/>
          <w:szCs w:val="56"/>
          <w:highlight w:val="none"/>
          <w:lang w:eastAsia="zh-CN"/>
        </w:rPr>
        <w:t>多功能录播教室建设项目</w:t>
      </w:r>
    </w:p>
    <w:p w14:paraId="50075BC3">
      <w:pPr>
        <w:spacing w:line="780" w:lineRule="auto"/>
        <w:jc w:val="center"/>
        <w:rPr>
          <w:rFonts w:asciiTheme="minorEastAsia" w:hAnsiTheme="minorEastAsia" w:eastAsiaTheme="minorEastAsia" w:cstheme="minorEastAsia"/>
          <w:b/>
          <w:sz w:val="72"/>
          <w:szCs w:val="72"/>
          <w:highlight w:val="none"/>
        </w:rPr>
      </w:pPr>
    </w:p>
    <w:p w14:paraId="51DF3025">
      <w:pPr>
        <w:pStyle w:val="2"/>
        <w:rPr>
          <w:rFonts w:asciiTheme="minorEastAsia" w:hAnsiTheme="minorEastAsia" w:eastAsiaTheme="minorEastAsia" w:cstheme="minorEastAsia"/>
          <w:sz w:val="72"/>
          <w:szCs w:val="72"/>
          <w:highlight w:val="none"/>
        </w:rPr>
      </w:pPr>
    </w:p>
    <w:p w14:paraId="2628E9F0">
      <w:pPr>
        <w:rPr>
          <w:highlight w:val="none"/>
        </w:rPr>
      </w:pPr>
    </w:p>
    <w:p w14:paraId="519D8314">
      <w:pPr>
        <w:spacing w:line="780" w:lineRule="auto"/>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招标文件</w:t>
      </w:r>
    </w:p>
    <w:p w14:paraId="5F7C24CD">
      <w:pPr>
        <w:rPr>
          <w:rFonts w:asciiTheme="minorEastAsia" w:hAnsiTheme="minorEastAsia" w:eastAsiaTheme="minorEastAsia" w:cstheme="minorEastAsia"/>
          <w:highlight w:val="none"/>
        </w:rPr>
      </w:pPr>
      <w:bookmarkStart w:id="0" w:name="_Toc363463325"/>
    </w:p>
    <w:p w14:paraId="2D77F722">
      <w:pPr>
        <w:rPr>
          <w:rFonts w:asciiTheme="minorEastAsia" w:hAnsiTheme="minorEastAsia" w:eastAsiaTheme="minorEastAsia" w:cstheme="minorEastAsia"/>
          <w:highlight w:val="none"/>
        </w:rPr>
      </w:pPr>
    </w:p>
    <w:bookmarkEnd w:id="0"/>
    <w:p w14:paraId="25040BBF">
      <w:pPr>
        <w:jc w:val="center"/>
        <w:rPr>
          <w:rFonts w:asciiTheme="minorEastAsia" w:hAnsiTheme="minorEastAsia" w:eastAsiaTheme="minorEastAsia" w:cstheme="minorEastAsia"/>
          <w:b/>
          <w:sz w:val="36"/>
          <w:szCs w:val="36"/>
          <w:highlight w:val="none"/>
        </w:rPr>
      </w:pPr>
    </w:p>
    <w:p w14:paraId="32F98262">
      <w:pPr>
        <w:rPr>
          <w:rFonts w:asciiTheme="minorEastAsia" w:hAnsiTheme="minorEastAsia" w:eastAsiaTheme="minorEastAsia" w:cstheme="minorEastAsia"/>
          <w:sz w:val="36"/>
          <w:szCs w:val="36"/>
          <w:highlight w:val="none"/>
        </w:rPr>
      </w:pPr>
    </w:p>
    <w:p w14:paraId="604E0E22">
      <w:pPr>
        <w:jc w:val="center"/>
        <w:rPr>
          <w:rFonts w:asciiTheme="minorEastAsia" w:hAnsiTheme="minorEastAsia" w:eastAsiaTheme="minorEastAsia" w:cstheme="minorEastAsia"/>
          <w:sz w:val="36"/>
          <w:szCs w:val="36"/>
          <w:highlight w:val="none"/>
        </w:rPr>
      </w:pPr>
    </w:p>
    <w:p w14:paraId="0F228FF5">
      <w:pPr>
        <w:jc w:val="center"/>
        <w:rPr>
          <w:rFonts w:asciiTheme="minorEastAsia" w:hAnsiTheme="minorEastAsia" w:eastAsiaTheme="minorEastAsia" w:cstheme="minorEastAsia"/>
          <w:sz w:val="36"/>
          <w:szCs w:val="36"/>
          <w:highlight w:val="none"/>
        </w:rPr>
      </w:pPr>
    </w:p>
    <w:p w14:paraId="4FA4D7E7">
      <w:pPr>
        <w:rPr>
          <w:rFonts w:asciiTheme="minorEastAsia" w:hAnsiTheme="minorEastAsia" w:eastAsiaTheme="minorEastAsia" w:cstheme="minorEastAsia"/>
          <w:sz w:val="18"/>
          <w:szCs w:val="18"/>
          <w:highlight w:val="none"/>
        </w:rPr>
      </w:pPr>
    </w:p>
    <w:p w14:paraId="0C9B683B">
      <w:pPr>
        <w:rPr>
          <w:rFonts w:asciiTheme="minorEastAsia" w:hAnsiTheme="minorEastAsia" w:eastAsiaTheme="minorEastAsia" w:cstheme="minorEastAsia"/>
          <w:sz w:val="18"/>
          <w:szCs w:val="18"/>
          <w:highlight w:val="none"/>
        </w:rPr>
      </w:pPr>
    </w:p>
    <w:p w14:paraId="4D414442">
      <w:pPr>
        <w:tabs>
          <w:tab w:val="left" w:pos="525"/>
        </w:tabs>
        <w:ind w:left="-2" w:leftChars="-1" w:firstLine="1"/>
        <w:jc w:val="center"/>
        <w:rPr>
          <w:rFonts w:asciiTheme="minorEastAsia" w:hAnsiTheme="minorEastAsia" w:eastAsiaTheme="minorEastAsia" w:cstheme="minorEastAsia"/>
          <w:b/>
          <w:bCs/>
          <w:sz w:val="32"/>
          <w:szCs w:val="32"/>
          <w:highlight w:val="none"/>
        </w:rPr>
      </w:pPr>
    </w:p>
    <w:p w14:paraId="4A89C154">
      <w:pPr>
        <w:tabs>
          <w:tab w:val="left" w:pos="525"/>
        </w:tabs>
        <w:ind w:left="-2" w:leftChars="-1" w:firstLine="1"/>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lang w:eastAsia="zh-CN"/>
        </w:rPr>
        <w:t>陕西银正项目管理有限公司</w:t>
      </w:r>
      <w:r>
        <w:rPr>
          <w:rFonts w:hint="eastAsia" w:asciiTheme="minorEastAsia" w:hAnsiTheme="minorEastAsia" w:eastAsiaTheme="minorEastAsia" w:cstheme="minorEastAsia"/>
          <w:b/>
          <w:bCs/>
          <w:sz w:val="32"/>
          <w:szCs w:val="32"/>
          <w:highlight w:val="none"/>
        </w:rPr>
        <w:t xml:space="preserve"> </w:t>
      </w:r>
    </w:p>
    <w:p w14:paraId="7BB4557B">
      <w:pPr>
        <w:tabs>
          <w:tab w:val="left" w:pos="525"/>
        </w:tabs>
        <w:ind w:left="-2" w:leftChars="-1" w:firstLine="1"/>
        <w:jc w:val="center"/>
        <w:rPr>
          <w:rFonts w:asciiTheme="minorEastAsia" w:hAnsiTheme="minorEastAsia" w:eastAsiaTheme="minorEastAsia" w:cstheme="minorEastAsia"/>
          <w:b/>
          <w:sz w:val="44"/>
          <w:szCs w:val="44"/>
          <w:highlight w:val="none"/>
        </w:rPr>
        <w:sectPr>
          <w:headerReference r:id="rId4" w:type="first"/>
          <w:headerReference r:id="rId3" w:type="default"/>
          <w:footerReference r:id="rId5" w:type="default"/>
          <w:pgSz w:w="11906" w:h="16838"/>
          <w:pgMar w:top="1304" w:right="1361" w:bottom="1304" w:left="1361" w:header="851" w:footer="992" w:gutter="0"/>
          <w:pgNumType w:start="1"/>
          <w:cols w:space="720" w:num="1"/>
          <w:titlePg/>
          <w:docGrid w:type="lines" w:linePitch="312" w:charSpace="0"/>
        </w:sectPr>
      </w:pPr>
      <w:r>
        <w:rPr>
          <w:rFonts w:hint="eastAsia" w:asciiTheme="minorEastAsia" w:hAnsiTheme="minorEastAsia" w:eastAsiaTheme="minorEastAsia" w:cstheme="minorEastAsia"/>
          <w:b/>
          <w:bCs/>
          <w:sz w:val="32"/>
          <w:szCs w:val="32"/>
          <w:highlight w:val="none"/>
        </w:rPr>
        <w:t>二〇二</w:t>
      </w:r>
      <w:r>
        <w:rPr>
          <w:rFonts w:hint="eastAsia" w:asciiTheme="minorEastAsia" w:hAnsiTheme="minorEastAsia" w:eastAsiaTheme="minorEastAsia" w:cstheme="minorEastAsia"/>
          <w:b/>
          <w:bCs/>
          <w:sz w:val="32"/>
          <w:szCs w:val="32"/>
          <w:highlight w:val="none"/>
          <w:lang w:val="en-US" w:eastAsia="zh-CN"/>
        </w:rPr>
        <w:t>五</w:t>
      </w:r>
      <w:r>
        <w:rPr>
          <w:rFonts w:hint="eastAsia" w:asciiTheme="minorEastAsia" w:hAnsiTheme="minorEastAsia" w:eastAsiaTheme="minorEastAsia" w:cstheme="minorEastAsia"/>
          <w:b/>
          <w:bCs/>
          <w:sz w:val="32"/>
          <w:szCs w:val="32"/>
          <w:highlight w:val="none"/>
        </w:rPr>
        <w:t>年</w:t>
      </w:r>
      <w:r>
        <w:rPr>
          <w:rFonts w:hint="eastAsia" w:asciiTheme="minorEastAsia" w:hAnsiTheme="minorEastAsia" w:eastAsiaTheme="minorEastAsia" w:cstheme="minorEastAsia"/>
          <w:b/>
          <w:bCs/>
          <w:sz w:val="32"/>
          <w:szCs w:val="32"/>
          <w:highlight w:val="none"/>
          <w:lang w:val="en-US" w:eastAsia="zh-CN"/>
        </w:rPr>
        <w:t>八</w:t>
      </w:r>
      <w:r>
        <w:rPr>
          <w:rFonts w:hint="eastAsia" w:asciiTheme="minorEastAsia" w:hAnsiTheme="minorEastAsia" w:eastAsiaTheme="minorEastAsia" w:cstheme="minorEastAsia"/>
          <w:b/>
          <w:bCs/>
          <w:sz w:val="32"/>
          <w:szCs w:val="32"/>
          <w:highlight w:val="none"/>
        </w:rPr>
        <w:t>月</w:t>
      </w:r>
    </w:p>
    <w:p w14:paraId="791980E1">
      <w:pPr>
        <w:spacing w:before="166" w:beforeLines="50" w:line="360" w:lineRule="auto"/>
        <w:jc w:val="center"/>
        <w:rPr>
          <w:rFonts w:hAnsi="宋体" w:cs="宋体"/>
          <w:b/>
          <w:sz w:val="44"/>
          <w:szCs w:val="44"/>
          <w:highlight w:val="none"/>
        </w:rPr>
      </w:pPr>
      <w:r>
        <w:rPr>
          <w:rFonts w:hint="eastAsia" w:hAnsi="宋体" w:cs="宋体"/>
          <w:b/>
          <w:sz w:val="44"/>
          <w:szCs w:val="44"/>
          <w:highlight w:val="none"/>
        </w:rPr>
        <w:t>目   录</w:t>
      </w:r>
    </w:p>
    <w:p w14:paraId="24C6EA61">
      <w:pPr>
        <w:pStyle w:val="18"/>
        <w:tabs>
          <w:tab w:val="right" w:leader="dot" w:pos="9072"/>
          <w:tab w:val="clear" w:pos="1418"/>
          <w:tab w:val="clear" w:pos="8302"/>
        </w:tabs>
        <w:spacing w:line="360" w:lineRule="auto"/>
        <w:rPr>
          <w:rFonts w:hAnsi="宋体" w:cs="宋体"/>
          <w:sz w:val="28"/>
          <w:szCs w:val="28"/>
          <w:highlight w:val="none"/>
        </w:rPr>
      </w:pPr>
      <w:bookmarkStart w:id="1" w:name="_Toc19886"/>
      <w:bookmarkStart w:id="2" w:name="_Toc21518"/>
      <w:bookmarkStart w:id="3" w:name="_Toc20858"/>
      <w:bookmarkStart w:id="4" w:name="_Toc20652"/>
      <w:bookmarkStart w:id="5" w:name="_Toc16218"/>
      <w:bookmarkStart w:id="6" w:name="_Toc5293"/>
      <w:bookmarkStart w:id="7" w:name="_Toc389582033"/>
      <w:bookmarkStart w:id="8" w:name="_Toc426457691"/>
      <w:bookmarkStart w:id="9" w:name="_Toc403077638"/>
      <w:bookmarkStart w:id="10" w:name="_Toc363473971"/>
      <w:bookmarkStart w:id="11" w:name="_Toc363474016"/>
      <w:r>
        <w:rPr>
          <w:rFonts w:hint="eastAsia" w:hAnsi="宋体" w:cs="宋体"/>
          <w:sz w:val="28"/>
          <w:szCs w:val="28"/>
          <w:highlight w:val="none"/>
        </w:rPr>
        <w:fldChar w:fldCharType="begin"/>
      </w:r>
      <w:r>
        <w:rPr>
          <w:rFonts w:hint="eastAsia" w:hAnsi="宋体" w:cs="宋体"/>
          <w:sz w:val="28"/>
          <w:szCs w:val="28"/>
          <w:highlight w:val="none"/>
        </w:rPr>
        <w:instrText xml:space="preserve">TOC \o "1-4" \h \u </w:instrText>
      </w:r>
      <w:r>
        <w:rPr>
          <w:rFonts w:hint="eastAsia" w:hAnsi="宋体" w:cs="宋体"/>
          <w:sz w:val="28"/>
          <w:szCs w:val="28"/>
          <w:highlight w:val="none"/>
        </w:rPr>
        <w:fldChar w:fldCharType="separate"/>
      </w:r>
      <w:r>
        <w:rPr>
          <w:highlight w:val="none"/>
        </w:rPr>
        <w:fldChar w:fldCharType="begin"/>
      </w:r>
      <w:r>
        <w:rPr>
          <w:highlight w:val="none"/>
        </w:rPr>
        <w:instrText xml:space="preserve"> HYPERLINK \l "_Toc18199" </w:instrText>
      </w:r>
      <w:r>
        <w:rPr>
          <w:highlight w:val="none"/>
        </w:rPr>
        <w:fldChar w:fldCharType="separate"/>
      </w:r>
      <w:r>
        <w:rPr>
          <w:rFonts w:hint="eastAsia" w:hAnsi="宋体" w:cs="宋体"/>
          <w:sz w:val="28"/>
          <w:szCs w:val="28"/>
          <w:highlight w:val="none"/>
        </w:rPr>
        <w:t>第一章  招标公告</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_Toc18199 \h </w:instrText>
      </w:r>
      <w:r>
        <w:rPr>
          <w:rFonts w:hint="eastAsia" w:hAnsi="宋体" w:cs="宋体"/>
          <w:sz w:val="28"/>
          <w:szCs w:val="28"/>
          <w:highlight w:val="none"/>
        </w:rPr>
        <w:fldChar w:fldCharType="separate"/>
      </w:r>
      <w:r>
        <w:rPr>
          <w:rFonts w:hint="eastAsia" w:hAnsi="宋体" w:cs="宋体"/>
          <w:sz w:val="28"/>
          <w:szCs w:val="28"/>
          <w:highlight w:val="none"/>
        </w:rPr>
        <w:t>2</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121342C2">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"_Toc30529" </w:instrText>
      </w:r>
      <w:r>
        <w:rPr>
          <w:highlight w:val="none"/>
        </w:rPr>
        <w:fldChar w:fldCharType="separate"/>
      </w:r>
      <w:r>
        <w:rPr>
          <w:rFonts w:hint="eastAsia" w:hAnsi="宋体" w:cs="宋体"/>
          <w:sz w:val="28"/>
          <w:szCs w:val="28"/>
          <w:highlight w:val="none"/>
        </w:rPr>
        <w:t>第二章  投标人须知</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_Toc30529 \h </w:instrText>
      </w:r>
      <w:r>
        <w:rPr>
          <w:rFonts w:hint="eastAsia" w:hAnsi="宋体" w:cs="宋体"/>
          <w:sz w:val="28"/>
          <w:szCs w:val="28"/>
          <w:highlight w:val="none"/>
        </w:rPr>
        <w:fldChar w:fldCharType="separate"/>
      </w:r>
      <w:r>
        <w:rPr>
          <w:rFonts w:hint="eastAsia" w:hAnsi="宋体" w:cs="宋体"/>
          <w:sz w:val="28"/>
          <w:szCs w:val="28"/>
          <w:highlight w:val="none"/>
        </w:rPr>
        <w:t>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2BD6C465">
      <w:pPr>
        <w:pStyle w:val="19"/>
        <w:tabs>
          <w:tab w:val="right" w:leader="dot" w:pos="9072"/>
          <w:tab w:val="clear" w:pos="8302"/>
        </w:tabs>
        <w:spacing w:line="360" w:lineRule="auto"/>
        <w:ind w:left="480"/>
        <w:rPr>
          <w:rFonts w:hAnsi="宋体" w:cs="宋体"/>
          <w:sz w:val="28"/>
          <w:szCs w:val="28"/>
          <w:highlight w:val="none"/>
        </w:rPr>
      </w:pPr>
      <w:r>
        <w:rPr>
          <w:highlight w:val="none"/>
        </w:rPr>
        <w:fldChar w:fldCharType="begin"/>
      </w:r>
      <w:r>
        <w:rPr>
          <w:highlight w:val="none"/>
        </w:rPr>
        <w:instrText xml:space="preserve"> HYPERLINK \l "_Toc22787" </w:instrText>
      </w:r>
      <w:r>
        <w:rPr>
          <w:highlight w:val="none"/>
        </w:rPr>
        <w:fldChar w:fldCharType="separate"/>
      </w:r>
      <w:r>
        <w:rPr>
          <w:rFonts w:hint="eastAsia" w:hAnsi="宋体" w:cs="宋体"/>
          <w:sz w:val="28"/>
          <w:szCs w:val="28"/>
          <w:highlight w:val="none"/>
        </w:rPr>
        <w:t>投标人须知前附表</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_Toc22787 \h </w:instrText>
      </w:r>
      <w:r>
        <w:rPr>
          <w:rFonts w:hint="eastAsia" w:hAnsi="宋体" w:cs="宋体"/>
          <w:sz w:val="28"/>
          <w:szCs w:val="28"/>
          <w:highlight w:val="none"/>
        </w:rPr>
        <w:fldChar w:fldCharType="separate"/>
      </w:r>
      <w:r>
        <w:rPr>
          <w:rFonts w:hint="eastAsia" w:hAnsi="宋体" w:cs="宋体"/>
          <w:sz w:val="28"/>
          <w:szCs w:val="28"/>
          <w:highlight w:val="none"/>
        </w:rPr>
        <w:t>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49B832D5">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"_Toc29164" </w:instrText>
      </w:r>
      <w:r>
        <w:rPr>
          <w:highlight w:val="none"/>
        </w:rPr>
        <w:fldChar w:fldCharType="separate"/>
      </w:r>
      <w:r>
        <w:rPr>
          <w:rFonts w:hint="eastAsia" w:hAnsi="宋体" w:cs="宋体"/>
          <w:sz w:val="28"/>
          <w:szCs w:val="28"/>
          <w:highlight w:val="none"/>
        </w:rPr>
        <w:t>第三章  合同条款及格式</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_Toc29164 \h </w:instrText>
      </w:r>
      <w:r>
        <w:rPr>
          <w:rFonts w:hint="eastAsia" w:hAnsi="宋体" w:cs="宋体"/>
          <w:sz w:val="28"/>
          <w:szCs w:val="28"/>
          <w:highlight w:val="none"/>
        </w:rPr>
        <w:fldChar w:fldCharType="separate"/>
      </w:r>
      <w:r>
        <w:rPr>
          <w:rFonts w:hint="eastAsia" w:hAnsi="宋体" w:cs="宋体"/>
          <w:sz w:val="28"/>
          <w:szCs w:val="28"/>
          <w:highlight w:val="none"/>
        </w:rPr>
        <w:t>26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736E6B5D">
      <w:pPr>
        <w:pStyle w:val="19"/>
        <w:tabs>
          <w:tab w:val="right" w:leader="dot" w:pos="9072"/>
          <w:tab w:val="clear" w:pos="8302"/>
        </w:tabs>
        <w:spacing w:line="360" w:lineRule="auto"/>
        <w:ind w:left="480"/>
        <w:rPr>
          <w:rFonts w:hAnsi="宋体" w:cs="宋体"/>
          <w:sz w:val="28"/>
          <w:szCs w:val="28"/>
          <w:highlight w:val="none"/>
        </w:rPr>
      </w:pPr>
      <w:r>
        <w:rPr>
          <w:highlight w:val="none"/>
        </w:rPr>
        <w:fldChar w:fldCharType="begin"/>
      </w:r>
      <w:r>
        <w:rPr>
          <w:highlight w:val="none"/>
        </w:rPr>
        <w:instrText xml:space="preserve"> HYPERLINK \l "_Toc28117" </w:instrText>
      </w:r>
      <w:r>
        <w:rPr>
          <w:highlight w:val="none"/>
        </w:rPr>
        <w:fldChar w:fldCharType="separate"/>
      </w:r>
      <w:r>
        <w:rPr>
          <w:rFonts w:hint="eastAsia" w:hAnsi="宋体" w:cs="宋体"/>
          <w:sz w:val="28"/>
          <w:szCs w:val="28"/>
          <w:highlight w:val="none"/>
        </w:rPr>
        <w:t>合同条款及格式前附表</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_Toc28117 \h </w:instrText>
      </w:r>
      <w:r>
        <w:rPr>
          <w:rFonts w:hint="eastAsia" w:hAnsi="宋体" w:cs="宋体"/>
          <w:sz w:val="28"/>
          <w:szCs w:val="28"/>
          <w:highlight w:val="none"/>
        </w:rPr>
        <w:fldChar w:fldCharType="separate"/>
      </w:r>
      <w:r>
        <w:rPr>
          <w:rFonts w:hint="eastAsia" w:hAnsi="宋体" w:cs="宋体"/>
          <w:sz w:val="28"/>
          <w:szCs w:val="28"/>
          <w:highlight w:val="none"/>
        </w:rPr>
        <w:t>26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441DEB65">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"_Toc25246" </w:instrText>
      </w:r>
      <w:r>
        <w:rPr>
          <w:highlight w:val="none"/>
        </w:rPr>
        <w:fldChar w:fldCharType="separate"/>
      </w:r>
      <w:r>
        <w:rPr>
          <w:rFonts w:hint="eastAsia" w:hAnsi="宋体" w:cs="宋体"/>
          <w:sz w:val="28"/>
          <w:szCs w:val="28"/>
          <w:highlight w:val="none"/>
        </w:rPr>
        <w:t>第四章  采购内容及技术要求</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_Toc25246 \h </w:instrText>
      </w:r>
      <w:r>
        <w:rPr>
          <w:rFonts w:hint="eastAsia" w:hAnsi="宋体" w:cs="宋体"/>
          <w:sz w:val="28"/>
          <w:szCs w:val="28"/>
          <w:highlight w:val="none"/>
        </w:rPr>
        <w:fldChar w:fldCharType="separate"/>
      </w:r>
      <w:r>
        <w:rPr>
          <w:rFonts w:hint="eastAsia" w:hAnsi="宋体" w:cs="宋体"/>
          <w:sz w:val="28"/>
          <w:szCs w:val="28"/>
          <w:highlight w:val="none"/>
        </w:rPr>
        <w:t>36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39340BFB">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"_Toc10625" </w:instrText>
      </w:r>
      <w:r>
        <w:rPr>
          <w:highlight w:val="none"/>
        </w:rPr>
        <w:fldChar w:fldCharType="separate"/>
      </w:r>
      <w:r>
        <w:rPr>
          <w:rFonts w:hint="eastAsia" w:hAnsi="宋体" w:cs="宋体"/>
          <w:sz w:val="28"/>
          <w:szCs w:val="28"/>
          <w:highlight w:val="none"/>
        </w:rPr>
        <w:t>第五章  评标方法</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_Toc10625 \h </w:instrText>
      </w:r>
      <w:r>
        <w:rPr>
          <w:rFonts w:hint="eastAsia" w:hAnsi="宋体" w:cs="宋体"/>
          <w:sz w:val="28"/>
          <w:szCs w:val="28"/>
          <w:highlight w:val="none"/>
        </w:rPr>
        <w:fldChar w:fldCharType="separate"/>
      </w:r>
      <w:r>
        <w:rPr>
          <w:rFonts w:hint="eastAsia" w:hAnsi="宋体" w:cs="宋体"/>
          <w:sz w:val="28"/>
          <w:szCs w:val="28"/>
          <w:highlight w:val="none"/>
        </w:rPr>
        <w:t>36</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6D72E6D4">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"_Toc2042" </w:instrText>
      </w:r>
      <w:r>
        <w:rPr>
          <w:highlight w:val="none"/>
        </w:rPr>
        <w:fldChar w:fldCharType="separate"/>
      </w:r>
      <w:r>
        <w:rPr>
          <w:rFonts w:hint="eastAsia" w:hAnsi="宋体" w:cs="宋体"/>
          <w:bCs/>
          <w:sz w:val="28"/>
          <w:szCs w:val="28"/>
          <w:highlight w:val="none"/>
        </w:rPr>
        <w:t>第六章  投标文件构成及格式</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_Toc2042 \h </w:instrText>
      </w:r>
      <w:r>
        <w:rPr>
          <w:rFonts w:hint="eastAsia" w:hAnsi="宋体" w:cs="宋体"/>
          <w:sz w:val="28"/>
          <w:szCs w:val="28"/>
          <w:highlight w:val="none"/>
        </w:rPr>
        <w:fldChar w:fldCharType="separate"/>
      </w:r>
      <w:r>
        <w:rPr>
          <w:rFonts w:hint="eastAsia" w:hAnsi="宋体" w:cs="宋体"/>
          <w:sz w:val="28"/>
          <w:szCs w:val="28"/>
          <w:highlight w:val="none"/>
        </w:rPr>
        <w:t>61</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4BFD1D86">
      <w:pPr>
        <w:pStyle w:val="18"/>
        <w:spacing w:line="360" w:lineRule="auto"/>
        <w:rPr>
          <w:rFonts w:hAnsi="宋体" w:cs="宋体"/>
          <w:sz w:val="21"/>
          <w:szCs w:val="21"/>
          <w:highlight w:val="none"/>
        </w:rPr>
        <w:sectPr>
          <w:headerReference r:id="rId7" w:type="first"/>
          <w:footerReference r:id="rId9" w:type="first"/>
          <w:headerReference r:id="rId6" w:type="default"/>
          <w:footerReference r:id="rId8" w:type="default"/>
          <w:pgSz w:w="11906" w:h="16838"/>
          <w:pgMar w:top="1361" w:right="1417" w:bottom="1361" w:left="1417" w:header="1134" w:footer="992" w:gutter="0"/>
          <w:pgNumType w:fmt="decimal" w:start="1"/>
          <w:cols w:space="720" w:num="1"/>
          <w:titlePg/>
          <w:docGrid w:type="lines" w:linePitch="333" w:charSpace="0"/>
        </w:sectPr>
      </w:pPr>
      <w:r>
        <w:rPr>
          <w:rFonts w:hint="eastAsia" w:hAnsi="宋体" w:cs="宋体"/>
          <w:sz w:val="28"/>
          <w:szCs w:val="28"/>
          <w:highlight w:val="none"/>
        </w:rPr>
        <w:fldChar w:fldCharType="end"/>
      </w:r>
    </w:p>
    <w:p w14:paraId="24532C6C">
      <w:pPr>
        <w:pStyle w:val="2"/>
        <w:spacing w:after="333" w:afterLines="100" w:line="500" w:lineRule="exact"/>
        <w:jc w:val="center"/>
        <w:rPr>
          <w:rFonts w:ascii="宋体" w:eastAsia="宋体" w:cs="宋体"/>
          <w:sz w:val="36"/>
          <w:szCs w:val="36"/>
          <w:highlight w:val="none"/>
        </w:rPr>
      </w:pPr>
      <w:bookmarkStart w:id="12" w:name="_Toc18199"/>
      <w:bookmarkStart w:id="13" w:name="_Toc28504"/>
      <w:bookmarkStart w:id="14" w:name="_Toc31289"/>
      <w:bookmarkStart w:id="15" w:name="_Toc26849"/>
      <w:bookmarkStart w:id="16" w:name="_Toc23576"/>
      <w:r>
        <w:rPr>
          <w:rFonts w:hint="eastAsia" w:asci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sz w:val="36"/>
          <w:szCs w:val="36"/>
          <w:highlight w:val="none"/>
        </w:rPr>
        <w:t>招标公告</w:t>
      </w:r>
      <w:bookmarkEnd w:id="8"/>
      <w:bookmarkEnd w:id="12"/>
      <w:bookmarkEnd w:id="13"/>
      <w:bookmarkEnd w:id="14"/>
      <w:bookmarkEnd w:id="15"/>
      <w:bookmarkEnd w:id="16"/>
    </w:p>
    <w:p w14:paraId="71610D0A">
      <w:pPr>
        <w:pStyle w:val="58"/>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7A8E7EDF">
      <w:pPr>
        <w:pStyle w:val="5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多功能录播教室建设项目招标项目的潜在投标人应在邮箱获取招标文件，并于 2025年08月21日 14时00分 （北京时间）前递交投标文件。</w:t>
      </w:r>
    </w:p>
    <w:p w14:paraId="121602AD">
      <w:pPr>
        <w:pStyle w:val="5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8B6B4F0">
      <w:pPr>
        <w:pStyle w:val="58"/>
        <w:spacing w:line="360" w:lineRule="auto"/>
        <w:rPr>
          <w:rFonts w:hint="eastAsia" w:ascii="宋体" w:hAnsi="宋体" w:eastAsia="宋体" w:cs="宋体"/>
          <w:sz w:val="24"/>
          <w:szCs w:val="24"/>
        </w:rPr>
      </w:pPr>
      <w:r>
        <w:rPr>
          <w:rFonts w:hint="eastAsia" w:ascii="宋体" w:hAnsi="宋体" w:eastAsia="宋体" w:cs="宋体"/>
          <w:sz w:val="24"/>
          <w:szCs w:val="24"/>
        </w:rPr>
        <w:t>项目编号：YZZB-20250127</w:t>
      </w:r>
    </w:p>
    <w:p w14:paraId="606DF886">
      <w:pPr>
        <w:pStyle w:val="58"/>
        <w:spacing w:line="360" w:lineRule="auto"/>
        <w:rPr>
          <w:rFonts w:hint="eastAsia" w:ascii="宋体" w:hAnsi="宋体" w:eastAsia="宋体" w:cs="宋体"/>
          <w:sz w:val="24"/>
          <w:szCs w:val="24"/>
        </w:rPr>
      </w:pPr>
      <w:r>
        <w:rPr>
          <w:rFonts w:hint="eastAsia" w:ascii="宋体" w:hAnsi="宋体" w:eastAsia="宋体" w:cs="宋体"/>
          <w:sz w:val="24"/>
          <w:szCs w:val="24"/>
        </w:rPr>
        <w:t>项目名称：多功能录播教室建设项目</w:t>
      </w:r>
    </w:p>
    <w:p w14:paraId="30C178F9">
      <w:pPr>
        <w:pStyle w:val="58"/>
        <w:spacing w:line="360" w:lineRule="auto"/>
        <w:rPr>
          <w:rFonts w:hint="eastAsia" w:ascii="宋体" w:hAnsi="宋体" w:eastAsia="宋体" w:cs="宋体"/>
          <w:sz w:val="24"/>
          <w:szCs w:val="24"/>
        </w:rPr>
      </w:pPr>
      <w:r>
        <w:rPr>
          <w:rFonts w:hint="eastAsia" w:ascii="宋体" w:hAnsi="宋体" w:eastAsia="宋体" w:cs="宋体"/>
          <w:sz w:val="24"/>
          <w:szCs w:val="24"/>
        </w:rPr>
        <w:t>采购方式：公开招标</w:t>
      </w:r>
    </w:p>
    <w:p w14:paraId="0F82F059">
      <w:pPr>
        <w:pStyle w:val="58"/>
        <w:spacing w:line="360" w:lineRule="auto"/>
        <w:rPr>
          <w:rFonts w:hint="eastAsia" w:ascii="宋体" w:hAnsi="宋体" w:eastAsia="宋体" w:cs="宋体"/>
          <w:sz w:val="24"/>
          <w:szCs w:val="24"/>
        </w:rPr>
      </w:pPr>
      <w:r>
        <w:rPr>
          <w:rFonts w:hint="eastAsia" w:ascii="宋体" w:hAnsi="宋体" w:eastAsia="宋体" w:cs="宋体"/>
          <w:sz w:val="24"/>
          <w:szCs w:val="24"/>
        </w:rPr>
        <w:t>预算金额：1,012,513.00元</w:t>
      </w:r>
    </w:p>
    <w:p w14:paraId="2FB0CF04">
      <w:pPr>
        <w:pStyle w:val="58"/>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61A6EBB8">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合同包1(多功能录播教室建设项目):</w:t>
      </w:r>
    </w:p>
    <w:p w14:paraId="55A14284">
      <w:pPr>
        <w:pStyle w:val="58"/>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合同包预算金额：1,012,513.00元</w:t>
      </w:r>
    </w:p>
    <w:p w14:paraId="78CBAD06">
      <w:pPr>
        <w:pStyle w:val="58"/>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合同包最高限价：1,012,513.00元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1"/>
        <w:gridCol w:w="1471"/>
        <w:gridCol w:w="1471"/>
        <w:gridCol w:w="1471"/>
        <w:gridCol w:w="1471"/>
        <w:gridCol w:w="1761"/>
      </w:tblGrid>
      <w:tr w14:paraId="478FD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2" w:hRule="atLeast"/>
        </w:trPr>
        <w:tc>
          <w:tcPr>
            <w:tcW w:w="1471" w:type="dxa"/>
            <w:vAlign w:val="center"/>
          </w:tcPr>
          <w:p w14:paraId="2353C074">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471" w:type="dxa"/>
            <w:vAlign w:val="center"/>
          </w:tcPr>
          <w:p w14:paraId="15C92F7A">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471" w:type="dxa"/>
            <w:vAlign w:val="center"/>
          </w:tcPr>
          <w:p w14:paraId="2DFCA5E9">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471" w:type="dxa"/>
            <w:vAlign w:val="center"/>
          </w:tcPr>
          <w:p w14:paraId="14824F38">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471" w:type="dxa"/>
            <w:vAlign w:val="center"/>
          </w:tcPr>
          <w:p w14:paraId="67FAA288">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761" w:type="dxa"/>
            <w:vAlign w:val="center"/>
          </w:tcPr>
          <w:p w14:paraId="23EE33DD">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7E1CE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7" w:hRule="atLeast"/>
        </w:trPr>
        <w:tc>
          <w:tcPr>
            <w:tcW w:w="1471" w:type="dxa"/>
            <w:vAlign w:val="center"/>
          </w:tcPr>
          <w:p w14:paraId="4EED2D2C">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471" w:type="dxa"/>
            <w:vAlign w:val="center"/>
          </w:tcPr>
          <w:p w14:paraId="2866FC21">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其他信息化设备</w:t>
            </w:r>
          </w:p>
        </w:tc>
        <w:tc>
          <w:tcPr>
            <w:tcW w:w="1471" w:type="dxa"/>
            <w:vAlign w:val="center"/>
          </w:tcPr>
          <w:p w14:paraId="2A357923">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多功能录播教室设施设备</w:t>
            </w:r>
          </w:p>
        </w:tc>
        <w:tc>
          <w:tcPr>
            <w:tcW w:w="1471" w:type="dxa"/>
            <w:vAlign w:val="center"/>
          </w:tcPr>
          <w:p w14:paraId="0BF5A814">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1(批)</w:t>
            </w:r>
          </w:p>
        </w:tc>
        <w:tc>
          <w:tcPr>
            <w:tcW w:w="1471" w:type="dxa"/>
            <w:vAlign w:val="center"/>
          </w:tcPr>
          <w:p w14:paraId="542AE2FF">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761" w:type="dxa"/>
            <w:vAlign w:val="center"/>
          </w:tcPr>
          <w:p w14:paraId="3FCDD9F1">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t>1,012,513.00</w:t>
            </w:r>
          </w:p>
        </w:tc>
      </w:tr>
    </w:tbl>
    <w:p w14:paraId="2C6F4104">
      <w:pPr>
        <w:pStyle w:val="58"/>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64D28D95">
      <w:pPr>
        <w:pStyle w:val="58"/>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合同履行期限：详见招标文件</w:t>
      </w:r>
    </w:p>
    <w:p w14:paraId="08D5CF45">
      <w:pPr>
        <w:pStyle w:val="5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2DD7DD1">
      <w:pPr>
        <w:pStyle w:val="58"/>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696194E">
      <w:pPr>
        <w:pStyle w:val="58"/>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EAA7F32">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合同包1(多功能录播教室建设项目)落实政府采购政策需满足的资格要求如下:</w:t>
      </w:r>
    </w:p>
    <w:p w14:paraId="45AD6DAD">
      <w:pPr>
        <w:pStyle w:val="58"/>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1AC3B293">
      <w:pPr>
        <w:pStyle w:val="58"/>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F725CFA">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合同包1(多功能录播教室建设项目)特定资格要求如下:</w:t>
      </w:r>
    </w:p>
    <w:p w14:paraId="148A57CD">
      <w:pPr>
        <w:pStyle w:val="58"/>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（2）提供法定代表人授权书（附法定代表人、被授权人身份证复印件），法定代表人直接参加投标，须提供法定代表人身份证明（附法定代表人身份证复印件）；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（3）财务状况报告：提供2024年度的经审计完整的财务审计报告（成立时间至提交投标文件截止时间不足一年的可提供成立后任意时段的资产负债表），或开标时间前六个月内银行出具的资信证明；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（7）供应商应通过“信用中国”网站(www.creditchina.gov.cn)、中国政府采购网(www.ccgp.gov.cn)查询相关主体信用记录；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（9）本项目不接受联合体投标（提供承诺书）。</w:t>
      </w:r>
    </w:p>
    <w:p w14:paraId="234521F6">
      <w:pPr>
        <w:pStyle w:val="5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6792B62C">
      <w:pPr>
        <w:pStyle w:val="58"/>
        <w:spacing w:line="360" w:lineRule="auto"/>
        <w:rPr>
          <w:rFonts w:hint="eastAsia" w:ascii="宋体" w:hAnsi="宋体" w:eastAsia="宋体" w:cs="宋体"/>
          <w:sz w:val="24"/>
          <w:szCs w:val="24"/>
        </w:rPr>
      </w:pPr>
      <w:r>
        <w:rPr>
          <w:rFonts w:hint="eastAsia" w:ascii="宋体" w:hAnsi="宋体" w:eastAsia="宋体" w:cs="宋体"/>
          <w:sz w:val="24"/>
          <w:szCs w:val="24"/>
        </w:rPr>
        <w:t>时间： 2025年08月01日 至 2025年08月07日 ，每天上午 09:00:00 至 12:00:00 ，下午 14:00:00 至 17:00:00 （北京时间）</w:t>
      </w:r>
    </w:p>
    <w:p w14:paraId="6075F3ED">
      <w:pPr>
        <w:pStyle w:val="58"/>
        <w:spacing w:line="360" w:lineRule="auto"/>
        <w:rPr>
          <w:rFonts w:hint="eastAsia" w:ascii="宋体" w:hAnsi="宋体" w:eastAsia="宋体" w:cs="宋体"/>
          <w:sz w:val="24"/>
          <w:szCs w:val="24"/>
        </w:rPr>
      </w:pPr>
      <w:r>
        <w:rPr>
          <w:rFonts w:hint="eastAsia" w:ascii="宋体" w:hAnsi="宋体" w:eastAsia="宋体" w:cs="宋体"/>
          <w:sz w:val="24"/>
          <w:szCs w:val="24"/>
        </w:rPr>
        <w:t>途径：邮箱</w:t>
      </w:r>
    </w:p>
    <w:p w14:paraId="63C67B5E">
      <w:pPr>
        <w:pStyle w:val="58"/>
        <w:spacing w:line="360" w:lineRule="auto"/>
        <w:rPr>
          <w:rFonts w:hint="eastAsia" w:ascii="宋体" w:hAnsi="宋体" w:eastAsia="宋体" w:cs="宋体"/>
          <w:sz w:val="24"/>
          <w:szCs w:val="24"/>
        </w:rPr>
      </w:pPr>
      <w:r>
        <w:rPr>
          <w:rFonts w:hint="eastAsia" w:ascii="宋体" w:hAnsi="宋体" w:eastAsia="宋体" w:cs="宋体"/>
          <w:sz w:val="24"/>
          <w:szCs w:val="24"/>
        </w:rPr>
        <w:t>方式：在线获取</w:t>
      </w:r>
    </w:p>
    <w:p w14:paraId="3A7877AE">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52E786A4">
      <w:pPr>
        <w:pStyle w:val="5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30CE44B8">
      <w:pPr>
        <w:pStyle w:val="58"/>
        <w:spacing w:line="360" w:lineRule="auto"/>
        <w:rPr>
          <w:rFonts w:hint="eastAsia" w:ascii="宋体" w:hAnsi="宋体" w:eastAsia="宋体" w:cs="宋体"/>
          <w:sz w:val="24"/>
          <w:szCs w:val="24"/>
        </w:rPr>
      </w:pPr>
      <w:r>
        <w:rPr>
          <w:rFonts w:hint="eastAsia" w:ascii="宋体" w:hAnsi="宋体" w:eastAsia="宋体" w:cs="宋体"/>
          <w:sz w:val="24"/>
          <w:szCs w:val="24"/>
        </w:rPr>
        <w:t>时间： 2025年08月21日 14时00分00秒 （北京时间）</w:t>
      </w:r>
    </w:p>
    <w:p w14:paraId="0CC736D2">
      <w:pPr>
        <w:pStyle w:val="58"/>
        <w:spacing w:line="360" w:lineRule="auto"/>
        <w:rPr>
          <w:rFonts w:hint="eastAsia" w:ascii="宋体" w:hAnsi="宋体" w:eastAsia="宋体" w:cs="宋体"/>
          <w:sz w:val="24"/>
          <w:szCs w:val="24"/>
        </w:rPr>
      </w:pPr>
      <w:r>
        <w:rPr>
          <w:rFonts w:hint="eastAsia" w:ascii="宋体" w:hAnsi="宋体" w:eastAsia="宋体" w:cs="宋体"/>
          <w:sz w:val="24"/>
          <w:szCs w:val="24"/>
        </w:rPr>
        <w:t>提交投标文件地点：陕西省西安市未央区未央路银池广场21楼04室</w:t>
      </w:r>
    </w:p>
    <w:p w14:paraId="7D658512">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开标地点：陕西省西安市未央区未央路银池广场21楼04室</w:t>
      </w:r>
    </w:p>
    <w:p w14:paraId="03E0533B">
      <w:pPr>
        <w:pStyle w:val="5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718A86A0">
      <w:pPr>
        <w:pStyle w:val="58"/>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F4BDC52">
      <w:pPr>
        <w:pStyle w:val="5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264FBE42">
      <w:pPr>
        <w:pStyle w:val="58"/>
        <w:spacing w:line="360" w:lineRule="auto"/>
        <w:rPr>
          <w:rFonts w:hint="eastAsia" w:ascii="宋体" w:hAnsi="宋体" w:eastAsia="宋体" w:cs="宋体"/>
          <w:sz w:val="24"/>
          <w:szCs w:val="24"/>
        </w:rPr>
      </w:pPr>
      <w:r>
        <w:rPr>
          <w:rFonts w:hint="eastAsia" w:ascii="宋体" w:hAnsi="宋体" w:eastAsia="宋体" w:cs="宋体"/>
          <w:sz w:val="24"/>
          <w:szCs w:val="24"/>
        </w:rPr>
        <w:t>（1）投标人领取标书方式：请将单位介绍信及经办人身份证复印件加盖公章的电子扫描件在文件发售期内发送至项目负责人邮箱（sxyinzheng@163.com），并及时告知采购代理机构确认，待审核确认无误后通过邮箱向供应商发送报名登记表。</w:t>
      </w:r>
    </w:p>
    <w:p w14:paraId="7C6157A5">
      <w:pPr>
        <w:pStyle w:val="58"/>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）请供应商按照《陕西省财政厅关于政府采购供应商注册登记有关事项的通知》中的要求，通过陕西省政府采购网（http://www.ccgp-shaanxi.gov.cn/）注册登记加入陕西省政府采购供应商库；</w:t>
      </w:r>
    </w:p>
    <w:p w14:paraId="0C966023">
      <w:pPr>
        <w:pStyle w:val="58"/>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）本项目不专门面向中小企业采购。</w:t>
      </w:r>
    </w:p>
    <w:p w14:paraId="365DC47D">
      <w:pPr>
        <w:pStyle w:val="5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5029E10A">
      <w:pPr>
        <w:pStyle w:val="58"/>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0E4DA637">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名称：镇安县教师发展中心</w:t>
      </w:r>
    </w:p>
    <w:p w14:paraId="1C0E7C44">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地址：镇安县河滨路197号</w:t>
      </w:r>
    </w:p>
    <w:p w14:paraId="4590F1D4">
      <w:pPr>
        <w:pStyle w:val="58"/>
        <w:spacing w:line="360" w:lineRule="auto"/>
        <w:rPr>
          <w:rFonts w:hint="eastAsia" w:ascii="宋体" w:hAnsi="宋体" w:eastAsia="宋体" w:cs="宋体"/>
          <w:sz w:val="24"/>
          <w:szCs w:val="24"/>
        </w:rPr>
      </w:pPr>
      <w:r>
        <w:rPr>
          <w:rFonts w:hint="eastAsia" w:ascii="宋体" w:hAnsi="宋体" w:eastAsia="宋体" w:cs="宋体"/>
          <w:sz w:val="24"/>
          <w:szCs w:val="24"/>
        </w:rPr>
        <w:t>联系方式：0914—5336086</w:t>
      </w:r>
    </w:p>
    <w:p w14:paraId="7D7EF4EE">
      <w:pPr>
        <w:pStyle w:val="58"/>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1C6848C">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名称：陕西银正项目管理有限公司</w:t>
      </w:r>
    </w:p>
    <w:p w14:paraId="5DE2F5AF">
      <w:pPr>
        <w:pStyle w:val="58"/>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地址：陕西省西安市经济技术开发区凤城二路海荣翡翠国际城1幢12306号</w:t>
      </w:r>
    </w:p>
    <w:p w14:paraId="58EFED46">
      <w:pPr>
        <w:pStyle w:val="58"/>
        <w:spacing w:line="360" w:lineRule="auto"/>
        <w:rPr>
          <w:rFonts w:hint="eastAsia" w:ascii="宋体" w:hAnsi="宋体" w:eastAsia="宋体" w:cs="宋体"/>
          <w:sz w:val="24"/>
          <w:szCs w:val="24"/>
        </w:rPr>
      </w:pPr>
      <w:r>
        <w:rPr>
          <w:rFonts w:hint="eastAsia" w:ascii="宋体" w:hAnsi="宋体" w:eastAsia="宋体" w:cs="宋体"/>
          <w:sz w:val="24"/>
          <w:szCs w:val="24"/>
        </w:rPr>
        <w:t>联系方式：18202922130</w:t>
      </w:r>
    </w:p>
    <w:p w14:paraId="5015AADE">
      <w:pPr>
        <w:pStyle w:val="58"/>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F66CEAE">
      <w:pPr>
        <w:pStyle w:val="58"/>
        <w:spacing w:line="360" w:lineRule="auto"/>
        <w:rPr>
          <w:rFonts w:hint="eastAsia" w:ascii="宋体" w:hAnsi="宋体" w:eastAsia="宋体" w:cs="宋体"/>
          <w:sz w:val="24"/>
          <w:szCs w:val="24"/>
        </w:rPr>
      </w:pPr>
      <w:r>
        <w:rPr>
          <w:rFonts w:hint="eastAsia" w:ascii="宋体" w:hAnsi="宋体" w:eastAsia="宋体" w:cs="宋体"/>
          <w:sz w:val="24"/>
          <w:szCs w:val="24"/>
        </w:rPr>
        <w:t>项目联系人：孙工</w:t>
      </w:r>
    </w:p>
    <w:p w14:paraId="79798FED">
      <w:pPr>
        <w:pStyle w:val="58"/>
        <w:spacing w:line="360" w:lineRule="auto"/>
      </w:pPr>
      <w:r>
        <w:rPr>
          <w:rFonts w:hint="eastAsia" w:ascii="宋体" w:hAnsi="宋体" w:eastAsia="宋体" w:cs="宋体"/>
          <w:sz w:val="24"/>
          <w:szCs w:val="24"/>
        </w:rPr>
        <w:t>电话：18202922130</w:t>
      </w:r>
    </w:p>
    <w:p w14:paraId="00D23A85">
      <w:pPr>
        <w:pStyle w:val="20"/>
        <w:spacing w:before="0" w:beforeAutospacing="0" w:after="0" w:afterAutospacing="0" w:line="360" w:lineRule="auto"/>
        <w:jc w:val="right"/>
        <w:rPr>
          <w:rFonts w:hint="eastAsia" w:ascii="宋体" w:hAnsi="宋体" w:eastAsia="宋体" w:cs="宋体"/>
        </w:rPr>
      </w:pPr>
    </w:p>
    <w:p w14:paraId="49A3BDBC">
      <w:pPr>
        <w:pStyle w:val="20"/>
        <w:spacing w:before="0" w:beforeAutospacing="0" w:after="0" w:afterAutospacing="0" w:line="360" w:lineRule="auto"/>
        <w:jc w:val="right"/>
        <w:rPr>
          <w:rFonts w:hint="eastAsia" w:cs="宋体"/>
          <w:highlight w:val="none"/>
          <w:shd w:val="clear" w:color="auto" w:fill="FFFFFF"/>
        </w:rPr>
      </w:pPr>
      <w:r>
        <w:rPr>
          <w:rFonts w:hint="eastAsia" w:ascii="宋体" w:hAnsi="宋体" w:eastAsia="宋体" w:cs="宋体"/>
        </w:rPr>
        <w:t>陕西银正项目管理有限公司</w:t>
      </w:r>
    </w:p>
    <w:p w14:paraId="76636519">
      <w:pPr>
        <w:pStyle w:val="20"/>
        <w:spacing w:before="0" w:beforeAutospacing="0" w:after="0" w:afterAutospacing="0" w:line="360" w:lineRule="auto"/>
        <w:jc w:val="right"/>
        <w:rPr>
          <w:rFonts w:cs="宋体"/>
          <w:highlight w:val="none"/>
          <w:shd w:val="clear" w:color="auto" w:fill="FFFFFF"/>
        </w:rPr>
      </w:pPr>
      <w:r>
        <w:rPr>
          <w:rFonts w:hint="eastAsia" w:cs="宋体"/>
          <w:highlight w:val="none"/>
          <w:shd w:val="clear" w:color="auto" w:fill="FFFFFF"/>
        </w:rPr>
        <w:t>20</w:t>
      </w:r>
      <w:r>
        <w:rPr>
          <w:rFonts w:hint="eastAsia" w:cs="宋体"/>
          <w:highlight w:val="none"/>
          <w:shd w:val="clear" w:color="auto" w:fill="FFFFFF"/>
          <w:lang w:val="en-US" w:eastAsia="zh-CN"/>
        </w:rPr>
        <w:t>25</w:t>
      </w:r>
      <w:r>
        <w:rPr>
          <w:rFonts w:hint="eastAsia" w:cs="宋体"/>
          <w:highlight w:val="none"/>
          <w:shd w:val="clear" w:color="auto" w:fill="FFFFFF"/>
        </w:rPr>
        <w:t>年</w:t>
      </w:r>
      <w:r>
        <w:rPr>
          <w:rFonts w:hint="eastAsia" w:cs="宋体"/>
          <w:highlight w:val="none"/>
          <w:shd w:val="clear" w:color="auto" w:fill="FFFFFF"/>
          <w:lang w:val="en-US" w:eastAsia="zh-CN"/>
        </w:rPr>
        <w:t>07</w:t>
      </w:r>
      <w:r>
        <w:rPr>
          <w:rFonts w:hint="eastAsia" w:cs="宋体"/>
          <w:highlight w:val="none"/>
          <w:shd w:val="clear" w:color="auto" w:fill="FFFFFF"/>
        </w:rPr>
        <w:t>月</w:t>
      </w:r>
      <w:r>
        <w:rPr>
          <w:rFonts w:hint="eastAsia" w:cs="宋体"/>
          <w:highlight w:val="none"/>
          <w:shd w:val="clear" w:color="auto" w:fill="FFFFFF"/>
          <w:lang w:val="en-US" w:eastAsia="zh-CN"/>
        </w:rPr>
        <w:t>31</w:t>
      </w:r>
      <w:r>
        <w:rPr>
          <w:rFonts w:hint="eastAsia" w:cs="宋体"/>
          <w:highlight w:val="none"/>
          <w:shd w:val="clear" w:color="auto" w:fill="FFFFFF"/>
        </w:rPr>
        <w:t>日</w:t>
      </w:r>
    </w:p>
    <w:p w14:paraId="0DCEB915">
      <w:pPr>
        <w:pStyle w:val="2"/>
        <w:jc w:val="center"/>
        <w:rPr>
          <w:rStyle w:val="27"/>
          <w:rFonts w:ascii="宋体" w:eastAsia="宋体" w:cs="宋体"/>
          <w:b/>
          <w:sz w:val="36"/>
          <w:szCs w:val="36"/>
          <w:highlight w:val="none"/>
        </w:rPr>
      </w:pPr>
      <w:r>
        <w:rPr>
          <w:rFonts w:hint="eastAsia" w:ascii="宋体" w:eastAsia="宋体" w:cs="宋体"/>
          <w:highlight w:val="none"/>
        </w:rPr>
        <w:br w:type="page"/>
      </w:r>
      <w:bookmarkStart w:id="17" w:name="_Toc389582035"/>
      <w:bookmarkStart w:id="18" w:name="_Toc2929"/>
      <w:bookmarkStart w:id="19" w:name="_Toc426457692"/>
      <w:bookmarkStart w:id="20" w:name="_Toc30529"/>
      <w:bookmarkStart w:id="21" w:name="_Toc6096"/>
      <w:bookmarkStart w:id="22" w:name="_Toc30304"/>
      <w:r>
        <w:rPr>
          <w:rFonts w:hint="eastAsia" w:ascii="宋体" w:eastAsia="宋体" w:cs="宋体"/>
          <w:sz w:val="36"/>
          <w:szCs w:val="36"/>
          <w:highlight w:val="none"/>
        </w:rPr>
        <w:t>第二</w:t>
      </w:r>
      <w:r>
        <w:rPr>
          <w:rStyle w:val="27"/>
          <w:rFonts w:hint="eastAsia" w:ascii="宋体" w:eastAsia="宋体" w:cs="宋体"/>
          <w:b/>
          <w:sz w:val="36"/>
          <w:szCs w:val="36"/>
          <w:highlight w:val="none"/>
        </w:rPr>
        <w:t xml:space="preserve">章  </w:t>
      </w:r>
      <w:bookmarkEnd w:id="17"/>
      <w:bookmarkEnd w:id="18"/>
      <w:r>
        <w:rPr>
          <w:rStyle w:val="27"/>
          <w:rFonts w:hint="eastAsia" w:eastAsia="宋体" w:cs="宋体"/>
          <w:b/>
          <w:sz w:val="36"/>
          <w:szCs w:val="36"/>
          <w:highlight w:val="none"/>
        </w:rPr>
        <w:t>投标人</w:t>
      </w:r>
      <w:r>
        <w:rPr>
          <w:rStyle w:val="27"/>
          <w:rFonts w:hint="eastAsia" w:ascii="宋体" w:eastAsia="宋体" w:cs="宋体"/>
          <w:b/>
          <w:sz w:val="36"/>
          <w:szCs w:val="36"/>
          <w:highlight w:val="none"/>
        </w:rPr>
        <w:t>须知</w:t>
      </w:r>
      <w:bookmarkEnd w:id="19"/>
      <w:bookmarkEnd w:id="20"/>
    </w:p>
    <w:bookmarkEnd w:id="21"/>
    <w:bookmarkEnd w:id="22"/>
    <w:p w14:paraId="7D62D888">
      <w:pPr>
        <w:pStyle w:val="3"/>
        <w:spacing w:before="120" w:after="120"/>
        <w:jc w:val="center"/>
        <w:rPr>
          <w:rFonts w:ascii="宋体" w:hAnsi="宋体" w:cs="宋体"/>
          <w:sz w:val="32"/>
          <w:highlight w:val="none"/>
        </w:rPr>
      </w:pPr>
      <w:bookmarkStart w:id="23" w:name="_Toc30222"/>
      <w:bookmarkStart w:id="24" w:name="_Toc17040"/>
      <w:bookmarkStart w:id="25" w:name="_Toc426457693"/>
      <w:bookmarkStart w:id="26" w:name="_Toc23108"/>
      <w:bookmarkStart w:id="27" w:name="_Toc17539"/>
      <w:bookmarkStart w:id="28" w:name="_Toc22787"/>
      <w:bookmarkStart w:id="29" w:name="_Toc11975"/>
      <w:r>
        <w:rPr>
          <w:rFonts w:hint="eastAsia" w:ascii="宋体" w:hAnsi="宋体" w:cs="宋体"/>
          <w:sz w:val="32"/>
          <w:highlight w:val="none"/>
        </w:rPr>
        <w:t>投标人须知前附表</w:t>
      </w:r>
      <w:bookmarkEnd w:id="23"/>
      <w:bookmarkEnd w:id="24"/>
      <w:bookmarkEnd w:id="25"/>
      <w:bookmarkEnd w:id="26"/>
      <w:bookmarkEnd w:id="27"/>
      <w:bookmarkEnd w:id="28"/>
      <w:bookmarkEnd w:id="29"/>
    </w:p>
    <w:tbl>
      <w:tblPr>
        <w:tblStyle w:val="2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7"/>
        <w:gridCol w:w="949"/>
        <w:gridCol w:w="7567"/>
      </w:tblGrid>
      <w:tr w14:paraId="71158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333" w:type="pct"/>
          </w:tcPr>
          <w:p w14:paraId="7D34DFFB">
            <w:pPr>
              <w:spacing w:before="166" w:beforeLines="50"/>
              <w:jc w:val="center"/>
              <w:rPr>
                <w:rFonts w:hAnsi="宋体" w:cs="宋体"/>
                <w:b/>
                <w:szCs w:val="24"/>
                <w:highlight w:val="none"/>
              </w:rPr>
            </w:pPr>
            <w:r>
              <w:rPr>
                <w:rFonts w:hint="eastAsia" w:hAnsi="宋体" w:cs="宋体"/>
                <w:b/>
                <w:szCs w:val="24"/>
                <w:highlight w:val="none"/>
              </w:rPr>
              <w:t>序号</w:t>
            </w:r>
          </w:p>
        </w:tc>
        <w:tc>
          <w:tcPr>
            <w:tcW w:w="520" w:type="pct"/>
            <w:vAlign w:val="center"/>
          </w:tcPr>
          <w:p w14:paraId="19A2543B">
            <w:pPr>
              <w:spacing w:before="166" w:beforeLines="50"/>
              <w:jc w:val="center"/>
              <w:rPr>
                <w:rFonts w:hAnsi="宋体" w:cs="宋体"/>
                <w:b/>
                <w:szCs w:val="24"/>
                <w:highlight w:val="none"/>
              </w:rPr>
            </w:pPr>
            <w:r>
              <w:rPr>
                <w:rFonts w:hint="eastAsia" w:hAnsi="宋体" w:cs="宋体"/>
                <w:b/>
                <w:szCs w:val="24"/>
                <w:highlight w:val="none"/>
              </w:rPr>
              <w:t>条款号</w:t>
            </w:r>
          </w:p>
        </w:tc>
        <w:tc>
          <w:tcPr>
            <w:tcW w:w="4146" w:type="pct"/>
          </w:tcPr>
          <w:p w14:paraId="2D34F925">
            <w:pPr>
              <w:spacing w:before="166" w:beforeLines="50"/>
              <w:jc w:val="center"/>
              <w:rPr>
                <w:rFonts w:hAnsi="宋体" w:cs="宋体"/>
                <w:b/>
                <w:szCs w:val="24"/>
                <w:highlight w:val="none"/>
              </w:rPr>
            </w:pPr>
            <w:r>
              <w:rPr>
                <w:rFonts w:hint="eastAsia" w:hAnsi="宋体" w:cs="宋体"/>
                <w:b/>
                <w:szCs w:val="24"/>
                <w:highlight w:val="none"/>
              </w:rPr>
              <w:t xml:space="preserve">编 列 内 容 </w:t>
            </w:r>
          </w:p>
        </w:tc>
      </w:tr>
      <w:tr w14:paraId="20268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3" w:type="pct"/>
            <w:vAlign w:val="center"/>
          </w:tcPr>
          <w:p w14:paraId="124491AE">
            <w:pPr>
              <w:jc w:val="center"/>
              <w:rPr>
                <w:rFonts w:hAnsi="宋体" w:cs="宋体"/>
                <w:szCs w:val="24"/>
                <w:highlight w:val="none"/>
              </w:rPr>
            </w:pPr>
            <w:r>
              <w:rPr>
                <w:rFonts w:hint="eastAsia" w:hAnsi="宋体" w:cs="宋体"/>
                <w:szCs w:val="24"/>
                <w:highlight w:val="none"/>
              </w:rPr>
              <w:t>1</w:t>
            </w:r>
          </w:p>
        </w:tc>
        <w:tc>
          <w:tcPr>
            <w:tcW w:w="520" w:type="pct"/>
            <w:vAlign w:val="center"/>
          </w:tcPr>
          <w:p w14:paraId="578B2575">
            <w:pPr>
              <w:jc w:val="center"/>
              <w:rPr>
                <w:rFonts w:hAnsi="宋体" w:cs="宋体"/>
                <w:szCs w:val="24"/>
                <w:highlight w:val="none"/>
              </w:rPr>
            </w:pPr>
            <w:r>
              <w:rPr>
                <w:rFonts w:hint="eastAsia" w:hAnsi="宋体" w:cs="宋体"/>
                <w:szCs w:val="24"/>
                <w:highlight w:val="none"/>
              </w:rPr>
              <w:t>2.3</w:t>
            </w:r>
          </w:p>
        </w:tc>
        <w:tc>
          <w:tcPr>
            <w:tcW w:w="4146" w:type="pct"/>
          </w:tcPr>
          <w:p w14:paraId="3386DEAE">
            <w:pPr>
              <w:spacing w:line="360" w:lineRule="auto"/>
              <w:rPr>
                <w:rFonts w:hint="eastAsia" w:hAnsi="宋体" w:eastAsia="宋体" w:cs="宋体"/>
                <w:szCs w:val="24"/>
                <w:highlight w:val="none"/>
                <w:lang w:eastAsia="zh-CN"/>
              </w:rPr>
            </w:pPr>
            <w:r>
              <w:rPr>
                <w:rFonts w:hint="eastAsia" w:hAnsi="宋体" w:cs="宋体"/>
                <w:szCs w:val="24"/>
                <w:highlight w:val="none"/>
              </w:rPr>
              <w:t>采购代理机构：</w:t>
            </w:r>
            <w:r>
              <w:rPr>
                <w:rFonts w:hint="eastAsia"/>
                <w:szCs w:val="24"/>
                <w:highlight w:val="none"/>
                <w:lang w:eastAsia="zh-CN"/>
              </w:rPr>
              <w:t>陕西银正项目管理有限公司</w:t>
            </w:r>
          </w:p>
          <w:p w14:paraId="78425BCB">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szCs w:val="24"/>
                <w:highlight w:val="none"/>
                <w:lang w:eastAsia="zh-CN"/>
              </w:rPr>
              <w:t>陕西省西安市未央区西安市经济技术开发区凤城二路海荣翡翠国际城1幢12306号</w:t>
            </w:r>
          </w:p>
          <w:p w14:paraId="48FB5B49">
            <w:pPr>
              <w:spacing w:line="360" w:lineRule="auto"/>
              <w:rPr>
                <w:rFonts w:hint="default" w:hAnsi="宋体" w:eastAsia="宋体" w:cs="宋体"/>
                <w:szCs w:val="24"/>
                <w:highlight w:val="none"/>
                <w:lang w:val="en-US" w:eastAsia="zh-CN"/>
              </w:rPr>
            </w:pPr>
            <w:r>
              <w:rPr>
                <w:rFonts w:hint="eastAsia" w:hAnsi="宋体" w:cs="宋体"/>
                <w:szCs w:val="24"/>
                <w:highlight w:val="none"/>
              </w:rPr>
              <w:t>邮        编：</w:t>
            </w:r>
            <w:r>
              <w:rPr>
                <w:rFonts w:hint="eastAsia"/>
                <w:szCs w:val="24"/>
                <w:highlight w:val="none"/>
              </w:rPr>
              <w:t>7100</w:t>
            </w:r>
            <w:r>
              <w:rPr>
                <w:rFonts w:hint="eastAsia"/>
                <w:szCs w:val="24"/>
                <w:highlight w:val="none"/>
                <w:lang w:val="en-US" w:eastAsia="zh-CN"/>
              </w:rPr>
              <w:t>18</w:t>
            </w:r>
          </w:p>
          <w:p w14:paraId="744A4EB9">
            <w:pPr>
              <w:spacing w:line="360" w:lineRule="auto"/>
              <w:rPr>
                <w:rFonts w:hint="eastAsia" w:hAnsi="宋体" w:eastAsia="宋体" w:cs="宋体"/>
                <w:szCs w:val="24"/>
                <w:highlight w:val="none"/>
                <w:lang w:eastAsia="zh-CN"/>
              </w:rPr>
            </w:pPr>
            <w:r>
              <w:rPr>
                <w:rFonts w:hint="eastAsia" w:hAnsi="宋体" w:cs="宋体"/>
                <w:szCs w:val="24"/>
                <w:highlight w:val="none"/>
              </w:rPr>
              <w:t>电        话：</w:t>
            </w:r>
            <w:r>
              <w:rPr>
                <w:rFonts w:hint="eastAsia" w:hAnsi="宋体" w:cs="宋体"/>
                <w:szCs w:val="24"/>
                <w:highlight w:val="none"/>
                <w:lang w:eastAsia="zh-CN"/>
              </w:rPr>
              <w:t>18202922130</w:t>
            </w:r>
          </w:p>
          <w:p w14:paraId="7B6BB580">
            <w:pPr>
              <w:spacing w:line="360" w:lineRule="auto"/>
              <w:rPr>
                <w:rFonts w:hAnsi="宋体" w:cs="宋体"/>
                <w:szCs w:val="24"/>
                <w:highlight w:val="none"/>
              </w:rPr>
            </w:pPr>
            <w:r>
              <w:rPr>
                <w:rFonts w:hint="eastAsia" w:hAnsi="宋体" w:cs="宋体"/>
                <w:szCs w:val="24"/>
                <w:highlight w:val="none"/>
              </w:rPr>
              <w:t>传        真：/</w:t>
            </w:r>
          </w:p>
        </w:tc>
      </w:tr>
      <w:tr w14:paraId="53FF6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3" w:type="pct"/>
            <w:vAlign w:val="center"/>
          </w:tcPr>
          <w:p w14:paraId="2FCD263F">
            <w:pPr>
              <w:jc w:val="center"/>
              <w:rPr>
                <w:rFonts w:hAnsi="宋体" w:cs="宋体"/>
                <w:szCs w:val="24"/>
                <w:highlight w:val="none"/>
              </w:rPr>
            </w:pPr>
            <w:r>
              <w:rPr>
                <w:rFonts w:hint="eastAsia" w:hAnsi="宋体" w:cs="宋体"/>
                <w:szCs w:val="24"/>
                <w:highlight w:val="none"/>
              </w:rPr>
              <w:t>2</w:t>
            </w:r>
          </w:p>
        </w:tc>
        <w:tc>
          <w:tcPr>
            <w:tcW w:w="520" w:type="pct"/>
            <w:vAlign w:val="center"/>
          </w:tcPr>
          <w:p w14:paraId="2190E882">
            <w:pPr>
              <w:jc w:val="center"/>
              <w:rPr>
                <w:rFonts w:hAnsi="宋体" w:cs="宋体"/>
                <w:szCs w:val="24"/>
                <w:highlight w:val="none"/>
              </w:rPr>
            </w:pPr>
            <w:r>
              <w:rPr>
                <w:rFonts w:hint="eastAsia" w:hAnsi="宋体" w:cs="宋体"/>
                <w:szCs w:val="24"/>
                <w:highlight w:val="none"/>
              </w:rPr>
              <w:t>3.6</w:t>
            </w:r>
          </w:p>
        </w:tc>
        <w:tc>
          <w:tcPr>
            <w:tcW w:w="4146" w:type="pct"/>
            <w:vAlign w:val="center"/>
          </w:tcPr>
          <w:p w14:paraId="0D706057">
            <w:pPr>
              <w:rPr>
                <w:rFonts w:hAnsi="宋体" w:cs="宋体"/>
                <w:szCs w:val="24"/>
                <w:highlight w:val="none"/>
              </w:rPr>
            </w:pPr>
            <w:r>
              <w:rPr>
                <w:rFonts w:hint="eastAsia" w:hAnsi="宋体" w:cs="宋体"/>
                <w:szCs w:val="24"/>
                <w:highlight w:val="none"/>
              </w:rPr>
              <w:t>本项目不接受联合体投标。</w:t>
            </w:r>
          </w:p>
        </w:tc>
      </w:tr>
      <w:tr w14:paraId="4D982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3" w:type="pct"/>
            <w:vAlign w:val="center"/>
          </w:tcPr>
          <w:p w14:paraId="3163A7F1">
            <w:pPr>
              <w:jc w:val="center"/>
              <w:rPr>
                <w:rFonts w:hAnsi="宋体" w:cs="宋体"/>
                <w:szCs w:val="24"/>
                <w:highlight w:val="none"/>
              </w:rPr>
            </w:pPr>
            <w:r>
              <w:rPr>
                <w:rFonts w:hint="eastAsia" w:hAnsi="宋体" w:cs="宋体"/>
                <w:szCs w:val="24"/>
                <w:highlight w:val="none"/>
              </w:rPr>
              <w:t>3</w:t>
            </w:r>
          </w:p>
        </w:tc>
        <w:tc>
          <w:tcPr>
            <w:tcW w:w="520" w:type="pct"/>
            <w:vAlign w:val="center"/>
          </w:tcPr>
          <w:p w14:paraId="25AEAA6A">
            <w:pPr>
              <w:spacing w:line="360" w:lineRule="auto"/>
              <w:jc w:val="center"/>
              <w:rPr>
                <w:rFonts w:hAnsi="宋体"/>
                <w:szCs w:val="21"/>
                <w:highlight w:val="none"/>
              </w:rPr>
            </w:pPr>
            <w:r>
              <w:rPr>
                <w:rFonts w:hint="eastAsia" w:hAnsi="宋体"/>
                <w:szCs w:val="21"/>
                <w:highlight w:val="none"/>
              </w:rPr>
              <w:t>8.3</w:t>
            </w:r>
          </w:p>
        </w:tc>
        <w:tc>
          <w:tcPr>
            <w:tcW w:w="4146" w:type="pct"/>
            <w:vAlign w:val="center"/>
          </w:tcPr>
          <w:p w14:paraId="36DD6E98">
            <w:pPr>
              <w:spacing w:line="360" w:lineRule="auto"/>
              <w:rPr>
                <w:rFonts w:hAnsi="宋体"/>
                <w:szCs w:val="21"/>
                <w:highlight w:val="none"/>
              </w:rPr>
            </w:pPr>
            <w:r>
              <w:rPr>
                <w:rFonts w:hint="eastAsia" w:hAnsi="宋体"/>
                <w:szCs w:val="21"/>
                <w:highlight w:val="none"/>
              </w:rPr>
              <w:t>采购代理机构答疑的时间：对于供应商在规定时间内依法提出的询问，采购代理机构将在三个工作日内答复询问。</w:t>
            </w:r>
          </w:p>
        </w:tc>
      </w:tr>
      <w:tr w14:paraId="7C696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333" w:type="pct"/>
            <w:vAlign w:val="center"/>
          </w:tcPr>
          <w:p w14:paraId="6A34A518">
            <w:pPr>
              <w:jc w:val="center"/>
              <w:rPr>
                <w:rFonts w:hAnsi="宋体" w:cs="宋体"/>
                <w:szCs w:val="24"/>
                <w:highlight w:val="none"/>
              </w:rPr>
            </w:pPr>
            <w:r>
              <w:rPr>
                <w:rFonts w:hint="eastAsia" w:hAnsi="宋体" w:cs="宋体"/>
                <w:szCs w:val="24"/>
                <w:highlight w:val="none"/>
              </w:rPr>
              <w:t>3</w:t>
            </w:r>
          </w:p>
        </w:tc>
        <w:tc>
          <w:tcPr>
            <w:tcW w:w="520" w:type="pct"/>
            <w:vAlign w:val="center"/>
          </w:tcPr>
          <w:p w14:paraId="1FB7CFBE">
            <w:pPr>
              <w:jc w:val="center"/>
              <w:rPr>
                <w:rFonts w:hAnsi="宋体" w:cs="宋体"/>
                <w:szCs w:val="24"/>
                <w:highlight w:val="none"/>
              </w:rPr>
            </w:pPr>
            <w:r>
              <w:rPr>
                <w:rFonts w:hint="eastAsia" w:hAnsi="宋体" w:cs="宋体"/>
                <w:szCs w:val="24"/>
                <w:highlight w:val="none"/>
              </w:rPr>
              <w:t>9.2</w:t>
            </w:r>
          </w:p>
        </w:tc>
        <w:tc>
          <w:tcPr>
            <w:tcW w:w="4146" w:type="pct"/>
            <w:vAlign w:val="center"/>
          </w:tcPr>
          <w:p w14:paraId="462F8E7E">
            <w:pPr>
              <w:rPr>
                <w:rFonts w:hAnsi="宋体" w:cs="宋体"/>
                <w:szCs w:val="24"/>
                <w:highlight w:val="none"/>
              </w:rPr>
            </w:pPr>
            <w:r>
              <w:rPr>
                <w:rFonts w:hint="eastAsia" w:hAnsi="宋体" w:cs="宋体"/>
                <w:szCs w:val="24"/>
                <w:highlight w:val="none"/>
              </w:rPr>
              <w:t>本项目不允许提供备选方案。</w:t>
            </w:r>
          </w:p>
        </w:tc>
      </w:tr>
      <w:tr w14:paraId="56311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3" w:type="pct"/>
            <w:vAlign w:val="center"/>
          </w:tcPr>
          <w:p w14:paraId="732680B3">
            <w:pPr>
              <w:jc w:val="center"/>
              <w:rPr>
                <w:rFonts w:hAnsi="宋体" w:cs="宋体"/>
                <w:szCs w:val="24"/>
                <w:highlight w:val="none"/>
              </w:rPr>
            </w:pPr>
            <w:r>
              <w:rPr>
                <w:rFonts w:hint="eastAsia" w:hAnsi="宋体" w:cs="宋体"/>
                <w:szCs w:val="24"/>
                <w:highlight w:val="none"/>
              </w:rPr>
              <w:t>4</w:t>
            </w:r>
          </w:p>
        </w:tc>
        <w:tc>
          <w:tcPr>
            <w:tcW w:w="520" w:type="pct"/>
            <w:vAlign w:val="center"/>
          </w:tcPr>
          <w:p w14:paraId="4F99B7B8">
            <w:pPr>
              <w:jc w:val="center"/>
              <w:rPr>
                <w:rFonts w:hAnsi="宋体" w:cs="宋体"/>
                <w:szCs w:val="24"/>
                <w:highlight w:val="none"/>
              </w:rPr>
            </w:pPr>
            <w:r>
              <w:rPr>
                <w:rFonts w:hint="eastAsia" w:hAnsi="宋体" w:cs="宋体"/>
                <w:szCs w:val="24"/>
                <w:highlight w:val="none"/>
              </w:rPr>
              <w:t>9.3</w:t>
            </w:r>
          </w:p>
        </w:tc>
        <w:tc>
          <w:tcPr>
            <w:tcW w:w="4146" w:type="pct"/>
            <w:vAlign w:val="center"/>
          </w:tcPr>
          <w:p w14:paraId="33AA4AC2">
            <w:pPr>
              <w:spacing w:line="360" w:lineRule="auto"/>
              <w:rPr>
                <w:rFonts w:hAnsi="宋体" w:cs="宋体"/>
                <w:szCs w:val="24"/>
                <w:highlight w:val="none"/>
              </w:rPr>
            </w:pPr>
            <w:r>
              <w:rPr>
                <w:rFonts w:hint="eastAsia" w:hAnsi="宋体" w:cs="宋体"/>
                <w:szCs w:val="24"/>
                <w:highlight w:val="none"/>
              </w:rPr>
              <w:t>供应商可根据自身的资质情况和经营范围进行投标，但不得将其子目自行分解或针对该项目中的品目进行不完全投标，任何不完全的投标将按无效投标处理。</w:t>
            </w:r>
          </w:p>
        </w:tc>
      </w:tr>
      <w:tr w14:paraId="6A38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333" w:type="pct"/>
            <w:vAlign w:val="center"/>
          </w:tcPr>
          <w:p w14:paraId="6C2EBB6F">
            <w:pPr>
              <w:spacing w:after="166" w:afterLines="50"/>
              <w:jc w:val="center"/>
              <w:rPr>
                <w:rFonts w:hAnsi="宋体" w:cs="宋体"/>
                <w:szCs w:val="24"/>
                <w:highlight w:val="none"/>
              </w:rPr>
            </w:pPr>
            <w:r>
              <w:rPr>
                <w:rFonts w:hint="eastAsia" w:hAnsi="宋体" w:cs="宋体"/>
                <w:szCs w:val="24"/>
                <w:highlight w:val="none"/>
              </w:rPr>
              <w:t>5</w:t>
            </w:r>
          </w:p>
        </w:tc>
        <w:tc>
          <w:tcPr>
            <w:tcW w:w="520" w:type="pct"/>
            <w:vAlign w:val="center"/>
          </w:tcPr>
          <w:p w14:paraId="2C1A0D68">
            <w:pPr>
              <w:spacing w:after="166" w:afterLines="50"/>
              <w:jc w:val="center"/>
              <w:rPr>
                <w:rFonts w:hAnsi="宋体" w:cs="宋体"/>
                <w:szCs w:val="24"/>
                <w:highlight w:val="none"/>
              </w:rPr>
            </w:pPr>
            <w:r>
              <w:rPr>
                <w:rFonts w:hint="eastAsia" w:hAnsi="宋体" w:cs="宋体"/>
                <w:szCs w:val="24"/>
                <w:highlight w:val="none"/>
              </w:rPr>
              <w:t>11.1</w:t>
            </w:r>
          </w:p>
        </w:tc>
        <w:tc>
          <w:tcPr>
            <w:tcW w:w="4146" w:type="pct"/>
          </w:tcPr>
          <w:p w14:paraId="61C1E889">
            <w:pPr>
              <w:spacing w:line="500" w:lineRule="exact"/>
              <w:rPr>
                <w:rFonts w:hAnsi="宋体" w:cs="宋体"/>
                <w:szCs w:val="24"/>
                <w:highlight w:val="none"/>
              </w:rPr>
            </w:pPr>
            <w:r>
              <w:rPr>
                <w:rFonts w:hint="eastAsia" w:hAnsi="宋体" w:cs="宋体"/>
                <w:szCs w:val="24"/>
                <w:highlight w:val="none"/>
              </w:rPr>
              <w:t>投标报价：</w:t>
            </w:r>
            <w:bookmarkStart w:id="30" w:name="OLE_LINK11"/>
            <w:r>
              <w:rPr>
                <w:rFonts w:hint="eastAsia" w:hAnsi="宋体" w:cs="宋体"/>
                <w:szCs w:val="24"/>
                <w:highlight w:val="none"/>
              </w:rPr>
              <w:t>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bookmarkEnd w:id="30"/>
          </w:p>
        </w:tc>
      </w:tr>
      <w:tr w14:paraId="72B5C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33" w:type="pct"/>
            <w:vAlign w:val="center"/>
          </w:tcPr>
          <w:p w14:paraId="0A75DD08">
            <w:pPr>
              <w:jc w:val="center"/>
              <w:rPr>
                <w:rFonts w:hAnsi="宋体" w:cs="宋体"/>
                <w:szCs w:val="24"/>
                <w:highlight w:val="none"/>
              </w:rPr>
            </w:pPr>
            <w:r>
              <w:rPr>
                <w:rFonts w:hint="eastAsia" w:hAnsi="宋体" w:cs="宋体"/>
                <w:szCs w:val="24"/>
                <w:highlight w:val="none"/>
              </w:rPr>
              <w:t>6</w:t>
            </w:r>
          </w:p>
        </w:tc>
        <w:tc>
          <w:tcPr>
            <w:tcW w:w="520" w:type="pct"/>
            <w:vAlign w:val="center"/>
          </w:tcPr>
          <w:p w14:paraId="215CE224">
            <w:pPr>
              <w:jc w:val="center"/>
              <w:rPr>
                <w:rFonts w:hAnsi="宋体" w:cs="宋体"/>
                <w:szCs w:val="24"/>
                <w:highlight w:val="none"/>
              </w:rPr>
            </w:pPr>
            <w:r>
              <w:rPr>
                <w:rFonts w:hint="eastAsia" w:hAnsi="宋体" w:cs="宋体"/>
                <w:szCs w:val="24"/>
                <w:highlight w:val="none"/>
              </w:rPr>
              <w:t>12.1</w:t>
            </w:r>
          </w:p>
        </w:tc>
        <w:tc>
          <w:tcPr>
            <w:tcW w:w="4146" w:type="pct"/>
          </w:tcPr>
          <w:p w14:paraId="5C386C0D">
            <w:pPr>
              <w:spacing w:line="500" w:lineRule="exact"/>
              <w:rPr>
                <w:highlight w:val="none"/>
              </w:rPr>
            </w:pPr>
            <w:r>
              <w:rPr>
                <w:highlight w:val="none"/>
              </w:rPr>
              <w:t>1.</w:t>
            </w:r>
            <w:r>
              <w:rPr>
                <w:rFonts w:hint="eastAsia"/>
                <w:highlight w:val="none"/>
              </w:rPr>
              <w:t>基本资格条件：符合《中华人民共和国政府采购法》第二十二条的规定；</w:t>
            </w:r>
          </w:p>
          <w:p w14:paraId="01DA37C8">
            <w:pPr>
              <w:spacing w:line="500" w:lineRule="exact"/>
              <w:rPr>
                <w:highlight w:val="none"/>
              </w:rPr>
            </w:pPr>
            <w:r>
              <w:rPr>
                <w:highlight w:val="none"/>
              </w:rPr>
              <w:t>2.</w:t>
            </w:r>
            <w:r>
              <w:rPr>
                <w:rFonts w:hint="eastAsia"/>
                <w:highlight w:val="none"/>
              </w:rPr>
              <w:t>特定资格条件：</w:t>
            </w:r>
          </w:p>
          <w:p w14:paraId="6170E805">
            <w:pPr>
              <w:pStyle w:val="20"/>
              <w:spacing w:before="0" w:beforeAutospacing="0" w:after="0" w:afterAutospacing="0" w:line="480" w:lineRule="atLeast"/>
              <w:jc w:val="both"/>
              <w:textAlignment w:val="baseline"/>
              <w:rPr>
                <w:rFonts w:cs="宋体"/>
                <w:color w:val="333333"/>
                <w:highlight w:val="none"/>
                <w:shd w:val="clear" w:color="auto"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（2）提供法定代表人授权书（附法定代表人、被授权人身份证复印件），法定代表人直接参加投标，须提供法定代表人身份证明（附法定代表人身份证复印件）；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（3）财务状况报告：提供2024年度的经审计完整的财务审计报告（成立时间至提交投标文件截止时间不足一年的可提供成立后任意时段的资产负债表），或开标时间前六个月内银行出具的资信证明；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（7）供应商应通过“信用中国”网站(www.creditchina.gov.cn)、中国政府采购网(www.ccgp.gov.cn)查询相关主体信用记录；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（9）本项目不接受联合体投标（提供承诺书）。</w:t>
            </w:r>
          </w:p>
          <w:p w14:paraId="5F42A39E">
            <w:pPr>
              <w:rPr>
                <w:highlight w:val="none"/>
              </w:rPr>
            </w:pPr>
            <w:r>
              <w:rPr>
                <w:rFonts w:hint="eastAsia"/>
                <w:b/>
                <w:bCs/>
                <w:highlight w:val="none"/>
              </w:rPr>
              <w:t>以上1-</w:t>
            </w:r>
            <w:r>
              <w:rPr>
                <w:rFonts w:hint="eastAsia"/>
                <w:b/>
                <w:bCs/>
                <w:highlight w:val="none"/>
                <w:lang w:val="en-US" w:eastAsia="zh-CN"/>
              </w:rPr>
              <w:t>9</w:t>
            </w:r>
            <w:r>
              <w:rPr>
                <w:rFonts w:hint="eastAsia"/>
                <w:b/>
                <w:bCs/>
                <w:highlight w:val="none"/>
              </w:rPr>
              <w:t>项为必备资质，缺一项或某项达不到要求，按无效投标处理。</w:t>
            </w:r>
          </w:p>
        </w:tc>
      </w:tr>
      <w:tr w14:paraId="3F50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333" w:type="pct"/>
            <w:vAlign w:val="center"/>
          </w:tcPr>
          <w:p w14:paraId="08FCC2CF">
            <w:pPr>
              <w:jc w:val="center"/>
              <w:rPr>
                <w:rFonts w:hAnsi="宋体" w:cs="宋体"/>
                <w:szCs w:val="24"/>
                <w:highlight w:val="none"/>
              </w:rPr>
            </w:pPr>
            <w:r>
              <w:rPr>
                <w:rFonts w:hint="eastAsia" w:hAnsi="宋体" w:cs="宋体"/>
                <w:szCs w:val="24"/>
                <w:highlight w:val="none"/>
              </w:rPr>
              <w:t>7</w:t>
            </w:r>
          </w:p>
        </w:tc>
        <w:tc>
          <w:tcPr>
            <w:tcW w:w="520" w:type="pct"/>
            <w:vAlign w:val="center"/>
          </w:tcPr>
          <w:p w14:paraId="22425E75">
            <w:pPr>
              <w:jc w:val="center"/>
              <w:rPr>
                <w:rFonts w:hAnsi="宋体" w:cs="宋体"/>
                <w:szCs w:val="24"/>
                <w:highlight w:val="none"/>
              </w:rPr>
            </w:pPr>
            <w:r>
              <w:rPr>
                <w:rFonts w:hint="eastAsia" w:hAnsi="宋体" w:cs="宋体"/>
                <w:szCs w:val="24"/>
                <w:highlight w:val="none"/>
              </w:rPr>
              <w:t>15.1</w:t>
            </w:r>
          </w:p>
        </w:tc>
        <w:tc>
          <w:tcPr>
            <w:tcW w:w="4146" w:type="pct"/>
          </w:tcPr>
          <w:p w14:paraId="1E397602">
            <w:pPr>
              <w:spacing w:line="500" w:lineRule="exact"/>
              <w:jc w:val="left"/>
              <w:rPr>
                <w:rFonts w:hAnsi="宋体" w:cs="宋体"/>
                <w:szCs w:val="24"/>
                <w:highlight w:val="none"/>
              </w:rPr>
            </w:pPr>
            <w:r>
              <w:rPr>
                <w:rFonts w:hint="eastAsia" w:hAnsi="宋体" w:cs="宋体"/>
                <w:szCs w:val="24"/>
                <w:highlight w:val="none"/>
              </w:rPr>
              <w:t>投标有效期：投标文件的截止之日起90天。</w:t>
            </w:r>
          </w:p>
        </w:tc>
      </w:tr>
      <w:tr w14:paraId="0778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9" w:hRule="atLeast"/>
          <w:jc w:val="center"/>
        </w:trPr>
        <w:tc>
          <w:tcPr>
            <w:tcW w:w="333" w:type="pct"/>
            <w:vAlign w:val="center"/>
          </w:tcPr>
          <w:p w14:paraId="5E6AF610">
            <w:pPr>
              <w:spacing w:after="166" w:afterLines="50"/>
              <w:jc w:val="center"/>
              <w:rPr>
                <w:rFonts w:hAnsi="宋体" w:cs="宋体"/>
                <w:szCs w:val="24"/>
                <w:highlight w:val="none"/>
              </w:rPr>
            </w:pPr>
            <w:r>
              <w:rPr>
                <w:rFonts w:hint="eastAsia" w:hAnsi="宋体" w:cs="宋体"/>
                <w:szCs w:val="24"/>
                <w:highlight w:val="none"/>
              </w:rPr>
              <w:t>8</w:t>
            </w:r>
          </w:p>
        </w:tc>
        <w:tc>
          <w:tcPr>
            <w:tcW w:w="520" w:type="pct"/>
            <w:vAlign w:val="center"/>
          </w:tcPr>
          <w:p w14:paraId="2AD29408">
            <w:pPr>
              <w:spacing w:after="166" w:afterLines="50"/>
              <w:jc w:val="center"/>
              <w:rPr>
                <w:rFonts w:hAnsi="宋体" w:cs="宋体"/>
                <w:szCs w:val="24"/>
                <w:highlight w:val="none"/>
              </w:rPr>
            </w:pPr>
            <w:r>
              <w:rPr>
                <w:rFonts w:hint="eastAsia" w:hAnsi="宋体" w:cs="宋体"/>
                <w:szCs w:val="24"/>
                <w:highlight w:val="none"/>
              </w:rPr>
              <w:t>16.1</w:t>
            </w:r>
          </w:p>
        </w:tc>
        <w:tc>
          <w:tcPr>
            <w:tcW w:w="4146" w:type="pct"/>
            <w:vAlign w:val="center"/>
          </w:tcPr>
          <w:p w14:paraId="05002339">
            <w:pPr>
              <w:spacing w:line="360" w:lineRule="auto"/>
              <w:rPr>
                <w:rFonts w:hAnsi="宋体" w:cs="宋体"/>
                <w:szCs w:val="24"/>
                <w:highlight w:val="none"/>
              </w:rPr>
            </w:pPr>
            <w:r>
              <w:rPr>
                <w:rFonts w:hint="eastAsia" w:hAnsi="宋体" w:cs="宋体"/>
                <w:szCs w:val="24"/>
                <w:highlight w:val="none"/>
              </w:rPr>
              <w:t>正本的份数：壹份；副本的份数：贰份；开标一览表：壹份；电子版（U盘）：壹份（需在盘面上标注供应商全称、项目名称、编号）。</w:t>
            </w:r>
          </w:p>
          <w:p w14:paraId="1EF1DFA0">
            <w:pPr>
              <w:spacing w:line="360" w:lineRule="auto"/>
              <w:rPr>
                <w:rFonts w:hAnsi="宋体" w:cs="宋体"/>
                <w:szCs w:val="24"/>
                <w:highlight w:val="none"/>
              </w:rPr>
            </w:pPr>
            <w:r>
              <w:rPr>
                <w:rFonts w:hint="eastAsia" w:hAnsi="宋体" w:cs="宋体"/>
                <w:b/>
                <w:bCs/>
                <w:szCs w:val="24"/>
                <w:highlight w:val="none"/>
              </w:rPr>
              <w:t>电子版为正本签字盖章后的PDF格式扫描件，与正本具有同等法律效力。</w:t>
            </w:r>
          </w:p>
        </w:tc>
      </w:tr>
      <w:tr w14:paraId="56C86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333" w:type="pct"/>
            <w:vAlign w:val="center"/>
          </w:tcPr>
          <w:p w14:paraId="04AF5C57">
            <w:pPr>
              <w:spacing w:after="166" w:afterLines="50"/>
              <w:jc w:val="center"/>
              <w:rPr>
                <w:rFonts w:hAnsi="宋体" w:cs="宋体"/>
                <w:szCs w:val="24"/>
                <w:highlight w:val="none"/>
              </w:rPr>
            </w:pPr>
            <w:r>
              <w:rPr>
                <w:rFonts w:hint="eastAsia" w:hAnsi="宋体" w:cs="宋体"/>
                <w:szCs w:val="24"/>
                <w:highlight w:val="none"/>
              </w:rPr>
              <w:t>9</w:t>
            </w:r>
          </w:p>
        </w:tc>
        <w:tc>
          <w:tcPr>
            <w:tcW w:w="520" w:type="pct"/>
            <w:vAlign w:val="center"/>
          </w:tcPr>
          <w:p w14:paraId="35E6237B">
            <w:pPr>
              <w:spacing w:after="166" w:afterLines="50"/>
              <w:jc w:val="center"/>
              <w:rPr>
                <w:rFonts w:hAnsi="宋体" w:cs="宋体"/>
                <w:szCs w:val="24"/>
                <w:highlight w:val="none"/>
              </w:rPr>
            </w:pPr>
            <w:r>
              <w:rPr>
                <w:rFonts w:hint="eastAsia" w:hAnsi="宋体" w:cs="宋体"/>
                <w:szCs w:val="24"/>
                <w:highlight w:val="none"/>
              </w:rPr>
              <w:t>17.2</w:t>
            </w:r>
          </w:p>
        </w:tc>
        <w:tc>
          <w:tcPr>
            <w:tcW w:w="4146" w:type="pct"/>
            <w:vAlign w:val="center"/>
          </w:tcPr>
          <w:p w14:paraId="70453151">
            <w:pPr>
              <w:spacing w:line="360" w:lineRule="auto"/>
              <w:rPr>
                <w:rFonts w:hAnsi="宋体" w:cs="宋体"/>
                <w:szCs w:val="24"/>
                <w:highlight w:val="none"/>
              </w:rPr>
            </w:pPr>
            <w:r>
              <w:rPr>
                <w:rFonts w:hint="eastAsia" w:hAnsi="宋体" w:cs="宋体"/>
                <w:szCs w:val="24"/>
                <w:highlight w:val="none"/>
              </w:rPr>
              <w:t>投标文件正本、所有的副本、电子版本、开标一览表需分开密封装在单独的封袋中（封袋不得有破损），且在封袋正面标明“正本”“副本”“电子版本”“开标一览表”字样。封袋应加贴封条，并在封线处加盖供应商公章，封袋正面要粘贴供应商全称、项目名称、编号等标识。</w:t>
            </w:r>
          </w:p>
          <w:p w14:paraId="187D5D0D">
            <w:pPr>
              <w:spacing w:line="360" w:lineRule="auto"/>
              <w:rPr>
                <w:rFonts w:hAnsi="宋体"/>
                <w:szCs w:val="24"/>
                <w:highlight w:val="none"/>
              </w:rPr>
            </w:pPr>
            <w:r>
              <w:rPr>
                <w:rFonts w:hAnsi="宋体"/>
                <w:szCs w:val="24"/>
                <w:highlight w:val="none"/>
              </w:rPr>
              <w:t>外层包装请按以下要求标记：</w:t>
            </w:r>
          </w:p>
          <w:p w14:paraId="3CC47531">
            <w:pPr>
              <w:spacing w:line="360" w:lineRule="auto"/>
              <w:ind w:firstLine="480" w:firstLineChars="200"/>
              <w:rPr>
                <w:rFonts w:hAnsi="宋体"/>
                <w:szCs w:val="24"/>
                <w:highlight w:val="none"/>
              </w:rPr>
            </w:pPr>
            <w:r>
              <w:rPr>
                <w:rFonts w:hAnsi="宋体"/>
                <w:szCs w:val="24"/>
                <w:highlight w:val="none"/>
              </w:rPr>
              <w:t xml:space="preserve">1) </w:t>
            </w:r>
            <w:r>
              <w:rPr>
                <w:rFonts w:hint="eastAsia" w:hAnsi="宋体"/>
                <w:szCs w:val="24"/>
                <w:highlight w:val="none"/>
              </w:rPr>
              <w:t>投标人</w:t>
            </w:r>
            <w:r>
              <w:rPr>
                <w:rFonts w:hAnsi="宋体"/>
                <w:szCs w:val="24"/>
                <w:highlight w:val="none"/>
              </w:rPr>
              <w:t>全称</w:t>
            </w:r>
            <w:r>
              <w:rPr>
                <w:rFonts w:hint="eastAsia" w:hAnsi="宋体"/>
                <w:szCs w:val="24"/>
                <w:highlight w:val="none"/>
              </w:rPr>
              <w:t>（加盖公章）</w:t>
            </w:r>
            <w:r>
              <w:rPr>
                <w:rFonts w:hAnsi="宋体"/>
                <w:szCs w:val="24"/>
                <w:highlight w:val="none"/>
              </w:rPr>
              <w:t>；</w:t>
            </w:r>
          </w:p>
          <w:p w14:paraId="6120C167">
            <w:pPr>
              <w:spacing w:line="360" w:lineRule="auto"/>
              <w:ind w:firstLine="480" w:firstLineChars="200"/>
              <w:rPr>
                <w:rFonts w:hAnsi="宋体"/>
                <w:szCs w:val="24"/>
                <w:highlight w:val="none"/>
              </w:rPr>
            </w:pPr>
            <w:r>
              <w:rPr>
                <w:rFonts w:hAnsi="宋体"/>
                <w:szCs w:val="24"/>
                <w:highlight w:val="none"/>
              </w:rPr>
              <w:t xml:space="preserve">2) </w:t>
            </w:r>
            <w:r>
              <w:rPr>
                <w:rFonts w:hint="eastAsia" w:hAnsi="宋体"/>
                <w:szCs w:val="24"/>
                <w:highlight w:val="none"/>
              </w:rPr>
              <w:t>项目</w:t>
            </w:r>
            <w:r>
              <w:rPr>
                <w:rFonts w:hAnsi="宋体"/>
                <w:szCs w:val="24"/>
                <w:highlight w:val="none"/>
              </w:rPr>
              <w:t>名称、项目</w:t>
            </w:r>
            <w:r>
              <w:rPr>
                <w:rFonts w:hint="eastAsia" w:hAnsi="宋体"/>
                <w:szCs w:val="24"/>
                <w:highlight w:val="none"/>
              </w:rPr>
              <w:t>编号；</w:t>
            </w:r>
          </w:p>
          <w:p w14:paraId="4965D8D8">
            <w:pPr>
              <w:spacing w:line="360" w:lineRule="auto"/>
              <w:ind w:left="240" w:leftChars="100" w:firstLine="240" w:firstLineChars="100"/>
              <w:rPr>
                <w:rFonts w:hAnsi="宋体" w:cs="宋体"/>
                <w:szCs w:val="24"/>
                <w:highlight w:val="none"/>
              </w:rPr>
            </w:pPr>
            <w:r>
              <w:rPr>
                <w:rFonts w:hAnsi="宋体"/>
                <w:szCs w:val="24"/>
                <w:highlight w:val="none"/>
              </w:rPr>
              <w:t>3）正本</w:t>
            </w:r>
            <w:r>
              <w:rPr>
                <w:rFonts w:hint="eastAsia" w:hAnsi="宋体"/>
                <w:szCs w:val="24"/>
                <w:highlight w:val="none"/>
              </w:rPr>
              <w:t>、</w:t>
            </w:r>
            <w:r>
              <w:rPr>
                <w:rFonts w:hAnsi="宋体"/>
                <w:szCs w:val="24"/>
                <w:highlight w:val="none"/>
              </w:rPr>
              <w:t>副本</w:t>
            </w:r>
            <w:r>
              <w:rPr>
                <w:rFonts w:hint="eastAsia" w:hAnsi="宋体"/>
                <w:szCs w:val="24"/>
                <w:highlight w:val="none"/>
              </w:rPr>
              <w:t>、电子版、报价一览表</w:t>
            </w:r>
            <w:r>
              <w:rPr>
                <w:rFonts w:hAnsi="宋体"/>
                <w:szCs w:val="24"/>
                <w:highlight w:val="none"/>
              </w:rPr>
              <w:t>“</w:t>
            </w:r>
            <w:r>
              <w:rPr>
                <w:rFonts w:hint="eastAsia" w:hAnsi="宋体"/>
                <w:szCs w:val="24"/>
                <w:highlight w:val="none"/>
              </w:rPr>
              <w:t>请勿在＿＿＿＿(开标时间)之前启封</w:t>
            </w:r>
            <w:r>
              <w:rPr>
                <w:rFonts w:hAnsi="宋体"/>
                <w:szCs w:val="24"/>
                <w:highlight w:val="none"/>
              </w:rPr>
              <w:t>”。</w:t>
            </w:r>
          </w:p>
        </w:tc>
      </w:tr>
      <w:tr w14:paraId="287B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333" w:type="pct"/>
            <w:vAlign w:val="center"/>
          </w:tcPr>
          <w:p w14:paraId="7B7A8781">
            <w:pPr>
              <w:spacing w:after="166" w:afterLines="50"/>
              <w:jc w:val="center"/>
              <w:rPr>
                <w:rFonts w:hAnsi="宋体" w:cs="宋体"/>
                <w:szCs w:val="24"/>
                <w:highlight w:val="none"/>
              </w:rPr>
            </w:pPr>
            <w:r>
              <w:rPr>
                <w:rFonts w:hint="eastAsia" w:hAnsi="宋体" w:cs="宋体"/>
                <w:szCs w:val="24"/>
                <w:highlight w:val="none"/>
              </w:rPr>
              <w:t>10</w:t>
            </w:r>
          </w:p>
        </w:tc>
        <w:tc>
          <w:tcPr>
            <w:tcW w:w="520" w:type="pct"/>
            <w:vAlign w:val="center"/>
          </w:tcPr>
          <w:p w14:paraId="13C3E534">
            <w:pPr>
              <w:spacing w:after="166" w:afterLines="50"/>
              <w:jc w:val="center"/>
              <w:rPr>
                <w:rFonts w:hAnsi="宋体" w:cs="宋体"/>
                <w:szCs w:val="24"/>
                <w:highlight w:val="none"/>
              </w:rPr>
            </w:pPr>
            <w:r>
              <w:rPr>
                <w:rFonts w:hint="eastAsia" w:hAnsi="宋体" w:cs="宋体"/>
                <w:szCs w:val="24"/>
                <w:highlight w:val="none"/>
              </w:rPr>
              <w:t>18.1</w:t>
            </w:r>
          </w:p>
        </w:tc>
        <w:tc>
          <w:tcPr>
            <w:tcW w:w="4146" w:type="pct"/>
          </w:tcPr>
          <w:p w14:paraId="25DF613B">
            <w:pPr>
              <w:spacing w:line="360" w:lineRule="auto"/>
              <w:rPr>
                <w:rFonts w:cs="宋体"/>
                <w:highlight w:val="none"/>
              </w:rPr>
            </w:pPr>
            <w:r>
              <w:rPr>
                <w:rFonts w:hint="eastAsia" w:cs="宋体"/>
                <w:highlight w:val="none"/>
              </w:rPr>
              <w:t>投标文件递交截止时间</w:t>
            </w:r>
            <w:bookmarkStart w:id="31" w:name="OLE_LINK12"/>
            <w:r>
              <w:rPr>
                <w:rFonts w:hint="eastAsia" w:cs="宋体"/>
                <w:highlight w:val="none"/>
              </w:rPr>
              <w:t>：</w:t>
            </w:r>
            <w:bookmarkEnd w:id="31"/>
            <w:r>
              <w:rPr>
                <w:rFonts w:hint="eastAsia" w:cs="宋体"/>
                <w:highlight w:val="none"/>
              </w:rPr>
              <w:t>详见</w:t>
            </w:r>
            <w:r>
              <w:rPr>
                <w:rFonts w:hint="eastAsia" w:hAnsi="宋体"/>
                <w:szCs w:val="24"/>
                <w:highlight w:val="none"/>
              </w:rPr>
              <w:t>招标公告</w:t>
            </w:r>
          </w:p>
          <w:p w14:paraId="407C04D7">
            <w:pPr>
              <w:spacing w:line="360" w:lineRule="auto"/>
              <w:rPr>
                <w:rFonts w:hAnsi="宋体" w:cs="宋体"/>
                <w:szCs w:val="24"/>
                <w:highlight w:val="none"/>
              </w:rPr>
            </w:pPr>
            <w:r>
              <w:rPr>
                <w:rFonts w:hint="eastAsia" w:hAnsi="宋体" w:cs="宋体"/>
                <w:szCs w:val="24"/>
                <w:highlight w:val="none"/>
              </w:rPr>
              <w:t>投标文件递交地址：</w:t>
            </w:r>
            <w:r>
              <w:rPr>
                <w:rFonts w:hint="eastAsia" w:hAnsi="宋体" w:cs="宋体"/>
                <w:szCs w:val="24"/>
                <w:highlight w:val="none"/>
                <w:lang w:eastAsia="zh-CN"/>
              </w:rPr>
              <w:t>陕西省西安市经济技术开发区凤城二路海荣翡翠国际城1幢12306号</w:t>
            </w:r>
            <w:r>
              <w:rPr>
                <w:rFonts w:hint="eastAsia" w:hAnsi="宋体" w:cs="宋体"/>
                <w:szCs w:val="24"/>
                <w:highlight w:val="none"/>
              </w:rPr>
              <w:t>。</w:t>
            </w:r>
          </w:p>
          <w:p w14:paraId="105346D4">
            <w:pPr>
              <w:spacing w:line="360" w:lineRule="auto"/>
              <w:rPr>
                <w:rFonts w:hAnsi="宋体" w:cs="宋体"/>
                <w:szCs w:val="24"/>
                <w:highlight w:val="none"/>
              </w:rPr>
            </w:pPr>
            <w:r>
              <w:rPr>
                <w:rFonts w:hint="eastAsia" w:hAnsi="宋体" w:cs="宋体"/>
                <w:szCs w:val="24"/>
                <w:highlight w:val="none"/>
              </w:rPr>
              <w:t>投标文件接收人：</w:t>
            </w:r>
            <w:r>
              <w:rPr>
                <w:rFonts w:hint="eastAsia" w:hAnsi="宋体" w:cs="宋体"/>
                <w:szCs w:val="24"/>
                <w:highlight w:val="none"/>
                <w:lang w:eastAsia="zh-CN"/>
              </w:rPr>
              <w:t>陕西银正项目管理有限公司</w:t>
            </w:r>
            <w:r>
              <w:rPr>
                <w:rFonts w:hint="eastAsia" w:hAnsi="宋体" w:cs="宋体"/>
                <w:szCs w:val="24"/>
                <w:highlight w:val="none"/>
              </w:rPr>
              <w:t>。</w:t>
            </w:r>
          </w:p>
        </w:tc>
      </w:tr>
      <w:tr w14:paraId="37EB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333" w:type="pct"/>
            <w:vAlign w:val="center"/>
          </w:tcPr>
          <w:p w14:paraId="34A1E624">
            <w:pPr>
              <w:spacing w:after="166" w:afterLines="50"/>
              <w:jc w:val="center"/>
              <w:rPr>
                <w:rFonts w:hAnsi="宋体" w:cs="宋体"/>
                <w:szCs w:val="24"/>
                <w:highlight w:val="none"/>
              </w:rPr>
            </w:pPr>
            <w:r>
              <w:rPr>
                <w:rFonts w:hint="eastAsia" w:hAnsi="宋体" w:cs="宋体"/>
                <w:szCs w:val="24"/>
                <w:highlight w:val="none"/>
              </w:rPr>
              <w:t>11</w:t>
            </w:r>
          </w:p>
        </w:tc>
        <w:tc>
          <w:tcPr>
            <w:tcW w:w="520" w:type="pct"/>
            <w:vAlign w:val="center"/>
          </w:tcPr>
          <w:p w14:paraId="5B6A63AB">
            <w:pPr>
              <w:spacing w:after="166" w:afterLines="50"/>
              <w:jc w:val="center"/>
              <w:rPr>
                <w:rFonts w:hAnsi="宋体" w:cs="宋体"/>
                <w:szCs w:val="24"/>
                <w:highlight w:val="none"/>
              </w:rPr>
            </w:pPr>
            <w:r>
              <w:rPr>
                <w:rFonts w:hint="eastAsia" w:hAnsi="宋体" w:cs="宋体"/>
                <w:szCs w:val="24"/>
                <w:highlight w:val="none"/>
              </w:rPr>
              <w:t>21.1</w:t>
            </w:r>
          </w:p>
        </w:tc>
        <w:tc>
          <w:tcPr>
            <w:tcW w:w="4146" w:type="pct"/>
          </w:tcPr>
          <w:p w14:paraId="4544AD98">
            <w:pPr>
              <w:spacing w:line="360" w:lineRule="auto"/>
              <w:rPr>
                <w:rFonts w:hAnsi="宋体" w:cs="宋体"/>
                <w:szCs w:val="24"/>
                <w:highlight w:val="none"/>
              </w:rPr>
            </w:pPr>
            <w:r>
              <w:rPr>
                <w:rFonts w:hint="eastAsia" w:hAnsi="宋体" w:cs="宋体"/>
                <w:szCs w:val="24"/>
                <w:highlight w:val="none"/>
              </w:rPr>
              <w:t>开标时间：</w:t>
            </w:r>
            <w:r>
              <w:rPr>
                <w:rFonts w:hint="eastAsia" w:cs="宋体"/>
                <w:highlight w:val="none"/>
              </w:rPr>
              <w:t>详见</w:t>
            </w:r>
            <w:r>
              <w:rPr>
                <w:rFonts w:hint="eastAsia" w:hAnsi="宋体"/>
                <w:szCs w:val="24"/>
                <w:highlight w:val="none"/>
              </w:rPr>
              <w:t>招标公告</w:t>
            </w:r>
          </w:p>
          <w:p w14:paraId="0CF13A97">
            <w:pPr>
              <w:spacing w:line="360" w:lineRule="auto"/>
              <w:rPr>
                <w:rFonts w:hint="eastAsia" w:hAnsi="宋体" w:eastAsia="宋体" w:cs="宋体"/>
                <w:szCs w:val="24"/>
                <w:highlight w:val="none"/>
                <w:lang w:eastAsia="zh-CN"/>
              </w:rPr>
            </w:pPr>
            <w:r>
              <w:rPr>
                <w:rFonts w:hint="eastAsia" w:hAnsi="宋体" w:cs="宋体"/>
                <w:szCs w:val="24"/>
                <w:highlight w:val="none"/>
              </w:rPr>
              <w:t>开标地点：</w:t>
            </w:r>
            <w:r>
              <w:rPr>
                <w:rFonts w:hint="eastAsia" w:hAnsi="宋体" w:cs="宋体"/>
                <w:szCs w:val="24"/>
                <w:highlight w:val="none"/>
                <w:lang w:eastAsia="zh-CN"/>
              </w:rPr>
              <w:t>陕西省西安市</w:t>
            </w:r>
            <w:bookmarkStart w:id="282" w:name="_GoBack"/>
            <w:bookmarkEnd w:id="282"/>
            <w:r>
              <w:rPr>
                <w:rFonts w:hint="eastAsia" w:hAnsi="宋体" w:cs="宋体"/>
                <w:szCs w:val="24"/>
                <w:highlight w:val="none"/>
                <w:lang w:eastAsia="zh-CN"/>
              </w:rPr>
              <w:t>经济技术开发区凤城二路海荣翡翠国际城1幢12306号</w:t>
            </w:r>
          </w:p>
        </w:tc>
      </w:tr>
      <w:tr w14:paraId="0E2E0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333" w:type="pct"/>
            <w:vAlign w:val="center"/>
          </w:tcPr>
          <w:p w14:paraId="6E530C15">
            <w:pPr>
              <w:jc w:val="center"/>
              <w:rPr>
                <w:rFonts w:hAnsi="宋体" w:cs="宋体"/>
                <w:szCs w:val="24"/>
                <w:highlight w:val="none"/>
              </w:rPr>
            </w:pPr>
            <w:r>
              <w:rPr>
                <w:rFonts w:hint="eastAsia" w:hAnsi="宋体" w:cs="宋体"/>
                <w:szCs w:val="24"/>
                <w:highlight w:val="none"/>
              </w:rPr>
              <w:t>12</w:t>
            </w:r>
          </w:p>
        </w:tc>
        <w:tc>
          <w:tcPr>
            <w:tcW w:w="520" w:type="pct"/>
            <w:vAlign w:val="center"/>
          </w:tcPr>
          <w:p w14:paraId="33CB44F7">
            <w:pPr>
              <w:jc w:val="center"/>
              <w:rPr>
                <w:rFonts w:hAnsi="宋体" w:cs="宋体"/>
                <w:szCs w:val="24"/>
                <w:highlight w:val="none"/>
              </w:rPr>
            </w:pPr>
            <w:r>
              <w:rPr>
                <w:rFonts w:hint="eastAsia" w:hAnsi="宋体" w:cs="宋体"/>
                <w:szCs w:val="24"/>
                <w:highlight w:val="none"/>
              </w:rPr>
              <w:t>24.1</w:t>
            </w:r>
          </w:p>
        </w:tc>
        <w:tc>
          <w:tcPr>
            <w:tcW w:w="4146" w:type="pct"/>
            <w:vAlign w:val="center"/>
          </w:tcPr>
          <w:p w14:paraId="2CF3C1DA">
            <w:pPr>
              <w:jc w:val="left"/>
              <w:rPr>
                <w:rFonts w:hAnsi="宋体" w:cs="宋体"/>
                <w:b/>
                <w:bCs/>
                <w:szCs w:val="24"/>
                <w:highlight w:val="none"/>
              </w:rPr>
            </w:pPr>
            <w:r>
              <w:rPr>
                <w:rFonts w:hint="eastAsia" w:hAnsi="宋体" w:cs="宋体"/>
                <w:b/>
                <w:bCs/>
                <w:szCs w:val="24"/>
                <w:highlight w:val="none"/>
              </w:rPr>
              <w:t>评标方法：综合评分法（详见第五章）</w:t>
            </w:r>
          </w:p>
        </w:tc>
      </w:tr>
      <w:tr w14:paraId="7AA0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20" w:hRule="atLeast"/>
          <w:jc w:val="center"/>
        </w:trPr>
        <w:tc>
          <w:tcPr>
            <w:tcW w:w="333" w:type="pct"/>
            <w:vAlign w:val="center"/>
          </w:tcPr>
          <w:p w14:paraId="246084E3">
            <w:pPr>
              <w:jc w:val="center"/>
              <w:rPr>
                <w:rFonts w:hAnsi="宋体" w:cs="宋体"/>
                <w:szCs w:val="24"/>
                <w:highlight w:val="none"/>
              </w:rPr>
            </w:pPr>
            <w:r>
              <w:rPr>
                <w:rFonts w:hint="eastAsia" w:hAnsi="宋体" w:cs="宋体"/>
                <w:szCs w:val="24"/>
                <w:highlight w:val="none"/>
              </w:rPr>
              <w:t>13</w:t>
            </w:r>
          </w:p>
        </w:tc>
        <w:tc>
          <w:tcPr>
            <w:tcW w:w="520" w:type="pct"/>
            <w:vAlign w:val="center"/>
          </w:tcPr>
          <w:p w14:paraId="205078DD">
            <w:pPr>
              <w:jc w:val="center"/>
              <w:rPr>
                <w:rFonts w:hAnsi="宋体" w:cs="宋体"/>
                <w:szCs w:val="24"/>
                <w:highlight w:val="none"/>
              </w:rPr>
            </w:pPr>
            <w:r>
              <w:rPr>
                <w:rFonts w:hint="eastAsia" w:hAnsi="宋体" w:cs="宋体"/>
                <w:szCs w:val="24"/>
                <w:highlight w:val="none"/>
              </w:rPr>
              <w:t>29</w:t>
            </w:r>
          </w:p>
        </w:tc>
        <w:tc>
          <w:tcPr>
            <w:tcW w:w="4146" w:type="pct"/>
            <w:vAlign w:val="center"/>
          </w:tcPr>
          <w:p w14:paraId="17023523">
            <w:pPr>
              <w:spacing w:line="520" w:lineRule="exact"/>
              <w:rPr>
                <w:rFonts w:hAnsi="宋体" w:cs="宋体"/>
                <w:szCs w:val="24"/>
                <w:highlight w:val="none"/>
              </w:rPr>
            </w:pPr>
            <w:r>
              <w:rPr>
                <w:rFonts w:hint="eastAsia" w:hAnsi="宋体" w:cs="宋体"/>
                <w:szCs w:val="24"/>
                <w:highlight w:val="none"/>
              </w:rPr>
              <w:t xml:space="preserve">招标代理服务费： </w:t>
            </w:r>
          </w:p>
          <w:p w14:paraId="1101CF3E">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招标代理服务费的计算方法：以中标金额为基数，依据国家计委颁布《招标代理服务收费管理暂行办法》（计价格[2002]1980号）文件的有关规定</w:t>
            </w:r>
            <w:r>
              <w:rPr>
                <w:rFonts w:hint="eastAsia" w:hAnsi="宋体" w:cs="宋体"/>
                <w:szCs w:val="22"/>
                <w:highlight w:val="none"/>
                <w:lang w:val="en-US" w:eastAsia="zh-CN"/>
              </w:rPr>
              <w:t>的收费标准收取</w:t>
            </w:r>
            <w:r>
              <w:rPr>
                <w:rFonts w:hint="eastAsia" w:hAnsi="宋体" w:cs="宋体"/>
                <w:szCs w:val="22"/>
                <w:highlight w:val="none"/>
              </w:rPr>
              <w:t>。</w:t>
            </w:r>
          </w:p>
          <w:p w14:paraId="50AEDB35">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采购人须向采购代理机构一次性支付招标代理服务费。</w:t>
            </w:r>
          </w:p>
        </w:tc>
      </w:tr>
      <w:tr w14:paraId="42230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1" w:hRule="atLeast"/>
          <w:jc w:val="center"/>
        </w:trPr>
        <w:tc>
          <w:tcPr>
            <w:tcW w:w="333" w:type="pct"/>
            <w:vAlign w:val="center"/>
          </w:tcPr>
          <w:p w14:paraId="3F684D58">
            <w:pPr>
              <w:jc w:val="center"/>
              <w:rPr>
                <w:rFonts w:hAnsi="宋体" w:cs="宋体"/>
                <w:szCs w:val="24"/>
                <w:highlight w:val="none"/>
              </w:rPr>
            </w:pPr>
            <w:r>
              <w:rPr>
                <w:rFonts w:hint="eastAsia" w:hAnsi="宋体" w:cs="宋体"/>
                <w:szCs w:val="24"/>
                <w:highlight w:val="none"/>
              </w:rPr>
              <w:t>14</w:t>
            </w:r>
          </w:p>
        </w:tc>
        <w:tc>
          <w:tcPr>
            <w:tcW w:w="520" w:type="pct"/>
            <w:vAlign w:val="center"/>
          </w:tcPr>
          <w:p w14:paraId="57CF31CE">
            <w:pPr>
              <w:jc w:val="center"/>
              <w:rPr>
                <w:rFonts w:hAnsi="宋体" w:cs="宋体"/>
                <w:szCs w:val="24"/>
                <w:highlight w:val="none"/>
              </w:rPr>
            </w:pPr>
            <w:r>
              <w:rPr>
                <w:rFonts w:hint="eastAsia" w:hAnsi="宋体" w:cs="宋体"/>
                <w:szCs w:val="24"/>
                <w:highlight w:val="none"/>
              </w:rPr>
              <w:t>投标保证金</w:t>
            </w:r>
          </w:p>
        </w:tc>
        <w:tc>
          <w:tcPr>
            <w:tcW w:w="4146" w:type="pct"/>
            <w:vAlign w:val="center"/>
          </w:tcPr>
          <w:p w14:paraId="6042DC87">
            <w:pPr>
              <w:spacing w:line="360" w:lineRule="auto"/>
              <w:rPr>
                <w:rFonts w:hAnsi="宋体" w:cs="宋体"/>
                <w:szCs w:val="24"/>
                <w:highlight w:val="none"/>
              </w:rPr>
            </w:pPr>
            <w:r>
              <w:rPr>
                <w:rFonts w:hint="eastAsia" w:hAnsi="宋体" w:cs="宋体"/>
                <w:szCs w:val="24"/>
                <w:highlight w:val="none"/>
              </w:rPr>
              <w:t>本次投标活动不缴纳投标保证金。</w:t>
            </w:r>
          </w:p>
        </w:tc>
      </w:tr>
      <w:tr w14:paraId="68A69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45" w:hRule="atLeast"/>
          <w:jc w:val="center"/>
        </w:trPr>
        <w:tc>
          <w:tcPr>
            <w:tcW w:w="333" w:type="pct"/>
            <w:vAlign w:val="center"/>
          </w:tcPr>
          <w:p w14:paraId="6B3F117A">
            <w:pPr>
              <w:jc w:val="center"/>
              <w:rPr>
                <w:rFonts w:hAnsi="宋体" w:cs="宋体"/>
                <w:b/>
                <w:bCs/>
                <w:szCs w:val="24"/>
                <w:highlight w:val="none"/>
              </w:rPr>
            </w:pPr>
            <w:r>
              <w:rPr>
                <w:rFonts w:hint="eastAsia" w:hAnsi="宋体" w:cs="宋体"/>
                <w:b/>
                <w:bCs/>
                <w:szCs w:val="24"/>
                <w:highlight w:val="none"/>
              </w:rPr>
              <w:t>15</w:t>
            </w:r>
          </w:p>
        </w:tc>
        <w:tc>
          <w:tcPr>
            <w:tcW w:w="520" w:type="pct"/>
            <w:vAlign w:val="center"/>
          </w:tcPr>
          <w:p w14:paraId="08003F2B">
            <w:pPr>
              <w:spacing w:line="440" w:lineRule="exact"/>
              <w:jc w:val="center"/>
              <w:rPr>
                <w:rFonts w:hAnsi="宋体" w:cs="宋体"/>
                <w:b/>
                <w:bCs/>
                <w:szCs w:val="24"/>
                <w:highlight w:val="none"/>
              </w:rPr>
            </w:pPr>
            <w:r>
              <w:rPr>
                <w:rFonts w:hint="eastAsia" w:hAnsi="宋体" w:cs="宋体"/>
                <w:b/>
                <w:bCs/>
                <w:szCs w:val="24"/>
                <w:highlight w:val="none"/>
              </w:rPr>
              <w:t>银行</w:t>
            </w:r>
          </w:p>
          <w:p w14:paraId="5C7D5EEC">
            <w:pPr>
              <w:spacing w:line="440" w:lineRule="exact"/>
              <w:jc w:val="center"/>
              <w:rPr>
                <w:rFonts w:hAnsi="宋体" w:cs="宋体"/>
                <w:b/>
                <w:bCs/>
                <w:szCs w:val="24"/>
                <w:highlight w:val="none"/>
              </w:rPr>
            </w:pPr>
            <w:r>
              <w:rPr>
                <w:rFonts w:hint="eastAsia" w:hAnsi="宋体" w:cs="宋体"/>
                <w:b/>
                <w:bCs/>
                <w:szCs w:val="24"/>
                <w:highlight w:val="none"/>
              </w:rPr>
              <w:t>账户</w:t>
            </w:r>
          </w:p>
          <w:p w14:paraId="32C4AC26">
            <w:pPr>
              <w:spacing w:line="440" w:lineRule="exact"/>
              <w:jc w:val="center"/>
              <w:rPr>
                <w:rFonts w:hAnsi="宋体" w:cs="宋体"/>
                <w:b/>
                <w:bCs/>
                <w:szCs w:val="24"/>
                <w:highlight w:val="none"/>
              </w:rPr>
            </w:pPr>
            <w:r>
              <w:rPr>
                <w:rFonts w:hint="eastAsia" w:hAnsi="宋体" w:cs="宋体"/>
                <w:b/>
                <w:bCs/>
                <w:szCs w:val="24"/>
                <w:highlight w:val="none"/>
              </w:rPr>
              <w:t>信息</w:t>
            </w:r>
          </w:p>
        </w:tc>
        <w:tc>
          <w:tcPr>
            <w:tcW w:w="4146" w:type="pct"/>
            <w:vAlign w:val="center"/>
          </w:tcPr>
          <w:p w14:paraId="0D447CC2">
            <w:pPr>
              <w:spacing w:line="440" w:lineRule="exact"/>
              <w:rPr>
                <w:rFonts w:hAnsi="宋体" w:cs="宋体"/>
                <w:b/>
                <w:bCs/>
                <w:szCs w:val="24"/>
                <w:highlight w:val="none"/>
              </w:rPr>
            </w:pPr>
            <w:r>
              <w:rPr>
                <w:rFonts w:hint="eastAsia" w:hAnsi="宋体" w:cs="宋体"/>
                <w:b/>
                <w:bCs/>
                <w:szCs w:val="24"/>
                <w:highlight w:val="none"/>
              </w:rPr>
              <w:t>招标代理服务费账户：</w:t>
            </w:r>
          </w:p>
          <w:p w14:paraId="3BDE53EA">
            <w:pPr>
              <w:spacing w:line="440" w:lineRule="exact"/>
              <w:ind w:firstLine="480" w:firstLineChars="200"/>
              <w:rPr>
                <w:rFonts w:hint="eastAsia" w:hAnsi="宋体" w:eastAsia="宋体" w:cs="宋体"/>
                <w:szCs w:val="24"/>
                <w:highlight w:val="none"/>
                <w:lang w:eastAsia="zh-CN"/>
              </w:rPr>
            </w:pPr>
            <w:r>
              <w:rPr>
                <w:rFonts w:hint="eastAsia" w:hAnsi="宋体" w:cs="宋体"/>
                <w:szCs w:val="24"/>
                <w:highlight w:val="none"/>
              </w:rPr>
              <w:t>户名：</w:t>
            </w:r>
            <w:r>
              <w:rPr>
                <w:rFonts w:hint="eastAsia" w:hAnsi="宋体" w:cs="宋体"/>
                <w:szCs w:val="24"/>
                <w:highlight w:val="none"/>
                <w:lang w:eastAsia="zh-CN"/>
              </w:rPr>
              <w:t>陕西银正项目管理有限公司</w:t>
            </w:r>
          </w:p>
          <w:p w14:paraId="0DEA2263">
            <w:pPr>
              <w:spacing w:line="440" w:lineRule="exact"/>
              <w:ind w:firstLine="480" w:firstLineChars="200"/>
              <w:rPr>
                <w:rFonts w:hAnsi="宋体" w:cs="宋体"/>
                <w:szCs w:val="24"/>
                <w:highlight w:val="none"/>
              </w:rPr>
            </w:pPr>
            <w:r>
              <w:rPr>
                <w:rFonts w:hint="eastAsia" w:hAnsi="宋体" w:cs="宋体"/>
                <w:szCs w:val="24"/>
                <w:highlight w:val="none"/>
              </w:rPr>
              <w:t>开户行：中国工商银行股份有限公司西安凤城七路支行</w:t>
            </w:r>
          </w:p>
          <w:p w14:paraId="26C048B7">
            <w:pPr>
              <w:spacing w:line="440" w:lineRule="exact"/>
              <w:ind w:firstLine="480" w:firstLineChars="200"/>
              <w:rPr>
                <w:rFonts w:hAnsi="宋体" w:cs="宋体"/>
                <w:szCs w:val="24"/>
                <w:highlight w:val="none"/>
              </w:rPr>
            </w:pPr>
            <w:r>
              <w:rPr>
                <w:rFonts w:hint="eastAsia" w:hAnsi="宋体" w:cs="宋体"/>
                <w:szCs w:val="24"/>
                <w:highlight w:val="none"/>
              </w:rPr>
              <w:t>账号：3700085109100068236</w:t>
            </w:r>
          </w:p>
          <w:p w14:paraId="37FBF26F">
            <w:pPr>
              <w:spacing w:line="440" w:lineRule="exact"/>
              <w:ind w:firstLine="482" w:firstLineChars="200"/>
              <w:rPr>
                <w:rFonts w:hAnsi="宋体" w:cs="宋体"/>
                <w:szCs w:val="24"/>
                <w:highlight w:val="none"/>
              </w:rPr>
            </w:pPr>
            <w:r>
              <w:rPr>
                <w:rFonts w:hint="eastAsia" w:hAnsi="宋体" w:cs="宋体"/>
                <w:b/>
                <w:bCs/>
                <w:szCs w:val="24"/>
                <w:highlight w:val="none"/>
              </w:rPr>
              <w:t>请按照要求将招标代理服务费汇入以上指定账户，如因自身原因发生错误，产生的不利后果均由供应商自行承担。</w:t>
            </w:r>
          </w:p>
        </w:tc>
      </w:tr>
      <w:tr w14:paraId="5EE6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54" w:hRule="atLeast"/>
          <w:jc w:val="center"/>
        </w:trPr>
        <w:tc>
          <w:tcPr>
            <w:tcW w:w="333" w:type="pct"/>
            <w:vAlign w:val="center"/>
          </w:tcPr>
          <w:p w14:paraId="7A1888A8">
            <w:pPr>
              <w:jc w:val="center"/>
              <w:rPr>
                <w:rFonts w:hAnsi="宋体"/>
                <w:b/>
                <w:bCs/>
                <w:szCs w:val="24"/>
                <w:highlight w:val="none"/>
              </w:rPr>
            </w:pPr>
            <w:r>
              <w:rPr>
                <w:rFonts w:hint="eastAsia" w:hAnsi="宋体"/>
                <w:b/>
                <w:bCs/>
                <w:szCs w:val="24"/>
                <w:highlight w:val="none"/>
              </w:rPr>
              <w:t>16</w:t>
            </w:r>
          </w:p>
        </w:tc>
        <w:tc>
          <w:tcPr>
            <w:tcW w:w="520" w:type="pct"/>
            <w:vAlign w:val="center"/>
          </w:tcPr>
          <w:p w14:paraId="7FEC6712">
            <w:pPr>
              <w:spacing w:line="360" w:lineRule="auto"/>
              <w:jc w:val="center"/>
              <w:rPr>
                <w:rFonts w:hAnsi="宋体"/>
                <w:b/>
                <w:bCs/>
                <w:szCs w:val="24"/>
                <w:highlight w:val="none"/>
              </w:rPr>
            </w:pPr>
            <w:r>
              <w:rPr>
                <w:rFonts w:hint="eastAsia" w:hAnsi="宋体"/>
                <w:b/>
                <w:bCs/>
                <w:szCs w:val="24"/>
                <w:highlight w:val="none"/>
              </w:rPr>
              <w:t>核心</w:t>
            </w:r>
          </w:p>
          <w:p w14:paraId="24243BF1">
            <w:pPr>
              <w:spacing w:line="360" w:lineRule="auto"/>
              <w:jc w:val="center"/>
              <w:rPr>
                <w:rFonts w:hAnsi="宋体"/>
                <w:b/>
                <w:bCs/>
                <w:szCs w:val="24"/>
                <w:highlight w:val="none"/>
              </w:rPr>
            </w:pPr>
            <w:r>
              <w:rPr>
                <w:rFonts w:hint="eastAsia" w:hAnsi="宋体"/>
                <w:b/>
                <w:bCs/>
                <w:szCs w:val="24"/>
                <w:highlight w:val="none"/>
              </w:rPr>
              <w:t>产品</w:t>
            </w:r>
          </w:p>
        </w:tc>
        <w:tc>
          <w:tcPr>
            <w:tcW w:w="4146" w:type="pct"/>
            <w:vAlign w:val="center"/>
          </w:tcPr>
          <w:p w14:paraId="4F000439">
            <w:pPr>
              <w:pStyle w:val="20"/>
              <w:spacing w:before="0" w:beforeAutospacing="0" w:after="0" w:afterAutospacing="0" w:line="360" w:lineRule="auto"/>
              <w:rPr>
                <w:rFonts w:hint="eastAsia" w:eastAsia="宋体"/>
                <w:b/>
                <w:bCs/>
                <w:highlight w:val="none"/>
                <w:lang w:val="en-US" w:eastAsia="zh-CN"/>
              </w:rPr>
            </w:pPr>
            <w:r>
              <w:rPr>
                <w:rFonts w:hint="eastAsia" w:eastAsia="宋体"/>
                <w:b/>
                <w:bCs/>
                <w:highlight w:val="none"/>
                <w:lang w:val="en-US" w:eastAsia="zh-CN"/>
              </w:rPr>
              <w:t>高清伸降双面一体机</w:t>
            </w:r>
          </w:p>
        </w:tc>
      </w:tr>
      <w:tr w14:paraId="397E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333" w:type="pct"/>
            <w:vAlign w:val="center"/>
          </w:tcPr>
          <w:p w14:paraId="23948ACF">
            <w:pPr>
              <w:widowControl/>
              <w:spacing w:line="360" w:lineRule="auto"/>
              <w:jc w:val="center"/>
              <w:rPr>
                <w:rFonts w:hAnsi="宋体"/>
                <w:b/>
                <w:bCs/>
                <w:szCs w:val="24"/>
                <w:highlight w:val="none"/>
              </w:rPr>
            </w:pPr>
            <w:r>
              <w:rPr>
                <w:rFonts w:hint="eastAsia" w:hAnsi="宋体"/>
                <w:b/>
                <w:bCs/>
                <w:szCs w:val="24"/>
                <w:highlight w:val="none"/>
              </w:rPr>
              <w:t>17</w:t>
            </w:r>
          </w:p>
        </w:tc>
        <w:tc>
          <w:tcPr>
            <w:tcW w:w="520" w:type="pct"/>
            <w:vAlign w:val="center"/>
          </w:tcPr>
          <w:p w14:paraId="16DCA853">
            <w:pPr>
              <w:widowControl/>
              <w:spacing w:line="360" w:lineRule="auto"/>
              <w:jc w:val="center"/>
              <w:rPr>
                <w:rFonts w:hAnsi="宋体"/>
                <w:b/>
                <w:bCs/>
                <w:szCs w:val="24"/>
                <w:highlight w:val="none"/>
              </w:rPr>
            </w:pPr>
            <w:r>
              <w:rPr>
                <w:rFonts w:hint="eastAsia" w:hAnsi="宋体"/>
                <w:b/>
                <w:bCs/>
                <w:szCs w:val="24"/>
                <w:highlight w:val="none"/>
              </w:rPr>
              <w:t>进口</w:t>
            </w:r>
          </w:p>
          <w:p w14:paraId="45C0BCFF">
            <w:pPr>
              <w:widowControl/>
              <w:spacing w:line="360" w:lineRule="auto"/>
              <w:jc w:val="center"/>
              <w:rPr>
                <w:rFonts w:hAnsi="宋体"/>
                <w:b/>
                <w:bCs/>
                <w:szCs w:val="24"/>
                <w:highlight w:val="none"/>
              </w:rPr>
            </w:pPr>
            <w:r>
              <w:rPr>
                <w:rFonts w:hint="eastAsia" w:hAnsi="宋体"/>
                <w:b/>
                <w:bCs/>
                <w:szCs w:val="24"/>
                <w:highlight w:val="none"/>
              </w:rPr>
              <w:t>产品</w:t>
            </w:r>
          </w:p>
        </w:tc>
        <w:tc>
          <w:tcPr>
            <w:tcW w:w="4146" w:type="pct"/>
            <w:vAlign w:val="center"/>
          </w:tcPr>
          <w:p w14:paraId="7A97FDD3">
            <w:pPr>
              <w:widowControl/>
              <w:spacing w:line="360" w:lineRule="auto"/>
              <w:jc w:val="left"/>
              <w:rPr>
                <w:rFonts w:hAnsi="宋体"/>
                <w:b/>
                <w:bCs/>
                <w:szCs w:val="24"/>
                <w:highlight w:val="none"/>
              </w:rPr>
            </w:pPr>
            <w:r>
              <w:rPr>
                <w:rFonts w:hint="eastAsia" w:hAnsi="宋体"/>
                <w:b/>
                <w:bCs/>
                <w:szCs w:val="24"/>
                <w:highlight w:val="none"/>
              </w:rPr>
              <w:t>本项目不允许进口产品投标。</w:t>
            </w:r>
          </w:p>
        </w:tc>
      </w:tr>
      <w:tr w14:paraId="66FD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4" w:hRule="atLeast"/>
          <w:jc w:val="center"/>
        </w:trPr>
        <w:tc>
          <w:tcPr>
            <w:tcW w:w="333" w:type="pct"/>
            <w:vAlign w:val="center"/>
          </w:tcPr>
          <w:p w14:paraId="48AA685A">
            <w:pPr>
              <w:widowControl/>
              <w:spacing w:line="360" w:lineRule="auto"/>
              <w:jc w:val="center"/>
              <w:rPr>
                <w:rFonts w:hAnsi="宋体"/>
                <w:b/>
                <w:bCs/>
                <w:szCs w:val="24"/>
                <w:highlight w:val="none"/>
              </w:rPr>
            </w:pPr>
            <w:r>
              <w:rPr>
                <w:rFonts w:hint="eastAsia" w:hAnsi="宋体"/>
                <w:b/>
                <w:bCs/>
                <w:szCs w:val="24"/>
                <w:highlight w:val="none"/>
              </w:rPr>
              <w:t>18</w:t>
            </w:r>
          </w:p>
        </w:tc>
        <w:tc>
          <w:tcPr>
            <w:tcW w:w="520" w:type="pct"/>
            <w:vAlign w:val="center"/>
          </w:tcPr>
          <w:p w14:paraId="0DAC8DF4">
            <w:pPr>
              <w:widowControl/>
              <w:spacing w:line="360" w:lineRule="auto"/>
              <w:jc w:val="center"/>
              <w:rPr>
                <w:rFonts w:hAnsi="宋体"/>
                <w:b/>
                <w:bCs/>
                <w:szCs w:val="24"/>
                <w:highlight w:val="none"/>
              </w:rPr>
            </w:pPr>
            <w:r>
              <w:rPr>
                <w:rFonts w:hint="eastAsia" w:hAnsi="宋体"/>
                <w:b/>
                <w:bCs/>
                <w:szCs w:val="24"/>
                <w:highlight w:val="none"/>
              </w:rPr>
              <w:t>项目</w:t>
            </w:r>
          </w:p>
          <w:p w14:paraId="2345697F">
            <w:pPr>
              <w:widowControl/>
              <w:spacing w:line="360" w:lineRule="auto"/>
              <w:jc w:val="center"/>
              <w:rPr>
                <w:rFonts w:hAnsi="宋体"/>
                <w:b/>
                <w:bCs/>
                <w:szCs w:val="24"/>
                <w:highlight w:val="none"/>
              </w:rPr>
            </w:pPr>
            <w:r>
              <w:rPr>
                <w:rFonts w:hint="eastAsia" w:hAnsi="宋体"/>
                <w:b/>
                <w:bCs/>
                <w:szCs w:val="24"/>
                <w:highlight w:val="none"/>
              </w:rPr>
              <w:t>性质</w:t>
            </w:r>
          </w:p>
        </w:tc>
        <w:tc>
          <w:tcPr>
            <w:tcW w:w="4146" w:type="pct"/>
            <w:vAlign w:val="center"/>
          </w:tcPr>
          <w:p w14:paraId="3FA833BA">
            <w:pPr>
              <w:spacing w:line="360" w:lineRule="auto"/>
              <w:rPr>
                <w:rFonts w:hAnsi="宋体"/>
                <w:b/>
                <w:bCs/>
                <w:szCs w:val="24"/>
                <w:highlight w:val="none"/>
              </w:rPr>
            </w:pPr>
            <w:r>
              <w:rPr>
                <w:rFonts w:hint="eastAsia" w:hAnsi="宋体"/>
                <w:b/>
                <w:bCs/>
                <w:szCs w:val="24"/>
                <w:highlight w:val="none"/>
              </w:rPr>
              <w:t>本项目</w:t>
            </w:r>
            <w:r>
              <w:rPr>
                <w:rFonts w:hint="eastAsia" w:hAnsi="宋体"/>
                <w:b/>
                <w:bCs/>
                <w:szCs w:val="24"/>
                <w:highlight w:val="none"/>
                <w:lang w:val="en-US" w:eastAsia="zh-CN"/>
              </w:rPr>
              <w:t>不</w:t>
            </w:r>
            <w:r>
              <w:rPr>
                <w:rFonts w:hint="eastAsia" w:hAnsi="宋体"/>
                <w:b/>
                <w:bCs/>
                <w:szCs w:val="24"/>
                <w:highlight w:val="none"/>
              </w:rPr>
              <w:t>专门面向中小企业。</w:t>
            </w:r>
          </w:p>
        </w:tc>
      </w:tr>
      <w:tr w14:paraId="3F900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4" w:hRule="atLeast"/>
          <w:jc w:val="center"/>
        </w:trPr>
        <w:tc>
          <w:tcPr>
            <w:tcW w:w="333" w:type="pct"/>
            <w:vAlign w:val="center"/>
          </w:tcPr>
          <w:p w14:paraId="64881D26">
            <w:pPr>
              <w:widowControl/>
              <w:spacing w:line="360" w:lineRule="auto"/>
              <w:jc w:val="center"/>
              <w:rPr>
                <w:rFonts w:hAnsi="宋体"/>
                <w:b/>
                <w:bCs/>
                <w:szCs w:val="24"/>
                <w:highlight w:val="none"/>
              </w:rPr>
            </w:pPr>
            <w:r>
              <w:rPr>
                <w:rFonts w:hint="eastAsia" w:hAnsi="宋体"/>
                <w:b/>
                <w:bCs/>
                <w:szCs w:val="24"/>
                <w:highlight w:val="none"/>
              </w:rPr>
              <w:t>19</w:t>
            </w:r>
          </w:p>
        </w:tc>
        <w:tc>
          <w:tcPr>
            <w:tcW w:w="520" w:type="pct"/>
            <w:vAlign w:val="center"/>
          </w:tcPr>
          <w:p w14:paraId="30C5E126">
            <w:pPr>
              <w:widowControl/>
              <w:spacing w:line="360" w:lineRule="auto"/>
              <w:jc w:val="center"/>
              <w:rPr>
                <w:rFonts w:hAnsi="宋体"/>
                <w:b/>
                <w:bCs/>
                <w:szCs w:val="24"/>
                <w:highlight w:val="none"/>
              </w:rPr>
            </w:pPr>
            <w:r>
              <w:rPr>
                <w:rFonts w:hint="eastAsia" w:hAnsi="宋体"/>
                <w:b/>
                <w:bCs/>
                <w:szCs w:val="24"/>
                <w:highlight w:val="none"/>
              </w:rPr>
              <w:t>项目所属行业</w:t>
            </w:r>
          </w:p>
        </w:tc>
        <w:tc>
          <w:tcPr>
            <w:tcW w:w="4146" w:type="pct"/>
            <w:vAlign w:val="center"/>
          </w:tcPr>
          <w:p w14:paraId="391C71F7">
            <w:pPr>
              <w:spacing w:line="360" w:lineRule="auto"/>
              <w:rPr>
                <w:rFonts w:hAnsi="宋体" w:cs="宋体"/>
                <w:b/>
                <w:bCs/>
                <w:szCs w:val="24"/>
                <w:highlight w:val="none"/>
              </w:rPr>
            </w:pPr>
            <w:r>
              <w:rPr>
                <w:rFonts w:hint="eastAsia" w:hAnsi="宋体" w:cs="宋体"/>
                <w:b/>
                <w:bCs/>
                <w:szCs w:val="24"/>
                <w:highlight w:val="none"/>
              </w:rPr>
              <w:t>工业</w:t>
            </w:r>
          </w:p>
        </w:tc>
      </w:tr>
      <w:tr w14:paraId="63CA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333" w:type="pct"/>
            <w:vAlign w:val="center"/>
          </w:tcPr>
          <w:p w14:paraId="7AC6CFBF">
            <w:pPr>
              <w:widowControl/>
              <w:spacing w:line="360" w:lineRule="auto"/>
              <w:jc w:val="center"/>
              <w:rPr>
                <w:rFonts w:hAnsi="宋体"/>
                <w:b/>
                <w:bCs/>
                <w:szCs w:val="24"/>
                <w:highlight w:val="none"/>
              </w:rPr>
            </w:pPr>
            <w:r>
              <w:rPr>
                <w:rFonts w:hint="eastAsia" w:hAnsi="宋体"/>
                <w:b/>
                <w:bCs/>
                <w:szCs w:val="24"/>
                <w:highlight w:val="none"/>
              </w:rPr>
              <w:t>20</w:t>
            </w:r>
          </w:p>
        </w:tc>
        <w:tc>
          <w:tcPr>
            <w:tcW w:w="520" w:type="pct"/>
            <w:vAlign w:val="center"/>
          </w:tcPr>
          <w:p w14:paraId="52F9DFBC">
            <w:pPr>
              <w:widowControl/>
              <w:spacing w:line="360" w:lineRule="auto"/>
              <w:jc w:val="center"/>
              <w:rPr>
                <w:rFonts w:hAnsi="宋体"/>
                <w:b/>
                <w:bCs/>
                <w:szCs w:val="24"/>
                <w:highlight w:val="none"/>
              </w:rPr>
            </w:pPr>
            <w:r>
              <w:rPr>
                <w:rFonts w:hint="eastAsia" w:hAnsi="宋体"/>
                <w:b/>
                <w:bCs/>
                <w:szCs w:val="24"/>
                <w:highlight w:val="none"/>
              </w:rPr>
              <w:t>其他</w:t>
            </w:r>
          </w:p>
        </w:tc>
        <w:tc>
          <w:tcPr>
            <w:tcW w:w="4146" w:type="pct"/>
            <w:vAlign w:val="center"/>
          </w:tcPr>
          <w:p w14:paraId="6A93CFE4">
            <w:pPr>
              <w:spacing w:line="360" w:lineRule="auto"/>
              <w:ind w:firstLine="482" w:firstLineChars="200"/>
              <w:rPr>
                <w:rFonts w:hAnsi="宋体" w:cs="宋体"/>
                <w:b/>
                <w:bCs/>
                <w:szCs w:val="24"/>
                <w:highlight w:val="none"/>
              </w:rPr>
            </w:pPr>
            <w:r>
              <w:rPr>
                <w:rFonts w:hint="eastAsia" w:hAnsi="宋体" w:cs="宋体"/>
                <w:b/>
                <w:bCs/>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1C3AD897">
            <w:pPr>
              <w:spacing w:line="360" w:lineRule="auto"/>
              <w:ind w:firstLine="482" w:firstLineChars="200"/>
              <w:rPr>
                <w:rFonts w:hAnsi="宋体" w:cs="宋体"/>
                <w:b/>
                <w:bCs/>
                <w:szCs w:val="24"/>
                <w:highlight w:val="none"/>
              </w:rPr>
            </w:pPr>
            <w:r>
              <w:rPr>
                <w:rFonts w:hint="eastAsia" w:hAnsi="宋体" w:cs="宋体"/>
                <w:b/>
                <w:bCs/>
                <w:szCs w:val="24"/>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1545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33" w:type="pct"/>
            <w:vAlign w:val="center"/>
          </w:tcPr>
          <w:p w14:paraId="42B583BF">
            <w:pPr>
              <w:widowControl/>
              <w:spacing w:line="360" w:lineRule="auto"/>
              <w:jc w:val="center"/>
              <w:rPr>
                <w:rFonts w:hAnsi="宋体"/>
                <w:b/>
                <w:bCs/>
                <w:szCs w:val="24"/>
                <w:highlight w:val="none"/>
              </w:rPr>
            </w:pPr>
            <w:r>
              <w:rPr>
                <w:rFonts w:hint="eastAsia" w:hAnsi="宋体"/>
                <w:b/>
                <w:bCs/>
                <w:szCs w:val="24"/>
                <w:highlight w:val="none"/>
              </w:rPr>
              <w:t>21</w:t>
            </w:r>
          </w:p>
        </w:tc>
        <w:tc>
          <w:tcPr>
            <w:tcW w:w="520" w:type="pct"/>
            <w:vAlign w:val="center"/>
          </w:tcPr>
          <w:p w14:paraId="6586AA45">
            <w:pPr>
              <w:widowControl/>
              <w:spacing w:line="360" w:lineRule="auto"/>
              <w:jc w:val="center"/>
              <w:rPr>
                <w:rFonts w:hAnsi="宋体"/>
                <w:b/>
                <w:bCs/>
                <w:szCs w:val="24"/>
                <w:highlight w:val="none"/>
              </w:rPr>
            </w:pPr>
            <w:r>
              <w:rPr>
                <w:rFonts w:hint="eastAsia" w:hAnsi="宋体"/>
                <w:b/>
                <w:bCs/>
                <w:szCs w:val="24"/>
                <w:highlight w:val="none"/>
              </w:rPr>
              <w:t>备注</w:t>
            </w:r>
          </w:p>
        </w:tc>
        <w:tc>
          <w:tcPr>
            <w:tcW w:w="4146" w:type="pct"/>
            <w:vAlign w:val="center"/>
          </w:tcPr>
          <w:p w14:paraId="5F7B79F3">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2615D90E">
            <w:pPr>
              <w:spacing w:line="500" w:lineRule="exact"/>
              <w:ind w:firstLine="482" w:firstLineChars="200"/>
              <w:rPr>
                <w:rFonts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tbl>
    <w:p w14:paraId="57F0F313">
      <w:pPr>
        <w:spacing w:before="333" w:beforeLines="100"/>
        <w:jc w:val="center"/>
        <w:rPr>
          <w:rFonts w:hAnsi="宋体" w:cs="宋体"/>
          <w:sz w:val="32"/>
          <w:szCs w:val="32"/>
          <w:highlight w:val="none"/>
        </w:rPr>
      </w:pPr>
      <w:r>
        <w:rPr>
          <w:rFonts w:hint="eastAsia" w:hAnsi="宋体" w:cs="宋体"/>
          <w:highlight w:val="none"/>
        </w:rPr>
        <w:br w:type="page"/>
      </w:r>
      <w:bookmarkEnd w:id="9"/>
      <w:bookmarkEnd w:id="10"/>
      <w:bookmarkEnd w:id="11"/>
      <w:bookmarkStart w:id="32" w:name="_Toc363473972"/>
      <w:bookmarkStart w:id="33" w:name="_Toc363474017"/>
      <w:bookmarkStart w:id="34" w:name="_Toc403077639"/>
      <w:r>
        <w:rPr>
          <w:rFonts w:hint="eastAsia" w:hAnsi="宋体" w:cs="宋体"/>
          <w:b/>
          <w:sz w:val="32"/>
          <w:szCs w:val="32"/>
          <w:highlight w:val="none"/>
        </w:rPr>
        <w:t>一.总  则</w:t>
      </w:r>
      <w:bookmarkEnd w:id="32"/>
      <w:bookmarkEnd w:id="33"/>
      <w:bookmarkEnd w:id="34"/>
    </w:p>
    <w:p w14:paraId="581EC0D4">
      <w:pPr>
        <w:spacing w:line="500" w:lineRule="exact"/>
        <w:rPr>
          <w:rFonts w:hAnsi="宋体" w:cs="宋体"/>
          <w:b/>
          <w:szCs w:val="24"/>
          <w:highlight w:val="none"/>
        </w:rPr>
      </w:pPr>
      <w:r>
        <w:rPr>
          <w:rFonts w:hint="eastAsia" w:hAnsi="宋体" w:cs="宋体"/>
          <w:b/>
          <w:szCs w:val="24"/>
          <w:highlight w:val="none"/>
        </w:rPr>
        <w:t>1.资金来源</w:t>
      </w:r>
    </w:p>
    <w:p w14:paraId="27E864CF">
      <w:pPr>
        <w:spacing w:line="500" w:lineRule="exact"/>
        <w:ind w:firstLine="480" w:firstLineChars="200"/>
        <w:rPr>
          <w:rFonts w:hAnsi="宋体" w:cs="宋体"/>
          <w:szCs w:val="24"/>
          <w:highlight w:val="none"/>
        </w:rPr>
      </w:pPr>
      <w:r>
        <w:rPr>
          <w:rFonts w:hint="eastAsia" w:hAnsi="宋体" w:cs="宋体"/>
          <w:szCs w:val="24"/>
          <w:highlight w:val="none"/>
        </w:rPr>
        <w:t>1.1本次招标采购所签合同使用</w:t>
      </w:r>
      <w:r>
        <w:rPr>
          <w:rFonts w:hint="eastAsia" w:hAnsi="宋体" w:cs="宋体"/>
          <w:szCs w:val="24"/>
          <w:highlight w:val="none"/>
          <w:lang w:val="en-US" w:eastAsia="zh-CN"/>
        </w:rPr>
        <w:t>争取省级专项和自筹</w:t>
      </w:r>
      <w:r>
        <w:rPr>
          <w:rFonts w:hint="eastAsia" w:hAnsi="宋体" w:cs="宋体"/>
          <w:szCs w:val="24"/>
          <w:highlight w:val="none"/>
        </w:rPr>
        <w:t>支付，资金已落实到位。</w:t>
      </w:r>
    </w:p>
    <w:p w14:paraId="2F9E991D">
      <w:pPr>
        <w:numPr>
          <w:ilvl w:val="0"/>
          <w:numId w:val="1"/>
        </w:numPr>
        <w:spacing w:line="500" w:lineRule="exact"/>
        <w:rPr>
          <w:rFonts w:hAnsi="宋体" w:cs="宋体"/>
          <w:b/>
          <w:szCs w:val="24"/>
          <w:highlight w:val="none"/>
        </w:rPr>
      </w:pPr>
      <w:r>
        <w:rPr>
          <w:rFonts w:hint="eastAsia" w:hAnsi="宋体" w:cs="宋体"/>
          <w:b/>
          <w:szCs w:val="24"/>
          <w:highlight w:val="none"/>
        </w:rPr>
        <w:t>名词解释</w:t>
      </w:r>
    </w:p>
    <w:p w14:paraId="7675612E">
      <w:pPr>
        <w:tabs>
          <w:tab w:val="left" w:pos="7665"/>
        </w:tabs>
        <w:spacing w:line="500" w:lineRule="exact"/>
        <w:ind w:firstLine="480" w:firstLineChars="200"/>
        <w:rPr>
          <w:rFonts w:hint="eastAsia" w:hAnsi="宋体" w:eastAsia="宋体" w:cs="宋体"/>
          <w:highlight w:val="none"/>
          <w:lang w:eastAsia="zh-CN"/>
        </w:rPr>
      </w:pPr>
      <w:r>
        <w:rPr>
          <w:rFonts w:hint="eastAsia" w:hAnsi="宋体" w:cs="宋体"/>
          <w:highlight w:val="none"/>
        </w:rPr>
        <w:t>2.1采购人：</w:t>
      </w:r>
      <w:r>
        <w:rPr>
          <w:rFonts w:hint="eastAsia" w:hAnsi="宋体"/>
          <w:highlight w:val="none"/>
          <w:lang w:eastAsia="zh-CN"/>
        </w:rPr>
        <w:t>镇安县教师发展中心</w:t>
      </w:r>
    </w:p>
    <w:p w14:paraId="3781AF9B">
      <w:pPr>
        <w:tabs>
          <w:tab w:val="left" w:pos="7665"/>
        </w:tabs>
        <w:spacing w:line="500" w:lineRule="exact"/>
        <w:ind w:firstLine="480" w:firstLineChars="200"/>
        <w:rPr>
          <w:rFonts w:hAnsi="宋体" w:cs="宋体"/>
          <w:highlight w:val="none"/>
        </w:rPr>
      </w:pPr>
      <w:r>
        <w:rPr>
          <w:rFonts w:hint="eastAsia" w:hAnsi="宋体" w:cs="宋体"/>
          <w:highlight w:val="none"/>
        </w:rPr>
        <w:t>2.2监督机构：同级人民财政部门</w:t>
      </w:r>
    </w:p>
    <w:p w14:paraId="2BAFD8B1">
      <w:pPr>
        <w:tabs>
          <w:tab w:val="left" w:pos="7665"/>
        </w:tabs>
        <w:spacing w:line="500" w:lineRule="exact"/>
        <w:ind w:firstLine="480" w:firstLineChars="200"/>
        <w:rPr>
          <w:rFonts w:hAnsi="宋体" w:cs="宋体"/>
          <w:highlight w:val="none"/>
        </w:rPr>
      </w:pPr>
      <w:r>
        <w:rPr>
          <w:rFonts w:hint="eastAsia" w:hAnsi="宋体" w:cs="宋体"/>
          <w:highlight w:val="none"/>
        </w:rPr>
        <w:t>2.3采购代理机构：</w:t>
      </w:r>
      <w:r>
        <w:rPr>
          <w:rFonts w:hint="eastAsia" w:hAnsi="宋体" w:cs="宋体"/>
          <w:highlight w:val="none"/>
          <w:lang w:eastAsia="zh-CN"/>
        </w:rPr>
        <w:t>陕西银正项目管理有限公司</w:t>
      </w:r>
      <w:r>
        <w:rPr>
          <w:rFonts w:hint="eastAsia" w:hAnsi="宋体" w:cs="宋体"/>
          <w:highlight w:val="none"/>
        </w:rPr>
        <w:t>。</w:t>
      </w:r>
    </w:p>
    <w:p w14:paraId="0A2EF57B">
      <w:pPr>
        <w:tabs>
          <w:tab w:val="left" w:pos="7665"/>
        </w:tabs>
        <w:spacing w:line="500" w:lineRule="exact"/>
        <w:ind w:firstLine="480" w:firstLineChars="200"/>
        <w:rPr>
          <w:rFonts w:hAnsi="宋体" w:cs="宋体"/>
          <w:highlight w:val="none"/>
        </w:rPr>
      </w:pPr>
      <w:r>
        <w:rPr>
          <w:rFonts w:hint="eastAsia" w:hAnsi="宋体" w:cs="宋体"/>
          <w:highlight w:val="none"/>
        </w:rPr>
        <w:t>2.4投标人：是指响应和符合招标文件规定资格条件且参与投标竞争的法人、其他组织或者自然人。</w:t>
      </w:r>
    </w:p>
    <w:p w14:paraId="3A04EEA3">
      <w:pPr>
        <w:adjustRightInd w:val="0"/>
        <w:snapToGrid w:val="0"/>
        <w:spacing w:line="500" w:lineRule="exact"/>
        <w:ind w:firstLine="480" w:firstLineChars="200"/>
        <w:rPr>
          <w:rFonts w:hAnsi="宋体" w:cs="宋体"/>
          <w:highlight w:val="none"/>
        </w:rPr>
      </w:pPr>
      <w:r>
        <w:rPr>
          <w:rFonts w:hint="eastAsia" w:hAnsi="宋体" w:cs="宋体"/>
          <w:highlight w:val="none"/>
        </w:rPr>
        <w:t>2.5产品是指本招标文件中第四章所述所有产品。</w:t>
      </w:r>
    </w:p>
    <w:p w14:paraId="6D086DC5">
      <w:pPr>
        <w:adjustRightInd w:val="0"/>
        <w:snapToGrid w:val="0"/>
        <w:spacing w:line="500" w:lineRule="exact"/>
        <w:ind w:firstLine="480" w:firstLineChars="200"/>
        <w:rPr>
          <w:rFonts w:hAnsi="宋体" w:cs="宋体"/>
          <w:highlight w:val="none"/>
        </w:rPr>
      </w:pPr>
      <w:r>
        <w:rPr>
          <w:rFonts w:hint="eastAsia" w:hAnsi="宋体" w:cs="宋体"/>
          <w:highlight w:val="none"/>
        </w:rPr>
        <w:t>2.6服务是指供应商为满足招标文件要求而提供的服务。</w:t>
      </w:r>
    </w:p>
    <w:p w14:paraId="3E465273">
      <w:pPr>
        <w:adjustRightInd w:val="0"/>
        <w:snapToGrid w:val="0"/>
        <w:spacing w:line="500" w:lineRule="exact"/>
        <w:ind w:firstLine="480" w:firstLineChars="200"/>
        <w:rPr>
          <w:rFonts w:hAnsi="宋体" w:cs="宋体"/>
          <w:highlight w:val="none"/>
        </w:rPr>
      </w:pPr>
      <w:r>
        <w:rPr>
          <w:rFonts w:hint="eastAsia" w:hAnsi="宋体" w:cs="宋体"/>
          <w:highlight w:val="none"/>
        </w:rPr>
        <w:t>2.7节能产品或者环保产品是指财政部发布的《节能产品政府采购清单》或《环境标志产品政府采购清单》的产品。</w:t>
      </w:r>
    </w:p>
    <w:p w14:paraId="21335004">
      <w:pPr>
        <w:adjustRightInd w:val="0"/>
        <w:snapToGrid w:val="0"/>
        <w:spacing w:line="500" w:lineRule="exact"/>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02202A09">
      <w:pPr>
        <w:adjustRightInd w:val="0"/>
        <w:snapToGrid w:val="0"/>
        <w:spacing w:line="500" w:lineRule="exact"/>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5C360B9A">
      <w:pPr>
        <w:adjustRightInd w:val="0"/>
        <w:snapToGrid w:val="0"/>
        <w:spacing w:line="500" w:lineRule="exact"/>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E8032B">
      <w:pPr>
        <w:adjustRightInd w:val="0"/>
        <w:snapToGrid w:val="0"/>
        <w:spacing w:line="500" w:lineRule="exact"/>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3A6922D7">
      <w:pPr>
        <w:spacing w:line="500" w:lineRule="exact"/>
        <w:rPr>
          <w:rFonts w:hAnsi="宋体" w:cs="宋体"/>
          <w:b/>
          <w:szCs w:val="24"/>
          <w:highlight w:val="none"/>
        </w:rPr>
      </w:pPr>
      <w:r>
        <w:rPr>
          <w:rFonts w:hint="eastAsia" w:hAnsi="宋体" w:cs="宋体"/>
          <w:b/>
          <w:szCs w:val="24"/>
          <w:highlight w:val="none"/>
        </w:rPr>
        <w:t>3.合格的供应商</w:t>
      </w:r>
    </w:p>
    <w:p w14:paraId="5C594F62">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hAnsi="宋体" w:cs="宋体"/>
          <w:szCs w:val="24"/>
          <w:highlight w:val="none"/>
          <w:lang w:val="en-US" w:eastAsia="zh-CN"/>
        </w:rPr>
        <w:t>中华人民共和国</w:t>
      </w:r>
      <w:r>
        <w:rPr>
          <w:rFonts w:hint="eastAsia" w:hAnsi="宋体" w:cs="宋体"/>
          <w:szCs w:val="24"/>
          <w:highlight w:val="none"/>
        </w:rPr>
        <w:t>政府采购法》第二十二条第一款规定的供应商基本资格条件:</w:t>
      </w:r>
    </w:p>
    <w:p w14:paraId="4155E780">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5EF70E49">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62547044">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3A447C56">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（4）有依法缴纳税收的良好记录；</w:t>
      </w:r>
    </w:p>
    <w:p w14:paraId="7B39E26E">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7A76DF8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32FDD61A">
      <w:pPr>
        <w:spacing w:line="500" w:lineRule="exact"/>
        <w:ind w:firstLine="480" w:firstLineChars="200"/>
        <w:rPr>
          <w:rFonts w:hAnsi="宋体" w:cs="宋体"/>
          <w:szCs w:val="24"/>
          <w:highlight w:val="none"/>
        </w:rPr>
      </w:pPr>
      <w:r>
        <w:rPr>
          <w:rFonts w:hAnsi="宋体" w:cs="宋体"/>
          <w:szCs w:val="24"/>
          <w:highlight w:val="none"/>
        </w:rPr>
        <w:t>3.2</w:t>
      </w:r>
      <w:r>
        <w:rPr>
          <w:rFonts w:hint="eastAsia" w:hAnsi="宋体" w:cs="宋体"/>
          <w:szCs w:val="24"/>
          <w:highlight w:val="none"/>
        </w:rPr>
        <w:t>根据本次采购项目的特殊要求，规定的供应商特殊条件（见供应商须知前附表）。</w:t>
      </w:r>
    </w:p>
    <w:p w14:paraId="5DA594ED">
      <w:pPr>
        <w:spacing w:line="500" w:lineRule="exact"/>
        <w:ind w:firstLine="480" w:firstLineChars="200"/>
        <w:rPr>
          <w:rFonts w:hAnsi="宋体" w:cs="宋体"/>
          <w:szCs w:val="24"/>
          <w:highlight w:val="none"/>
        </w:rPr>
      </w:pPr>
      <w:r>
        <w:rPr>
          <w:rFonts w:hAnsi="宋体" w:cs="宋体"/>
          <w:szCs w:val="24"/>
          <w:highlight w:val="none"/>
        </w:rPr>
        <w:t>3.3</w:t>
      </w:r>
      <w:r>
        <w:rPr>
          <w:rFonts w:hint="eastAsia" w:hAnsi="宋体" w:cs="宋体"/>
          <w:szCs w:val="24"/>
          <w:highlight w:val="none"/>
        </w:rPr>
        <w:t>单位负责人为同一人或者存在直接控股、管理关系的不同供应商，不得参加同一合同项下的政府采购活动。</w:t>
      </w:r>
    </w:p>
    <w:p w14:paraId="6DE75823">
      <w:pPr>
        <w:spacing w:line="500" w:lineRule="exact"/>
        <w:ind w:firstLine="480" w:firstLineChars="200"/>
        <w:rPr>
          <w:rFonts w:hAnsi="宋体" w:cs="宋体"/>
          <w:szCs w:val="24"/>
          <w:highlight w:val="none"/>
        </w:rPr>
      </w:pPr>
      <w:r>
        <w:rPr>
          <w:rFonts w:hint="eastAsia" w:hAnsi="宋体" w:cs="宋体"/>
          <w:szCs w:val="24"/>
          <w:highlight w:val="none"/>
        </w:rPr>
        <w:t>除单一来源采购项目外，为采购项目提供整体设计、规范编制或者项目管理、监理、检测等服务的供应商，不得再参加该采购项目的其他采购活动，否则均为无效投标。</w:t>
      </w:r>
    </w:p>
    <w:p w14:paraId="3946965F">
      <w:pPr>
        <w:spacing w:line="500" w:lineRule="exact"/>
        <w:ind w:firstLine="480" w:firstLineChars="200"/>
        <w:rPr>
          <w:rFonts w:hAnsi="宋体" w:cs="宋体"/>
          <w:szCs w:val="24"/>
          <w:highlight w:val="none"/>
        </w:rPr>
      </w:pPr>
      <w:r>
        <w:rPr>
          <w:rFonts w:hAnsi="宋体" w:cs="宋体"/>
          <w:szCs w:val="24"/>
          <w:highlight w:val="none"/>
        </w:rPr>
        <w:t>3.4</w:t>
      </w:r>
      <w:r>
        <w:rPr>
          <w:rFonts w:hint="eastAsia" w:hAnsi="宋体" w:cs="宋体"/>
          <w:szCs w:val="24"/>
          <w:highlight w:val="none"/>
        </w:rPr>
        <w:t>供应商必须在</w:t>
      </w:r>
      <w:r>
        <w:rPr>
          <w:rFonts w:hint="eastAsia" w:hAnsi="宋体" w:cs="宋体"/>
          <w:szCs w:val="24"/>
          <w:highlight w:val="none"/>
          <w:lang w:eastAsia="zh-CN"/>
        </w:rPr>
        <w:t>陕西银正项目管理有限公司</w:t>
      </w:r>
      <w:r>
        <w:rPr>
          <w:rFonts w:hint="eastAsia" w:hAnsi="宋体" w:cs="宋体"/>
          <w:szCs w:val="24"/>
          <w:highlight w:val="none"/>
        </w:rPr>
        <w:t>报名并领取招标文件，方可参加投标。</w:t>
      </w:r>
    </w:p>
    <w:p w14:paraId="5AF2C49F">
      <w:pPr>
        <w:spacing w:line="500" w:lineRule="exact"/>
        <w:ind w:firstLine="480" w:firstLineChars="200"/>
        <w:rPr>
          <w:rFonts w:hAnsi="宋体" w:cs="宋体"/>
          <w:szCs w:val="24"/>
          <w:highlight w:val="none"/>
        </w:rPr>
      </w:pPr>
      <w:bookmarkStart w:id="35" w:name="OLE_LINK33"/>
      <w:r>
        <w:rPr>
          <w:rFonts w:hAnsi="宋体" w:cs="宋体"/>
          <w:szCs w:val="24"/>
          <w:highlight w:val="none"/>
        </w:rPr>
        <w:t>3.</w:t>
      </w:r>
      <w:bookmarkEnd w:id="35"/>
      <w:r>
        <w:rPr>
          <w:rFonts w:hAnsi="宋体" w:cs="宋体"/>
          <w:szCs w:val="24"/>
          <w:highlight w:val="none"/>
        </w:rPr>
        <w:t>5</w:t>
      </w:r>
      <w:r>
        <w:rPr>
          <w:rFonts w:hint="eastAsia" w:hAnsi="宋体" w:cs="宋体"/>
          <w:szCs w:val="24"/>
          <w:highlight w:val="none"/>
        </w:rPr>
        <w:t>联合体投标。</w:t>
      </w:r>
    </w:p>
    <w:p w14:paraId="29242FC5">
      <w:pPr>
        <w:spacing w:line="500" w:lineRule="exact"/>
        <w:ind w:firstLine="480" w:firstLineChars="200"/>
        <w:rPr>
          <w:rFonts w:hAnsi="宋体" w:cs="宋体"/>
          <w:szCs w:val="24"/>
          <w:highlight w:val="none"/>
        </w:rPr>
      </w:pPr>
      <w:r>
        <w:rPr>
          <w:rFonts w:hAnsi="宋体" w:cs="宋体"/>
          <w:szCs w:val="24"/>
          <w:highlight w:val="none"/>
        </w:rPr>
        <w:t>3.5.1</w:t>
      </w:r>
      <w:r>
        <w:rPr>
          <w:rFonts w:hint="eastAsia" w:hAnsi="宋体" w:cs="宋体"/>
          <w:szCs w:val="24"/>
          <w:highlight w:val="none"/>
        </w:rPr>
        <w:t>如果在招标文件中接受联合体投标（见投标人须知前附表），则两个以上供应商可以组成一个投标联合体，以一个供应商的身份投标。以联合体形式参加投标的，联合体各方均应当符合</w:t>
      </w:r>
      <w:r>
        <w:rPr>
          <w:rFonts w:hint="eastAsia" w:hAnsi="宋体" w:cs="宋体"/>
          <w:highlight w:val="none"/>
        </w:rPr>
        <w:t>《中华人民共和国政府采购法》及实施条例规定的条件</w:t>
      </w:r>
      <w:r>
        <w:rPr>
          <w:rFonts w:hint="eastAsia" w:hAnsi="宋体" w:cs="宋体"/>
          <w:szCs w:val="24"/>
          <w:highlight w:val="none"/>
        </w:rPr>
        <w:t>。采购人根据采购项目的特殊要求规定供应商特定条件的，联合体各方中至少应当有一方符合采购人规定的特定条件。</w:t>
      </w:r>
    </w:p>
    <w:p w14:paraId="536A11A1">
      <w:pPr>
        <w:spacing w:line="500" w:lineRule="exact"/>
        <w:ind w:firstLine="468" w:firstLineChars="195"/>
        <w:rPr>
          <w:rFonts w:hAnsi="宋体" w:cs="宋体"/>
          <w:szCs w:val="24"/>
          <w:highlight w:val="none"/>
        </w:rPr>
      </w:pPr>
      <w:r>
        <w:rPr>
          <w:rFonts w:hAnsi="宋体" w:cs="宋体"/>
          <w:szCs w:val="24"/>
          <w:highlight w:val="none"/>
        </w:rPr>
        <w:t>3.5.2</w:t>
      </w:r>
      <w:r>
        <w:rPr>
          <w:rFonts w:hint="eastAsia" w:hAnsi="宋体" w:cs="宋体"/>
          <w:szCs w:val="24"/>
          <w:highlight w:val="none"/>
        </w:rPr>
        <w:t>联合体各方之间应当签订共同投标协议，明确约定联合体各方承担的工作和相应的责任，并将共同投标协议连同投标文件一并提交</w:t>
      </w:r>
      <w:r>
        <w:rPr>
          <w:rFonts w:hint="eastAsia" w:hAnsi="宋体" w:cs="宋体"/>
          <w:highlight w:val="none"/>
        </w:rPr>
        <w:t>采购代理机构</w:t>
      </w:r>
      <w:r>
        <w:rPr>
          <w:rFonts w:hint="eastAsia" w:hAnsi="宋体" w:cs="宋体"/>
          <w:szCs w:val="24"/>
          <w:highlight w:val="none"/>
        </w:rPr>
        <w:t>。联合体各方签订共同投标协议后，不得再以自己名义单独在同一项目中投标，也不得组成新的联合体参加同一项目投标。</w:t>
      </w:r>
    </w:p>
    <w:p w14:paraId="41CDEB31">
      <w:pPr>
        <w:pStyle w:val="11"/>
        <w:spacing w:line="500" w:lineRule="exact"/>
        <w:ind w:firstLine="480" w:firstLineChars="200"/>
        <w:rPr>
          <w:rFonts w:ascii="宋体" w:cs="宋体"/>
          <w:szCs w:val="24"/>
          <w:highlight w:val="none"/>
        </w:rPr>
      </w:pPr>
      <w:r>
        <w:rPr>
          <w:rFonts w:ascii="宋体" w:hAnsi="宋体" w:cs="宋体"/>
          <w:sz w:val="24"/>
          <w:szCs w:val="24"/>
          <w:highlight w:val="none"/>
        </w:rPr>
        <w:t>3.5.3</w:t>
      </w:r>
      <w:r>
        <w:rPr>
          <w:rFonts w:hint="eastAsia" w:ascii="宋体" w:hAnsi="宋体" w:cs="宋体"/>
          <w:sz w:val="24"/>
          <w:szCs w:val="24"/>
          <w:highlight w:val="none"/>
        </w:rPr>
        <w:t>联合体各方应当共同与采购人签订采购合同，就采购合同约定的事项对采购人承担连带责任。</w:t>
      </w:r>
    </w:p>
    <w:p w14:paraId="1E45FF0C">
      <w:pPr>
        <w:spacing w:line="500" w:lineRule="exact"/>
        <w:ind w:firstLine="480" w:firstLineChars="200"/>
        <w:rPr>
          <w:rFonts w:hAnsi="宋体" w:cs="宋体"/>
          <w:szCs w:val="24"/>
          <w:highlight w:val="none"/>
        </w:rPr>
      </w:pPr>
      <w:r>
        <w:rPr>
          <w:rFonts w:hAnsi="宋体" w:cs="宋体"/>
          <w:szCs w:val="24"/>
          <w:highlight w:val="none"/>
        </w:rPr>
        <w:t>3.6</w:t>
      </w:r>
      <w:r>
        <w:rPr>
          <w:rFonts w:hint="eastAsia" w:hAnsi="宋体" w:cs="宋体"/>
          <w:szCs w:val="24"/>
          <w:highlight w:val="none"/>
        </w:rPr>
        <w:t>投标费用自理。不论投标的结果如何，供应商均应自行承担所有与参加投标有关的费用。</w:t>
      </w:r>
    </w:p>
    <w:p w14:paraId="42AF4C74">
      <w:pPr>
        <w:tabs>
          <w:tab w:val="left" w:pos="747"/>
        </w:tabs>
        <w:snapToGrid w:val="0"/>
        <w:spacing w:line="500" w:lineRule="exact"/>
        <w:rPr>
          <w:rFonts w:hAnsi="宋体" w:cs="宋体"/>
          <w:b/>
          <w:bCs/>
          <w:highlight w:val="none"/>
        </w:rPr>
      </w:pPr>
      <w:r>
        <w:rPr>
          <w:rFonts w:hint="eastAsia" w:hAnsi="宋体" w:cs="宋体"/>
          <w:b/>
          <w:bCs/>
          <w:highlight w:val="none"/>
        </w:rPr>
        <w:t>4.合格的货物（产品）和服务</w:t>
      </w:r>
    </w:p>
    <w:p w14:paraId="75F1F0F1">
      <w:pPr>
        <w:tabs>
          <w:tab w:val="left" w:pos="747"/>
        </w:tabs>
        <w:snapToGrid w:val="0"/>
        <w:spacing w:line="500" w:lineRule="exact"/>
        <w:ind w:firstLine="480" w:firstLineChars="200"/>
        <w:rPr>
          <w:rFonts w:hAnsi="宋体" w:cs="宋体"/>
          <w:highlight w:val="none"/>
        </w:rPr>
      </w:pPr>
      <w:r>
        <w:rPr>
          <w:rFonts w:hAnsi="宋体" w:cs="宋体"/>
          <w:highlight w:val="none"/>
        </w:rPr>
        <w:t>4.1</w:t>
      </w:r>
      <w:r>
        <w:rPr>
          <w:rFonts w:hint="eastAsia" w:hAnsi="宋体" w:cs="宋体"/>
          <w:highlight w:val="none"/>
        </w:rPr>
        <w:t>投标人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14:paraId="61C3651C">
      <w:pPr>
        <w:tabs>
          <w:tab w:val="left" w:pos="747"/>
        </w:tabs>
        <w:snapToGrid w:val="0"/>
        <w:spacing w:line="500" w:lineRule="exact"/>
        <w:ind w:firstLine="480" w:firstLineChars="200"/>
        <w:rPr>
          <w:rFonts w:hAnsi="宋体" w:cs="宋体"/>
          <w:szCs w:val="24"/>
          <w:highlight w:val="none"/>
        </w:rPr>
      </w:pPr>
      <w:r>
        <w:rPr>
          <w:rFonts w:hAnsi="宋体" w:cs="宋体"/>
          <w:highlight w:val="none"/>
        </w:rPr>
        <w:t>4.2</w:t>
      </w:r>
      <w:r>
        <w:rPr>
          <w:rFonts w:hint="eastAsia" w:hAnsi="宋体" w:cs="宋体"/>
          <w:highlight w:val="none"/>
        </w:rPr>
        <w:t>采购人有权拒绝接受任何不合格的产品和服务，由此产生的费用及相关后果均由供应商自行承担。</w:t>
      </w:r>
    </w:p>
    <w:p w14:paraId="199FBBC2">
      <w:pPr>
        <w:spacing w:line="500" w:lineRule="exact"/>
        <w:rPr>
          <w:rFonts w:hAnsi="宋体" w:cs="宋体"/>
          <w:b/>
          <w:szCs w:val="24"/>
          <w:highlight w:val="none"/>
        </w:rPr>
      </w:pPr>
      <w:r>
        <w:rPr>
          <w:rFonts w:hint="eastAsia" w:hAnsi="宋体" w:cs="宋体"/>
          <w:b/>
          <w:szCs w:val="24"/>
          <w:highlight w:val="none"/>
        </w:rPr>
        <w:t>5.投标文件内容的真实性</w:t>
      </w:r>
    </w:p>
    <w:p w14:paraId="007FCB32">
      <w:pPr>
        <w:spacing w:line="500" w:lineRule="exact"/>
        <w:ind w:firstLine="480" w:firstLineChars="200"/>
        <w:rPr>
          <w:rFonts w:hAnsi="宋体" w:cs="宋体"/>
          <w:szCs w:val="24"/>
          <w:highlight w:val="none"/>
        </w:rPr>
      </w:pPr>
      <w:r>
        <w:rPr>
          <w:rFonts w:hint="eastAsia" w:hAnsi="宋体" w:cs="宋体"/>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14:paraId="4F5C6CEE">
      <w:pPr>
        <w:spacing w:before="333" w:beforeLines="100"/>
        <w:jc w:val="center"/>
        <w:rPr>
          <w:rFonts w:hAnsi="宋体" w:cs="宋体"/>
          <w:b/>
          <w:sz w:val="32"/>
          <w:szCs w:val="32"/>
          <w:highlight w:val="none"/>
        </w:rPr>
      </w:pPr>
      <w:bookmarkStart w:id="36" w:name="_Toc403077640"/>
      <w:bookmarkStart w:id="37" w:name="_Toc21955"/>
      <w:bookmarkStart w:id="38" w:name="_Toc363474018"/>
      <w:bookmarkStart w:id="39" w:name="_Toc363473973"/>
      <w:r>
        <w:rPr>
          <w:rFonts w:hint="eastAsia" w:hAnsi="宋体" w:cs="宋体"/>
          <w:b/>
          <w:sz w:val="32"/>
          <w:szCs w:val="32"/>
          <w:highlight w:val="none"/>
        </w:rPr>
        <w:t>二、招标文件</w:t>
      </w:r>
      <w:bookmarkEnd w:id="36"/>
      <w:bookmarkEnd w:id="37"/>
      <w:bookmarkEnd w:id="38"/>
      <w:bookmarkEnd w:id="39"/>
    </w:p>
    <w:p w14:paraId="4D5A64C0">
      <w:pPr>
        <w:spacing w:line="500" w:lineRule="exact"/>
        <w:rPr>
          <w:rFonts w:hAnsi="宋体" w:cs="宋体"/>
          <w:b/>
          <w:szCs w:val="24"/>
          <w:highlight w:val="none"/>
        </w:rPr>
      </w:pPr>
      <w:r>
        <w:rPr>
          <w:rFonts w:hint="eastAsia" w:hAnsi="宋体" w:cs="宋体"/>
          <w:b/>
          <w:szCs w:val="24"/>
          <w:highlight w:val="none"/>
        </w:rPr>
        <w:t>6.招标文件构成</w:t>
      </w:r>
    </w:p>
    <w:p w14:paraId="4D848CF9">
      <w:pPr>
        <w:spacing w:line="500" w:lineRule="exact"/>
        <w:ind w:firstLine="480" w:firstLineChars="200"/>
        <w:rPr>
          <w:rFonts w:hAnsi="宋体" w:cs="宋体"/>
          <w:szCs w:val="24"/>
          <w:highlight w:val="none"/>
        </w:rPr>
      </w:pPr>
      <w:r>
        <w:rPr>
          <w:rFonts w:hint="eastAsia" w:hAnsi="宋体" w:cs="宋体"/>
          <w:szCs w:val="24"/>
          <w:highlight w:val="none"/>
        </w:rPr>
        <w:t>6.1 招标文件要求提供的货物、服务，招标程序和合同条件在招标文件中均有说明。招标文件共六章，内容如下：</w:t>
      </w:r>
    </w:p>
    <w:p w14:paraId="30ED9E5E">
      <w:pPr>
        <w:spacing w:line="500" w:lineRule="exact"/>
        <w:ind w:firstLine="480" w:firstLineChars="200"/>
        <w:rPr>
          <w:rFonts w:hAnsi="宋体" w:cs="宋体"/>
          <w:szCs w:val="24"/>
          <w:highlight w:val="none"/>
        </w:rPr>
      </w:pPr>
      <w:r>
        <w:rPr>
          <w:rFonts w:hint="eastAsia" w:hAnsi="宋体" w:cs="宋体"/>
          <w:szCs w:val="24"/>
          <w:highlight w:val="none"/>
        </w:rPr>
        <w:t>第一章 招标公告</w:t>
      </w:r>
    </w:p>
    <w:p w14:paraId="7B394FC6">
      <w:pPr>
        <w:spacing w:line="500" w:lineRule="exact"/>
        <w:ind w:firstLine="480" w:firstLineChars="200"/>
        <w:rPr>
          <w:rFonts w:hAnsi="宋体" w:cs="宋体"/>
          <w:szCs w:val="24"/>
          <w:highlight w:val="none"/>
        </w:rPr>
      </w:pPr>
      <w:r>
        <w:rPr>
          <w:rFonts w:hint="eastAsia" w:hAnsi="宋体" w:cs="宋体"/>
          <w:szCs w:val="24"/>
          <w:highlight w:val="none"/>
        </w:rPr>
        <w:t>第二章 投标人须知</w:t>
      </w:r>
    </w:p>
    <w:p w14:paraId="16EFD250">
      <w:pPr>
        <w:spacing w:line="500" w:lineRule="exact"/>
        <w:ind w:firstLine="480" w:firstLineChars="200"/>
        <w:rPr>
          <w:rFonts w:hAnsi="宋体" w:cs="宋体"/>
          <w:szCs w:val="24"/>
          <w:highlight w:val="none"/>
        </w:rPr>
      </w:pPr>
      <w:r>
        <w:rPr>
          <w:rFonts w:hint="eastAsia" w:hAnsi="宋体" w:cs="宋体"/>
          <w:szCs w:val="24"/>
          <w:highlight w:val="none"/>
        </w:rPr>
        <w:t xml:space="preserve">   投标人须知前附表</w:t>
      </w:r>
    </w:p>
    <w:p w14:paraId="53462713">
      <w:pPr>
        <w:spacing w:line="500" w:lineRule="exact"/>
        <w:ind w:firstLine="480" w:firstLineChars="200"/>
        <w:rPr>
          <w:rFonts w:hAnsi="宋体" w:cs="宋体"/>
          <w:szCs w:val="24"/>
          <w:highlight w:val="none"/>
        </w:rPr>
      </w:pPr>
      <w:r>
        <w:rPr>
          <w:rFonts w:hint="eastAsia" w:hAnsi="宋体" w:cs="宋体"/>
          <w:szCs w:val="24"/>
          <w:highlight w:val="none"/>
        </w:rPr>
        <w:t>第三章 合同条款及格式</w:t>
      </w:r>
    </w:p>
    <w:p w14:paraId="25E12329">
      <w:pPr>
        <w:spacing w:line="500" w:lineRule="exact"/>
        <w:ind w:firstLine="840" w:firstLineChars="350"/>
        <w:rPr>
          <w:rFonts w:hAnsi="宋体" w:cs="宋体"/>
          <w:szCs w:val="24"/>
          <w:highlight w:val="none"/>
        </w:rPr>
      </w:pPr>
      <w:r>
        <w:rPr>
          <w:rFonts w:hint="eastAsia" w:hAnsi="宋体" w:cs="宋体"/>
          <w:szCs w:val="24"/>
          <w:highlight w:val="none"/>
        </w:rPr>
        <w:t>合同条款及格式前附表</w:t>
      </w:r>
    </w:p>
    <w:p w14:paraId="33F643A8">
      <w:pPr>
        <w:spacing w:line="500" w:lineRule="exact"/>
        <w:ind w:firstLine="480" w:firstLineChars="200"/>
        <w:rPr>
          <w:rFonts w:hAnsi="宋体" w:cs="宋体"/>
          <w:szCs w:val="24"/>
          <w:highlight w:val="none"/>
        </w:rPr>
      </w:pPr>
      <w:r>
        <w:rPr>
          <w:rFonts w:hint="eastAsia" w:hAnsi="宋体" w:cs="宋体"/>
          <w:szCs w:val="24"/>
          <w:highlight w:val="none"/>
        </w:rPr>
        <w:t>第四章 采购内容及技术要求</w:t>
      </w:r>
    </w:p>
    <w:p w14:paraId="191BF81F">
      <w:pPr>
        <w:spacing w:line="500" w:lineRule="exact"/>
        <w:ind w:firstLine="480" w:firstLineChars="200"/>
        <w:rPr>
          <w:rFonts w:hAnsi="宋体" w:cs="宋体"/>
          <w:szCs w:val="24"/>
          <w:highlight w:val="none"/>
        </w:rPr>
      </w:pPr>
      <w:r>
        <w:rPr>
          <w:rFonts w:hint="eastAsia" w:hAnsi="宋体" w:cs="宋体"/>
          <w:szCs w:val="24"/>
          <w:highlight w:val="none"/>
        </w:rPr>
        <w:t>第五章 评标方法</w:t>
      </w:r>
    </w:p>
    <w:p w14:paraId="6083B583">
      <w:pPr>
        <w:spacing w:line="500" w:lineRule="exact"/>
        <w:ind w:firstLine="480" w:firstLineChars="200"/>
        <w:rPr>
          <w:rFonts w:hAnsi="宋体" w:cs="宋体"/>
          <w:szCs w:val="24"/>
          <w:highlight w:val="none"/>
        </w:rPr>
      </w:pPr>
      <w:r>
        <w:rPr>
          <w:rFonts w:hint="eastAsia" w:hAnsi="宋体" w:cs="宋体"/>
          <w:szCs w:val="24"/>
          <w:highlight w:val="none"/>
        </w:rPr>
        <w:t>第六章 投标文件构成及格式</w:t>
      </w:r>
    </w:p>
    <w:p w14:paraId="5846E223">
      <w:pPr>
        <w:spacing w:line="500" w:lineRule="exact"/>
        <w:ind w:firstLine="480" w:firstLineChars="200"/>
        <w:rPr>
          <w:rFonts w:hAnsi="宋体" w:cs="宋体"/>
          <w:szCs w:val="24"/>
          <w:highlight w:val="none"/>
        </w:rPr>
      </w:pPr>
      <w:r>
        <w:rPr>
          <w:rFonts w:hint="eastAsia" w:hAnsi="宋体" w:cs="宋体"/>
          <w:szCs w:val="24"/>
          <w:highlight w:val="none"/>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供应商承担。</w:t>
      </w:r>
    </w:p>
    <w:p w14:paraId="104EC484">
      <w:pPr>
        <w:spacing w:line="500" w:lineRule="exact"/>
        <w:ind w:firstLine="480" w:firstLineChars="200"/>
        <w:rPr>
          <w:rFonts w:hAnsi="宋体" w:cs="宋体"/>
          <w:szCs w:val="24"/>
          <w:highlight w:val="none"/>
        </w:rPr>
      </w:pPr>
      <w:r>
        <w:rPr>
          <w:rFonts w:hint="eastAsia" w:hAnsi="宋体" w:cs="宋体"/>
          <w:szCs w:val="24"/>
          <w:highlight w:val="none"/>
        </w:rPr>
        <w:t>6.3本招标文件的解释权归</w:t>
      </w:r>
      <w:r>
        <w:rPr>
          <w:rFonts w:hint="eastAsia" w:hAnsi="宋体" w:cs="宋体"/>
          <w:szCs w:val="24"/>
          <w:highlight w:val="none"/>
          <w:lang w:eastAsia="zh-CN"/>
        </w:rPr>
        <w:t>陕西银正项目管理有限公司</w:t>
      </w:r>
      <w:r>
        <w:rPr>
          <w:rFonts w:hint="eastAsia" w:hAnsi="宋体" w:cs="宋体"/>
          <w:szCs w:val="24"/>
          <w:highlight w:val="none"/>
        </w:rPr>
        <w:t>，如发现招标文件内容与现行法律法规不相符的情况，以现行法律法规为准。</w:t>
      </w:r>
    </w:p>
    <w:p w14:paraId="22B81C3D">
      <w:pPr>
        <w:spacing w:line="500" w:lineRule="exact"/>
        <w:rPr>
          <w:rFonts w:hAnsi="宋体" w:cs="宋体"/>
          <w:b/>
          <w:szCs w:val="24"/>
          <w:highlight w:val="none"/>
        </w:rPr>
      </w:pPr>
      <w:r>
        <w:rPr>
          <w:rFonts w:hint="eastAsia" w:hAnsi="宋体" w:cs="宋体"/>
          <w:b/>
          <w:szCs w:val="24"/>
          <w:highlight w:val="none"/>
        </w:rPr>
        <w:t>7.招标文件的修改和澄清</w:t>
      </w:r>
    </w:p>
    <w:p w14:paraId="3DD9F978">
      <w:pPr>
        <w:tabs>
          <w:tab w:val="left" w:pos="720"/>
        </w:tabs>
        <w:spacing w:line="500" w:lineRule="exact"/>
        <w:ind w:firstLine="480" w:firstLineChars="200"/>
        <w:rPr>
          <w:rFonts w:hAnsi="宋体" w:cs="宋体"/>
          <w:highlight w:val="none"/>
        </w:rPr>
      </w:pPr>
      <w:r>
        <w:rPr>
          <w:rFonts w:hint="eastAsia" w:hAnsi="宋体" w:cs="宋体"/>
          <w:highlight w:val="none"/>
        </w:rPr>
        <w:t>7.1 在投标截止时间前，采购代理机构无论出于何种原因，可以对已发出招标文件进行必要的澄清或者修改，但不得修改采购标的和资格条件。</w:t>
      </w:r>
    </w:p>
    <w:p w14:paraId="018387A7">
      <w:pPr>
        <w:spacing w:line="500" w:lineRule="exact"/>
        <w:ind w:firstLine="480" w:firstLineChars="200"/>
        <w:rPr>
          <w:rFonts w:hAnsi="宋体" w:cs="宋体"/>
          <w:highlight w:val="none"/>
        </w:rPr>
      </w:pPr>
      <w:r>
        <w:rPr>
          <w:rFonts w:hint="eastAsia" w:hAnsi="宋体" w:cs="宋体"/>
          <w:highlight w:val="none"/>
        </w:rPr>
        <w:t>7.2 澄清或者修改的内容可能影响投标文件编制的，采购代理机构应当在投标文件截止时间</w:t>
      </w:r>
      <w:r>
        <w:rPr>
          <w:rFonts w:hint="eastAsia" w:hAnsi="宋体" w:cs="宋体"/>
          <w:bCs/>
          <w:highlight w:val="none"/>
        </w:rPr>
        <w:t>15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15日，将相应</w:t>
      </w:r>
      <w:r>
        <w:rPr>
          <w:rFonts w:hint="eastAsia" w:hAnsi="宋体" w:cs="宋体"/>
          <w:highlight w:val="none"/>
        </w:rPr>
        <w:t>顺延投标截止时间。</w:t>
      </w:r>
    </w:p>
    <w:p w14:paraId="2FB01911">
      <w:pPr>
        <w:pStyle w:val="10"/>
        <w:spacing w:line="500" w:lineRule="exact"/>
        <w:ind w:firstLine="480" w:firstLineChars="200"/>
        <w:rPr>
          <w:rFonts w:ascii="宋体" w:hAnsi="宋体" w:cs="宋体"/>
          <w:kern w:val="0"/>
          <w:sz w:val="24"/>
          <w:szCs w:val="22"/>
          <w:highlight w:val="none"/>
        </w:rPr>
      </w:pPr>
      <w:r>
        <w:rPr>
          <w:rFonts w:hint="eastAsia" w:ascii="宋体" w:hAnsi="宋体" w:cs="宋体"/>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7.3在投标文件递交截止时间前，采购代理机构可以视采购具体情况，延长投标截止时间和开标时间并在财政部门指定的媒体上发布变更公告，同时将变更时间书面通知获取招标文件的潜在供应商。</w:t>
      </w:r>
    </w:p>
    <w:p w14:paraId="7E42726B">
      <w:pPr>
        <w:spacing w:line="500" w:lineRule="exact"/>
        <w:ind w:firstLine="480" w:firstLineChars="200"/>
        <w:rPr>
          <w:rFonts w:hAnsi="宋体" w:cs="宋体"/>
          <w:szCs w:val="24"/>
          <w:highlight w:val="none"/>
        </w:rPr>
      </w:pPr>
      <w:r>
        <w:rPr>
          <w:rFonts w:hint="eastAsia" w:hAnsi="宋体" w:cs="宋体"/>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14:paraId="710E7065">
      <w:pPr>
        <w:spacing w:line="500" w:lineRule="exact"/>
        <w:ind w:firstLine="480" w:firstLineChars="200"/>
        <w:rPr>
          <w:rFonts w:hAnsi="宋体" w:cs="宋体"/>
          <w:highlight w:val="none"/>
        </w:rPr>
      </w:pPr>
      <w:r>
        <w:rPr>
          <w:rFonts w:hint="eastAsia" w:hAnsi="宋体" w:cs="宋体"/>
          <w:szCs w:val="24"/>
          <w:highlight w:val="none"/>
        </w:rPr>
        <w:t>7.5</w:t>
      </w:r>
      <w:r>
        <w:rPr>
          <w:rFonts w:hint="eastAsia" w:hAnsi="宋体" w:cs="宋体"/>
          <w:highlight w:val="none"/>
        </w:rPr>
        <w:t>供应商在收到上述通知后，应立即向采购代理机构回函确认。</w:t>
      </w:r>
    </w:p>
    <w:p w14:paraId="410D2FF9">
      <w:pPr>
        <w:spacing w:line="500" w:lineRule="exact"/>
        <w:rPr>
          <w:rFonts w:hAnsi="宋体" w:cs="宋体"/>
          <w:highlight w:val="none"/>
        </w:rPr>
      </w:pPr>
    </w:p>
    <w:p w14:paraId="3B40FD77">
      <w:pPr>
        <w:spacing w:line="500" w:lineRule="exact"/>
        <w:jc w:val="center"/>
        <w:rPr>
          <w:rFonts w:hAnsi="宋体" w:cs="宋体"/>
          <w:b/>
          <w:sz w:val="32"/>
          <w:szCs w:val="32"/>
          <w:highlight w:val="none"/>
        </w:rPr>
      </w:pPr>
      <w:bookmarkStart w:id="40" w:name="_Toc363474019"/>
      <w:bookmarkStart w:id="41" w:name="_Toc403077641"/>
      <w:bookmarkStart w:id="42" w:name="_Toc363473974"/>
      <w:r>
        <w:rPr>
          <w:rFonts w:hint="eastAsia" w:hAnsi="宋体" w:cs="宋体"/>
          <w:b/>
          <w:sz w:val="32"/>
          <w:szCs w:val="32"/>
          <w:highlight w:val="none"/>
        </w:rPr>
        <w:t>三.投标文件的编制</w:t>
      </w:r>
      <w:bookmarkEnd w:id="40"/>
      <w:bookmarkEnd w:id="41"/>
      <w:bookmarkEnd w:id="42"/>
    </w:p>
    <w:p w14:paraId="1D47CBAC">
      <w:pPr>
        <w:spacing w:line="500" w:lineRule="exact"/>
        <w:rPr>
          <w:rFonts w:hAnsi="宋体" w:cs="宋体"/>
          <w:b/>
          <w:szCs w:val="24"/>
          <w:highlight w:val="none"/>
        </w:rPr>
      </w:pPr>
      <w:r>
        <w:rPr>
          <w:rFonts w:hint="eastAsia" w:hAnsi="宋体" w:cs="宋体"/>
          <w:b/>
          <w:szCs w:val="24"/>
          <w:highlight w:val="none"/>
        </w:rPr>
        <w:t>8. 投标语言和投标货币</w:t>
      </w:r>
    </w:p>
    <w:p w14:paraId="637EB4E2">
      <w:pPr>
        <w:spacing w:line="500" w:lineRule="exact"/>
        <w:ind w:firstLine="480" w:firstLineChars="200"/>
        <w:rPr>
          <w:rFonts w:hAnsi="宋体" w:cs="宋体"/>
          <w:b/>
          <w:szCs w:val="24"/>
          <w:highlight w:val="none"/>
        </w:rPr>
      </w:pPr>
      <w:r>
        <w:rPr>
          <w:rFonts w:hint="eastAsia" w:hAnsi="宋体" w:cs="宋体"/>
          <w:szCs w:val="24"/>
          <w:highlight w:val="none"/>
        </w:rPr>
        <w:t>8.1供应商提交的投标文件以及供应商与采购代理机构就有关投标的所有来往函电均应使用中文。</w:t>
      </w:r>
    </w:p>
    <w:p w14:paraId="0DEFF9F8">
      <w:pPr>
        <w:spacing w:line="500" w:lineRule="exact"/>
        <w:ind w:firstLine="480" w:firstLineChars="200"/>
        <w:rPr>
          <w:rFonts w:hAnsi="宋体" w:cs="宋体"/>
          <w:szCs w:val="24"/>
          <w:highlight w:val="none"/>
        </w:rPr>
      </w:pPr>
      <w:r>
        <w:rPr>
          <w:rFonts w:hint="eastAsia" w:hAnsi="宋体" w:cs="宋体"/>
          <w:szCs w:val="24"/>
          <w:highlight w:val="none"/>
        </w:rPr>
        <w:t>8.2投标应以人民币报价。任何包含非人民币报价的投标将按无效投标处理。</w:t>
      </w:r>
    </w:p>
    <w:p w14:paraId="09274A27">
      <w:pPr>
        <w:spacing w:line="500" w:lineRule="exact"/>
        <w:rPr>
          <w:rFonts w:hAnsi="宋体" w:cs="宋体"/>
          <w:b/>
          <w:szCs w:val="24"/>
          <w:highlight w:val="none"/>
        </w:rPr>
      </w:pPr>
      <w:r>
        <w:rPr>
          <w:rFonts w:hint="eastAsia" w:hAnsi="宋体" w:cs="宋体"/>
          <w:b/>
          <w:szCs w:val="24"/>
          <w:highlight w:val="none"/>
        </w:rPr>
        <w:t>9.投标文件的构成</w:t>
      </w:r>
    </w:p>
    <w:p w14:paraId="32D2E46C">
      <w:pPr>
        <w:spacing w:line="500" w:lineRule="exact"/>
        <w:ind w:firstLine="480" w:firstLineChars="200"/>
        <w:rPr>
          <w:rFonts w:hAnsi="宋体" w:cs="宋体"/>
          <w:szCs w:val="24"/>
          <w:highlight w:val="none"/>
        </w:rPr>
      </w:pPr>
      <w:r>
        <w:rPr>
          <w:rFonts w:hint="eastAsia" w:hAnsi="宋体" w:cs="宋体"/>
          <w:szCs w:val="24"/>
          <w:highlight w:val="none"/>
        </w:rPr>
        <w:t>9.1 供应商提交的投标文件应包括下列部分的内容：</w:t>
      </w:r>
    </w:p>
    <w:p w14:paraId="2121CC3F">
      <w:pPr>
        <w:spacing w:line="500" w:lineRule="exact"/>
        <w:ind w:firstLine="480" w:firstLineChars="200"/>
        <w:rPr>
          <w:rFonts w:hAnsi="宋体" w:cs="宋体"/>
          <w:szCs w:val="24"/>
          <w:highlight w:val="none"/>
        </w:rPr>
      </w:pPr>
      <w:r>
        <w:rPr>
          <w:rFonts w:hint="eastAsia" w:hAnsi="宋体" w:cs="宋体"/>
          <w:szCs w:val="24"/>
          <w:highlight w:val="none"/>
        </w:rPr>
        <w:t>（1）按照供应商须知的要求和招标文件规定的格式填写的投标函、投标报价表、法定代表人或负责人授权书；</w:t>
      </w:r>
    </w:p>
    <w:p w14:paraId="23C7F52F">
      <w:pPr>
        <w:spacing w:line="500" w:lineRule="exact"/>
        <w:ind w:firstLine="480" w:firstLineChars="200"/>
        <w:rPr>
          <w:rFonts w:hAnsi="宋体" w:cs="宋体"/>
          <w:szCs w:val="24"/>
          <w:highlight w:val="none"/>
        </w:rPr>
      </w:pPr>
      <w:r>
        <w:rPr>
          <w:rFonts w:hint="eastAsia" w:hAnsi="宋体" w:cs="宋体"/>
          <w:szCs w:val="24"/>
          <w:highlight w:val="none"/>
        </w:rPr>
        <w:t>（2）按照招标文件的要求编制的投标方案说明书，内容至少应包括对本项目的所有服务内容的理解与认知，针对本项目具有详细的进度计划及服务方案，技术服务响应表，技术服务质量保证方案以及相关的人员配备等；</w:t>
      </w:r>
    </w:p>
    <w:p w14:paraId="4C649066">
      <w:pPr>
        <w:spacing w:line="500" w:lineRule="exact"/>
        <w:ind w:firstLine="480" w:firstLineChars="200"/>
        <w:rPr>
          <w:rFonts w:hAnsi="宋体" w:cs="宋体"/>
          <w:szCs w:val="24"/>
          <w:highlight w:val="none"/>
        </w:rPr>
      </w:pPr>
      <w:r>
        <w:rPr>
          <w:rFonts w:hint="eastAsia" w:hAnsi="宋体" w:cs="宋体"/>
          <w:szCs w:val="24"/>
          <w:highlight w:val="none"/>
        </w:rPr>
        <w:t xml:space="preserve">（3）按照招标文件供应商须知前附表的要求提交的资格证明文件；  </w:t>
      </w:r>
    </w:p>
    <w:p w14:paraId="27FA9D5A">
      <w:pPr>
        <w:spacing w:line="500" w:lineRule="exact"/>
        <w:ind w:firstLine="480" w:firstLineChars="200"/>
        <w:rPr>
          <w:rFonts w:hAnsi="宋体" w:cs="宋体"/>
          <w:szCs w:val="24"/>
          <w:highlight w:val="none"/>
        </w:rPr>
      </w:pPr>
      <w:r>
        <w:rPr>
          <w:rFonts w:hint="eastAsia" w:hAnsi="宋体" w:cs="宋体"/>
          <w:szCs w:val="24"/>
          <w:highlight w:val="none"/>
        </w:rPr>
        <w:t>（4）按照本须知第14条要求提交的投标保证金；</w:t>
      </w:r>
    </w:p>
    <w:p w14:paraId="2D277964">
      <w:pPr>
        <w:spacing w:line="500" w:lineRule="exact"/>
        <w:ind w:firstLine="480" w:firstLineChars="200"/>
        <w:rPr>
          <w:rFonts w:hAnsi="宋体" w:cs="宋体"/>
          <w:szCs w:val="24"/>
          <w:highlight w:val="none"/>
        </w:rPr>
      </w:pPr>
      <w:r>
        <w:rPr>
          <w:rFonts w:hint="eastAsia" w:hAnsi="宋体" w:cs="宋体"/>
          <w:szCs w:val="24"/>
          <w:highlight w:val="none"/>
        </w:rPr>
        <w:t>（5）招标文件中要求的其他证明文件。</w:t>
      </w:r>
    </w:p>
    <w:p w14:paraId="266E2FDB">
      <w:pPr>
        <w:spacing w:line="500" w:lineRule="exact"/>
        <w:ind w:firstLine="480" w:firstLineChars="200"/>
        <w:rPr>
          <w:rFonts w:hAnsi="宋体" w:cs="宋体"/>
          <w:szCs w:val="24"/>
          <w:highlight w:val="none"/>
        </w:rPr>
      </w:pPr>
      <w:r>
        <w:rPr>
          <w:rFonts w:hint="eastAsia" w:hAnsi="宋体" w:cs="宋体"/>
          <w:szCs w:val="24"/>
          <w:highlight w:val="none"/>
        </w:rPr>
        <w:t>9.2 本项目各包不允许提供备选方案，每个供应商只允许提交一个投标方案，否则，其投标将按照无效投标处理。</w:t>
      </w:r>
    </w:p>
    <w:p w14:paraId="282BDA06">
      <w:pPr>
        <w:spacing w:line="500" w:lineRule="exact"/>
        <w:ind w:firstLine="480" w:firstLineChars="200"/>
        <w:rPr>
          <w:rFonts w:hAnsi="宋体" w:cs="宋体"/>
          <w:szCs w:val="24"/>
          <w:highlight w:val="none"/>
        </w:rPr>
      </w:pPr>
      <w:r>
        <w:rPr>
          <w:rFonts w:hint="eastAsia" w:hAnsi="宋体" w:cs="宋体"/>
          <w:szCs w:val="24"/>
          <w:highlight w:val="none"/>
        </w:rPr>
        <w:t>9.3 供应商可根据自身的资质情况和经营范围进行投标，但不得将其子目自行分解或针对该项目中的品目进行不完全投标，任何不完全的投标将按无效投标处理。</w:t>
      </w:r>
    </w:p>
    <w:p w14:paraId="045E5181">
      <w:pPr>
        <w:spacing w:line="500" w:lineRule="exact"/>
        <w:rPr>
          <w:rFonts w:hAnsi="宋体" w:cs="宋体"/>
          <w:b/>
          <w:szCs w:val="24"/>
          <w:highlight w:val="none"/>
        </w:rPr>
      </w:pPr>
      <w:r>
        <w:rPr>
          <w:rFonts w:hint="eastAsia" w:hAnsi="宋体" w:cs="宋体"/>
          <w:b/>
          <w:szCs w:val="24"/>
          <w:highlight w:val="none"/>
        </w:rPr>
        <w:t>10.投标文件格式</w:t>
      </w:r>
    </w:p>
    <w:p w14:paraId="27DA17C7">
      <w:pPr>
        <w:spacing w:line="500" w:lineRule="exact"/>
        <w:ind w:firstLine="480" w:firstLineChars="200"/>
        <w:rPr>
          <w:rFonts w:hAnsi="宋体" w:cs="宋体"/>
          <w:szCs w:val="24"/>
          <w:highlight w:val="none"/>
        </w:rPr>
      </w:pPr>
      <w:r>
        <w:rPr>
          <w:rFonts w:hint="eastAsia" w:hAnsi="宋体" w:cs="宋体"/>
          <w:szCs w:val="24"/>
          <w:highlight w:val="none"/>
        </w:rPr>
        <w:t>10.1 供应商应按照招标文件中第六章所提供的格式和要求制作投标文件，明确表达投标意愿，详细说明投标方案、承诺及价格。</w:t>
      </w:r>
    </w:p>
    <w:p w14:paraId="66C9366E">
      <w:pPr>
        <w:spacing w:line="500" w:lineRule="exact"/>
        <w:ind w:firstLine="480" w:firstLineChars="200"/>
        <w:rPr>
          <w:rFonts w:hAnsi="宋体" w:cs="宋体"/>
          <w:szCs w:val="24"/>
          <w:highlight w:val="none"/>
        </w:rPr>
      </w:pPr>
      <w:r>
        <w:rPr>
          <w:rFonts w:hint="eastAsia" w:hAnsi="宋体" w:cs="宋体"/>
          <w:szCs w:val="24"/>
          <w:highlight w:val="none"/>
        </w:rPr>
        <w:t>10.2按招标文件第9条的内容及要求和第六章提供的格式和要求编写其投标文件，供应商不得缺少或留空任何招标文件要求填写的表格或提交的资料。</w:t>
      </w:r>
    </w:p>
    <w:p w14:paraId="79BB72BE">
      <w:pPr>
        <w:spacing w:line="500" w:lineRule="exact"/>
        <w:rPr>
          <w:rFonts w:hAnsi="宋体" w:cs="宋体"/>
          <w:b/>
          <w:szCs w:val="24"/>
          <w:highlight w:val="none"/>
        </w:rPr>
      </w:pPr>
      <w:r>
        <w:rPr>
          <w:rFonts w:hint="eastAsia" w:hAnsi="宋体" w:cs="宋体"/>
          <w:b/>
          <w:szCs w:val="24"/>
          <w:highlight w:val="none"/>
        </w:rPr>
        <w:t>11.投标报价</w:t>
      </w:r>
    </w:p>
    <w:p w14:paraId="7314691A">
      <w:pPr>
        <w:spacing w:line="500" w:lineRule="exact"/>
        <w:ind w:firstLine="480" w:firstLineChars="200"/>
        <w:rPr>
          <w:rFonts w:hAnsi="宋体" w:cs="宋体"/>
          <w:szCs w:val="24"/>
          <w:highlight w:val="none"/>
        </w:rPr>
      </w:pPr>
      <w:r>
        <w:rPr>
          <w:rFonts w:hint="eastAsia" w:hAnsi="宋体" w:cs="宋体"/>
          <w:szCs w:val="24"/>
          <w:highlight w:val="none"/>
        </w:rPr>
        <w:t>11.1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p>
    <w:p w14:paraId="01F973F3">
      <w:pPr>
        <w:spacing w:line="500" w:lineRule="exact"/>
        <w:ind w:firstLine="480" w:firstLineChars="200"/>
        <w:rPr>
          <w:rFonts w:hAnsi="宋体" w:cs="宋体"/>
          <w:szCs w:val="24"/>
          <w:highlight w:val="none"/>
        </w:rPr>
      </w:pPr>
      <w:r>
        <w:rPr>
          <w:rFonts w:hint="eastAsia" w:hAnsi="宋体" w:cs="宋体"/>
          <w:szCs w:val="24"/>
          <w:highlight w:val="none"/>
        </w:rPr>
        <w:t>11.2投标报价表中标明的价格应为履行合同的固定价格。</w:t>
      </w:r>
    </w:p>
    <w:p w14:paraId="4DE0888E">
      <w:pPr>
        <w:spacing w:line="500" w:lineRule="exact"/>
        <w:ind w:right="617" w:rightChars="257" w:firstLine="480" w:firstLineChars="200"/>
        <w:rPr>
          <w:rFonts w:hAnsi="宋体" w:cs="宋体"/>
          <w:szCs w:val="24"/>
          <w:highlight w:val="none"/>
        </w:rPr>
      </w:pPr>
      <w:r>
        <w:rPr>
          <w:rFonts w:hint="eastAsia" w:hAnsi="宋体" w:cs="宋体"/>
          <w:szCs w:val="24"/>
          <w:highlight w:val="none"/>
        </w:rPr>
        <w:t>11.3投标报价：总价（精确到小数点后二位）。</w:t>
      </w:r>
    </w:p>
    <w:p w14:paraId="39D6C46F">
      <w:pPr>
        <w:spacing w:line="500" w:lineRule="exact"/>
        <w:rPr>
          <w:rFonts w:hAnsi="宋体" w:cs="宋体"/>
          <w:b/>
          <w:szCs w:val="24"/>
          <w:highlight w:val="none"/>
        </w:rPr>
      </w:pPr>
      <w:r>
        <w:rPr>
          <w:rFonts w:hint="eastAsia" w:hAnsi="宋体" w:cs="宋体"/>
          <w:b/>
          <w:szCs w:val="24"/>
          <w:highlight w:val="none"/>
        </w:rPr>
        <w:t>12.证明供应商合格和资格的文件</w:t>
      </w:r>
    </w:p>
    <w:p w14:paraId="1A5C02A1">
      <w:pPr>
        <w:spacing w:line="500" w:lineRule="exact"/>
        <w:ind w:firstLine="480" w:firstLineChars="200"/>
        <w:rPr>
          <w:rFonts w:hAnsi="宋体" w:cs="宋体"/>
          <w:szCs w:val="24"/>
          <w:highlight w:val="none"/>
        </w:rPr>
      </w:pPr>
      <w:r>
        <w:rPr>
          <w:rFonts w:hint="eastAsia" w:hAnsi="宋体" w:cs="宋体"/>
          <w:szCs w:val="24"/>
          <w:highlight w:val="none"/>
        </w:rPr>
        <w:t>12.1供应商应按照招标文件“投标人须知前附表”的要求，在投标文件中提交合格的资格证明文件。如果资格证明文件不齐全或不合格的，其投标将按无效投标处理。</w:t>
      </w:r>
    </w:p>
    <w:p w14:paraId="566525E2">
      <w:pPr>
        <w:spacing w:line="500" w:lineRule="exact"/>
        <w:rPr>
          <w:rFonts w:hAnsi="宋体" w:cs="宋体"/>
          <w:highlight w:val="none"/>
        </w:rPr>
      </w:pPr>
      <w:r>
        <w:rPr>
          <w:rFonts w:hint="eastAsia" w:hAnsi="宋体" w:cs="宋体"/>
          <w:b/>
          <w:szCs w:val="24"/>
          <w:highlight w:val="none"/>
        </w:rPr>
        <w:t>13.证明所提供的服务符合招标文件规定的文件</w:t>
      </w:r>
    </w:p>
    <w:p w14:paraId="2A668BE5">
      <w:pPr>
        <w:spacing w:line="500" w:lineRule="exact"/>
        <w:ind w:firstLine="480" w:firstLineChars="200"/>
        <w:rPr>
          <w:rFonts w:hAnsi="宋体" w:cs="宋体"/>
          <w:szCs w:val="24"/>
          <w:highlight w:val="none"/>
        </w:rPr>
      </w:pPr>
      <w:r>
        <w:rPr>
          <w:rFonts w:hAnsi="宋体" w:cs="宋体"/>
          <w:szCs w:val="24"/>
          <w:highlight w:val="none"/>
        </w:rPr>
        <w:t>1</w:t>
      </w:r>
      <w:r>
        <w:rPr>
          <w:rFonts w:hint="eastAsia" w:hAnsi="宋体" w:cs="宋体"/>
          <w:szCs w:val="24"/>
          <w:highlight w:val="none"/>
        </w:rPr>
        <w:t>3</w:t>
      </w:r>
      <w:r>
        <w:rPr>
          <w:rFonts w:hAnsi="宋体" w:cs="宋体"/>
          <w:szCs w:val="24"/>
          <w:highlight w:val="none"/>
        </w:rPr>
        <w:t>.1</w:t>
      </w:r>
      <w:r>
        <w:rPr>
          <w:rFonts w:hint="eastAsia" w:hAnsi="宋体" w:cs="宋体"/>
          <w:szCs w:val="24"/>
          <w:highlight w:val="none"/>
        </w:rPr>
        <w:t>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463E79B0">
      <w:pPr>
        <w:spacing w:line="500" w:lineRule="exact"/>
        <w:ind w:firstLine="480" w:firstLineChars="200"/>
        <w:rPr>
          <w:rFonts w:hAnsi="宋体" w:cs="宋体"/>
          <w:szCs w:val="24"/>
          <w:highlight w:val="none"/>
        </w:rPr>
      </w:pPr>
      <w:r>
        <w:rPr>
          <w:rFonts w:hAnsi="宋体" w:cs="宋体"/>
          <w:szCs w:val="24"/>
          <w:highlight w:val="none"/>
        </w:rPr>
        <w:t>1</w:t>
      </w:r>
      <w:r>
        <w:rPr>
          <w:rFonts w:hint="eastAsia" w:hAnsi="宋体" w:cs="宋体"/>
          <w:szCs w:val="24"/>
          <w:highlight w:val="none"/>
        </w:rPr>
        <w:t>3</w:t>
      </w:r>
      <w:r>
        <w:rPr>
          <w:rFonts w:hAnsi="宋体" w:cs="宋体"/>
          <w:szCs w:val="24"/>
          <w:highlight w:val="none"/>
        </w:rPr>
        <w:t>.2</w:t>
      </w:r>
      <w:r>
        <w:rPr>
          <w:rFonts w:hint="eastAsia" w:hAnsi="宋体" w:cs="宋体"/>
          <w:szCs w:val="24"/>
          <w:highlight w:val="none"/>
        </w:rPr>
        <w:t>上述证明文件可以是文字资料、图纸、图片、数据、宣传彩页等，所有证明文件表达意思必须统一（如需供应商提供样品，样品必须与投标文件的表述完全符合）。包括：</w:t>
      </w:r>
    </w:p>
    <w:p w14:paraId="0A5AD377">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1)</w:t>
      </w:r>
      <w:r>
        <w:rPr>
          <w:rFonts w:hint="eastAsia" w:hAnsi="宋体" w:cs="宋体"/>
          <w:szCs w:val="24"/>
          <w:highlight w:val="none"/>
        </w:rPr>
        <w:t>产品主要技术指标和性能的详细说明；</w:t>
      </w:r>
    </w:p>
    <w:p w14:paraId="2BB5D6C8">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2</w:t>
      </w:r>
      <w:r>
        <w:rPr>
          <w:rFonts w:hint="eastAsia" w:hAnsi="宋体" w:cs="宋体"/>
          <w:szCs w:val="24"/>
          <w:highlight w:val="none"/>
        </w:rPr>
        <w:t>）生产厂家出具的、相应的产品功能证明材料（包括但不限于测试报告、官网和功能截图等）；</w:t>
      </w:r>
    </w:p>
    <w:p w14:paraId="6063E506">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3)</w:t>
      </w:r>
      <w:r>
        <w:rPr>
          <w:rFonts w:hint="eastAsia" w:hAnsi="宋体" w:cs="宋体"/>
          <w:szCs w:val="24"/>
          <w:highlight w:val="none"/>
        </w:rPr>
        <w:t>逐条对招标文件提出的技术要求和商务要求进行应答，说明所提供的产品和服务对招标的技术和商务要求是否做出了实质性响应并提供支持文件；</w:t>
      </w:r>
    </w:p>
    <w:p w14:paraId="040CE112">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4</w:t>
      </w:r>
      <w:r>
        <w:rPr>
          <w:rFonts w:hint="eastAsia" w:hAnsi="宋体" w:cs="宋体"/>
          <w:szCs w:val="24"/>
          <w:highlight w:val="none"/>
        </w:rPr>
        <w:t>）供货范围和服务内容的详细说明。</w:t>
      </w:r>
    </w:p>
    <w:p w14:paraId="7017DEAF">
      <w:pPr>
        <w:spacing w:line="360" w:lineRule="auto"/>
        <w:ind w:firstLine="482" w:firstLineChars="200"/>
        <w:rPr>
          <w:rFonts w:hAnsi="宋体" w:cs="宋体"/>
          <w:szCs w:val="24"/>
          <w:highlight w:val="none"/>
        </w:rPr>
      </w:pPr>
      <w:r>
        <w:rPr>
          <w:rFonts w:hint="eastAsia" w:hAnsi="宋体" w:cs="宋体"/>
          <w:b/>
          <w:szCs w:val="24"/>
          <w:highlight w:val="none"/>
        </w:rPr>
        <w:t>14.投标保证金</w:t>
      </w:r>
      <w:r>
        <w:rPr>
          <w:rFonts w:hint="eastAsia" w:hAnsi="宋体" w:cs="宋体"/>
          <w:szCs w:val="24"/>
          <w:highlight w:val="none"/>
        </w:rPr>
        <w:t>：</w:t>
      </w:r>
    </w:p>
    <w:p w14:paraId="465D144D">
      <w:pPr>
        <w:spacing w:line="360" w:lineRule="auto"/>
        <w:ind w:firstLine="480" w:firstLineChars="200"/>
        <w:rPr>
          <w:rFonts w:hAnsi="宋体" w:cs="宋体"/>
          <w:szCs w:val="24"/>
          <w:highlight w:val="none"/>
        </w:rPr>
      </w:pPr>
      <w:r>
        <w:rPr>
          <w:rFonts w:hint="eastAsia" w:hAnsi="宋体" w:cs="宋体"/>
          <w:szCs w:val="24"/>
          <w:highlight w:val="none"/>
        </w:rPr>
        <w:t>14.1投标人在投标时应向</w:t>
      </w:r>
      <w:r>
        <w:rPr>
          <w:rFonts w:hint="eastAsia" w:hAnsi="宋体" w:cs="宋体"/>
          <w:szCs w:val="24"/>
          <w:highlight w:val="none"/>
          <w:lang w:eastAsia="zh-CN"/>
        </w:rPr>
        <w:t>陕西银正项目管理有限公司</w:t>
      </w:r>
      <w:r>
        <w:rPr>
          <w:rFonts w:hint="eastAsia" w:hAnsi="宋体" w:cs="宋体"/>
          <w:szCs w:val="24"/>
          <w:highlight w:val="none"/>
        </w:rPr>
        <w:t>提交“投标人须知前附表”规定数额的投标保证金,并作为其投标的一部分。</w:t>
      </w:r>
    </w:p>
    <w:p w14:paraId="7981BC61">
      <w:pPr>
        <w:spacing w:line="360" w:lineRule="auto"/>
        <w:ind w:firstLine="480" w:firstLineChars="200"/>
        <w:rPr>
          <w:rFonts w:hAnsi="宋体" w:cs="宋体"/>
          <w:szCs w:val="24"/>
          <w:highlight w:val="none"/>
        </w:rPr>
      </w:pPr>
      <w:r>
        <w:rPr>
          <w:rFonts w:hint="eastAsia" w:hAnsi="宋体" w:cs="宋体"/>
          <w:szCs w:val="24"/>
          <w:highlight w:val="none"/>
        </w:rPr>
        <w:t>14.2投标保证金是为了保护招标人和招标代理机构免遭因投标人的行为而蒙受损失。招标人和招标代理机构在因投标人的行为受到损害时可根据本须知的规定第3.4.7条没收投标人的投标保证金。</w:t>
      </w:r>
    </w:p>
    <w:p w14:paraId="6E3DFEDD">
      <w:pPr>
        <w:spacing w:line="360" w:lineRule="auto"/>
        <w:ind w:firstLine="480" w:firstLineChars="200"/>
        <w:rPr>
          <w:rFonts w:hAnsi="宋体" w:cs="宋体"/>
          <w:szCs w:val="24"/>
          <w:highlight w:val="none"/>
        </w:rPr>
      </w:pPr>
      <w:r>
        <w:rPr>
          <w:rFonts w:hint="eastAsia" w:hAnsi="宋体" w:cs="宋体"/>
          <w:szCs w:val="24"/>
          <w:highlight w:val="none"/>
        </w:rPr>
        <w:t>14.3投标保证金的缴纳形式：转账、电汇、</w:t>
      </w:r>
      <w:r>
        <w:rPr>
          <w:rFonts w:hint="eastAsia" w:hAnsi="宋体" w:cs="宋体"/>
          <w:szCs w:val="24"/>
          <w:highlight w:val="none"/>
          <w:lang w:val="en-US" w:eastAsia="zh-CN"/>
        </w:rPr>
        <w:t>银行</w:t>
      </w:r>
      <w:r>
        <w:rPr>
          <w:rFonts w:hint="eastAsia" w:hAnsi="宋体" w:cs="宋体"/>
          <w:szCs w:val="24"/>
          <w:highlight w:val="none"/>
        </w:rPr>
        <w:t>保函</w:t>
      </w:r>
    </w:p>
    <w:p w14:paraId="10C9A418">
      <w:pPr>
        <w:spacing w:line="360" w:lineRule="auto"/>
        <w:ind w:firstLine="480" w:firstLineChars="200"/>
        <w:rPr>
          <w:rFonts w:hAnsi="宋体" w:cs="宋体"/>
          <w:szCs w:val="24"/>
          <w:highlight w:val="none"/>
        </w:rPr>
      </w:pPr>
      <w:r>
        <w:rPr>
          <w:rFonts w:hint="eastAsia" w:hAnsi="宋体" w:cs="宋体"/>
          <w:szCs w:val="24"/>
          <w:highlight w:val="none"/>
        </w:rPr>
        <w:t>14.4投标保证金必须按照招标文件“投标人须知前附表”中规定的缴纳金额及方式办理。</w:t>
      </w:r>
    </w:p>
    <w:p w14:paraId="51370B9E">
      <w:pPr>
        <w:spacing w:line="360" w:lineRule="auto"/>
        <w:ind w:firstLine="480" w:firstLineChars="200"/>
        <w:rPr>
          <w:rFonts w:hAnsi="宋体" w:cs="宋体"/>
          <w:szCs w:val="24"/>
          <w:highlight w:val="none"/>
        </w:rPr>
      </w:pPr>
      <w:r>
        <w:rPr>
          <w:rFonts w:hint="eastAsia" w:hAnsi="宋体" w:cs="宋体"/>
          <w:szCs w:val="24"/>
          <w:highlight w:val="none"/>
        </w:rPr>
        <w:t>14.5开标后经审查，未提交投标保证金、未按时间提交投标保证金、投标保证金金额不足或投标保证金缴纳凭证未附在投标文件内的投标将按无效投标处理。</w:t>
      </w:r>
    </w:p>
    <w:p w14:paraId="3624FE95">
      <w:pPr>
        <w:spacing w:line="360" w:lineRule="auto"/>
        <w:ind w:firstLine="480" w:firstLineChars="200"/>
        <w:rPr>
          <w:rFonts w:hAnsi="宋体" w:cs="宋体"/>
          <w:szCs w:val="24"/>
          <w:highlight w:val="none"/>
        </w:rPr>
      </w:pPr>
      <w:r>
        <w:rPr>
          <w:rFonts w:hint="eastAsia" w:hAnsi="宋体" w:cs="宋体"/>
          <w:szCs w:val="24"/>
          <w:highlight w:val="none"/>
        </w:rPr>
        <w:t>14.6未中标人的投标保证金，将在中标通知书发出后五个工作日内退还；中标人的投标保证金，在合同签订后五个工作日内退还</w:t>
      </w:r>
      <w:r>
        <w:rPr>
          <w:rFonts w:hint="eastAsia" w:hAnsi="宋体" w:cs="宋体"/>
          <w:b/>
          <w:bCs/>
          <w:szCs w:val="24"/>
          <w:highlight w:val="none"/>
        </w:rPr>
        <w:t>（退还时，须向采购代理机构提供采购合同扫描件壹份）</w:t>
      </w:r>
      <w:r>
        <w:rPr>
          <w:rFonts w:hint="eastAsia" w:hAnsi="宋体" w:cs="宋体"/>
          <w:szCs w:val="24"/>
          <w:highlight w:val="none"/>
        </w:rPr>
        <w:t>。</w:t>
      </w:r>
    </w:p>
    <w:p w14:paraId="62A20CA2">
      <w:pPr>
        <w:spacing w:line="360" w:lineRule="auto"/>
        <w:ind w:firstLine="480" w:firstLineChars="200"/>
        <w:rPr>
          <w:rFonts w:hAnsi="宋体" w:cs="宋体"/>
          <w:szCs w:val="24"/>
          <w:highlight w:val="none"/>
        </w:rPr>
      </w:pPr>
      <w:r>
        <w:rPr>
          <w:rFonts w:hint="eastAsia" w:hAnsi="宋体" w:cs="宋体"/>
          <w:szCs w:val="24"/>
          <w:highlight w:val="none"/>
        </w:rPr>
        <w:t>14.7投标人以</w:t>
      </w:r>
      <w:r>
        <w:rPr>
          <w:rFonts w:hint="eastAsia" w:hAnsi="宋体" w:cs="宋体"/>
          <w:szCs w:val="24"/>
          <w:highlight w:val="none"/>
          <w:lang w:val="en-US" w:eastAsia="zh-CN"/>
        </w:rPr>
        <w:t>银行</w:t>
      </w:r>
      <w:r>
        <w:rPr>
          <w:rFonts w:hint="eastAsia" w:hAnsi="宋体" w:cs="宋体"/>
          <w:szCs w:val="24"/>
          <w:highlight w:val="none"/>
        </w:rPr>
        <w:t>保函形式缴纳投标保证金的，招标结束之后将</w:t>
      </w:r>
      <w:r>
        <w:rPr>
          <w:rFonts w:hint="eastAsia" w:hAnsi="宋体" w:cs="宋体"/>
          <w:szCs w:val="24"/>
          <w:highlight w:val="none"/>
          <w:lang w:val="en-US" w:eastAsia="zh-CN"/>
        </w:rPr>
        <w:t>银行</w:t>
      </w:r>
      <w:r>
        <w:rPr>
          <w:rFonts w:hint="eastAsia" w:hAnsi="宋体" w:cs="宋体"/>
          <w:szCs w:val="24"/>
          <w:highlight w:val="none"/>
        </w:rPr>
        <w:t>保函原件退回（退换时间参照3.4.6条款）；</w:t>
      </w:r>
    </w:p>
    <w:p w14:paraId="7072C603">
      <w:pPr>
        <w:spacing w:line="360" w:lineRule="auto"/>
        <w:ind w:firstLine="480" w:firstLineChars="200"/>
        <w:rPr>
          <w:rFonts w:hAnsi="宋体" w:cs="宋体"/>
          <w:szCs w:val="24"/>
          <w:highlight w:val="none"/>
        </w:rPr>
      </w:pPr>
      <w:r>
        <w:rPr>
          <w:rFonts w:hint="eastAsia" w:hAnsi="宋体" w:cs="宋体"/>
          <w:szCs w:val="24"/>
          <w:highlight w:val="none"/>
        </w:rPr>
        <w:t>14.8下列任何情况发生时，视为投标人违约，其投标保证金将被没收：</w:t>
      </w:r>
    </w:p>
    <w:p w14:paraId="0C73A6AB">
      <w:pPr>
        <w:spacing w:line="360" w:lineRule="auto"/>
        <w:ind w:firstLine="480" w:firstLineChars="200"/>
        <w:rPr>
          <w:rFonts w:hAnsi="宋体" w:cs="宋体"/>
          <w:szCs w:val="24"/>
          <w:highlight w:val="none"/>
        </w:rPr>
      </w:pPr>
      <w:r>
        <w:rPr>
          <w:rFonts w:hint="eastAsia" w:hAnsi="宋体" w:cs="宋体"/>
          <w:szCs w:val="24"/>
          <w:highlight w:val="none"/>
        </w:rPr>
        <w:t>1) 投标人在投标有效期内撤回其投标；</w:t>
      </w:r>
    </w:p>
    <w:p w14:paraId="0FF89D6E">
      <w:pPr>
        <w:spacing w:line="360" w:lineRule="auto"/>
        <w:ind w:firstLine="480" w:firstLineChars="200"/>
        <w:rPr>
          <w:rFonts w:hAnsi="宋体" w:cs="宋体"/>
          <w:szCs w:val="24"/>
          <w:highlight w:val="none"/>
        </w:rPr>
      </w:pPr>
      <w:r>
        <w:rPr>
          <w:rFonts w:hint="eastAsia" w:hAnsi="宋体" w:cs="宋体"/>
          <w:szCs w:val="24"/>
          <w:highlight w:val="none"/>
        </w:rPr>
        <w:t>2) 投标人中标后放弃成交、未能按规定签订合同</w:t>
      </w:r>
      <w:bookmarkStart w:id="43" w:name="OLE_LINK3"/>
      <w:r>
        <w:rPr>
          <w:rFonts w:hint="eastAsia" w:hAnsi="宋体" w:cs="宋体"/>
          <w:szCs w:val="24"/>
          <w:highlight w:val="none"/>
        </w:rPr>
        <w:t>、</w:t>
      </w:r>
      <w:bookmarkEnd w:id="43"/>
      <w:r>
        <w:rPr>
          <w:rFonts w:hint="eastAsia" w:hAnsi="宋体" w:cs="宋体"/>
          <w:szCs w:val="24"/>
          <w:highlight w:val="none"/>
        </w:rPr>
        <w:t>未按招标文件规定提交履约担保；</w:t>
      </w:r>
    </w:p>
    <w:p w14:paraId="0CD14580">
      <w:pPr>
        <w:spacing w:line="360" w:lineRule="auto"/>
        <w:ind w:firstLine="480" w:firstLineChars="200"/>
        <w:rPr>
          <w:rFonts w:hAnsi="宋体" w:cs="宋体"/>
          <w:szCs w:val="24"/>
          <w:highlight w:val="none"/>
        </w:rPr>
      </w:pPr>
      <w:r>
        <w:rPr>
          <w:rFonts w:hint="eastAsia" w:hAnsi="宋体" w:cs="宋体"/>
          <w:szCs w:val="24"/>
          <w:highlight w:val="none"/>
        </w:rPr>
        <w:t>3）投标人中标后将中标项目转让给他人，或者在投标文件中未说明，且未经招标人同意，将中标项目分包给他人的；</w:t>
      </w:r>
    </w:p>
    <w:p w14:paraId="713387FC">
      <w:pPr>
        <w:spacing w:line="360" w:lineRule="auto"/>
        <w:ind w:firstLine="480" w:firstLineChars="200"/>
        <w:rPr>
          <w:rFonts w:hAnsi="宋体" w:cs="宋体"/>
          <w:szCs w:val="24"/>
          <w:highlight w:val="none"/>
        </w:rPr>
      </w:pPr>
      <w:r>
        <w:rPr>
          <w:rFonts w:hint="eastAsia" w:hAnsi="宋体" w:cs="宋体"/>
          <w:szCs w:val="24"/>
          <w:highlight w:val="none"/>
        </w:rPr>
        <w:t>4）投标人事先未通告无故不参加投标活动的；</w:t>
      </w:r>
    </w:p>
    <w:p w14:paraId="0745B6CB">
      <w:pPr>
        <w:spacing w:line="360" w:lineRule="auto"/>
        <w:ind w:firstLine="480" w:firstLineChars="200"/>
        <w:rPr>
          <w:rFonts w:hAnsi="宋体" w:cs="宋体"/>
          <w:szCs w:val="24"/>
          <w:highlight w:val="none"/>
        </w:rPr>
      </w:pPr>
      <w:r>
        <w:rPr>
          <w:rFonts w:hint="eastAsia" w:hAnsi="宋体" w:cs="宋体"/>
          <w:szCs w:val="24"/>
          <w:highlight w:val="none"/>
        </w:rPr>
        <w:t>5）投标人在投标文件中提供伪造、套改、虚假资料参加投标的；</w:t>
      </w:r>
    </w:p>
    <w:p w14:paraId="637058C0">
      <w:pPr>
        <w:spacing w:line="360" w:lineRule="auto"/>
        <w:ind w:firstLine="480" w:firstLineChars="200"/>
        <w:rPr>
          <w:rFonts w:hAnsi="宋体" w:cs="宋体"/>
          <w:szCs w:val="24"/>
          <w:highlight w:val="none"/>
        </w:rPr>
      </w:pPr>
      <w:r>
        <w:rPr>
          <w:rFonts w:hint="eastAsia" w:hAnsi="宋体" w:cs="宋体"/>
          <w:szCs w:val="24"/>
          <w:highlight w:val="none"/>
        </w:rPr>
        <w:t>6）投标人不按法定程序进行质疑和投诉,捏造事实，查无实据，造成恶劣影响</w:t>
      </w:r>
    </w:p>
    <w:p w14:paraId="4D2BC925">
      <w:pPr>
        <w:spacing w:line="360" w:lineRule="auto"/>
        <w:ind w:firstLine="480" w:firstLineChars="200"/>
        <w:rPr>
          <w:rFonts w:hAnsi="宋体" w:cs="宋体"/>
          <w:szCs w:val="24"/>
          <w:highlight w:val="none"/>
        </w:rPr>
      </w:pPr>
      <w:r>
        <w:rPr>
          <w:rFonts w:hint="eastAsia" w:hAnsi="宋体" w:cs="宋体"/>
          <w:szCs w:val="24"/>
          <w:highlight w:val="none"/>
        </w:rPr>
        <w:t>导致采购活动无法正常进行的；</w:t>
      </w:r>
    </w:p>
    <w:p w14:paraId="40AF2FC1">
      <w:pPr>
        <w:spacing w:line="360" w:lineRule="auto"/>
        <w:ind w:firstLine="480" w:firstLineChars="200"/>
        <w:rPr>
          <w:rFonts w:hAnsi="宋体" w:cs="宋体"/>
          <w:szCs w:val="24"/>
          <w:highlight w:val="none"/>
        </w:rPr>
      </w:pPr>
      <w:r>
        <w:rPr>
          <w:rFonts w:hint="eastAsia" w:hAnsi="宋体" w:cs="宋体"/>
          <w:szCs w:val="24"/>
          <w:highlight w:val="none"/>
        </w:rPr>
        <w:t>14.9投标保证金的有</w:t>
      </w:r>
      <w:bookmarkStart w:id="44" w:name="OLE_LINK47"/>
      <w:r>
        <w:rPr>
          <w:rFonts w:hint="eastAsia" w:hAnsi="宋体" w:cs="宋体"/>
          <w:szCs w:val="24"/>
          <w:highlight w:val="none"/>
        </w:rPr>
        <w:t>效</w:t>
      </w:r>
      <w:bookmarkEnd w:id="44"/>
      <w:r>
        <w:rPr>
          <w:rFonts w:hint="eastAsia" w:hAnsi="宋体" w:cs="宋体"/>
          <w:szCs w:val="24"/>
          <w:highlight w:val="none"/>
        </w:rPr>
        <w:t>期与投标有效期一致，</w:t>
      </w:r>
      <w:r>
        <w:rPr>
          <w:rFonts w:hint="eastAsia" w:hAnsi="宋体" w:cs="宋体"/>
          <w:szCs w:val="24"/>
          <w:highlight w:val="none"/>
          <w:lang w:val="en-US" w:eastAsia="zh-CN"/>
        </w:rPr>
        <w:t>银行</w:t>
      </w:r>
      <w:r>
        <w:rPr>
          <w:rFonts w:hint="eastAsia" w:hAnsi="宋体" w:cs="宋体"/>
          <w:szCs w:val="24"/>
          <w:highlight w:val="none"/>
        </w:rPr>
        <w:t>出具的保函有效期为投标有效期延长一个月。</w:t>
      </w:r>
    </w:p>
    <w:p w14:paraId="4BDFF745">
      <w:pPr>
        <w:spacing w:line="500" w:lineRule="exact"/>
        <w:rPr>
          <w:rFonts w:hAnsi="宋体" w:cs="宋体"/>
          <w:b/>
          <w:szCs w:val="24"/>
          <w:highlight w:val="none"/>
        </w:rPr>
      </w:pPr>
      <w:r>
        <w:rPr>
          <w:rFonts w:hint="eastAsia" w:hAnsi="宋体" w:cs="宋体"/>
          <w:b/>
          <w:szCs w:val="24"/>
          <w:highlight w:val="none"/>
        </w:rPr>
        <w:t>15.投标有效期</w:t>
      </w:r>
    </w:p>
    <w:p w14:paraId="4CB43468">
      <w:pPr>
        <w:spacing w:line="500" w:lineRule="exact"/>
        <w:ind w:firstLine="480" w:firstLineChars="200"/>
        <w:rPr>
          <w:rFonts w:hAnsi="宋体" w:cs="宋体"/>
          <w:szCs w:val="24"/>
          <w:highlight w:val="none"/>
        </w:rPr>
      </w:pPr>
      <w:r>
        <w:rPr>
          <w:rFonts w:hint="eastAsia" w:hAnsi="宋体" w:cs="宋体"/>
          <w:szCs w:val="24"/>
          <w:highlight w:val="none"/>
        </w:rPr>
        <w:t>15.1投标有效期从递交投标文件的截止之日起90天。投标文件应在投标有效期内保持有效。投标有效期不满足规定有效期的投标文件将被视为无效投标而拒绝。</w:t>
      </w:r>
    </w:p>
    <w:p w14:paraId="5179AC81">
      <w:pPr>
        <w:spacing w:line="500" w:lineRule="exact"/>
        <w:ind w:firstLine="480" w:firstLineChars="200"/>
        <w:rPr>
          <w:rFonts w:hAnsi="宋体" w:cs="宋体"/>
          <w:szCs w:val="24"/>
          <w:highlight w:val="none"/>
        </w:rPr>
      </w:pPr>
      <w:r>
        <w:rPr>
          <w:rFonts w:hint="eastAsia" w:hAnsi="宋体" w:cs="宋体"/>
          <w:szCs w:val="24"/>
          <w:highlight w:val="none"/>
        </w:rPr>
        <w:t>15.2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w:t>
      </w:r>
      <w:r>
        <w:rPr>
          <w:rFonts w:hint="eastAsia" w:hAnsi="宋体" w:cs="宋体"/>
          <w:highlight w:val="none"/>
        </w:rPr>
        <w:t>。</w:t>
      </w:r>
    </w:p>
    <w:p w14:paraId="19B2D32B">
      <w:pPr>
        <w:numPr>
          <w:ilvl w:val="0"/>
          <w:numId w:val="2"/>
        </w:numPr>
        <w:spacing w:line="500" w:lineRule="exact"/>
        <w:rPr>
          <w:rFonts w:hAnsi="宋体" w:cs="宋体"/>
          <w:b/>
          <w:szCs w:val="24"/>
          <w:highlight w:val="none"/>
        </w:rPr>
      </w:pPr>
      <w:r>
        <w:rPr>
          <w:rFonts w:hint="eastAsia" w:hAnsi="宋体" w:cs="宋体"/>
          <w:b/>
          <w:szCs w:val="24"/>
          <w:highlight w:val="none"/>
        </w:rPr>
        <w:t>投标文件的式样和签署</w:t>
      </w:r>
    </w:p>
    <w:p w14:paraId="0C8BFE2A">
      <w:pPr>
        <w:spacing w:line="360" w:lineRule="auto"/>
        <w:ind w:firstLine="480" w:firstLineChars="200"/>
        <w:rPr>
          <w:rFonts w:hAnsi="宋体" w:cs="宋体"/>
          <w:b/>
          <w:bCs/>
          <w:spacing w:val="-2"/>
          <w:highlight w:val="none"/>
        </w:rPr>
      </w:pPr>
      <w:r>
        <w:rPr>
          <w:rFonts w:hint="eastAsia" w:hAnsi="宋体" w:cs="宋体"/>
          <w:szCs w:val="24"/>
          <w:highlight w:val="none"/>
        </w:rPr>
        <w:t>16.1供应商应按照本章供应商须知的要求, 提交壹份投标文件正本和“投标人须知前附表”中规定数量的副本，每套投标文件封面须清楚地标明“正本”或“副本”。</w:t>
      </w:r>
      <w:r>
        <w:rPr>
          <w:rFonts w:hint="eastAsia" w:hAnsi="宋体" w:cs="宋体"/>
          <w:spacing w:val="4"/>
          <w:highlight w:val="none"/>
        </w:rPr>
        <w:t>同时提供与投标文件正本内容一致的电子版（U盘）一份及开标一览表一份，并标注供应商全称、项目名称、项目编号，与投标文件同时递交。</w:t>
      </w:r>
      <w:r>
        <w:rPr>
          <w:rFonts w:hint="eastAsia" w:hAnsi="宋体" w:cs="宋体"/>
          <w:b/>
          <w:bCs/>
          <w:spacing w:val="4"/>
          <w:highlight w:val="none"/>
        </w:rPr>
        <w:t>投标文件</w:t>
      </w:r>
      <w:r>
        <w:rPr>
          <w:rFonts w:hint="eastAsia" w:hAnsi="宋体" w:cs="宋体"/>
          <w:b/>
          <w:bCs/>
          <w:szCs w:val="24"/>
          <w:highlight w:val="none"/>
        </w:rPr>
        <w:t>电子版为正本签字盖章后的PDF格式扫描件，与正本具有同等法律效力。</w:t>
      </w:r>
    </w:p>
    <w:p w14:paraId="47DA3521">
      <w:pPr>
        <w:spacing w:line="500" w:lineRule="exact"/>
        <w:ind w:firstLine="480" w:firstLineChars="200"/>
        <w:rPr>
          <w:rFonts w:hAnsi="宋体" w:cs="宋体"/>
          <w:szCs w:val="24"/>
          <w:highlight w:val="none"/>
        </w:rPr>
      </w:pPr>
      <w:r>
        <w:rPr>
          <w:rFonts w:hint="eastAsia" w:hAnsi="宋体" w:cs="宋体"/>
          <w:szCs w:val="24"/>
          <w:highlight w:val="none"/>
        </w:rPr>
        <w:t>16.2投标文件的正本和副本均需打印或用不褪色、不变质的墨水书写，并由供应商的法定代表人或负责人或其授权代表在规定签章处签字和盖章（招标文件要求投标文件中法定代表人或负责人签字处由法定代表人或负责人签署，要求授权代表签字处由授权代表签署）。投标文件副本可采用正本的复印件。</w:t>
      </w:r>
    </w:p>
    <w:p w14:paraId="39EF4471">
      <w:pPr>
        <w:spacing w:line="500" w:lineRule="exact"/>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16.3任何行间插字、涂改和增删，必须由供应商的法定代表人或负责人或其授权代表在旁边签字方有效。</w:t>
      </w:r>
    </w:p>
    <w:p w14:paraId="10B5E8E3">
      <w:pPr>
        <w:spacing w:line="500" w:lineRule="exact"/>
        <w:ind w:firstLine="480" w:firstLineChars="200"/>
        <w:rPr>
          <w:rFonts w:hAnsi="宋体" w:cs="宋体"/>
          <w:highlight w:val="none"/>
        </w:rPr>
      </w:pPr>
      <w:r>
        <w:rPr>
          <w:rFonts w:hint="eastAsia" w:hAnsi="宋体" w:cs="宋体"/>
          <w:highlight w:val="none"/>
        </w:rPr>
        <w:t>16.4供应商名称应填写全称，投标文件正本要求盖章部分必须加盖供应商鲜章。</w:t>
      </w:r>
    </w:p>
    <w:p w14:paraId="1B0C31D1">
      <w:pPr>
        <w:spacing w:line="500" w:lineRule="exact"/>
        <w:ind w:firstLine="480" w:firstLineChars="200"/>
        <w:rPr>
          <w:rFonts w:hAnsi="宋体" w:cs="宋体"/>
          <w:szCs w:val="24"/>
          <w:highlight w:val="none"/>
        </w:rPr>
      </w:pPr>
      <w:r>
        <w:rPr>
          <w:rFonts w:hint="eastAsia" w:hAnsi="宋体" w:cs="宋体"/>
          <w:szCs w:val="24"/>
          <w:highlight w:val="none"/>
        </w:rPr>
        <w:t>16.5 投标文件正本和副本按照招标文件第六章规定的顺序编排、并应</w:t>
      </w:r>
      <w:r>
        <w:rPr>
          <w:rFonts w:hint="eastAsia" w:hAnsi="宋体" w:cs="宋体"/>
          <w:szCs w:val="24"/>
          <w:highlight w:val="none"/>
          <w:lang w:val="zh-CN"/>
        </w:rPr>
        <w:t>编制目录，</w:t>
      </w:r>
      <w:r>
        <w:rPr>
          <w:rFonts w:hint="eastAsia" w:hAnsi="宋体" w:cs="宋体"/>
          <w:szCs w:val="24"/>
          <w:highlight w:val="none"/>
        </w:rPr>
        <w:t>逐页标注连续页码，并分别</w:t>
      </w:r>
      <w:r>
        <w:rPr>
          <w:rFonts w:hint="eastAsia" w:hAnsi="宋体" w:cs="宋体"/>
          <w:szCs w:val="24"/>
          <w:highlight w:val="none"/>
          <w:lang w:val="zh-CN"/>
        </w:rPr>
        <w:t>胶装成册</w:t>
      </w:r>
      <w:r>
        <w:rPr>
          <w:rFonts w:hint="eastAsia" w:hAnsi="宋体" w:cs="宋体"/>
          <w:szCs w:val="24"/>
          <w:highlight w:val="none"/>
        </w:rPr>
        <w:t>。</w:t>
      </w:r>
    </w:p>
    <w:p w14:paraId="187624DF">
      <w:pPr>
        <w:spacing w:line="500" w:lineRule="exact"/>
        <w:ind w:firstLine="480" w:firstLineChars="200"/>
        <w:rPr>
          <w:rFonts w:hAnsi="宋体" w:cs="宋体"/>
          <w:szCs w:val="24"/>
          <w:highlight w:val="none"/>
        </w:rPr>
      </w:pPr>
      <w:r>
        <w:rPr>
          <w:rFonts w:hint="eastAsia" w:hAnsi="宋体" w:cs="宋体"/>
          <w:szCs w:val="24"/>
          <w:highlight w:val="none"/>
        </w:rPr>
        <w:t>16.6因字迹潦草、表述不清或不按招标文件格式编制的投标文件，所引起的对供应商不利的后果，由供应商自行负责。</w:t>
      </w:r>
    </w:p>
    <w:p w14:paraId="735A3189">
      <w:pPr>
        <w:tabs>
          <w:tab w:val="left" w:pos="1080"/>
        </w:tabs>
        <w:spacing w:line="500" w:lineRule="exact"/>
        <w:ind w:firstLine="460" w:firstLineChars="192"/>
        <w:rPr>
          <w:rFonts w:hAnsi="宋体" w:cs="宋体"/>
          <w:highlight w:val="none"/>
        </w:rPr>
      </w:pPr>
      <w:r>
        <w:rPr>
          <w:rFonts w:hint="eastAsia" w:hAnsi="宋体" w:cs="宋体"/>
          <w:szCs w:val="24"/>
          <w:highlight w:val="none"/>
        </w:rPr>
        <w:t>16.7投标文件的副本、电子版须和正本保持一致。</w:t>
      </w:r>
      <w:r>
        <w:rPr>
          <w:rFonts w:hint="eastAsia" w:hAnsi="宋体" w:cs="宋体"/>
          <w:highlight w:val="none"/>
        </w:rPr>
        <w:t>若正本、副本和电子版有不一致的内容，以正本为准。</w:t>
      </w:r>
    </w:p>
    <w:p w14:paraId="6FEE1A7B">
      <w:pPr>
        <w:spacing w:before="333" w:beforeLines="100" w:after="333" w:afterLines="100" w:line="500" w:lineRule="exact"/>
        <w:jc w:val="center"/>
        <w:rPr>
          <w:rFonts w:hAnsi="宋体" w:cs="宋体"/>
          <w:b/>
          <w:sz w:val="32"/>
          <w:szCs w:val="32"/>
          <w:highlight w:val="none"/>
        </w:rPr>
      </w:pPr>
      <w:bookmarkStart w:id="45" w:name="_Toc403077642"/>
      <w:bookmarkStart w:id="46" w:name="_Toc363473975"/>
      <w:bookmarkStart w:id="47" w:name="_Toc363474020"/>
      <w:r>
        <w:rPr>
          <w:rFonts w:hint="eastAsia" w:hAnsi="宋体" w:cs="宋体"/>
          <w:b/>
          <w:sz w:val="32"/>
          <w:szCs w:val="32"/>
          <w:highlight w:val="none"/>
        </w:rPr>
        <w:t>四.投标文件的递交</w:t>
      </w:r>
      <w:bookmarkEnd w:id="45"/>
      <w:bookmarkEnd w:id="46"/>
      <w:bookmarkEnd w:id="47"/>
    </w:p>
    <w:p w14:paraId="36872F0F">
      <w:pPr>
        <w:spacing w:line="500" w:lineRule="exact"/>
        <w:rPr>
          <w:rFonts w:hAnsi="宋体" w:cs="宋体"/>
          <w:b/>
          <w:szCs w:val="24"/>
          <w:highlight w:val="none"/>
        </w:rPr>
      </w:pPr>
      <w:r>
        <w:rPr>
          <w:rFonts w:hint="eastAsia" w:hAnsi="宋体" w:cs="宋体"/>
          <w:b/>
          <w:szCs w:val="24"/>
          <w:highlight w:val="none"/>
        </w:rPr>
        <w:t>17.投标文件的密封和标记</w:t>
      </w:r>
    </w:p>
    <w:p w14:paraId="2663E3C0">
      <w:pPr>
        <w:spacing w:line="500" w:lineRule="exact"/>
        <w:ind w:firstLine="480" w:firstLineChars="200"/>
        <w:rPr>
          <w:rFonts w:hAnsi="宋体" w:cs="宋体"/>
          <w:szCs w:val="24"/>
          <w:highlight w:val="none"/>
        </w:rPr>
      </w:pPr>
      <w:r>
        <w:rPr>
          <w:rFonts w:hint="eastAsia" w:hAnsi="宋体" w:cs="宋体"/>
          <w:szCs w:val="24"/>
          <w:highlight w:val="none"/>
        </w:rPr>
        <w:t>17.1</w:t>
      </w:r>
      <w:r>
        <w:rPr>
          <w:rFonts w:hint="eastAsia" w:hAnsi="宋体" w:cs="宋体"/>
          <w:highlight w:val="none"/>
        </w:rPr>
        <w:t>为方便开标唱标，开标一览表除投标文件内装订外，再制作一份单独密封在封袋中。封线处加贴封条并加盖供应商公章，封袋正面要粘贴标识，单独递交（该单独密封开标一览表的投标报价必须与投标文件正本中的开标一览表（报价表）的投</w:t>
      </w:r>
      <w:r>
        <w:rPr>
          <w:rFonts w:hint="eastAsia" w:hAnsi="宋体" w:cs="宋体"/>
          <w:szCs w:val="24"/>
          <w:highlight w:val="none"/>
        </w:rPr>
        <w:t>标报价一致，若不一致，则按单独密封的开标一览表为准。</w:t>
      </w:r>
    </w:p>
    <w:p w14:paraId="5B6D628F">
      <w:pPr>
        <w:spacing w:line="500" w:lineRule="exact"/>
        <w:ind w:firstLine="480" w:firstLineChars="200"/>
        <w:rPr>
          <w:rFonts w:hAnsi="宋体" w:cs="宋体"/>
          <w:szCs w:val="24"/>
          <w:highlight w:val="none"/>
        </w:rPr>
      </w:pPr>
      <w:r>
        <w:rPr>
          <w:rFonts w:hint="eastAsia" w:hAnsi="宋体" w:cs="宋体"/>
          <w:szCs w:val="24"/>
          <w:highlight w:val="none"/>
        </w:rPr>
        <w:t>17.2供应商应将投标文件正本、所有的副本、电子版本、开标一览表分别单独密封装在封袋中（封袋不得有破损），且在封袋正面标明“正本”“副本”“电子版本”“开标一览表”字样。封袋应加贴封条，并在封线处加盖供应商公章，封袋正面要粘贴供应商全称、项目名称、项目编号等标识。</w:t>
      </w:r>
    </w:p>
    <w:p w14:paraId="1B0DED30">
      <w:pPr>
        <w:spacing w:line="500" w:lineRule="exact"/>
        <w:ind w:firstLine="480" w:firstLineChars="200"/>
        <w:rPr>
          <w:rFonts w:hAnsi="宋体" w:cs="宋体"/>
          <w:szCs w:val="24"/>
          <w:highlight w:val="none"/>
        </w:rPr>
      </w:pPr>
      <w:r>
        <w:rPr>
          <w:rFonts w:hint="eastAsia" w:hAnsi="宋体" w:cs="宋体"/>
          <w:szCs w:val="24"/>
          <w:highlight w:val="none"/>
        </w:rPr>
        <w:t>17.3外层包装请按以下要求标记：</w:t>
      </w:r>
    </w:p>
    <w:p w14:paraId="398B9B79">
      <w:pPr>
        <w:spacing w:line="500" w:lineRule="exact"/>
        <w:ind w:firstLine="480" w:firstLineChars="200"/>
        <w:rPr>
          <w:rFonts w:hAnsi="宋体" w:cs="宋体"/>
          <w:szCs w:val="24"/>
          <w:highlight w:val="none"/>
        </w:rPr>
      </w:pPr>
      <w:r>
        <w:rPr>
          <w:rFonts w:hint="eastAsia" w:hAnsi="宋体" w:cs="宋体"/>
          <w:szCs w:val="24"/>
          <w:highlight w:val="none"/>
        </w:rPr>
        <w:t xml:space="preserve">   （1) 供应商的全称；</w:t>
      </w:r>
    </w:p>
    <w:p w14:paraId="575E8738">
      <w:pPr>
        <w:spacing w:line="500" w:lineRule="exact"/>
        <w:ind w:firstLine="480" w:firstLineChars="200"/>
        <w:rPr>
          <w:rFonts w:hAnsi="宋体" w:cs="宋体"/>
          <w:szCs w:val="24"/>
          <w:highlight w:val="none"/>
        </w:rPr>
      </w:pPr>
      <w:r>
        <w:rPr>
          <w:rFonts w:hint="eastAsia" w:hAnsi="宋体" w:cs="宋体"/>
          <w:szCs w:val="24"/>
          <w:highlight w:val="none"/>
        </w:rPr>
        <w:t xml:space="preserve">   （2) 投标项目名称、项目编号；</w:t>
      </w:r>
    </w:p>
    <w:p w14:paraId="3AD487B4">
      <w:pPr>
        <w:spacing w:line="500" w:lineRule="exact"/>
        <w:ind w:firstLine="480" w:firstLineChars="200"/>
        <w:rPr>
          <w:rFonts w:hAnsi="宋体" w:cs="宋体"/>
          <w:szCs w:val="24"/>
          <w:highlight w:val="none"/>
        </w:rPr>
      </w:pPr>
      <w:r>
        <w:rPr>
          <w:rFonts w:hint="eastAsia" w:hAnsi="宋体" w:cs="宋体"/>
          <w:szCs w:val="24"/>
          <w:highlight w:val="none"/>
        </w:rPr>
        <w:t xml:space="preserve">   （3）正本或副本、电子版本、开标一览表“请勿在＿＿＿＿(开标时间)之前启封”。</w:t>
      </w:r>
    </w:p>
    <w:p w14:paraId="3107B0A9">
      <w:pPr>
        <w:spacing w:line="500" w:lineRule="exact"/>
        <w:ind w:firstLine="480" w:firstLineChars="200"/>
        <w:rPr>
          <w:rFonts w:hAnsi="宋体" w:cs="宋体"/>
          <w:szCs w:val="24"/>
          <w:highlight w:val="none"/>
        </w:rPr>
      </w:pPr>
      <w:r>
        <w:rPr>
          <w:rFonts w:hint="eastAsia" w:hAnsi="宋体" w:cs="宋体"/>
          <w:szCs w:val="24"/>
          <w:highlight w:val="none"/>
        </w:rPr>
        <w:t>17.4如果供应商未对投标文件按上述要求进行完好密封，由此产生的不利后果由供应商自行承担。</w:t>
      </w:r>
    </w:p>
    <w:p w14:paraId="12C7BAA6">
      <w:pPr>
        <w:spacing w:line="500" w:lineRule="exact"/>
        <w:rPr>
          <w:rFonts w:hAnsi="宋体" w:cs="宋体"/>
          <w:b/>
          <w:szCs w:val="24"/>
          <w:highlight w:val="none"/>
        </w:rPr>
      </w:pPr>
      <w:r>
        <w:rPr>
          <w:rFonts w:hint="eastAsia" w:hAnsi="宋体" w:cs="宋体"/>
          <w:b/>
          <w:szCs w:val="24"/>
          <w:highlight w:val="none"/>
        </w:rPr>
        <w:t>18．投标文件的递交</w:t>
      </w:r>
    </w:p>
    <w:p w14:paraId="184BCD75">
      <w:pPr>
        <w:spacing w:line="500" w:lineRule="exact"/>
        <w:ind w:firstLine="480" w:firstLineChars="200"/>
        <w:rPr>
          <w:rFonts w:hAnsi="宋体" w:cs="宋体"/>
          <w:szCs w:val="24"/>
          <w:highlight w:val="none"/>
        </w:rPr>
      </w:pPr>
      <w:r>
        <w:rPr>
          <w:rFonts w:hint="eastAsia" w:hAnsi="宋体" w:cs="宋体"/>
          <w:szCs w:val="24"/>
          <w:highlight w:val="none"/>
        </w:rPr>
        <w:t>18.1供应商应按照招标公告中规定的时间、地点，在规定的投标文件递交截止时间前将全部投标文件和投标资料递交至采购代理机构投标文件接收人。</w:t>
      </w:r>
    </w:p>
    <w:p w14:paraId="4FCD55FA">
      <w:pPr>
        <w:spacing w:line="500" w:lineRule="exact"/>
        <w:ind w:firstLine="480" w:firstLineChars="200"/>
        <w:rPr>
          <w:rFonts w:hAnsi="宋体" w:cs="宋体"/>
          <w:szCs w:val="24"/>
          <w:highlight w:val="none"/>
        </w:rPr>
      </w:pPr>
      <w:r>
        <w:rPr>
          <w:rFonts w:hint="eastAsia" w:hAnsi="宋体" w:cs="宋体"/>
          <w:szCs w:val="24"/>
          <w:highlight w:val="none"/>
        </w:rPr>
        <w:t>18.2采购代理机构在招标文件规定的投标文件递交截止时间前，只负责投标文件的接收、清点、造册登记工作，并请递交人签字确认，对其有效性不负任何责任。</w:t>
      </w:r>
    </w:p>
    <w:p w14:paraId="5F34ECF7">
      <w:pPr>
        <w:spacing w:line="500" w:lineRule="exact"/>
        <w:ind w:firstLine="480" w:firstLineChars="200"/>
        <w:rPr>
          <w:rFonts w:hAnsi="宋体" w:cs="宋体"/>
          <w:szCs w:val="24"/>
          <w:highlight w:val="none"/>
        </w:rPr>
      </w:pPr>
      <w:r>
        <w:rPr>
          <w:rFonts w:hint="eastAsia" w:hAnsi="宋体" w:cs="宋体"/>
          <w:szCs w:val="24"/>
          <w:highlight w:val="none"/>
        </w:rPr>
        <w:t>18.3采购代理机构收到投标文件后，向供应商出具签收回执。</w:t>
      </w:r>
    </w:p>
    <w:p w14:paraId="53E547A8">
      <w:pPr>
        <w:spacing w:line="500" w:lineRule="exact"/>
        <w:ind w:firstLine="480" w:firstLineChars="200"/>
        <w:rPr>
          <w:rFonts w:hAnsi="宋体" w:cs="宋体"/>
          <w:spacing w:val="-2"/>
          <w:highlight w:val="none"/>
        </w:rPr>
      </w:pPr>
      <w:r>
        <w:rPr>
          <w:rFonts w:hint="eastAsia" w:hAnsi="宋体" w:cs="宋体"/>
          <w:szCs w:val="24"/>
          <w:highlight w:val="none"/>
        </w:rPr>
        <w:t>18.4无论供应商中标与否，其投标文件</w:t>
      </w:r>
      <w:r>
        <w:rPr>
          <w:rFonts w:hint="eastAsia" w:hAnsi="宋体" w:cs="宋体"/>
          <w:highlight w:val="none"/>
        </w:rPr>
        <w:t>恕不退还。</w:t>
      </w:r>
    </w:p>
    <w:p w14:paraId="30322770">
      <w:pPr>
        <w:spacing w:line="500" w:lineRule="exact"/>
        <w:rPr>
          <w:rFonts w:hAnsi="宋体" w:cs="宋体"/>
          <w:b/>
          <w:szCs w:val="24"/>
          <w:highlight w:val="none"/>
        </w:rPr>
      </w:pPr>
      <w:r>
        <w:rPr>
          <w:rFonts w:hint="eastAsia" w:hAnsi="宋体" w:cs="宋体"/>
          <w:b/>
          <w:szCs w:val="24"/>
          <w:highlight w:val="none"/>
        </w:rPr>
        <w:t>19．迟交的投标文件</w:t>
      </w:r>
    </w:p>
    <w:p w14:paraId="271575EC">
      <w:pPr>
        <w:spacing w:line="500" w:lineRule="exact"/>
        <w:ind w:firstLine="480" w:firstLineChars="200"/>
        <w:rPr>
          <w:rFonts w:hAnsi="宋体" w:cs="宋体"/>
          <w:szCs w:val="24"/>
          <w:highlight w:val="none"/>
        </w:rPr>
      </w:pPr>
      <w:r>
        <w:rPr>
          <w:rFonts w:hint="eastAsia" w:hAnsi="宋体" w:cs="宋体"/>
          <w:szCs w:val="24"/>
          <w:highlight w:val="none"/>
        </w:rPr>
        <w:t>19.1按照招标文件的规定，在递交投标文件的截止时间之后送达的投标文件，为无效投标文件，采购代理机构将拒绝接收。</w:t>
      </w:r>
    </w:p>
    <w:p w14:paraId="5B617AE6">
      <w:pPr>
        <w:spacing w:line="500" w:lineRule="exact"/>
        <w:rPr>
          <w:rFonts w:hAnsi="宋体" w:cs="宋体"/>
          <w:b/>
          <w:szCs w:val="24"/>
          <w:highlight w:val="none"/>
        </w:rPr>
      </w:pPr>
      <w:r>
        <w:rPr>
          <w:rFonts w:hint="eastAsia" w:hAnsi="宋体" w:cs="宋体"/>
          <w:b/>
          <w:szCs w:val="24"/>
          <w:highlight w:val="none"/>
        </w:rPr>
        <w:t>20．投标的修改与撤回</w:t>
      </w:r>
    </w:p>
    <w:p w14:paraId="26116C58">
      <w:pPr>
        <w:spacing w:line="500" w:lineRule="exact"/>
        <w:ind w:firstLine="480" w:firstLineChars="200"/>
        <w:rPr>
          <w:rFonts w:hAnsi="宋体" w:cs="宋体"/>
          <w:szCs w:val="24"/>
          <w:highlight w:val="none"/>
        </w:rPr>
      </w:pPr>
      <w:r>
        <w:rPr>
          <w:rFonts w:hint="eastAsia" w:hAnsi="宋体" w:cs="宋体"/>
          <w:szCs w:val="24"/>
          <w:highlight w:val="none"/>
        </w:rPr>
        <w:t>20.1 供应商在递交投标文件后，可以修改或撤回其投标文件，也可以提出价格变动声明，但供应商必须在规定的投标文件递交截止时间之前将修改或撤回或变动价格的书面通知文件递交到采购代理机构。</w:t>
      </w:r>
    </w:p>
    <w:p w14:paraId="4EED622A">
      <w:pPr>
        <w:spacing w:line="500" w:lineRule="exact"/>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6DF0F659">
      <w:pPr>
        <w:spacing w:line="500" w:lineRule="exact"/>
        <w:ind w:firstLine="480" w:firstLineChars="200"/>
        <w:rPr>
          <w:rFonts w:hAnsi="宋体" w:cs="宋体"/>
          <w:szCs w:val="24"/>
          <w:highlight w:val="none"/>
        </w:rPr>
      </w:pPr>
      <w:r>
        <w:rPr>
          <w:rFonts w:hint="eastAsia" w:hAnsi="宋体" w:cs="宋体"/>
          <w:szCs w:val="24"/>
          <w:highlight w:val="none"/>
        </w:rPr>
        <w:t>20.3 在投标文件递交截止时间之后，供应商不得对其投标做任何修改或撤回。</w:t>
      </w:r>
    </w:p>
    <w:p w14:paraId="38527E53">
      <w:pPr>
        <w:spacing w:line="500" w:lineRule="exact"/>
        <w:rPr>
          <w:rFonts w:hAnsi="宋体" w:cs="宋体"/>
          <w:highlight w:val="none"/>
        </w:rPr>
      </w:pPr>
    </w:p>
    <w:p w14:paraId="4BE6D1B5">
      <w:pPr>
        <w:spacing w:line="500" w:lineRule="exact"/>
        <w:jc w:val="center"/>
        <w:rPr>
          <w:rFonts w:hAnsi="宋体" w:cs="宋体"/>
          <w:b/>
          <w:sz w:val="32"/>
          <w:szCs w:val="32"/>
          <w:highlight w:val="none"/>
        </w:rPr>
      </w:pPr>
      <w:bookmarkStart w:id="48" w:name="_Toc403077643"/>
      <w:bookmarkStart w:id="49" w:name="_Toc363474021"/>
      <w:bookmarkStart w:id="50" w:name="_Toc363473976"/>
      <w:r>
        <w:rPr>
          <w:rFonts w:hint="eastAsia" w:hAnsi="宋体" w:cs="宋体"/>
          <w:b/>
          <w:sz w:val="32"/>
          <w:szCs w:val="32"/>
          <w:highlight w:val="none"/>
        </w:rPr>
        <w:t>五.开标与评标</w:t>
      </w:r>
      <w:bookmarkEnd w:id="48"/>
      <w:bookmarkEnd w:id="49"/>
      <w:bookmarkEnd w:id="50"/>
    </w:p>
    <w:p w14:paraId="62F8E60D">
      <w:pPr>
        <w:spacing w:line="500" w:lineRule="exact"/>
        <w:rPr>
          <w:rFonts w:hAnsi="宋体" w:cs="宋体"/>
          <w:b/>
          <w:szCs w:val="24"/>
          <w:highlight w:val="none"/>
        </w:rPr>
      </w:pPr>
      <w:r>
        <w:rPr>
          <w:rFonts w:hint="eastAsia" w:hAnsi="宋体" w:cs="宋体"/>
          <w:b/>
          <w:szCs w:val="24"/>
          <w:highlight w:val="none"/>
        </w:rPr>
        <w:t>21.开标</w:t>
      </w:r>
    </w:p>
    <w:p w14:paraId="6A5C7EAF">
      <w:pPr>
        <w:spacing w:line="500" w:lineRule="exact"/>
        <w:ind w:firstLine="480" w:firstLineChars="200"/>
        <w:rPr>
          <w:rFonts w:hAnsi="宋体" w:cs="宋体"/>
          <w:szCs w:val="24"/>
          <w:highlight w:val="none"/>
        </w:rPr>
      </w:pPr>
      <w:r>
        <w:rPr>
          <w:rFonts w:hint="eastAsia" w:hAnsi="宋体" w:cs="宋体"/>
          <w:szCs w:val="24"/>
          <w:highlight w:val="none"/>
        </w:rPr>
        <w:t>21.1 采购代理机构在规定的时间和地点组织公开开标。开标时所有供应商代表自愿参加，参加开标的代表应签名报到以证明其出席。</w:t>
      </w:r>
    </w:p>
    <w:p w14:paraId="6A2B2824">
      <w:pPr>
        <w:spacing w:line="500" w:lineRule="exact"/>
        <w:ind w:firstLine="480" w:firstLineChars="200"/>
        <w:rPr>
          <w:rFonts w:hAnsi="宋体" w:cs="宋体"/>
          <w:szCs w:val="24"/>
          <w:highlight w:val="none"/>
        </w:rPr>
      </w:pPr>
      <w:r>
        <w:rPr>
          <w:rFonts w:hint="eastAsia" w:hAnsi="宋体" w:cs="宋体"/>
          <w:szCs w:val="24"/>
          <w:highlight w:val="none"/>
        </w:rPr>
        <w:t>21.2 开标时，由监标人和供应商或者其推选的代表检查投标文件的密封情况。检查完毕后，采购代理机构当众宣读供应商名称、投标价格、价格折扣、修改或撤回或变动价格的书面通知（如果有），以及采购代理机构认为合适的其他内容。未在开标时宣读的投标价格和价格折扣，评标时不予承认。</w:t>
      </w:r>
    </w:p>
    <w:p w14:paraId="6442BCBD">
      <w:pPr>
        <w:spacing w:line="500" w:lineRule="exact"/>
        <w:ind w:firstLine="480" w:firstLineChars="200"/>
        <w:rPr>
          <w:rFonts w:hAnsi="宋体" w:cs="宋体"/>
          <w:szCs w:val="24"/>
          <w:highlight w:val="none"/>
        </w:rPr>
      </w:pPr>
      <w:r>
        <w:rPr>
          <w:rFonts w:hint="eastAsia" w:hAnsi="宋体" w:cs="宋体"/>
          <w:szCs w:val="24"/>
          <w:highlight w:val="none"/>
        </w:rPr>
        <w:t>21.3只有在开标时唱出的价格和价格变动声明，评标时才能考虑。</w:t>
      </w:r>
    </w:p>
    <w:p w14:paraId="31CB4DEF">
      <w:pPr>
        <w:spacing w:line="500" w:lineRule="exact"/>
        <w:ind w:firstLine="480" w:firstLineChars="200"/>
        <w:rPr>
          <w:rFonts w:hAnsi="宋体" w:cs="宋体"/>
          <w:szCs w:val="24"/>
          <w:highlight w:val="none"/>
        </w:rPr>
      </w:pPr>
      <w:r>
        <w:rPr>
          <w:rFonts w:hint="eastAsia" w:hAnsi="宋体" w:cs="宋体"/>
          <w:szCs w:val="24"/>
          <w:highlight w:val="none"/>
        </w:rPr>
        <w:t>21.4在开标时没有启封和宣读的投标文件将原封退回给供应商。</w:t>
      </w:r>
    </w:p>
    <w:p w14:paraId="13FBC082">
      <w:pPr>
        <w:spacing w:line="500" w:lineRule="exact"/>
        <w:ind w:firstLine="480" w:firstLineChars="200"/>
        <w:rPr>
          <w:rFonts w:hAnsi="宋体" w:cs="宋体"/>
          <w:szCs w:val="24"/>
          <w:highlight w:val="none"/>
        </w:rPr>
      </w:pPr>
      <w:r>
        <w:rPr>
          <w:rFonts w:hint="eastAsia" w:hAnsi="宋体" w:cs="宋体"/>
          <w:szCs w:val="24"/>
          <w:highlight w:val="none"/>
        </w:rPr>
        <w:t>21.5 采购代理机构将做开标记录，存档备查。</w:t>
      </w:r>
    </w:p>
    <w:p w14:paraId="7FA4DA36">
      <w:pPr>
        <w:spacing w:line="500" w:lineRule="exact"/>
        <w:rPr>
          <w:rFonts w:hAnsi="宋体" w:cs="宋体"/>
          <w:b/>
          <w:szCs w:val="24"/>
          <w:highlight w:val="none"/>
        </w:rPr>
      </w:pPr>
      <w:r>
        <w:rPr>
          <w:rFonts w:hint="eastAsia" w:hAnsi="宋体" w:cs="宋体"/>
          <w:b/>
          <w:szCs w:val="24"/>
          <w:highlight w:val="none"/>
        </w:rPr>
        <w:t>22．评标组织及评标原则</w:t>
      </w:r>
    </w:p>
    <w:p w14:paraId="7F0D2DE8">
      <w:pPr>
        <w:spacing w:line="500" w:lineRule="exact"/>
        <w:ind w:firstLine="480" w:firstLineChars="200"/>
        <w:rPr>
          <w:rFonts w:hAnsi="宋体" w:cs="宋体"/>
          <w:szCs w:val="24"/>
          <w:highlight w:val="none"/>
        </w:rPr>
      </w:pPr>
      <w:r>
        <w:rPr>
          <w:rFonts w:hint="eastAsia" w:hAnsi="宋体" w:cs="宋体"/>
          <w:szCs w:val="24"/>
          <w:highlight w:val="none"/>
        </w:rPr>
        <w:t>22.1</w:t>
      </w:r>
      <w:r>
        <w:rPr>
          <w:rFonts w:hint="eastAsia" w:hAnsi="宋体"/>
          <w:szCs w:val="21"/>
          <w:highlight w:val="none"/>
        </w:rPr>
        <w:t>按照《中华人民共和国政府采购法》、中华人民共和国</w:t>
      </w:r>
      <w:r>
        <w:rPr>
          <w:rFonts w:hAnsi="宋体"/>
          <w:szCs w:val="21"/>
          <w:highlight w:val="none"/>
        </w:rPr>
        <w:t>2015</w:t>
      </w:r>
      <w:r>
        <w:rPr>
          <w:rFonts w:hint="eastAsia" w:hAnsi="宋体"/>
          <w:szCs w:val="21"/>
          <w:highlight w:val="none"/>
        </w:rPr>
        <w:t>年第</w:t>
      </w:r>
      <w:r>
        <w:rPr>
          <w:rFonts w:hAnsi="宋体"/>
          <w:szCs w:val="21"/>
          <w:highlight w:val="none"/>
        </w:rPr>
        <w:t>658</w:t>
      </w:r>
      <w:r>
        <w:rPr>
          <w:rFonts w:hint="eastAsia" w:hAnsi="宋体"/>
          <w:szCs w:val="21"/>
          <w:highlight w:val="none"/>
        </w:rPr>
        <w:t>号国务院令</w:t>
      </w:r>
      <w:r>
        <w:rPr>
          <w:rFonts w:hAnsi="宋体"/>
          <w:szCs w:val="21"/>
          <w:highlight w:val="none"/>
        </w:rPr>
        <w:t>--</w:t>
      </w:r>
      <w:r>
        <w:rPr>
          <w:rFonts w:hint="eastAsia" w:hAnsi="宋体"/>
          <w:szCs w:val="21"/>
          <w:highlight w:val="none"/>
        </w:rPr>
        <w:t>《中华人民共和国政府采购法实施条例》和中华人民共和国财政部</w:t>
      </w:r>
      <w:r>
        <w:rPr>
          <w:rFonts w:hAnsi="宋体"/>
          <w:szCs w:val="21"/>
          <w:highlight w:val="none"/>
        </w:rPr>
        <w:t>2017</w:t>
      </w:r>
      <w:r>
        <w:rPr>
          <w:rFonts w:hint="eastAsia" w:hAnsi="宋体"/>
          <w:szCs w:val="21"/>
          <w:highlight w:val="none"/>
        </w:rPr>
        <w:t>年第</w:t>
      </w:r>
      <w:r>
        <w:rPr>
          <w:rFonts w:hAnsi="宋体"/>
          <w:szCs w:val="21"/>
          <w:highlight w:val="none"/>
        </w:rPr>
        <w:t>87</w:t>
      </w:r>
      <w:r>
        <w:rPr>
          <w:rFonts w:hint="eastAsia" w:hAnsi="宋体"/>
          <w:szCs w:val="21"/>
          <w:highlight w:val="none"/>
        </w:rPr>
        <w:t>号部长令</w:t>
      </w:r>
      <w:r>
        <w:rPr>
          <w:rFonts w:hAnsi="宋体"/>
          <w:szCs w:val="21"/>
          <w:highlight w:val="none"/>
        </w:rPr>
        <w:t>--</w:t>
      </w:r>
      <w:r>
        <w:rPr>
          <w:rFonts w:hint="eastAsia" w:hAnsi="宋体"/>
          <w:szCs w:val="21"/>
          <w:highlight w:val="none"/>
        </w:rPr>
        <w:t>《政府采购服务和服务招标投标管理办法》的规定，依法组建评标委员会。评标委员会按照招标文件规定的评标方法独立进行评标工作</w:t>
      </w:r>
      <w:r>
        <w:rPr>
          <w:rFonts w:hint="eastAsia" w:hAnsi="宋体" w:cs="宋体"/>
          <w:szCs w:val="24"/>
          <w:highlight w:val="none"/>
        </w:rPr>
        <w:t>。</w:t>
      </w:r>
    </w:p>
    <w:p w14:paraId="5400EC8A">
      <w:pPr>
        <w:spacing w:line="500" w:lineRule="exact"/>
        <w:ind w:firstLine="480" w:firstLineChars="200"/>
        <w:rPr>
          <w:rFonts w:hAnsi="宋体" w:cs="宋体"/>
          <w:szCs w:val="24"/>
          <w:highlight w:val="none"/>
        </w:rPr>
      </w:pPr>
      <w:r>
        <w:rPr>
          <w:rFonts w:hint="eastAsia" w:hAnsi="宋体" w:cs="宋体"/>
          <w:szCs w:val="24"/>
          <w:highlight w:val="none"/>
        </w:rPr>
        <w:t>22.2 评标委员会负责具体评标事务，并独立履行下列职责：</w:t>
      </w:r>
    </w:p>
    <w:p w14:paraId="72D331C6">
      <w:pPr>
        <w:spacing w:line="500" w:lineRule="exact"/>
        <w:ind w:firstLine="480" w:firstLineChars="200"/>
        <w:rPr>
          <w:rFonts w:hAnsi="宋体" w:cs="宋体"/>
          <w:szCs w:val="24"/>
          <w:highlight w:val="none"/>
        </w:rPr>
      </w:pPr>
      <w:r>
        <w:rPr>
          <w:rFonts w:hint="eastAsia" w:hAnsi="宋体" w:cs="宋体"/>
          <w:szCs w:val="24"/>
          <w:highlight w:val="none"/>
        </w:rPr>
        <w:t>（1）审查、评价投标文件是否符合招标文件的商务、技术、服务等实质性要求；</w:t>
      </w:r>
    </w:p>
    <w:p w14:paraId="68AA3F8D">
      <w:pPr>
        <w:spacing w:line="500" w:lineRule="exact"/>
        <w:ind w:firstLine="480" w:firstLineChars="200"/>
        <w:rPr>
          <w:rFonts w:hAnsi="宋体" w:cs="宋体"/>
          <w:szCs w:val="24"/>
          <w:highlight w:val="none"/>
        </w:rPr>
      </w:pPr>
      <w:r>
        <w:rPr>
          <w:rFonts w:hint="eastAsia" w:hAnsi="宋体" w:cs="宋体"/>
          <w:szCs w:val="24"/>
          <w:highlight w:val="none"/>
        </w:rPr>
        <w:t>（2）要求供应商对投标文件有关事项作出澄清或者说明；</w:t>
      </w:r>
    </w:p>
    <w:p w14:paraId="70B9F3DA">
      <w:pPr>
        <w:spacing w:line="500" w:lineRule="exact"/>
        <w:ind w:firstLine="480" w:firstLineChars="200"/>
        <w:rPr>
          <w:rFonts w:hAnsi="宋体" w:cs="宋体"/>
          <w:szCs w:val="24"/>
          <w:highlight w:val="none"/>
        </w:rPr>
      </w:pPr>
      <w:r>
        <w:rPr>
          <w:rFonts w:hint="eastAsia" w:hAnsi="宋体" w:cs="宋体"/>
          <w:szCs w:val="24"/>
          <w:highlight w:val="none"/>
        </w:rPr>
        <w:t>（3）对投标文件进行比较和评价；</w:t>
      </w:r>
    </w:p>
    <w:p w14:paraId="6A33A519">
      <w:pPr>
        <w:spacing w:line="500" w:lineRule="exact"/>
        <w:ind w:firstLine="480" w:firstLineChars="200"/>
        <w:rPr>
          <w:rFonts w:hAnsi="宋体" w:cs="宋体"/>
          <w:szCs w:val="24"/>
          <w:highlight w:val="none"/>
        </w:rPr>
      </w:pPr>
      <w:r>
        <w:rPr>
          <w:rFonts w:hint="eastAsia" w:hAnsi="宋体" w:cs="宋体"/>
          <w:szCs w:val="24"/>
          <w:highlight w:val="none"/>
        </w:rPr>
        <w:t>（4）确定中标候选人名单，以及根据采购人委托直接确定中标人；</w:t>
      </w:r>
    </w:p>
    <w:p w14:paraId="21DF1EB6">
      <w:pPr>
        <w:spacing w:line="500" w:lineRule="exact"/>
        <w:ind w:firstLine="480" w:firstLineChars="200"/>
        <w:rPr>
          <w:rFonts w:hAnsi="宋体" w:cs="宋体"/>
          <w:szCs w:val="24"/>
          <w:highlight w:val="none"/>
        </w:rPr>
      </w:pPr>
      <w:r>
        <w:rPr>
          <w:rFonts w:hint="eastAsia" w:hAnsi="宋体" w:cs="宋体"/>
          <w:szCs w:val="24"/>
          <w:highlight w:val="none"/>
        </w:rPr>
        <w:t>（5）向采购人、采购代理机构或者有关部门报告评标中发现的违法行为。</w:t>
      </w:r>
    </w:p>
    <w:p w14:paraId="7AAA6BA0">
      <w:pPr>
        <w:spacing w:line="500" w:lineRule="exact"/>
        <w:ind w:firstLine="480" w:firstLineChars="200"/>
        <w:rPr>
          <w:rFonts w:hAnsi="宋体" w:cs="宋体"/>
          <w:szCs w:val="24"/>
          <w:highlight w:val="none"/>
        </w:rPr>
      </w:pPr>
      <w:r>
        <w:rPr>
          <w:rFonts w:hint="eastAsia" w:hAnsi="宋体" w:cs="宋体"/>
          <w:szCs w:val="24"/>
          <w:highlight w:val="none"/>
        </w:rPr>
        <w:t>22.3 采购代理机构负责组织评标工作并履行下列职责：</w:t>
      </w:r>
    </w:p>
    <w:p w14:paraId="3EA9B2E8">
      <w:pPr>
        <w:spacing w:line="500" w:lineRule="exact"/>
        <w:ind w:firstLine="480" w:firstLineChars="200"/>
        <w:rPr>
          <w:rFonts w:hAnsi="宋体" w:cs="宋体"/>
          <w:szCs w:val="24"/>
          <w:highlight w:val="none"/>
        </w:rPr>
      </w:pPr>
      <w:r>
        <w:rPr>
          <w:rFonts w:hint="eastAsia" w:hAnsi="宋体" w:cs="宋体"/>
          <w:szCs w:val="24"/>
          <w:highlight w:val="none"/>
        </w:rPr>
        <w:t>（1）核对评审专家身份和采购人代表授权函，对评审专家在政府采购活动中的职责履行情况予以记录，并及时将有关违法违规行为向财政部门报告；</w:t>
      </w:r>
    </w:p>
    <w:p w14:paraId="431F7D5E">
      <w:pPr>
        <w:spacing w:line="500" w:lineRule="exact"/>
        <w:ind w:firstLine="480" w:firstLineChars="200"/>
        <w:rPr>
          <w:rFonts w:hAnsi="宋体" w:cs="宋体"/>
          <w:szCs w:val="24"/>
          <w:highlight w:val="none"/>
        </w:rPr>
      </w:pPr>
      <w:r>
        <w:rPr>
          <w:rFonts w:hint="eastAsia" w:hAnsi="宋体" w:cs="宋体"/>
          <w:szCs w:val="24"/>
          <w:highlight w:val="none"/>
        </w:rPr>
        <w:t>（2）宣布评标纪律；</w:t>
      </w:r>
    </w:p>
    <w:p w14:paraId="399F018A">
      <w:pPr>
        <w:spacing w:line="500" w:lineRule="exact"/>
        <w:ind w:firstLine="480" w:firstLineChars="200"/>
        <w:rPr>
          <w:rFonts w:hAnsi="宋体" w:cs="宋体"/>
          <w:szCs w:val="24"/>
          <w:highlight w:val="none"/>
        </w:rPr>
      </w:pPr>
      <w:r>
        <w:rPr>
          <w:rFonts w:hint="eastAsia" w:hAnsi="宋体" w:cs="宋体"/>
          <w:szCs w:val="24"/>
          <w:highlight w:val="none"/>
        </w:rPr>
        <w:t>（3）公布供应商名单，告知评标专家应当回避的情形；</w:t>
      </w:r>
    </w:p>
    <w:p w14:paraId="10536FAF">
      <w:pPr>
        <w:spacing w:line="500" w:lineRule="exact"/>
        <w:ind w:firstLine="480" w:firstLineChars="200"/>
        <w:rPr>
          <w:rFonts w:hAnsi="宋体" w:cs="宋体"/>
          <w:szCs w:val="24"/>
          <w:highlight w:val="none"/>
        </w:rPr>
      </w:pPr>
      <w:r>
        <w:rPr>
          <w:rFonts w:hint="eastAsia" w:hAnsi="宋体" w:cs="宋体"/>
          <w:szCs w:val="24"/>
          <w:highlight w:val="none"/>
        </w:rPr>
        <w:t>（4）组织评标委员会推选评标组长，采购人代表不得担任组长；</w:t>
      </w:r>
    </w:p>
    <w:p w14:paraId="073CFFC9">
      <w:pPr>
        <w:spacing w:line="500" w:lineRule="exact"/>
        <w:ind w:firstLine="480" w:firstLineChars="200"/>
        <w:rPr>
          <w:rFonts w:hAnsi="宋体" w:cs="宋体"/>
          <w:szCs w:val="24"/>
          <w:highlight w:val="none"/>
        </w:rPr>
      </w:pPr>
      <w:r>
        <w:rPr>
          <w:rFonts w:hint="eastAsia" w:hAnsi="宋体" w:cs="宋体"/>
          <w:szCs w:val="24"/>
          <w:highlight w:val="none"/>
        </w:rPr>
        <w:t>（5）在评标期间采取必要的通讯管理措施，保证评标活动不受外界干扰；</w:t>
      </w:r>
    </w:p>
    <w:p w14:paraId="34AE7E39">
      <w:pPr>
        <w:spacing w:line="500" w:lineRule="exact"/>
        <w:ind w:firstLine="480" w:firstLineChars="200"/>
        <w:rPr>
          <w:rFonts w:hAnsi="宋体" w:cs="宋体"/>
          <w:szCs w:val="24"/>
          <w:highlight w:val="none"/>
        </w:rPr>
      </w:pPr>
      <w:r>
        <w:rPr>
          <w:rFonts w:hint="eastAsia" w:hAnsi="宋体" w:cs="宋体"/>
          <w:szCs w:val="24"/>
          <w:highlight w:val="none"/>
        </w:rPr>
        <w:t>（6）根据评标委员会的要求介绍政府采购相关政策法规、招标文件；</w:t>
      </w:r>
    </w:p>
    <w:p w14:paraId="0C89B99A">
      <w:pPr>
        <w:spacing w:line="500" w:lineRule="exact"/>
        <w:ind w:firstLine="480" w:firstLineChars="200"/>
        <w:rPr>
          <w:rFonts w:hAnsi="宋体" w:cs="宋体"/>
          <w:szCs w:val="24"/>
          <w:highlight w:val="none"/>
        </w:rPr>
      </w:pPr>
      <w:r>
        <w:rPr>
          <w:rFonts w:hint="eastAsia" w:hAnsi="宋体" w:cs="宋体"/>
          <w:szCs w:val="24"/>
          <w:highlight w:val="none"/>
        </w:rPr>
        <w:t xml:space="preserve">（7）维护评标秩序，监督评标委员会依照评标文件规定的评审程序、方法和标准进行独立评审，及时制止和纠正采购人代表、评审专家的倾向性言论或违法违规行为； </w:t>
      </w:r>
    </w:p>
    <w:p w14:paraId="1443CB91">
      <w:pPr>
        <w:spacing w:line="500" w:lineRule="exact"/>
        <w:ind w:firstLine="480" w:firstLineChars="200"/>
        <w:rPr>
          <w:rFonts w:hAnsi="宋体" w:cs="宋体"/>
          <w:szCs w:val="24"/>
          <w:highlight w:val="none"/>
        </w:rPr>
      </w:pPr>
      <w:r>
        <w:rPr>
          <w:rFonts w:hint="eastAsia" w:hAnsi="宋体" w:cs="宋体"/>
          <w:szCs w:val="24"/>
          <w:highlight w:val="none"/>
        </w:rPr>
        <w:t>（8）核对评标结果，有《政府采购货物和服务招标投标管理办法》第六十四条规定情形的，要求评标委员会复核或书面说明理由，评标委员会拒绝的，应予记录并向本级财政部门报告；</w:t>
      </w:r>
    </w:p>
    <w:p w14:paraId="57FB7EA1">
      <w:pPr>
        <w:spacing w:line="500" w:lineRule="exact"/>
        <w:ind w:firstLine="480" w:firstLineChars="200"/>
        <w:rPr>
          <w:rFonts w:hAnsi="宋体" w:cs="宋体"/>
          <w:szCs w:val="24"/>
          <w:highlight w:val="none"/>
        </w:rPr>
      </w:pPr>
      <w:r>
        <w:rPr>
          <w:rFonts w:hint="eastAsia" w:hAnsi="宋体" w:cs="宋体"/>
          <w:szCs w:val="24"/>
          <w:highlight w:val="none"/>
        </w:rPr>
        <w:t>（9）评审工作完成后，按照规定向评审专家支付劳务报酬和异地评审差旅费；</w:t>
      </w:r>
    </w:p>
    <w:p w14:paraId="04C5894F">
      <w:pPr>
        <w:spacing w:line="500" w:lineRule="exact"/>
        <w:ind w:firstLine="480" w:firstLineChars="200"/>
        <w:rPr>
          <w:rFonts w:hAnsi="宋体" w:cs="宋体"/>
          <w:szCs w:val="24"/>
          <w:highlight w:val="none"/>
        </w:rPr>
      </w:pPr>
      <w:r>
        <w:rPr>
          <w:rFonts w:hint="eastAsia" w:hAnsi="宋体" w:cs="宋体"/>
          <w:szCs w:val="24"/>
          <w:highlight w:val="none"/>
        </w:rPr>
        <w:t>（10）处理与评标有关的其他事项。</w:t>
      </w:r>
    </w:p>
    <w:p w14:paraId="2C5E370F">
      <w:pPr>
        <w:spacing w:line="500" w:lineRule="exact"/>
        <w:ind w:firstLine="480" w:firstLineChars="200"/>
        <w:rPr>
          <w:rFonts w:hAnsi="宋体" w:cs="宋体"/>
          <w:szCs w:val="24"/>
          <w:highlight w:val="none"/>
        </w:rPr>
      </w:pPr>
      <w:r>
        <w:rPr>
          <w:rFonts w:hint="eastAsia" w:hAnsi="宋体" w:cs="宋体"/>
          <w:szCs w:val="24"/>
          <w:highlight w:val="none"/>
        </w:rPr>
        <w:t>22.4招标文件和投标文件是评标的依据。在评标中，不得改变招标文件中规定的评标标准、方法和中标条件。供应商不得在开标后使用任何方式对投标文件的实质性内容做任何更改。</w:t>
      </w:r>
    </w:p>
    <w:p w14:paraId="3A66C4B9">
      <w:pPr>
        <w:spacing w:line="500" w:lineRule="exact"/>
        <w:ind w:firstLine="480" w:firstLineChars="200"/>
        <w:rPr>
          <w:rFonts w:hAnsi="宋体" w:cs="宋体"/>
          <w:szCs w:val="24"/>
          <w:highlight w:val="none"/>
        </w:rPr>
      </w:pPr>
      <w:r>
        <w:rPr>
          <w:rFonts w:hint="eastAsia" w:hAnsi="宋体" w:cs="宋体"/>
          <w:szCs w:val="24"/>
          <w:highlight w:val="none"/>
        </w:rPr>
        <w:t>22.5在评标期间，对投标文件中含义不明确、同类问题表述不一致或者有明显文字和计算错误的内容，评标委员会可以书面形式</w:t>
      </w:r>
      <w:r>
        <w:rPr>
          <w:rFonts w:hint="eastAsia" w:hAnsi="宋体" w:cs="宋体"/>
          <w:highlight w:val="none"/>
        </w:rPr>
        <w:t>（由评标委员会专家签字）</w:t>
      </w:r>
      <w:r>
        <w:rPr>
          <w:rFonts w:hint="eastAsia" w:hAnsi="宋体" w:cs="宋体"/>
          <w:szCs w:val="24"/>
          <w:highlight w:val="none"/>
        </w:rPr>
        <w:t>要求供应商作出必要的澄清、说明或者纠正。供应商的澄清、说明或者补正应当采用书面形式，由其授权的代表签字，并不得超出投标文件的范围或者改变投标文件的实质性内容。</w:t>
      </w:r>
    </w:p>
    <w:p w14:paraId="4D9FF152">
      <w:pPr>
        <w:spacing w:line="500" w:lineRule="exact"/>
        <w:ind w:firstLine="480" w:firstLineChars="200"/>
        <w:rPr>
          <w:rFonts w:hAnsi="宋体" w:cs="宋体"/>
          <w:szCs w:val="24"/>
          <w:highlight w:val="none"/>
        </w:rPr>
      </w:pPr>
      <w:r>
        <w:rPr>
          <w:rFonts w:hint="eastAsia" w:hAnsi="宋体" w:cs="宋体"/>
          <w:szCs w:val="24"/>
          <w:highlight w:val="none"/>
        </w:rPr>
        <w:t>22.6如果供应商在澄清规定期限内，未能答复或拒绝答复评委会提出的澄清要求，将由评委会根据其投标文件按最大风险进行评标。</w:t>
      </w:r>
    </w:p>
    <w:p w14:paraId="5AFDD1CA">
      <w:pPr>
        <w:spacing w:line="500" w:lineRule="exact"/>
        <w:ind w:firstLine="480" w:firstLineChars="200"/>
        <w:rPr>
          <w:rFonts w:hAnsi="宋体" w:cs="宋体"/>
          <w:szCs w:val="24"/>
          <w:highlight w:val="none"/>
        </w:rPr>
      </w:pPr>
      <w:r>
        <w:rPr>
          <w:rFonts w:hint="eastAsia" w:hAnsi="宋体" w:cs="宋体"/>
          <w:szCs w:val="24"/>
          <w:highlight w:val="none"/>
        </w:rPr>
        <w:t>22.7投标文件的初审（含资格性、符合性审查）</w:t>
      </w:r>
    </w:p>
    <w:p w14:paraId="7001B178">
      <w:pPr>
        <w:spacing w:line="500" w:lineRule="exact"/>
        <w:ind w:firstLine="480" w:firstLineChars="200"/>
        <w:rPr>
          <w:rFonts w:hAnsi="宋体" w:cs="宋体"/>
          <w:szCs w:val="24"/>
          <w:highlight w:val="none"/>
        </w:rPr>
      </w:pPr>
      <w:r>
        <w:rPr>
          <w:rFonts w:hint="eastAsia" w:hAnsi="宋体" w:cs="宋体"/>
          <w:szCs w:val="24"/>
          <w:highlight w:val="none"/>
        </w:rPr>
        <w:t>22.7.1采购人或采购代理机构将审查资格证明文件是否合格齐全，评标委员会审查投标文件是否完整、有效、响应等。</w:t>
      </w:r>
    </w:p>
    <w:p w14:paraId="728DF7A8">
      <w:pPr>
        <w:spacing w:line="500" w:lineRule="exact"/>
        <w:ind w:firstLine="480" w:firstLineChars="200"/>
        <w:rPr>
          <w:rFonts w:hAnsi="宋体" w:cs="宋体"/>
          <w:szCs w:val="24"/>
          <w:highlight w:val="none"/>
        </w:rPr>
      </w:pPr>
      <w:r>
        <w:rPr>
          <w:rFonts w:hint="eastAsia" w:hAnsi="宋体" w:cs="宋体"/>
          <w:szCs w:val="24"/>
          <w:highlight w:val="none"/>
        </w:rPr>
        <w:t>22.7.2投标文件报价出现前后不一致的，按照下列规定修正：</w:t>
      </w:r>
    </w:p>
    <w:p w14:paraId="15E22C81">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14:paraId="7B14CABF">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投标文件的大写金额和小写金额不一致的，以大写金额为准；</w:t>
      </w:r>
    </w:p>
    <w:p w14:paraId="18AE6757">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单价金额小数点或者百分比有明显错位的，以单独密封的开标一览表的总价为准，并修改单价；</w:t>
      </w:r>
    </w:p>
    <w:p w14:paraId="5948801E">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总价金额与按单价汇总金额不一致的，以单价金额计算结果为准。</w:t>
      </w:r>
    </w:p>
    <w:p w14:paraId="11ACD61C">
      <w:pPr>
        <w:widowControl/>
        <w:autoSpaceDE w:val="0"/>
        <w:autoSpaceDN w:val="0"/>
        <w:spacing w:line="500" w:lineRule="exact"/>
        <w:ind w:right="51" w:firstLine="482" w:firstLineChars="200"/>
        <w:textAlignment w:val="bottom"/>
        <w:rPr>
          <w:rFonts w:hAnsi="宋体" w:cs="宋体"/>
          <w:szCs w:val="24"/>
          <w:highlight w:val="none"/>
        </w:rPr>
      </w:pPr>
      <w:r>
        <w:rPr>
          <w:rFonts w:hint="eastAsia" w:hAnsi="宋体" w:cs="宋体"/>
          <w:b/>
          <w:highlight w:val="none"/>
        </w:rPr>
        <w:t>按上述修正的顺序和方法调整的投标报价应对供应商具有约束力。如果供应商不接受修正后的价格，其投标将按无效投标处理。</w:t>
      </w:r>
    </w:p>
    <w:p w14:paraId="64E2F161">
      <w:pPr>
        <w:spacing w:line="500" w:lineRule="exact"/>
        <w:ind w:firstLine="480" w:firstLineChars="200"/>
        <w:rPr>
          <w:rFonts w:hAnsi="宋体" w:cs="宋体"/>
          <w:szCs w:val="24"/>
          <w:highlight w:val="none"/>
        </w:rPr>
      </w:pPr>
      <w:r>
        <w:rPr>
          <w:rFonts w:hint="eastAsia" w:hAnsi="宋体" w:cs="宋体"/>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1F3E4937">
      <w:pPr>
        <w:spacing w:line="500" w:lineRule="exact"/>
        <w:ind w:firstLine="482" w:firstLineChars="200"/>
        <w:rPr>
          <w:rFonts w:hAnsi="宋体" w:cs="宋体"/>
          <w:b/>
          <w:bCs/>
          <w:szCs w:val="24"/>
          <w:highlight w:val="none"/>
        </w:rPr>
      </w:pPr>
      <w:r>
        <w:rPr>
          <w:rFonts w:hint="eastAsia" w:hAnsi="宋体" w:cs="宋体"/>
          <w:b/>
          <w:bCs/>
          <w:szCs w:val="24"/>
          <w:highlight w:val="none"/>
        </w:rPr>
        <w:t>22.7.4实质上没有响应招标文件要求的投标将按无效投标处理。供应商不得通过修正或撤销不合要求的偏离从而使其投标成为实质性响应的投标。如发现下列情况之一的，其投标将构成非实质性响应，按无效投标处理：</w:t>
      </w:r>
    </w:p>
    <w:p w14:paraId="374F8387">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1）没有按照招标文件要求提供投标文件或投标文件构成有重大缺项；</w:t>
      </w:r>
    </w:p>
    <w:p w14:paraId="20AFC810">
      <w:pPr>
        <w:kinsoku w:val="0"/>
        <w:spacing w:line="500" w:lineRule="exact"/>
        <w:ind w:firstLine="480" w:firstLineChars="200"/>
        <w:rPr>
          <w:rFonts w:hAnsi="宋体" w:cs="宋体"/>
          <w:spacing w:val="-6"/>
          <w:highlight w:val="none"/>
        </w:rPr>
      </w:pPr>
      <w:r>
        <w:rPr>
          <w:rFonts w:hint="eastAsia" w:hAnsi="宋体" w:cs="宋体"/>
          <w:highlight w:val="none"/>
        </w:rPr>
        <w:t>2）投标</w:t>
      </w:r>
      <w:r>
        <w:rPr>
          <w:rFonts w:hint="eastAsia" w:hAnsi="宋体" w:cs="宋体"/>
          <w:spacing w:val="-6"/>
          <w:highlight w:val="none"/>
        </w:rPr>
        <w:t>文件</w:t>
      </w:r>
      <w:r>
        <w:rPr>
          <w:rFonts w:hint="eastAsia" w:hAnsi="宋体" w:cs="宋体"/>
          <w:highlight w:val="none"/>
        </w:rPr>
        <w:t>未按招标文件要求签署、盖章的；</w:t>
      </w:r>
    </w:p>
    <w:p w14:paraId="54A63246">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3）供应商未按招标文件要求提交投标保证金或保函的；</w:t>
      </w:r>
    </w:p>
    <w:p w14:paraId="5FC3F1B4">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4）不具备招标文件中规定的资格要求的；</w:t>
      </w:r>
    </w:p>
    <w:p w14:paraId="4A60470D">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5）</w:t>
      </w:r>
      <w:r>
        <w:rPr>
          <w:rFonts w:hint="eastAsia" w:hAnsi="宋体" w:cs="宋体"/>
          <w:spacing w:val="-6"/>
          <w:highlight w:val="none"/>
        </w:rPr>
        <w:t>无投标</w:t>
      </w:r>
      <w:r>
        <w:rPr>
          <w:rFonts w:hint="eastAsia" w:hAnsi="宋体" w:cs="宋体"/>
          <w:szCs w:val="24"/>
          <w:highlight w:val="none"/>
        </w:rPr>
        <w:t>有效期</w:t>
      </w:r>
      <w:r>
        <w:rPr>
          <w:rFonts w:hint="eastAsia" w:hAnsi="宋体" w:cs="宋体"/>
          <w:spacing w:val="-6"/>
          <w:highlight w:val="none"/>
        </w:rPr>
        <w:t>或有效期达不到招标文件要求的</w:t>
      </w:r>
      <w:r>
        <w:rPr>
          <w:rFonts w:hint="eastAsia" w:hAnsi="宋体" w:cs="宋体"/>
          <w:szCs w:val="24"/>
          <w:highlight w:val="none"/>
        </w:rPr>
        <w:t>；</w:t>
      </w:r>
    </w:p>
    <w:p w14:paraId="70747CE4">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6）存在有重大缺漏项和重大技术偏离的投标</w:t>
      </w:r>
      <w:r>
        <w:rPr>
          <w:rFonts w:hint="eastAsia" w:hAnsi="宋体" w:cs="宋体"/>
          <w:highlight w:val="none"/>
        </w:rPr>
        <w:t>货物（产品）</w:t>
      </w:r>
      <w:r>
        <w:rPr>
          <w:rFonts w:hint="eastAsia" w:hAnsi="宋体" w:cs="宋体"/>
          <w:szCs w:val="24"/>
          <w:highlight w:val="none"/>
        </w:rPr>
        <w:t>；</w:t>
      </w:r>
    </w:p>
    <w:p w14:paraId="1CF52F0C">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7）供应商有串通投标、以他人名义投标、弄虚作假、行贿等违法行为的；</w:t>
      </w:r>
    </w:p>
    <w:p w14:paraId="1B2B1D8F">
      <w:pPr>
        <w:spacing w:line="500" w:lineRule="exact"/>
        <w:ind w:firstLine="480" w:firstLineChars="200"/>
        <w:rPr>
          <w:rFonts w:hAnsi="宋体" w:cs="宋体"/>
          <w:szCs w:val="24"/>
          <w:highlight w:val="none"/>
        </w:rPr>
      </w:pPr>
      <w:r>
        <w:rPr>
          <w:rFonts w:hint="eastAsia" w:hAnsi="宋体" w:cs="宋体"/>
          <w:szCs w:val="24"/>
          <w:highlight w:val="none"/>
        </w:rPr>
        <w:t>8）投标总报价超过招标文件公布的采购预算或者最高限价的；</w:t>
      </w:r>
    </w:p>
    <w:p w14:paraId="4BC2342D">
      <w:pPr>
        <w:pStyle w:val="20"/>
        <w:spacing w:before="0" w:beforeAutospacing="0" w:after="0" w:afterAutospacing="0" w:line="500" w:lineRule="exact"/>
        <w:ind w:firstLine="480" w:firstLineChars="200"/>
        <w:jc w:val="both"/>
        <w:rPr>
          <w:rFonts w:cs="宋体"/>
          <w:highlight w:val="none"/>
        </w:rPr>
      </w:pPr>
      <w:r>
        <w:rPr>
          <w:rFonts w:hint="eastAsia" w:cs="宋体"/>
          <w:highlight w:val="none"/>
        </w:rPr>
        <w:t>9）投标文件含有采购人不能接受的附加条件的；</w:t>
      </w:r>
    </w:p>
    <w:p w14:paraId="77991067">
      <w:pPr>
        <w:pStyle w:val="20"/>
        <w:spacing w:before="0" w:beforeAutospacing="0" w:after="0" w:afterAutospacing="0" w:line="500" w:lineRule="exact"/>
        <w:ind w:firstLine="480" w:firstLineChars="200"/>
        <w:jc w:val="both"/>
        <w:rPr>
          <w:rFonts w:cs="宋体"/>
          <w:highlight w:val="none"/>
        </w:rPr>
      </w:pPr>
      <w:r>
        <w:rPr>
          <w:rFonts w:hint="eastAsia" w:cs="宋体"/>
          <w:highlight w:val="none"/>
        </w:rPr>
        <w:t>10）供应商被列入失信被执行人、重大税收违法案件当事人名单、政府采购严重违法失信行为记录名单的；</w:t>
      </w:r>
    </w:p>
    <w:p w14:paraId="420A39C1">
      <w:pPr>
        <w:spacing w:line="500" w:lineRule="exact"/>
        <w:ind w:firstLine="480" w:firstLineChars="200"/>
        <w:rPr>
          <w:rFonts w:hAnsi="宋体" w:cs="宋体"/>
          <w:szCs w:val="24"/>
          <w:highlight w:val="none"/>
        </w:rPr>
      </w:pPr>
      <w:r>
        <w:rPr>
          <w:rFonts w:hint="eastAsia" w:hAnsi="宋体" w:cs="宋体"/>
          <w:szCs w:val="24"/>
          <w:highlight w:val="none"/>
        </w:rPr>
        <w:t>11）法律、法规规定的其他无效情形。</w:t>
      </w:r>
    </w:p>
    <w:p w14:paraId="26D031E0">
      <w:pPr>
        <w:spacing w:line="500" w:lineRule="exact"/>
        <w:ind w:firstLine="480" w:firstLineChars="200"/>
        <w:rPr>
          <w:rFonts w:hAnsi="宋体" w:cs="宋体"/>
          <w:szCs w:val="24"/>
          <w:highlight w:val="none"/>
        </w:rPr>
      </w:pPr>
      <w:r>
        <w:rPr>
          <w:rFonts w:hint="eastAsia" w:hAnsi="宋体" w:cs="宋体"/>
          <w:szCs w:val="24"/>
          <w:highlight w:val="none"/>
        </w:rPr>
        <w:t>22.8投标文件的详细评审</w:t>
      </w:r>
    </w:p>
    <w:p w14:paraId="0845BBE3">
      <w:pPr>
        <w:spacing w:line="500" w:lineRule="exact"/>
        <w:ind w:firstLine="480" w:firstLineChars="200"/>
        <w:rPr>
          <w:rFonts w:hAnsi="宋体" w:cs="宋体"/>
          <w:szCs w:val="24"/>
          <w:highlight w:val="none"/>
        </w:rPr>
      </w:pPr>
      <w:r>
        <w:rPr>
          <w:rFonts w:hint="eastAsia" w:hAnsi="宋体" w:cs="宋体"/>
          <w:szCs w:val="24"/>
          <w:highlight w:val="none"/>
        </w:rPr>
        <w:t>22.8.1评标委员会将按照本须知第22.5.4条规定，只对确定为实质性响应招标文件要求的投标进行详细评审。</w:t>
      </w:r>
    </w:p>
    <w:p w14:paraId="59B5896E">
      <w:pPr>
        <w:spacing w:line="500" w:lineRule="exact"/>
        <w:ind w:firstLine="480" w:firstLineChars="200"/>
        <w:rPr>
          <w:rFonts w:hAnsi="宋体" w:cs="宋体"/>
          <w:szCs w:val="24"/>
          <w:highlight w:val="none"/>
        </w:rPr>
      </w:pPr>
      <w:r>
        <w:rPr>
          <w:rFonts w:hint="eastAsia" w:hAnsi="宋体" w:cs="宋体"/>
          <w:szCs w:val="24"/>
          <w:highlight w:val="none"/>
        </w:rPr>
        <w:t>22.8.2详细评审按照第五章“评标方法”的评标方法进行。</w:t>
      </w:r>
    </w:p>
    <w:p w14:paraId="4762C373">
      <w:pPr>
        <w:spacing w:line="500" w:lineRule="exact"/>
        <w:ind w:firstLine="480" w:firstLineChars="200"/>
        <w:rPr>
          <w:rFonts w:hAnsi="宋体" w:cs="宋体"/>
          <w:szCs w:val="24"/>
          <w:highlight w:val="none"/>
        </w:rPr>
      </w:pPr>
      <w:r>
        <w:rPr>
          <w:rFonts w:hint="eastAsia" w:hAnsi="宋体" w:cs="宋体"/>
          <w:szCs w:val="24"/>
          <w:highlight w:val="none"/>
        </w:rPr>
        <w:t>22.9中标候选人的确定</w:t>
      </w:r>
    </w:p>
    <w:p w14:paraId="74425DA0">
      <w:pPr>
        <w:spacing w:line="500" w:lineRule="exact"/>
        <w:ind w:firstLine="480" w:firstLineChars="200"/>
        <w:rPr>
          <w:rFonts w:hAnsi="宋体" w:cs="宋体"/>
          <w:szCs w:val="24"/>
          <w:highlight w:val="none"/>
        </w:rPr>
      </w:pPr>
      <w:r>
        <w:rPr>
          <w:rFonts w:hint="eastAsia" w:hAnsi="宋体" w:cs="宋体"/>
          <w:szCs w:val="24"/>
          <w:highlight w:val="none"/>
        </w:rPr>
        <w:t>评标委员会完成评标后，向采购人提出书面评标报告，并推荐三名中标候选人，标明排列顺序。</w:t>
      </w:r>
    </w:p>
    <w:p w14:paraId="16AA68F5">
      <w:pPr>
        <w:spacing w:line="500" w:lineRule="exact"/>
        <w:rPr>
          <w:rFonts w:hAnsi="宋体" w:cs="宋体"/>
          <w:b/>
          <w:szCs w:val="24"/>
          <w:highlight w:val="none"/>
        </w:rPr>
      </w:pPr>
      <w:r>
        <w:rPr>
          <w:rFonts w:hint="eastAsia" w:hAnsi="宋体" w:cs="宋体"/>
          <w:b/>
          <w:szCs w:val="24"/>
          <w:highlight w:val="none"/>
        </w:rPr>
        <w:t>23．评标过程的保密</w:t>
      </w:r>
    </w:p>
    <w:p w14:paraId="2AACB6E6">
      <w:pPr>
        <w:spacing w:line="500" w:lineRule="exact"/>
        <w:ind w:firstLine="480" w:firstLineChars="200"/>
        <w:rPr>
          <w:rFonts w:hAnsi="宋体" w:cs="宋体"/>
          <w:szCs w:val="24"/>
          <w:highlight w:val="none"/>
        </w:rPr>
      </w:pPr>
      <w:r>
        <w:rPr>
          <w:rFonts w:hint="eastAsia" w:hAnsi="宋体" w:cs="宋体"/>
          <w:szCs w:val="24"/>
          <w:highlight w:val="none"/>
        </w:rPr>
        <w:t>23.1评标委员会成员和与评标活动有关的工作人员不得泄露有关投标文件的评审和比较、中标候选人的推荐以及与评标有关的其他情况。</w:t>
      </w:r>
    </w:p>
    <w:p w14:paraId="6E0DDD15">
      <w:pPr>
        <w:spacing w:line="500" w:lineRule="exact"/>
        <w:ind w:firstLine="480" w:firstLineChars="200"/>
        <w:rPr>
          <w:rFonts w:hAnsi="宋体" w:cs="宋体"/>
          <w:szCs w:val="24"/>
          <w:highlight w:val="none"/>
        </w:rPr>
      </w:pPr>
      <w:r>
        <w:rPr>
          <w:rFonts w:hint="eastAsia" w:hAnsi="宋体" w:cs="宋体"/>
          <w:szCs w:val="24"/>
          <w:highlight w:val="none"/>
        </w:rPr>
        <w:t>23.2在评标过程中，如果供应商试图在投标文件的评审和比较、中标候选人的推荐以及与评标有关的其他方面，向评标人、采购人和采购代理机构施加任何影响，其投标应做无效投标处理。</w:t>
      </w:r>
    </w:p>
    <w:p w14:paraId="3EBBFF44">
      <w:pPr>
        <w:spacing w:line="500" w:lineRule="exact"/>
        <w:rPr>
          <w:rFonts w:hAnsi="宋体" w:cs="宋体"/>
          <w:b/>
          <w:szCs w:val="24"/>
          <w:highlight w:val="none"/>
        </w:rPr>
      </w:pPr>
      <w:r>
        <w:rPr>
          <w:rFonts w:hint="eastAsia" w:hAnsi="宋体" w:cs="宋体"/>
          <w:b/>
          <w:szCs w:val="24"/>
          <w:highlight w:val="none"/>
        </w:rPr>
        <w:t>24．评标方法</w:t>
      </w:r>
    </w:p>
    <w:p w14:paraId="06E89519">
      <w:pPr>
        <w:spacing w:line="500" w:lineRule="exact"/>
        <w:ind w:firstLine="480" w:firstLineChars="200"/>
        <w:rPr>
          <w:rFonts w:hAnsi="宋体" w:cs="宋体"/>
          <w:szCs w:val="24"/>
          <w:highlight w:val="none"/>
        </w:rPr>
      </w:pPr>
      <w:r>
        <w:rPr>
          <w:rFonts w:hint="eastAsia" w:hAnsi="宋体" w:cs="宋体"/>
          <w:szCs w:val="24"/>
          <w:highlight w:val="none"/>
        </w:rPr>
        <w:t>24.1按照中华人民共和国财政部令第87号--《政府采购货物和服务招标投标管理办法》的规定，本次评标采用以下评标方法中的一种：具体见“投标人须知前附表”。</w:t>
      </w:r>
    </w:p>
    <w:p w14:paraId="3A717D5A">
      <w:pPr>
        <w:pStyle w:val="20"/>
        <w:spacing w:before="0" w:beforeAutospacing="0" w:after="0" w:afterAutospacing="0" w:line="500" w:lineRule="exact"/>
        <w:ind w:firstLine="480" w:firstLineChars="200"/>
        <w:jc w:val="both"/>
        <w:rPr>
          <w:rFonts w:cs="宋体"/>
          <w:highlight w:val="none"/>
        </w:rPr>
      </w:pPr>
      <w:r>
        <w:rPr>
          <w:rFonts w:hint="eastAsia" w:cs="宋体"/>
          <w:highlight w:val="none"/>
        </w:rPr>
        <w:t>1）最低评标价法，即在全部满足招标文件实质性要求前提下，且投标报价最低的供应商为中标候选人的评标方法。</w:t>
      </w:r>
    </w:p>
    <w:p w14:paraId="7D6E215B">
      <w:pPr>
        <w:spacing w:line="500" w:lineRule="exact"/>
        <w:ind w:firstLine="480" w:firstLineChars="200"/>
        <w:rPr>
          <w:rFonts w:hAnsi="宋体" w:cs="宋体"/>
          <w:szCs w:val="24"/>
          <w:highlight w:val="none"/>
        </w:rPr>
      </w:pPr>
      <w:r>
        <w:rPr>
          <w:rFonts w:hint="eastAsia" w:hAnsi="宋体" w:cs="宋体"/>
          <w:szCs w:val="24"/>
          <w:highlight w:val="none"/>
        </w:rPr>
        <w:t>2）综合评分法，即在最大限度地满足招标文件实质性要求前提下，按照招标文件中规定的各项因素（包括投标报价、技术或者服务水平、履约能力、对招标文件的响应程度等）和相应的权重分值进行综合评审后，以总得分最高的供应商作为中标候选人并依次排序。</w:t>
      </w:r>
    </w:p>
    <w:p w14:paraId="3F79ACC9">
      <w:pPr>
        <w:spacing w:line="500" w:lineRule="exact"/>
        <w:rPr>
          <w:rFonts w:hAnsi="宋体" w:cs="宋体"/>
          <w:b/>
          <w:szCs w:val="24"/>
          <w:highlight w:val="none"/>
        </w:rPr>
      </w:pPr>
      <w:r>
        <w:rPr>
          <w:rFonts w:hint="eastAsia" w:hAnsi="宋体" w:cs="宋体"/>
          <w:b/>
          <w:szCs w:val="24"/>
          <w:highlight w:val="none"/>
        </w:rPr>
        <w:t>25．评标程序</w:t>
      </w:r>
    </w:p>
    <w:p w14:paraId="40A4001D">
      <w:pPr>
        <w:spacing w:line="500" w:lineRule="exact"/>
        <w:ind w:firstLine="480" w:firstLineChars="200"/>
        <w:rPr>
          <w:rFonts w:hAnsi="宋体" w:cs="宋体"/>
          <w:highlight w:val="none"/>
        </w:rPr>
      </w:pPr>
      <w:r>
        <w:rPr>
          <w:rFonts w:hint="eastAsia" w:hAnsi="宋体" w:cs="宋体"/>
          <w:szCs w:val="24"/>
          <w:highlight w:val="none"/>
        </w:rPr>
        <w:t>按照投标文件初审、澄清有关问题、比较与评价、推荐中标候选人名单的工作程序进行评标。在上一步评审中供应商被认定无效投标者，不进入下一步的评审。</w:t>
      </w:r>
    </w:p>
    <w:p w14:paraId="7EAD801D">
      <w:pPr>
        <w:spacing w:line="500" w:lineRule="exact"/>
        <w:jc w:val="center"/>
        <w:rPr>
          <w:rFonts w:hAnsi="宋体" w:cs="宋体"/>
          <w:b/>
          <w:sz w:val="32"/>
          <w:szCs w:val="32"/>
          <w:highlight w:val="none"/>
        </w:rPr>
      </w:pPr>
      <w:bookmarkStart w:id="51" w:name="_Toc363473977"/>
      <w:bookmarkStart w:id="52" w:name="_Toc403077644"/>
      <w:bookmarkStart w:id="53" w:name="_Toc363474022"/>
      <w:r>
        <w:rPr>
          <w:rFonts w:hint="eastAsia" w:hAnsi="宋体" w:cs="宋体"/>
          <w:b/>
          <w:sz w:val="32"/>
          <w:szCs w:val="32"/>
          <w:highlight w:val="none"/>
        </w:rPr>
        <w:t>六.定标、中标通知与签约</w:t>
      </w:r>
      <w:bookmarkEnd w:id="51"/>
      <w:bookmarkEnd w:id="52"/>
      <w:bookmarkEnd w:id="53"/>
    </w:p>
    <w:p w14:paraId="52F54AAA">
      <w:pPr>
        <w:spacing w:line="500" w:lineRule="exact"/>
        <w:rPr>
          <w:rFonts w:hAnsi="宋体" w:cs="宋体"/>
          <w:b/>
          <w:szCs w:val="24"/>
          <w:highlight w:val="none"/>
        </w:rPr>
      </w:pPr>
      <w:r>
        <w:rPr>
          <w:rFonts w:hint="eastAsia" w:hAnsi="宋体" w:cs="宋体"/>
          <w:b/>
          <w:szCs w:val="24"/>
          <w:highlight w:val="none"/>
        </w:rPr>
        <w:t>26．定标程序</w:t>
      </w:r>
    </w:p>
    <w:p w14:paraId="066C2D69">
      <w:pPr>
        <w:spacing w:line="500" w:lineRule="exact"/>
        <w:ind w:firstLine="480" w:firstLineChars="200"/>
        <w:rPr>
          <w:rFonts w:hAnsi="宋体" w:cs="宋体"/>
          <w:szCs w:val="24"/>
          <w:highlight w:val="none"/>
        </w:rPr>
      </w:pPr>
      <w:r>
        <w:rPr>
          <w:rFonts w:hint="eastAsia" w:hAnsi="宋体" w:cs="宋体"/>
          <w:szCs w:val="24"/>
          <w:highlight w:val="none"/>
        </w:rPr>
        <w:t>26.1评标委员会根据评标方法的规定对供应商进行评审排序，推荐3名中标候选人，作为评标结果。评标结果由评标委员会成员签字确认。</w:t>
      </w:r>
    </w:p>
    <w:p w14:paraId="37A3AEA2">
      <w:pPr>
        <w:spacing w:line="500" w:lineRule="exact"/>
        <w:ind w:firstLine="420" w:firstLineChars="175"/>
        <w:rPr>
          <w:rFonts w:hAnsi="宋体" w:cs="宋体"/>
          <w:szCs w:val="24"/>
          <w:highlight w:val="none"/>
        </w:rPr>
      </w:pPr>
      <w:r>
        <w:rPr>
          <w:rFonts w:hint="eastAsia" w:hAnsi="宋体" w:cs="宋体"/>
          <w:szCs w:val="24"/>
          <w:highlight w:val="none"/>
        </w:rPr>
        <w:t>26.2</w:t>
      </w:r>
      <w:r>
        <w:rPr>
          <w:rFonts w:hint="eastAsia" w:hAnsi="宋体" w:cs="宋体"/>
          <w:highlight w:val="none"/>
        </w:rPr>
        <w:t>采购代理机构在评标结束后2个工作日内将评标报告送采购人。采购人应当在收到评标报告后5个工作日内，按照评标报告中推荐的中标候选人顺序和有关规定确定中标人。</w:t>
      </w:r>
    </w:p>
    <w:p w14:paraId="533D2281">
      <w:pPr>
        <w:spacing w:line="500" w:lineRule="exact"/>
        <w:ind w:firstLine="480" w:firstLineChars="200"/>
        <w:rPr>
          <w:rFonts w:hAnsi="宋体" w:cs="宋体"/>
          <w:szCs w:val="24"/>
          <w:highlight w:val="none"/>
        </w:rPr>
      </w:pPr>
      <w:r>
        <w:rPr>
          <w:rFonts w:hint="eastAsia" w:hAnsi="宋体" w:cs="宋体"/>
          <w:szCs w:val="24"/>
          <w:highlight w:val="none"/>
        </w:rPr>
        <w:t>26.3</w:t>
      </w:r>
      <w:r>
        <w:rPr>
          <w:rFonts w:hint="eastAsia" w:hAnsi="宋体" w:cs="宋体"/>
          <w:highlight w:val="none"/>
        </w:rPr>
        <w:t>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szCs w:val="24"/>
          <w:highlight w:val="none"/>
        </w:rPr>
        <w:t>。</w:t>
      </w:r>
    </w:p>
    <w:p w14:paraId="54513DC9">
      <w:pPr>
        <w:spacing w:line="500" w:lineRule="exact"/>
        <w:ind w:firstLine="480" w:firstLineChars="200"/>
        <w:rPr>
          <w:rFonts w:hAnsi="宋体" w:cs="宋体"/>
          <w:szCs w:val="24"/>
          <w:highlight w:val="none"/>
        </w:rPr>
      </w:pPr>
      <w:r>
        <w:rPr>
          <w:rFonts w:hint="eastAsia" w:hAnsi="宋体" w:cs="宋体"/>
          <w:szCs w:val="24"/>
          <w:highlight w:val="none"/>
        </w:rPr>
        <w:t>26.4采购人也可以授权评标委员会评标后直接确定中标人。</w:t>
      </w:r>
    </w:p>
    <w:p w14:paraId="45499ACA">
      <w:pPr>
        <w:spacing w:line="500" w:lineRule="exact"/>
        <w:ind w:firstLine="480" w:firstLineChars="200"/>
        <w:rPr>
          <w:rFonts w:hAnsi="宋体" w:cs="宋体"/>
          <w:szCs w:val="24"/>
          <w:highlight w:val="none"/>
        </w:rPr>
      </w:pPr>
      <w:r>
        <w:rPr>
          <w:rFonts w:hint="eastAsia" w:hAnsi="宋体" w:cs="宋体"/>
          <w:szCs w:val="24"/>
          <w:highlight w:val="none"/>
        </w:rPr>
        <w:t>26.5中标人确定之后，中标结果将在财政部门指定的政府采购信息发布媒体上公告。</w:t>
      </w:r>
    </w:p>
    <w:p w14:paraId="3EC110C5">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26.6供应商或者其他利害关系人对评标结果有异议的，应当在法律规定的时间内提出。</w:t>
      </w:r>
    </w:p>
    <w:p w14:paraId="4CA0A46B">
      <w:pPr>
        <w:spacing w:line="500" w:lineRule="exact"/>
        <w:rPr>
          <w:rFonts w:hAnsi="宋体" w:cs="宋体"/>
          <w:b/>
          <w:szCs w:val="24"/>
          <w:highlight w:val="none"/>
        </w:rPr>
      </w:pPr>
      <w:r>
        <w:rPr>
          <w:rFonts w:hint="eastAsia" w:hAnsi="宋体" w:cs="宋体"/>
          <w:b/>
          <w:szCs w:val="24"/>
          <w:highlight w:val="none"/>
        </w:rPr>
        <w:t>27．中标和落标通知</w:t>
      </w:r>
    </w:p>
    <w:p w14:paraId="0B652C2A">
      <w:pPr>
        <w:spacing w:line="500" w:lineRule="exact"/>
        <w:ind w:firstLine="480" w:firstLineChars="200"/>
        <w:rPr>
          <w:rFonts w:hAnsi="宋体" w:cs="宋体"/>
          <w:szCs w:val="24"/>
          <w:highlight w:val="none"/>
        </w:rPr>
      </w:pPr>
      <w:r>
        <w:rPr>
          <w:rFonts w:hint="eastAsia" w:hAnsi="宋体" w:cs="宋体"/>
          <w:szCs w:val="24"/>
          <w:highlight w:val="none"/>
        </w:rPr>
        <w:t>27.1 采购代理机构在发布中标公告后，向中标人发出《中标通知书》。</w:t>
      </w:r>
      <w:r>
        <w:rPr>
          <w:rFonts w:hint="eastAsia" w:hAnsi="宋体" w:cs="宋体"/>
          <w:b/>
          <w:bCs/>
          <w:szCs w:val="24"/>
          <w:highlight w:val="none"/>
        </w:rPr>
        <w:t>中标人领取中标通知书时须携带法定代表人或负责人授权书及加盖单位公章的被授权人身份证复印件。</w:t>
      </w:r>
    </w:p>
    <w:p w14:paraId="6B5BC342">
      <w:pPr>
        <w:spacing w:line="500" w:lineRule="exact"/>
        <w:ind w:firstLine="480" w:firstLineChars="200"/>
        <w:rPr>
          <w:rFonts w:hAnsi="宋体" w:cs="宋体"/>
          <w:szCs w:val="24"/>
          <w:highlight w:val="none"/>
        </w:rPr>
      </w:pPr>
      <w:r>
        <w:rPr>
          <w:rFonts w:hint="eastAsia" w:hAnsi="宋体" w:cs="宋体"/>
          <w:szCs w:val="24"/>
          <w:highlight w:val="none"/>
        </w:rPr>
        <w:t>27.2中标通知书对采购人和中标人具有同等法律效力。中标通知书发出之后，采购人改变中标结果，或者中标人放弃中标，应当承担相应的法律责任。</w:t>
      </w:r>
    </w:p>
    <w:p w14:paraId="768ED7E8">
      <w:pPr>
        <w:spacing w:line="500" w:lineRule="exact"/>
        <w:rPr>
          <w:rFonts w:hAnsi="宋体" w:cs="宋体"/>
          <w:b/>
          <w:szCs w:val="24"/>
          <w:highlight w:val="none"/>
        </w:rPr>
      </w:pPr>
      <w:r>
        <w:rPr>
          <w:rFonts w:hint="eastAsia" w:hAnsi="宋体" w:cs="宋体"/>
          <w:b/>
          <w:szCs w:val="24"/>
          <w:highlight w:val="none"/>
        </w:rPr>
        <w:t>28. 中标合同的签订</w:t>
      </w:r>
    </w:p>
    <w:p w14:paraId="2A5D0EB0">
      <w:pPr>
        <w:spacing w:line="500" w:lineRule="exact"/>
        <w:ind w:firstLine="480" w:firstLineChars="200"/>
        <w:rPr>
          <w:rFonts w:hAnsi="宋体" w:cs="宋体"/>
          <w:szCs w:val="24"/>
          <w:highlight w:val="none"/>
        </w:rPr>
      </w:pPr>
      <w:r>
        <w:rPr>
          <w:rFonts w:hint="eastAsia" w:hAnsi="宋体" w:cs="宋体"/>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09B99756">
      <w:pPr>
        <w:spacing w:line="500" w:lineRule="exact"/>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31C49F63">
      <w:pPr>
        <w:spacing w:line="500" w:lineRule="exact"/>
        <w:rPr>
          <w:rFonts w:hAnsi="宋体" w:cs="宋体"/>
          <w:b/>
          <w:szCs w:val="24"/>
          <w:highlight w:val="none"/>
        </w:rPr>
      </w:pPr>
      <w:r>
        <w:rPr>
          <w:rFonts w:hint="eastAsia" w:hAnsi="宋体" w:cs="宋体"/>
          <w:b/>
          <w:szCs w:val="24"/>
          <w:highlight w:val="none"/>
        </w:rPr>
        <w:t>29．招标代理服务费</w:t>
      </w:r>
    </w:p>
    <w:p w14:paraId="4FF13195">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招标代理服务费的计算方法：以中标金额为基数，依据国家计委颁布《招标代理服务收费管理暂行办法》（计价格[2002]1980号）文件的有关规定的收费标准收取。</w:t>
      </w:r>
    </w:p>
    <w:p w14:paraId="676C8460">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采购人须向采购代理机构一次性支付招标代理服务费。</w:t>
      </w:r>
    </w:p>
    <w:p w14:paraId="6BF2FD15">
      <w:pPr>
        <w:spacing w:line="500" w:lineRule="exact"/>
        <w:rPr>
          <w:rFonts w:hAnsi="宋体" w:cs="宋体"/>
          <w:b/>
          <w:bCs/>
          <w:szCs w:val="24"/>
          <w:highlight w:val="none"/>
        </w:rPr>
      </w:pPr>
      <w:r>
        <w:rPr>
          <w:rFonts w:hint="eastAsia" w:hAnsi="宋体" w:cs="宋体"/>
          <w:b/>
          <w:bCs/>
          <w:szCs w:val="24"/>
          <w:highlight w:val="none"/>
        </w:rPr>
        <w:t>30.质疑</w:t>
      </w:r>
    </w:p>
    <w:p w14:paraId="5F7F1DFA">
      <w:pPr>
        <w:spacing w:line="500" w:lineRule="exact"/>
        <w:ind w:right="12" w:firstLine="480"/>
        <w:rPr>
          <w:rFonts w:hAnsi="宋体" w:cs="宋体"/>
          <w:szCs w:val="24"/>
          <w:highlight w:val="none"/>
        </w:rPr>
      </w:pPr>
      <w:r>
        <w:rPr>
          <w:rFonts w:hint="eastAsia" w:hAnsi="宋体" w:cs="宋体"/>
          <w:szCs w:val="24"/>
          <w:highlight w:val="none"/>
        </w:rPr>
        <w:t>30.1供应商认为招标文件、招标过程、中标结果使自己的权益受到损害的，可以在知道或者应知其权益受到损害之日起7个工作日内，以书面形式向采购人、采购代理机构提出质疑。</w:t>
      </w:r>
    </w:p>
    <w:p w14:paraId="053D0BC1">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72CDD490">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14:paraId="44AFF13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EC69999">
      <w:pPr>
        <w:spacing w:line="500" w:lineRule="exact"/>
        <w:ind w:right="12" w:firstLine="48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6D75AA3E">
      <w:pPr>
        <w:spacing w:line="500" w:lineRule="exact"/>
        <w:ind w:right="12" w:firstLine="480"/>
        <w:rPr>
          <w:rFonts w:hAnsi="宋体" w:cs="宋体"/>
          <w:szCs w:val="24"/>
          <w:highlight w:val="none"/>
        </w:rPr>
      </w:pPr>
      <w:r>
        <w:rPr>
          <w:rFonts w:hint="eastAsia" w:hAnsi="宋体" w:cs="宋体"/>
          <w:szCs w:val="24"/>
          <w:highlight w:val="none"/>
        </w:rPr>
        <w:t>30.5.1供应商的姓名或者名称、地址、邮编、联系人及联系电话；</w:t>
      </w:r>
    </w:p>
    <w:p w14:paraId="0213E076">
      <w:pPr>
        <w:spacing w:line="500" w:lineRule="exact"/>
        <w:ind w:right="12" w:firstLine="480"/>
        <w:rPr>
          <w:rFonts w:hAnsi="宋体" w:cs="宋体"/>
          <w:szCs w:val="24"/>
          <w:highlight w:val="none"/>
        </w:rPr>
      </w:pPr>
      <w:r>
        <w:rPr>
          <w:rFonts w:hint="eastAsia" w:hAnsi="宋体" w:cs="宋体"/>
          <w:szCs w:val="24"/>
          <w:highlight w:val="none"/>
        </w:rPr>
        <w:t>30.5.2质疑项目的名称、编号；</w:t>
      </w:r>
    </w:p>
    <w:p w14:paraId="77415A07">
      <w:pPr>
        <w:spacing w:line="500" w:lineRule="exact"/>
        <w:ind w:right="12" w:firstLine="480"/>
        <w:rPr>
          <w:rFonts w:hAnsi="宋体" w:cs="宋体"/>
          <w:szCs w:val="24"/>
          <w:highlight w:val="none"/>
        </w:rPr>
      </w:pPr>
      <w:r>
        <w:rPr>
          <w:rFonts w:hint="eastAsia" w:hAnsi="宋体" w:cs="宋体"/>
          <w:szCs w:val="24"/>
          <w:highlight w:val="none"/>
        </w:rPr>
        <w:t>30.5.3具体、明确的质疑事项和与质疑事项相关的请求；</w:t>
      </w:r>
    </w:p>
    <w:p w14:paraId="666ED1C6">
      <w:pPr>
        <w:spacing w:line="500" w:lineRule="exact"/>
        <w:ind w:right="12" w:firstLine="480"/>
        <w:rPr>
          <w:rFonts w:hAnsi="宋体" w:cs="宋体"/>
          <w:szCs w:val="24"/>
          <w:highlight w:val="none"/>
        </w:rPr>
      </w:pPr>
      <w:r>
        <w:rPr>
          <w:rFonts w:hint="eastAsia" w:hAnsi="宋体" w:cs="宋体"/>
          <w:szCs w:val="24"/>
          <w:highlight w:val="none"/>
        </w:rPr>
        <w:t>30.5.4事实依据；</w:t>
      </w:r>
    </w:p>
    <w:p w14:paraId="48CB4CAA">
      <w:pPr>
        <w:spacing w:line="500" w:lineRule="exact"/>
        <w:ind w:right="12" w:firstLine="480"/>
        <w:rPr>
          <w:rFonts w:hAnsi="宋体" w:cs="宋体"/>
          <w:szCs w:val="24"/>
          <w:highlight w:val="none"/>
        </w:rPr>
      </w:pPr>
      <w:r>
        <w:rPr>
          <w:rFonts w:hint="eastAsia" w:hAnsi="宋体" w:cs="宋体"/>
          <w:szCs w:val="24"/>
          <w:highlight w:val="none"/>
        </w:rPr>
        <w:t>30.5.5必要的法律依据；</w:t>
      </w:r>
    </w:p>
    <w:p w14:paraId="443D0487">
      <w:pPr>
        <w:spacing w:line="500" w:lineRule="exact"/>
        <w:ind w:right="12" w:firstLine="480"/>
        <w:rPr>
          <w:rFonts w:hAnsi="宋体" w:cs="宋体"/>
          <w:szCs w:val="24"/>
          <w:highlight w:val="none"/>
        </w:rPr>
      </w:pPr>
      <w:r>
        <w:rPr>
          <w:rFonts w:hint="eastAsia" w:hAnsi="宋体" w:cs="宋体"/>
          <w:szCs w:val="24"/>
          <w:highlight w:val="none"/>
        </w:rPr>
        <w:t>30.5.6提出质疑的日期。</w:t>
      </w:r>
    </w:p>
    <w:p w14:paraId="52E156E7">
      <w:pPr>
        <w:spacing w:line="500" w:lineRule="exact"/>
        <w:ind w:right="12" w:firstLine="480"/>
        <w:rPr>
          <w:rFonts w:hAnsi="宋体" w:cs="宋体"/>
          <w:szCs w:val="24"/>
          <w:highlight w:val="none"/>
        </w:rPr>
      </w:pPr>
      <w:r>
        <w:rPr>
          <w:rFonts w:hint="eastAsia" w:hAnsi="宋体" w:cs="宋体"/>
          <w:szCs w:val="24"/>
          <w:highlight w:val="none"/>
        </w:rPr>
        <w:t>30.6有下列情形之一的，属于无效质疑，采购代理机构和采购人不予受理：</w:t>
      </w:r>
    </w:p>
    <w:p w14:paraId="3E2740EF">
      <w:pPr>
        <w:spacing w:line="500" w:lineRule="exact"/>
        <w:ind w:right="12" w:firstLine="480"/>
        <w:rPr>
          <w:rFonts w:hAnsi="宋体" w:cs="宋体"/>
          <w:szCs w:val="24"/>
          <w:highlight w:val="none"/>
        </w:rPr>
      </w:pPr>
      <w:r>
        <w:rPr>
          <w:rFonts w:hint="eastAsia" w:hAnsi="宋体" w:cs="宋体"/>
          <w:szCs w:val="24"/>
          <w:highlight w:val="none"/>
        </w:rPr>
        <w:t>30.6.1质疑供应商不是参与本次政府采购项目的供应商；</w:t>
      </w:r>
    </w:p>
    <w:p w14:paraId="74EA138F">
      <w:pPr>
        <w:spacing w:line="500" w:lineRule="exact"/>
        <w:ind w:right="12" w:firstLine="480"/>
        <w:rPr>
          <w:rFonts w:hAnsi="宋体" w:cs="宋体"/>
          <w:szCs w:val="24"/>
          <w:highlight w:val="none"/>
        </w:rPr>
      </w:pPr>
      <w:r>
        <w:rPr>
          <w:rFonts w:hint="eastAsia" w:hAnsi="宋体" w:cs="宋体"/>
          <w:szCs w:val="24"/>
          <w:highlight w:val="none"/>
        </w:rPr>
        <w:t>30.6.2质疑供应商与质疑事项不存在利害关系的；</w:t>
      </w:r>
    </w:p>
    <w:p w14:paraId="57A0235A">
      <w:pPr>
        <w:spacing w:line="500" w:lineRule="exact"/>
        <w:ind w:right="12" w:firstLine="480"/>
        <w:rPr>
          <w:rFonts w:hAnsi="宋体" w:cs="宋体"/>
          <w:szCs w:val="24"/>
          <w:highlight w:val="none"/>
        </w:rPr>
      </w:pPr>
      <w:r>
        <w:rPr>
          <w:rFonts w:hint="eastAsia" w:hAnsi="宋体" w:cs="宋体"/>
          <w:szCs w:val="24"/>
          <w:highlight w:val="none"/>
        </w:rPr>
        <w:t>30.6.3未在法定期限内提出质疑的；</w:t>
      </w:r>
    </w:p>
    <w:p w14:paraId="49C93893">
      <w:pPr>
        <w:spacing w:line="500" w:lineRule="exact"/>
        <w:ind w:right="12" w:firstLine="480"/>
        <w:rPr>
          <w:rFonts w:hAnsi="宋体" w:cs="宋体"/>
          <w:szCs w:val="24"/>
          <w:highlight w:val="none"/>
        </w:rPr>
      </w:pPr>
      <w:r>
        <w:rPr>
          <w:rFonts w:hint="eastAsia" w:hAnsi="宋体" w:cs="宋体"/>
          <w:szCs w:val="24"/>
          <w:highlight w:val="none"/>
        </w:rPr>
        <w:t>30.6.4质疑未以书面形式提出，或质疑函主要内容构成不完整的；</w:t>
      </w:r>
    </w:p>
    <w:p w14:paraId="18431B06">
      <w:pPr>
        <w:spacing w:line="500" w:lineRule="exact"/>
        <w:ind w:right="12" w:firstLine="480"/>
        <w:rPr>
          <w:rFonts w:hAnsi="宋体" w:cs="宋体"/>
          <w:szCs w:val="24"/>
          <w:highlight w:val="none"/>
        </w:rPr>
      </w:pPr>
      <w:r>
        <w:rPr>
          <w:rFonts w:hint="eastAsia" w:hAnsi="宋体" w:cs="宋体"/>
          <w:szCs w:val="24"/>
          <w:highlight w:val="none"/>
        </w:rPr>
        <w:t>30.6.5应当提交授权书而未提交的；</w:t>
      </w:r>
    </w:p>
    <w:p w14:paraId="2886ECC4">
      <w:pPr>
        <w:spacing w:line="500" w:lineRule="exact"/>
        <w:ind w:right="12" w:firstLine="480"/>
        <w:rPr>
          <w:rFonts w:hAnsi="宋体" w:cs="宋体"/>
          <w:szCs w:val="24"/>
          <w:highlight w:val="none"/>
        </w:rPr>
      </w:pPr>
      <w:r>
        <w:rPr>
          <w:rFonts w:hint="eastAsia" w:hAnsi="宋体" w:cs="宋体"/>
          <w:szCs w:val="24"/>
          <w:highlight w:val="none"/>
        </w:rPr>
        <w:t>30.6.6以非法手段取得证据、材料的；</w:t>
      </w:r>
    </w:p>
    <w:p w14:paraId="3CB6660B">
      <w:pPr>
        <w:spacing w:line="500" w:lineRule="exact"/>
        <w:ind w:right="12" w:firstLine="480"/>
        <w:rPr>
          <w:rFonts w:hAnsi="宋体" w:cs="宋体"/>
          <w:szCs w:val="24"/>
          <w:highlight w:val="none"/>
        </w:rPr>
      </w:pPr>
      <w:r>
        <w:rPr>
          <w:rFonts w:hint="eastAsia" w:hAnsi="宋体" w:cs="宋体"/>
          <w:szCs w:val="24"/>
          <w:highlight w:val="none"/>
        </w:rPr>
        <w:t>30.6.7质疑答复后，同一质疑人就同一事项或同一采购程序环节再次提出质疑的；</w:t>
      </w:r>
    </w:p>
    <w:p w14:paraId="706F7A6C">
      <w:pPr>
        <w:spacing w:line="500" w:lineRule="exact"/>
        <w:ind w:right="12" w:firstLine="480"/>
        <w:rPr>
          <w:rFonts w:hAnsi="宋体" w:cs="宋体"/>
          <w:szCs w:val="24"/>
          <w:highlight w:val="none"/>
        </w:rPr>
      </w:pPr>
      <w:r>
        <w:rPr>
          <w:rFonts w:hint="eastAsia" w:hAnsi="宋体" w:cs="宋体"/>
          <w:szCs w:val="24"/>
          <w:highlight w:val="none"/>
        </w:rPr>
        <w:t>30.6.8不符合法律、法规、规章和政府采购监管机构规定的其他条件的。</w:t>
      </w:r>
    </w:p>
    <w:p w14:paraId="6F657580">
      <w:pPr>
        <w:spacing w:line="500" w:lineRule="exact"/>
        <w:ind w:right="12" w:firstLine="480"/>
        <w:rPr>
          <w:rFonts w:hAnsi="宋体" w:cs="宋体"/>
          <w:szCs w:val="24"/>
          <w:highlight w:val="none"/>
        </w:rPr>
      </w:pPr>
      <w:r>
        <w:rPr>
          <w:rFonts w:hint="eastAsia" w:hAnsi="宋体" w:cs="宋体"/>
          <w:szCs w:val="24"/>
          <w:highlight w:val="none"/>
        </w:rPr>
        <w:t>30.7质疑答复</w:t>
      </w:r>
    </w:p>
    <w:p w14:paraId="71B8441C">
      <w:pPr>
        <w:spacing w:line="500" w:lineRule="exact"/>
        <w:ind w:right="12" w:firstLine="480"/>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001DF24A">
      <w:pPr>
        <w:spacing w:line="500" w:lineRule="exact"/>
        <w:ind w:right="12" w:firstLine="480"/>
        <w:rPr>
          <w:rFonts w:hAnsi="宋体" w:cs="宋体"/>
          <w:szCs w:val="24"/>
          <w:highlight w:val="none"/>
        </w:rPr>
      </w:pPr>
      <w:r>
        <w:rPr>
          <w:rFonts w:hint="eastAsia" w:hAnsi="宋体" w:cs="宋体"/>
          <w:szCs w:val="24"/>
          <w:highlight w:val="none"/>
        </w:rPr>
        <w:t>30.7.2质疑供应商对采购人、采购代理机构的答复不满意，或者采购人、采购代理机构未在规定时间内作出答复的，可以在答复期满后15个工作日内向项目主管财政部门提起投诉。</w:t>
      </w:r>
    </w:p>
    <w:p w14:paraId="0D36D95E">
      <w:pPr>
        <w:spacing w:line="500" w:lineRule="exact"/>
        <w:ind w:right="12" w:firstLine="480"/>
        <w:rPr>
          <w:rFonts w:hAnsi="宋体" w:cs="宋体"/>
          <w:szCs w:val="24"/>
          <w:highlight w:val="none"/>
        </w:rPr>
      </w:pPr>
      <w:r>
        <w:rPr>
          <w:rFonts w:hint="eastAsia" w:hAnsi="宋体" w:cs="宋体"/>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5D0328A1">
      <w:pPr>
        <w:pStyle w:val="29"/>
        <w:spacing w:line="500" w:lineRule="exact"/>
        <w:ind w:firstLine="480" w:firstLineChars="0"/>
        <w:jc w:val="left"/>
        <w:rPr>
          <w:rFonts w:hAnsi="宋体" w:cs="宋体"/>
          <w:szCs w:val="24"/>
          <w:highlight w:val="none"/>
        </w:rPr>
      </w:pPr>
      <w:r>
        <w:rPr>
          <w:rFonts w:hint="eastAsia" w:hAnsi="宋体" w:cs="宋体"/>
          <w:szCs w:val="24"/>
          <w:highlight w:val="none"/>
        </w:rPr>
        <w:t>http://gks.mof.gov.cn/zhengfucaigouguanli/201802/t20180201_2804589.html</w:t>
      </w:r>
    </w:p>
    <w:p w14:paraId="2E6F60B0">
      <w:pPr>
        <w:pStyle w:val="29"/>
        <w:spacing w:line="500" w:lineRule="exact"/>
        <w:ind w:firstLine="480" w:firstLineChars="0"/>
        <w:jc w:val="left"/>
        <w:rPr>
          <w:rFonts w:hAnsi="宋体" w:cs="宋体"/>
          <w:szCs w:val="24"/>
          <w:highlight w:val="none"/>
        </w:rPr>
      </w:pPr>
      <w:r>
        <w:rPr>
          <w:rFonts w:hint="eastAsia" w:hAnsi="宋体" w:cs="宋体"/>
          <w:szCs w:val="24"/>
          <w:highlight w:val="none"/>
        </w:rPr>
        <w:t>30.8.2接收质疑函的方式：书面形式</w:t>
      </w:r>
    </w:p>
    <w:p w14:paraId="127610E7">
      <w:pPr>
        <w:pStyle w:val="29"/>
        <w:spacing w:line="500" w:lineRule="exact"/>
        <w:ind w:firstLine="480" w:firstLineChars="0"/>
        <w:jc w:val="left"/>
        <w:rPr>
          <w:rFonts w:hAnsi="宋体" w:cs="宋体"/>
          <w:szCs w:val="24"/>
          <w:highlight w:val="none"/>
        </w:rPr>
      </w:pPr>
      <w:r>
        <w:rPr>
          <w:rFonts w:hint="eastAsia" w:hAnsi="宋体" w:cs="宋体"/>
          <w:szCs w:val="24"/>
          <w:highlight w:val="none"/>
        </w:rPr>
        <w:t>30.8.3联系部门：</w:t>
      </w:r>
      <w:r>
        <w:rPr>
          <w:rFonts w:hint="eastAsia" w:hAnsi="宋体" w:cs="宋体"/>
          <w:szCs w:val="24"/>
          <w:highlight w:val="none"/>
          <w:lang w:eastAsia="zh-CN"/>
        </w:rPr>
        <w:t>陕西银正项目管理有限公司</w:t>
      </w:r>
      <w:r>
        <w:rPr>
          <w:rFonts w:hint="eastAsia" w:hAnsi="宋体" w:cs="宋体"/>
          <w:szCs w:val="24"/>
          <w:highlight w:val="none"/>
        </w:rPr>
        <w:t>前台</w:t>
      </w:r>
    </w:p>
    <w:p w14:paraId="2F3DD23D">
      <w:pPr>
        <w:pStyle w:val="29"/>
        <w:spacing w:line="500" w:lineRule="exact"/>
        <w:ind w:firstLine="480" w:firstLineChars="0"/>
        <w:jc w:val="left"/>
        <w:rPr>
          <w:rFonts w:hint="eastAsia" w:hAnsi="宋体" w:eastAsia="宋体" w:cs="宋体"/>
          <w:szCs w:val="24"/>
          <w:highlight w:val="none"/>
          <w:lang w:eastAsia="zh-CN"/>
        </w:rPr>
      </w:pPr>
      <w:r>
        <w:rPr>
          <w:rFonts w:hint="eastAsia" w:hAnsi="宋体" w:cs="宋体"/>
          <w:szCs w:val="24"/>
          <w:highlight w:val="none"/>
        </w:rPr>
        <w:t>30.8.4联系电话：</w:t>
      </w:r>
      <w:r>
        <w:rPr>
          <w:rFonts w:hint="eastAsia" w:hAnsi="宋体" w:cs="宋体"/>
          <w:szCs w:val="24"/>
          <w:highlight w:val="none"/>
          <w:lang w:eastAsia="zh-CN"/>
        </w:rPr>
        <w:t>18202922130</w:t>
      </w:r>
    </w:p>
    <w:p w14:paraId="20D4CE56">
      <w:pPr>
        <w:pStyle w:val="29"/>
        <w:spacing w:line="500" w:lineRule="exact"/>
        <w:ind w:firstLine="480" w:firstLineChars="0"/>
        <w:jc w:val="left"/>
        <w:rPr>
          <w:rFonts w:hint="eastAsia" w:hAnsi="宋体" w:eastAsia="宋体" w:cs="宋体"/>
          <w:szCs w:val="24"/>
          <w:highlight w:val="none"/>
          <w:lang w:eastAsia="zh-CN"/>
        </w:rPr>
      </w:pPr>
      <w:r>
        <w:rPr>
          <w:rFonts w:hint="eastAsia" w:hAnsi="宋体" w:cs="宋体"/>
          <w:szCs w:val="24"/>
          <w:highlight w:val="none"/>
        </w:rPr>
        <w:t>31.8.5通讯地址：</w:t>
      </w:r>
      <w:r>
        <w:rPr>
          <w:rFonts w:hint="eastAsia" w:hAnsi="宋体" w:cs="宋体"/>
          <w:szCs w:val="24"/>
          <w:highlight w:val="none"/>
          <w:lang w:eastAsia="zh-CN"/>
        </w:rPr>
        <w:t>陕西省西安市未央区西安市经济技术开发区凤城二路海荣翡翠国际城1幢12306号</w:t>
      </w:r>
    </w:p>
    <w:p w14:paraId="190910DF">
      <w:pPr>
        <w:spacing w:line="500" w:lineRule="exact"/>
        <w:rPr>
          <w:rFonts w:hAnsi="宋体" w:cs="宋体"/>
          <w:szCs w:val="24"/>
          <w:highlight w:val="none"/>
        </w:rPr>
      </w:pPr>
      <w:r>
        <w:rPr>
          <w:rFonts w:hint="eastAsia" w:hAnsi="宋体" w:cs="宋体"/>
          <w:b/>
          <w:bCs/>
          <w:szCs w:val="24"/>
          <w:highlight w:val="none"/>
        </w:rPr>
        <w:t>32.其他</w:t>
      </w:r>
    </w:p>
    <w:p w14:paraId="5973C718">
      <w:pPr>
        <w:spacing w:line="500" w:lineRule="exact"/>
        <w:ind w:firstLine="480" w:firstLineChars="200"/>
        <w:rPr>
          <w:rFonts w:hAnsi="宋体" w:cs="宋体"/>
          <w:highlight w:val="none"/>
        </w:rPr>
      </w:pPr>
      <w:r>
        <w:rPr>
          <w:rFonts w:hint="eastAsia" w:hAnsi="宋体" w:cs="宋体"/>
          <w:highlight w:val="none"/>
        </w:rPr>
        <w:t>32.1 废标的情形</w:t>
      </w:r>
    </w:p>
    <w:p w14:paraId="0B6A2C15">
      <w:pPr>
        <w:spacing w:line="500" w:lineRule="exact"/>
        <w:ind w:firstLine="480" w:firstLineChars="200"/>
        <w:rPr>
          <w:rFonts w:hAnsi="宋体" w:cs="宋体"/>
          <w:highlight w:val="none"/>
        </w:rPr>
      </w:pPr>
      <w:r>
        <w:rPr>
          <w:rFonts w:hint="eastAsia" w:hAnsi="宋体" w:cs="宋体"/>
          <w:highlight w:val="none"/>
        </w:rPr>
        <w:t>32.1.1招标采购中，出现下列情形之一的，应予以废标：</w:t>
      </w:r>
    </w:p>
    <w:p w14:paraId="1F8D0FDC">
      <w:pPr>
        <w:spacing w:line="500" w:lineRule="exact"/>
        <w:ind w:firstLine="480" w:firstLineChars="200"/>
        <w:rPr>
          <w:rFonts w:hAnsi="宋体" w:cs="宋体"/>
          <w:highlight w:val="none"/>
        </w:rPr>
      </w:pPr>
      <w:r>
        <w:rPr>
          <w:rFonts w:hint="eastAsia" w:hAnsi="宋体" w:cs="宋体"/>
          <w:highlight w:val="none"/>
        </w:rPr>
        <w:t>（1）符合专业条件的供应商或者对招标文件作实质响应的供应商不足3家的；</w:t>
      </w:r>
    </w:p>
    <w:p w14:paraId="5CF668C5">
      <w:pPr>
        <w:spacing w:line="500" w:lineRule="exact"/>
        <w:ind w:firstLine="480" w:firstLineChars="200"/>
        <w:rPr>
          <w:rFonts w:hAnsi="宋体" w:cs="宋体"/>
          <w:highlight w:val="none"/>
        </w:rPr>
      </w:pPr>
      <w:r>
        <w:rPr>
          <w:rFonts w:hint="eastAsia" w:hAnsi="宋体" w:cs="宋体"/>
          <w:highlight w:val="none"/>
        </w:rPr>
        <w:t>（2）出现影响采购公正的违法、违规行为的；</w:t>
      </w:r>
    </w:p>
    <w:p w14:paraId="47ED2B64">
      <w:pPr>
        <w:spacing w:line="500" w:lineRule="exact"/>
        <w:ind w:firstLine="480" w:firstLineChars="200"/>
        <w:rPr>
          <w:rFonts w:hAnsi="宋体" w:cs="宋体"/>
          <w:highlight w:val="none"/>
        </w:rPr>
      </w:pPr>
      <w:r>
        <w:rPr>
          <w:rFonts w:hint="eastAsia" w:hAnsi="宋体" w:cs="宋体"/>
          <w:highlight w:val="none"/>
        </w:rPr>
        <w:t>（3）供应商的报价均超过了采购预算，采购人不能支付的；</w:t>
      </w:r>
    </w:p>
    <w:p w14:paraId="4E50A515">
      <w:pPr>
        <w:spacing w:line="500" w:lineRule="exact"/>
        <w:ind w:firstLine="480" w:firstLineChars="200"/>
        <w:rPr>
          <w:rFonts w:hAnsi="宋体" w:cs="宋体"/>
          <w:highlight w:val="none"/>
        </w:rPr>
      </w:pPr>
      <w:r>
        <w:rPr>
          <w:rFonts w:hint="eastAsia" w:hAnsi="宋体" w:cs="宋体"/>
          <w:highlight w:val="none"/>
        </w:rPr>
        <w:t>（4）因重大变故，采购任务取消的。</w:t>
      </w:r>
    </w:p>
    <w:p w14:paraId="0AFFB08F">
      <w:pPr>
        <w:spacing w:line="500" w:lineRule="exact"/>
        <w:ind w:firstLine="480" w:firstLineChars="200"/>
        <w:rPr>
          <w:rFonts w:hAnsi="宋体" w:cs="宋体"/>
          <w:highlight w:val="none"/>
        </w:rPr>
      </w:pPr>
      <w:r>
        <w:rPr>
          <w:rFonts w:hint="eastAsia" w:hAnsi="宋体" w:cs="宋体"/>
          <w:highlight w:val="none"/>
        </w:rPr>
        <w:t>32.1.2废标后，采购代理机构应在财政部门指定采购网上公告，并公告废标的详细理由。</w:t>
      </w:r>
    </w:p>
    <w:p w14:paraId="36A40C07">
      <w:pPr>
        <w:spacing w:line="500" w:lineRule="exact"/>
        <w:ind w:firstLine="480" w:firstLineChars="200"/>
        <w:rPr>
          <w:rFonts w:hAnsi="宋体" w:cs="宋体"/>
          <w:highlight w:val="none"/>
        </w:rPr>
      </w:pPr>
      <w:r>
        <w:rPr>
          <w:rFonts w:hint="eastAsia" w:hAnsi="宋体" w:cs="宋体"/>
          <w:highlight w:val="none"/>
        </w:rPr>
        <w:t>32.2变更采购方式</w:t>
      </w:r>
    </w:p>
    <w:p w14:paraId="10A51A9B">
      <w:pPr>
        <w:spacing w:line="500" w:lineRule="exact"/>
        <w:ind w:firstLine="480" w:firstLineChars="200"/>
        <w:rPr>
          <w:rFonts w:hAnsi="宋体" w:cs="宋体"/>
          <w:highlight w:val="none"/>
        </w:rPr>
      </w:pPr>
      <w:r>
        <w:rPr>
          <w:rFonts w:hint="eastAsia" w:hAnsi="宋体" w:cs="宋体"/>
          <w:highlight w:val="none"/>
        </w:rPr>
        <w:t>32.2.1存在下列情形之一的，除采购任务取消情形外，采购人经同级财政部门同意后，可按《政府采购货物和服务招标投标管理办法》（财政部87号令）第四十三条规定的方式处理：</w:t>
      </w:r>
    </w:p>
    <w:p w14:paraId="2CE7AC4B">
      <w:pPr>
        <w:spacing w:line="500" w:lineRule="exact"/>
        <w:ind w:firstLine="480" w:firstLineChars="200"/>
        <w:rPr>
          <w:rFonts w:hAnsi="宋体" w:cs="宋体"/>
          <w:highlight w:val="none"/>
        </w:rPr>
      </w:pPr>
      <w:r>
        <w:rPr>
          <w:rFonts w:hint="eastAsia" w:hAnsi="宋体" w:cs="宋体"/>
          <w:highlight w:val="none"/>
        </w:rPr>
        <w:t>（1）投标截止后参加投标的人不足3家的；</w:t>
      </w:r>
    </w:p>
    <w:p w14:paraId="672A001D">
      <w:pPr>
        <w:spacing w:line="500" w:lineRule="exact"/>
        <w:ind w:firstLine="480" w:firstLineChars="200"/>
        <w:rPr>
          <w:rFonts w:hAnsi="宋体" w:cs="宋体"/>
          <w:highlight w:val="none"/>
        </w:rPr>
      </w:pPr>
      <w:r>
        <w:rPr>
          <w:rFonts w:hint="eastAsia" w:hAnsi="宋体" w:cs="宋体"/>
          <w:highlight w:val="none"/>
        </w:rPr>
        <w:t>（2）通过资格审查的供应商不足3家的；</w:t>
      </w:r>
    </w:p>
    <w:p w14:paraId="3D7FECB8">
      <w:pPr>
        <w:spacing w:line="500" w:lineRule="exact"/>
        <w:ind w:firstLine="480" w:firstLineChars="200"/>
        <w:rPr>
          <w:rFonts w:hAnsi="宋体" w:cs="宋体"/>
          <w:highlight w:val="none"/>
        </w:rPr>
      </w:pPr>
      <w:r>
        <w:rPr>
          <w:rFonts w:hint="eastAsia" w:hAnsi="宋体" w:cs="宋体"/>
          <w:highlight w:val="none"/>
        </w:rPr>
        <w:t>（3）通过符合性审查的供应商不足3家的。</w:t>
      </w:r>
    </w:p>
    <w:p w14:paraId="311802C7">
      <w:pPr>
        <w:spacing w:line="500" w:lineRule="exact"/>
        <w:ind w:firstLine="480" w:firstLineChars="200"/>
        <w:rPr>
          <w:rFonts w:hAnsi="宋体" w:cs="宋体"/>
          <w:highlight w:val="none"/>
        </w:rPr>
      </w:pPr>
      <w:r>
        <w:rPr>
          <w:rFonts w:hint="eastAsia" w:hAnsi="宋体" w:cs="宋体"/>
          <w:highlight w:val="none"/>
        </w:rPr>
        <w:t>32.2.2通过符合性审查的供应商只有2家时，采购人经同级财政部门同意后，可以按《政府采购非招标采购方式管理办法》（财政部第74号令）的规定与该2家供应商进行竞争性谈判采购。</w:t>
      </w:r>
    </w:p>
    <w:p w14:paraId="4719C1F4">
      <w:pPr>
        <w:spacing w:line="500" w:lineRule="exact"/>
        <w:rPr>
          <w:rFonts w:hAnsi="宋体" w:cs="宋体"/>
          <w:b/>
          <w:bCs/>
          <w:highlight w:val="none"/>
        </w:rPr>
      </w:pPr>
      <w:bookmarkStart w:id="54" w:name="_Toc6721"/>
      <w:bookmarkStart w:id="55" w:name="_Toc363474023"/>
      <w:r>
        <w:rPr>
          <w:rFonts w:hint="eastAsia" w:hAnsi="宋体" w:cs="宋体"/>
          <w:b/>
          <w:bCs/>
          <w:highlight w:val="none"/>
        </w:rPr>
        <w:t>33 同品牌投标</w:t>
      </w:r>
    </w:p>
    <w:p w14:paraId="4F8061EA">
      <w:pPr>
        <w:spacing w:line="500" w:lineRule="exact"/>
        <w:ind w:firstLine="480" w:firstLineChars="200"/>
        <w:rPr>
          <w:rFonts w:hAnsi="宋体" w:cs="宋体"/>
          <w:highlight w:val="none"/>
        </w:rPr>
      </w:pPr>
      <w:r>
        <w:rPr>
          <w:rFonts w:hint="eastAsia" w:hAnsi="宋体" w:cs="宋体"/>
          <w:highlight w:val="none"/>
        </w:rPr>
        <w:t>33.1采用最低评标价法的采购项目，提供相同品牌产品的不同投标人参加同一合同项下投标的，以其中通过资格审查、符合性审查且报价最低的参加评标；报价相同的，由采购人自行确定一个参加评标的投标人，其他投标无效。</w:t>
      </w:r>
    </w:p>
    <w:p w14:paraId="43358FF4">
      <w:pPr>
        <w:spacing w:line="500" w:lineRule="exact"/>
        <w:ind w:firstLine="480" w:firstLineChars="200"/>
        <w:rPr>
          <w:rFonts w:hAnsi="宋体" w:cs="宋体"/>
          <w:highlight w:val="none"/>
        </w:rPr>
      </w:pPr>
      <w:r>
        <w:rPr>
          <w:rFonts w:hint="eastAsia" w:hAnsi="宋体" w:cs="宋体"/>
          <w:highlight w:val="none"/>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确定一个投标人获得中标人推荐资格，其他同品牌投标人不作为中标候选人。</w:t>
      </w:r>
    </w:p>
    <w:p w14:paraId="5F2179E8">
      <w:pPr>
        <w:spacing w:line="500" w:lineRule="exact"/>
        <w:ind w:firstLine="480" w:firstLineChars="200"/>
        <w:rPr>
          <w:rFonts w:hAnsi="宋体" w:cs="宋体"/>
          <w:sz w:val="36"/>
          <w:szCs w:val="36"/>
          <w:highlight w:val="none"/>
        </w:rPr>
      </w:pPr>
      <w:r>
        <w:rPr>
          <w:rFonts w:hint="eastAsia" w:hAnsi="宋体" w:cs="宋体"/>
          <w:highlight w:val="none"/>
        </w:rPr>
        <w:t>33.3非单一产品采购项目，在第二章投标人须知前附表中载明核心产品。多家投标人提供的核心产品品牌相同的，按前两款规定处理。</w:t>
      </w:r>
    </w:p>
    <w:p w14:paraId="18078738">
      <w:pPr>
        <w:rPr>
          <w:rFonts w:hAnsi="宋体" w:cs="宋体"/>
          <w:sz w:val="36"/>
          <w:szCs w:val="36"/>
          <w:highlight w:val="none"/>
        </w:rPr>
      </w:pPr>
      <w:r>
        <w:rPr>
          <w:rFonts w:hint="eastAsia" w:hAnsi="宋体" w:cs="宋体"/>
          <w:sz w:val="36"/>
          <w:szCs w:val="36"/>
          <w:highlight w:val="none"/>
        </w:rPr>
        <w:br w:type="page"/>
      </w:r>
    </w:p>
    <w:p w14:paraId="2EAADE95">
      <w:pPr>
        <w:pStyle w:val="2"/>
        <w:jc w:val="center"/>
        <w:rPr>
          <w:rFonts w:ascii="宋体" w:eastAsia="宋体" w:cs="宋体"/>
          <w:sz w:val="36"/>
          <w:szCs w:val="36"/>
          <w:highlight w:val="none"/>
        </w:rPr>
      </w:pPr>
      <w:bookmarkStart w:id="56" w:name="_Toc29164"/>
      <w:r>
        <w:rPr>
          <w:rFonts w:hint="eastAsia" w:ascii="宋体" w:eastAsia="宋体" w:cs="宋体"/>
          <w:sz w:val="36"/>
          <w:szCs w:val="36"/>
          <w:highlight w:val="none"/>
        </w:rPr>
        <w:t>第三章  合同条款及格式</w:t>
      </w:r>
      <w:bookmarkEnd w:id="54"/>
      <w:bookmarkEnd w:id="56"/>
    </w:p>
    <w:p w14:paraId="20EB0618">
      <w:pPr>
        <w:pStyle w:val="3"/>
        <w:jc w:val="center"/>
        <w:rPr>
          <w:rFonts w:ascii="宋体" w:hAnsi="宋体" w:cs="宋体"/>
          <w:highlight w:val="none"/>
        </w:rPr>
      </w:pPr>
      <w:bookmarkStart w:id="57" w:name="_Toc476"/>
      <w:bookmarkStart w:id="58" w:name="_Toc26935"/>
      <w:bookmarkStart w:id="59" w:name="_Toc28117"/>
      <w:bookmarkStart w:id="60" w:name="_Toc426457695"/>
      <w:bookmarkStart w:id="61" w:name="_Toc317530110"/>
      <w:bookmarkStart w:id="62" w:name="_Toc20481"/>
      <w:bookmarkStart w:id="63" w:name="_Toc1025"/>
      <w:bookmarkStart w:id="64" w:name="_Toc4053"/>
      <w:bookmarkStart w:id="65" w:name="_Toc389582038"/>
      <w:bookmarkStart w:id="66" w:name="_Toc2711"/>
      <w:bookmarkStart w:id="67" w:name="_Toc23856"/>
      <w:bookmarkStart w:id="68" w:name="_Toc11450"/>
      <w:r>
        <w:rPr>
          <w:rFonts w:hint="eastAsia"/>
          <w:highlight w:val="none"/>
        </w:rPr>
        <w:t>合同条款及格式前附表</w:t>
      </w:r>
      <w:bookmarkEnd w:id="57"/>
      <w:bookmarkEnd w:id="58"/>
      <w:bookmarkEnd w:id="59"/>
      <w:bookmarkEnd w:id="60"/>
    </w:p>
    <w:p w14:paraId="65C359F0">
      <w:pPr>
        <w:rPr>
          <w:highlight w:val="none"/>
        </w:rPr>
      </w:pPr>
      <w:r>
        <w:rPr>
          <w:rFonts w:hint="eastAsia"/>
          <w:b/>
          <w:bCs/>
          <w:highlight w:val="none"/>
        </w:rPr>
        <w:t>本表是对合同条款的具体补充和修改，如有矛盾，应以本资料表为准。</w:t>
      </w:r>
    </w:p>
    <w:tbl>
      <w:tblPr>
        <w:tblStyle w:val="22"/>
        <w:tblW w:w="94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8546"/>
      </w:tblGrid>
      <w:tr w14:paraId="5C9DB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65" w:type="dxa"/>
            <w:vAlign w:val="center"/>
          </w:tcPr>
          <w:p w14:paraId="1AFA48B4">
            <w:pPr>
              <w:spacing w:line="360" w:lineRule="auto"/>
              <w:jc w:val="center"/>
              <w:rPr>
                <w:rFonts w:hAnsi="宋体" w:cs="宋体"/>
                <w:b/>
                <w:szCs w:val="24"/>
                <w:highlight w:val="none"/>
              </w:rPr>
            </w:pPr>
            <w:bookmarkStart w:id="69" w:name="_Toc403077645"/>
            <w:bookmarkStart w:id="70" w:name="_Toc11810"/>
            <w:bookmarkStart w:id="71" w:name="_Toc426457694"/>
            <w:bookmarkStart w:id="72" w:name="_Toc3798"/>
            <w:bookmarkStart w:id="73" w:name="_Toc15898"/>
            <w:r>
              <w:rPr>
                <w:rFonts w:hint="eastAsia" w:hAnsi="宋体" w:cs="宋体"/>
                <w:b/>
                <w:szCs w:val="24"/>
                <w:highlight w:val="none"/>
              </w:rPr>
              <w:t>序号</w:t>
            </w:r>
          </w:p>
        </w:tc>
        <w:tc>
          <w:tcPr>
            <w:tcW w:w="8546" w:type="dxa"/>
            <w:vAlign w:val="center"/>
          </w:tcPr>
          <w:p w14:paraId="295CC8DF">
            <w:pPr>
              <w:spacing w:line="360" w:lineRule="auto"/>
              <w:jc w:val="center"/>
              <w:rPr>
                <w:rFonts w:hAnsi="宋体" w:cs="宋体"/>
                <w:b/>
                <w:szCs w:val="24"/>
                <w:highlight w:val="none"/>
              </w:rPr>
            </w:pPr>
            <w:r>
              <w:rPr>
                <w:rFonts w:hint="eastAsia" w:hAnsi="宋体" w:cs="宋体"/>
                <w:b/>
                <w:szCs w:val="24"/>
                <w:highlight w:val="none"/>
              </w:rPr>
              <w:t>内      容</w:t>
            </w:r>
          </w:p>
        </w:tc>
      </w:tr>
      <w:tr w14:paraId="65869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8" w:hRule="atLeast"/>
        </w:trPr>
        <w:tc>
          <w:tcPr>
            <w:tcW w:w="865" w:type="dxa"/>
            <w:vAlign w:val="center"/>
          </w:tcPr>
          <w:p w14:paraId="7F98BD37">
            <w:pPr>
              <w:spacing w:line="360" w:lineRule="auto"/>
              <w:jc w:val="center"/>
              <w:rPr>
                <w:rFonts w:hAnsi="宋体" w:cs="宋体"/>
                <w:szCs w:val="24"/>
                <w:highlight w:val="none"/>
              </w:rPr>
            </w:pPr>
            <w:r>
              <w:rPr>
                <w:rFonts w:hint="eastAsia" w:hAnsi="宋体" w:cs="宋体"/>
                <w:szCs w:val="24"/>
                <w:highlight w:val="none"/>
              </w:rPr>
              <w:t>1</w:t>
            </w:r>
          </w:p>
        </w:tc>
        <w:tc>
          <w:tcPr>
            <w:tcW w:w="8546" w:type="dxa"/>
            <w:vAlign w:val="center"/>
          </w:tcPr>
          <w:p w14:paraId="52A246AE">
            <w:pPr>
              <w:spacing w:line="360" w:lineRule="auto"/>
              <w:rPr>
                <w:rFonts w:hint="eastAsia" w:hAnsi="宋体" w:eastAsia="宋体" w:cs="宋体"/>
                <w:b w:val="0"/>
                <w:bCs/>
                <w:szCs w:val="24"/>
                <w:highlight w:val="none"/>
                <w:lang w:eastAsia="zh-CN"/>
              </w:rPr>
            </w:pPr>
            <w:r>
              <w:rPr>
                <w:rFonts w:hint="eastAsia" w:hAnsi="宋体" w:cs="宋体"/>
                <w:b/>
                <w:szCs w:val="24"/>
                <w:highlight w:val="none"/>
              </w:rPr>
              <w:t>采购人名称</w:t>
            </w:r>
            <w:r>
              <w:rPr>
                <w:rFonts w:hint="eastAsia" w:hAnsi="宋体" w:cs="宋体"/>
                <w:szCs w:val="24"/>
                <w:highlight w:val="none"/>
              </w:rPr>
              <w:t>：</w:t>
            </w:r>
            <w:r>
              <w:rPr>
                <w:rFonts w:hint="eastAsia" w:hAnsi="宋体" w:cs="宋体"/>
                <w:b w:val="0"/>
                <w:bCs/>
                <w:szCs w:val="24"/>
                <w:highlight w:val="none"/>
                <w:lang w:eastAsia="zh-CN"/>
              </w:rPr>
              <w:t>镇安县教师发展中心</w:t>
            </w:r>
          </w:p>
          <w:p w14:paraId="1F575CBB">
            <w:pPr>
              <w:spacing w:line="360" w:lineRule="auto"/>
              <w:rPr>
                <w:rFonts w:hint="eastAsia" w:hAnsi="宋体" w:eastAsia="宋体" w:cs="宋体"/>
                <w:b w:val="0"/>
                <w:bCs/>
                <w:szCs w:val="24"/>
                <w:highlight w:val="none"/>
                <w:lang w:eastAsia="zh-CN"/>
              </w:rPr>
            </w:pPr>
            <w:r>
              <w:rPr>
                <w:rFonts w:hint="eastAsia" w:hAnsi="宋体" w:cs="宋体"/>
                <w:b/>
                <w:szCs w:val="24"/>
                <w:highlight w:val="none"/>
              </w:rPr>
              <w:t>地址：</w:t>
            </w:r>
            <w:r>
              <w:rPr>
                <w:rFonts w:hint="eastAsia" w:hAnsi="宋体" w:cs="宋体"/>
                <w:b w:val="0"/>
                <w:bCs/>
                <w:szCs w:val="24"/>
                <w:highlight w:val="none"/>
                <w:lang w:eastAsia="zh-CN"/>
              </w:rPr>
              <w:t>镇安县河滨路197号</w:t>
            </w:r>
          </w:p>
          <w:p w14:paraId="32160B97">
            <w:pPr>
              <w:spacing w:line="360" w:lineRule="auto"/>
              <w:rPr>
                <w:rFonts w:hint="eastAsia" w:hAnsi="宋体" w:eastAsia="宋体" w:cs="宋体"/>
                <w:szCs w:val="24"/>
                <w:highlight w:val="none"/>
                <w:lang w:eastAsia="zh-CN"/>
              </w:rPr>
            </w:pPr>
            <w:r>
              <w:rPr>
                <w:rFonts w:hint="eastAsia" w:hAnsi="宋体" w:cs="宋体"/>
                <w:b/>
                <w:szCs w:val="24"/>
                <w:highlight w:val="none"/>
              </w:rPr>
              <w:t>项目名称</w:t>
            </w:r>
            <w:r>
              <w:rPr>
                <w:rFonts w:hint="eastAsia" w:hAnsi="宋体" w:cs="宋体"/>
                <w:szCs w:val="24"/>
                <w:highlight w:val="none"/>
              </w:rPr>
              <w:t>：</w:t>
            </w:r>
            <w:r>
              <w:rPr>
                <w:rFonts w:hint="eastAsia" w:hAnsi="宋体" w:cs="宋体"/>
                <w:szCs w:val="24"/>
                <w:highlight w:val="none"/>
                <w:lang w:eastAsia="zh-CN"/>
              </w:rPr>
              <w:t>多功能录播教室建设项目</w:t>
            </w:r>
          </w:p>
          <w:p w14:paraId="07B9C1EA">
            <w:pPr>
              <w:spacing w:line="360" w:lineRule="auto"/>
              <w:rPr>
                <w:rFonts w:hint="default" w:hAnsi="宋体" w:cs="宋体"/>
                <w:szCs w:val="24"/>
                <w:highlight w:val="none"/>
                <w:lang w:val="en-US"/>
              </w:rPr>
            </w:pPr>
            <w:r>
              <w:rPr>
                <w:rFonts w:hint="eastAsia" w:hAnsi="宋体" w:cs="宋体"/>
                <w:b/>
                <w:szCs w:val="24"/>
                <w:highlight w:val="none"/>
              </w:rPr>
              <w:t>资金来源：</w:t>
            </w:r>
            <w:r>
              <w:rPr>
                <w:rFonts w:hint="eastAsia" w:hAnsi="宋体" w:cs="宋体"/>
                <w:szCs w:val="24"/>
                <w:highlight w:val="none"/>
                <w:lang w:val="en-US" w:eastAsia="zh-CN"/>
              </w:rPr>
              <w:t>财政资金</w:t>
            </w:r>
          </w:p>
        </w:tc>
      </w:tr>
      <w:tr w14:paraId="05F8B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3" w:hRule="atLeast"/>
        </w:trPr>
        <w:tc>
          <w:tcPr>
            <w:tcW w:w="865" w:type="dxa"/>
            <w:vAlign w:val="center"/>
          </w:tcPr>
          <w:p w14:paraId="6D7E93D7">
            <w:pPr>
              <w:spacing w:line="360" w:lineRule="auto"/>
              <w:jc w:val="center"/>
              <w:rPr>
                <w:rFonts w:hAnsi="宋体" w:cs="宋体"/>
                <w:szCs w:val="24"/>
                <w:highlight w:val="none"/>
              </w:rPr>
            </w:pPr>
            <w:r>
              <w:rPr>
                <w:rFonts w:hint="eastAsia" w:hAnsi="宋体" w:cs="宋体"/>
                <w:szCs w:val="24"/>
                <w:highlight w:val="none"/>
              </w:rPr>
              <w:t>2</w:t>
            </w:r>
          </w:p>
        </w:tc>
        <w:tc>
          <w:tcPr>
            <w:tcW w:w="8546" w:type="dxa"/>
            <w:vAlign w:val="center"/>
          </w:tcPr>
          <w:p w14:paraId="6FD7DB76">
            <w:pPr>
              <w:spacing w:line="360" w:lineRule="auto"/>
              <w:rPr>
                <w:rFonts w:hAnsi="宋体" w:cs="宋体"/>
                <w:szCs w:val="24"/>
                <w:highlight w:val="none"/>
              </w:rPr>
            </w:pPr>
            <w:r>
              <w:rPr>
                <w:rFonts w:hint="eastAsia" w:hAnsi="宋体" w:cs="宋体"/>
                <w:b/>
                <w:szCs w:val="24"/>
                <w:highlight w:val="none"/>
              </w:rPr>
              <w:t>名词解释：</w:t>
            </w:r>
            <w:r>
              <w:rPr>
                <w:rFonts w:hint="eastAsia" w:hAnsi="宋体" w:cs="宋体"/>
                <w:szCs w:val="24"/>
                <w:highlight w:val="none"/>
              </w:rPr>
              <w:t>本章节中出现的 “投标人”，在招标投标阶段措辞为“投标人”；在项目招标结束，中标结果确定后，措辞由“投标人”转为“中标人”；在采购人与中标人签订合同，履约、实施阶段，措辞由“中标人”转为“投标人”。</w:t>
            </w:r>
          </w:p>
        </w:tc>
      </w:tr>
      <w:tr w14:paraId="607AE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865" w:type="dxa"/>
            <w:vAlign w:val="center"/>
          </w:tcPr>
          <w:p w14:paraId="63354C23">
            <w:pPr>
              <w:spacing w:line="360" w:lineRule="auto"/>
              <w:jc w:val="center"/>
              <w:rPr>
                <w:rFonts w:hAnsi="宋体" w:cs="宋体"/>
                <w:szCs w:val="24"/>
                <w:highlight w:val="none"/>
              </w:rPr>
            </w:pPr>
            <w:r>
              <w:rPr>
                <w:rFonts w:hint="eastAsia" w:hAnsi="宋体" w:cs="宋体"/>
                <w:szCs w:val="24"/>
                <w:highlight w:val="none"/>
              </w:rPr>
              <w:t>3</w:t>
            </w:r>
          </w:p>
        </w:tc>
        <w:tc>
          <w:tcPr>
            <w:tcW w:w="8546" w:type="dxa"/>
            <w:vAlign w:val="center"/>
          </w:tcPr>
          <w:p w14:paraId="0ADA5892">
            <w:pPr>
              <w:spacing w:line="360" w:lineRule="auto"/>
              <w:rPr>
                <w:rFonts w:hAnsi="宋体" w:cs="宋体"/>
                <w:b/>
                <w:szCs w:val="24"/>
                <w:highlight w:val="none"/>
              </w:rPr>
            </w:pPr>
            <w:r>
              <w:rPr>
                <w:rFonts w:hint="eastAsia" w:hAnsi="宋体" w:cs="宋体"/>
                <w:b/>
                <w:szCs w:val="24"/>
                <w:highlight w:val="none"/>
              </w:rPr>
              <w:t>项目实施地点：采购人指定地点</w:t>
            </w:r>
          </w:p>
        </w:tc>
      </w:tr>
      <w:tr w14:paraId="2861A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0" w:hRule="exact"/>
        </w:trPr>
        <w:tc>
          <w:tcPr>
            <w:tcW w:w="865" w:type="dxa"/>
            <w:vAlign w:val="center"/>
          </w:tcPr>
          <w:p w14:paraId="70747B02">
            <w:pPr>
              <w:spacing w:line="360" w:lineRule="auto"/>
              <w:jc w:val="center"/>
              <w:rPr>
                <w:rFonts w:hAnsi="宋体" w:cs="宋体"/>
                <w:szCs w:val="24"/>
                <w:highlight w:val="none"/>
              </w:rPr>
            </w:pPr>
            <w:r>
              <w:rPr>
                <w:rFonts w:hint="eastAsia" w:hAnsi="宋体" w:cs="宋体"/>
                <w:szCs w:val="24"/>
                <w:highlight w:val="none"/>
              </w:rPr>
              <w:t>4</w:t>
            </w:r>
          </w:p>
        </w:tc>
        <w:tc>
          <w:tcPr>
            <w:tcW w:w="8546" w:type="dxa"/>
            <w:vAlign w:val="center"/>
          </w:tcPr>
          <w:p w14:paraId="669CC0C5">
            <w:pPr>
              <w:spacing w:line="360" w:lineRule="auto"/>
              <w:rPr>
                <w:szCs w:val="24"/>
                <w:highlight w:val="none"/>
              </w:rPr>
            </w:pPr>
            <w:bookmarkStart w:id="74" w:name="OLE_LINK5"/>
            <w:bookmarkStart w:id="75" w:name="OLE_LINK6"/>
            <w:r>
              <w:rPr>
                <w:rFonts w:hint="eastAsia" w:hAnsi="宋体" w:cs="宋体"/>
                <w:b/>
                <w:szCs w:val="24"/>
                <w:highlight w:val="none"/>
              </w:rPr>
              <w:t>交货期（含安装调试期）：</w:t>
            </w:r>
            <w:bookmarkEnd w:id="74"/>
            <w:bookmarkEnd w:id="75"/>
            <w:r>
              <w:rPr>
                <w:rFonts w:hint="eastAsia" w:hAnsi="宋体" w:cs="宋体"/>
                <w:b/>
                <w:szCs w:val="24"/>
                <w:highlight w:val="none"/>
                <w:lang w:val="en-US" w:eastAsia="zh-CN"/>
              </w:rPr>
              <w:t>自合同签订后60日历日</w:t>
            </w:r>
            <w:r>
              <w:rPr>
                <w:rFonts w:hint="eastAsia" w:hAnsi="宋体" w:cs="宋体"/>
                <w:b/>
                <w:szCs w:val="24"/>
                <w:highlight w:val="none"/>
              </w:rPr>
              <w:t>；</w:t>
            </w:r>
          </w:p>
        </w:tc>
      </w:tr>
      <w:tr w14:paraId="32444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exact"/>
        </w:trPr>
        <w:tc>
          <w:tcPr>
            <w:tcW w:w="865" w:type="dxa"/>
            <w:vAlign w:val="center"/>
          </w:tcPr>
          <w:p w14:paraId="57F06546">
            <w:pPr>
              <w:spacing w:line="360" w:lineRule="auto"/>
              <w:jc w:val="center"/>
              <w:rPr>
                <w:rFonts w:hAnsi="宋体" w:cs="宋体"/>
                <w:szCs w:val="24"/>
                <w:highlight w:val="none"/>
              </w:rPr>
            </w:pPr>
            <w:r>
              <w:rPr>
                <w:rFonts w:hint="eastAsia" w:hAnsi="宋体" w:cs="宋体"/>
                <w:szCs w:val="24"/>
                <w:highlight w:val="none"/>
              </w:rPr>
              <w:t>5</w:t>
            </w:r>
          </w:p>
        </w:tc>
        <w:tc>
          <w:tcPr>
            <w:tcW w:w="8546" w:type="dxa"/>
            <w:vAlign w:val="center"/>
          </w:tcPr>
          <w:p w14:paraId="0B000C1F">
            <w:pPr>
              <w:spacing w:line="360" w:lineRule="auto"/>
              <w:rPr>
                <w:rFonts w:hAnsi="宋体" w:cs="宋体"/>
                <w:b/>
                <w:szCs w:val="24"/>
                <w:highlight w:val="none"/>
              </w:rPr>
            </w:pPr>
            <w:r>
              <w:rPr>
                <w:rFonts w:hint="eastAsia" w:hAnsi="宋体" w:cs="宋体"/>
                <w:b/>
                <w:szCs w:val="24"/>
                <w:highlight w:val="none"/>
              </w:rPr>
              <w:t>质保期：</w:t>
            </w:r>
            <w:r>
              <w:rPr>
                <w:rFonts w:hint="eastAsia" w:hAnsi="宋体" w:cs="宋体"/>
                <w:b/>
                <w:szCs w:val="24"/>
                <w:highlight w:val="none"/>
                <w:lang w:val="en-US" w:eastAsia="zh-CN"/>
              </w:rPr>
              <w:t>1年</w:t>
            </w:r>
            <w:r>
              <w:rPr>
                <w:rFonts w:hint="eastAsia" w:hAnsi="宋体" w:cs="宋体"/>
                <w:b/>
                <w:szCs w:val="24"/>
                <w:highlight w:val="none"/>
              </w:rPr>
              <w:t>；</w:t>
            </w:r>
          </w:p>
        </w:tc>
      </w:tr>
      <w:tr w14:paraId="4FBE9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exact"/>
        </w:trPr>
        <w:tc>
          <w:tcPr>
            <w:tcW w:w="865" w:type="dxa"/>
            <w:vAlign w:val="center"/>
          </w:tcPr>
          <w:p w14:paraId="685CC60B">
            <w:pPr>
              <w:spacing w:line="360" w:lineRule="auto"/>
              <w:jc w:val="center"/>
              <w:rPr>
                <w:rFonts w:hAnsi="宋体" w:cs="宋体"/>
                <w:szCs w:val="24"/>
                <w:highlight w:val="none"/>
              </w:rPr>
            </w:pPr>
            <w:r>
              <w:rPr>
                <w:rFonts w:hint="eastAsia" w:hAnsi="宋体" w:cs="宋体"/>
                <w:szCs w:val="24"/>
                <w:highlight w:val="none"/>
              </w:rPr>
              <w:t>6</w:t>
            </w:r>
          </w:p>
        </w:tc>
        <w:tc>
          <w:tcPr>
            <w:tcW w:w="8546" w:type="dxa"/>
            <w:vAlign w:val="center"/>
          </w:tcPr>
          <w:p w14:paraId="26795C3C">
            <w:pPr>
              <w:spacing w:line="360" w:lineRule="auto"/>
              <w:rPr>
                <w:rFonts w:hAnsi="宋体" w:cs="宋体"/>
                <w:b/>
                <w:szCs w:val="24"/>
                <w:highlight w:val="none"/>
              </w:rPr>
            </w:pPr>
            <w:r>
              <w:rPr>
                <w:rFonts w:hint="eastAsia" w:hAnsi="宋体" w:cs="宋体"/>
                <w:b/>
                <w:szCs w:val="24"/>
                <w:highlight w:val="none"/>
              </w:rPr>
              <w:t>付款：</w:t>
            </w:r>
          </w:p>
          <w:p w14:paraId="7DADCD7D">
            <w:pPr>
              <w:spacing w:line="360" w:lineRule="auto"/>
              <w:rPr>
                <w:rFonts w:hAnsi="宋体" w:cs="宋体"/>
                <w:bCs/>
                <w:szCs w:val="24"/>
                <w:highlight w:val="none"/>
              </w:rPr>
            </w:pPr>
            <w:r>
              <w:rPr>
                <w:rFonts w:hint="eastAsia" w:hAnsi="宋体" w:cs="宋体"/>
                <w:bCs/>
                <w:szCs w:val="24"/>
                <w:highlight w:val="none"/>
              </w:rPr>
              <w:t>1.合同总价即中标价，不受市场价变化或实际工作量变化的影响。</w:t>
            </w:r>
          </w:p>
          <w:p w14:paraId="4F4E6618">
            <w:pPr>
              <w:spacing w:line="360" w:lineRule="auto"/>
              <w:rPr>
                <w:rFonts w:hAnsi="宋体" w:cs="宋体"/>
                <w:bCs/>
                <w:szCs w:val="24"/>
                <w:highlight w:val="none"/>
              </w:rPr>
            </w:pPr>
            <w:r>
              <w:rPr>
                <w:rFonts w:hint="eastAsia" w:hAnsi="宋体" w:cs="宋体"/>
                <w:bCs/>
                <w:szCs w:val="24"/>
                <w:highlight w:val="none"/>
              </w:rPr>
              <w:t>2.付款方式和程序：</w:t>
            </w:r>
          </w:p>
          <w:p w14:paraId="7FCD9F0A">
            <w:pPr>
              <w:spacing w:line="360" w:lineRule="auto"/>
              <w:ind w:firstLine="480" w:firstLineChars="200"/>
              <w:rPr>
                <w:rFonts w:hAnsi="宋体" w:cs="宋体"/>
                <w:bCs/>
                <w:szCs w:val="24"/>
                <w:highlight w:val="none"/>
              </w:rPr>
            </w:pPr>
            <w:r>
              <w:rPr>
                <w:rFonts w:hint="eastAsia" w:hAnsi="宋体" w:cs="宋体"/>
                <w:bCs/>
                <w:szCs w:val="24"/>
                <w:highlight w:val="none"/>
              </w:rPr>
              <w:t>2.1由采购人负责结算，在付款前，投标人必须开具全额发票给采购人（附详细清单）。</w:t>
            </w:r>
          </w:p>
          <w:p w14:paraId="5258A134">
            <w:pPr>
              <w:spacing w:line="360" w:lineRule="auto"/>
              <w:ind w:firstLine="482" w:firstLineChars="200"/>
              <w:rPr>
                <w:rFonts w:hAnsi="宋体" w:cs="宋体"/>
                <w:b/>
                <w:szCs w:val="24"/>
                <w:highlight w:val="none"/>
              </w:rPr>
            </w:pPr>
            <w:r>
              <w:rPr>
                <w:rFonts w:hint="eastAsia" w:hAnsi="宋体" w:cs="宋体"/>
                <w:b/>
                <w:szCs w:val="24"/>
                <w:highlight w:val="none"/>
              </w:rPr>
              <w:t>2.2付款方式：</w:t>
            </w:r>
          </w:p>
          <w:p w14:paraId="76402705">
            <w:pPr>
              <w:spacing w:line="360" w:lineRule="auto"/>
              <w:ind w:firstLine="480" w:firstLineChars="200"/>
              <w:rPr>
                <w:rFonts w:hAnsi="宋体" w:cs="宋体"/>
                <w:bCs/>
                <w:szCs w:val="24"/>
                <w:highlight w:val="none"/>
              </w:rPr>
            </w:pPr>
            <w:r>
              <w:rPr>
                <w:rFonts w:hint="eastAsia" w:hAnsi="宋体" w:cs="宋体"/>
                <w:bCs/>
                <w:szCs w:val="24"/>
                <w:highlight w:val="none"/>
              </w:rPr>
              <w:t>合同签订后支付合同总价的</w:t>
            </w:r>
            <w:r>
              <w:rPr>
                <w:rFonts w:hint="eastAsia" w:hAnsi="宋体" w:cs="宋体"/>
                <w:bCs/>
                <w:szCs w:val="24"/>
                <w:highlight w:val="none"/>
                <w:lang w:val="en-US" w:eastAsia="zh-CN"/>
              </w:rPr>
              <w:t>40</w:t>
            </w:r>
            <w:r>
              <w:rPr>
                <w:rFonts w:hint="eastAsia" w:hAnsi="宋体" w:cs="宋体"/>
                <w:bCs/>
                <w:szCs w:val="24"/>
                <w:highlight w:val="none"/>
              </w:rPr>
              <w:t>%，所有货物全部安装完毕验收合格后支付合同总价</w:t>
            </w:r>
            <w:r>
              <w:rPr>
                <w:rFonts w:hint="eastAsia" w:hAnsi="宋体" w:cs="宋体"/>
                <w:bCs/>
                <w:szCs w:val="24"/>
                <w:highlight w:val="none"/>
                <w:lang w:val="en-US" w:eastAsia="zh-CN"/>
              </w:rPr>
              <w:t>60</w:t>
            </w:r>
            <w:r>
              <w:rPr>
                <w:rFonts w:hint="eastAsia" w:hAnsi="宋体" w:cs="宋体"/>
                <w:bCs/>
                <w:szCs w:val="24"/>
                <w:highlight w:val="none"/>
              </w:rPr>
              <w:t>%。（具体以合同签订为准）</w:t>
            </w:r>
          </w:p>
          <w:p w14:paraId="5CDD8B72">
            <w:pPr>
              <w:spacing w:line="360" w:lineRule="auto"/>
              <w:ind w:firstLine="482" w:firstLineChars="200"/>
              <w:rPr>
                <w:rFonts w:hAnsi="宋体" w:cs="宋体"/>
                <w:b/>
                <w:szCs w:val="24"/>
                <w:highlight w:val="none"/>
              </w:rPr>
            </w:pPr>
            <w:r>
              <w:rPr>
                <w:rFonts w:hint="eastAsia" w:hAnsi="宋体" w:cs="宋体"/>
                <w:b/>
                <w:szCs w:val="24"/>
                <w:highlight w:val="none"/>
              </w:rPr>
              <w:t>2.3支付方式：银行转账</w:t>
            </w:r>
          </w:p>
        </w:tc>
      </w:tr>
      <w:tr w14:paraId="407CA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vAlign w:val="center"/>
          </w:tcPr>
          <w:p w14:paraId="690F6FAA">
            <w:pPr>
              <w:spacing w:line="360" w:lineRule="auto"/>
              <w:jc w:val="center"/>
              <w:rPr>
                <w:rFonts w:hAnsi="宋体" w:cs="宋体"/>
                <w:szCs w:val="24"/>
                <w:highlight w:val="none"/>
              </w:rPr>
            </w:pPr>
            <w:r>
              <w:rPr>
                <w:rFonts w:hint="eastAsia" w:hAnsi="宋体" w:cs="宋体"/>
                <w:szCs w:val="24"/>
                <w:highlight w:val="none"/>
              </w:rPr>
              <w:t>7</w:t>
            </w:r>
          </w:p>
        </w:tc>
        <w:tc>
          <w:tcPr>
            <w:tcW w:w="8546" w:type="dxa"/>
            <w:vAlign w:val="center"/>
          </w:tcPr>
          <w:p w14:paraId="458CFB7B">
            <w:pPr>
              <w:spacing w:line="360" w:lineRule="auto"/>
              <w:rPr>
                <w:rFonts w:hAnsi="宋体" w:cs="宋体"/>
                <w:b/>
                <w:szCs w:val="24"/>
                <w:highlight w:val="none"/>
              </w:rPr>
            </w:pPr>
            <w:r>
              <w:rPr>
                <w:rFonts w:hint="eastAsia" w:hAnsi="宋体" w:cs="宋体"/>
                <w:b/>
                <w:szCs w:val="24"/>
                <w:highlight w:val="none"/>
              </w:rPr>
              <w:t>运输、安装、调试要求：</w:t>
            </w:r>
          </w:p>
          <w:p w14:paraId="0BBBACD1">
            <w:pPr>
              <w:spacing w:line="360" w:lineRule="auto"/>
              <w:ind w:firstLine="480" w:firstLineChars="200"/>
              <w:jc w:val="left"/>
              <w:rPr>
                <w:rFonts w:hAnsi="宋体" w:cs="宋体"/>
                <w:szCs w:val="24"/>
                <w:highlight w:val="none"/>
              </w:rPr>
            </w:pPr>
            <w:r>
              <w:rPr>
                <w:rFonts w:hint="eastAsia" w:hAnsi="宋体" w:cs="宋体"/>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0DBD63D4">
            <w:pPr>
              <w:spacing w:line="360" w:lineRule="auto"/>
              <w:ind w:firstLine="480" w:firstLineChars="200"/>
              <w:jc w:val="left"/>
              <w:rPr>
                <w:rFonts w:hAnsi="宋体" w:cs="宋体"/>
                <w:szCs w:val="24"/>
                <w:highlight w:val="none"/>
              </w:rPr>
            </w:pPr>
            <w:r>
              <w:rPr>
                <w:rFonts w:hint="eastAsia" w:hAnsi="宋体" w:cs="宋体"/>
                <w:szCs w:val="24"/>
                <w:highlight w:val="none"/>
              </w:rPr>
              <w:t>2.由供应商提供安装、调试及试运行的进度计划表。</w:t>
            </w:r>
          </w:p>
          <w:p w14:paraId="098877BC">
            <w:pPr>
              <w:spacing w:line="360" w:lineRule="auto"/>
              <w:ind w:firstLine="480" w:firstLineChars="200"/>
              <w:jc w:val="left"/>
              <w:rPr>
                <w:rFonts w:hAnsi="宋体" w:cs="宋体"/>
                <w:szCs w:val="24"/>
                <w:highlight w:val="none"/>
              </w:rPr>
            </w:pPr>
            <w:r>
              <w:rPr>
                <w:rFonts w:hint="eastAsia" w:hAnsi="宋体" w:cs="宋体"/>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06E0093D">
            <w:pPr>
              <w:spacing w:line="360" w:lineRule="auto"/>
              <w:ind w:firstLine="480" w:firstLineChars="200"/>
              <w:jc w:val="left"/>
              <w:rPr>
                <w:rFonts w:hAnsi="宋体" w:cs="宋体"/>
                <w:szCs w:val="24"/>
                <w:highlight w:val="none"/>
              </w:rPr>
            </w:pPr>
            <w:r>
              <w:rPr>
                <w:rFonts w:hint="eastAsia" w:hAnsi="宋体" w:cs="宋体"/>
                <w:szCs w:val="24"/>
                <w:highlight w:val="none"/>
              </w:rPr>
              <w:t>4.安装和调试期间所发生的费用均由供应商负责。</w:t>
            </w:r>
          </w:p>
          <w:p w14:paraId="08895B95">
            <w:pPr>
              <w:spacing w:line="360" w:lineRule="auto"/>
              <w:ind w:firstLine="480" w:firstLineChars="200"/>
              <w:rPr>
                <w:rFonts w:hAnsi="宋体" w:cs="宋体"/>
                <w:szCs w:val="24"/>
                <w:highlight w:val="none"/>
              </w:rPr>
            </w:pPr>
            <w:r>
              <w:rPr>
                <w:rFonts w:hint="eastAsia" w:hAnsi="宋体" w:cs="宋体"/>
                <w:szCs w:val="24"/>
                <w:highlight w:val="none"/>
              </w:rPr>
              <w:t>5.供应商应对安装调试、整改等实施过程的安全负责，如发生人身伤亡、财产损失的由供应商负责解决并承担全部责任。</w:t>
            </w:r>
          </w:p>
        </w:tc>
      </w:tr>
      <w:tr w14:paraId="06E1F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vAlign w:val="center"/>
          </w:tcPr>
          <w:p w14:paraId="0E53DA9B">
            <w:pPr>
              <w:spacing w:line="360" w:lineRule="auto"/>
              <w:jc w:val="center"/>
              <w:rPr>
                <w:rFonts w:hAnsi="宋体" w:cs="宋体"/>
                <w:szCs w:val="24"/>
                <w:highlight w:val="none"/>
              </w:rPr>
            </w:pPr>
            <w:r>
              <w:rPr>
                <w:rFonts w:hint="eastAsia" w:hAnsi="宋体" w:cs="宋体"/>
                <w:szCs w:val="24"/>
                <w:highlight w:val="none"/>
              </w:rPr>
              <w:t>8</w:t>
            </w:r>
          </w:p>
        </w:tc>
        <w:tc>
          <w:tcPr>
            <w:tcW w:w="8546" w:type="dxa"/>
            <w:vAlign w:val="center"/>
          </w:tcPr>
          <w:p w14:paraId="3CA24EBC">
            <w:pPr>
              <w:spacing w:line="360" w:lineRule="auto"/>
              <w:rPr>
                <w:rFonts w:hAnsi="宋体" w:cs="宋体"/>
                <w:b/>
                <w:szCs w:val="24"/>
                <w:highlight w:val="none"/>
              </w:rPr>
            </w:pPr>
            <w:r>
              <w:rPr>
                <w:rFonts w:hint="eastAsia" w:hAnsi="宋体" w:cs="宋体"/>
                <w:b/>
                <w:szCs w:val="24"/>
                <w:highlight w:val="none"/>
              </w:rPr>
              <w:t>技术支持：</w:t>
            </w:r>
          </w:p>
          <w:p w14:paraId="2DB66420">
            <w:pPr>
              <w:pStyle w:val="14"/>
              <w:spacing w:line="360" w:lineRule="auto"/>
              <w:ind w:firstLine="480" w:firstLineChars="200"/>
              <w:rPr>
                <w:rFonts w:hAnsi="宋体" w:cs="宋体"/>
                <w:bCs/>
                <w:kern w:val="0"/>
                <w:sz w:val="24"/>
                <w:szCs w:val="21"/>
                <w:highlight w:val="none"/>
              </w:rPr>
            </w:pPr>
            <w:r>
              <w:rPr>
                <w:rFonts w:hint="eastAsia" w:hAnsi="宋体" w:cs="宋体"/>
                <w:bCs/>
                <w:kern w:val="0"/>
                <w:sz w:val="24"/>
                <w:szCs w:val="21"/>
                <w:highlight w:val="none"/>
              </w:rPr>
              <w:t>1.提供质保期内每周7×24小时的技术咨询服务。供应商怠于或无法提供技术支持的，采购人有权委托第三方处理，由此产生的费用和后果由供应商负责，费用直接从应付款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356FE5DA">
            <w:pPr>
              <w:spacing w:line="360" w:lineRule="auto"/>
              <w:ind w:firstLine="480" w:firstLineChars="200"/>
              <w:rPr>
                <w:rFonts w:hAnsi="宋体" w:cs="宋体"/>
                <w:szCs w:val="24"/>
                <w:highlight w:val="none"/>
              </w:rPr>
            </w:pPr>
            <w:r>
              <w:rPr>
                <w:rFonts w:hint="eastAsia" w:hAnsi="宋体" w:cs="宋体"/>
                <w:bCs/>
                <w:szCs w:val="21"/>
                <w:highlight w:val="none"/>
              </w:rPr>
              <w:t>2.供应商在项目实施过程中，质量保障人员、资源不足或者执行不力，给项目质量带来的风险超出采购人认定的允许范围时，采购人可终止本项目的合作并进行索赔。</w:t>
            </w:r>
          </w:p>
        </w:tc>
      </w:tr>
      <w:tr w14:paraId="1CE32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45CD970C">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9</w:t>
            </w:r>
          </w:p>
        </w:tc>
        <w:tc>
          <w:tcPr>
            <w:tcW w:w="8546" w:type="dxa"/>
            <w:shd w:val="clear" w:color="auto" w:fill="auto"/>
            <w:vAlign w:val="center"/>
          </w:tcPr>
          <w:p w14:paraId="3BCB8043">
            <w:pPr>
              <w:spacing w:line="360" w:lineRule="auto"/>
              <w:rPr>
                <w:rFonts w:hAnsi="宋体" w:cs="宋体"/>
                <w:b/>
                <w:szCs w:val="24"/>
                <w:highlight w:val="none"/>
              </w:rPr>
            </w:pPr>
            <w:r>
              <w:rPr>
                <w:rFonts w:hint="eastAsia" w:hAnsi="宋体" w:cs="宋体"/>
                <w:b/>
                <w:szCs w:val="24"/>
                <w:highlight w:val="none"/>
              </w:rPr>
              <w:t>技术资料要求：</w:t>
            </w:r>
          </w:p>
          <w:p w14:paraId="229B460C">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供应商应向采购人提供全套中文技术资料一套，其费用包括在投标价格中：</w:t>
            </w:r>
          </w:p>
          <w:p w14:paraId="4E43F3B6">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1.完整的产品说明书、产品合格证、装箱清单、图纸（线路图、原理图等）等；</w:t>
            </w:r>
          </w:p>
          <w:p w14:paraId="414CC8EF">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2.制造厂的检验、测试报告、产品检验合格证书，质量保证书等文件验收时须一并提供；</w:t>
            </w:r>
          </w:p>
          <w:p w14:paraId="7417D70A">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3.产品验收标准；</w:t>
            </w:r>
          </w:p>
          <w:p w14:paraId="033BA813">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4.技术说明书及必须的其它技术资料;</w:t>
            </w:r>
          </w:p>
          <w:p w14:paraId="58C89EE7">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5.系统安装，调试、维修线路图及原理图；</w:t>
            </w:r>
          </w:p>
          <w:p w14:paraId="14472A6F">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6.零部件目录；</w:t>
            </w:r>
          </w:p>
          <w:p w14:paraId="6240664A">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7.项目完工后提供验收报告；</w:t>
            </w:r>
          </w:p>
          <w:p w14:paraId="07076244">
            <w:pPr>
              <w:spacing w:line="360" w:lineRule="auto"/>
              <w:ind w:firstLine="480" w:firstLineChars="200"/>
              <w:jc w:val="left"/>
              <w:rPr>
                <w:rFonts w:hAnsi="宋体" w:cs="宋体"/>
                <w:szCs w:val="24"/>
                <w:highlight w:val="none"/>
              </w:rPr>
            </w:pPr>
            <w:r>
              <w:rPr>
                <w:rFonts w:hint="eastAsia" w:hAnsi="宋体" w:cs="宋体"/>
                <w:szCs w:val="24"/>
                <w:highlight w:val="none"/>
              </w:rPr>
              <w:t>8.合同中要求的其他文件资料。</w:t>
            </w:r>
          </w:p>
        </w:tc>
      </w:tr>
      <w:tr w14:paraId="3F406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52" w:hRule="atLeast"/>
        </w:trPr>
        <w:tc>
          <w:tcPr>
            <w:tcW w:w="865" w:type="dxa"/>
            <w:vAlign w:val="center"/>
          </w:tcPr>
          <w:p w14:paraId="7040F38F">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10</w:t>
            </w:r>
          </w:p>
        </w:tc>
        <w:tc>
          <w:tcPr>
            <w:tcW w:w="8546" w:type="dxa"/>
            <w:vAlign w:val="center"/>
          </w:tcPr>
          <w:p w14:paraId="5FD1F4C6">
            <w:pPr>
              <w:tabs>
                <w:tab w:val="left" w:pos="480"/>
              </w:tabs>
              <w:spacing w:line="360" w:lineRule="auto"/>
              <w:rPr>
                <w:rFonts w:hAnsi="宋体" w:cs="宋体"/>
                <w:b/>
                <w:szCs w:val="24"/>
                <w:highlight w:val="none"/>
              </w:rPr>
            </w:pPr>
            <w:r>
              <w:rPr>
                <w:rFonts w:hint="eastAsia" w:hAnsi="宋体" w:cs="宋体"/>
                <w:b/>
                <w:szCs w:val="24"/>
                <w:highlight w:val="none"/>
              </w:rPr>
              <w:t>技术培训：</w:t>
            </w:r>
          </w:p>
          <w:p w14:paraId="27DB9950">
            <w:pPr>
              <w:spacing w:line="360" w:lineRule="auto"/>
              <w:ind w:firstLine="480" w:firstLineChars="200"/>
              <w:jc w:val="left"/>
              <w:rPr>
                <w:rFonts w:hAnsi="宋体" w:cs="宋体"/>
                <w:bCs/>
                <w:szCs w:val="24"/>
                <w:highlight w:val="none"/>
              </w:rPr>
            </w:pPr>
            <w:r>
              <w:rPr>
                <w:rFonts w:hint="eastAsia" w:hAnsi="宋体" w:cs="宋体"/>
                <w:bCs/>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0AC66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019D497E">
            <w:pPr>
              <w:pStyle w:val="14"/>
              <w:spacing w:line="360" w:lineRule="auto"/>
              <w:jc w:val="center"/>
              <w:rPr>
                <w:rFonts w:hAnsi="宋体" w:cs="宋体"/>
                <w:b/>
                <w:bCs/>
                <w:kern w:val="0"/>
                <w:sz w:val="24"/>
                <w:szCs w:val="24"/>
                <w:highlight w:val="none"/>
              </w:rPr>
            </w:pPr>
            <w:r>
              <w:rPr>
                <w:rFonts w:hint="eastAsia" w:hAnsi="宋体" w:cs="宋体"/>
                <w:kern w:val="0"/>
                <w:sz w:val="24"/>
                <w:szCs w:val="24"/>
                <w:highlight w:val="none"/>
              </w:rPr>
              <w:t>11</w:t>
            </w:r>
          </w:p>
        </w:tc>
        <w:tc>
          <w:tcPr>
            <w:tcW w:w="8546" w:type="dxa"/>
            <w:vAlign w:val="center"/>
          </w:tcPr>
          <w:p w14:paraId="743FE7C3">
            <w:pPr>
              <w:pStyle w:val="14"/>
              <w:spacing w:line="360" w:lineRule="auto"/>
              <w:rPr>
                <w:rFonts w:hAnsi="宋体" w:cs="宋体"/>
                <w:b/>
                <w:kern w:val="0"/>
                <w:sz w:val="24"/>
                <w:szCs w:val="24"/>
                <w:highlight w:val="none"/>
              </w:rPr>
            </w:pPr>
            <w:r>
              <w:rPr>
                <w:rFonts w:hint="eastAsia" w:hAnsi="宋体" w:cs="宋体"/>
                <w:b/>
                <w:kern w:val="0"/>
                <w:sz w:val="24"/>
                <w:szCs w:val="24"/>
                <w:highlight w:val="none"/>
              </w:rPr>
              <w:t>质量保证：</w:t>
            </w:r>
          </w:p>
          <w:p w14:paraId="6AD78CF5">
            <w:pPr>
              <w:tabs>
                <w:tab w:val="left" w:pos="480"/>
              </w:tabs>
              <w:spacing w:line="360" w:lineRule="auto"/>
              <w:ind w:firstLine="470" w:firstLineChars="196"/>
              <w:rPr>
                <w:rFonts w:hAnsi="宋体" w:cs="宋体"/>
                <w:szCs w:val="24"/>
                <w:highlight w:val="none"/>
              </w:rPr>
            </w:pPr>
            <w:r>
              <w:rPr>
                <w:rFonts w:hint="eastAsia" w:hAnsi="宋体" w:cs="宋体"/>
                <w:szCs w:val="24"/>
                <w:highlight w:val="none"/>
              </w:rPr>
              <w:t>乙方所供货物必须执行下列条款：</w:t>
            </w:r>
          </w:p>
          <w:p w14:paraId="21342C1C">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（一）货物到达甲方指定地点后，甲方根据合同要求，进行外观验收，确认产地、规格、型号和数量。产品</w:t>
            </w:r>
            <w:r>
              <w:rPr>
                <w:rFonts w:hint="eastAsia" w:hAnsi="宋体" w:cs="宋体"/>
                <w:bCs/>
                <w:szCs w:val="24"/>
                <w:highlight w:val="none"/>
              </w:rPr>
              <w:t>性能及质量符合招标文件要求</w:t>
            </w:r>
            <w:r>
              <w:rPr>
                <w:rFonts w:hint="eastAsia" w:hAnsi="宋体" w:cs="宋体"/>
                <w:b/>
                <w:bCs/>
                <w:szCs w:val="24"/>
                <w:highlight w:val="none"/>
              </w:rPr>
              <w:t>。</w:t>
            </w:r>
            <w:r>
              <w:rPr>
                <w:rFonts w:hint="eastAsia" w:hAnsi="宋体" w:cs="宋体"/>
                <w:bCs/>
                <w:szCs w:val="24"/>
                <w:highlight w:val="none"/>
              </w:rPr>
              <w:t>进口货物需加报海关清关证明（包括但不限于进口货物报关单）。</w:t>
            </w:r>
          </w:p>
          <w:p w14:paraId="6FF2CFFA">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（二）保证技术指标先进、质量性能可靠、进货渠道正常，配置合理，全面满足磋商要求。</w:t>
            </w:r>
          </w:p>
          <w:p w14:paraId="7B5E0388">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（三）符合国家有关规范要求，确保达到最佳运行状态。</w:t>
            </w:r>
          </w:p>
          <w:p w14:paraId="7647CFCB">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（四）具有良好的外观，适合安装场所的使用。</w:t>
            </w:r>
          </w:p>
          <w:p w14:paraId="2ACA9750">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（五）自安装、调试正常运行并验收合格之日起：</w:t>
            </w:r>
          </w:p>
          <w:p w14:paraId="6A91C980">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自验收合格之日起提供</w:t>
            </w:r>
            <w:r>
              <w:rPr>
                <w:rFonts w:hint="eastAsia" w:hAnsi="宋体" w:cs="宋体"/>
                <w:szCs w:val="24"/>
                <w:highlight w:val="none"/>
                <w:u w:val="single"/>
              </w:rPr>
              <w:t xml:space="preserve"> 1 </w:t>
            </w:r>
            <w:r>
              <w:rPr>
                <w:rFonts w:hint="eastAsia" w:hAnsi="宋体" w:cs="宋体"/>
                <w:szCs w:val="24"/>
                <w:highlight w:val="none"/>
              </w:rPr>
              <w:t>年免费质保服务（主要设备须原厂质保），免费保修期内，同一主要部件出现质量问题经过两次维修后仍无法正常使用，可以更换同型号、同规格的产品，如设备出现故障,接到使用客户维修电话，</w:t>
            </w:r>
            <w:r>
              <w:rPr>
                <w:rFonts w:hint="eastAsia" w:hAnsi="宋体" w:cs="宋体"/>
                <w:szCs w:val="24"/>
                <w:highlight w:val="none"/>
                <w:u w:val="single"/>
              </w:rPr>
              <w:t xml:space="preserve"> 2 </w:t>
            </w:r>
            <w:r>
              <w:rPr>
                <w:rFonts w:hint="eastAsia" w:hAnsi="宋体" w:cs="宋体"/>
                <w:szCs w:val="24"/>
                <w:highlight w:val="none"/>
              </w:rPr>
              <w:t>小时响应，</w:t>
            </w:r>
            <w:r>
              <w:rPr>
                <w:rFonts w:hint="eastAsia" w:hAnsi="宋体" w:cs="宋体"/>
                <w:szCs w:val="24"/>
                <w:highlight w:val="none"/>
                <w:u w:val="single"/>
              </w:rPr>
              <w:t xml:space="preserve"> 24 </w:t>
            </w:r>
            <w:r>
              <w:rPr>
                <w:rFonts w:hint="eastAsia" w:hAnsi="宋体" w:cs="宋体"/>
                <w:szCs w:val="24"/>
                <w:highlight w:val="none"/>
              </w:rPr>
              <w:t>小时内工程师到位，对问题较大短期（24小时）内暂不能解决的，为不影响甲方正常工作，乙方需免费提供替代产品，确保正常运行</w:t>
            </w:r>
            <w:r>
              <w:rPr>
                <w:rFonts w:hint="eastAsia" w:hAnsi="宋体" w:cs="宋体"/>
                <w:szCs w:val="24"/>
                <w:highlight w:val="none"/>
                <w:lang w:val="de-DE"/>
              </w:rPr>
              <w:t>；</w:t>
            </w:r>
          </w:p>
          <w:p w14:paraId="49168649">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（六）设备到位后，工程师应立即进行安装、调试，同时对操作人员进行严格的规范化培训。</w:t>
            </w:r>
          </w:p>
          <w:p w14:paraId="1B641BBD">
            <w:pPr>
              <w:tabs>
                <w:tab w:val="left" w:pos="480"/>
              </w:tabs>
              <w:spacing w:line="360" w:lineRule="auto"/>
              <w:ind w:firstLine="480" w:firstLineChars="200"/>
              <w:rPr>
                <w:rFonts w:hAnsi="宋体" w:cs="宋体"/>
                <w:szCs w:val="24"/>
                <w:highlight w:val="none"/>
              </w:rPr>
            </w:pPr>
            <w:r>
              <w:rPr>
                <w:rFonts w:hint="eastAsia" w:hAnsi="宋体" w:cs="宋体"/>
                <w:szCs w:val="24"/>
                <w:highlight w:val="none"/>
                <w:lang w:val="de-DE"/>
              </w:rPr>
              <w:t>（</w:t>
            </w:r>
            <w:r>
              <w:rPr>
                <w:rFonts w:hint="eastAsia" w:hAnsi="宋体" w:cs="宋体"/>
                <w:szCs w:val="24"/>
                <w:highlight w:val="none"/>
              </w:rPr>
              <w:t>七</w:t>
            </w:r>
            <w:r>
              <w:rPr>
                <w:rFonts w:hint="eastAsia" w:hAnsi="宋体" w:cs="宋体"/>
                <w:szCs w:val="24"/>
                <w:highlight w:val="none"/>
                <w:lang w:val="de-DE"/>
              </w:rPr>
              <w:t>）技术文件：提供配套的设备清单。</w:t>
            </w:r>
          </w:p>
        </w:tc>
      </w:tr>
      <w:tr w14:paraId="258E2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2D6D586E">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12</w:t>
            </w:r>
          </w:p>
        </w:tc>
        <w:tc>
          <w:tcPr>
            <w:tcW w:w="8546" w:type="dxa"/>
            <w:vAlign w:val="center"/>
          </w:tcPr>
          <w:p w14:paraId="2BC9BBBB">
            <w:pPr>
              <w:spacing w:line="360" w:lineRule="auto"/>
              <w:ind w:firstLine="480" w:firstLineChars="200"/>
              <w:rPr>
                <w:rFonts w:hAnsi="宋体" w:cs="宋体"/>
                <w:szCs w:val="24"/>
                <w:highlight w:val="none"/>
              </w:rPr>
            </w:pPr>
            <w:r>
              <w:rPr>
                <w:rFonts w:hint="eastAsia" w:hAnsi="宋体" w:cs="宋体"/>
                <w:szCs w:val="24"/>
                <w:highlight w:val="none"/>
              </w:rPr>
              <w:t>由采购人和投标人共同对项目进行整体验收。其内容包括所有产品清单的供货、使用等是否达到验收规范“合格”标准、是否按照采购人要求按时完成。</w:t>
            </w:r>
          </w:p>
          <w:p w14:paraId="18706984">
            <w:pPr>
              <w:spacing w:line="520" w:lineRule="exact"/>
              <w:ind w:firstLine="480" w:firstLineChars="200"/>
              <w:rPr>
                <w:rFonts w:hAnsi="宋体" w:cs="宋体"/>
                <w:szCs w:val="24"/>
                <w:highlight w:val="none"/>
              </w:rPr>
            </w:pPr>
            <w:r>
              <w:rPr>
                <w:rFonts w:hint="eastAsia" w:hAnsi="宋体" w:cs="宋体"/>
                <w:szCs w:val="24"/>
                <w:highlight w:val="none"/>
              </w:rPr>
              <w:t>1.所验各项内容最终验收达不到招标文件要求和投标文件承诺的，或在后续使用中发现采购人不能容忍的缺陷等，将视为验收不合格，投标人应在采购人要求的时间内无条件整改及恢复。</w:t>
            </w:r>
          </w:p>
          <w:p w14:paraId="4E909318">
            <w:pPr>
              <w:spacing w:line="520" w:lineRule="exact"/>
              <w:ind w:firstLine="480" w:firstLineChars="200"/>
              <w:rPr>
                <w:rFonts w:hAnsi="宋体" w:cs="宋体"/>
                <w:szCs w:val="24"/>
                <w:highlight w:val="none"/>
              </w:rPr>
            </w:pPr>
            <w:r>
              <w:rPr>
                <w:rFonts w:hint="eastAsia" w:hAnsi="宋体" w:cs="宋体"/>
                <w:szCs w:val="24"/>
                <w:highlight w:val="none"/>
              </w:rPr>
              <w:t>2.若发现投标人有弄虚作假的，在招标阶段故意或随意夸大技术能力、服务质量的，采购人有权解除合同，并且要求投标人赔偿相关损失。</w:t>
            </w:r>
          </w:p>
          <w:p w14:paraId="70A2A364">
            <w:pPr>
              <w:spacing w:line="520" w:lineRule="exact"/>
              <w:ind w:firstLine="480" w:firstLineChars="200"/>
              <w:rPr>
                <w:rFonts w:hAnsi="宋体" w:cs="宋体"/>
                <w:szCs w:val="24"/>
                <w:highlight w:val="none"/>
              </w:rPr>
            </w:pPr>
            <w:r>
              <w:rPr>
                <w:rFonts w:hint="eastAsia" w:hAnsi="宋体" w:cs="宋体"/>
                <w:szCs w:val="24"/>
                <w:highlight w:val="none"/>
              </w:rPr>
              <w:t>3.验收标准：按招标文件、投标文件及澄清函等技术指标进行验收。各项指标均应符合验收标准及要求。</w:t>
            </w:r>
          </w:p>
          <w:p w14:paraId="2A4BAAFA">
            <w:pPr>
              <w:spacing w:line="360" w:lineRule="auto"/>
              <w:ind w:firstLine="480" w:firstLineChars="200"/>
              <w:rPr>
                <w:rFonts w:hAnsi="宋体" w:cs="宋体"/>
                <w:szCs w:val="24"/>
                <w:highlight w:val="none"/>
              </w:rPr>
            </w:pPr>
            <w:r>
              <w:rPr>
                <w:rFonts w:hint="eastAsia" w:hAnsi="宋体" w:cs="宋体"/>
                <w:szCs w:val="24"/>
                <w:highlight w:val="none"/>
              </w:rPr>
              <w:t>4.验收合格后，填写验收单，双方签字生效。</w:t>
            </w:r>
          </w:p>
          <w:p w14:paraId="5BCB2A1E">
            <w:pPr>
              <w:spacing w:line="360" w:lineRule="auto"/>
              <w:ind w:firstLine="480" w:firstLineChars="200"/>
              <w:rPr>
                <w:szCs w:val="24"/>
                <w:highlight w:val="none"/>
              </w:rPr>
            </w:pPr>
            <w:r>
              <w:rPr>
                <w:rFonts w:hint="eastAsia" w:hAnsi="宋体" w:cs="宋体"/>
                <w:szCs w:val="24"/>
                <w:highlight w:val="none"/>
              </w:rPr>
              <w:t>5.验收依据：</w:t>
            </w:r>
          </w:p>
          <w:p w14:paraId="2CCCE03E">
            <w:pPr>
              <w:numPr>
                <w:ilvl w:val="0"/>
                <w:numId w:val="4"/>
              </w:numPr>
              <w:tabs>
                <w:tab w:val="left" w:pos="498"/>
                <w:tab w:val="clear" w:pos="840"/>
              </w:tabs>
              <w:spacing w:line="360" w:lineRule="auto"/>
              <w:ind w:hanging="625"/>
              <w:rPr>
                <w:rFonts w:hAnsi="宋体" w:cs="宋体"/>
                <w:szCs w:val="24"/>
                <w:highlight w:val="none"/>
              </w:rPr>
            </w:pPr>
            <w:r>
              <w:rPr>
                <w:rFonts w:hint="eastAsia" w:hAnsi="宋体" w:cs="宋体"/>
                <w:szCs w:val="24"/>
                <w:highlight w:val="none"/>
              </w:rPr>
              <w:t>合同文本；</w:t>
            </w:r>
          </w:p>
          <w:p w14:paraId="5EC2EDC4">
            <w:pPr>
              <w:numPr>
                <w:ilvl w:val="0"/>
                <w:numId w:val="4"/>
              </w:numPr>
              <w:tabs>
                <w:tab w:val="left" w:pos="498"/>
                <w:tab w:val="clear" w:pos="840"/>
              </w:tabs>
              <w:spacing w:line="360" w:lineRule="auto"/>
              <w:ind w:hanging="625"/>
              <w:rPr>
                <w:rFonts w:hAnsi="宋体" w:cs="宋体"/>
                <w:szCs w:val="24"/>
                <w:highlight w:val="none"/>
              </w:rPr>
            </w:pPr>
            <w:r>
              <w:rPr>
                <w:rFonts w:hint="eastAsia" w:hAnsi="宋体" w:cs="宋体"/>
                <w:szCs w:val="24"/>
                <w:highlight w:val="none"/>
              </w:rPr>
              <w:t>招标文件及澄清函、投标文件；</w:t>
            </w:r>
          </w:p>
          <w:p w14:paraId="25B9A030">
            <w:pPr>
              <w:numPr>
                <w:ilvl w:val="0"/>
                <w:numId w:val="4"/>
              </w:numPr>
              <w:tabs>
                <w:tab w:val="left" w:pos="498"/>
                <w:tab w:val="clear" w:pos="840"/>
              </w:tabs>
              <w:spacing w:line="360" w:lineRule="auto"/>
              <w:ind w:hanging="625"/>
              <w:rPr>
                <w:rFonts w:hAnsi="宋体" w:cs="宋体"/>
                <w:szCs w:val="24"/>
                <w:highlight w:val="none"/>
              </w:rPr>
            </w:pPr>
            <w:r>
              <w:rPr>
                <w:rFonts w:hint="eastAsia" w:hAnsi="宋体" w:cs="宋体"/>
                <w:szCs w:val="24"/>
                <w:highlight w:val="none"/>
              </w:rPr>
              <w:t>国家和行业制定的相应的标准和规范；</w:t>
            </w:r>
          </w:p>
          <w:p w14:paraId="4E9B9133">
            <w:pPr>
              <w:widowControl/>
              <w:spacing w:line="560" w:lineRule="exact"/>
              <w:ind w:firstLine="480" w:firstLineChars="200"/>
              <w:rPr>
                <w:rFonts w:hAnsi="宋体" w:cs="宋体"/>
                <w:szCs w:val="24"/>
                <w:highlight w:val="none"/>
              </w:rPr>
            </w:pPr>
            <w:r>
              <w:rPr>
                <w:rFonts w:hint="eastAsia" w:hAnsi="宋体" w:cs="宋体"/>
                <w:szCs w:val="24"/>
                <w:highlight w:val="none"/>
              </w:rPr>
              <w:t>验收清单</w:t>
            </w:r>
            <w:r>
              <w:rPr>
                <w:rFonts w:hint="eastAsia"/>
                <w:highlight w:val="none"/>
              </w:rPr>
              <w:t>。</w:t>
            </w:r>
          </w:p>
        </w:tc>
      </w:tr>
      <w:tr w14:paraId="486DA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1F5402B5">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13</w:t>
            </w:r>
          </w:p>
        </w:tc>
        <w:tc>
          <w:tcPr>
            <w:tcW w:w="8546" w:type="dxa"/>
            <w:vAlign w:val="center"/>
          </w:tcPr>
          <w:p w14:paraId="599BA8FC">
            <w:pPr>
              <w:spacing w:line="360" w:lineRule="auto"/>
              <w:rPr>
                <w:highlight w:val="none"/>
              </w:rPr>
            </w:pPr>
            <w:r>
              <w:rPr>
                <w:rFonts w:hint="eastAsia"/>
                <w:highlight w:val="none"/>
              </w:rPr>
              <w:t>售后服务：</w:t>
            </w:r>
          </w:p>
          <w:p w14:paraId="6FCE58C4">
            <w:pPr>
              <w:spacing w:line="360" w:lineRule="auto"/>
              <w:ind w:firstLine="480" w:firstLineChars="200"/>
              <w:rPr>
                <w:highlight w:val="none"/>
              </w:rPr>
            </w:pPr>
            <w:r>
              <w:rPr>
                <w:rFonts w:hint="eastAsia"/>
                <w:highlight w:val="none"/>
              </w:rPr>
              <w:t>1.供应商应提供可承担维修职能的公司、全资分公司或办事处，并驻守多名维护技术人员，并提供地点、联系人（常驻工程师）及联系电话（服务热线），随时解答各种疑问。</w:t>
            </w:r>
          </w:p>
          <w:p w14:paraId="68D99DF6">
            <w:pPr>
              <w:spacing w:line="360" w:lineRule="auto"/>
              <w:ind w:firstLine="480" w:firstLineChars="200"/>
              <w:rPr>
                <w:highlight w:val="none"/>
              </w:rPr>
            </w:pPr>
            <w:r>
              <w:rPr>
                <w:rFonts w:hint="eastAsia"/>
                <w:highlight w:val="none"/>
              </w:rPr>
              <w:t>2.服务方式:现场服务，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6E626C1A">
            <w:pPr>
              <w:spacing w:line="360" w:lineRule="auto"/>
              <w:ind w:firstLine="480" w:firstLineChars="200"/>
              <w:rPr>
                <w:highlight w:val="none"/>
              </w:rPr>
            </w:pPr>
            <w:r>
              <w:rPr>
                <w:rFonts w:hint="eastAsia"/>
                <w:highlight w:val="none"/>
              </w:rPr>
              <w:t>3.每年至少2次免费上门维护，回访。</w:t>
            </w:r>
          </w:p>
          <w:p w14:paraId="71562292">
            <w:pPr>
              <w:spacing w:line="360" w:lineRule="auto"/>
              <w:ind w:firstLine="480" w:firstLineChars="200"/>
              <w:rPr>
                <w:highlight w:val="none"/>
              </w:rPr>
            </w:pPr>
            <w:r>
              <w:rPr>
                <w:rFonts w:hint="eastAsia"/>
                <w:highlight w:val="none"/>
              </w:rPr>
              <w:t>4.对于存在质量问题或者短少的产品，供应商应在接到采购人的通知2个日历日内负责修复，调换、重新制作或补齐。</w:t>
            </w:r>
          </w:p>
          <w:p w14:paraId="745080B6">
            <w:pPr>
              <w:spacing w:line="360" w:lineRule="auto"/>
              <w:ind w:firstLine="480" w:firstLineChars="200"/>
              <w:rPr>
                <w:highlight w:val="none"/>
              </w:rPr>
            </w:pPr>
            <w:r>
              <w:rPr>
                <w:rFonts w:hint="eastAsia"/>
                <w:highlight w:val="none"/>
              </w:rPr>
              <w:t>5.在最终验收后的质量保证期内，供应商应对设计、工艺或材料等的缺陷而产生的故障负责（负责解决并承担全部费用）。质保期满后如出现此类问题亦应负责。</w:t>
            </w:r>
          </w:p>
          <w:p w14:paraId="58B2B464">
            <w:pPr>
              <w:spacing w:line="360" w:lineRule="auto"/>
              <w:ind w:firstLine="480" w:firstLineChars="200"/>
              <w:rPr>
                <w:highlight w:val="none"/>
              </w:rPr>
            </w:pPr>
            <w:r>
              <w:rPr>
                <w:rFonts w:hint="eastAsia"/>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45496696">
            <w:pPr>
              <w:spacing w:line="360" w:lineRule="auto"/>
              <w:ind w:firstLine="480" w:firstLineChars="200"/>
              <w:rPr>
                <w:highlight w:val="none"/>
              </w:rPr>
            </w:pPr>
            <w:r>
              <w:rPr>
                <w:rFonts w:hint="eastAsia"/>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14:paraId="0801F45A">
            <w:pPr>
              <w:spacing w:line="360" w:lineRule="auto"/>
              <w:ind w:firstLine="480" w:firstLineChars="200"/>
              <w:rPr>
                <w:highlight w:val="none"/>
              </w:rPr>
            </w:pPr>
            <w:r>
              <w:rPr>
                <w:rFonts w:hint="eastAsia"/>
                <w:highlight w:val="none"/>
              </w:rPr>
              <w:t>8.维修响应速度：接到通知后1小时内做出维修方案决定；如2小时内无法通过电话解决问题,维修人员必须在接到故障报告后24小时内到达学校，不管是否节假日；</w:t>
            </w:r>
          </w:p>
          <w:p w14:paraId="4ABA491B">
            <w:pPr>
              <w:widowControl/>
              <w:spacing w:line="560" w:lineRule="exact"/>
              <w:ind w:firstLine="480" w:firstLineChars="200"/>
              <w:rPr>
                <w:highlight w:val="none"/>
              </w:rPr>
            </w:pPr>
            <w:r>
              <w:rPr>
                <w:rFonts w:hint="eastAsia"/>
                <w:highlight w:val="none"/>
              </w:rPr>
              <w:t>9.提供现场技术培训，保证使用人员正常操作设备的各种功能；</w:t>
            </w:r>
          </w:p>
        </w:tc>
      </w:tr>
      <w:tr w14:paraId="444EC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059E7D17">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14</w:t>
            </w:r>
          </w:p>
        </w:tc>
        <w:tc>
          <w:tcPr>
            <w:tcW w:w="8546" w:type="dxa"/>
            <w:vAlign w:val="center"/>
          </w:tcPr>
          <w:p w14:paraId="5950A477">
            <w:pPr>
              <w:spacing w:line="360" w:lineRule="auto"/>
              <w:rPr>
                <w:rFonts w:hAnsi="宋体" w:cs="宋体"/>
                <w:b/>
                <w:szCs w:val="24"/>
                <w:highlight w:val="none"/>
              </w:rPr>
            </w:pPr>
            <w:r>
              <w:rPr>
                <w:rFonts w:hint="eastAsia" w:hAnsi="宋体" w:cs="宋体"/>
                <w:b/>
                <w:szCs w:val="24"/>
                <w:highlight w:val="none"/>
              </w:rPr>
              <w:t>知识产权、专利权：</w:t>
            </w:r>
          </w:p>
          <w:p w14:paraId="4BD2830A">
            <w:pPr>
              <w:widowControl/>
              <w:spacing w:line="560" w:lineRule="exact"/>
              <w:ind w:firstLine="480" w:firstLineChars="200"/>
              <w:rPr>
                <w:highlight w:val="none"/>
              </w:rPr>
            </w:pPr>
            <w:r>
              <w:rPr>
                <w:rFonts w:hint="eastAsia" w:hAnsi="宋体" w:cs="宋体"/>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48B30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65D5E1F2">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15</w:t>
            </w:r>
          </w:p>
        </w:tc>
        <w:tc>
          <w:tcPr>
            <w:tcW w:w="8546" w:type="dxa"/>
            <w:vAlign w:val="center"/>
          </w:tcPr>
          <w:p w14:paraId="699B9611">
            <w:pPr>
              <w:spacing w:line="360" w:lineRule="auto"/>
              <w:rPr>
                <w:rFonts w:hAnsi="宋体" w:cs="宋体"/>
                <w:b/>
                <w:szCs w:val="24"/>
                <w:highlight w:val="none"/>
              </w:rPr>
            </w:pPr>
            <w:r>
              <w:rPr>
                <w:rFonts w:hint="eastAsia" w:hAnsi="宋体" w:cs="宋体"/>
                <w:b/>
                <w:szCs w:val="24"/>
                <w:highlight w:val="none"/>
              </w:rPr>
              <w:t>违约责任：</w:t>
            </w:r>
          </w:p>
          <w:p w14:paraId="3C791514">
            <w:pPr>
              <w:spacing w:line="360" w:lineRule="auto"/>
              <w:ind w:firstLine="480" w:firstLineChars="200"/>
              <w:rPr>
                <w:rFonts w:hAnsi="宋体" w:cs="宋体"/>
                <w:szCs w:val="24"/>
                <w:highlight w:val="none"/>
              </w:rPr>
            </w:pPr>
            <w:r>
              <w:rPr>
                <w:rFonts w:hint="eastAsia" w:hAnsi="宋体" w:cs="宋体"/>
                <w:szCs w:val="24"/>
                <w:highlight w:val="none"/>
              </w:rPr>
              <w:t>1、按《</w:t>
            </w:r>
            <w:r>
              <w:rPr>
                <w:rFonts w:hint="eastAsia" w:hAnsi="宋体" w:cs="宋体"/>
                <w:szCs w:val="24"/>
                <w:highlight w:val="none"/>
                <w:lang w:val="en-US" w:eastAsia="zh-CN"/>
              </w:rPr>
              <w:t>中华人民共和国</w:t>
            </w:r>
            <w:r>
              <w:rPr>
                <w:rFonts w:hint="eastAsia" w:hAnsi="宋体" w:cs="宋体"/>
                <w:szCs w:val="24"/>
                <w:highlight w:val="none"/>
              </w:rPr>
              <w:t>民法典》中的相关条款执行。</w:t>
            </w:r>
          </w:p>
          <w:p w14:paraId="2ECEBD5D">
            <w:pPr>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val="en-US" w:eastAsia="zh-CN"/>
              </w:rPr>
              <w:t>中华人民共和国</w:t>
            </w:r>
            <w:r>
              <w:rPr>
                <w:rFonts w:hint="eastAsia" w:hAnsi="宋体" w:cs="宋体"/>
                <w:szCs w:val="24"/>
                <w:highlight w:val="none"/>
              </w:rPr>
              <w:t>民法典》有关条款及合同约定终止合同，并要求服务商承担违约责任。同时，政府采购监管部门有权依据《</w:t>
            </w:r>
            <w:r>
              <w:rPr>
                <w:rFonts w:hint="eastAsia" w:hAnsi="宋体" w:cs="宋体"/>
                <w:szCs w:val="24"/>
                <w:highlight w:val="none"/>
                <w:lang w:val="en-US" w:eastAsia="zh-CN"/>
              </w:rPr>
              <w:t>中华人民共和国</w:t>
            </w:r>
            <w:r>
              <w:rPr>
                <w:rFonts w:hint="eastAsia" w:hAnsi="宋体" w:cs="宋体"/>
                <w:szCs w:val="24"/>
                <w:highlight w:val="none"/>
              </w:rPr>
              <w:t>政府采购法》及相关法律法规对服务商的违法行为进行相应的处罚。</w:t>
            </w:r>
          </w:p>
        </w:tc>
      </w:tr>
      <w:tr w14:paraId="11B81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3" w:hRule="atLeast"/>
        </w:trPr>
        <w:tc>
          <w:tcPr>
            <w:tcW w:w="865" w:type="dxa"/>
            <w:vAlign w:val="center"/>
          </w:tcPr>
          <w:p w14:paraId="5EE9176F">
            <w:pPr>
              <w:pStyle w:val="14"/>
              <w:spacing w:line="360" w:lineRule="auto"/>
              <w:jc w:val="center"/>
              <w:rPr>
                <w:rFonts w:hAnsi="宋体" w:cs="宋体"/>
                <w:kern w:val="0"/>
                <w:sz w:val="24"/>
                <w:szCs w:val="24"/>
                <w:highlight w:val="none"/>
              </w:rPr>
            </w:pPr>
            <w:r>
              <w:rPr>
                <w:rFonts w:hint="eastAsia" w:hAnsi="宋体" w:cs="宋体"/>
                <w:kern w:val="0"/>
                <w:sz w:val="24"/>
                <w:szCs w:val="24"/>
                <w:highlight w:val="none"/>
              </w:rPr>
              <w:t>16</w:t>
            </w:r>
          </w:p>
        </w:tc>
        <w:tc>
          <w:tcPr>
            <w:tcW w:w="8546" w:type="dxa"/>
            <w:vAlign w:val="center"/>
          </w:tcPr>
          <w:p w14:paraId="71CBA6FC">
            <w:pPr>
              <w:spacing w:line="360" w:lineRule="auto"/>
              <w:rPr>
                <w:rFonts w:hAnsi="宋体" w:cs="宋体"/>
                <w:b/>
                <w:szCs w:val="24"/>
                <w:highlight w:val="none"/>
              </w:rPr>
            </w:pPr>
            <w:r>
              <w:rPr>
                <w:rFonts w:hint="eastAsia" w:hAnsi="宋体" w:cs="宋体"/>
                <w:b/>
                <w:szCs w:val="24"/>
                <w:highlight w:val="none"/>
              </w:rPr>
              <w:t>政府采购合同：</w:t>
            </w:r>
          </w:p>
          <w:p w14:paraId="0875096F">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政府采购合同适用合同法。采购人和供应商之间的权利和义务，应当按照平等、自愿的原则以合同方式约定。</w:t>
            </w:r>
          </w:p>
          <w:p w14:paraId="55BAF4EC">
            <w:pPr>
              <w:spacing w:line="360" w:lineRule="auto"/>
              <w:ind w:firstLine="480" w:firstLineChars="200"/>
              <w:rPr>
                <w:rFonts w:hAnsi="宋体" w:cs="宋体"/>
                <w:szCs w:val="24"/>
                <w:highlight w:val="none"/>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4D03C076">
            <w:pPr>
              <w:spacing w:line="360" w:lineRule="auto"/>
              <w:ind w:firstLine="480" w:firstLineChars="200"/>
              <w:rPr>
                <w:rFonts w:hAnsi="宋体" w:cs="宋体"/>
                <w:szCs w:val="24"/>
                <w:highlight w:val="none"/>
              </w:rPr>
            </w:pPr>
            <w:r>
              <w:rPr>
                <w:rFonts w:hint="eastAsia" w:hAnsi="宋体" w:cs="宋体"/>
                <w:szCs w:val="24"/>
                <w:highlight w:val="none"/>
              </w:rPr>
              <w:t>政府采购合同应当采用书面形式。</w:t>
            </w:r>
          </w:p>
          <w:p w14:paraId="580EA95B">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国务院政府采购监督管理部门应当会同国务院有关部门，规定政府采购合同必须具备的条款。</w:t>
            </w:r>
          </w:p>
          <w:p w14:paraId="530FAC99">
            <w:pPr>
              <w:spacing w:line="360" w:lineRule="auto"/>
              <w:ind w:firstLine="480" w:firstLineChars="200"/>
              <w:rPr>
                <w:rFonts w:hint="eastAsia" w:hAnsi="宋体" w:cs="宋体"/>
                <w:szCs w:val="24"/>
                <w:highlight w:val="none"/>
              </w:rPr>
            </w:pPr>
            <w:r>
              <w:rPr>
                <w:rFonts w:hint="eastAsia" w:hAnsi="宋体" w:cs="宋体"/>
                <w:szCs w:val="24"/>
                <w:highlight w:val="none"/>
              </w:rPr>
              <w:t>采购人与中标、成交供应商应当在中标、成交通知书发出之日起三十日内，按照采购文件确定的事项签订政府采购合同。</w:t>
            </w:r>
          </w:p>
          <w:p w14:paraId="65448481">
            <w:pPr>
              <w:spacing w:line="360" w:lineRule="auto"/>
              <w:ind w:firstLine="480" w:firstLineChars="200"/>
              <w:rPr>
                <w:rFonts w:hAnsi="宋体" w:cs="宋体"/>
                <w:szCs w:val="24"/>
                <w:highlight w:val="none"/>
              </w:rPr>
            </w:pPr>
            <w:r>
              <w:rPr>
                <w:rFonts w:hint="eastAsia" w:hAnsi="宋体" w:cs="宋体"/>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1C5581D6">
            <w:pPr>
              <w:widowControl/>
              <w:spacing w:line="560" w:lineRule="exact"/>
              <w:ind w:firstLine="480" w:firstLineChars="200"/>
              <w:rPr>
                <w:rFonts w:hAnsi="宋体" w:cs="宋体"/>
                <w:szCs w:val="24"/>
                <w:highlight w:val="none"/>
              </w:rPr>
            </w:pPr>
            <w:r>
              <w:rPr>
                <w:rFonts w:hint="eastAsia" w:hAnsi="宋体" w:cs="宋体"/>
                <w:szCs w:val="24"/>
                <w:highlight w:val="none"/>
              </w:rPr>
              <w:t>政府采购项目的采购合同自签订之日起七个工作日内，采购人应当将合同副本报同级政府采购监督管理部门和有关部门备案。</w:t>
            </w:r>
          </w:p>
        </w:tc>
      </w:tr>
      <w:bookmarkEnd w:id="69"/>
      <w:bookmarkEnd w:id="70"/>
      <w:bookmarkEnd w:id="71"/>
      <w:bookmarkEnd w:id="72"/>
      <w:bookmarkEnd w:id="73"/>
    </w:tbl>
    <w:p w14:paraId="5A0F74A1">
      <w:pPr>
        <w:rPr>
          <w:rFonts w:hAnsi="宋体" w:cs="宋体"/>
          <w:b/>
          <w:sz w:val="36"/>
          <w:szCs w:val="36"/>
          <w:highlight w:val="none"/>
        </w:rPr>
      </w:pPr>
      <w:r>
        <w:rPr>
          <w:rFonts w:hint="eastAsia" w:hAnsi="宋体" w:cs="宋体"/>
          <w:b/>
          <w:sz w:val="36"/>
          <w:szCs w:val="36"/>
          <w:highlight w:val="none"/>
        </w:rPr>
        <w:br w:type="page"/>
      </w:r>
    </w:p>
    <w:p w14:paraId="3D60D54F">
      <w:pPr>
        <w:rPr>
          <w:rFonts w:ascii="黑体" w:eastAsia="黑体"/>
          <w:b/>
          <w:sz w:val="32"/>
          <w:szCs w:val="32"/>
          <w:highlight w:val="none"/>
        </w:rPr>
      </w:pPr>
      <w:bookmarkStart w:id="76" w:name="_Toc8333"/>
      <w:bookmarkStart w:id="77" w:name="_Toc31683"/>
      <w:bookmarkStart w:id="78" w:name="_Toc19199"/>
      <w:bookmarkStart w:id="79" w:name="_Toc8954"/>
      <w:bookmarkStart w:id="80" w:name="_Toc19246"/>
      <w:bookmarkStart w:id="81" w:name="_Toc20230"/>
      <w:bookmarkStart w:id="82" w:name="_Toc31520"/>
      <w:bookmarkStart w:id="83" w:name="_Toc9053"/>
      <w:bookmarkStart w:id="84" w:name="_Toc29888"/>
      <w:bookmarkStart w:id="85" w:name="_Toc389582037"/>
      <w:bookmarkStart w:id="86" w:name="_Toc426457696"/>
      <w:bookmarkStart w:id="87" w:name="_Toc26595"/>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仅供参考）</w:t>
      </w:r>
    </w:p>
    <w:p w14:paraId="35D8AC40">
      <w:pPr>
        <w:rPr>
          <w:rFonts w:ascii="黑体" w:eastAsia="黑体"/>
          <w:b/>
          <w:sz w:val="32"/>
          <w:szCs w:val="32"/>
          <w:highlight w:val="none"/>
        </w:rPr>
      </w:pPr>
      <w:r>
        <w:rPr>
          <w:rFonts w:hint="eastAsia" w:ascii="黑体" w:eastAsia="黑体"/>
          <w:b/>
          <w:sz w:val="32"/>
          <w:szCs w:val="32"/>
          <w:highlight w:val="none"/>
        </w:rPr>
        <w:t xml:space="preserve">          </w:t>
      </w:r>
    </w:p>
    <w:p w14:paraId="61371C24">
      <w:pPr>
        <w:jc w:val="center"/>
        <w:rPr>
          <w:rFonts w:ascii="黑体" w:eastAsia="黑体"/>
          <w:sz w:val="52"/>
          <w:szCs w:val="52"/>
          <w:highlight w:val="none"/>
        </w:rPr>
      </w:pPr>
    </w:p>
    <w:p w14:paraId="38FA3A76">
      <w:pPr>
        <w:jc w:val="center"/>
        <w:rPr>
          <w:rFonts w:ascii="黑体" w:eastAsia="黑体"/>
          <w:sz w:val="52"/>
          <w:szCs w:val="52"/>
          <w:highlight w:val="none"/>
        </w:rPr>
      </w:pPr>
    </w:p>
    <w:p w14:paraId="1A1ACF06">
      <w:pPr>
        <w:jc w:val="center"/>
        <w:rPr>
          <w:rFonts w:hAnsi="宋体"/>
          <w:b/>
          <w:snapToGrid w:val="0"/>
          <w:sz w:val="48"/>
          <w:szCs w:val="48"/>
          <w:highlight w:val="none"/>
          <w:u w:val="single"/>
        </w:rPr>
      </w:pPr>
      <w:r>
        <w:rPr>
          <w:rFonts w:hint="eastAsia" w:hAnsi="宋体"/>
          <w:b/>
          <w:snapToGrid w:val="0"/>
          <w:sz w:val="48"/>
          <w:szCs w:val="48"/>
          <w:highlight w:val="none"/>
          <w:u w:val="single"/>
        </w:rPr>
        <w:t>(项目名称)</w:t>
      </w:r>
    </w:p>
    <w:p w14:paraId="0BD35909">
      <w:pPr>
        <w:jc w:val="center"/>
        <w:rPr>
          <w:rFonts w:ascii="黑体" w:eastAsia="黑体"/>
          <w:b/>
          <w:sz w:val="72"/>
          <w:szCs w:val="72"/>
          <w:highlight w:val="none"/>
        </w:rPr>
      </w:pPr>
      <w:r>
        <w:rPr>
          <w:rFonts w:hint="eastAsia" w:ascii="黑体" w:eastAsia="黑体"/>
          <w:b/>
          <w:sz w:val="72"/>
          <w:szCs w:val="72"/>
          <w:highlight w:val="none"/>
        </w:rPr>
        <w:t>供 货 合 同</w:t>
      </w:r>
    </w:p>
    <w:p w14:paraId="5DE1F8D8">
      <w:pPr>
        <w:jc w:val="center"/>
        <w:rPr>
          <w:rFonts w:ascii="黑体" w:eastAsia="黑体"/>
          <w:sz w:val="30"/>
          <w:szCs w:val="30"/>
          <w:highlight w:val="none"/>
        </w:rPr>
      </w:pPr>
      <w:r>
        <w:rPr>
          <w:rFonts w:hint="eastAsia" w:ascii="黑体" w:eastAsia="黑体"/>
          <w:sz w:val="30"/>
          <w:szCs w:val="30"/>
          <w:highlight w:val="none"/>
        </w:rPr>
        <w:t xml:space="preserve">（项目编号：      </w:t>
      </w:r>
      <w:r>
        <w:rPr>
          <w:rFonts w:hint="eastAsia" w:ascii="仿宋" w:hAnsi="仿宋" w:eastAsia="仿宋"/>
          <w:sz w:val="28"/>
          <w:szCs w:val="28"/>
          <w:highlight w:val="none"/>
        </w:rPr>
        <w:t>）</w:t>
      </w:r>
    </w:p>
    <w:p w14:paraId="00203951">
      <w:pPr>
        <w:jc w:val="center"/>
        <w:rPr>
          <w:rFonts w:ascii="黑体" w:eastAsia="黑体"/>
          <w:sz w:val="30"/>
          <w:szCs w:val="30"/>
          <w:highlight w:val="none"/>
        </w:rPr>
      </w:pPr>
    </w:p>
    <w:p w14:paraId="74D342C0">
      <w:pPr>
        <w:jc w:val="center"/>
        <w:rPr>
          <w:rFonts w:ascii="黑体" w:eastAsia="黑体"/>
          <w:sz w:val="30"/>
          <w:szCs w:val="30"/>
          <w:highlight w:val="none"/>
        </w:rPr>
      </w:pPr>
    </w:p>
    <w:p w14:paraId="24DAA36E">
      <w:pPr>
        <w:jc w:val="center"/>
        <w:rPr>
          <w:rFonts w:ascii="黑体" w:eastAsia="黑体"/>
          <w:sz w:val="30"/>
          <w:szCs w:val="30"/>
          <w:highlight w:val="none"/>
        </w:rPr>
      </w:pPr>
    </w:p>
    <w:p w14:paraId="0999ED92">
      <w:pPr>
        <w:jc w:val="center"/>
        <w:rPr>
          <w:rFonts w:ascii="黑体" w:eastAsia="黑体"/>
          <w:sz w:val="30"/>
          <w:szCs w:val="30"/>
          <w:highlight w:val="none"/>
        </w:rPr>
      </w:pPr>
    </w:p>
    <w:p w14:paraId="4F1791C8">
      <w:pPr>
        <w:jc w:val="center"/>
        <w:rPr>
          <w:rFonts w:ascii="黑体" w:eastAsia="黑体"/>
          <w:sz w:val="30"/>
          <w:szCs w:val="30"/>
          <w:highlight w:val="none"/>
        </w:rPr>
      </w:pPr>
    </w:p>
    <w:p w14:paraId="58EDC0E3">
      <w:pPr>
        <w:ind w:firstLine="2080" w:firstLineChars="650"/>
        <w:rPr>
          <w:rFonts w:ascii="黑体" w:eastAsia="黑体"/>
          <w:sz w:val="32"/>
          <w:szCs w:val="32"/>
          <w:highlight w:val="none"/>
        </w:rPr>
      </w:pPr>
    </w:p>
    <w:p w14:paraId="60B368B5">
      <w:pPr>
        <w:ind w:firstLine="2080" w:firstLineChars="650"/>
        <w:rPr>
          <w:rFonts w:ascii="黑体" w:eastAsia="黑体"/>
          <w:sz w:val="32"/>
          <w:szCs w:val="32"/>
          <w:highlight w:val="none"/>
        </w:rPr>
      </w:pPr>
    </w:p>
    <w:p w14:paraId="6A96FD1A">
      <w:pPr>
        <w:ind w:firstLine="2080" w:firstLineChars="650"/>
        <w:rPr>
          <w:rFonts w:ascii="黑体" w:eastAsia="黑体"/>
          <w:sz w:val="32"/>
          <w:szCs w:val="32"/>
          <w:highlight w:val="none"/>
        </w:rPr>
      </w:pPr>
      <w:r>
        <w:rPr>
          <w:rFonts w:hint="eastAsia" w:ascii="黑体" w:eastAsia="黑体"/>
          <w:sz w:val="32"/>
          <w:szCs w:val="32"/>
          <w:highlight w:val="none"/>
        </w:rPr>
        <w:t xml:space="preserve">甲  方： </w:t>
      </w:r>
    </w:p>
    <w:p w14:paraId="1341E8D1">
      <w:pPr>
        <w:tabs>
          <w:tab w:val="left" w:pos="480"/>
        </w:tabs>
        <w:ind w:firstLine="640" w:firstLineChars="200"/>
        <w:rPr>
          <w:rFonts w:ascii="黑体" w:hAnsi="黑体" w:eastAsia="黑体"/>
          <w:sz w:val="32"/>
          <w:szCs w:val="32"/>
          <w:highlight w:val="none"/>
        </w:rPr>
      </w:pPr>
      <w:r>
        <w:rPr>
          <w:rFonts w:hint="eastAsia" w:ascii="黑体" w:eastAsia="黑体"/>
          <w:sz w:val="32"/>
          <w:szCs w:val="32"/>
          <w:highlight w:val="none"/>
        </w:rPr>
        <w:t xml:space="preserve">         </w:t>
      </w:r>
      <w:r>
        <w:rPr>
          <w:rFonts w:hint="eastAsia" w:ascii="黑体" w:hAnsi="黑体" w:eastAsia="黑体"/>
          <w:sz w:val="32"/>
          <w:szCs w:val="32"/>
          <w:highlight w:val="none"/>
        </w:rPr>
        <w:t>乙  方：</w:t>
      </w:r>
    </w:p>
    <w:p w14:paraId="7F499AE6">
      <w:pPr>
        <w:jc w:val="center"/>
        <w:rPr>
          <w:rFonts w:ascii="黑体" w:eastAsia="黑体"/>
          <w:sz w:val="30"/>
          <w:szCs w:val="30"/>
          <w:highlight w:val="none"/>
        </w:rPr>
      </w:pPr>
    </w:p>
    <w:p w14:paraId="76A2DAD0">
      <w:pPr>
        <w:jc w:val="center"/>
        <w:rPr>
          <w:rFonts w:ascii="黑体" w:eastAsia="黑体"/>
          <w:sz w:val="32"/>
          <w:szCs w:val="32"/>
          <w:highlight w:val="none"/>
        </w:rPr>
      </w:pPr>
      <w:r>
        <w:rPr>
          <w:rFonts w:hint="eastAsia" w:ascii="黑体" w:eastAsia="黑体"/>
          <w:sz w:val="32"/>
          <w:szCs w:val="32"/>
          <w:highlight w:val="none"/>
        </w:rPr>
        <w:t xml:space="preserve">  年  月</w:t>
      </w:r>
    </w:p>
    <w:p w14:paraId="6C5E04A8">
      <w:pPr>
        <w:jc w:val="center"/>
        <w:rPr>
          <w:rFonts w:ascii="黑体" w:eastAsia="黑体"/>
          <w:sz w:val="32"/>
          <w:szCs w:val="32"/>
          <w:highlight w:val="none"/>
        </w:rPr>
      </w:pPr>
    </w:p>
    <w:p w14:paraId="21EBC434">
      <w:pPr>
        <w:spacing w:line="360" w:lineRule="auto"/>
        <w:ind w:firstLine="723" w:firstLineChars="200"/>
        <w:jc w:val="center"/>
        <w:rPr>
          <w:highlight w:val="none"/>
        </w:rPr>
      </w:pPr>
      <w:r>
        <w:rPr>
          <w:rFonts w:hint="eastAsia" w:ascii="黑体" w:eastAsia="黑体"/>
          <w:b/>
          <w:sz w:val="36"/>
          <w:szCs w:val="36"/>
          <w:highlight w:val="none"/>
        </w:rPr>
        <w:br w:type="page"/>
      </w:r>
      <w:r>
        <w:rPr>
          <w:rFonts w:hint="eastAsia" w:hAnsi="宋体" w:cs="宋体"/>
          <w:b/>
          <w:bCs/>
          <w:sz w:val="36"/>
          <w:szCs w:val="36"/>
          <w:highlight w:val="none"/>
        </w:rPr>
        <w:t>第一部分  协议书</w:t>
      </w:r>
    </w:p>
    <w:p w14:paraId="2526CA7A">
      <w:pPr>
        <w:spacing w:line="360" w:lineRule="auto"/>
        <w:ind w:firstLine="480" w:firstLineChars="200"/>
        <w:rPr>
          <w:highlight w:val="none"/>
        </w:rPr>
      </w:pPr>
      <w:r>
        <w:rPr>
          <w:rFonts w:hint="eastAsia"/>
          <w:highlight w:val="none"/>
        </w:rPr>
        <w:t>甲方：</w:t>
      </w:r>
      <w:r>
        <w:rPr>
          <w:rFonts w:hint="eastAsia"/>
          <w:highlight w:val="none"/>
          <w:lang w:eastAsia="zh-CN"/>
        </w:rPr>
        <w:t>镇安县教师发展中心</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w:t>
      </w:r>
    </w:p>
    <w:p w14:paraId="4306F03F">
      <w:pPr>
        <w:spacing w:line="360" w:lineRule="auto"/>
        <w:rPr>
          <w:highlight w:val="none"/>
        </w:rPr>
      </w:pPr>
      <w:r>
        <w:rPr>
          <w:rFonts w:hint="eastAsia"/>
          <w:highlight w:val="none"/>
        </w:rPr>
        <w:t xml:space="preserve">    乙方：</w:t>
      </w:r>
      <w:r>
        <w:rPr>
          <w:rFonts w:hint="eastAsia"/>
          <w:highlight w:val="none"/>
          <w:u w:val="single"/>
        </w:rPr>
        <w:t xml:space="preserve">                    </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 xml:space="preserve">。 </w:t>
      </w:r>
    </w:p>
    <w:p w14:paraId="0045796A">
      <w:pPr>
        <w:spacing w:line="360" w:lineRule="auto"/>
        <w:ind w:firstLine="480" w:firstLineChars="200"/>
        <w:rPr>
          <w:highlight w:val="none"/>
          <w:u w:val="single"/>
        </w:rPr>
      </w:pPr>
      <w:r>
        <w:rPr>
          <w:rFonts w:hint="eastAsia"/>
          <w:highlight w:val="none"/>
        </w:rPr>
        <w:t>甲、乙双方基于公平、公正、平等的原则，依据《中华人民共和国民法典》、《中华人民共和国政府采购法》之相关规定，现经甲、乙双方友好协商，就甲方购买乙方产品设备事宜，达成以下合同条款：</w:t>
      </w:r>
    </w:p>
    <w:p w14:paraId="591B3C48">
      <w:pPr>
        <w:spacing w:line="360" w:lineRule="auto"/>
        <w:rPr>
          <w:b/>
          <w:highlight w:val="none"/>
        </w:rPr>
      </w:pPr>
      <w:r>
        <w:rPr>
          <w:rFonts w:hint="eastAsia"/>
          <w:b/>
          <w:highlight w:val="none"/>
        </w:rPr>
        <w:t>一、合同标的物：</w:t>
      </w:r>
    </w:p>
    <w:tbl>
      <w:tblPr>
        <w:tblStyle w:val="2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3870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14:paraId="21BEC744">
            <w:pPr>
              <w:spacing w:line="360" w:lineRule="auto"/>
              <w:jc w:val="center"/>
              <w:rPr>
                <w:b/>
                <w:highlight w:val="none"/>
              </w:rPr>
            </w:pPr>
            <w:r>
              <w:rPr>
                <w:rFonts w:hint="eastAsia"/>
                <w:b/>
                <w:highlight w:val="none"/>
              </w:rPr>
              <w:t>产品名称</w:t>
            </w:r>
          </w:p>
        </w:tc>
        <w:tc>
          <w:tcPr>
            <w:tcW w:w="1620" w:type="dxa"/>
          </w:tcPr>
          <w:p w14:paraId="663B7280">
            <w:pPr>
              <w:spacing w:line="360" w:lineRule="auto"/>
              <w:jc w:val="center"/>
              <w:rPr>
                <w:b/>
                <w:highlight w:val="none"/>
              </w:rPr>
            </w:pPr>
            <w:r>
              <w:rPr>
                <w:rFonts w:hint="eastAsia"/>
                <w:b/>
                <w:highlight w:val="none"/>
              </w:rPr>
              <w:t>注册证名称</w:t>
            </w:r>
          </w:p>
        </w:tc>
        <w:tc>
          <w:tcPr>
            <w:tcW w:w="1360" w:type="dxa"/>
          </w:tcPr>
          <w:p w14:paraId="3BEBFA7F">
            <w:pPr>
              <w:spacing w:line="360" w:lineRule="auto"/>
              <w:jc w:val="center"/>
              <w:rPr>
                <w:b/>
                <w:highlight w:val="none"/>
              </w:rPr>
            </w:pPr>
            <w:r>
              <w:rPr>
                <w:rFonts w:hint="eastAsia"/>
                <w:b/>
                <w:highlight w:val="none"/>
              </w:rPr>
              <w:t>品牌型号</w:t>
            </w:r>
          </w:p>
        </w:tc>
        <w:tc>
          <w:tcPr>
            <w:tcW w:w="878" w:type="dxa"/>
          </w:tcPr>
          <w:p w14:paraId="1457A67A">
            <w:pPr>
              <w:spacing w:line="360" w:lineRule="auto"/>
              <w:jc w:val="center"/>
              <w:rPr>
                <w:b/>
                <w:highlight w:val="none"/>
              </w:rPr>
            </w:pPr>
            <w:r>
              <w:rPr>
                <w:rFonts w:hint="eastAsia"/>
                <w:b/>
                <w:highlight w:val="none"/>
              </w:rPr>
              <w:t>产地</w:t>
            </w:r>
          </w:p>
        </w:tc>
        <w:tc>
          <w:tcPr>
            <w:tcW w:w="750" w:type="dxa"/>
          </w:tcPr>
          <w:p w14:paraId="0CC366AB">
            <w:pPr>
              <w:spacing w:line="360" w:lineRule="auto"/>
              <w:jc w:val="center"/>
              <w:rPr>
                <w:b/>
                <w:highlight w:val="none"/>
              </w:rPr>
            </w:pPr>
            <w:r>
              <w:rPr>
                <w:rFonts w:hint="eastAsia"/>
                <w:b/>
                <w:highlight w:val="none"/>
              </w:rPr>
              <w:t>单位</w:t>
            </w:r>
          </w:p>
        </w:tc>
        <w:tc>
          <w:tcPr>
            <w:tcW w:w="571" w:type="dxa"/>
          </w:tcPr>
          <w:p w14:paraId="723E756C">
            <w:pPr>
              <w:spacing w:line="360" w:lineRule="auto"/>
              <w:jc w:val="center"/>
              <w:rPr>
                <w:b/>
                <w:highlight w:val="none"/>
              </w:rPr>
            </w:pPr>
            <w:r>
              <w:rPr>
                <w:rFonts w:hint="eastAsia"/>
                <w:b/>
                <w:highlight w:val="none"/>
              </w:rPr>
              <w:t>数量</w:t>
            </w:r>
          </w:p>
        </w:tc>
        <w:tc>
          <w:tcPr>
            <w:tcW w:w="1327" w:type="dxa"/>
          </w:tcPr>
          <w:p w14:paraId="21AB7A1E">
            <w:pPr>
              <w:spacing w:line="360" w:lineRule="auto"/>
              <w:jc w:val="center"/>
              <w:rPr>
                <w:b/>
                <w:highlight w:val="none"/>
              </w:rPr>
            </w:pPr>
            <w:r>
              <w:rPr>
                <w:rFonts w:hint="eastAsia"/>
                <w:b/>
                <w:highlight w:val="none"/>
              </w:rPr>
              <w:t>单价</w:t>
            </w:r>
          </w:p>
          <w:p w14:paraId="163756EC">
            <w:pPr>
              <w:spacing w:line="360" w:lineRule="auto"/>
              <w:jc w:val="center"/>
              <w:rPr>
                <w:b/>
                <w:highlight w:val="none"/>
              </w:rPr>
            </w:pPr>
            <w:r>
              <w:rPr>
                <w:rFonts w:hint="eastAsia"/>
                <w:b/>
                <w:highlight w:val="none"/>
              </w:rPr>
              <w:t>（人民币）</w:t>
            </w:r>
          </w:p>
        </w:tc>
        <w:tc>
          <w:tcPr>
            <w:tcW w:w="1305" w:type="dxa"/>
          </w:tcPr>
          <w:p w14:paraId="70DC9135">
            <w:pPr>
              <w:spacing w:line="360" w:lineRule="auto"/>
              <w:jc w:val="center"/>
              <w:rPr>
                <w:b/>
                <w:highlight w:val="none"/>
              </w:rPr>
            </w:pPr>
            <w:r>
              <w:rPr>
                <w:rFonts w:hint="eastAsia"/>
                <w:b/>
                <w:highlight w:val="none"/>
              </w:rPr>
              <w:t>总价</w:t>
            </w:r>
          </w:p>
          <w:p w14:paraId="3E988E8B">
            <w:pPr>
              <w:spacing w:line="360" w:lineRule="auto"/>
              <w:jc w:val="center"/>
              <w:rPr>
                <w:b/>
                <w:highlight w:val="none"/>
              </w:rPr>
            </w:pPr>
            <w:r>
              <w:rPr>
                <w:rFonts w:hint="eastAsia"/>
                <w:b/>
                <w:highlight w:val="none"/>
              </w:rPr>
              <w:t>（人民币）</w:t>
            </w:r>
          </w:p>
        </w:tc>
      </w:tr>
      <w:tr w14:paraId="370D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6212403B">
            <w:pPr>
              <w:spacing w:line="360" w:lineRule="auto"/>
              <w:rPr>
                <w:highlight w:val="none"/>
              </w:rPr>
            </w:pPr>
          </w:p>
        </w:tc>
        <w:tc>
          <w:tcPr>
            <w:tcW w:w="1620" w:type="dxa"/>
          </w:tcPr>
          <w:p w14:paraId="2306C1E7">
            <w:pPr>
              <w:spacing w:line="360" w:lineRule="auto"/>
              <w:rPr>
                <w:highlight w:val="none"/>
              </w:rPr>
            </w:pPr>
          </w:p>
        </w:tc>
        <w:tc>
          <w:tcPr>
            <w:tcW w:w="1360" w:type="dxa"/>
          </w:tcPr>
          <w:p w14:paraId="3F89CF67">
            <w:pPr>
              <w:spacing w:line="360" w:lineRule="auto"/>
              <w:jc w:val="left"/>
              <w:rPr>
                <w:highlight w:val="none"/>
              </w:rPr>
            </w:pPr>
          </w:p>
        </w:tc>
        <w:tc>
          <w:tcPr>
            <w:tcW w:w="878" w:type="dxa"/>
          </w:tcPr>
          <w:p w14:paraId="7250526D">
            <w:pPr>
              <w:spacing w:line="360" w:lineRule="auto"/>
              <w:rPr>
                <w:highlight w:val="none"/>
              </w:rPr>
            </w:pPr>
          </w:p>
        </w:tc>
        <w:tc>
          <w:tcPr>
            <w:tcW w:w="750" w:type="dxa"/>
          </w:tcPr>
          <w:p w14:paraId="23ED9A1A">
            <w:pPr>
              <w:spacing w:line="360" w:lineRule="auto"/>
              <w:rPr>
                <w:highlight w:val="none"/>
              </w:rPr>
            </w:pPr>
            <w:r>
              <w:rPr>
                <w:rFonts w:hint="eastAsia"/>
                <w:highlight w:val="none"/>
              </w:rPr>
              <w:t>台</w:t>
            </w:r>
          </w:p>
        </w:tc>
        <w:tc>
          <w:tcPr>
            <w:tcW w:w="571" w:type="dxa"/>
          </w:tcPr>
          <w:p w14:paraId="3EB05C75">
            <w:pPr>
              <w:spacing w:line="360" w:lineRule="auto"/>
              <w:rPr>
                <w:highlight w:val="none"/>
              </w:rPr>
            </w:pPr>
          </w:p>
        </w:tc>
        <w:tc>
          <w:tcPr>
            <w:tcW w:w="1327" w:type="dxa"/>
            <w:vAlign w:val="center"/>
          </w:tcPr>
          <w:p w14:paraId="17E04D9C">
            <w:pPr>
              <w:spacing w:line="360" w:lineRule="auto"/>
              <w:rPr>
                <w:highlight w:val="none"/>
              </w:rPr>
            </w:pPr>
            <w:r>
              <w:rPr>
                <w:rFonts w:hint="eastAsia"/>
                <w:highlight w:val="none"/>
              </w:rPr>
              <w:t>￥</w:t>
            </w:r>
          </w:p>
        </w:tc>
        <w:tc>
          <w:tcPr>
            <w:tcW w:w="1305" w:type="dxa"/>
            <w:vAlign w:val="center"/>
          </w:tcPr>
          <w:p w14:paraId="48F8A953">
            <w:pPr>
              <w:spacing w:line="360" w:lineRule="auto"/>
              <w:ind w:right="960"/>
              <w:rPr>
                <w:highlight w:val="none"/>
              </w:rPr>
            </w:pPr>
            <w:r>
              <w:rPr>
                <w:rFonts w:hint="eastAsia"/>
                <w:highlight w:val="none"/>
              </w:rPr>
              <w:t>￥</w:t>
            </w:r>
          </w:p>
        </w:tc>
      </w:tr>
      <w:tr w14:paraId="66B8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6D0072A0">
            <w:pPr>
              <w:spacing w:line="360" w:lineRule="auto"/>
              <w:rPr>
                <w:highlight w:val="none"/>
              </w:rPr>
            </w:pPr>
            <w:r>
              <w:rPr>
                <w:rFonts w:hint="eastAsia"/>
                <w:highlight w:val="none"/>
              </w:rPr>
              <w:t>合计（大写）：人民币          元整；                （小写）：￥</w:t>
            </w:r>
          </w:p>
        </w:tc>
      </w:tr>
      <w:tr w14:paraId="40F7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6DB55B13">
            <w:pPr>
              <w:widowControl/>
              <w:spacing w:line="360" w:lineRule="auto"/>
              <w:jc w:val="left"/>
              <w:rPr>
                <w:highlight w:val="none"/>
              </w:rPr>
            </w:pPr>
            <w:r>
              <w:rPr>
                <w:rFonts w:hint="eastAsia"/>
                <w:b/>
                <w:highlight w:val="none"/>
              </w:rPr>
              <w:t xml:space="preserve"> 备注：      </w:t>
            </w:r>
            <w:r>
              <w:rPr>
                <w:rFonts w:hint="eastAsia"/>
                <w:highlight w:val="none"/>
              </w:rPr>
              <w:t xml:space="preserve">                                                         </w:t>
            </w:r>
          </w:p>
          <w:p w14:paraId="4C65673E">
            <w:pPr>
              <w:widowControl/>
              <w:spacing w:line="360" w:lineRule="auto"/>
              <w:jc w:val="left"/>
              <w:rPr>
                <w:highlight w:val="none"/>
              </w:rPr>
            </w:pPr>
            <w:r>
              <w:rPr>
                <w:rFonts w:hint="eastAsia"/>
                <w:highlight w:val="none"/>
              </w:rPr>
              <w:t xml:space="preserve">                                                                      </w:t>
            </w:r>
          </w:p>
        </w:tc>
      </w:tr>
    </w:tbl>
    <w:p w14:paraId="2E801C0C">
      <w:pPr>
        <w:spacing w:line="360" w:lineRule="auto"/>
        <w:ind w:firstLine="482" w:firstLineChars="200"/>
        <w:rPr>
          <w:b/>
          <w:highlight w:val="none"/>
        </w:rPr>
      </w:pPr>
      <w:r>
        <w:rPr>
          <w:rFonts w:hint="eastAsia"/>
          <w:b/>
          <w:highlight w:val="none"/>
        </w:rPr>
        <w:t>产品应当符合国家规范规定的标准及乙方投标文件所述和宣传的标准，设备配置详单附后。</w:t>
      </w:r>
    </w:p>
    <w:p w14:paraId="16A2EFA6">
      <w:pPr>
        <w:spacing w:line="360" w:lineRule="auto"/>
        <w:rPr>
          <w:b/>
          <w:highlight w:val="none"/>
        </w:rPr>
      </w:pPr>
      <w:r>
        <w:rPr>
          <w:rFonts w:hint="eastAsia"/>
          <w:b/>
          <w:highlight w:val="none"/>
        </w:rPr>
        <w:t>二、合同价款：</w:t>
      </w:r>
    </w:p>
    <w:p w14:paraId="1DC63ACA">
      <w:pPr>
        <w:spacing w:line="360" w:lineRule="auto"/>
        <w:ind w:firstLine="480" w:firstLineChars="200"/>
        <w:rPr>
          <w:highlight w:val="none"/>
        </w:rPr>
      </w:pPr>
      <w:r>
        <w:rPr>
          <w:rFonts w:hint="eastAsia"/>
          <w:highlight w:val="none"/>
        </w:rPr>
        <w:t>1、合同总金额：</w:t>
      </w:r>
      <w:r>
        <w:rPr>
          <w:rFonts w:hint="eastAsia"/>
          <w:b/>
          <w:highlight w:val="none"/>
          <w:u w:val="single"/>
        </w:rPr>
        <w:t>人民币          元整。</w:t>
      </w:r>
    </w:p>
    <w:p w14:paraId="2FD06E63">
      <w:pPr>
        <w:spacing w:line="360" w:lineRule="auto"/>
        <w:ind w:firstLine="480" w:firstLineChars="200"/>
        <w:rPr>
          <w:rFonts w:hAnsi="宋体"/>
          <w:szCs w:val="24"/>
          <w:highlight w:val="none"/>
        </w:rPr>
      </w:pPr>
      <w:r>
        <w:rPr>
          <w:rFonts w:hint="eastAsia" w:hAnsi="宋体"/>
          <w:szCs w:val="24"/>
          <w:highlight w:val="none"/>
        </w:rPr>
        <w:t>2、合同总金额包括但不限于产品费（含相关配件、附件、安装材料）、施工费、安装调试费、运杂费（含保险）、仓储保管费、技术培训费、招标代理服务费、税金等其他一切相关费用。</w:t>
      </w:r>
    </w:p>
    <w:p w14:paraId="121E4058">
      <w:pPr>
        <w:spacing w:line="360" w:lineRule="auto"/>
        <w:rPr>
          <w:b/>
          <w:highlight w:val="none"/>
        </w:rPr>
      </w:pPr>
      <w:r>
        <w:rPr>
          <w:rFonts w:hint="eastAsia"/>
          <w:b/>
          <w:highlight w:val="none"/>
        </w:rPr>
        <w:t>三、交货地点：</w:t>
      </w:r>
    </w:p>
    <w:p w14:paraId="45AC9C5E">
      <w:pPr>
        <w:spacing w:line="360" w:lineRule="auto"/>
        <w:ind w:firstLine="470" w:firstLineChars="196"/>
        <w:rPr>
          <w:highlight w:val="none"/>
        </w:rPr>
      </w:pPr>
      <w:r>
        <w:rPr>
          <w:rFonts w:hint="eastAsia"/>
          <w:highlight w:val="none"/>
          <w:lang w:eastAsia="zh-CN"/>
        </w:rPr>
        <w:t>镇安县教师发展中心</w:t>
      </w:r>
      <w:r>
        <w:rPr>
          <w:rFonts w:hint="eastAsia"/>
          <w:highlight w:val="none"/>
        </w:rPr>
        <w:t>指定地点。</w:t>
      </w:r>
    </w:p>
    <w:p w14:paraId="60FD3398">
      <w:pPr>
        <w:spacing w:line="360" w:lineRule="auto"/>
        <w:rPr>
          <w:b/>
          <w:highlight w:val="none"/>
        </w:rPr>
      </w:pPr>
      <w:r>
        <w:rPr>
          <w:rFonts w:hint="eastAsia"/>
          <w:b/>
          <w:highlight w:val="none"/>
        </w:rPr>
        <w:t>四、交货时间：</w:t>
      </w:r>
    </w:p>
    <w:p w14:paraId="3986D633">
      <w:pPr>
        <w:spacing w:line="360" w:lineRule="auto"/>
        <w:ind w:firstLine="470" w:firstLineChars="196"/>
        <w:rPr>
          <w:highlight w:val="none"/>
        </w:rPr>
      </w:pPr>
      <w:r>
        <w:rPr>
          <w:rFonts w:hint="eastAsia"/>
          <w:highlight w:val="none"/>
        </w:rPr>
        <w:t>合同签订接采购人通知后</w:t>
      </w:r>
      <w:r>
        <w:rPr>
          <w:rFonts w:hint="eastAsia"/>
          <w:highlight w:val="none"/>
          <w:u w:val="single"/>
        </w:rPr>
        <w:t xml:space="preserve">        </w:t>
      </w:r>
      <w:r>
        <w:rPr>
          <w:rFonts w:hint="eastAsia"/>
          <w:highlight w:val="none"/>
        </w:rPr>
        <w:t>个日历日内。</w:t>
      </w:r>
    </w:p>
    <w:p w14:paraId="27B28298">
      <w:pPr>
        <w:spacing w:line="360" w:lineRule="auto"/>
        <w:rPr>
          <w:highlight w:val="none"/>
        </w:rPr>
      </w:pPr>
      <w:r>
        <w:rPr>
          <w:rFonts w:hint="eastAsia"/>
          <w:b/>
          <w:highlight w:val="none"/>
        </w:rPr>
        <w:t>五、甲方指定收件人为：</w:t>
      </w:r>
      <w:r>
        <w:rPr>
          <w:rFonts w:hint="eastAsia"/>
          <w:b/>
          <w:highlight w:val="none"/>
          <w:u w:val="single"/>
        </w:rPr>
        <w:t xml:space="preserve">        </w:t>
      </w:r>
      <w:r>
        <w:rPr>
          <w:rFonts w:hint="eastAsia"/>
          <w:highlight w:val="none"/>
        </w:rPr>
        <w:t>，联系电话</w:t>
      </w:r>
      <w:r>
        <w:rPr>
          <w:rFonts w:hint="eastAsia"/>
          <w:highlight w:val="none"/>
          <w:u w:val="single"/>
        </w:rPr>
        <w:t xml:space="preserve">          </w:t>
      </w:r>
      <w:r>
        <w:rPr>
          <w:rFonts w:hint="eastAsia"/>
          <w:i/>
          <w:iCs/>
          <w:highlight w:val="none"/>
          <w:u w:val="single"/>
        </w:rPr>
        <w:t xml:space="preserve">     </w:t>
      </w:r>
      <w:r>
        <w:rPr>
          <w:rFonts w:hint="eastAsia"/>
          <w:highlight w:val="none"/>
        </w:rPr>
        <w:t>。</w:t>
      </w:r>
    </w:p>
    <w:p w14:paraId="72AC1A61">
      <w:pPr>
        <w:spacing w:line="360" w:lineRule="auto"/>
        <w:ind w:firstLine="480" w:firstLineChars="200"/>
        <w:rPr>
          <w:highlight w:val="none"/>
        </w:rPr>
      </w:pPr>
      <w:r>
        <w:rPr>
          <w:rFonts w:hint="eastAsia"/>
          <w:highlight w:val="none"/>
        </w:rPr>
        <w:t>根据使用需要，甲方如需提前或推迟收货，甲方应当</w:t>
      </w:r>
      <w:r>
        <w:rPr>
          <w:rFonts w:hint="eastAsia"/>
          <w:b/>
          <w:bCs/>
          <w:highlight w:val="none"/>
        </w:rPr>
        <w:t>提前电话或邮箱或其他任何在本合同约定的方式通知乙方</w:t>
      </w:r>
      <w:r>
        <w:rPr>
          <w:rFonts w:hint="eastAsia"/>
          <w:highlight w:val="none"/>
        </w:rPr>
        <w:t>，乙方应无条件配合，不得收取仓储费等任何费用。</w:t>
      </w:r>
    </w:p>
    <w:p w14:paraId="09B667BA">
      <w:pPr>
        <w:spacing w:line="360" w:lineRule="auto"/>
        <w:rPr>
          <w:b/>
          <w:highlight w:val="none"/>
        </w:rPr>
      </w:pPr>
      <w:r>
        <w:rPr>
          <w:rFonts w:hint="eastAsia"/>
          <w:b/>
          <w:highlight w:val="none"/>
        </w:rPr>
        <w:t>六：货款结算方式：</w:t>
      </w:r>
    </w:p>
    <w:p w14:paraId="1FCAB4C9">
      <w:pPr>
        <w:spacing w:line="360" w:lineRule="auto"/>
        <w:ind w:firstLine="480" w:firstLineChars="200"/>
        <w:rPr>
          <w:highlight w:val="none"/>
        </w:rPr>
      </w:pPr>
      <w:r>
        <w:rPr>
          <w:rFonts w:hint="eastAsia"/>
          <w:highlight w:val="none"/>
        </w:rPr>
        <w:t>1、付款方式：</w:t>
      </w:r>
    </w:p>
    <w:p w14:paraId="2F967A40">
      <w:pPr>
        <w:spacing w:line="360" w:lineRule="auto"/>
        <w:ind w:firstLine="482" w:firstLineChars="200"/>
        <w:rPr>
          <w:b/>
          <w:bCs/>
          <w:highlight w:val="none"/>
        </w:rPr>
      </w:pPr>
      <w:r>
        <w:rPr>
          <w:rFonts w:hint="eastAsia"/>
          <w:b/>
          <w:bCs/>
          <w:highlight w:val="none"/>
        </w:rPr>
        <w:t>每次付款前</w:t>
      </w:r>
      <w:r>
        <w:rPr>
          <w:rFonts w:hint="eastAsia"/>
          <w:b/>
          <w:bCs/>
          <w:highlight w:val="none"/>
          <w:u w:val="single"/>
        </w:rPr>
        <w:t xml:space="preserve">    </w:t>
      </w:r>
      <w:r>
        <w:rPr>
          <w:rFonts w:hint="eastAsia"/>
          <w:b/>
          <w:bCs/>
          <w:highlight w:val="none"/>
        </w:rPr>
        <w:t>个工作日内，乙方需提前向甲方开具相应金额的正式税务发票。</w:t>
      </w:r>
    </w:p>
    <w:p w14:paraId="49FEB1CF">
      <w:pPr>
        <w:spacing w:line="360" w:lineRule="auto"/>
        <w:ind w:firstLine="480" w:firstLineChars="200"/>
        <w:rPr>
          <w:highlight w:val="none"/>
        </w:rPr>
      </w:pPr>
      <w:r>
        <w:rPr>
          <w:rFonts w:hint="eastAsia"/>
          <w:highlight w:val="none"/>
        </w:rPr>
        <w:t>2、支付方式：甲方直接将货款通过银行转账的方式转入乙方指定的专用账号。乙方账户名：</w:t>
      </w:r>
      <w:r>
        <w:rPr>
          <w:rFonts w:hint="eastAsia"/>
          <w:highlight w:val="none"/>
          <w:u w:val="single"/>
        </w:rPr>
        <w:t xml:space="preserve">               </w:t>
      </w:r>
      <w:r>
        <w:rPr>
          <w:rFonts w:hint="eastAsia"/>
          <w:highlight w:val="none"/>
        </w:rPr>
        <w:t>。账号：</w:t>
      </w:r>
      <w:r>
        <w:rPr>
          <w:rFonts w:hint="eastAsia"/>
          <w:highlight w:val="none"/>
          <w:u w:val="single"/>
        </w:rPr>
        <w:t xml:space="preserve">              </w:t>
      </w:r>
      <w:r>
        <w:rPr>
          <w:rFonts w:hint="eastAsia"/>
          <w:highlight w:val="none"/>
        </w:rPr>
        <w:t>。开户行</w:t>
      </w:r>
      <w:r>
        <w:rPr>
          <w:rFonts w:hint="eastAsia"/>
          <w:highlight w:val="none"/>
          <w:u w:val="single"/>
        </w:rPr>
        <w:t xml:space="preserve">             </w:t>
      </w:r>
      <w:r>
        <w:rPr>
          <w:rFonts w:hint="eastAsia"/>
          <w:highlight w:val="none"/>
        </w:rPr>
        <w:t>。</w:t>
      </w:r>
    </w:p>
    <w:p w14:paraId="43E5F8DD">
      <w:pPr>
        <w:adjustRightInd w:val="0"/>
        <w:snapToGrid w:val="0"/>
        <w:spacing w:line="360" w:lineRule="auto"/>
        <w:rPr>
          <w:rFonts w:hAnsi="宋体" w:cs="宋体"/>
          <w:szCs w:val="24"/>
          <w:highlight w:val="none"/>
        </w:rPr>
      </w:pPr>
      <w:r>
        <w:rPr>
          <w:rFonts w:hint="eastAsia" w:hAnsi="宋体" w:cs="宋体"/>
          <w:b/>
          <w:szCs w:val="24"/>
          <w:highlight w:val="none"/>
        </w:rPr>
        <w:t>七、质量保证：</w:t>
      </w:r>
      <w:r>
        <w:rPr>
          <w:rFonts w:hint="eastAsia" w:hAnsi="宋体" w:cs="宋体"/>
          <w:szCs w:val="24"/>
          <w:highlight w:val="none"/>
        </w:rPr>
        <w:t>详见“第三章合同条款及格式前附表”</w:t>
      </w:r>
    </w:p>
    <w:p w14:paraId="34EAF803">
      <w:pPr>
        <w:adjustRightInd w:val="0"/>
        <w:snapToGrid w:val="0"/>
        <w:spacing w:line="360" w:lineRule="auto"/>
        <w:rPr>
          <w:rFonts w:hAnsi="宋体" w:cs="宋体"/>
          <w:szCs w:val="24"/>
          <w:highlight w:val="none"/>
        </w:rPr>
      </w:pPr>
      <w:r>
        <w:rPr>
          <w:rFonts w:hint="eastAsia" w:hAnsi="宋体" w:cs="宋体"/>
          <w:b/>
          <w:bCs/>
          <w:szCs w:val="24"/>
          <w:highlight w:val="none"/>
        </w:rPr>
        <w:t>八</w:t>
      </w:r>
      <w:r>
        <w:rPr>
          <w:rFonts w:hint="eastAsia" w:hAnsi="宋体" w:cs="宋体"/>
          <w:szCs w:val="24"/>
          <w:highlight w:val="none"/>
        </w:rPr>
        <w:t>、</w:t>
      </w:r>
      <w:r>
        <w:rPr>
          <w:rFonts w:hint="eastAsia" w:hAnsi="宋体" w:cs="宋体"/>
          <w:b/>
          <w:bCs/>
          <w:szCs w:val="24"/>
          <w:highlight w:val="none"/>
        </w:rPr>
        <w:t>运输、安装、调试要求：</w:t>
      </w:r>
      <w:r>
        <w:rPr>
          <w:rFonts w:hint="eastAsia" w:hAnsi="宋体" w:cs="宋体"/>
          <w:szCs w:val="24"/>
          <w:highlight w:val="none"/>
        </w:rPr>
        <w:t>详见“第三章合同条款及格式前附表”</w:t>
      </w:r>
    </w:p>
    <w:p w14:paraId="18F03407">
      <w:pPr>
        <w:adjustRightInd w:val="0"/>
        <w:snapToGrid w:val="0"/>
        <w:spacing w:line="360" w:lineRule="auto"/>
        <w:rPr>
          <w:rFonts w:hAnsi="宋体" w:cs="宋体"/>
          <w:b/>
          <w:szCs w:val="24"/>
          <w:highlight w:val="none"/>
        </w:rPr>
      </w:pPr>
      <w:r>
        <w:rPr>
          <w:rFonts w:hint="eastAsia" w:hAnsi="宋体" w:cs="宋体"/>
          <w:b/>
          <w:bCs/>
          <w:szCs w:val="24"/>
          <w:highlight w:val="none"/>
        </w:rPr>
        <w:t>九、技术支持及培训：</w:t>
      </w:r>
      <w:r>
        <w:rPr>
          <w:rFonts w:hint="eastAsia" w:hAnsi="宋体" w:cs="宋体"/>
          <w:szCs w:val="24"/>
          <w:highlight w:val="none"/>
        </w:rPr>
        <w:t>详见“第三章合同条款及格式前附表”</w:t>
      </w:r>
    </w:p>
    <w:p w14:paraId="0BDAAD7E">
      <w:pPr>
        <w:adjustRightInd w:val="0"/>
        <w:snapToGrid w:val="0"/>
        <w:spacing w:line="360" w:lineRule="auto"/>
        <w:rPr>
          <w:rFonts w:hAnsi="宋体" w:cs="宋体"/>
          <w:b/>
          <w:szCs w:val="24"/>
          <w:highlight w:val="none"/>
        </w:rPr>
      </w:pPr>
      <w:r>
        <w:rPr>
          <w:rFonts w:hint="eastAsia" w:hAnsi="宋体" w:cs="宋体"/>
          <w:b/>
          <w:szCs w:val="24"/>
          <w:highlight w:val="none"/>
        </w:rPr>
        <w:t>十、</w:t>
      </w:r>
      <w:r>
        <w:rPr>
          <w:rFonts w:hint="eastAsia" w:hAnsi="宋体" w:cs="宋体"/>
          <w:b/>
          <w:bCs/>
          <w:szCs w:val="24"/>
          <w:highlight w:val="none"/>
        </w:rPr>
        <w:t>技术资料要求</w:t>
      </w:r>
      <w:r>
        <w:rPr>
          <w:rFonts w:hint="eastAsia" w:hAnsi="宋体" w:cs="宋体"/>
          <w:b/>
          <w:szCs w:val="24"/>
          <w:highlight w:val="none"/>
        </w:rPr>
        <w:t>：</w:t>
      </w:r>
      <w:r>
        <w:rPr>
          <w:rFonts w:hint="eastAsia" w:hAnsi="宋体" w:cs="宋体"/>
          <w:szCs w:val="24"/>
          <w:highlight w:val="none"/>
        </w:rPr>
        <w:t>详见“第三章合同条款及格式前附表”</w:t>
      </w:r>
    </w:p>
    <w:p w14:paraId="7C6C9DF5">
      <w:pPr>
        <w:adjustRightInd w:val="0"/>
        <w:snapToGrid w:val="0"/>
        <w:spacing w:line="360" w:lineRule="auto"/>
        <w:rPr>
          <w:rFonts w:hAnsi="宋体" w:cs="宋体"/>
          <w:szCs w:val="24"/>
          <w:highlight w:val="none"/>
        </w:rPr>
      </w:pPr>
      <w:r>
        <w:rPr>
          <w:rFonts w:hint="eastAsia" w:hAnsi="宋体" w:cs="宋体"/>
          <w:b/>
          <w:szCs w:val="24"/>
          <w:highlight w:val="none"/>
        </w:rPr>
        <w:t>十一、验收：</w:t>
      </w:r>
      <w:r>
        <w:rPr>
          <w:rFonts w:hint="eastAsia" w:hAnsi="宋体" w:cs="宋体"/>
          <w:szCs w:val="24"/>
          <w:highlight w:val="none"/>
        </w:rPr>
        <w:t>详见“第三章合同条款及格式前附表”</w:t>
      </w:r>
    </w:p>
    <w:p w14:paraId="6F5CADD5">
      <w:pPr>
        <w:adjustRightInd w:val="0"/>
        <w:snapToGrid w:val="0"/>
        <w:spacing w:line="360" w:lineRule="auto"/>
        <w:rPr>
          <w:rFonts w:hAnsi="宋体" w:cs="宋体"/>
          <w:szCs w:val="24"/>
          <w:highlight w:val="none"/>
        </w:rPr>
      </w:pPr>
      <w:r>
        <w:rPr>
          <w:rFonts w:hint="eastAsia" w:hAnsi="宋体" w:cs="宋体"/>
          <w:b/>
          <w:bCs/>
          <w:szCs w:val="24"/>
          <w:highlight w:val="none"/>
        </w:rPr>
        <w:t>十二、质保及维保服务：</w:t>
      </w:r>
      <w:r>
        <w:rPr>
          <w:rFonts w:hint="eastAsia" w:hAnsi="宋体" w:cs="宋体"/>
          <w:szCs w:val="24"/>
          <w:highlight w:val="none"/>
        </w:rPr>
        <w:t>详见“第三章合同条款及格式前附表”</w:t>
      </w:r>
    </w:p>
    <w:p w14:paraId="321BC625">
      <w:pPr>
        <w:spacing w:line="360" w:lineRule="auto"/>
        <w:rPr>
          <w:rFonts w:hAnsi="宋体" w:cs="宋体"/>
          <w:b/>
          <w:szCs w:val="24"/>
          <w:highlight w:val="none"/>
        </w:rPr>
      </w:pPr>
      <w:r>
        <w:rPr>
          <w:rFonts w:hint="eastAsia" w:hAnsi="宋体" w:cs="宋体"/>
          <w:b/>
          <w:szCs w:val="24"/>
          <w:highlight w:val="none"/>
        </w:rPr>
        <w:t>十三、知识产权：</w:t>
      </w:r>
      <w:r>
        <w:rPr>
          <w:rFonts w:hint="eastAsia" w:hAnsi="宋体" w:cs="宋体"/>
          <w:szCs w:val="24"/>
          <w:highlight w:val="none"/>
        </w:rPr>
        <w:t>详见“第三章合同条款及格式前附表”</w:t>
      </w:r>
    </w:p>
    <w:p w14:paraId="2560920A">
      <w:pPr>
        <w:spacing w:line="360" w:lineRule="auto"/>
        <w:rPr>
          <w:rFonts w:hAnsi="宋体" w:cs="宋体"/>
          <w:b/>
          <w:szCs w:val="24"/>
          <w:highlight w:val="none"/>
        </w:rPr>
      </w:pPr>
      <w:r>
        <w:rPr>
          <w:rFonts w:hint="eastAsia" w:hAnsi="宋体" w:cs="宋体"/>
          <w:b/>
          <w:szCs w:val="24"/>
          <w:highlight w:val="none"/>
        </w:rPr>
        <w:t>十四、合同争议的解决</w:t>
      </w:r>
    </w:p>
    <w:p w14:paraId="180D0E47">
      <w:pPr>
        <w:spacing w:line="360" w:lineRule="auto"/>
        <w:rPr>
          <w:rFonts w:hAnsi="宋体" w:cs="宋体"/>
          <w:szCs w:val="24"/>
          <w:highlight w:val="none"/>
        </w:rPr>
      </w:pPr>
      <w:r>
        <w:rPr>
          <w:rFonts w:hint="eastAsia" w:hAnsi="宋体" w:cs="宋体"/>
          <w:szCs w:val="24"/>
          <w:highlight w:val="none"/>
        </w:rPr>
        <w:t xml:space="preserve">    合同执行中发生争议的，当事人双方应协商解决。协商达不成一致时，可向当地行政仲裁机关申请仲裁或者向人民法院提请诉讼。</w:t>
      </w:r>
    </w:p>
    <w:p w14:paraId="3F6425A8">
      <w:pPr>
        <w:spacing w:line="360" w:lineRule="auto"/>
        <w:jc w:val="left"/>
        <w:rPr>
          <w:rFonts w:hAnsi="宋体" w:cs="宋体"/>
          <w:b/>
          <w:bCs/>
          <w:szCs w:val="24"/>
          <w:highlight w:val="none"/>
        </w:rPr>
      </w:pPr>
      <w:r>
        <w:rPr>
          <w:rFonts w:hint="eastAsia" w:hAnsi="宋体" w:cs="宋体"/>
          <w:b/>
          <w:bCs/>
          <w:szCs w:val="24"/>
          <w:highlight w:val="none"/>
        </w:rPr>
        <w:t>十五、不可抗力情况下的免责约定</w:t>
      </w:r>
    </w:p>
    <w:p w14:paraId="767B3295">
      <w:pPr>
        <w:spacing w:line="360" w:lineRule="auto"/>
        <w:jc w:val="left"/>
        <w:rPr>
          <w:rFonts w:hAnsi="宋体" w:cs="宋体"/>
          <w:szCs w:val="24"/>
          <w:highlight w:val="none"/>
        </w:rPr>
      </w:pPr>
      <w:r>
        <w:rPr>
          <w:rFonts w:hint="eastAsia" w:hAnsi="宋体" w:cs="宋体"/>
          <w:szCs w:val="24"/>
          <w:highlight w:val="none"/>
        </w:rPr>
        <w:t xml:space="preserve">    双方约定不可抗力情况指：双方不可预见、不可避免、不可克服的客观情况，但不包括双方的违约或疏忽。这些事件包括但不限于：战争、严重火灾、洪水、台风、地震等。</w:t>
      </w:r>
    </w:p>
    <w:p w14:paraId="3D9DAC1F">
      <w:pPr>
        <w:spacing w:line="360" w:lineRule="auto"/>
        <w:rPr>
          <w:rFonts w:hAnsi="宋体" w:cs="宋体"/>
          <w:b/>
          <w:szCs w:val="24"/>
          <w:highlight w:val="none"/>
        </w:rPr>
      </w:pPr>
      <w:r>
        <w:rPr>
          <w:rFonts w:hint="eastAsia" w:hAnsi="宋体" w:cs="宋体"/>
          <w:b/>
          <w:szCs w:val="24"/>
          <w:highlight w:val="none"/>
        </w:rPr>
        <w:t>十六、违约责任：</w:t>
      </w:r>
      <w:r>
        <w:rPr>
          <w:rFonts w:hint="eastAsia" w:hAnsi="宋体" w:cs="宋体"/>
          <w:szCs w:val="24"/>
          <w:highlight w:val="none"/>
        </w:rPr>
        <w:t>详见“第三章合同条款及格式前附表”</w:t>
      </w:r>
    </w:p>
    <w:p w14:paraId="0242D615">
      <w:pPr>
        <w:spacing w:line="360" w:lineRule="auto"/>
        <w:rPr>
          <w:b/>
          <w:highlight w:val="none"/>
        </w:rPr>
      </w:pPr>
      <w:r>
        <w:rPr>
          <w:rFonts w:hint="eastAsia" w:hAnsi="宋体" w:cs="宋体"/>
          <w:b/>
          <w:szCs w:val="24"/>
          <w:highlight w:val="none"/>
        </w:rPr>
        <w:t>十七、</w:t>
      </w:r>
      <w:r>
        <w:rPr>
          <w:rFonts w:hint="eastAsia"/>
          <w:b/>
          <w:highlight w:val="none"/>
        </w:rPr>
        <w:t>以下资料为本合同不可分割部分，与本合同具有同等法律效力：</w:t>
      </w:r>
    </w:p>
    <w:p w14:paraId="7FEA4E6B">
      <w:pPr>
        <w:spacing w:line="360" w:lineRule="auto"/>
        <w:ind w:firstLine="480" w:firstLineChars="200"/>
        <w:rPr>
          <w:highlight w:val="none"/>
        </w:rPr>
      </w:pPr>
      <w:r>
        <w:rPr>
          <w:rFonts w:hint="eastAsia"/>
          <w:highlight w:val="none"/>
        </w:rPr>
        <w:t>1、本合同所涉产品的国家标准及相关行业标准；</w:t>
      </w:r>
    </w:p>
    <w:p w14:paraId="6DEA04BC">
      <w:pPr>
        <w:spacing w:line="360" w:lineRule="auto"/>
        <w:ind w:firstLine="480" w:firstLineChars="200"/>
        <w:rPr>
          <w:highlight w:val="none"/>
        </w:rPr>
      </w:pPr>
      <w:r>
        <w:rPr>
          <w:rFonts w:hint="eastAsia"/>
          <w:highlight w:val="none"/>
        </w:rPr>
        <w:t>2、本产品的详细资料；</w:t>
      </w:r>
    </w:p>
    <w:p w14:paraId="2D69FFAD">
      <w:pPr>
        <w:spacing w:line="360" w:lineRule="auto"/>
        <w:ind w:firstLine="480" w:firstLineChars="200"/>
        <w:rPr>
          <w:highlight w:val="none"/>
        </w:rPr>
      </w:pPr>
      <w:r>
        <w:rPr>
          <w:rFonts w:hint="eastAsia"/>
          <w:highlight w:val="none"/>
        </w:rPr>
        <w:t>3、招投标文件；</w:t>
      </w:r>
    </w:p>
    <w:p w14:paraId="377C51DE">
      <w:pPr>
        <w:spacing w:line="360" w:lineRule="auto"/>
        <w:ind w:firstLine="480" w:firstLineChars="200"/>
        <w:rPr>
          <w:highlight w:val="none"/>
        </w:rPr>
      </w:pPr>
      <w:r>
        <w:rPr>
          <w:rFonts w:hint="eastAsia"/>
          <w:highlight w:val="none"/>
        </w:rPr>
        <w:t>4、本套产品配置及配套设备零件报价详单；（附于合同后）</w:t>
      </w:r>
    </w:p>
    <w:p w14:paraId="706DF355">
      <w:pPr>
        <w:spacing w:line="360" w:lineRule="auto"/>
        <w:ind w:firstLine="480" w:firstLineChars="200"/>
        <w:rPr>
          <w:highlight w:val="none"/>
        </w:rPr>
      </w:pPr>
      <w:r>
        <w:rPr>
          <w:rFonts w:hint="eastAsia"/>
          <w:highlight w:val="none"/>
        </w:rPr>
        <w:t>5、本套产品配套耗材清单、报价详单。（附于合同后）</w:t>
      </w:r>
    </w:p>
    <w:p w14:paraId="5B95F0FF">
      <w:pPr>
        <w:spacing w:line="360" w:lineRule="auto"/>
        <w:rPr>
          <w:rFonts w:hAnsi="宋体" w:cs="宋体"/>
          <w:szCs w:val="24"/>
          <w:highlight w:val="none"/>
        </w:rPr>
      </w:pPr>
      <w:r>
        <w:rPr>
          <w:rFonts w:hint="eastAsia" w:hAnsi="宋体" w:cs="宋体"/>
          <w:b/>
          <w:szCs w:val="24"/>
          <w:highlight w:val="none"/>
        </w:rPr>
        <w:t>十八、其他（</w:t>
      </w:r>
      <w:r>
        <w:rPr>
          <w:rFonts w:hint="eastAsia" w:hAnsi="宋体" w:cs="宋体"/>
          <w:szCs w:val="24"/>
          <w:highlight w:val="none"/>
        </w:rPr>
        <w:t>在合同中双方自行约定）</w:t>
      </w:r>
    </w:p>
    <w:p w14:paraId="5424C5D8">
      <w:pPr>
        <w:spacing w:line="360" w:lineRule="auto"/>
        <w:rPr>
          <w:rFonts w:hAnsi="宋体" w:cs="宋体"/>
          <w:b/>
          <w:highlight w:val="none"/>
        </w:rPr>
      </w:pPr>
      <w:r>
        <w:rPr>
          <w:rFonts w:hint="eastAsia" w:hAnsi="宋体" w:cs="宋体"/>
          <w:b/>
          <w:highlight w:val="none"/>
        </w:rPr>
        <w:t>十九、合同订立</w:t>
      </w:r>
    </w:p>
    <w:p w14:paraId="3A691A4F">
      <w:pPr>
        <w:adjustRightInd w:val="0"/>
        <w:snapToGrid w:val="0"/>
        <w:spacing w:line="360" w:lineRule="auto"/>
        <w:ind w:firstLine="475" w:firstLineChars="198"/>
        <w:rPr>
          <w:rFonts w:hAnsi="宋体" w:cs="宋体"/>
          <w:highlight w:val="none"/>
        </w:rPr>
      </w:pPr>
      <w:r>
        <w:rPr>
          <w:rFonts w:hint="eastAsia" w:hAnsi="宋体" w:cs="宋体"/>
          <w:highlight w:val="none"/>
        </w:rPr>
        <w:t>1. 订立时间：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48BD4458">
      <w:pPr>
        <w:adjustRightInd w:val="0"/>
        <w:snapToGrid w:val="0"/>
        <w:spacing w:line="360" w:lineRule="auto"/>
        <w:ind w:firstLine="475" w:firstLineChars="198"/>
        <w:rPr>
          <w:rFonts w:hAnsi="宋体" w:cs="宋体"/>
          <w:highlight w:val="none"/>
        </w:rPr>
      </w:pPr>
      <w:r>
        <w:rPr>
          <w:rFonts w:hint="eastAsia" w:hAnsi="宋体" w:cs="宋体"/>
          <w:highlight w:val="none"/>
        </w:rPr>
        <w:t>2. 订立地点：</w:t>
      </w:r>
      <w:r>
        <w:rPr>
          <w:rFonts w:hint="eastAsia" w:hAnsi="宋体" w:cs="宋体"/>
          <w:highlight w:val="none"/>
          <w:u w:val="single"/>
        </w:rPr>
        <w:t xml:space="preserve">                                 </w:t>
      </w:r>
      <w:r>
        <w:rPr>
          <w:rFonts w:hint="eastAsia" w:hAnsi="宋体" w:cs="宋体"/>
          <w:highlight w:val="none"/>
        </w:rPr>
        <w:t>。</w:t>
      </w:r>
    </w:p>
    <w:p w14:paraId="4431B60E">
      <w:pPr>
        <w:tabs>
          <w:tab w:val="left" w:pos="980"/>
        </w:tabs>
        <w:kinsoku w:val="0"/>
        <w:spacing w:line="360" w:lineRule="auto"/>
        <w:ind w:firstLine="480" w:firstLineChars="200"/>
        <w:rPr>
          <w:rFonts w:hAnsi="宋体" w:cs="宋体"/>
          <w:highlight w:val="none"/>
        </w:rPr>
      </w:pPr>
      <w:r>
        <w:rPr>
          <w:rFonts w:hint="eastAsia" w:hAnsi="宋体" w:cs="宋体"/>
          <w:highlight w:val="none"/>
        </w:rPr>
        <w:t>3. 本合同一式</w:t>
      </w:r>
      <w:r>
        <w:rPr>
          <w:rFonts w:hint="eastAsia" w:hAnsi="宋体" w:cs="宋体"/>
          <w:highlight w:val="none"/>
          <w:u w:val="single"/>
        </w:rPr>
        <w:t xml:space="preserve"> 捌 </w:t>
      </w:r>
      <w:r>
        <w:rPr>
          <w:rFonts w:hint="eastAsia" w:hAnsi="宋体" w:cs="宋体"/>
          <w:highlight w:val="none"/>
        </w:rPr>
        <w:t>份，具有同等法律效力，双方各执</w:t>
      </w:r>
      <w:r>
        <w:rPr>
          <w:rFonts w:hint="eastAsia" w:hAnsi="宋体" w:cs="宋体"/>
          <w:highlight w:val="none"/>
          <w:u w:val="single"/>
        </w:rPr>
        <w:t xml:space="preserve"> 贰 </w:t>
      </w:r>
      <w:r>
        <w:rPr>
          <w:rFonts w:hint="eastAsia" w:hAnsi="宋体" w:cs="宋体"/>
          <w:highlight w:val="none"/>
        </w:rPr>
        <w:t>份，监管部门备案</w:t>
      </w:r>
      <w:r>
        <w:rPr>
          <w:rFonts w:hint="eastAsia" w:hAnsi="宋体" w:cs="宋体"/>
          <w:highlight w:val="none"/>
          <w:u w:val="single"/>
        </w:rPr>
        <w:t xml:space="preserve"> 贰 </w:t>
      </w:r>
      <w:r>
        <w:rPr>
          <w:rFonts w:hint="eastAsia" w:hAnsi="宋体" w:cs="宋体"/>
          <w:highlight w:val="none"/>
        </w:rPr>
        <w:t>份、招标代理机构存档</w:t>
      </w:r>
      <w:r>
        <w:rPr>
          <w:rFonts w:hint="eastAsia" w:hAnsi="宋体" w:cs="宋体"/>
          <w:highlight w:val="none"/>
          <w:u w:val="single"/>
        </w:rPr>
        <w:t xml:space="preserve"> 贰 </w:t>
      </w:r>
      <w:r>
        <w:rPr>
          <w:rFonts w:hint="eastAsia" w:hAnsi="宋体" w:cs="宋体"/>
          <w:highlight w:val="none"/>
        </w:rPr>
        <w:t>份。各方签字盖章后生效，合同执行完毕自动失效。（合同的服务承诺则长期有效）。</w:t>
      </w:r>
    </w:p>
    <w:p w14:paraId="4B623FEA">
      <w:pPr>
        <w:adjustRightInd w:val="0"/>
        <w:snapToGrid w:val="0"/>
        <w:spacing w:line="360" w:lineRule="auto"/>
        <w:ind w:firstLine="475" w:firstLineChars="198"/>
        <w:rPr>
          <w:rFonts w:hAnsi="宋体" w:cs="宋体"/>
          <w:highlight w:val="none"/>
        </w:rPr>
      </w:pP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4945"/>
      </w:tblGrid>
      <w:tr w14:paraId="5C81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0ABFB8A0">
            <w:pPr>
              <w:spacing w:line="360" w:lineRule="auto"/>
              <w:jc w:val="center"/>
              <w:rPr>
                <w:rFonts w:hAnsi="宋体" w:cs="宋体"/>
                <w:highlight w:val="none"/>
              </w:rPr>
            </w:pPr>
            <w:r>
              <w:rPr>
                <w:rFonts w:hint="eastAsia" w:hAnsi="宋体" w:cs="宋体"/>
                <w:highlight w:val="none"/>
              </w:rPr>
              <w:t>甲 方</w:t>
            </w:r>
          </w:p>
        </w:tc>
        <w:tc>
          <w:tcPr>
            <w:tcW w:w="2662" w:type="pct"/>
            <w:vAlign w:val="center"/>
          </w:tcPr>
          <w:p w14:paraId="29DBF475">
            <w:pPr>
              <w:spacing w:line="360" w:lineRule="auto"/>
              <w:jc w:val="center"/>
              <w:rPr>
                <w:rFonts w:hAnsi="宋体" w:cs="宋体"/>
                <w:highlight w:val="none"/>
              </w:rPr>
            </w:pPr>
            <w:r>
              <w:rPr>
                <w:rFonts w:hint="eastAsia" w:hAnsi="宋体" w:cs="宋体"/>
                <w:highlight w:val="none"/>
              </w:rPr>
              <w:t>乙 方</w:t>
            </w:r>
          </w:p>
        </w:tc>
      </w:tr>
      <w:tr w14:paraId="0BA5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303B5746">
            <w:pPr>
              <w:spacing w:line="360" w:lineRule="auto"/>
              <w:ind w:firstLine="960" w:firstLineChars="400"/>
              <w:rPr>
                <w:rFonts w:hAnsi="宋体" w:cs="宋体"/>
                <w:highlight w:val="none"/>
              </w:rPr>
            </w:pPr>
          </w:p>
          <w:p w14:paraId="5357CA73">
            <w:pPr>
              <w:spacing w:line="360" w:lineRule="auto"/>
              <w:jc w:val="center"/>
              <w:rPr>
                <w:rFonts w:hAnsi="宋体" w:cs="宋体"/>
                <w:highlight w:val="none"/>
              </w:rPr>
            </w:pPr>
          </w:p>
          <w:p w14:paraId="71F2A9D8">
            <w:pPr>
              <w:spacing w:line="360" w:lineRule="auto"/>
              <w:jc w:val="center"/>
              <w:rPr>
                <w:rFonts w:hAnsi="宋体" w:cs="宋体"/>
                <w:highlight w:val="none"/>
              </w:rPr>
            </w:pPr>
          </w:p>
          <w:p w14:paraId="5252CF36">
            <w:pPr>
              <w:spacing w:line="360" w:lineRule="auto"/>
              <w:jc w:val="center"/>
              <w:rPr>
                <w:rFonts w:hAnsi="宋体" w:cs="宋体"/>
                <w:highlight w:val="none"/>
              </w:rPr>
            </w:pPr>
          </w:p>
          <w:p w14:paraId="34B7526F">
            <w:pPr>
              <w:spacing w:line="360" w:lineRule="auto"/>
              <w:jc w:val="center"/>
              <w:rPr>
                <w:rFonts w:hAnsi="宋体" w:cs="宋体"/>
                <w:highlight w:val="none"/>
              </w:rPr>
            </w:pPr>
            <w:r>
              <w:rPr>
                <w:rFonts w:hint="eastAsia" w:hAnsi="宋体" w:cs="宋体"/>
                <w:highlight w:val="none"/>
              </w:rPr>
              <w:t>（盖章）</w:t>
            </w:r>
          </w:p>
        </w:tc>
        <w:tc>
          <w:tcPr>
            <w:tcW w:w="2662" w:type="pct"/>
            <w:vAlign w:val="center"/>
          </w:tcPr>
          <w:p w14:paraId="43817EDB">
            <w:pPr>
              <w:spacing w:line="360" w:lineRule="auto"/>
              <w:jc w:val="center"/>
              <w:rPr>
                <w:rFonts w:hAnsi="宋体" w:cs="宋体"/>
                <w:highlight w:val="none"/>
              </w:rPr>
            </w:pPr>
          </w:p>
          <w:p w14:paraId="21BE2207">
            <w:pPr>
              <w:spacing w:line="360" w:lineRule="auto"/>
              <w:jc w:val="center"/>
              <w:rPr>
                <w:rFonts w:hAnsi="宋体" w:cs="宋体"/>
                <w:highlight w:val="none"/>
              </w:rPr>
            </w:pPr>
          </w:p>
          <w:p w14:paraId="12FD7EB7">
            <w:pPr>
              <w:spacing w:line="360" w:lineRule="auto"/>
              <w:jc w:val="center"/>
              <w:rPr>
                <w:rFonts w:hAnsi="宋体" w:cs="宋体"/>
                <w:highlight w:val="none"/>
              </w:rPr>
            </w:pPr>
          </w:p>
          <w:p w14:paraId="621537CB">
            <w:pPr>
              <w:spacing w:line="360" w:lineRule="auto"/>
              <w:jc w:val="center"/>
              <w:rPr>
                <w:rFonts w:hAnsi="宋体" w:cs="宋体"/>
                <w:highlight w:val="none"/>
              </w:rPr>
            </w:pPr>
          </w:p>
          <w:p w14:paraId="17730046">
            <w:pPr>
              <w:spacing w:line="360" w:lineRule="auto"/>
              <w:jc w:val="center"/>
              <w:rPr>
                <w:rFonts w:hAnsi="宋体" w:cs="宋体"/>
                <w:highlight w:val="none"/>
              </w:rPr>
            </w:pPr>
            <w:r>
              <w:rPr>
                <w:rFonts w:hint="eastAsia" w:hAnsi="宋体" w:cs="宋体"/>
                <w:highlight w:val="none"/>
              </w:rPr>
              <w:t>（盖章）</w:t>
            </w:r>
          </w:p>
        </w:tc>
      </w:tr>
      <w:tr w14:paraId="0E2C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029D3662">
            <w:pPr>
              <w:spacing w:line="360" w:lineRule="auto"/>
              <w:jc w:val="left"/>
              <w:rPr>
                <w:rFonts w:hAnsi="宋体" w:cs="宋体"/>
                <w:highlight w:val="none"/>
              </w:rPr>
            </w:pPr>
            <w:r>
              <w:rPr>
                <w:rFonts w:hint="eastAsia" w:hAnsi="宋体" w:cs="宋体"/>
                <w:highlight w:val="none"/>
              </w:rPr>
              <w:t>地址：</w:t>
            </w:r>
          </w:p>
        </w:tc>
        <w:tc>
          <w:tcPr>
            <w:tcW w:w="2662" w:type="pct"/>
          </w:tcPr>
          <w:p w14:paraId="0EE3819C">
            <w:pPr>
              <w:spacing w:line="360" w:lineRule="auto"/>
              <w:jc w:val="left"/>
              <w:rPr>
                <w:rFonts w:hAnsi="宋体" w:cs="宋体"/>
                <w:highlight w:val="none"/>
              </w:rPr>
            </w:pPr>
            <w:r>
              <w:rPr>
                <w:rFonts w:hint="eastAsia" w:hAnsi="宋体" w:cs="宋体"/>
                <w:highlight w:val="none"/>
              </w:rPr>
              <w:t>地址：</w:t>
            </w:r>
          </w:p>
        </w:tc>
      </w:tr>
      <w:tr w14:paraId="477F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7BF0767E">
            <w:pPr>
              <w:spacing w:line="360" w:lineRule="auto"/>
              <w:jc w:val="left"/>
              <w:rPr>
                <w:rFonts w:hAnsi="宋体" w:cs="宋体"/>
                <w:highlight w:val="none"/>
              </w:rPr>
            </w:pPr>
            <w:r>
              <w:rPr>
                <w:rFonts w:hint="eastAsia" w:hAnsi="宋体" w:cs="宋体"/>
                <w:highlight w:val="none"/>
              </w:rPr>
              <w:t>邮编：</w:t>
            </w:r>
          </w:p>
        </w:tc>
        <w:tc>
          <w:tcPr>
            <w:tcW w:w="2662" w:type="pct"/>
          </w:tcPr>
          <w:p w14:paraId="48F8B3D8">
            <w:pPr>
              <w:spacing w:line="360" w:lineRule="auto"/>
              <w:jc w:val="left"/>
              <w:rPr>
                <w:rFonts w:hAnsi="宋体" w:cs="宋体"/>
                <w:highlight w:val="none"/>
              </w:rPr>
            </w:pPr>
            <w:r>
              <w:rPr>
                <w:rFonts w:hint="eastAsia" w:hAnsi="宋体" w:cs="宋体"/>
                <w:highlight w:val="none"/>
              </w:rPr>
              <w:t>邮编：</w:t>
            </w:r>
          </w:p>
        </w:tc>
      </w:tr>
      <w:tr w14:paraId="3CA2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25CED5F7">
            <w:pPr>
              <w:spacing w:line="360" w:lineRule="auto"/>
              <w:jc w:val="left"/>
              <w:rPr>
                <w:rFonts w:hAnsi="宋体" w:cs="宋体"/>
                <w:highlight w:val="none"/>
              </w:rPr>
            </w:pPr>
            <w:r>
              <w:rPr>
                <w:rFonts w:hint="eastAsia" w:hAnsi="宋体" w:cs="宋体"/>
                <w:highlight w:val="none"/>
              </w:rPr>
              <w:t>法定代表人：</w:t>
            </w:r>
          </w:p>
        </w:tc>
        <w:tc>
          <w:tcPr>
            <w:tcW w:w="2662" w:type="pct"/>
          </w:tcPr>
          <w:p w14:paraId="32A46BC4">
            <w:pPr>
              <w:spacing w:line="360" w:lineRule="auto"/>
              <w:jc w:val="left"/>
              <w:rPr>
                <w:rFonts w:hAnsi="宋体" w:cs="宋体"/>
                <w:highlight w:val="none"/>
              </w:rPr>
            </w:pPr>
            <w:r>
              <w:rPr>
                <w:rFonts w:hint="eastAsia" w:hAnsi="宋体" w:cs="宋体"/>
                <w:highlight w:val="none"/>
              </w:rPr>
              <w:t>法定代表人：</w:t>
            </w:r>
          </w:p>
        </w:tc>
      </w:tr>
      <w:tr w14:paraId="7943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A89AC12">
            <w:pPr>
              <w:spacing w:line="360" w:lineRule="auto"/>
              <w:jc w:val="left"/>
              <w:rPr>
                <w:rFonts w:hAnsi="宋体" w:cs="宋体"/>
                <w:highlight w:val="none"/>
              </w:rPr>
            </w:pPr>
            <w:r>
              <w:rPr>
                <w:rFonts w:hint="eastAsia" w:hAnsi="宋体" w:cs="宋体"/>
                <w:highlight w:val="none"/>
              </w:rPr>
              <w:t>被授权代表：（签字）</w:t>
            </w:r>
          </w:p>
        </w:tc>
        <w:tc>
          <w:tcPr>
            <w:tcW w:w="2662" w:type="pct"/>
          </w:tcPr>
          <w:p w14:paraId="23BDB22A">
            <w:pPr>
              <w:spacing w:line="360" w:lineRule="auto"/>
              <w:jc w:val="left"/>
              <w:rPr>
                <w:rFonts w:hAnsi="宋体" w:cs="宋体"/>
                <w:highlight w:val="none"/>
              </w:rPr>
            </w:pPr>
            <w:r>
              <w:rPr>
                <w:rFonts w:hint="eastAsia" w:hAnsi="宋体" w:cs="宋体"/>
                <w:highlight w:val="none"/>
              </w:rPr>
              <w:t>被授权代表：（签字）</w:t>
            </w:r>
          </w:p>
        </w:tc>
      </w:tr>
      <w:tr w14:paraId="619F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64AACA8C">
            <w:pPr>
              <w:spacing w:line="360" w:lineRule="auto"/>
              <w:jc w:val="left"/>
              <w:rPr>
                <w:rFonts w:hAnsi="宋体" w:cs="宋体"/>
                <w:highlight w:val="none"/>
              </w:rPr>
            </w:pPr>
            <w:r>
              <w:rPr>
                <w:rFonts w:hint="eastAsia" w:hAnsi="宋体" w:cs="宋体"/>
                <w:highlight w:val="none"/>
              </w:rPr>
              <w:t>电话：</w:t>
            </w:r>
          </w:p>
        </w:tc>
        <w:tc>
          <w:tcPr>
            <w:tcW w:w="2662" w:type="pct"/>
          </w:tcPr>
          <w:p w14:paraId="19D5D12E">
            <w:pPr>
              <w:spacing w:line="360" w:lineRule="auto"/>
              <w:jc w:val="left"/>
              <w:rPr>
                <w:rFonts w:hAnsi="宋体" w:cs="宋体"/>
                <w:highlight w:val="none"/>
              </w:rPr>
            </w:pPr>
            <w:r>
              <w:rPr>
                <w:rFonts w:hint="eastAsia" w:hAnsi="宋体" w:cs="宋体"/>
                <w:highlight w:val="none"/>
              </w:rPr>
              <w:t>电话：</w:t>
            </w:r>
          </w:p>
        </w:tc>
      </w:tr>
      <w:tr w14:paraId="43D3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3079313">
            <w:pPr>
              <w:spacing w:line="360" w:lineRule="auto"/>
              <w:jc w:val="left"/>
              <w:rPr>
                <w:rFonts w:hAnsi="宋体" w:cs="宋体"/>
                <w:highlight w:val="none"/>
              </w:rPr>
            </w:pPr>
            <w:r>
              <w:rPr>
                <w:rFonts w:hint="eastAsia" w:hAnsi="宋体" w:cs="宋体"/>
                <w:highlight w:val="none"/>
              </w:rPr>
              <w:t>传真：</w:t>
            </w:r>
          </w:p>
        </w:tc>
        <w:tc>
          <w:tcPr>
            <w:tcW w:w="2662" w:type="pct"/>
          </w:tcPr>
          <w:p w14:paraId="48205BD6">
            <w:pPr>
              <w:spacing w:line="360" w:lineRule="auto"/>
              <w:jc w:val="left"/>
              <w:rPr>
                <w:rFonts w:hAnsi="宋体" w:cs="宋体"/>
                <w:highlight w:val="none"/>
              </w:rPr>
            </w:pPr>
            <w:r>
              <w:rPr>
                <w:rFonts w:hint="eastAsia" w:hAnsi="宋体" w:cs="宋体"/>
                <w:highlight w:val="none"/>
              </w:rPr>
              <w:t>传真：</w:t>
            </w:r>
          </w:p>
        </w:tc>
      </w:tr>
      <w:tr w14:paraId="0997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4E6D83F">
            <w:pPr>
              <w:spacing w:line="360" w:lineRule="auto"/>
              <w:jc w:val="left"/>
              <w:rPr>
                <w:rFonts w:hAnsi="宋体" w:cs="宋体"/>
                <w:highlight w:val="none"/>
              </w:rPr>
            </w:pPr>
          </w:p>
        </w:tc>
        <w:tc>
          <w:tcPr>
            <w:tcW w:w="2662" w:type="pct"/>
          </w:tcPr>
          <w:p w14:paraId="423EAE37">
            <w:pPr>
              <w:spacing w:line="360" w:lineRule="auto"/>
              <w:jc w:val="left"/>
              <w:rPr>
                <w:rFonts w:hAnsi="宋体" w:cs="宋体"/>
                <w:highlight w:val="none"/>
              </w:rPr>
            </w:pPr>
            <w:r>
              <w:rPr>
                <w:rFonts w:hint="eastAsia" w:hAnsi="宋体" w:cs="宋体"/>
                <w:highlight w:val="none"/>
              </w:rPr>
              <w:t>开户银行：</w:t>
            </w:r>
          </w:p>
        </w:tc>
      </w:tr>
      <w:tr w14:paraId="3AB2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28DA5EB3">
            <w:pPr>
              <w:spacing w:line="360" w:lineRule="auto"/>
              <w:jc w:val="left"/>
              <w:rPr>
                <w:rFonts w:hAnsi="宋体" w:cs="宋体"/>
                <w:highlight w:val="none"/>
              </w:rPr>
            </w:pPr>
          </w:p>
        </w:tc>
        <w:tc>
          <w:tcPr>
            <w:tcW w:w="2662" w:type="pct"/>
          </w:tcPr>
          <w:p w14:paraId="540B0268">
            <w:pPr>
              <w:spacing w:line="360" w:lineRule="auto"/>
              <w:jc w:val="left"/>
              <w:rPr>
                <w:rFonts w:hAnsi="宋体" w:cs="宋体"/>
                <w:highlight w:val="none"/>
              </w:rPr>
            </w:pPr>
            <w:r>
              <w:rPr>
                <w:rFonts w:hint="eastAsia" w:hAnsi="宋体" w:cs="宋体"/>
                <w:highlight w:val="none"/>
              </w:rPr>
              <w:t>账号：</w:t>
            </w:r>
          </w:p>
        </w:tc>
      </w:tr>
      <w:tr w14:paraId="7AE2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177FC784">
            <w:pPr>
              <w:spacing w:line="360" w:lineRule="auto"/>
              <w:jc w:val="left"/>
              <w:rPr>
                <w:rFonts w:hAnsi="宋体" w:cs="宋体"/>
                <w:highlight w:val="none"/>
              </w:rPr>
            </w:pPr>
            <w:r>
              <w:rPr>
                <w:rFonts w:hint="eastAsia" w:hAnsi="宋体" w:cs="宋体"/>
                <w:highlight w:val="none"/>
              </w:rPr>
              <w:t>日期：   年  月   日</w:t>
            </w:r>
          </w:p>
        </w:tc>
        <w:tc>
          <w:tcPr>
            <w:tcW w:w="2662" w:type="pct"/>
          </w:tcPr>
          <w:p w14:paraId="5B167189">
            <w:pPr>
              <w:spacing w:line="360" w:lineRule="auto"/>
              <w:jc w:val="left"/>
              <w:rPr>
                <w:rFonts w:hAnsi="宋体" w:cs="宋体"/>
                <w:highlight w:val="none"/>
              </w:rPr>
            </w:pPr>
            <w:r>
              <w:rPr>
                <w:rFonts w:hint="eastAsia" w:hAnsi="宋体" w:cs="宋体"/>
                <w:highlight w:val="none"/>
              </w:rPr>
              <w:t>日期：   年  月   日</w:t>
            </w:r>
          </w:p>
        </w:tc>
      </w:tr>
    </w:tbl>
    <w:p w14:paraId="588E7421">
      <w:pPr>
        <w:tabs>
          <w:tab w:val="left" w:pos="480"/>
        </w:tabs>
        <w:spacing w:line="360" w:lineRule="auto"/>
        <w:ind w:firstLine="480" w:firstLineChars="200"/>
        <w:rPr>
          <w:rFonts w:hAnsi="宋体" w:cs="宋体"/>
          <w:szCs w:val="21"/>
          <w:highlight w:val="none"/>
        </w:rPr>
      </w:pPr>
      <w:r>
        <w:rPr>
          <w:rFonts w:hint="eastAsia" w:hAnsi="宋体" w:cs="宋体"/>
          <w:highlight w:val="none"/>
        </w:rPr>
        <w:t xml:space="preserve">    </w:t>
      </w:r>
    </w:p>
    <w:p w14:paraId="1D5A707A">
      <w:pPr>
        <w:pStyle w:val="2"/>
        <w:jc w:val="center"/>
        <w:rPr>
          <w:rFonts w:ascii="宋体" w:eastAsia="宋体" w:cs="宋体"/>
          <w:sz w:val="36"/>
          <w:szCs w:val="36"/>
          <w:highlight w:val="none"/>
        </w:rPr>
      </w:pPr>
      <w:r>
        <w:rPr>
          <w:rFonts w:hint="eastAsia" w:hAnsi="宋体" w:cs="宋体"/>
          <w:b/>
          <w:szCs w:val="21"/>
          <w:highlight w:val="none"/>
        </w:rPr>
        <w:br w:type="page"/>
      </w:r>
      <w:bookmarkEnd w:id="76"/>
      <w:bookmarkEnd w:id="77"/>
      <w:bookmarkEnd w:id="78"/>
      <w:bookmarkEnd w:id="79"/>
      <w:bookmarkEnd w:id="80"/>
      <w:bookmarkEnd w:id="81"/>
      <w:bookmarkEnd w:id="82"/>
      <w:bookmarkEnd w:id="83"/>
      <w:bookmarkEnd w:id="84"/>
      <w:bookmarkEnd w:id="85"/>
      <w:bookmarkEnd w:id="86"/>
      <w:bookmarkEnd w:id="87"/>
      <w:bookmarkStart w:id="88" w:name="_Toc25246"/>
      <w:r>
        <w:rPr>
          <w:rFonts w:hint="eastAsia" w:ascii="宋体" w:eastAsia="宋体" w:cs="宋体"/>
          <w:sz w:val="36"/>
          <w:szCs w:val="36"/>
          <w:highlight w:val="none"/>
        </w:rPr>
        <w:t>第四章  采购内容及技术要求</w:t>
      </w:r>
      <w:bookmarkEnd w:id="88"/>
    </w:p>
    <w:bookmarkEnd w:id="55"/>
    <w:bookmarkEnd w:id="61"/>
    <w:bookmarkEnd w:id="62"/>
    <w:bookmarkEnd w:id="63"/>
    <w:bookmarkEnd w:id="64"/>
    <w:bookmarkEnd w:id="65"/>
    <w:bookmarkEnd w:id="66"/>
    <w:bookmarkEnd w:id="67"/>
    <w:bookmarkEnd w:id="68"/>
    <w:tbl>
      <w:tblPr>
        <w:tblStyle w:val="22"/>
        <w:tblW w:w="9358"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1021"/>
        <w:gridCol w:w="6330"/>
        <w:gridCol w:w="538"/>
        <w:gridCol w:w="916"/>
      </w:tblGrid>
      <w:tr w14:paraId="25E4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553" w:type="dxa"/>
            <w:tcBorders>
              <w:top w:val="single" w:color="000000" w:sz="4" w:space="0"/>
              <w:left w:val="single" w:color="000000" w:sz="4" w:space="0"/>
              <w:bottom w:val="single" w:color="auto" w:sz="4" w:space="0"/>
              <w:right w:val="single" w:color="000000" w:sz="4" w:space="0"/>
            </w:tcBorders>
            <w:shd w:val="clear" w:color="auto" w:fill="auto"/>
            <w:vAlign w:val="center"/>
          </w:tcPr>
          <w:p w14:paraId="7D326B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89" w:name="_Toc10625"/>
            <w:bookmarkStart w:id="90" w:name="_Toc28411"/>
            <w:bookmarkStart w:id="91" w:name="_Toc22538"/>
            <w:bookmarkStart w:id="92" w:name="_Toc8830"/>
            <w:bookmarkStart w:id="93" w:name="_Toc363474025"/>
            <w:bookmarkStart w:id="94" w:name="_Toc8126"/>
            <w:bookmarkStart w:id="95" w:name="_Toc426457698"/>
            <w:r>
              <w:rPr>
                <w:rFonts w:hint="eastAsia" w:ascii="宋体" w:hAnsi="宋体" w:eastAsia="宋体" w:cs="宋体"/>
                <w:b/>
                <w:bCs/>
                <w:i w:val="0"/>
                <w:iCs w:val="0"/>
                <w:color w:val="000000"/>
                <w:kern w:val="0"/>
                <w:sz w:val="22"/>
                <w:szCs w:val="22"/>
                <w:u w:val="none"/>
                <w:lang w:val="en-US" w:eastAsia="zh-CN" w:bidi="ar"/>
              </w:rPr>
              <w:t>序号</w:t>
            </w:r>
          </w:p>
        </w:tc>
        <w:tc>
          <w:tcPr>
            <w:tcW w:w="102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92F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设备描述</w:t>
            </w:r>
          </w:p>
        </w:tc>
        <w:tc>
          <w:tcPr>
            <w:tcW w:w="6330" w:type="dxa"/>
            <w:tcBorders>
              <w:top w:val="single" w:color="000000" w:sz="4" w:space="0"/>
              <w:left w:val="single" w:color="000000" w:sz="4" w:space="0"/>
              <w:bottom w:val="single" w:color="auto" w:sz="4" w:space="0"/>
              <w:right w:val="single" w:color="000000" w:sz="4" w:space="0"/>
            </w:tcBorders>
            <w:shd w:val="clear" w:color="auto" w:fill="auto"/>
            <w:vAlign w:val="center"/>
          </w:tcPr>
          <w:p w14:paraId="48DF10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538" w:type="dxa"/>
            <w:tcBorders>
              <w:top w:val="single" w:color="000000" w:sz="4" w:space="0"/>
              <w:left w:val="single" w:color="000000" w:sz="4" w:space="0"/>
              <w:bottom w:val="single" w:color="auto" w:sz="4" w:space="0"/>
              <w:right w:val="single" w:color="000000" w:sz="4" w:space="0"/>
            </w:tcBorders>
            <w:shd w:val="clear" w:color="auto" w:fill="auto"/>
            <w:vAlign w:val="center"/>
          </w:tcPr>
          <w:p w14:paraId="332A79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1417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62A9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93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2717D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一、音响扩声系统</w:t>
            </w:r>
          </w:p>
        </w:tc>
      </w:tr>
      <w:tr w14:paraId="7689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3" w:type="dxa"/>
            <w:tcBorders>
              <w:top w:val="single" w:color="auto" w:sz="4" w:space="0"/>
              <w:left w:val="single" w:color="000000" w:sz="4" w:space="0"/>
              <w:bottom w:val="nil"/>
              <w:right w:val="single" w:color="000000" w:sz="4" w:space="0"/>
            </w:tcBorders>
            <w:shd w:val="clear" w:color="auto" w:fill="auto"/>
            <w:noWrap/>
            <w:vAlign w:val="center"/>
          </w:tcPr>
          <w:p w14:paraId="66139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auto" w:sz="4" w:space="0"/>
              <w:left w:val="single" w:color="000000" w:sz="4" w:space="0"/>
              <w:bottom w:val="nil"/>
              <w:right w:val="single" w:color="000000" w:sz="4" w:space="0"/>
            </w:tcBorders>
            <w:shd w:val="clear" w:color="auto" w:fill="auto"/>
            <w:vAlign w:val="center"/>
          </w:tcPr>
          <w:p w14:paraId="737FD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6330" w:type="dxa"/>
            <w:tcBorders>
              <w:top w:val="single" w:color="auto" w:sz="4" w:space="0"/>
              <w:left w:val="single" w:color="000000" w:sz="4" w:space="0"/>
              <w:bottom w:val="nil"/>
              <w:right w:val="single" w:color="000000" w:sz="4" w:space="0"/>
            </w:tcBorders>
            <w:shd w:val="clear" w:color="auto" w:fill="auto"/>
            <w:vAlign w:val="center"/>
          </w:tcPr>
          <w:p w14:paraId="7DC37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箱体采用层压板</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表面</w:t>
            </w:r>
            <w:r>
              <w:rPr>
                <w:rFonts w:hint="eastAsia" w:hAnsi="宋体" w:cs="宋体"/>
                <w:i w:val="0"/>
                <w:iCs w:val="0"/>
                <w:color w:val="000000"/>
                <w:kern w:val="0"/>
                <w:sz w:val="20"/>
                <w:szCs w:val="20"/>
                <w:u w:val="none"/>
                <w:lang w:val="en-US" w:eastAsia="zh-CN" w:bidi="ar"/>
              </w:rPr>
              <w:t>采用</w:t>
            </w:r>
            <w:r>
              <w:rPr>
                <w:rFonts w:hint="eastAsia" w:ascii="宋体" w:hAnsi="宋体" w:eastAsia="宋体" w:cs="宋体"/>
                <w:i w:val="0"/>
                <w:iCs w:val="0"/>
                <w:color w:val="000000"/>
                <w:kern w:val="0"/>
                <w:sz w:val="20"/>
                <w:szCs w:val="20"/>
                <w:u w:val="none"/>
                <w:lang w:val="en-US" w:eastAsia="zh-CN" w:bidi="ar"/>
              </w:rPr>
              <w:t xml:space="preserve">哑光烤漆；                                                                                                                                                                                                                                                                                                                                                                             频率： 100Hz-20kHz </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驱动器： 4寸*1全频单元</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标称功率：≧60W </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最大功率：≧120W </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灵敏度： 91dB/1W/1M</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最大声压级：109dB </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标称阻抗：</w:t>
            </w:r>
            <w:r>
              <w:rPr>
                <w:rFonts w:hint="eastAsia"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8Ω</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箱体及外饰： FDA箱体,表面烤漆（哑光黑），铁网 </w:t>
            </w:r>
          </w:p>
        </w:tc>
        <w:tc>
          <w:tcPr>
            <w:tcW w:w="538" w:type="dxa"/>
            <w:tcBorders>
              <w:top w:val="single" w:color="auto" w:sz="4" w:space="0"/>
              <w:left w:val="single" w:color="000000" w:sz="4" w:space="0"/>
              <w:bottom w:val="nil"/>
              <w:right w:val="single" w:color="000000" w:sz="4" w:space="0"/>
            </w:tcBorders>
            <w:shd w:val="clear" w:color="auto" w:fill="auto"/>
            <w:vAlign w:val="center"/>
          </w:tcPr>
          <w:p w14:paraId="1E3CA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6" w:type="dxa"/>
            <w:tcBorders>
              <w:top w:val="single" w:color="auto" w:sz="4" w:space="0"/>
              <w:left w:val="single" w:color="000000" w:sz="4" w:space="0"/>
              <w:bottom w:val="nil"/>
              <w:right w:val="single" w:color="000000" w:sz="4" w:space="0"/>
            </w:tcBorders>
            <w:shd w:val="clear" w:color="auto" w:fill="auto"/>
            <w:vAlign w:val="center"/>
          </w:tcPr>
          <w:p w14:paraId="32700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190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9CC6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single" w:color="000000" w:sz="4" w:space="0"/>
              <w:left w:val="single" w:color="000000" w:sz="4" w:space="0"/>
              <w:bottom w:val="single" w:color="auto" w:sz="4" w:space="0"/>
              <w:right w:val="single" w:color="000000" w:sz="4" w:space="0"/>
            </w:tcBorders>
            <w:shd w:val="clear" w:color="auto" w:fill="auto"/>
            <w:vAlign w:val="center"/>
          </w:tcPr>
          <w:p w14:paraId="5DC4C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6330" w:type="dxa"/>
            <w:tcBorders>
              <w:top w:val="single" w:color="000000" w:sz="4" w:space="0"/>
              <w:left w:val="single" w:color="000000" w:sz="4" w:space="0"/>
              <w:bottom w:val="single" w:color="auto" w:sz="4" w:space="0"/>
              <w:right w:val="single" w:color="000000" w:sz="4" w:space="0"/>
            </w:tcBorders>
            <w:shd w:val="clear" w:color="auto" w:fill="auto"/>
            <w:vAlign w:val="center"/>
          </w:tcPr>
          <w:p w14:paraId="5B145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1.音箱</w:t>
            </w:r>
            <w:r>
              <w:rPr>
                <w:rFonts w:hint="eastAsia" w:hAnsi="宋体" w:cs="宋体"/>
                <w:i w:val="0"/>
                <w:iCs w:val="0"/>
                <w:color w:val="000000"/>
                <w:kern w:val="0"/>
                <w:sz w:val="20"/>
                <w:szCs w:val="20"/>
                <w:highlight w:val="none"/>
                <w:u w:val="none"/>
                <w:lang w:val="en-US" w:eastAsia="zh-CN" w:bidi="ar"/>
              </w:rPr>
              <w:t>支持</w:t>
            </w:r>
            <w:r>
              <w:rPr>
                <w:rFonts w:hint="eastAsia" w:ascii="宋体" w:hAnsi="宋体" w:eastAsia="宋体" w:cs="宋体"/>
                <w:i w:val="0"/>
                <w:iCs w:val="0"/>
                <w:color w:val="000000"/>
                <w:kern w:val="0"/>
                <w:sz w:val="20"/>
                <w:szCs w:val="20"/>
                <w:highlight w:val="none"/>
                <w:u w:val="none"/>
                <w:lang w:val="en-US" w:eastAsia="zh-CN" w:bidi="ar"/>
              </w:rPr>
              <w:t>：8寸.10寸.12寸.15寸全频音箱；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3.表面处理：喷粉砂黑；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4.最大承重：≧50kg。</w:t>
            </w:r>
          </w:p>
        </w:tc>
        <w:tc>
          <w:tcPr>
            <w:tcW w:w="538" w:type="dxa"/>
            <w:tcBorders>
              <w:top w:val="single" w:color="000000" w:sz="4" w:space="0"/>
              <w:left w:val="single" w:color="000000" w:sz="4" w:space="0"/>
              <w:bottom w:val="single" w:color="auto" w:sz="4" w:space="0"/>
              <w:right w:val="single" w:color="000000" w:sz="4" w:space="0"/>
            </w:tcBorders>
            <w:shd w:val="clear" w:color="auto" w:fill="auto"/>
            <w:vAlign w:val="center"/>
          </w:tcPr>
          <w:p w14:paraId="4161D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center"/>
          </w:tcPr>
          <w:p w14:paraId="5AC0D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A34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5D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23D8E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0032522D">
            <w:pPr>
              <w:keepNext w:val="0"/>
              <w:keepLines w:val="0"/>
              <w:widowControl/>
              <w:suppressLineNumbers w:val="0"/>
              <w:jc w:val="left"/>
              <w:textAlignment w:val="center"/>
              <w:rPr>
                <w:rFonts w:hint="eastAsia"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输出功率：4*200W/8Ω 4*250W/4Ω </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桥接：2*500W/8Ω </w:t>
            </w:r>
            <w:r>
              <w:rPr>
                <w:rFonts w:hint="eastAsia" w:hAnsi="宋体" w:cs="宋体"/>
                <w:i w:val="0"/>
                <w:iCs w:val="0"/>
                <w:color w:val="000000"/>
                <w:kern w:val="0"/>
                <w:sz w:val="20"/>
                <w:szCs w:val="20"/>
                <w:u w:val="none"/>
                <w:lang w:val="en-US" w:eastAsia="zh-CN" w:bidi="ar"/>
              </w:rPr>
              <w:t>；</w:t>
            </w:r>
          </w:p>
          <w:p w14:paraId="4935C63F">
            <w:pPr>
              <w:keepNext w:val="0"/>
              <w:keepLines w:val="0"/>
              <w:widowControl/>
              <w:suppressLineNumbers w:val="0"/>
              <w:jc w:val="left"/>
              <w:textAlignment w:val="center"/>
              <w:rPr>
                <w:rFonts w:hint="eastAsia"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20Hz-20KHz±3db</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信噪比</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﹥80db</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输入灵敏</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1V</w:t>
            </w:r>
            <w:r>
              <w:rPr>
                <w:rFonts w:hint="eastAsia" w:hAnsi="宋体" w:cs="宋体"/>
                <w:i w:val="0"/>
                <w:iCs w:val="0"/>
                <w:color w:val="000000"/>
                <w:kern w:val="0"/>
                <w:sz w:val="20"/>
                <w:szCs w:val="20"/>
                <w:u w:val="none"/>
                <w:lang w:val="en-US" w:eastAsia="zh-CN" w:bidi="ar"/>
              </w:rPr>
              <w:t>；</w:t>
            </w:r>
          </w:p>
          <w:p w14:paraId="7E3F6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总谐波失真≤0.05％@8Ω 1KHz</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输入阻抗20KΩ（平衡） 10KΩ(不平衡）</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转换速率40V/μS                                                                                                                        </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6A910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2AEC1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A3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1" w:hRule="atLeast"/>
        </w:trPr>
        <w:tc>
          <w:tcPr>
            <w:tcW w:w="55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A74E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25A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63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A361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配备LCD液晶显示屏，实时反馈系统工作状态；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红外线自动对频，ACT自动选频；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支持8台叠机使用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接收机技术参数：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接收距离：≧130M左右（第一次掉频）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频道总数：≧210CH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频率响应：50Hz-18kHz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灵敏度：≧-105dBm（12dB S/N AD）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输出抗阻：≧2200Ω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信噪比：＞100dB（1kHz-A）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频带宽度：≧25MHz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载波频率范围：630-690MHz，840-890MHz：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发射器技术参数:                                                                                                                                                                                                                                                                                电源供应：手持腰包AA1.5v*2 会议AA1.5v*3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频带宽度：≧25MHz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频率间隔：≧250KHz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动态范围：＞150dB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载波误差：±5PPm≤10KHz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射频输出功率：≧50mW</w:t>
            </w:r>
          </w:p>
        </w:tc>
        <w:tc>
          <w:tcPr>
            <w:tcW w:w="5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E165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B30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4F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5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591C106">
            <w:pPr>
              <w:jc w:val="center"/>
              <w:rPr>
                <w:rFonts w:hint="eastAsia" w:ascii="宋体" w:hAnsi="宋体" w:eastAsia="宋体" w:cs="宋体"/>
                <w:i w:val="0"/>
                <w:iCs w:val="0"/>
                <w:color w:val="000000"/>
                <w:sz w:val="20"/>
                <w:szCs w:val="20"/>
                <w:u w:val="none"/>
              </w:rPr>
            </w:pPr>
          </w:p>
        </w:tc>
        <w:tc>
          <w:tcPr>
            <w:tcW w:w="10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84A0A6">
            <w:pPr>
              <w:jc w:val="center"/>
              <w:rPr>
                <w:rFonts w:hint="eastAsia" w:ascii="宋体" w:hAnsi="宋体" w:eastAsia="宋体" w:cs="宋体"/>
                <w:i w:val="0"/>
                <w:iCs w:val="0"/>
                <w:color w:val="000000"/>
                <w:sz w:val="20"/>
                <w:szCs w:val="20"/>
                <w:u w:val="none"/>
              </w:rPr>
            </w:pPr>
          </w:p>
        </w:tc>
        <w:tc>
          <w:tcPr>
            <w:tcW w:w="63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8D5DE6">
            <w:pPr>
              <w:jc w:val="left"/>
              <w:rPr>
                <w:rFonts w:hint="eastAsia" w:ascii="宋体" w:hAnsi="宋体" w:eastAsia="宋体" w:cs="宋体"/>
                <w:i w:val="0"/>
                <w:iCs w:val="0"/>
                <w:color w:val="000000"/>
                <w:sz w:val="20"/>
                <w:szCs w:val="20"/>
                <w:u w:val="none"/>
              </w:rPr>
            </w:pPr>
          </w:p>
        </w:tc>
        <w:tc>
          <w:tcPr>
            <w:tcW w:w="5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0DADD8">
            <w:pPr>
              <w:jc w:val="center"/>
              <w:rPr>
                <w:rFonts w:hint="eastAsia" w:ascii="宋体" w:hAnsi="宋体" w:eastAsia="宋体" w:cs="宋体"/>
                <w:i w:val="0"/>
                <w:iCs w:val="0"/>
                <w:color w:val="000000"/>
                <w:sz w:val="20"/>
                <w:szCs w:val="20"/>
                <w:u w:val="none"/>
              </w:rPr>
            </w:pPr>
          </w:p>
        </w:tc>
        <w:tc>
          <w:tcPr>
            <w:tcW w:w="9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36F5AB">
            <w:pPr>
              <w:jc w:val="center"/>
              <w:rPr>
                <w:rFonts w:hint="eastAsia" w:ascii="宋体" w:hAnsi="宋体" w:eastAsia="宋体" w:cs="宋体"/>
                <w:i w:val="0"/>
                <w:iCs w:val="0"/>
                <w:color w:val="000000"/>
                <w:sz w:val="20"/>
                <w:szCs w:val="20"/>
                <w:u w:val="none"/>
              </w:rPr>
            </w:pPr>
          </w:p>
        </w:tc>
      </w:tr>
      <w:tr w14:paraId="6590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trPr>
        <w:tc>
          <w:tcPr>
            <w:tcW w:w="55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B90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1" w:type="dxa"/>
            <w:tcBorders>
              <w:top w:val="single" w:color="auto" w:sz="4" w:space="0"/>
              <w:left w:val="single" w:color="000000" w:sz="4" w:space="0"/>
              <w:bottom w:val="single" w:color="auto" w:sz="4" w:space="0"/>
              <w:right w:val="single" w:color="000000" w:sz="4" w:space="0"/>
            </w:tcBorders>
            <w:shd w:val="clear" w:color="auto" w:fill="auto"/>
            <w:vAlign w:val="center"/>
          </w:tcPr>
          <w:p w14:paraId="4A764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6330" w:type="dxa"/>
            <w:tcBorders>
              <w:top w:val="single" w:color="auto" w:sz="4" w:space="0"/>
              <w:left w:val="single" w:color="000000" w:sz="4" w:space="0"/>
              <w:bottom w:val="single" w:color="auto" w:sz="4" w:space="0"/>
              <w:right w:val="single" w:color="000000" w:sz="4" w:space="0"/>
            </w:tcBorders>
            <w:shd w:val="clear" w:color="auto" w:fill="auto"/>
            <w:vAlign w:val="center"/>
          </w:tcPr>
          <w:p w14:paraId="2C70B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效果EFFECTS : ECHO 12ms-200ms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输出电压 : 4V MAX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失真度 : 0.03% ( 1KHz Full Power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频率响应: 20Hz ~20KHz   +/-3dB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耳机输出 : 7V  220Ω</w:t>
            </w:r>
          </w:p>
        </w:tc>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2E0A2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000000" w:sz="4" w:space="0"/>
              <w:bottom w:val="single" w:color="auto" w:sz="4" w:space="0"/>
              <w:right w:val="single" w:color="000000" w:sz="4" w:space="0"/>
            </w:tcBorders>
            <w:shd w:val="clear" w:color="auto" w:fill="auto"/>
            <w:vAlign w:val="center"/>
          </w:tcPr>
          <w:p w14:paraId="4196C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C6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5" w:hRule="atLeast"/>
        </w:trPr>
        <w:tc>
          <w:tcPr>
            <w:tcW w:w="55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553C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FD15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63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4186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2.2寸高清彩色显示屏（分辨率376*240）；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支持本地两组循环开关机控制。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内置功率计，电压、电流、功率、功率因数实时显示。</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具</w:t>
            </w:r>
            <w:r>
              <w:rPr>
                <w:rFonts w:hint="eastAsia" w:ascii="宋体" w:hAnsi="宋体" w:eastAsia="宋体" w:cs="宋体"/>
                <w:i w:val="0"/>
                <w:iCs w:val="0"/>
                <w:color w:val="000000"/>
                <w:kern w:val="0"/>
                <w:sz w:val="20"/>
                <w:szCs w:val="20"/>
                <w:u w:val="none"/>
                <w:lang w:val="en-US" w:eastAsia="zh-CN" w:bidi="ar"/>
              </w:rPr>
              <w:t>有过压保护、过流保护、欠压保护</w:t>
            </w:r>
            <w:r>
              <w:rPr>
                <w:rFonts w:hint="eastAsia" w:hAnsi="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支持RS232中控控制，波特率(4800-921600)，支持设备数据反码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支持多台设备级联</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具备</w:t>
            </w:r>
            <w:r>
              <w:rPr>
                <w:rFonts w:hint="eastAsia" w:ascii="宋体" w:hAnsi="宋体" w:eastAsia="宋体" w:cs="宋体"/>
                <w:i w:val="0"/>
                <w:iCs w:val="0"/>
                <w:color w:val="000000"/>
                <w:kern w:val="0"/>
                <w:sz w:val="20"/>
                <w:szCs w:val="20"/>
                <w:u w:val="none"/>
                <w:lang w:val="en-US" w:eastAsia="zh-CN" w:bidi="ar"/>
              </w:rPr>
              <w:t>断电记忆</w:t>
            </w:r>
            <w:r>
              <w:rPr>
                <w:rFonts w:hint="eastAsia" w:hAnsi="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举报</w:t>
            </w:r>
            <w:r>
              <w:rPr>
                <w:rFonts w:hint="eastAsia" w:ascii="宋体" w:hAnsi="宋体" w:eastAsia="宋体" w:cs="宋体"/>
                <w:i w:val="0"/>
                <w:iCs w:val="0"/>
                <w:color w:val="000000"/>
                <w:kern w:val="0"/>
                <w:sz w:val="20"/>
                <w:szCs w:val="20"/>
                <w:u w:val="none"/>
                <w:lang w:val="en-US" w:eastAsia="zh-CN" w:bidi="ar"/>
              </w:rPr>
              <w:t>上电自启</w:t>
            </w:r>
            <w:r>
              <w:rPr>
                <w:rFonts w:hint="eastAsia" w:hAnsi="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8路开关通道输出，支持中英文同步显示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支持工作时间累计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支持用电量单次累计，多次累计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总最大功率：≧5000W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单路最大功率：≧2200W</w:t>
            </w:r>
          </w:p>
        </w:tc>
        <w:tc>
          <w:tcPr>
            <w:tcW w:w="53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E119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4F24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2E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8275D71">
            <w:pPr>
              <w:jc w:val="center"/>
              <w:rPr>
                <w:rFonts w:hint="eastAsia" w:ascii="宋体" w:hAnsi="宋体" w:eastAsia="宋体" w:cs="宋体"/>
                <w:i w:val="0"/>
                <w:iCs w:val="0"/>
                <w:color w:val="000000"/>
                <w:sz w:val="20"/>
                <w:szCs w:val="20"/>
                <w:u w:val="none"/>
              </w:rPr>
            </w:pPr>
          </w:p>
        </w:tc>
        <w:tc>
          <w:tcPr>
            <w:tcW w:w="10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D155D0C">
            <w:pPr>
              <w:jc w:val="center"/>
              <w:rPr>
                <w:rFonts w:hint="eastAsia" w:ascii="宋体" w:hAnsi="宋体" w:eastAsia="宋体" w:cs="宋体"/>
                <w:i w:val="0"/>
                <w:iCs w:val="0"/>
                <w:color w:val="000000"/>
                <w:sz w:val="20"/>
                <w:szCs w:val="20"/>
                <w:u w:val="none"/>
              </w:rPr>
            </w:pPr>
          </w:p>
        </w:tc>
        <w:tc>
          <w:tcPr>
            <w:tcW w:w="63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C0486F">
            <w:pPr>
              <w:jc w:val="left"/>
              <w:rPr>
                <w:rFonts w:hint="eastAsia" w:ascii="宋体" w:hAnsi="宋体" w:eastAsia="宋体" w:cs="宋体"/>
                <w:i w:val="0"/>
                <w:iCs w:val="0"/>
                <w:color w:val="000000"/>
                <w:sz w:val="20"/>
                <w:szCs w:val="20"/>
                <w:u w:val="none"/>
              </w:rPr>
            </w:pPr>
          </w:p>
        </w:tc>
        <w:tc>
          <w:tcPr>
            <w:tcW w:w="53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72745D4">
            <w:pPr>
              <w:jc w:val="center"/>
              <w:rPr>
                <w:rFonts w:hint="eastAsia" w:ascii="宋体" w:hAnsi="宋体" w:eastAsia="宋体" w:cs="宋体"/>
                <w:i w:val="0"/>
                <w:iCs w:val="0"/>
                <w:color w:val="000000"/>
                <w:sz w:val="20"/>
                <w:szCs w:val="20"/>
                <w:u w:val="none"/>
              </w:rPr>
            </w:pPr>
          </w:p>
        </w:tc>
        <w:tc>
          <w:tcPr>
            <w:tcW w:w="9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5B30193">
            <w:pPr>
              <w:jc w:val="center"/>
              <w:rPr>
                <w:rFonts w:hint="eastAsia" w:ascii="宋体" w:hAnsi="宋体" w:eastAsia="宋体" w:cs="宋体"/>
                <w:i w:val="0"/>
                <w:iCs w:val="0"/>
                <w:color w:val="000000"/>
                <w:sz w:val="20"/>
                <w:szCs w:val="20"/>
                <w:u w:val="none"/>
              </w:rPr>
            </w:pPr>
          </w:p>
        </w:tc>
      </w:tr>
      <w:tr w14:paraId="7764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trPr>
        <w:tc>
          <w:tcPr>
            <w:tcW w:w="55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52F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CDD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6330" w:type="dxa"/>
            <w:tcBorders>
              <w:top w:val="single" w:color="auto" w:sz="4" w:space="0"/>
              <w:left w:val="single" w:color="000000" w:sz="4" w:space="0"/>
              <w:bottom w:val="single" w:color="auto" w:sz="4" w:space="0"/>
              <w:right w:val="single" w:color="000000" w:sz="4" w:space="0"/>
            </w:tcBorders>
            <w:shd w:val="clear" w:color="auto" w:fill="auto"/>
            <w:vAlign w:val="center"/>
          </w:tcPr>
          <w:p w14:paraId="4C17D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w:t>
            </w:r>
            <w:r>
              <w:rPr>
                <w:rFonts w:hint="eastAsia" w:hAnsi="宋体" w:cs="宋体"/>
                <w:i w:val="0"/>
                <w:iCs w:val="0"/>
                <w:color w:val="000000"/>
                <w:kern w:val="0"/>
                <w:sz w:val="20"/>
                <w:szCs w:val="20"/>
                <w:u w:val="none"/>
                <w:lang w:val="en-US" w:eastAsia="zh-CN" w:bidi="ar"/>
              </w:rPr>
              <w:t>（输出）</w:t>
            </w:r>
            <w:r>
              <w:rPr>
                <w:rFonts w:hint="eastAsia" w:ascii="宋体" w:hAnsi="宋体" w:eastAsia="宋体" w:cs="宋体"/>
                <w:i w:val="0"/>
                <w:iCs w:val="0"/>
                <w:color w:val="000000"/>
                <w:kern w:val="0"/>
                <w:sz w:val="20"/>
                <w:szCs w:val="20"/>
                <w:u w:val="none"/>
                <w:lang w:val="en-US" w:eastAsia="zh-CN" w:bidi="ar"/>
              </w:rPr>
              <w:t>通道及插座：卡侬XLR，6.3</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输入阻抗：平衡40KΩ ，不平衡20KΩ </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输出阻抗：平衡66 Ω ，不平衡33 Ω </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共模抑制比：&gt;75dB（1KHz）</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输入范围： ≤+25dBu</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频率响应：40Hz-20KHz（±1dB）</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信噪比：&gt;100dB、失真度:&lt;0.05%，0dB 1KHz</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信号输入频率响应：20Hz-20KHz±0.5dBu</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传声增益：6-15dB</w:t>
            </w:r>
            <w:r>
              <w:rPr>
                <w:rFonts w:hint="eastAsia" w:hAnsi="宋体" w:cs="宋体"/>
                <w:i w:val="0"/>
                <w:iCs w:val="0"/>
                <w:color w:val="000000"/>
                <w:kern w:val="0"/>
                <w:sz w:val="20"/>
                <w:szCs w:val="20"/>
                <w:u w:val="none"/>
                <w:lang w:val="en-US" w:eastAsia="zh-CN" w:bidi="ar"/>
              </w:rPr>
              <w:t>；</w:t>
            </w:r>
          </w:p>
        </w:tc>
        <w:tc>
          <w:tcPr>
            <w:tcW w:w="5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61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000000" w:sz="4" w:space="0"/>
              <w:bottom w:val="single" w:color="auto" w:sz="4" w:space="0"/>
              <w:right w:val="single" w:color="000000" w:sz="4" w:space="0"/>
            </w:tcBorders>
            <w:shd w:val="clear" w:color="auto" w:fill="auto"/>
            <w:vAlign w:val="center"/>
          </w:tcPr>
          <w:p w14:paraId="7EFEA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35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5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5501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2D3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6330" w:type="dxa"/>
            <w:tcBorders>
              <w:top w:val="single" w:color="auto" w:sz="4" w:space="0"/>
              <w:left w:val="single" w:color="000000" w:sz="4" w:space="0"/>
              <w:bottom w:val="single" w:color="auto" w:sz="4" w:space="0"/>
              <w:right w:val="single" w:color="000000" w:sz="4" w:space="0"/>
            </w:tcBorders>
            <w:shd w:val="clear" w:color="auto" w:fill="auto"/>
            <w:vAlign w:val="center"/>
          </w:tcPr>
          <w:p w14:paraId="7F391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r>
              <w:rPr>
                <w:rFonts w:hint="eastAsia" w:hAnsi="宋体" w:cs="宋体"/>
                <w:i w:val="0"/>
                <w:iCs w:val="0"/>
                <w:color w:val="000000"/>
                <w:kern w:val="0"/>
                <w:sz w:val="20"/>
                <w:szCs w:val="20"/>
                <w:u w:val="none"/>
                <w:lang w:val="en-US" w:eastAsia="zh-CN" w:bidi="ar"/>
              </w:rPr>
              <w:t>尺寸约为：</w:t>
            </w:r>
            <w:r>
              <w:rPr>
                <w:rFonts w:hint="eastAsia" w:ascii="宋体" w:hAnsi="宋体" w:eastAsia="宋体" w:cs="宋体"/>
                <w:i w:val="0"/>
                <w:iCs w:val="0"/>
                <w:color w:val="000000"/>
                <w:kern w:val="0"/>
                <w:sz w:val="20"/>
                <w:szCs w:val="20"/>
                <w:u w:val="none"/>
                <w:lang w:val="en-US" w:eastAsia="zh-CN" w:bidi="ar"/>
              </w:rPr>
              <w:t>600*800*16</w:t>
            </w:r>
            <w:r>
              <w:rPr>
                <w:rFonts w:hint="eastAsia"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0mm</w:t>
            </w:r>
          </w:p>
        </w:tc>
        <w:tc>
          <w:tcPr>
            <w:tcW w:w="5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7AC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000000" w:sz="4" w:space="0"/>
              <w:bottom w:val="single" w:color="auto" w:sz="4" w:space="0"/>
              <w:right w:val="single" w:color="auto" w:sz="4" w:space="0"/>
            </w:tcBorders>
            <w:shd w:val="clear" w:color="auto" w:fill="auto"/>
            <w:vAlign w:val="center"/>
          </w:tcPr>
          <w:p w14:paraId="135E0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19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5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C76B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86E6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63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28B7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1.国产化处理器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2.运行内存≧8G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3.机身存储≧</w:t>
            </w:r>
            <w:r>
              <w:rPr>
                <w:rFonts w:hint="eastAsia" w:hAnsi="宋体" w:cs="宋体"/>
                <w:i w:val="0"/>
                <w:iCs w:val="0"/>
                <w:color w:val="000000"/>
                <w:kern w:val="0"/>
                <w:sz w:val="20"/>
                <w:szCs w:val="20"/>
                <w:u w:val="none"/>
                <w:lang w:val="en-US" w:eastAsia="zh-CN" w:bidi="ar"/>
              </w:rPr>
              <w:t>256</w:t>
            </w:r>
            <w:r>
              <w:rPr>
                <w:rFonts w:hint="eastAsia" w:ascii="宋体" w:hAnsi="宋体" w:eastAsia="宋体" w:cs="宋体"/>
                <w:i w:val="0"/>
                <w:iCs w:val="0"/>
                <w:color w:val="000000"/>
                <w:kern w:val="0"/>
                <w:sz w:val="20"/>
                <w:szCs w:val="20"/>
                <w:u w:val="none"/>
                <w:lang w:val="en-US" w:eastAsia="zh-CN" w:bidi="ar"/>
              </w:rPr>
              <w:t>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4.国产化系统</w:t>
            </w:r>
          </w:p>
        </w:tc>
        <w:tc>
          <w:tcPr>
            <w:tcW w:w="5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1949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4D72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7A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65373D5">
            <w:pPr>
              <w:jc w:val="center"/>
              <w:rPr>
                <w:rFonts w:hint="eastAsia" w:ascii="宋体" w:hAnsi="宋体" w:eastAsia="宋体" w:cs="宋体"/>
                <w:i w:val="0"/>
                <w:iCs w:val="0"/>
                <w:color w:val="000000"/>
                <w:sz w:val="20"/>
                <w:szCs w:val="20"/>
                <w:u w:val="none"/>
              </w:rPr>
            </w:pPr>
          </w:p>
        </w:tc>
        <w:tc>
          <w:tcPr>
            <w:tcW w:w="10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97277D1">
            <w:pPr>
              <w:jc w:val="center"/>
              <w:rPr>
                <w:rFonts w:hint="eastAsia" w:ascii="宋体" w:hAnsi="宋体" w:eastAsia="宋体" w:cs="宋体"/>
                <w:i w:val="0"/>
                <w:iCs w:val="0"/>
                <w:color w:val="000000"/>
                <w:sz w:val="20"/>
                <w:szCs w:val="20"/>
                <w:u w:val="none"/>
              </w:rPr>
            </w:pPr>
          </w:p>
        </w:tc>
        <w:tc>
          <w:tcPr>
            <w:tcW w:w="63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0B94D1">
            <w:pPr>
              <w:jc w:val="left"/>
              <w:rPr>
                <w:rFonts w:hint="eastAsia" w:ascii="宋体" w:hAnsi="宋体" w:eastAsia="宋体" w:cs="宋体"/>
                <w:i w:val="0"/>
                <w:iCs w:val="0"/>
                <w:color w:val="000000"/>
                <w:sz w:val="20"/>
                <w:szCs w:val="20"/>
                <w:u w:val="none"/>
              </w:rPr>
            </w:pPr>
          </w:p>
        </w:tc>
        <w:tc>
          <w:tcPr>
            <w:tcW w:w="5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02C158">
            <w:pPr>
              <w:jc w:val="center"/>
              <w:rPr>
                <w:rFonts w:hint="eastAsia" w:ascii="宋体" w:hAnsi="宋体" w:eastAsia="宋体" w:cs="宋体"/>
                <w:i w:val="0"/>
                <w:iCs w:val="0"/>
                <w:color w:val="000000"/>
                <w:sz w:val="20"/>
                <w:szCs w:val="20"/>
                <w:u w:val="none"/>
              </w:rPr>
            </w:pPr>
          </w:p>
        </w:tc>
        <w:tc>
          <w:tcPr>
            <w:tcW w:w="9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BD2B40">
            <w:pPr>
              <w:jc w:val="center"/>
              <w:rPr>
                <w:rFonts w:hint="eastAsia" w:ascii="宋体" w:hAnsi="宋体" w:eastAsia="宋体" w:cs="宋体"/>
                <w:i w:val="0"/>
                <w:iCs w:val="0"/>
                <w:color w:val="000000"/>
                <w:sz w:val="20"/>
                <w:szCs w:val="20"/>
                <w:u w:val="none"/>
              </w:rPr>
            </w:pPr>
          </w:p>
        </w:tc>
      </w:tr>
      <w:tr w14:paraId="21BB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55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36A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tcBorders>
              <w:top w:val="single" w:color="auto" w:sz="4" w:space="0"/>
              <w:left w:val="single" w:color="000000" w:sz="4" w:space="0"/>
              <w:bottom w:val="single" w:color="auto" w:sz="4" w:space="0"/>
              <w:right w:val="single" w:color="000000" w:sz="4" w:space="0"/>
            </w:tcBorders>
            <w:shd w:val="clear" w:color="auto" w:fill="auto"/>
            <w:vAlign w:val="center"/>
          </w:tcPr>
          <w:p w14:paraId="4A380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6330" w:type="dxa"/>
            <w:tcBorders>
              <w:top w:val="single" w:color="auto" w:sz="4" w:space="0"/>
              <w:left w:val="single" w:color="000000" w:sz="4" w:space="0"/>
              <w:bottom w:val="single" w:color="auto" w:sz="4" w:space="0"/>
              <w:right w:val="single" w:color="000000" w:sz="4" w:space="0"/>
            </w:tcBorders>
            <w:shd w:val="clear" w:color="auto" w:fill="auto"/>
            <w:vAlign w:val="center"/>
          </w:tcPr>
          <w:p w14:paraId="5BA0E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二层交换机（24口全千兆）24个10/100/1000Base-T以太网端口，4个千兆SFP端口</w:t>
            </w:r>
          </w:p>
        </w:tc>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613C9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000000" w:sz="4" w:space="0"/>
              <w:bottom w:val="single" w:color="auto" w:sz="4" w:space="0"/>
              <w:right w:val="single" w:color="000000" w:sz="4" w:space="0"/>
            </w:tcBorders>
            <w:shd w:val="clear" w:color="auto" w:fill="auto"/>
            <w:vAlign w:val="center"/>
          </w:tcPr>
          <w:p w14:paraId="46934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3B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3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D1BCE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二、无纸化设备</w:t>
            </w:r>
          </w:p>
        </w:tc>
      </w:tr>
      <w:tr w14:paraId="679E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6" w:hRule="atLeast"/>
        </w:trPr>
        <w:tc>
          <w:tcPr>
            <w:tcW w:w="55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B672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B46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★高清伸降双面一体机</w:t>
            </w:r>
          </w:p>
        </w:tc>
        <w:tc>
          <w:tcPr>
            <w:tcW w:w="63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AF4E6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主控设备</w:t>
            </w:r>
            <w:r>
              <w:rPr>
                <w:rFonts w:hint="eastAsia"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台</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14:paraId="56A01F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▲1.具有N(受控屏)+1(主控屏)系统控制模式，2.4寸主控液晶导航屏，</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指纹唤醒</w:t>
            </w:r>
            <w:r>
              <w:rPr>
                <w:rFonts w:hint="eastAsia" w:hAnsi="宋体" w:cs="宋体"/>
                <w:i w:val="0"/>
                <w:iCs w:val="0"/>
                <w:color w:val="000000"/>
                <w:kern w:val="0"/>
                <w:sz w:val="20"/>
                <w:szCs w:val="20"/>
                <w:u w:val="none"/>
                <w:lang w:val="en-US" w:eastAsia="zh-CN" w:bidi="ar"/>
              </w:rPr>
              <w:t>；</w:t>
            </w:r>
          </w:p>
          <w:p w14:paraId="11B9AD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导航屏幕前翻屏幕点亮，下降完毕后自动断电</w:t>
            </w:r>
            <w:r>
              <w:rPr>
                <w:rFonts w:hint="eastAsia" w:hAnsi="宋体" w:cs="宋体"/>
                <w:i w:val="0"/>
                <w:iCs w:val="0"/>
                <w:color w:val="000000"/>
                <w:kern w:val="0"/>
                <w:sz w:val="20"/>
                <w:szCs w:val="20"/>
                <w:u w:val="none"/>
                <w:lang w:val="en-US" w:eastAsia="zh-CN" w:bidi="ar"/>
              </w:rPr>
              <w:t>；</w:t>
            </w:r>
          </w:p>
          <w:p w14:paraId="243A32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hAnsi="宋体" w:cs="宋体"/>
                <w:i w:val="0"/>
                <w:iCs w:val="0"/>
                <w:color w:val="000000"/>
                <w:kern w:val="0"/>
                <w:sz w:val="20"/>
                <w:szCs w:val="20"/>
                <w:u w:val="none"/>
                <w:lang w:val="en-US" w:eastAsia="zh-CN" w:bidi="ar"/>
              </w:rPr>
              <w:t>可</w:t>
            </w:r>
            <w:r>
              <w:rPr>
                <w:rFonts w:hint="eastAsia" w:ascii="宋体" w:hAnsi="宋体" w:eastAsia="宋体" w:cs="宋体"/>
                <w:i w:val="0"/>
                <w:iCs w:val="0"/>
                <w:color w:val="000000"/>
                <w:kern w:val="0"/>
                <w:sz w:val="20"/>
                <w:szCs w:val="20"/>
                <w:u w:val="none"/>
                <w:lang w:val="en-US" w:eastAsia="zh-CN" w:bidi="ar"/>
              </w:rPr>
              <w:t>实现一对一，一对多，多对多的设备集中管控，包括但升降屏幕，手动按钮控制，信号切换，电脑开关机等功能;</w:t>
            </w:r>
          </w:p>
          <w:p w14:paraId="5C75F5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录取</w:t>
            </w:r>
            <w:r>
              <w:rPr>
                <w:rFonts w:hint="eastAsia" w:hAnsi="宋体" w:cs="宋体"/>
                <w:i w:val="0"/>
                <w:iCs w:val="0"/>
                <w:color w:val="000000"/>
                <w:kern w:val="0"/>
                <w:sz w:val="20"/>
                <w:szCs w:val="20"/>
                <w:u w:val="none"/>
                <w:lang w:val="en-US" w:eastAsia="zh-CN" w:bidi="ar"/>
              </w:rPr>
              <w:t>不少于</w:t>
            </w:r>
            <w:r>
              <w:rPr>
                <w:rFonts w:hint="eastAsia" w:ascii="宋体" w:hAnsi="宋体" w:eastAsia="宋体" w:cs="宋体"/>
                <w:i w:val="0"/>
                <w:iCs w:val="0"/>
                <w:color w:val="000000"/>
                <w:kern w:val="0"/>
                <w:sz w:val="20"/>
                <w:szCs w:val="20"/>
                <w:u w:val="none"/>
                <w:lang w:val="en-US" w:eastAsia="zh-CN" w:bidi="ar"/>
              </w:rPr>
              <w:t>300枚指纹，</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USB接口;</w:t>
            </w:r>
          </w:p>
          <w:p w14:paraId="7E574B9F">
            <w:pPr>
              <w:keepNext w:val="0"/>
              <w:keepLines w:val="0"/>
              <w:widowControl/>
              <w:suppressLineNumbers w:val="0"/>
              <w:jc w:val="left"/>
              <w:textAlignment w:val="center"/>
              <w:rPr>
                <w:rFonts w:hint="eastAsia"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▲5.支持对其他受控屏手动按钮开关的控制</w:t>
            </w:r>
            <w:r>
              <w:rPr>
                <w:rFonts w:hint="eastAsia" w:hAnsi="宋体" w:cs="宋体"/>
                <w:i w:val="0"/>
                <w:iCs w:val="0"/>
                <w:color w:val="000000"/>
                <w:kern w:val="0"/>
                <w:sz w:val="20"/>
                <w:szCs w:val="20"/>
                <w:u w:val="none"/>
                <w:lang w:val="en-US" w:eastAsia="zh-CN" w:bidi="ar"/>
              </w:rPr>
              <w:t>；</w:t>
            </w:r>
          </w:p>
          <w:p w14:paraId="042722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p w14:paraId="4A3178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15.6寸超薄纯显示高清升降一体机</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5台 </w:t>
            </w:r>
            <w:r>
              <w:rPr>
                <w:rFonts w:hint="eastAsia" w:hAnsi="宋体" w:cs="宋体"/>
                <w:i w:val="0"/>
                <w:iCs w:val="0"/>
                <w:color w:val="000000"/>
                <w:kern w:val="0"/>
                <w:sz w:val="20"/>
                <w:szCs w:val="20"/>
                <w:u w:val="none"/>
                <w:lang w:val="en-US" w:eastAsia="zh-CN" w:bidi="ar"/>
              </w:rPr>
              <w:t>）</w:t>
            </w:r>
          </w:p>
          <w:p w14:paraId="46D820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1.终端显示屏：</w:t>
            </w:r>
            <w:r>
              <w:rPr>
                <w:rFonts w:hint="eastAsia" w:ascii="宋体" w:hAnsi="宋体" w:eastAsia="宋体" w:cs="宋体"/>
                <w:i w:val="0"/>
                <w:iCs w:val="0"/>
                <w:color w:val="000000"/>
                <w:kern w:val="0"/>
                <w:sz w:val="20"/>
                <w:szCs w:val="20"/>
                <w:u w:val="none"/>
                <w:lang w:val="en-US" w:eastAsia="zh-CN" w:bidi="ar"/>
              </w:rPr>
              <w:t>15.6寸IPS高清</w:t>
            </w:r>
            <w:r>
              <w:rPr>
                <w:rFonts w:hint="eastAsia" w:hAnsi="宋体" w:cs="宋体"/>
                <w:i w:val="0"/>
                <w:iCs w:val="0"/>
                <w:color w:val="000000"/>
                <w:kern w:val="0"/>
                <w:sz w:val="20"/>
                <w:szCs w:val="20"/>
                <w:u w:val="none"/>
                <w:lang w:val="en-US" w:eastAsia="zh-CN" w:bidi="ar"/>
              </w:rPr>
              <w:t>显示</w:t>
            </w:r>
            <w:r>
              <w:rPr>
                <w:rFonts w:hint="eastAsia" w:ascii="宋体" w:hAnsi="宋体" w:eastAsia="宋体" w:cs="宋体"/>
                <w:i w:val="0"/>
                <w:iCs w:val="0"/>
                <w:color w:val="000000"/>
                <w:kern w:val="0"/>
                <w:sz w:val="20"/>
                <w:szCs w:val="20"/>
                <w:u w:val="none"/>
                <w:lang w:val="en-US" w:eastAsia="zh-CN" w:bidi="ar"/>
              </w:rPr>
              <w:t>屏，</w:t>
            </w:r>
          </w:p>
          <w:p w14:paraId="09FFC6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分辨率：1920*1080，</w:t>
            </w:r>
          </w:p>
          <w:p w14:paraId="1CBD8B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视角：IPS全视角，</w:t>
            </w:r>
          </w:p>
          <w:p w14:paraId="427DFE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屏幕比例 ：16:9</w:t>
            </w:r>
          </w:p>
          <w:p w14:paraId="1D6C2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外侧10.1寸高清显示</w:t>
            </w:r>
            <w:r>
              <w:rPr>
                <w:rFonts w:hint="eastAsia" w:hAnsi="宋体" w:cs="宋体"/>
                <w:i w:val="0"/>
                <w:iCs w:val="0"/>
                <w:color w:val="000000"/>
                <w:kern w:val="0"/>
                <w:sz w:val="20"/>
                <w:szCs w:val="20"/>
                <w:u w:val="none"/>
                <w:lang w:val="en-US" w:eastAsia="zh-CN" w:bidi="ar"/>
              </w:rPr>
              <w:t>屏</w:t>
            </w:r>
            <w:r>
              <w:rPr>
                <w:rFonts w:hint="eastAsia" w:ascii="宋体" w:hAnsi="宋体" w:eastAsia="宋体" w:cs="宋体"/>
                <w:i w:val="0"/>
                <w:iCs w:val="0"/>
                <w:color w:val="000000"/>
                <w:kern w:val="0"/>
                <w:sz w:val="20"/>
                <w:szCs w:val="20"/>
                <w:u w:val="none"/>
                <w:lang w:val="en-US" w:eastAsia="zh-CN" w:bidi="ar"/>
              </w:rPr>
              <w:t>，分辨率：1024*600，</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 xml:space="preserve">显示人名、职称、单位名称及图像 </w:t>
            </w:r>
          </w:p>
          <w:p w14:paraId="79B71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升降器面板具备：上升、暂停、下降、视频切换、显示器菜单按钮</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支持自动仰角≦15度，手动调节角度≦30度。</w:t>
            </w:r>
          </w:p>
        </w:tc>
        <w:tc>
          <w:tcPr>
            <w:tcW w:w="53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734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B307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01F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23BB463">
            <w:pPr>
              <w:jc w:val="center"/>
              <w:rPr>
                <w:rFonts w:hint="eastAsia" w:ascii="宋体" w:hAnsi="宋体" w:eastAsia="宋体" w:cs="宋体"/>
                <w:i w:val="0"/>
                <w:iCs w:val="0"/>
                <w:color w:val="000000"/>
                <w:sz w:val="20"/>
                <w:szCs w:val="20"/>
                <w:u w:val="none"/>
              </w:rPr>
            </w:pPr>
          </w:p>
        </w:tc>
        <w:tc>
          <w:tcPr>
            <w:tcW w:w="10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CE1BDE">
            <w:pPr>
              <w:jc w:val="center"/>
              <w:rPr>
                <w:rFonts w:hint="eastAsia" w:ascii="宋体" w:hAnsi="宋体" w:eastAsia="宋体" w:cs="宋体"/>
                <w:i w:val="0"/>
                <w:iCs w:val="0"/>
                <w:color w:val="000000"/>
                <w:sz w:val="20"/>
                <w:szCs w:val="20"/>
                <w:u w:val="none"/>
              </w:rPr>
            </w:pPr>
          </w:p>
        </w:tc>
        <w:tc>
          <w:tcPr>
            <w:tcW w:w="63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09BED9">
            <w:pPr>
              <w:jc w:val="left"/>
              <w:rPr>
                <w:rFonts w:hint="eastAsia" w:ascii="宋体" w:hAnsi="宋体" w:eastAsia="宋体" w:cs="宋体"/>
                <w:i w:val="0"/>
                <w:iCs w:val="0"/>
                <w:color w:val="000000"/>
                <w:sz w:val="20"/>
                <w:szCs w:val="20"/>
                <w:u w:val="none"/>
              </w:rPr>
            </w:pPr>
          </w:p>
        </w:tc>
        <w:tc>
          <w:tcPr>
            <w:tcW w:w="53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ABC6D69">
            <w:pPr>
              <w:jc w:val="center"/>
              <w:rPr>
                <w:rFonts w:hint="eastAsia" w:ascii="宋体" w:hAnsi="宋体" w:eastAsia="宋体" w:cs="宋体"/>
                <w:i w:val="0"/>
                <w:iCs w:val="0"/>
                <w:color w:val="000000"/>
                <w:sz w:val="20"/>
                <w:szCs w:val="20"/>
                <w:u w:val="none"/>
              </w:rPr>
            </w:pPr>
          </w:p>
        </w:tc>
        <w:tc>
          <w:tcPr>
            <w:tcW w:w="9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624893">
            <w:pPr>
              <w:jc w:val="center"/>
              <w:rPr>
                <w:rFonts w:hint="eastAsia" w:ascii="宋体" w:hAnsi="宋体" w:eastAsia="宋体" w:cs="宋体"/>
                <w:i w:val="0"/>
                <w:iCs w:val="0"/>
                <w:color w:val="000000"/>
                <w:sz w:val="20"/>
                <w:szCs w:val="20"/>
                <w:u w:val="none"/>
              </w:rPr>
            </w:pPr>
          </w:p>
        </w:tc>
      </w:tr>
      <w:tr w14:paraId="1BEC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553" w:type="dxa"/>
            <w:tcBorders>
              <w:top w:val="single" w:color="auto" w:sz="4" w:space="0"/>
              <w:left w:val="single" w:color="000000" w:sz="4" w:space="0"/>
              <w:bottom w:val="nil"/>
              <w:right w:val="single" w:color="000000" w:sz="4" w:space="0"/>
            </w:tcBorders>
            <w:shd w:val="clear" w:color="auto" w:fill="auto"/>
            <w:noWrap/>
            <w:vAlign w:val="center"/>
          </w:tcPr>
          <w:p w14:paraId="35416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single" w:color="auto" w:sz="4" w:space="0"/>
              <w:left w:val="single" w:color="000000" w:sz="4" w:space="0"/>
              <w:bottom w:val="nil"/>
              <w:right w:val="single" w:color="000000" w:sz="4" w:space="0"/>
            </w:tcBorders>
            <w:shd w:val="clear" w:color="auto" w:fill="auto"/>
            <w:vAlign w:val="center"/>
          </w:tcPr>
          <w:p w14:paraId="74DF9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无纸化软件</w:t>
            </w:r>
          </w:p>
        </w:tc>
        <w:tc>
          <w:tcPr>
            <w:tcW w:w="6330" w:type="dxa"/>
            <w:tcBorders>
              <w:top w:val="single" w:color="auto" w:sz="4" w:space="0"/>
              <w:left w:val="single" w:color="000000" w:sz="4" w:space="0"/>
              <w:bottom w:val="nil"/>
              <w:right w:val="single" w:color="000000" w:sz="4" w:space="0"/>
            </w:tcBorders>
            <w:shd w:val="clear" w:color="auto" w:fill="auto"/>
            <w:vAlign w:val="center"/>
          </w:tcPr>
          <w:p w14:paraId="2B1E5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支持一键导入</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支持批量刷新</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支持单独添加名单</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支持模板导入导出</w:t>
            </w:r>
          </w:p>
        </w:tc>
        <w:tc>
          <w:tcPr>
            <w:tcW w:w="538" w:type="dxa"/>
            <w:tcBorders>
              <w:top w:val="single" w:color="auto" w:sz="4" w:space="0"/>
              <w:left w:val="single" w:color="000000" w:sz="4" w:space="0"/>
              <w:bottom w:val="nil"/>
              <w:right w:val="single" w:color="000000" w:sz="4" w:space="0"/>
            </w:tcBorders>
            <w:shd w:val="clear" w:color="auto" w:fill="auto"/>
            <w:noWrap/>
            <w:vAlign w:val="center"/>
          </w:tcPr>
          <w:p w14:paraId="614E7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auto" w:sz="4" w:space="0"/>
              <w:left w:val="single" w:color="000000" w:sz="4" w:space="0"/>
              <w:bottom w:val="nil"/>
              <w:right w:val="single" w:color="000000" w:sz="4" w:space="0"/>
            </w:tcBorders>
            <w:shd w:val="clear" w:color="auto" w:fill="auto"/>
            <w:vAlign w:val="center"/>
          </w:tcPr>
          <w:p w14:paraId="3D970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45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DEC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1" w:type="dxa"/>
            <w:tcBorders>
              <w:top w:val="single" w:color="000000" w:sz="4" w:space="0"/>
              <w:left w:val="single" w:color="000000" w:sz="4" w:space="0"/>
              <w:bottom w:val="single" w:color="auto" w:sz="4" w:space="0"/>
              <w:right w:val="single" w:color="000000" w:sz="4" w:space="0"/>
            </w:tcBorders>
            <w:shd w:val="clear" w:color="auto" w:fill="auto"/>
            <w:vAlign w:val="center"/>
          </w:tcPr>
          <w:p w14:paraId="3BF21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无纸化会议终端电脑</w:t>
            </w:r>
          </w:p>
        </w:tc>
        <w:tc>
          <w:tcPr>
            <w:tcW w:w="6330" w:type="dxa"/>
            <w:tcBorders>
              <w:top w:val="single" w:color="000000" w:sz="4" w:space="0"/>
              <w:left w:val="single" w:color="000000" w:sz="4" w:space="0"/>
              <w:bottom w:val="single" w:color="auto" w:sz="4" w:space="0"/>
              <w:right w:val="single" w:color="000000" w:sz="4" w:space="0"/>
            </w:tcBorders>
            <w:shd w:val="clear" w:color="auto" w:fill="auto"/>
            <w:vAlign w:val="center"/>
          </w:tcPr>
          <w:p w14:paraId="2711A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CPU：国产化处理器，≧8G内存，≧500G硬盘，含显示器，键鼠套装</w:t>
            </w:r>
          </w:p>
        </w:tc>
        <w:tc>
          <w:tcPr>
            <w:tcW w:w="5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C8EE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center"/>
          </w:tcPr>
          <w:p w14:paraId="01FC1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89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21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38045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话筒主机</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3016F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采用五路RJ45输出接口，每路支持连接15台单元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具备“一线式手拉手”、“环形手拉手”连接方式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频率响应：20Hz－20KHz ，信噪比：≧100dB ，采样频率：≧48KHz，动态范围：≧100dB ，总谐波失真:&lt;0.05% </w:t>
            </w:r>
          </w:p>
        </w:tc>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FA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63BA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DC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58" w:type="dxa"/>
            <w:gridSpan w:val="5"/>
            <w:tcBorders>
              <w:top w:val="single" w:color="auto" w:sz="4" w:space="0"/>
              <w:left w:val="single" w:color="000000" w:sz="4" w:space="0"/>
              <w:bottom w:val="single" w:color="auto" w:sz="4" w:space="0"/>
              <w:right w:val="single" w:color="000000" w:sz="4" w:space="0"/>
            </w:tcBorders>
            <w:shd w:val="clear" w:color="auto" w:fill="auto"/>
            <w:noWrap/>
            <w:vAlign w:val="center"/>
          </w:tcPr>
          <w:p w14:paraId="030D02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三、LED显示系统</w:t>
            </w:r>
          </w:p>
        </w:tc>
      </w:tr>
      <w:tr w14:paraId="62E2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358"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14:paraId="6386B2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3.1LED显示屏系统</w:t>
            </w:r>
          </w:p>
        </w:tc>
      </w:tr>
      <w:tr w14:paraId="5B74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3" w:hRule="atLeast"/>
        </w:trPr>
        <w:tc>
          <w:tcPr>
            <w:tcW w:w="5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D7E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000000" w:sz="4" w:space="0"/>
              <w:left w:val="single" w:color="000000" w:sz="4" w:space="0"/>
              <w:bottom w:val="single" w:color="auto" w:sz="4" w:space="0"/>
              <w:right w:val="single" w:color="000000" w:sz="4" w:space="0"/>
            </w:tcBorders>
            <w:shd w:val="clear" w:color="auto" w:fill="auto"/>
            <w:vAlign w:val="center"/>
          </w:tcPr>
          <w:p w14:paraId="7A7FA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户内全彩LED屏</w:t>
            </w:r>
          </w:p>
        </w:tc>
        <w:tc>
          <w:tcPr>
            <w:tcW w:w="6330" w:type="dxa"/>
            <w:tcBorders>
              <w:top w:val="single" w:color="000000" w:sz="4" w:space="0"/>
              <w:left w:val="single" w:color="000000" w:sz="4" w:space="0"/>
              <w:bottom w:val="single" w:color="auto" w:sz="4" w:space="0"/>
              <w:right w:val="single" w:color="000000" w:sz="4" w:space="0"/>
            </w:tcBorders>
            <w:shd w:val="clear" w:color="auto" w:fill="auto"/>
            <w:vAlign w:val="center"/>
          </w:tcPr>
          <w:p w14:paraId="2D0E5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1、像素点间距≤1.86mm</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像素密度≥288906点/m2，模组尺寸：320mm*160mm；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2、屏幕亮度：≥500cd/m2;可视角度≥160°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3、屏幕亮度均匀性≥95%；显示单元平整度≤0.05mm，平均使用寿命≥100000hrs；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4、色度均匀性≤0.001Cx，Cy ；色温500K-6500K可调；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5、产品峰值功耗≤500W/㎡，平均功耗≤150W/㎡；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6、灰度等级：≥14Bit；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7、发光点中心偏差：≤1%；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8、对比度≥30000:1；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9、支持通过配套软件调节刷新率，刷新率≥3840Hz；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10、支持单点亮度色度校正功能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11、EDID 动态管理：标准分辨率信号输入自适应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12、具有信号加密传输功能，支持控制器与屏体之间信号加密传输功能；可实现远程监督控制，记录潜在故障日志，并发出警报信号；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13、显示屏支持抑制摩尔纹功能</w:t>
            </w:r>
          </w:p>
        </w:tc>
        <w:tc>
          <w:tcPr>
            <w:tcW w:w="538" w:type="dxa"/>
            <w:tcBorders>
              <w:top w:val="single" w:color="000000" w:sz="4" w:space="0"/>
              <w:left w:val="single" w:color="000000" w:sz="4" w:space="0"/>
              <w:bottom w:val="single" w:color="auto" w:sz="4" w:space="0"/>
              <w:right w:val="single" w:color="000000" w:sz="4" w:space="0"/>
            </w:tcBorders>
            <w:shd w:val="clear" w:color="auto" w:fill="auto"/>
            <w:vAlign w:val="center"/>
          </w:tcPr>
          <w:p w14:paraId="095F6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center"/>
          </w:tcPr>
          <w:p w14:paraId="33D98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10.7000 </w:t>
            </w:r>
          </w:p>
        </w:tc>
      </w:tr>
      <w:tr w14:paraId="3DDD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3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FF188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 控制设备以及配套设备</w:t>
            </w:r>
          </w:p>
        </w:tc>
      </w:tr>
      <w:tr w14:paraId="738D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A38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79609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1A21F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≧5V40A</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4661E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5BDD4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73D2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6"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A13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15A31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0A88F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1、集成12组75接口，24组RGB信号输出，无需转接板；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2、支持静态至1/128扫描之间的任意扫描类型，支持各种LED驱动芯片和译码芯片，支持各种LED显示模组，支持SM16188B特殊模组；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3、支持低亮高灰、低灰补偿、色彩还原、逐点校正、快速修缝、RGB独立Gamma调节技术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4、支持数据对开</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支持数据组任意交换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5、支持数据偏移，支持从左到右、从右到左、从上到下、从下到上任意数据走线，支持异形箱体功能、复杂调屏功能；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6、支持画面旋转功能和3D显示功能；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7、支持快捷模组配置、智能扫描、智能向导设置、Mapping功能、接收卡定位、内置画布调试等功能模块；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8、支持配置参数备份、环路备份功能、自动断电功能；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9、支持误码率检测、指示灯状态监控、电源监测、盐雾监测、温湿度监测，提供完备的显示屏运行状态监控功能；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10、支持固件在线升级、配置参数回读、多程序备份、版本兼容功能（不同型号接收卡同屏混用）；</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3D3F9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13A70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CF1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4"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A0E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7770C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44B05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1、1U机箱。集成发送卡设计，6路千兆网口输出。单机</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带载393万像素，水平最大8000像素，垂直最大3840像素。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2、5路视频输入接口：HDMI2.0×2、DVI×1、VGA×1、CVBS×1，支持2路4K@60Hz视频源，支持1路PAL/ NTSC复合视频；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3、支持独立的3.5mm音频输入和音频输出；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4、USB2.0接口，支持视频播放、图片播放、视频/图片混合播放三种模式；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5、2.0"液晶屏(320×240)和旋转按钮，支持多语言菜单界面；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6、支持对输入信号源快捷切换；</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对U盘播放快捷操控；</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常用快捷功能键，支持亮度调节、局部/全屏显示切换；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7、支持串口、网口单机直连或固定IP控制设备视频信源切换及模式更新，</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LED显示屏参数设置；支持RS232中控；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8、支持预存≤8个用户模式，支持场景切换；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9、支持计划任务。支持输入视频源定时切换，支持用户模式定时切换，支持设备输出定时开启/关闭；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10、支持智能配置。支持输入自适应信号源分辨率，支持输出自适应显示屏参数配置；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11、支持EDID设置。支持自定义输入分辨率，支持读取、修改设备的EDID信息；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12、支持VGA调整和VGA ADC校正，支持CV ADC校正；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13、支持信号快速切换、点对点功能、输出控制功能、图像镜像功能、画面截取功能；支持亮度调节、图像调节、色温调节；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14、支持按键锁定功能、自动断电功能、热备份功能；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15、支持工厂复位、固件在线升级、远程维护功能；</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3635A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4FDED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DE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8" w:hRule="atLeast"/>
        </w:trPr>
        <w:tc>
          <w:tcPr>
            <w:tcW w:w="553" w:type="dxa"/>
            <w:tcBorders>
              <w:top w:val="single" w:color="auto" w:sz="4" w:space="0"/>
              <w:left w:val="single" w:color="000000" w:sz="4" w:space="0"/>
              <w:bottom w:val="nil"/>
              <w:right w:val="single" w:color="000000" w:sz="4" w:space="0"/>
            </w:tcBorders>
            <w:shd w:val="clear" w:color="auto" w:fill="auto"/>
            <w:noWrap/>
            <w:vAlign w:val="center"/>
          </w:tcPr>
          <w:p w14:paraId="774313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21" w:type="dxa"/>
            <w:tcBorders>
              <w:top w:val="single" w:color="auto" w:sz="4" w:space="0"/>
              <w:left w:val="single" w:color="000000" w:sz="4" w:space="0"/>
              <w:bottom w:val="nil"/>
              <w:right w:val="single" w:color="000000" w:sz="4" w:space="0"/>
            </w:tcBorders>
            <w:shd w:val="clear" w:color="auto" w:fill="auto"/>
            <w:vAlign w:val="center"/>
          </w:tcPr>
          <w:p w14:paraId="4A04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显示屏控制设备嵌入式软件</w:t>
            </w:r>
          </w:p>
        </w:tc>
        <w:tc>
          <w:tcPr>
            <w:tcW w:w="6330" w:type="dxa"/>
            <w:tcBorders>
              <w:top w:val="single" w:color="auto" w:sz="4" w:space="0"/>
              <w:left w:val="single" w:color="000000" w:sz="4" w:space="0"/>
              <w:bottom w:val="nil"/>
              <w:right w:val="single" w:color="000000" w:sz="4" w:space="0"/>
            </w:tcBorders>
            <w:shd w:val="clear" w:color="auto" w:fill="auto"/>
            <w:vAlign w:val="center"/>
          </w:tcPr>
          <w:p w14:paraId="3831F927">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支持产品升级维护，支持在线升级。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2、支持通过软件下发具体</w:t>
            </w:r>
            <w:r>
              <w:rPr>
                <w:rFonts w:hint="eastAsia" w:hAnsi="宋体" w:cs="宋体"/>
                <w:i w:val="0"/>
                <w:iCs w:val="0"/>
                <w:color w:val="000000"/>
                <w:kern w:val="0"/>
                <w:sz w:val="20"/>
                <w:szCs w:val="20"/>
                <w:u w:val="none"/>
                <w:lang w:val="en-US" w:eastAsia="zh-CN" w:bidi="ar"/>
              </w:rPr>
              <w:t>控制</w:t>
            </w:r>
            <w:r>
              <w:rPr>
                <w:rFonts w:hint="eastAsia" w:ascii="宋体" w:hAnsi="宋体" w:eastAsia="宋体" w:cs="宋体"/>
                <w:i w:val="0"/>
                <w:iCs w:val="0"/>
                <w:color w:val="000000"/>
                <w:kern w:val="0"/>
                <w:sz w:val="20"/>
                <w:szCs w:val="20"/>
                <w:u w:val="none"/>
                <w:lang w:val="en-US" w:eastAsia="zh-CN" w:bidi="ar"/>
              </w:rPr>
              <w:t>参数，支持串口、网口等多种控制方式。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3、支持显示屏</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箱体</w:t>
            </w:r>
            <w:r>
              <w:rPr>
                <w:rFonts w:hint="eastAsia" w:hAnsi="宋体" w:cs="宋体"/>
                <w:i w:val="0"/>
                <w:iCs w:val="0"/>
                <w:color w:val="000000"/>
                <w:kern w:val="0"/>
                <w:sz w:val="20"/>
                <w:szCs w:val="20"/>
                <w:u w:val="none"/>
                <w:lang w:val="en-US" w:eastAsia="zh-CN" w:bidi="ar"/>
              </w:rPr>
              <w:t>的自</w:t>
            </w:r>
            <w:r>
              <w:rPr>
                <w:rFonts w:hint="eastAsia" w:ascii="宋体" w:hAnsi="宋体" w:eastAsia="宋体" w:cs="宋体"/>
                <w:i w:val="0"/>
                <w:iCs w:val="0"/>
                <w:color w:val="000000"/>
                <w:kern w:val="0"/>
                <w:sz w:val="20"/>
                <w:szCs w:val="20"/>
                <w:u w:val="none"/>
                <w:lang w:val="en-US" w:eastAsia="zh-CN" w:bidi="ar"/>
              </w:rPr>
              <w:t>监控功能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显示屏进行坏点检测，检测具体的坏点数量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显示屏的定时断上电、外接音箱设备及光探头亮度调节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8、支持联机校正功能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9、支持画质引擎</w:t>
            </w:r>
          </w:p>
          <w:p w14:paraId="3A72169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10、支持误码率检测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11、支持预存画面及断开网线显示一帧画面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12、支持显示屏亮暗线调功能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13、支持异形箱体构造、异形显示屏连接、拉伸、打散、扇形转换功能</w:t>
            </w:r>
          </w:p>
        </w:tc>
        <w:tc>
          <w:tcPr>
            <w:tcW w:w="538" w:type="dxa"/>
            <w:tcBorders>
              <w:top w:val="single" w:color="auto" w:sz="4" w:space="0"/>
              <w:left w:val="single" w:color="000000" w:sz="4" w:space="0"/>
              <w:bottom w:val="nil"/>
              <w:right w:val="single" w:color="000000" w:sz="4" w:space="0"/>
            </w:tcBorders>
            <w:shd w:val="clear" w:color="auto" w:fill="auto"/>
            <w:vAlign w:val="center"/>
          </w:tcPr>
          <w:p w14:paraId="23BBE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auto" w:sz="4" w:space="0"/>
              <w:left w:val="single" w:color="000000" w:sz="4" w:space="0"/>
              <w:bottom w:val="nil"/>
              <w:right w:val="single" w:color="000000" w:sz="4" w:space="0"/>
            </w:tcBorders>
            <w:shd w:val="clear" w:color="auto" w:fill="auto"/>
            <w:vAlign w:val="center"/>
          </w:tcPr>
          <w:p w14:paraId="0CF7C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33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7" w:hRule="atLeast"/>
        </w:trPr>
        <w:tc>
          <w:tcPr>
            <w:tcW w:w="553" w:type="dxa"/>
            <w:tcBorders>
              <w:top w:val="single" w:color="000000" w:sz="4" w:space="0"/>
              <w:left w:val="single" w:color="000000" w:sz="4" w:space="0"/>
              <w:bottom w:val="nil"/>
              <w:right w:val="single" w:color="000000" w:sz="4" w:space="0"/>
            </w:tcBorders>
            <w:shd w:val="clear" w:color="auto" w:fill="auto"/>
            <w:noWrap/>
            <w:vAlign w:val="center"/>
          </w:tcPr>
          <w:p w14:paraId="15ECBD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021" w:type="dxa"/>
            <w:tcBorders>
              <w:top w:val="single" w:color="000000" w:sz="4" w:space="0"/>
              <w:left w:val="single" w:color="000000" w:sz="4" w:space="0"/>
              <w:bottom w:val="nil"/>
              <w:right w:val="single" w:color="000000" w:sz="4" w:space="0"/>
            </w:tcBorders>
            <w:shd w:val="clear" w:color="auto" w:fill="auto"/>
            <w:vAlign w:val="center"/>
          </w:tcPr>
          <w:p w14:paraId="44C5F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6330" w:type="dxa"/>
            <w:tcBorders>
              <w:top w:val="single" w:color="000000" w:sz="4" w:space="0"/>
              <w:left w:val="single" w:color="000000" w:sz="4" w:space="0"/>
              <w:bottom w:val="nil"/>
              <w:right w:val="single" w:color="000000" w:sz="4" w:space="0"/>
            </w:tcBorders>
            <w:shd w:val="clear" w:color="auto" w:fill="auto"/>
            <w:vAlign w:val="center"/>
          </w:tcPr>
          <w:p w14:paraId="3A780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手动控制 一键启动、停止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时控控制 四组时间段设置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遥控控制 ≧距离100米，配天线、遥控器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中控控制 MODBUS-RTU  485 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电脑控制 专用BOOK控制软件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穿墙控制 ≧距离1000米，配QN-600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热电偶 K型（内置）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接线方式 国家3相5线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 ≧3相380V，≧50Hz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≧10KW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输入电缆 YJV-4*4mm²+2.5mm²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接线方式 单相3线，L、N、PE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输出电压 单相220V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单路功率 ≧3.5KW</w:t>
            </w:r>
          </w:p>
        </w:tc>
        <w:tc>
          <w:tcPr>
            <w:tcW w:w="538" w:type="dxa"/>
            <w:tcBorders>
              <w:top w:val="single" w:color="000000" w:sz="4" w:space="0"/>
              <w:left w:val="single" w:color="000000" w:sz="4" w:space="0"/>
              <w:bottom w:val="nil"/>
              <w:right w:val="single" w:color="000000" w:sz="4" w:space="0"/>
            </w:tcBorders>
            <w:shd w:val="clear" w:color="auto" w:fill="auto"/>
            <w:vAlign w:val="center"/>
          </w:tcPr>
          <w:p w14:paraId="25653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nil"/>
              <w:right w:val="single" w:color="000000" w:sz="4" w:space="0"/>
            </w:tcBorders>
            <w:shd w:val="clear" w:color="auto" w:fill="auto"/>
            <w:vAlign w:val="center"/>
          </w:tcPr>
          <w:p w14:paraId="40376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F9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358"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14:paraId="5D1ADC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r>
              <w:rPr>
                <w:rFonts w:hint="eastAsia" w:ascii="宋体" w:hAnsi="宋体" w:eastAsia="宋体" w:cs="宋体"/>
                <w:b/>
                <w:bCs/>
                <w:i w:val="0"/>
                <w:iCs w:val="0"/>
                <w:color w:val="000000"/>
                <w:kern w:val="0"/>
                <w:sz w:val="20"/>
                <w:szCs w:val="20"/>
                <w:highlight w:val="none"/>
                <w:u w:val="none"/>
                <w:lang w:val="en-US" w:eastAsia="zh-CN" w:bidi="ar"/>
              </w:rPr>
              <w:t>、精品录播</w:t>
            </w:r>
            <w:r>
              <w:rPr>
                <w:rFonts w:hint="eastAsia" w:hAnsi="宋体" w:cs="宋体"/>
                <w:b/>
                <w:bCs/>
                <w:i w:val="0"/>
                <w:iCs w:val="0"/>
                <w:color w:val="000000"/>
                <w:kern w:val="0"/>
                <w:sz w:val="20"/>
                <w:szCs w:val="20"/>
                <w:highlight w:val="none"/>
                <w:u w:val="none"/>
                <w:lang w:val="en-US" w:eastAsia="zh-CN" w:bidi="ar"/>
              </w:rPr>
              <w:t>（录播相关设备需无缝衔接镇安县教育信息平台，对接费用由投标人承担）</w:t>
            </w:r>
          </w:p>
        </w:tc>
      </w:tr>
      <w:tr w14:paraId="4D39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8"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B4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312EA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高清录播主机</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30E10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1.主机</w:t>
            </w:r>
            <w:r>
              <w:rPr>
                <w:rFonts w:hint="eastAsia" w:hAnsi="宋体" w:cs="宋体"/>
                <w:i w:val="0"/>
                <w:iCs w:val="0"/>
                <w:color w:val="000000"/>
                <w:kern w:val="0"/>
                <w:sz w:val="20"/>
                <w:szCs w:val="20"/>
                <w:u w:val="none"/>
                <w:lang w:val="en-US" w:eastAsia="zh-CN" w:bidi="ar"/>
              </w:rPr>
              <w:t>采用</w:t>
            </w:r>
            <w:r>
              <w:rPr>
                <w:rFonts w:hint="eastAsia" w:ascii="宋体" w:hAnsi="宋体" w:eastAsia="宋体" w:cs="宋体"/>
                <w:i w:val="0"/>
                <w:iCs w:val="0"/>
                <w:color w:val="000000"/>
                <w:kern w:val="0"/>
                <w:sz w:val="20"/>
                <w:szCs w:val="20"/>
                <w:u w:val="none"/>
                <w:lang w:val="en-US" w:eastAsia="zh-CN" w:bidi="ar"/>
              </w:rPr>
              <w:t>嵌入式设计</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国产芯片，支持音频编码、视频编码、音视频处理、录制、直播、导播、自动跟踪、存储、点播、互动多功能于一体；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2.主机数据传输</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RJ45接口</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支持≥4路RJ45摄像机输入接口、≥2路RJ45麦克风输入接口、≥1路RJ45网络接口；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≥2路HDMI 输入接口、≥2路HDMI 输出接口、≥2路Line in接口，≥2路Line out接口、≥2路USB接口；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4.录制和直播场景均支持4K、1080P、720P、480P等多种分辨率，最高录制帧率可达60fps；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5.支持扩展AI课堂行为分析功能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6.主机存储≥2T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通过FTP、HTTP等协议自动将录制生成的视频文件归档上传至学校原有录播资源管理平台；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8.要求主机与高清摄像机、智慧教学管理平台为同一品牌。</w:t>
            </w:r>
          </w:p>
        </w:tc>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92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DE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51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1"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EA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22A86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互动系统软件</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0E48F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视音频互动能力：具备不小于125路终端同时接入进行视音频互动的能力。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2.协议兼容：支持SIP/H.323标准协议，可对接主流视频会议系统。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3.互动画质：要求互动视频画质不低于1080P，并兼容720P视频互动画质。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4.分组互动能力：要求支持分组同时互动功能，单机需支持同时不少于60个互动组独立互动能力。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5.负载均衡功能：系统具备负载均衡功能，支持多套互动云软件进行负载均衡模式部署，</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终端并发接入互动数量和互动分组数的同步扩容。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6.双机热备：支持双机热备功能，进行双互动云系统进行一主一备方式部署。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7.移动端设备接入服务：提供移动端互动软件，支持Windows7以上、Android 6.0以上版本等多种类型移动终端设备安装接入互动；其中Android 端软件需满足以下指标要求：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a.高品质互动效果：支持1080P30fps高清视音频互动效果。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b.互动录制功能：支持参与互动过程中同步进行互动画面录制。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8.网络状态探测能力：支持在互动状态下，通过接收与发送音视频流的同时完成网络状态的嗅探，根据网络状况的好坏实现互动视频画面质量的自适应动态调节。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9.互动抗损伤：</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系统针对常见的网络丢包、抖动、延时等情况具备抗损伤能力，在时延、抖动达到300ms或丢包率达到20%的情况下依旧保持互动的流畅与稳定，并最大程度保障画面的清晰度。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10.SVC自适应能力：支持将视频流按质量、帧率、分辨率进行不同维度的分层切割，结合网络状况分配不同层级的流进行效果补偿。</w:t>
            </w:r>
          </w:p>
        </w:tc>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2B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A8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90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2" w:hRule="atLeast"/>
        </w:trPr>
        <w:tc>
          <w:tcPr>
            <w:tcW w:w="55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A82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1" w:type="dxa"/>
            <w:tcBorders>
              <w:top w:val="single" w:color="auto" w:sz="4" w:space="0"/>
              <w:left w:val="single" w:color="000000" w:sz="4" w:space="0"/>
              <w:bottom w:val="single" w:color="auto" w:sz="4" w:space="0"/>
              <w:right w:val="single" w:color="000000" w:sz="4" w:space="0"/>
            </w:tcBorders>
            <w:shd w:val="clear" w:color="auto" w:fill="auto"/>
            <w:vAlign w:val="center"/>
          </w:tcPr>
          <w:p w14:paraId="5161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录播流媒体处理软件</w:t>
            </w:r>
          </w:p>
        </w:tc>
        <w:tc>
          <w:tcPr>
            <w:tcW w:w="6330" w:type="dxa"/>
            <w:tcBorders>
              <w:top w:val="single" w:color="auto" w:sz="4" w:space="0"/>
              <w:left w:val="single" w:color="000000" w:sz="4" w:space="0"/>
              <w:bottom w:val="single" w:color="auto" w:sz="4" w:space="0"/>
              <w:right w:val="single" w:color="000000" w:sz="4" w:space="0"/>
            </w:tcBorders>
            <w:shd w:val="clear" w:color="auto" w:fill="auto"/>
            <w:vAlign w:val="center"/>
          </w:tcPr>
          <w:p w14:paraId="283906B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录播软件采用B/S架构设计，通过浏览器即可进行管理配置与操作，而无需额外安装客户端或APP；</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.支持全自动、半自动、手动三种导播模式，并支持导播过程中任意切换导播模式；</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.录播内置跟踪算法，支持不同场景画面的全自动跟踪切换；</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.录播主机在多画面布局以及多流录制、多流直播的使用场景下不同画面保持高度同步；</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.主机具备通过USB接口直接输出音视频信号，实现便捷的视频会议软件接入；</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.支持在导播过程中进行音量控制，可调整相关输入输出的音量大小，且支持一键静音功能；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.内置音频处理功能：支持AGC自动增益、ANS噪声抑制、EQ均衡、AEC回声抑制等音频处理；</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.支持外接U盘、移动硬盘等存储设备，实现在视频录制的过程中自动同步录制一份并存储至U盘中；</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.支持RTMP、RTSP、RTP、TS等直播协议，并可自定义选择主码流或子码流进行推流直播；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.支持查看已录制的视频文件，可按录制时间进行排序、按关键字检索，并支持对视频文件在线播放、下载、删除和FTP上传；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.支持录像文件循环覆盖、损坏录播文件在线修复、硬盘格式化等功能；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.支持导播页面一键切换系统界面中英语言显示；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.针对教师使用习惯，提供配套的导播客户端，支持对录播主机实现便捷操作设置。</w:t>
            </w:r>
          </w:p>
          <w:p w14:paraId="4C1D23D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highlight w:val="none"/>
                <w:u w:val="none"/>
                <w:lang w:val="en-US" w:eastAsia="zh-CN" w:bidi="ar"/>
              </w:rPr>
              <w:t>14.</w:t>
            </w:r>
            <w:r>
              <w:rPr>
                <w:rFonts w:hint="eastAsia" w:ascii="宋体" w:hAnsi="宋体" w:eastAsia="宋体" w:cs="宋体"/>
                <w:i w:val="0"/>
                <w:iCs w:val="0"/>
                <w:color w:val="000000"/>
                <w:kern w:val="0"/>
                <w:sz w:val="20"/>
                <w:szCs w:val="20"/>
                <w:highlight w:val="none"/>
                <w:u w:val="none"/>
                <w:lang w:val="en-US" w:eastAsia="zh-CN" w:bidi="ar"/>
              </w:rPr>
              <w:t>提供计算机软件著作权登记证书复印件并加盖原厂公章或投标专用章；</w:t>
            </w:r>
          </w:p>
        </w:tc>
        <w:tc>
          <w:tcPr>
            <w:tcW w:w="5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508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7E7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1A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8"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20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54D01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智能跟踪处理软件</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732D3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主机自动实现教师移动跟拍或教师全景、教师授课特写、教学课件跟踪、学生起立特写、学生听课全景等画面信号的自动跟踪、切换；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2.支持基于实景拍摄画面框选跟踪区域；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3.支持根据设定的跟踪策略形成跟踪指令，实现多路接入摄像机的全自动跟踪画面切换；且支持自定义跟踪切换逻辑的画面布局，包含但不限于双分屏、画中画与自定义布局等；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4.支持对接入摄像机自定义设置AI跟踪目标更新周期时间，摄像机依据配置实现相应跟踪策略；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5.提供计算机软件著作权登记证书复印件并加盖原厂公章或投标专用章。</w:t>
            </w:r>
          </w:p>
        </w:tc>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65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1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EC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2" w:hRule="atLeast"/>
        </w:trPr>
        <w:tc>
          <w:tcPr>
            <w:tcW w:w="553" w:type="dxa"/>
            <w:tcBorders>
              <w:top w:val="single" w:color="auto" w:sz="4" w:space="0"/>
              <w:left w:val="single" w:color="000000" w:sz="4" w:space="0"/>
              <w:bottom w:val="nil"/>
              <w:right w:val="single" w:color="000000" w:sz="4" w:space="0"/>
            </w:tcBorders>
            <w:shd w:val="clear" w:color="auto" w:fill="auto"/>
            <w:noWrap/>
            <w:vAlign w:val="center"/>
          </w:tcPr>
          <w:p w14:paraId="63F39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1" w:type="dxa"/>
            <w:tcBorders>
              <w:top w:val="single" w:color="auto" w:sz="4" w:space="0"/>
              <w:left w:val="single" w:color="000000" w:sz="4" w:space="0"/>
              <w:bottom w:val="nil"/>
              <w:right w:val="single" w:color="000000" w:sz="4" w:space="0"/>
            </w:tcBorders>
            <w:shd w:val="clear" w:color="auto" w:fill="auto"/>
            <w:vAlign w:val="center"/>
          </w:tcPr>
          <w:p w14:paraId="29A41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6330" w:type="dxa"/>
            <w:tcBorders>
              <w:top w:val="single" w:color="auto" w:sz="4" w:space="0"/>
              <w:left w:val="single" w:color="000000" w:sz="4" w:space="0"/>
              <w:bottom w:val="nil"/>
              <w:right w:val="single" w:color="000000" w:sz="4" w:space="0"/>
            </w:tcBorders>
            <w:shd w:val="clear" w:color="auto" w:fill="auto"/>
            <w:vAlign w:val="center"/>
          </w:tcPr>
          <w:p w14:paraId="57B51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1.采用CMOS类型图像传感器，尺寸≥1/2.5英寸；效像素≥800万；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2支持H.265、H.264高清视频编码协议；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3.具备RJ45视频输出口≥1，HDMI视频输出口≥1；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4.支持VISCA/ONVIF协议满足多种场景控制要求；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5.具备背光补偿功能；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6.支持2D/3D数字降噪；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7.支持录播主机供电、DC12V电源适配器等供电方式；</w:t>
            </w:r>
          </w:p>
        </w:tc>
        <w:tc>
          <w:tcPr>
            <w:tcW w:w="538" w:type="dxa"/>
            <w:tcBorders>
              <w:top w:val="single" w:color="auto" w:sz="4" w:space="0"/>
              <w:left w:val="single" w:color="000000" w:sz="4" w:space="0"/>
              <w:bottom w:val="nil"/>
              <w:right w:val="single" w:color="000000" w:sz="4" w:space="0"/>
            </w:tcBorders>
            <w:shd w:val="clear" w:color="auto" w:fill="auto"/>
            <w:vAlign w:val="center"/>
          </w:tcPr>
          <w:p w14:paraId="5321A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000000" w:sz="4" w:space="0"/>
              <w:bottom w:val="nil"/>
              <w:right w:val="single" w:color="000000" w:sz="4" w:space="0"/>
            </w:tcBorders>
            <w:shd w:val="clear" w:color="auto" w:fill="auto"/>
            <w:vAlign w:val="center"/>
          </w:tcPr>
          <w:p w14:paraId="686EB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E40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6" w:hRule="atLeast"/>
        </w:trPr>
        <w:tc>
          <w:tcPr>
            <w:tcW w:w="553" w:type="dxa"/>
            <w:tcBorders>
              <w:top w:val="single" w:color="000000" w:sz="4" w:space="0"/>
              <w:left w:val="single" w:color="000000" w:sz="4" w:space="0"/>
              <w:bottom w:val="nil"/>
              <w:right w:val="single" w:color="000000" w:sz="4" w:space="0"/>
            </w:tcBorders>
            <w:shd w:val="clear" w:color="auto" w:fill="auto"/>
            <w:noWrap/>
            <w:vAlign w:val="center"/>
          </w:tcPr>
          <w:p w14:paraId="396BE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1" w:type="dxa"/>
            <w:tcBorders>
              <w:top w:val="single" w:color="000000" w:sz="4" w:space="0"/>
              <w:left w:val="single" w:color="000000" w:sz="4" w:space="0"/>
              <w:bottom w:val="nil"/>
              <w:right w:val="single" w:color="000000" w:sz="4" w:space="0"/>
            </w:tcBorders>
            <w:shd w:val="clear" w:color="auto" w:fill="auto"/>
            <w:vAlign w:val="center"/>
          </w:tcPr>
          <w:p w14:paraId="7E291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摄像机跟踪拍摄软件</w:t>
            </w:r>
          </w:p>
        </w:tc>
        <w:tc>
          <w:tcPr>
            <w:tcW w:w="6330" w:type="dxa"/>
            <w:tcBorders>
              <w:top w:val="single" w:color="000000" w:sz="4" w:space="0"/>
              <w:left w:val="single" w:color="000000" w:sz="4" w:space="0"/>
              <w:bottom w:val="nil"/>
              <w:right w:val="single" w:color="000000" w:sz="4" w:space="0"/>
            </w:tcBorders>
            <w:shd w:val="clear" w:color="auto" w:fill="auto"/>
            <w:vAlign w:val="center"/>
          </w:tcPr>
          <w:p w14:paraId="40E87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1.传输处理软件需采用B/S架构，支持通用浏览器直接访问进行管理；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4.支持自动白平衡设置功能，红、蓝增益可调；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6.支持摄像机图像质量调节功能，包括亮度、对比度、色调、饱和度；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7.支持图像水平、垂直翻转，适应摄像机不同的安装方式要求；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8.摄像机预置位数≥255；</w:t>
            </w:r>
          </w:p>
        </w:tc>
        <w:tc>
          <w:tcPr>
            <w:tcW w:w="538" w:type="dxa"/>
            <w:tcBorders>
              <w:top w:val="single" w:color="000000" w:sz="4" w:space="0"/>
              <w:left w:val="single" w:color="000000" w:sz="4" w:space="0"/>
              <w:bottom w:val="nil"/>
              <w:right w:val="single" w:color="000000" w:sz="4" w:space="0"/>
            </w:tcBorders>
            <w:shd w:val="clear" w:color="auto" w:fill="auto"/>
            <w:noWrap/>
            <w:vAlign w:val="center"/>
          </w:tcPr>
          <w:p w14:paraId="67D6C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335F4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B73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2" w:hRule="atLeast"/>
        </w:trPr>
        <w:tc>
          <w:tcPr>
            <w:tcW w:w="5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8BF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1" w:type="dxa"/>
            <w:tcBorders>
              <w:top w:val="single" w:color="000000" w:sz="4" w:space="0"/>
              <w:left w:val="single" w:color="000000" w:sz="4" w:space="0"/>
              <w:bottom w:val="single" w:color="auto" w:sz="4" w:space="0"/>
              <w:right w:val="single" w:color="000000" w:sz="4" w:space="0"/>
            </w:tcBorders>
            <w:shd w:val="clear" w:color="auto" w:fill="auto"/>
            <w:vAlign w:val="center"/>
          </w:tcPr>
          <w:p w14:paraId="6940D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录制面板</w:t>
            </w:r>
          </w:p>
        </w:tc>
        <w:tc>
          <w:tcPr>
            <w:tcW w:w="6330" w:type="dxa"/>
            <w:tcBorders>
              <w:top w:val="single" w:color="000000" w:sz="4" w:space="0"/>
              <w:left w:val="single" w:color="000000" w:sz="4" w:space="0"/>
              <w:bottom w:val="single" w:color="auto" w:sz="4" w:space="0"/>
              <w:right w:val="single" w:color="000000" w:sz="4" w:space="0"/>
            </w:tcBorders>
            <w:shd w:val="clear" w:color="auto" w:fill="auto"/>
            <w:vAlign w:val="center"/>
          </w:tcPr>
          <w:p w14:paraId="0F8B9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具备信号指示灯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支持一键式系统电源开关控制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一键式录制、停止、锁定电脑信号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支持本地录播全自动的开启、关闭控制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同时支持录播模式和互动模式。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支持通过面板一键发起与远端设备互动连接。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支持通过交互控制面板切换互动画面的信号源，并传输到听课室，包括本地老师信号、学生信号、电脑信号、远端课室画面。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支持对各画面的自由布局控制，包括单画面全屏、双分屏、三分屏、四分屏、画中画，并传输到听课室。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8.支持远程“一键静音”功能，主讲端可一键关闭远端互动教室发言，进入主讲授课模式。</w:t>
            </w:r>
          </w:p>
        </w:tc>
        <w:tc>
          <w:tcPr>
            <w:tcW w:w="5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3B7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58A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91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8"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2A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23DA2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拾音话筒</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30018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1.指向性：超心型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3.灵敏度≥-7dB±1dB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4.最大声压级≥110dB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5.信噪比≥62dB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6.动态范围≥78.5dB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7.使用电源：麦克风一线通供电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8.输出接口：RJ45，数字音频接口</w:t>
            </w:r>
          </w:p>
        </w:tc>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4C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A9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213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2" w:hRule="atLeast"/>
        </w:trPr>
        <w:tc>
          <w:tcPr>
            <w:tcW w:w="55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92E9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1"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9482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63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8CCD0B2">
            <w:pPr>
              <w:keepNext w:val="0"/>
              <w:keepLines w:val="0"/>
              <w:widowControl/>
              <w:numPr>
                <w:ilvl w:val="0"/>
                <w:numId w:val="0"/>
              </w:numPr>
              <w:suppressLineNumbers w:val="0"/>
              <w:jc w:val="left"/>
              <w:textAlignment w:val="center"/>
              <w:rPr>
                <w:rFonts w:hint="eastAsia"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显示屏采用≥86 英寸，UHD超高清LED显示屏，显示比例16:9；物理分辨率：3840×2160；可视角度≥178</w:t>
            </w:r>
            <w:r>
              <w:rPr>
                <w:rFonts w:hint="eastAsia" w:ascii="宋体" w:hAnsi="宋体" w:eastAsia="宋体" w:cs="宋体"/>
                <w:i w:val="0"/>
                <w:iCs w:val="0"/>
                <w:color w:val="000000"/>
                <w:kern w:val="0"/>
                <w:sz w:val="21"/>
                <w:szCs w:val="21"/>
                <w:highlight w:val="none"/>
                <w:u w:val="none"/>
                <w:lang w:val="en-US" w:eastAsia="zh-CN" w:bidi="ar"/>
              </w:rPr>
              <w:t>°, 屏体亮度≥300cd/㎡,对比度≥4000：</w:t>
            </w:r>
            <w:r>
              <w:rPr>
                <w:rFonts w:hint="eastAsia" w:hAnsi="宋体" w:cs="宋体"/>
                <w:i w:val="0"/>
                <w:iCs w:val="0"/>
                <w:color w:val="000000"/>
                <w:kern w:val="0"/>
                <w:sz w:val="21"/>
                <w:szCs w:val="21"/>
                <w:highlight w:val="none"/>
                <w:u w:val="none"/>
                <w:lang w:val="en-US" w:eastAsia="zh-CN" w:bidi="ar"/>
              </w:rPr>
              <w:t>2</w:t>
            </w:r>
          </w:p>
          <w:p w14:paraId="3BCED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highlight w:val="none"/>
                <w:lang w:val="en-US" w:eastAsia="zh-CN" w:bidi="ar-SA"/>
              </w:rPr>
              <w:t>2.</w:t>
            </w:r>
            <w:r>
              <w:rPr>
                <w:rFonts w:hint="eastAsia"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屏幕色彩覆盖率≥NTSC 72%，屏幕最高灰阶度 ≥128灰阶； 刷新率≥60Hz。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.整机内置一体化≥1300万像素摄像头，</w:t>
            </w:r>
            <w:r>
              <w:rPr>
                <w:rFonts w:hint="eastAsia" w:ascii="宋体" w:hAnsi="宋体" w:eastAsia="宋体" w:cs="宋体"/>
                <w:i w:val="0"/>
                <w:iCs w:val="0"/>
                <w:color w:val="000000"/>
                <w:kern w:val="0"/>
                <w:sz w:val="20"/>
                <w:szCs w:val="20"/>
                <w:highlight w:val="none"/>
                <w:u w:val="none"/>
                <w:lang w:val="en-US" w:eastAsia="zh-CN" w:bidi="ar"/>
              </w:rPr>
              <w:t>支持拍照、录像、远程巡课等应用，拍照支持延时拍照，可分别选择3s、10s进行延时拍照。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.整机内置一体化≥8阵列拾音麦，拾音距离支持≥12M。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w:t>
            </w:r>
            <w:r>
              <w:rPr>
                <w:rFonts w:hint="eastAsia" w:hAnsi="宋体" w:cs="宋体"/>
                <w:i w:val="0"/>
                <w:iCs w:val="0"/>
                <w:color w:val="000000"/>
                <w:kern w:val="0"/>
                <w:sz w:val="20"/>
                <w:szCs w:val="20"/>
                <w:highlight w:val="none"/>
                <w:u w:val="none"/>
                <w:lang w:val="en-US" w:eastAsia="zh-CN" w:bidi="ar"/>
              </w:rPr>
              <w:t>教学一体机</w:t>
            </w:r>
            <w:r>
              <w:rPr>
                <w:rFonts w:hint="eastAsia" w:ascii="宋体" w:hAnsi="宋体" w:eastAsia="宋体" w:cs="宋体"/>
                <w:i w:val="0"/>
                <w:iCs w:val="0"/>
                <w:color w:val="000000"/>
                <w:kern w:val="0"/>
                <w:sz w:val="20"/>
                <w:szCs w:val="20"/>
                <w:highlight w:val="none"/>
                <w:u w:val="none"/>
                <w:lang w:val="en-US" w:eastAsia="zh-CN" w:bidi="ar"/>
              </w:rPr>
              <w:t>前置双音箱环境自适应扩声≥30W。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.整机前置USB接口全部支持在Windows和Android系统下被读取。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.支持内置WiFi上网和建立热点AP，支持2.4G/5G，有效工作距离≥1</w:t>
            </w:r>
            <w:r>
              <w:rPr>
                <w:rFonts w:hint="eastAsia"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.整机支持蓝牙Bluetooth5.0标准。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.OPS接口:整机采用Intel标准接口，支持OPS-C规范。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w:t>
            </w:r>
            <w:r>
              <w:rPr>
                <w:rFonts w:hint="eastAsia" w:hAnsi="宋体" w:cs="宋体"/>
                <w:i w:val="0"/>
                <w:iCs w:val="0"/>
                <w:color w:val="000000"/>
                <w:kern w:val="0"/>
                <w:sz w:val="20"/>
                <w:szCs w:val="20"/>
                <w:highlight w:val="none"/>
                <w:u w:val="none"/>
                <w:lang w:val="en-US" w:eastAsia="zh-CN" w:bidi="ar"/>
              </w:rPr>
              <w:t>0</w:t>
            </w:r>
            <w:r>
              <w:rPr>
                <w:rFonts w:hint="eastAsia" w:ascii="宋体" w:hAnsi="宋体" w:eastAsia="宋体" w:cs="宋体"/>
                <w:i w:val="0"/>
                <w:iCs w:val="0"/>
                <w:color w:val="000000"/>
                <w:kern w:val="0"/>
                <w:sz w:val="20"/>
                <w:szCs w:val="20"/>
                <w:highlight w:val="none"/>
                <w:u w:val="none"/>
                <w:lang w:val="en-US" w:eastAsia="zh-CN" w:bidi="ar"/>
              </w:rPr>
              <w:t>.内置安卓嵌入式系统，不低于Android12.0版本，具备8核CPU。机身内存不低于</w:t>
            </w:r>
            <w:r>
              <w:rPr>
                <w:rFonts w:hint="eastAsia" w:hAnsi="宋体" w:cs="宋体"/>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GROM，运行内存不低于</w:t>
            </w:r>
            <w:r>
              <w:rPr>
                <w:rFonts w:hint="eastAsia"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GRAM。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w:t>
            </w:r>
            <w:r>
              <w:rPr>
                <w:rFonts w:hint="eastAsia"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.在任意通道下可调出触摸中控菜单</w:t>
            </w:r>
            <w:r>
              <w:rPr>
                <w:rFonts w:hint="eastAsia"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提供不少于</w:t>
            </w:r>
            <w:r>
              <w:rPr>
                <w:rFonts w:hint="eastAsia"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个快捷功能；悬浮菜单具有快速批注功能、快速切换到ops系统，可根据需要自定义功能，悬浮菜单中主页且可一键直达安卓主页。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w:t>
            </w:r>
            <w:r>
              <w:rPr>
                <w:rFonts w:hint="eastAsia"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.侧边快捷菜单采用左右双侧边栏虚拟设计，可打开主页、批注、运行列表、子菜单等，支持日历、童锁、计时器、节能等小工具应用，并支持自定义添加。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13</w:t>
            </w:r>
            <w:r>
              <w:rPr>
                <w:rFonts w:hint="eastAsia" w:ascii="宋体" w:hAnsi="宋体" w:eastAsia="宋体" w:cs="宋体"/>
                <w:i w:val="0"/>
                <w:iCs w:val="0"/>
                <w:color w:val="000000"/>
                <w:kern w:val="0"/>
                <w:sz w:val="20"/>
                <w:szCs w:val="20"/>
                <w:highlight w:val="none"/>
                <w:u w:val="none"/>
                <w:lang w:val="en-US" w:eastAsia="zh-CN" w:bidi="ar"/>
              </w:rPr>
              <w:t>.无PC状态下，嵌入式安卓系统下可实现windows系统中常用的应用功能，如白板书写、WPS软件使用、网页浏览。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14</w:t>
            </w:r>
            <w:r>
              <w:rPr>
                <w:rFonts w:hint="eastAsia" w:ascii="宋体" w:hAnsi="宋体" w:eastAsia="宋体" w:cs="宋体"/>
                <w:i w:val="0"/>
                <w:iCs w:val="0"/>
                <w:color w:val="000000"/>
                <w:kern w:val="0"/>
                <w:sz w:val="20"/>
                <w:szCs w:val="20"/>
                <w:highlight w:val="none"/>
                <w:u w:val="none"/>
                <w:lang w:val="en-US" w:eastAsia="zh-CN" w:bidi="ar"/>
              </w:rPr>
              <w:t>.智能温度监控：设备在无PC状态下，可进行温度实时监控，并可通过显示数值颜色进行预警提示、高温断电保护等功能。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hAnsi="宋体" w:cs="宋体"/>
                <w:i w:val="0"/>
                <w:iCs w:val="0"/>
                <w:color w:val="000000"/>
                <w:kern w:val="0"/>
                <w:sz w:val="20"/>
                <w:szCs w:val="20"/>
                <w:highlight w:val="none"/>
                <w:u w:val="none"/>
                <w:lang w:val="en-US" w:eastAsia="zh-CN" w:bidi="ar"/>
              </w:rPr>
              <w:t>15</w:t>
            </w:r>
            <w:r>
              <w:rPr>
                <w:rFonts w:hint="eastAsia" w:ascii="宋体" w:hAnsi="宋体" w:eastAsia="宋体" w:cs="宋体"/>
                <w:i w:val="0"/>
                <w:iCs w:val="0"/>
                <w:color w:val="000000"/>
                <w:kern w:val="0"/>
                <w:sz w:val="20"/>
                <w:szCs w:val="20"/>
                <w:highlight w:val="none"/>
                <w:u w:val="none"/>
                <w:lang w:val="en-US" w:eastAsia="zh-CN" w:bidi="ar"/>
              </w:rPr>
              <w:t>.一键自检和清理缓存：在无PC状态下，可一键清理机体本身系统内容，并可一键硬件自检，对网络、光感、触摸、OPS等模块进行检测。</w:t>
            </w:r>
          </w:p>
        </w:tc>
        <w:tc>
          <w:tcPr>
            <w:tcW w:w="53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C5C6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B86D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D6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46DBC6F">
            <w:pPr>
              <w:jc w:val="center"/>
              <w:rPr>
                <w:rFonts w:hint="eastAsia" w:ascii="宋体" w:hAnsi="宋体" w:eastAsia="宋体" w:cs="宋体"/>
                <w:i w:val="0"/>
                <w:iCs w:val="0"/>
                <w:color w:val="000000"/>
                <w:sz w:val="20"/>
                <w:szCs w:val="20"/>
                <w:u w:val="none"/>
              </w:rPr>
            </w:pPr>
          </w:p>
        </w:tc>
        <w:tc>
          <w:tcPr>
            <w:tcW w:w="102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E580A3E">
            <w:pPr>
              <w:jc w:val="center"/>
              <w:rPr>
                <w:rFonts w:hint="eastAsia" w:ascii="宋体" w:hAnsi="宋体" w:eastAsia="宋体" w:cs="宋体"/>
                <w:i w:val="0"/>
                <w:iCs w:val="0"/>
                <w:color w:val="000000"/>
                <w:sz w:val="20"/>
                <w:szCs w:val="20"/>
                <w:u w:val="none"/>
              </w:rPr>
            </w:pPr>
          </w:p>
        </w:tc>
        <w:tc>
          <w:tcPr>
            <w:tcW w:w="63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283A85A">
            <w:pPr>
              <w:jc w:val="left"/>
              <w:rPr>
                <w:rFonts w:hint="eastAsia" w:ascii="宋体" w:hAnsi="宋体" w:eastAsia="宋体" w:cs="宋体"/>
                <w:i w:val="0"/>
                <w:iCs w:val="0"/>
                <w:color w:val="000000"/>
                <w:sz w:val="20"/>
                <w:szCs w:val="20"/>
                <w:u w:val="none"/>
              </w:rPr>
            </w:pPr>
          </w:p>
        </w:tc>
        <w:tc>
          <w:tcPr>
            <w:tcW w:w="53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F3998E9">
            <w:pPr>
              <w:jc w:val="center"/>
              <w:rPr>
                <w:rFonts w:hint="eastAsia" w:ascii="宋体" w:hAnsi="宋体" w:eastAsia="宋体" w:cs="宋体"/>
                <w:i w:val="0"/>
                <w:iCs w:val="0"/>
                <w:color w:val="000000"/>
                <w:sz w:val="20"/>
                <w:szCs w:val="20"/>
                <w:u w:val="none"/>
              </w:rPr>
            </w:pPr>
          </w:p>
        </w:tc>
        <w:tc>
          <w:tcPr>
            <w:tcW w:w="91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314358F">
            <w:pPr>
              <w:jc w:val="center"/>
              <w:rPr>
                <w:rFonts w:hint="eastAsia" w:ascii="宋体" w:hAnsi="宋体" w:eastAsia="宋体" w:cs="宋体"/>
                <w:i w:val="0"/>
                <w:iCs w:val="0"/>
                <w:color w:val="000000"/>
                <w:sz w:val="20"/>
                <w:szCs w:val="20"/>
                <w:u w:val="none"/>
              </w:rPr>
            </w:pPr>
          </w:p>
        </w:tc>
      </w:tr>
      <w:tr w14:paraId="7A04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9" w:hRule="atLeast"/>
        </w:trPr>
        <w:tc>
          <w:tcPr>
            <w:tcW w:w="55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A3A6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C773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智能课堂行为分析</w:t>
            </w:r>
          </w:p>
        </w:tc>
        <w:tc>
          <w:tcPr>
            <w:tcW w:w="633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D0526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1.兼容对接：</w:t>
            </w:r>
            <w:r>
              <w:rPr>
                <w:rFonts w:hint="eastAsia" w:hAnsi="宋体" w:cs="宋体"/>
                <w:i w:val="0"/>
                <w:iCs w:val="0"/>
                <w:color w:val="000000"/>
                <w:kern w:val="0"/>
                <w:sz w:val="20"/>
                <w:szCs w:val="20"/>
                <w:u w:val="none"/>
                <w:lang w:val="en-US" w:eastAsia="zh-CN" w:bidi="ar"/>
              </w:rPr>
              <w:t>可</w:t>
            </w:r>
            <w:r>
              <w:rPr>
                <w:rFonts w:hint="eastAsia" w:ascii="宋体" w:hAnsi="宋体" w:eastAsia="宋体" w:cs="宋体"/>
                <w:i w:val="0"/>
                <w:iCs w:val="0"/>
                <w:color w:val="000000"/>
                <w:kern w:val="0"/>
                <w:sz w:val="20"/>
                <w:szCs w:val="20"/>
                <w:u w:val="none"/>
                <w:lang w:val="en-US" w:eastAsia="zh-CN" w:bidi="ar"/>
              </w:rPr>
              <w:t>实现录播主机内置的实时课堂行为分析，同时支持与视频资源管理平台无缝对接，将数据通过平台进行展示或主机内部展示两种模式，两种模式均支持下载分析报告；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维分析：支持对课堂数据进行综合多维度的分析，包括“课堂师生行为时序”、“教学行为分析”、“理答分析”、“PPT与板书分析”、“教师讲授分析”、“姿态与情感分析”、“课堂管理分析”、“学生学情分析”等多维度多类型分析数据板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3.实时分析：支持对师生出勤率、教学行为、教师活动轨迹、学生课堂动作表情分析等维度数据进行实时统计分析，并且能在课程录制结束三分钟内将数据整合建模生成分析报告；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4.教学环节识别：要求支持按照教学环节定义将课程视频切片，并且在视频播放进度条上有明显标签显示对应的教学环节；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▲5.编辑教学环节：要求支持用户可以对AI分析生成的教学环节结果自主纠偏，可以依据时间轴自主定义教学环节的时长以及更改教学环节的结论，并支持自主创建教学环节名称；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行为时序播放：支持在课程视频播放进度条显示PPT翻页的具体时间节点，同时将教师行为与学生行为的时序分布依次排列展开，点击时序图上的具体行为节点，视频将自动跳转到对应位置，方便老师快速回顾课堂教学环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二.教师教情分析要求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教师行为分析：支持自动分析并统计老师授课过程中的教学行为，包括但不限于“教师板书”、“教师提问”、“教师追问”、“教师巡视”、“PPT演示”、“操作大屏”、“教师姿态”、“目光注视”、“教师发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▲2.PPT分析：支持教师授课PPT分析，分析每页PPT所用时长以及PPT内的图片与图表页数，并可识别PPT内留给学生课堂任务的数量，分析任务时间占比；</w:t>
            </w:r>
          </w:p>
          <w:p w14:paraId="5CD2C7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▲3.板书分析：支持教师板书分析，判定授课过程中教师板书的规范字、行间距合规程度、板书均衡情况、板书时间的学生抬头率、板书所用颜色；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4.教师巡视：支持分析教师课堂管理能力，统计教师巡视次数与巡视时长，并提供热点图直观查看教师授课轨迹情况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5.目光注视：支持分析教师对学生学习的观察情况，统计分析教师注视学生区域的时间占比情况；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6.S-T分析：支持以图表的形式分析课堂过程中的师生行为，观察教师的课堂环节设计与师生互动情况；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三.学生学情分析要求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学生行为分析：支持自动分析并统计学生课堂过程中的学习行为，包括但不限于“多人站立”、“学生举手”、“学生低头”、“多人抬头”、“学生上台”、“学生应答”、“补充发言”、“课堂氛围”、“学生操作电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2.学情观察统计：支持对学生区域进行预置位划分，统计学生举手次数以及应答次数，上台人数以及趴桌时长；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▲3.个体观察分析：支持对学生区域进行预置位划分，同时在未上传人脸信息的前提下也对每个学生进行编号标记，记录并呈现每个学生具体某个时间点的行为截图；</w:t>
            </w:r>
          </w:p>
          <w:p w14:paraId="2F67C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▲4.学情区域对比：支持针对学生抬头率、学生情绪以及互动情况，选择2个不同的预置位进行听课情况对比，以图表的形式呈现学生的听课情况和次数对比；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5.学生站立分析：以热点图的形式呈现学生站立、学生举手、补充发言的情况与分布，并支持统计站立人数与站立次数，针对学生站立行为支持具体到某个时间以及某位学生；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6.学生专注分析：支持统计在不同场景下学生的抬头率情况，如教师板书时、学生上台时、教师PPT授课时，并呈现不同环节的抬头率比例；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7.课堂氛围分析：支持学生课堂表情分析，并支持对各类表情进行实时检测，统计课堂过程中不同时间点学生开心或平静的表情峰值；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8.学生低头分析：支持整堂课学生的低头时长统计，并支持展示低头时间点的具体截图。</w:t>
            </w:r>
          </w:p>
        </w:tc>
        <w:tc>
          <w:tcPr>
            <w:tcW w:w="53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1997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91BB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8D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8" w:hRule="atLeast"/>
        </w:trPr>
        <w:tc>
          <w:tcPr>
            <w:tcW w:w="5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81F5F41">
            <w:pPr>
              <w:jc w:val="center"/>
              <w:rPr>
                <w:rFonts w:hint="eastAsia" w:ascii="宋体" w:hAnsi="宋体" w:eastAsia="宋体" w:cs="宋体"/>
                <w:i w:val="0"/>
                <w:iCs w:val="0"/>
                <w:color w:val="000000"/>
                <w:sz w:val="20"/>
                <w:szCs w:val="20"/>
                <w:u w:val="none"/>
              </w:rPr>
            </w:pPr>
          </w:p>
        </w:tc>
        <w:tc>
          <w:tcPr>
            <w:tcW w:w="10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7D82E3">
            <w:pPr>
              <w:jc w:val="center"/>
              <w:rPr>
                <w:rFonts w:hint="eastAsia" w:ascii="宋体" w:hAnsi="宋体" w:eastAsia="宋体" w:cs="宋体"/>
                <w:i w:val="0"/>
                <w:iCs w:val="0"/>
                <w:color w:val="000000"/>
                <w:sz w:val="20"/>
                <w:szCs w:val="20"/>
                <w:u w:val="none"/>
              </w:rPr>
            </w:pPr>
          </w:p>
        </w:tc>
        <w:tc>
          <w:tcPr>
            <w:tcW w:w="63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75A58E">
            <w:pPr>
              <w:jc w:val="left"/>
              <w:rPr>
                <w:rFonts w:hint="eastAsia" w:ascii="宋体" w:hAnsi="宋体" w:eastAsia="宋体" w:cs="宋体"/>
                <w:i w:val="0"/>
                <w:iCs w:val="0"/>
                <w:color w:val="000000"/>
                <w:sz w:val="20"/>
                <w:szCs w:val="20"/>
                <w:u w:val="none"/>
              </w:rPr>
            </w:pPr>
          </w:p>
        </w:tc>
        <w:tc>
          <w:tcPr>
            <w:tcW w:w="53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C43F5F4">
            <w:pPr>
              <w:jc w:val="center"/>
              <w:rPr>
                <w:rFonts w:hint="eastAsia" w:ascii="宋体" w:hAnsi="宋体" w:eastAsia="宋体" w:cs="宋体"/>
                <w:i w:val="0"/>
                <w:iCs w:val="0"/>
                <w:color w:val="000000"/>
                <w:sz w:val="20"/>
                <w:szCs w:val="20"/>
                <w:u w:val="none"/>
              </w:rPr>
            </w:pPr>
          </w:p>
        </w:tc>
        <w:tc>
          <w:tcPr>
            <w:tcW w:w="91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D62427D">
            <w:pPr>
              <w:jc w:val="center"/>
              <w:rPr>
                <w:rFonts w:hint="eastAsia" w:ascii="宋体" w:hAnsi="宋体" w:eastAsia="宋体" w:cs="宋体"/>
                <w:i w:val="0"/>
                <w:iCs w:val="0"/>
                <w:color w:val="000000"/>
                <w:sz w:val="20"/>
                <w:szCs w:val="20"/>
                <w:u w:val="none"/>
              </w:rPr>
            </w:pPr>
          </w:p>
        </w:tc>
      </w:tr>
      <w:tr w14:paraId="01CD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1" w:hRule="atLeast"/>
        </w:trPr>
        <w:tc>
          <w:tcPr>
            <w:tcW w:w="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8A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655E9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智能语音分析软件</w:t>
            </w:r>
          </w:p>
        </w:tc>
        <w:tc>
          <w:tcPr>
            <w:tcW w:w="6330" w:type="dxa"/>
            <w:tcBorders>
              <w:top w:val="single" w:color="auto" w:sz="4" w:space="0"/>
              <w:left w:val="single" w:color="auto" w:sz="4" w:space="0"/>
              <w:bottom w:val="single" w:color="auto" w:sz="4" w:space="0"/>
              <w:right w:val="single" w:color="auto" w:sz="4" w:space="0"/>
            </w:tcBorders>
            <w:shd w:val="clear" w:color="auto" w:fill="auto"/>
            <w:vAlign w:val="center"/>
          </w:tcPr>
          <w:p w14:paraId="1A05B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1.教师提问情况分析：支持基于课堂语音识别能力进行教师课堂提问行为分析，从提问次数与高级认知提问比例两个核心维度进行数据统计，实现课堂提问情况的清晰回顾。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2.教师语速分析：支持通过语音识别能力进行教师课堂授课语速分析，呈现数据需包括整体语速的变化图以及平均语速结论；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3.课堂语音转写：</w:t>
            </w:r>
            <w:r>
              <w:rPr>
                <w:rFonts w:hint="eastAsia"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基于语音语义识别完成课堂音频的文字转换，实现课堂教学过程语音全纪录，要求平台上可输出整节课的文字字幕。并支持由上课老师课后自主编辑转写文本实现纠偏；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4.课堂高频词分析：支持通过AI语音识别能力以及视觉分析能力，抓取授课过程中出现的高频词汇，并统计出现频次以及出现来源，包括但不限于PPT、板书、教师音频，精准判断课堂教学重点；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5.课堂语气词分析：支持通过进行课堂语音识别，判断老师教学过程中出现的常规语气词出现频次，如“呐”，“嘛”，等语气词，辅助老师调整教学过程中的不良习惯；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6.教师普通话分析：支持对教师授课音频进行自适应分段，并分析每个段落教师授课过程中的普通话水平、语速、音量以及关键词；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7.教师音量分析：支持分析本堂课教师平均的授课音量，以及根据时间推移呈现音量波动的变化图表；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8.理答类型分析：支持对教师课堂理答情况进行分析，支持统计教师提问次数、抽答次数、追问次数，并可以获取每个问题以时间轴的形式记录在什么时间提问；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9.教师追问分析：支持分析教师追问类型与次数，并标记具体在第几次提问时发起追问，对追问内容分析是否对学生有诱发思考的作用并统计次数；</w:t>
            </w:r>
          </w:p>
        </w:tc>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D2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09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10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553" w:type="dxa"/>
            <w:tcBorders>
              <w:top w:val="single" w:color="auto" w:sz="4" w:space="0"/>
              <w:left w:val="single" w:color="000000" w:sz="4" w:space="0"/>
              <w:bottom w:val="nil"/>
              <w:right w:val="single" w:color="000000" w:sz="4" w:space="0"/>
            </w:tcBorders>
            <w:shd w:val="clear" w:color="auto" w:fill="auto"/>
            <w:noWrap/>
            <w:vAlign w:val="center"/>
          </w:tcPr>
          <w:p w14:paraId="49187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1" w:type="dxa"/>
            <w:tcBorders>
              <w:top w:val="single" w:color="auto" w:sz="4" w:space="0"/>
              <w:left w:val="single" w:color="000000" w:sz="4" w:space="0"/>
              <w:bottom w:val="nil"/>
              <w:right w:val="single" w:color="000000" w:sz="4" w:space="0"/>
            </w:tcBorders>
            <w:shd w:val="clear" w:color="auto" w:fill="auto"/>
            <w:vAlign w:val="center"/>
          </w:tcPr>
          <w:p w14:paraId="073AC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w:t>
            </w:r>
          </w:p>
        </w:tc>
        <w:tc>
          <w:tcPr>
            <w:tcW w:w="6330" w:type="dxa"/>
            <w:tcBorders>
              <w:top w:val="single" w:color="auto" w:sz="4" w:space="0"/>
              <w:left w:val="single" w:color="000000" w:sz="4" w:space="0"/>
              <w:bottom w:val="nil"/>
              <w:right w:val="single" w:color="000000" w:sz="4" w:space="0"/>
            </w:tcBorders>
            <w:shd w:val="clear" w:color="auto" w:fill="auto"/>
            <w:noWrap/>
            <w:vAlign w:val="center"/>
          </w:tcPr>
          <w:p w14:paraId="318C7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24口全千兆</w:t>
            </w:r>
          </w:p>
        </w:tc>
        <w:tc>
          <w:tcPr>
            <w:tcW w:w="538" w:type="dxa"/>
            <w:tcBorders>
              <w:top w:val="single" w:color="auto" w:sz="4" w:space="0"/>
              <w:left w:val="single" w:color="000000" w:sz="4" w:space="0"/>
              <w:bottom w:val="nil"/>
              <w:right w:val="single" w:color="000000" w:sz="4" w:space="0"/>
            </w:tcBorders>
            <w:shd w:val="clear" w:color="auto" w:fill="auto"/>
            <w:vAlign w:val="center"/>
          </w:tcPr>
          <w:p w14:paraId="45EAD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auto" w:sz="4" w:space="0"/>
              <w:left w:val="single" w:color="000000" w:sz="4" w:space="0"/>
              <w:bottom w:val="nil"/>
              <w:right w:val="single" w:color="000000" w:sz="4" w:space="0"/>
            </w:tcBorders>
            <w:shd w:val="clear" w:color="auto" w:fill="auto"/>
            <w:noWrap/>
            <w:vAlign w:val="center"/>
          </w:tcPr>
          <w:p w14:paraId="34120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CF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53" w:type="dxa"/>
            <w:tcBorders>
              <w:top w:val="single" w:color="000000" w:sz="4" w:space="0"/>
              <w:left w:val="single" w:color="000000" w:sz="4" w:space="0"/>
              <w:bottom w:val="nil"/>
              <w:right w:val="single" w:color="000000" w:sz="4" w:space="0"/>
            </w:tcBorders>
            <w:shd w:val="clear" w:color="auto" w:fill="auto"/>
            <w:noWrap/>
            <w:vAlign w:val="center"/>
          </w:tcPr>
          <w:p w14:paraId="1872F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1" w:type="dxa"/>
            <w:tcBorders>
              <w:top w:val="single" w:color="000000" w:sz="4" w:space="0"/>
              <w:left w:val="single" w:color="000000" w:sz="4" w:space="0"/>
              <w:bottom w:val="nil"/>
              <w:right w:val="single" w:color="000000" w:sz="4" w:space="0"/>
            </w:tcBorders>
            <w:shd w:val="clear" w:color="auto" w:fill="auto"/>
            <w:vAlign w:val="center"/>
          </w:tcPr>
          <w:p w14:paraId="5262F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6330" w:type="dxa"/>
            <w:tcBorders>
              <w:top w:val="single" w:color="000000" w:sz="4" w:space="0"/>
              <w:left w:val="single" w:color="000000" w:sz="4" w:space="0"/>
              <w:bottom w:val="nil"/>
              <w:right w:val="single" w:color="000000" w:sz="4" w:space="0"/>
            </w:tcBorders>
            <w:shd w:val="clear" w:color="auto" w:fill="auto"/>
            <w:noWrap/>
            <w:vAlign w:val="center"/>
          </w:tcPr>
          <w:p w14:paraId="38659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19英寸/22U</w:t>
            </w:r>
          </w:p>
        </w:tc>
        <w:tc>
          <w:tcPr>
            <w:tcW w:w="538" w:type="dxa"/>
            <w:tcBorders>
              <w:top w:val="single" w:color="000000" w:sz="4" w:space="0"/>
              <w:left w:val="single" w:color="000000" w:sz="4" w:space="0"/>
              <w:bottom w:val="nil"/>
              <w:right w:val="single" w:color="000000" w:sz="4" w:space="0"/>
            </w:tcBorders>
            <w:shd w:val="clear" w:color="auto" w:fill="auto"/>
            <w:vAlign w:val="center"/>
          </w:tcPr>
          <w:p w14:paraId="617A5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1F42D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F4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53" w:type="dxa"/>
            <w:tcBorders>
              <w:top w:val="single" w:color="000000" w:sz="4" w:space="0"/>
              <w:left w:val="single" w:color="000000" w:sz="4" w:space="0"/>
              <w:bottom w:val="nil"/>
              <w:right w:val="single" w:color="000000" w:sz="4" w:space="0"/>
            </w:tcBorders>
            <w:shd w:val="clear" w:color="auto" w:fill="auto"/>
            <w:noWrap/>
            <w:vAlign w:val="center"/>
          </w:tcPr>
          <w:p w14:paraId="56563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1" w:type="dxa"/>
            <w:tcBorders>
              <w:top w:val="single" w:color="000000" w:sz="4" w:space="0"/>
              <w:left w:val="single" w:color="000000" w:sz="4" w:space="0"/>
              <w:bottom w:val="nil"/>
              <w:right w:val="single" w:color="000000" w:sz="4" w:space="0"/>
            </w:tcBorders>
            <w:shd w:val="clear" w:color="auto" w:fill="auto"/>
            <w:vAlign w:val="center"/>
          </w:tcPr>
          <w:p w14:paraId="0EC19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预监电视</w:t>
            </w:r>
          </w:p>
        </w:tc>
        <w:tc>
          <w:tcPr>
            <w:tcW w:w="6330" w:type="dxa"/>
            <w:tcBorders>
              <w:top w:val="single" w:color="000000" w:sz="4" w:space="0"/>
              <w:left w:val="single" w:color="000000" w:sz="4" w:space="0"/>
              <w:bottom w:val="nil"/>
              <w:right w:val="single" w:color="000000" w:sz="4" w:space="0"/>
            </w:tcBorders>
            <w:shd w:val="clear" w:color="auto" w:fill="auto"/>
            <w:noWrap/>
            <w:vAlign w:val="center"/>
          </w:tcPr>
          <w:p w14:paraId="06087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45英寸以上侧墙或观摩室安装预监电视</w:t>
            </w:r>
          </w:p>
        </w:tc>
        <w:tc>
          <w:tcPr>
            <w:tcW w:w="538" w:type="dxa"/>
            <w:tcBorders>
              <w:top w:val="single" w:color="000000" w:sz="4" w:space="0"/>
              <w:left w:val="single" w:color="000000" w:sz="4" w:space="0"/>
              <w:bottom w:val="nil"/>
              <w:right w:val="single" w:color="000000" w:sz="4" w:space="0"/>
            </w:tcBorders>
            <w:shd w:val="clear" w:color="auto" w:fill="auto"/>
            <w:vAlign w:val="center"/>
          </w:tcPr>
          <w:p w14:paraId="2DAA9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39153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04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53" w:type="dxa"/>
            <w:tcBorders>
              <w:top w:val="single" w:color="000000" w:sz="4" w:space="0"/>
              <w:left w:val="single" w:color="000000" w:sz="4" w:space="0"/>
              <w:bottom w:val="nil"/>
              <w:right w:val="single" w:color="000000" w:sz="4" w:space="0"/>
            </w:tcBorders>
            <w:shd w:val="clear" w:color="auto" w:fill="auto"/>
            <w:noWrap/>
            <w:vAlign w:val="center"/>
          </w:tcPr>
          <w:p w14:paraId="2D97C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1" w:type="dxa"/>
            <w:tcBorders>
              <w:top w:val="single" w:color="000000" w:sz="4" w:space="0"/>
              <w:left w:val="single" w:color="000000" w:sz="4" w:space="0"/>
              <w:bottom w:val="nil"/>
              <w:right w:val="single" w:color="000000" w:sz="4" w:space="0"/>
            </w:tcBorders>
            <w:shd w:val="clear" w:color="auto" w:fill="auto"/>
            <w:vAlign w:val="center"/>
          </w:tcPr>
          <w:p w14:paraId="35C8E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导播电脑</w:t>
            </w:r>
          </w:p>
        </w:tc>
        <w:tc>
          <w:tcPr>
            <w:tcW w:w="6330" w:type="dxa"/>
            <w:tcBorders>
              <w:top w:val="single" w:color="000000" w:sz="4" w:space="0"/>
              <w:left w:val="single" w:color="000000" w:sz="4" w:space="0"/>
              <w:bottom w:val="nil"/>
              <w:right w:val="single" w:color="000000" w:sz="4" w:space="0"/>
            </w:tcBorders>
            <w:shd w:val="clear" w:color="auto" w:fill="auto"/>
            <w:vAlign w:val="center"/>
          </w:tcPr>
          <w:p w14:paraId="4ED33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CPU：国产化处理器，≥8G内存，≥</w:t>
            </w:r>
            <w:r>
              <w:rPr>
                <w:rFonts w:hint="eastAsia" w:hAnsi="宋体" w:cs="宋体"/>
                <w:i w:val="0"/>
                <w:iCs w:val="0"/>
                <w:color w:val="000000"/>
                <w:kern w:val="0"/>
                <w:sz w:val="20"/>
                <w:szCs w:val="20"/>
                <w:u w:val="none"/>
                <w:lang w:val="en-US" w:eastAsia="zh-CN" w:bidi="ar"/>
              </w:rPr>
              <w:t>256</w:t>
            </w:r>
            <w:r>
              <w:rPr>
                <w:rFonts w:hint="eastAsia" w:ascii="宋体" w:hAnsi="宋体" w:eastAsia="宋体" w:cs="宋体"/>
                <w:i w:val="0"/>
                <w:iCs w:val="0"/>
                <w:color w:val="000000"/>
                <w:kern w:val="0"/>
                <w:sz w:val="20"/>
                <w:szCs w:val="20"/>
                <w:u w:val="none"/>
                <w:lang w:val="en-US" w:eastAsia="zh-CN" w:bidi="ar"/>
              </w:rPr>
              <w:t>G硬盘，含显示器，键鼠套装</w:t>
            </w:r>
          </w:p>
        </w:tc>
        <w:tc>
          <w:tcPr>
            <w:tcW w:w="538" w:type="dxa"/>
            <w:tcBorders>
              <w:top w:val="single" w:color="000000" w:sz="4" w:space="0"/>
              <w:left w:val="single" w:color="000000" w:sz="4" w:space="0"/>
              <w:bottom w:val="nil"/>
              <w:right w:val="single" w:color="000000" w:sz="4" w:space="0"/>
            </w:tcBorders>
            <w:shd w:val="clear" w:color="auto" w:fill="auto"/>
            <w:vAlign w:val="center"/>
          </w:tcPr>
          <w:p w14:paraId="7E73B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24697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F4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553" w:type="dxa"/>
            <w:tcBorders>
              <w:top w:val="single" w:color="000000" w:sz="4" w:space="0"/>
              <w:left w:val="single" w:color="000000" w:sz="4" w:space="0"/>
              <w:bottom w:val="nil"/>
              <w:right w:val="single" w:color="000000" w:sz="4" w:space="0"/>
            </w:tcBorders>
            <w:shd w:val="clear" w:color="auto" w:fill="auto"/>
            <w:noWrap/>
            <w:vAlign w:val="center"/>
          </w:tcPr>
          <w:p w14:paraId="4D938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1" w:type="dxa"/>
            <w:tcBorders>
              <w:top w:val="single" w:color="000000" w:sz="4" w:space="0"/>
              <w:left w:val="single" w:color="000000" w:sz="4" w:space="0"/>
              <w:bottom w:val="nil"/>
              <w:right w:val="single" w:color="000000" w:sz="4" w:space="0"/>
            </w:tcBorders>
            <w:shd w:val="clear" w:color="auto" w:fill="auto"/>
            <w:vAlign w:val="center"/>
          </w:tcPr>
          <w:p w14:paraId="0BD59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中控室监听音箱</w:t>
            </w:r>
          </w:p>
        </w:tc>
        <w:tc>
          <w:tcPr>
            <w:tcW w:w="6330" w:type="dxa"/>
            <w:tcBorders>
              <w:top w:val="single" w:color="000000" w:sz="4" w:space="0"/>
              <w:left w:val="single" w:color="000000" w:sz="4" w:space="0"/>
              <w:bottom w:val="nil"/>
              <w:right w:val="single" w:color="000000" w:sz="4" w:space="0"/>
            </w:tcBorders>
            <w:shd w:val="clear" w:color="auto" w:fill="auto"/>
            <w:vAlign w:val="top"/>
          </w:tcPr>
          <w:p w14:paraId="32101DB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驱动器:5寸全频 驱动器 频率响应:线路输入20Hz-20KHz;话筒60Hz-18KHz话筒音调控制:高音 3KHz±12dB  低音 100Hz±12dB额定输入电平:话筒,20mV（非平衡） 线路:300mV失真度:≤0.5%信噪比: ≥76dB(A计权)输出功率: 2×40W 喇叭:5寸同轴全频单元最大消耗功率:100W电源:交流220V±10％ /50Hz</w:t>
            </w:r>
          </w:p>
        </w:tc>
        <w:tc>
          <w:tcPr>
            <w:tcW w:w="538" w:type="dxa"/>
            <w:tcBorders>
              <w:top w:val="single" w:color="000000" w:sz="4" w:space="0"/>
              <w:left w:val="single" w:color="000000" w:sz="4" w:space="0"/>
              <w:bottom w:val="nil"/>
              <w:right w:val="single" w:color="000000" w:sz="4" w:space="0"/>
            </w:tcBorders>
            <w:shd w:val="clear" w:color="auto" w:fill="auto"/>
            <w:vAlign w:val="center"/>
          </w:tcPr>
          <w:p w14:paraId="3D4B9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27E78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F9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553" w:type="dxa"/>
            <w:tcBorders>
              <w:top w:val="single" w:color="000000" w:sz="4" w:space="0"/>
              <w:left w:val="single" w:color="000000" w:sz="4" w:space="0"/>
              <w:bottom w:val="nil"/>
              <w:right w:val="single" w:color="000000" w:sz="4" w:space="0"/>
            </w:tcBorders>
            <w:shd w:val="clear" w:color="auto" w:fill="auto"/>
            <w:noWrap/>
            <w:vAlign w:val="center"/>
          </w:tcPr>
          <w:p w14:paraId="16D80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21" w:type="dxa"/>
            <w:tcBorders>
              <w:top w:val="single" w:color="000000" w:sz="4" w:space="0"/>
              <w:left w:val="single" w:color="000000" w:sz="4" w:space="0"/>
              <w:bottom w:val="nil"/>
              <w:right w:val="single" w:color="000000" w:sz="4" w:space="0"/>
            </w:tcBorders>
            <w:shd w:val="clear" w:color="auto" w:fill="auto"/>
            <w:vAlign w:val="center"/>
          </w:tcPr>
          <w:p w14:paraId="24500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6330" w:type="dxa"/>
            <w:tcBorders>
              <w:top w:val="single" w:color="000000" w:sz="4" w:space="0"/>
              <w:left w:val="single" w:color="000000" w:sz="4" w:space="0"/>
              <w:bottom w:val="nil"/>
              <w:right w:val="single" w:color="000000" w:sz="4" w:space="0"/>
            </w:tcBorders>
            <w:shd w:val="clear" w:color="auto" w:fill="auto"/>
            <w:vAlign w:val="center"/>
          </w:tcPr>
          <w:p w14:paraId="403B2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包含设备的安装、调试、测试及所有线缆辅材、插线板、分配器等</w:t>
            </w:r>
          </w:p>
        </w:tc>
        <w:tc>
          <w:tcPr>
            <w:tcW w:w="538" w:type="dxa"/>
            <w:tcBorders>
              <w:top w:val="single" w:color="000000" w:sz="4" w:space="0"/>
              <w:left w:val="single" w:color="000000" w:sz="4" w:space="0"/>
              <w:bottom w:val="nil"/>
              <w:right w:val="single" w:color="000000" w:sz="4" w:space="0"/>
            </w:tcBorders>
            <w:shd w:val="clear" w:color="auto" w:fill="auto"/>
            <w:vAlign w:val="center"/>
          </w:tcPr>
          <w:p w14:paraId="72074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4226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CF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3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2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六、装修</w:t>
            </w:r>
          </w:p>
        </w:tc>
      </w:tr>
      <w:tr w14:paraId="50EF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A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5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录播教室定制大门</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7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[项目特征]</w:t>
            </w:r>
          </w:p>
          <w:p w14:paraId="5B9AA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1.尺寸:2000mm*2500mm</w:t>
            </w:r>
          </w:p>
          <w:p w14:paraId="3A3E2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2.1.环保板材，实木门芯。</w:t>
            </w:r>
          </w:p>
          <w:p w14:paraId="34402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2.防潮平衡膜</w:t>
            </w:r>
            <w:r>
              <w:rPr>
                <w:rFonts w:hint="eastAsia"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耐磨· 耐热· 耐撞击· 耐酸碱。</w:t>
            </w:r>
          </w:p>
          <w:p w14:paraId="1B576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3.四面封边，六面封漆，防潮美观，不脱漆；耐磨</w:t>
            </w:r>
            <w:r>
              <w:rPr>
                <w:rFonts w:hint="eastAsia" w:hAnsi="宋体" w:cs="宋体"/>
                <w:i w:val="0"/>
                <w:iCs w:val="0"/>
                <w:color w:val="000000"/>
                <w:sz w:val="20"/>
                <w:szCs w:val="20"/>
                <w:u w:val="none"/>
                <w:lang w:val="en-US" w:eastAsia="zh-CN"/>
              </w:rPr>
              <w:t>抗</w:t>
            </w:r>
            <w:r>
              <w:rPr>
                <w:rFonts w:hint="eastAsia" w:ascii="宋体" w:hAnsi="宋体" w:eastAsia="宋体" w:cs="宋体"/>
                <w:i w:val="0"/>
                <w:iCs w:val="0"/>
                <w:color w:val="000000"/>
                <w:sz w:val="20"/>
                <w:szCs w:val="20"/>
                <w:u w:val="none"/>
              </w:rPr>
              <w:t>氧化。</w:t>
            </w:r>
          </w:p>
          <w:p w14:paraId="0A088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4.静音降噪，采用磁吸开合原理，减轻锁舌和门框的碰撞，内外九层阻音。</w:t>
            </w:r>
          </w:p>
          <w:p w14:paraId="4807F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[工作内容]</w:t>
            </w:r>
          </w:p>
          <w:p w14:paraId="2A4D5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1.门制作、运输、安装</w:t>
            </w:r>
          </w:p>
          <w:p w14:paraId="49C76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2.五金、玻璃安装</w:t>
            </w:r>
          </w:p>
          <w:p w14:paraId="77E5A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3.刷防护材料、油漆</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8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8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B9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1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C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断桥铝窗</w:t>
            </w:r>
          </w:p>
        </w:tc>
        <w:tc>
          <w:tcPr>
            <w:tcW w:w="6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D5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[项目特征]</w:t>
            </w:r>
          </w:p>
          <w:p w14:paraId="4A565E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1.尺寸:1700mm*1700mm</w:t>
            </w:r>
          </w:p>
          <w:p w14:paraId="403DED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2.定制断桥铝。一体式焊接等压胶条，断桥型材，高低轨设计，隐藏式排水，框包扇结构</w:t>
            </w:r>
          </w:p>
          <w:p w14:paraId="4D2ABB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p>
          <w:p w14:paraId="24D88F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1.窗制作、运输、安装</w:t>
            </w:r>
          </w:p>
          <w:p w14:paraId="2337A2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2.五金、玻璃安装</w:t>
            </w:r>
          </w:p>
          <w:p w14:paraId="7DDFB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3.刷防护材料、油漆</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C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2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591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3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2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62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[项目特征]</w:t>
            </w:r>
          </w:p>
          <w:p w14:paraId="0E45C0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1.吊顶龙骨:规划好吊筋距离，按照要求算好距地面高度一般高度为3.1米-2.8米最佳，吊筋固定好后安装38主骨，安装付骨</w:t>
            </w:r>
          </w:p>
          <w:p w14:paraId="344893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2.吊顶:吊顶矿棉板 天花板选用600*600的矿棉板或聚酯纤维吸引板材</w:t>
            </w:r>
          </w:p>
          <w:p w14:paraId="7C3C32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p>
          <w:p w14:paraId="38A1D7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1.基层清理</w:t>
            </w:r>
          </w:p>
          <w:p w14:paraId="58A4E2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2.龙骨安装</w:t>
            </w:r>
          </w:p>
          <w:p w14:paraId="7DEF49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3.基层板铺贴</w:t>
            </w:r>
          </w:p>
          <w:p w14:paraId="5FD5BF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4.面层铺贴</w:t>
            </w:r>
          </w:p>
          <w:p w14:paraId="58CC3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5.嵌缝</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D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8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663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9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D7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[项目特征]</w:t>
            </w:r>
          </w:p>
          <w:p w14:paraId="0CFD0A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1.采用LED正白灯,保证充足照明和完美的视频拍摄效果。讲台要增加教师LED正白灯补光。</w:t>
            </w:r>
          </w:p>
          <w:p w14:paraId="00387F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p>
          <w:p w14:paraId="0B7CC7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1.支架制作、安装</w:t>
            </w:r>
          </w:p>
          <w:p w14:paraId="459D8C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2.组装</w:t>
            </w:r>
          </w:p>
          <w:p w14:paraId="2E31D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3.油漆</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A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4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AF6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3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6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p>
        </w:tc>
        <w:tc>
          <w:tcPr>
            <w:tcW w:w="6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1C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[项目特征]</w:t>
            </w:r>
          </w:p>
          <w:p w14:paraId="0DB7F79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龙骨:用木龙骨间隔40公分进行打底。</w:t>
            </w:r>
          </w:p>
          <w:p w14:paraId="3EAC906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2.墙板:100%的聚酯纤维。</w:t>
            </w:r>
          </w:p>
          <w:p w14:paraId="4623EAC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3.教室四周墙壁使用阻燃聚酯纤维吸音板材装修或条形木制微孔吸音板材装修</w:t>
            </w:r>
          </w:p>
          <w:p w14:paraId="2DE743F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p>
          <w:p w14:paraId="0C309E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1.基层清理</w:t>
            </w:r>
          </w:p>
          <w:p w14:paraId="4897BB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2.龙骨制作、运输、安装</w:t>
            </w:r>
          </w:p>
          <w:p w14:paraId="0993D83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3.钉隔离层</w:t>
            </w:r>
          </w:p>
          <w:p w14:paraId="0FE3BF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4.基层铺钉</w:t>
            </w:r>
          </w:p>
          <w:p w14:paraId="09BEA59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5.面层铺贴</w:t>
            </w:r>
          </w:p>
          <w:p w14:paraId="7CACB0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6.刷防护材料、油漆</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C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A35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w:t>
            </w:r>
          </w:p>
        </w:tc>
      </w:tr>
      <w:tr w14:paraId="7586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F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9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橡胶卷材楼地面</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F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[项目特征]</w:t>
            </w:r>
          </w:p>
          <w:p w14:paraId="26CE1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1.用专用自流平水泥做自流平</w:t>
            </w:r>
          </w:p>
          <w:p w14:paraId="304D6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2.面层:使用品牌塑胶地板</w:t>
            </w:r>
          </w:p>
          <w:p w14:paraId="4B11B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[工作内容]</w:t>
            </w:r>
          </w:p>
          <w:p w14:paraId="15788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1.基层清理、抹找平层</w:t>
            </w:r>
          </w:p>
          <w:p w14:paraId="119D7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2.铺设填充层</w:t>
            </w:r>
          </w:p>
          <w:p w14:paraId="14D97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3.面层铺贴</w:t>
            </w:r>
          </w:p>
          <w:p w14:paraId="57C46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4.压缝条装钉</w:t>
            </w:r>
          </w:p>
          <w:p w14:paraId="76346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5.材料运输</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9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4CE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14:paraId="7200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8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A20B">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6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C3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[项目特征]</w:t>
            </w:r>
          </w:p>
          <w:p w14:paraId="3CF629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1.定制窗帘</w:t>
            </w:r>
          </w:p>
          <w:p w14:paraId="52620A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p>
          <w:p w14:paraId="7E5CD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1.成品采购、安装</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7447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4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4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定制隔断</w:t>
            </w:r>
          </w:p>
        </w:tc>
        <w:tc>
          <w:tcPr>
            <w:tcW w:w="6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9A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[项目特征]</w:t>
            </w:r>
          </w:p>
          <w:p w14:paraId="52E3C4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1.安装观察窗玻璃，贴单透膜达到单效果</w:t>
            </w:r>
          </w:p>
          <w:p w14:paraId="0F7E8A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p>
          <w:p w14:paraId="0D7266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1.骨架及边框制作、运输、安装</w:t>
            </w:r>
          </w:p>
          <w:p w14:paraId="361E00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2.隔板制作、运输、安装</w:t>
            </w:r>
          </w:p>
          <w:p w14:paraId="18B85C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3.嵌缝、塞口</w:t>
            </w:r>
          </w:p>
          <w:p w14:paraId="1A710D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4.装钉压条</w:t>
            </w:r>
          </w:p>
          <w:p w14:paraId="6DF8E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5.刷防护材料、油漆</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A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02E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r>
    </w:tbl>
    <w:p w14:paraId="256FF66E">
      <w:pPr>
        <w:numPr>
          <w:ilvl w:val="0"/>
          <w:numId w:val="0"/>
        </w:numPr>
        <w:spacing w:line="360" w:lineRule="auto"/>
        <w:ind w:leftChars="0"/>
        <w:rPr>
          <w:sz w:val="24"/>
          <w:szCs w:val="24"/>
          <w:highlight w:val="none"/>
        </w:rPr>
      </w:pPr>
    </w:p>
    <w:p w14:paraId="097D1FE4">
      <w:pPr>
        <w:numPr>
          <w:ilvl w:val="0"/>
          <w:numId w:val="6"/>
        </w:numPr>
        <w:rPr>
          <w:rFonts w:hAnsi="宋体" w:cs="宋体"/>
          <w:sz w:val="36"/>
          <w:szCs w:val="36"/>
          <w:highlight w:val="none"/>
        </w:rPr>
      </w:pPr>
      <w:r>
        <w:rPr>
          <w:rFonts w:hint="eastAsia" w:hAnsi="宋体" w:cs="宋体"/>
          <w:sz w:val="36"/>
          <w:szCs w:val="36"/>
          <w:highlight w:val="none"/>
        </w:rPr>
        <w:br w:type="page"/>
      </w:r>
    </w:p>
    <w:p w14:paraId="51E5A3A8">
      <w:pPr>
        <w:pStyle w:val="2"/>
        <w:jc w:val="center"/>
        <w:rPr>
          <w:highlight w:val="none"/>
        </w:rPr>
      </w:pPr>
      <w:r>
        <w:rPr>
          <w:rFonts w:hint="eastAsia" w:ascii="宋体" w:eastAsia="宋体" w:cs="宋体"/>
          <w:sz w:val="36"/>
          <w:szCs w:val="36"/>
          <w:highlight w:val="none"/>
        </w:rPr>
        <w:t>第五章  评标方法</w:t>
      </w:r>
      <w:bookmarkEnd w:id="89"/>
    </w:p>
    <w:p w14:paraId="09E07385">
      <w:pPr>
        <w:spacing w:line="360" w:lineRule="auto"/>
        <w:rPr>
          <w:rFonts w:hAnsi="宋体" w:cs="宋体"/>
          <w:b/>
          <w:sz w:val="28"/>
          <w:szCs w:val="28"/>
          <w:highlight w:val="none"/>
        </w:rPr>
      </w:pPr>
      <w:bookmarkStart w:id="96" w:name="_Toc363463332"/>
      <w:r>
        <w:rPr>
          <w:rFonts w:hint="eastAsia" w:hAnsi="宋体" w:cs="宋体"/>
          <w:b/>
          <w:sz w:val="28"/>
          <w:szCs w:val="28"/>
          <w:highlight w:val="none"/>
        </w:rPr>
        <w:t>一、评标方法</w:t>
      </w:r>
      <w:bookmarkEnd w:id="96"/>
    </w:p>
    <w:p w14:paraId="42BE05FB">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按照</w:t>
      </w:r>
      <w:r>
        <w:rPr>
          <w:rFonts w:hint="eastAsia" w:hAnsi="宋体" w:cs="宋体"/>
          <w:szCs w:val="24"/>
          <w:highlight w:val="none"/>
        </w:rPr>
        <w:t>《中华人民共和国政府采购法》及实施条例和</w:t>
      </w:r>
      <w:r>
        <w:rPr>
          <w:rFonts w:hint="eastAsia" w:hAnsi="宋体" w:cs="宋体"/>
          <w:spacing w:val="4"/>
          <w:szCs w:val="24"/>
          <w:highlight w:val="none"/>
        </w:rPr>
        <w:t>中华人民共和国财政部令第87号--《政府采购货物和服务招标投标管理办法》的规定，本次评标采用</w:t>
      </w:r>
      <w:r>
        <w:rPr>
          <w:rFonts w:hint="eastAsia" w:hAnsi="宋体" w:cs="宋体"/>
          <w:b/>
          <w:spacing w:val="4"/>
          <w:szCs w:val="24"/>
          <w:highlight w:val="none"/>
        </w:rPr>
        <w:t>综合评分法</w:t>
      </w:r>
      <w:r>
        <w:rPr>
          <w:rFonts w:hint="eastAsia" w:hAnsi="宋体" w:cs="宋体"/>
          <w:spacing w:val="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14:paraId="5FDD5056">
      <w:pPr>
        <w:spacing w:line="360" w:lineRule="auto"/>
        <w:rPr>
          <w:rFonts w:hAnsi="宋体" w:cs="宋体"/>
          <w:b/>
          <w:sz w:val="28"/>
          <w:szCs w:val="28"/>
          <w:highlight w:val="none"/>
        </w:rPr>
      </w:pPr>
      <w:r>
        <w:rPr>
          <w:rFonts w:hint="eastAsia" w:hAnsi="宋体" w:cs="宋体"/>
          <w:b/>
          <w:sz w:val="28"/>
          <w:szCs w:val="28"/>
          <w:highlight w:val="none"/>
        </w:rPr>
        <w:t>二、评审标准</w:t>
      </w:r>
    </w:p>
    <w:p w14:paraId="12B82DAA">
      <w:pPr>
        <w:tabs>
          <w:tab w:val="left" w:pos="0"/>
        </w:tabs>
        <w:adjustRightInd w:val="0"/>
        <w:snapToGrid w:val="0"/>
        <w:spacing w:line="360" w:lineRule="auto"/>
        <w:ind w:firstLine="472" w:firstLineChars="196"/>
        <w:rPr>
          <w:rFonts w:hAnsi="宋体" w:cs="宋体"/>
          <w:b/>
          <w:szCs w:val="24"/>
          <w:highlight w:val="none"/>
        </w:rPr>
      </w:pPr>
      <w:r>
        <w:rPr>
          <w:rFonts w:hint="eastAsia" w:hAnsi="宋体" w:cs="宋体"/>
          <w:b/>
          <w:szCs w:val="24"/>
          <w:highlight w:val="none"/>
        </w:rPr>
        <w:t>2.1初步评审标准</w:t>
      </w:r>
    </w:p>
    <w:p w14:paraId="68EA51E3">
      <w:pPr>
        <w:tabs>
          <w:tab w:val="left" w:pos="0"/>
        </w:tabs>
        <w:adjustRightInd w:val="0"/>
        <w:snapToGrid w:val="0"/>
        <w:spacing w:line="360" w:lineRule="auto"/>
        <w:ind w:firstLine="470" w:firstLineChars="196"/>
        <w:rPr>
          <w:rFonts w:hAnsi="宋体" w:cs="宋体"/>
          <w:szCs w:val="24"/>
          <w:highlight w:val="none"/>
        </w:rPr>
      </w:pPr>
      <w:r>
        <w:rPr>
          <w:rFonts w:hint="eastAsia" w:hAnsi="宋体" w:cs="宋体"/>
          <w:szCs w:val="24"/>
          <w:highlight w:val="none"/>
        </w:rPr>
        <w:t>2.1.1资格性审查标准：见附件1初步审查要素表。</w:t>
      </w:r>
    </w:p>
    <w:p w14:paraId="7C82667C">
      <w:pPr>
        <w:tabs>
          <w:tab w:val="left" w:pos="0"/>
        </w:tabs>
        <w:adjustRightInd w:val="0"/>
        <w:snapToGrid w:val="0"/>
        <w:spacing w:line="360" w:lineRule="auto"/>
        <w:ind w:firstLine="470" w:firstLineChars="196"/>
        <w:rPr>
          <w:rFonts w:hAnsi="宋体" w:cs="宋体"/>
          <w:szCs w:val="24"/>
          <w:highlight w:val="none"/>
        </w:rPr>
      </w:pPr>
      <w:r>
        <w:rPr>
          <w:rFonts w:hint="eastAsia" w:hAnsi="宋体" w:cs="宋体"/>
          <w:szCs w:val="24"/>
          <w:highlight w:val="none"/>
        </w:rPr>
        <w:t>2.1.2符合性审查标准：见附件1初步审查要素表。</w:t>
      </w:r>
    </w:p>
    <w:p w14:paraId="6CF5DDCD">
      <w:pPr>
        <w:tabs>
          <w:tab w:val="left" w:pos="0"/>
        </w:tabs>
        <w:adjustRightInd w:val="0"/>
        <w:snapToGrid w:val="0"/>
        <w:spacing w:line="360" w:lineRule="auto"/>
        <w:ind w:firstLine="472" w:firstLineChars="196"/>
        <w:rPr>
          <w:rFonts w:hAnsi="宋体" w:cs="宋体"/>
          <w:b/>
          <w:szCs w:val="24"/>
          <w:highlight w:val="none"/>
        </w:rPr>
      </w:pPr>
      <w:r>
        <w:rPr>
          <w:rFonts w:hint="eastAsia" w:hAnsi="宋体" w:cs="宋体"/>
          <w:b/>
          <w:szCs w:val="24"/>
          <w:highlight w:val="none"/>
        </w:rPr>
        <w:t>2.2分值构成与评分标准</w:t>
      </w:r>
    </w:p>
    <w:p w14:paraId="7E7B6D6B">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2.2.1 分值构成</w:t>
      </w:r>
    </w:p>
    <w:p w14:paraId="3D24BA4F">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（1）投标价格：见附件2评标因素及权重分值表。</w:t>
      </w:r>
    </w:p>
    <w:p w14:paraId="01041916">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（2）技术评审：见附件2评标因素及权重分值表。</w:t>
      </w:r>
    </w:p>
    <w:p w14:paraId="75B38641">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（3）履约能力及服务承诺：见附件2评标因素及权重分值表。</w:t>
      </w:r>
    </w:p>
    <w:p w14:paraId="08B1F749">
      <w:pPr>
        <w:spacing w:line="360" w:lineRule="auto"/>
        <w:rPr>
          <w:rFonts w:hAnsi="宋体" w:cs="宋体"/>
          <w:b/>
          <w:sz w:val="28"/>
          <w:szCs w:val="28"/>
          <w:highlight w:val="none"/>
        </w:rPr>
      </w:pPr>
      <w:bookmarkStart w:id="97" w:name="_Toc363463333"/>
      <w:r>
        <w:rPr>
          <w:rFonts w:hint="eastAsia" w:hAnsi="宋体" w:cs="宋体"/>
          <w:b/>
          <w:sz w:val="28"/>
          <w:szCs w:val="28"/>
          <w:highlight w:val="none"/>
        </w:rPr>
        <w:t>三、评标程序</w:t>
      </w:r>
      <w:bookmarkEnd w:id="97"/>
    </w:p>
    <w:p w14:paraId="242E99AC">
      <w:pPr>
        <w:spacing w:line="360" w:lineRule="auto"/>
        <w:ind w:firstLine="482" w:firstLineChars="200"/>
        <w:rPr>
          <w:rFonts w:hAnsi="宋体" w:cs="宋体"/>
          <w:b/>
          <w:szCs w:val="24"/>
          <w:highlight w:val="none"/>
        </w:rPr>
      </w:pPr>
      <w:r>
        <w:rPr>
          <w:rFonts w:hint="eastAsia" w:hAnsi="宋体" w:cs="宋体"/>
          <w:b/>
          <w:szCs w:val="24"/>
          <w:highlight w:val="none"/>
        </w:rPr>
        <w:t>1.本采购项目评标按照下列工作程序进行</w:t>
      </w:r>
      <w:r>
        <w:rPr>
          <w:rFonts w:hint="eastAsia" w:hAnsi="宋体" w:cs="宋体"/>
          <w:bCs/>
          <w:szCs w:val="24"/>
          <w:highlight w:val="none"/>
        </w:rPr>
        <w:t>（在上一步评审中被认定无效投标者，不进入下一步的评审）。</w:t>
      </w:r>
    </w:p>
    <w:p w14:paraId="15974481">
      <w:pPr>
        <w:spacing w:line="360" w:lineRule="auto"/>
        <w:ind w:firstLine="495"/>
        <w:rPr>
          <w:rFonts w:hAnsi="宋体" w:cs="宋体"/>
          <w:szCs w:val="24"/>
          <w:highlight w:val="none"/>
        </w:rPr>
      </w:pPr>
      <w:r>
        <w:rPr>
          <w:rFonts w:hint="eastAsia" w:hAnsi="宋体" w:cs="宋体"/>
          <w:szCs w:val="24"/>
          <w:highlight w:val="none"/>
        </w:rPr>
        <w:t>（1）投标文件初审；</w:t>
      </w:r>
    </w:p>
    <w:p w14:paraId="1A3315F8">
      <w:pPr>
        <w:spacing w:line="360" w:lineRule="auto"/>
        <w:ind w:firstLine="495"/>
        <w:rPr>
          <w:rFonts w:hAnsi="宋体" w:cs="宋体"/>
          <w:szCs w:val="24"/>
          <w:highlight w:val="none"/>
        </w:rPr>
      </w:pPr>
      <w:r>
        <w:rPr>
          <w:rFonts w:hint="eastAsia" w:hAnsi="宋体" w:cs="宋体"/>
          <w:szCs w:val="24"/>
          <w:highlight w:val="none"/>
        </w:rPr>
        <w:t>（2）澄清有关问题；</w:t>
      </w:r>
    </w:p>
    <w:p w14:paraId="53AE1EFD">
      <w:pPr>
        <w:spacing w:line="360" w:lineRule="auto"/>
        <w:ind w:firstLine="495"/>
        <w:rPr>
          <w:rFonts w:hAnsi="宋体" w:cs="宋体"/>
          <w:szCs w:val="24"/>
          <w:highlight w:val="none"/>
        </w:rPr>
      </w:pPr>
      <w:r>
        <w:rPr>
          <w:rFonts w:hint="eastAsia" w:hAnsi="宋体" w:cs="宋体"/>
          <w:szCs w:val="24"/>
          <w:highlight w:val="none"/>
        </w:rPr>
        <w:t>（3）比较与评价；</w:t>
      </w:r>
    </w:p>
    <w:p w14:paraId="632B9EE1">
      <w:pPr>
        <w:spacing w:line="360" w:lineRule="auto"/>
        <w:ind w:firstLine="495"/>
        <w:rPr>
          <w:rFonts w:hAnsi="宋体" w:cs="宋体"/>
          <w:szCs w:val="24"/>
          <w:highlight w:val="none"/>
        </w:rPr>
      </w:pPr>
      <w:r>
        <w:rPr>
          <w:rFonts w:hint="eastAsia" w:hAnsi="宋体" w:cs="宋体"/>
          <w:szCs w:val="24"/>
          <w:highlight w:val="none"/>
        </w:rPr>
        <w:t>（4）推荐中标候选人名单。</w:t>
      </w:r>
    </w:p>
    <w:p w14:paraId="7F0364CF">
      <w:pPr>
        <w:spacing w:before="120" w:after="120" w:line="360" w:lineRule="auto"/>
        <w:rPr>
          <w:rFonts w:hAnsi="宋体" w:cs="宋体"/>
          <w:b/>
          <w:szCs w:val="24"/>
          <w:highlight w:val="none"/>
        </w:rPr>
      </w:pPr>
      <w:r>
        <w:rPr>
          <w:rFonts w:hint="eastAsia" w:hAnsi="宋体" w:cs="宋体"/>
          <w:b/>
          <w:szCs w:val="24"/>
          <w:highlight w:val="none"/>
        </w:rPr>
        <w:t>2.投标文件初审</w:t>
      </w:r>
    </w:p>
    <w:p w14:paraId="04A38A0E">
      <w:pPr>
        <w:tabs>
          <w:tab w:val="left" w:pos="0"/>
        </w:tabs>
        <w:adjustRightInd w:val="0"/>
        <w:snapToGrid w:val="0"/>
        <w:spacing w:line="360" w:lineRule="auto"/>
        <w:ind w:firstLine="472" w:firstLineChars="196"/>
        <w:rPr>
          <w:rFonts w:hAnsi="宋体" w:cs="宋体"/>
          <w:szCs w:val="24"/>
          <w:highlight w:val="none"/>
        </w:rPr>
      </w:pPr>
      <w:r>
        <w:rPr>
          <w:rFonts w:hint="eastAsia" w:hAnsi="宋体" w:cs="宋体"/>
          <w:b/>
          <w:bCs/>
          <w:szCs w:val="24"/>
          <w:highlight w:val="none"/>
        </w:rPr>
        <w:t>采购人及采购代理机构根据本章第 2.1 项规定的评审标准对投标文件进行初步评审。有一项不符合评审标准的，应当否决其投标。</w:t>
      </w:r>
    </w:p>
    <w:p w14:paraId="046BA9A1">
      <w:pPr>
        <w:tabs>
          <w:tab w:val="left" w:pos="0"/>
        </w:tabs>
        <w:adjustRightInd w:val="0"/>
        <w:snapToGrid w:val="0"/>
        <w:spacing w:line="360" w:lineRule="auto"/>
        <w:ind w:firstLine="472" w:firstLineChars="196"/>
        <w:rPr>
          <w:rFonts w:hAnsi="宋体" w:cs="宋体"/>
          <w:b/>
          <w:bCs/>
          <w:szCs w:val="24"/>
          <w:highlight w:val="none"/>
        </w:rPr>
      </w:pPr>
      <w:r>
        <w:rPr>
          <w:rFonts w:hint="eastAsia" w:hAnsi="宋体" w:cs="宋体"/>
          <w:b/>
          <w:bCs/>
          <w:szCs w:val="24"/>
          <w:highlight w:val="none"/>
        </w:rPr>
        <w:t>在资格性审查阶段，不符合文件要求的，不得进入符合性审查，在资格性审查和符合性审查时未通过的，不得进入后续评审环节。</w:t>
      </w:r>
    </w:p>
    <w:p w14:paraId="634EC56B">
      <w:pPr>
        <w:spacing w:before="120" w:after="120" w:line="360" w:lineRule="auto"/>
        <w:rPr>
          <w:rFonts w:hAnsi="宋体" w:cs="宋体"/>
          <w:b/>
          <w:szCs w:val="24"/>
          <w:highlight w:val="none"/>
        </w:rPr>
      </w:pPr>
      <w:r>
        <w:rPr>
          <w:rFonts w:hint="eastAsia" w:hAnsi="宋体" w:cs="宋体"/>
          <w:b/>
          <w:szCs w:val="24"/>
          <w:highlight w:val="none"/>
        </w:rPr>
        <w:t>3.投标文件的澄清</w:t>
      </w:r>
    </w:p>
    <w:p w14:paraId="704BA308">
      <w:pPr>
        <w:spacing w:line="360" w:lineRule="auto"/>
        <w:ind w:firstLine="480" w:firstLineChars="200"/>
        <w:rPr>
          <w:rFonts w:hAnsi="宋体" w:cs="宋体"/>
          <w:szCs w:val="24"/>
          <w:highlight w:val="none"/>
        </w:rPr>
      </w:pPr>
      <w:r>
        <w:rPr>
          <w:rFonts w:hint="eastAsia" w:hAnsi="宋体" w:cs="宋体"/>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负责人或授权代表签字。供应商的澄清、说明或者补正不得超出投标文件的范围或者改变投标文件的实质性内容。评标委员会不接受供应商主动提出的澄清、说明。</w:t>
      </w:r>
    </w:p>
    <w:p w14:paraId="1A0BAE72">
      <w:pPr>
        <w:spacing w:line="360" w:lineRule="auto"/>
        <w:ind w:firstLine="480" w:firstLineChars="200"/>
        <w:rPr>
          <w:rFonts w:hAnsi="宋体" w:cs="宋体"/>
          <w:szCs w:val="24"/>
          <w:highlight w:val="none"/>
        </w:rPr>
      </w:pPr>
      <w:r>
        <w:rPr>
          <w:rFonts w:hint="eastAsia" w:hAnsi="宋体" w:cs="宋体"/>
          <w:szCs w:val="24"/>
          <w:highlight w:val="none"/>
        </w:rPr>
        <w:t>3.2有效的书面澄清材料，是投标文件的补充材料，成为投标文件的组成部分。</w:t>
      </w:r>
    </w:p>
    <w:p w14:paraId="115ED520">
      <w:pPr>
        <w:tabs>
          <w:tab w:val="left" w:pos="851"/>
        </w:tabs>
        <w:spacing w:line="360" w:lineRule="auto"/>
        <w:ind w:firstLine="480" w:firstLineChars="200"/>
        <w:rPr>
          <w:rFonts w:hAnsi="宋体" w:cs="宋体"/>
          <w:szCs w:val="24"/>
          <w:highlight w:val="none"/>
        </w:rPr>
      </w:pPr>
      <w:r>
        <w:rPr>
          <w:rFonts w:hint="eastAsia" w:hAnsi="宋体" w:cs="宋体"/>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3B1E33D">
      <w:pPr>
        <w:spacing w:before="120" w:after="120" w:line="360" w:lineRule="auto"/>
        <w:jc w:val="left"/>
        <w:rPr>
          <w:rFonts w:hAnsi="宋体" w:cs="宋体"/>
          <w:b/>
          <w:szCs w:val="24"/>
          <w:highlight w:val="none"/>
        </w:rPr>
      </w:pPr>
      <w:r>
        <w:rPr>
          <w:rFonts w:hint="eastAsia" w:hAnsi="宋体" w:cs="宋体"/>
          <w:b/>
          <w:szCs w:val="24"/>
          <w:highlight w:val="none"/>
        </w:rPr>
        <w:t>4.投标文件比较与评价</w:t>
      </w:r>
    </w:p>
    <w:p w14:paraId="528324ED">
      <w:pPr>
        <w:tabs>
          <w:tab w:val="left" w:pos="0"/>
        </w:tabs>
        <w:adjustRightInd w:val="0"/>
        <w:snapToGrid w:val="0"/>
        <w:spacing w:before="120" w:line="360" w:lineRule="auto"/>
        <w:ind w:firstLine="480" w:firstLineChars="200"/>
        <w:rPr>
          <w:rFonts w:hAnsi="宋体" w:cs="宋体"/>
          <w:szCs w:val="24"/>
          <w:highlight w:val="none"/>
        </w:rPr>
      </w:pPr>
      <w:r>
        <w:rPr>
          <w:rFonts w:hint="eastAsia" w:hAnsi="宋体" w:cs="宋体"/>
          <w:szCs w:val="24"/>
          <w:highlight w:val="none"/>
        </w:rPr>
        <w:t>4.1</w:t>
      </w:r>
      <w:r>
        <w:rPr>
          <w:rFonts w:hint="eastAsia" w:hAnsi="宋体" w:cs="宋体"/>
          <w:bCs/>
          <w:szCs w:val="24"/>
          <w:highlight w:val="none"/>
        </w:rPr>
        <w:t>评委会应按照招标文件中规定的评标方法</w:t>
      </w:r>
      <w:r>
        <w:rPr>
          <w:rFonts w:hint="eastAsia" w:hAnsi="宋体" w:cs="宋体"/>
          <w:szCs w:val="24"/>
          <w:highlight w:val="none"/>
        </w:rPr>
        <w:t>和标准，</w:t>
      </w:r>
      <w:r>
        <w:rPr>
          <w:rFonts w:hint="eastAsia" w:hAnsi="宋体" w:cs="宋体"/>
          <w:bCs/>
          <w:szCs w:val="24"/>
          <w:highlight w:val="none"/>
        </w:rPr>
        <w:t>对</w:t>
      </w:r>
      <w:r>
        <w:rPr>
          <w:rFonts w:hint="eastAsia" w:hAnsi="宋体" w:cs="宋体"/>
          <w:szCs w:val="24"/>
          <w:highlight w:val="none"/>
        </w:rPr>
        <w:t>资格性检查和符合性检查</w:t>
      </w:r>
      <w:r>
        <w:rPr>
          <w:rFonts w:hint="eastAsia" w:hAnsi="宋体" w:cs="宋体"/>
          <w:bCs/>
          <w:szCs w:val="24"/>
          <w:highlight w:val="none"/>
        </w:rPr>
        <w:t>合格的投标文件进行商务和技术评估，综合比较与评价。</w:t>
      </w:r>
    </w:p>
    <w:p w14:paraId="6FEFB6A2">
      <w:pPr>
        <w:spacing w:line="360" w:lineRule="auto"/>
        <w:ind w:firstLine="470" w:firstLineChars="196"/>
        <w:rPr>
          <w:rFonts w:hAnsi="宋体" w:cs="宋体"/>
          <w:szCs w:val="24"/>
          <w:highlight w:val="none"/>
        </w:rPr>
      </w:pPr>
      <w:r>
        <w:rPr>
          <w:rFonts w:hint="eastAsia" w:hAnsi="宋体" w:cs="宋体"/>
          <w:szCs w:val="24"/>
          <w:highlight w:val="none"/>
        </w:rPr>
        <w:t>4.2如果投标文件没有实质性响应招标文件的要求，评委会将予以拒绝。供应商不得通过修正或撤销不合要求的偏离或保留，从而使其投标成为实质性响应的投标。</w:t>
      </w:r>
    </w:p>
    <w:p w14:paraId="19396FD5">
      <w:pPr>
        <w:spacing w:line="360" w:lineRule="auto"/>
        <w:ind w:firstLine="120" w:firstLineChars="50"/>
        <w:rPr>
          <w:rFonts w:hAnsi="宋体" w:cs="宋体"/>
          <w:b/>
          <w:szCs w:val="24"/>
          <w:highlight w:val="none"/>
        </w:rPr>
      </w:pPr>
      <w:r>
        <w:rPr>
          <w:rFonts w:hint="eastAsia" w:hAnsi="宋体" w:cs="宋体"/>
          <w:b/>
          <w:szCs w:val="24"/>
          <w:highlight w:val="none"/>
        </w:rPr>
        <w:t>四、政策性扣减</w:t>
      </w:r>
    </w:p>
    <w:p w14:paraId="6CBC87A9">
      <w:pPr>
        <w:spacing w:line="600" w:lineRule="exact"/>
        <w:ind w:firstLine="482" w:firstLineChars="200"/>
        <w:rPr>
          <w:rFonts w:hAnsi="宋体" w:cs="宋体"/>
          <w:b/>
          <w:szCs w:val="24"/>
          <w:highlight w:val="none"/>
        </w:rPr>
      </w:pPr>
      <w:r>
        <w:rPr>
          <w:rFonts w:hint="eastAsia" w:hAnsi="宋体" w:cs="宋体"/>
          <w:b/>
          <w:szCs w:val="24"/>
          <w:highlight w:val="none"/>
        </w:rPr>
        <w:t>1、政策性扣减范围</w:t>
      </w:r>
    </w:p>
    <w:p w14:paraId="1605A063">
      <w:pPr>
        <w:spacing w:line="600" w:lineRule="exact"/>
        <w:ind w:firstLine="480" w:firstLineChars="200"/>
        <w:rPr>
          <w:rFonts w:hAnsi="宋体" w:cs="宋体"/>
          <w:szCs w:val="24"/>
          <w:highlight w:val="none"/>
        </w:rPr>
      </w:pPr>
      <w:r>
        <w:rPr>
          <w:rFonts w:hint="eastAsia" w:hAnsi="宋体" w:cs="宋体"/>
          <w:szCs w:val="24"/>
          <w:highlight w:val="none"/>
        </w:rPr>
        <w:t>1.1供应商符合小型、微型企业或监狱企业、残疾人福利性单位条件的，其投标报价价格评审时将按相应比例进行扣减。</w:t>
      </w:r>
    </w:p>
    <w:p w14:paraId="289F0E1A">
      <w:pPr>
        <w:spacing w:line="600" w:lineRule="exact"/>
        <w:ind w:firstLine="480" w:firstLineChars="200"/>
        <w:rPr>
          <w:rFonts w:hAnsi="宋体" w:cs="宋体"/>
          <w:szCs w:val="24"/>
          <w:highlight w:val="none"/>
        </w:rPr>
      </w:pPr>
      <w:r>
        <w:rPr>
          <w:rFonts w:hint="eastAsia" w:hAnsi="宋体" w:cs="宋体"/>
          <w:szCs w:val="24"/>
          <w:highlight w:val="none"/>
        </w:rPr>
        <w:t>1.2依照&lt;关于印发《政府采购促进中小企业发展暂行办法》的通知&gt;财库〔2020〕46号的规定，小型、微型企业应当同时符合以下条件：</w:t>
      </w:r>
    </w:p>
    <w:p w14:paraId="1F794796">
      <w:pPr>
        <w:spacing w:line="600" w:lineRule="exact"/>
        <w:ind w:firstLine="480" w:firstLineChars="200"/>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668E0EDE">
      <w:pPr>
        <w:spacing w:line="600" w:lineRule="exact"/>
        <w:ind w:firstLine="480" w:firstLineChars="200"/>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7D3BE4FA">
      <w:pPr>
        <w:spacing w:line="600" w:lineRule="exact"/>
        <w:ind w:firstLine="480" w:firstLineChars="200"/>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79442DC3">
      <w:pPr>
        <w:spacing w:line="600" w:lineRule="exact"/>
        <w:ind w:firstLine="480" w:firstLineChars="200"/>
        <w:rPr>
          <w:rFonts w:hAnsi="宋体" w:cs="宋体"/>
          <w:szCs w:val="24"/>
          <w:highlight w:val="none"/>
        </w:rPr>
      </w:pPr>
      <w:r>
        <w:rPr>
          <w:rFonts w:hint="eastAsia" w:hAnsi="宋体" w:cs="宋体"/>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14:paraId="667C6654">
      <w:pPr>
        <w:spacing w:line="360" w:lineRule="auto"/>
        <w:ind w:firstLine="480" w:firstLineChars="200"/>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26"/>
          <w:rFonts w:hint="default"/>
          <w:color w:val="auto"/>
          <w:sz w:val="24"/>
          <w:szCs w:val="24"/>
          <w:highlight w:val="none"/>
        </w:rPr>
        <w:t>http://www.ccgp.gov.cn/</w:t>
      </w:r>
      <w:r>
        <w:rPr>
          <w:rStyle w:val="26"/>
          <w:rFonts w:hint="default"/>
          <w:color w:val="auto"/>
          <w:sz w:val="24"/>
          <w:szCs w:val="24"/>
          <w:highlight w:val="none"/>
        </w:rPr>
        <w:fldChar w:fldCharType="end"/>
      </w:r>
      <w:r>
        <w:rPr>
          <w:rFonts w:hint="eastAsia" w:hAnsi="宋体" w:cs="宋体"/>
          <w:szCs w:val="24"/>
          <w:highlight w:val="none"/>
        </w:rPr>
        <w:t>）上查找。</w:t>
      </w:r>
    </w:p>
    <w:p w14:paraId="50920CE9">
      <w:pPr>
        <w:spacing w:line="360" w:lineRule="auto"/>
        <w:ind w:firstLine="480" w:firstLineChars="200"/>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26"/>
          <w:rFonts w:hint="default"/>
          <w:color w:val="auto"/>
          <w:sz w:val="24"/>
          <w:szCs w:val="24"/>
          <w:highlight w:val="none"/>
        </w:rPr>
        <w:t>http://www.ccgp.gov.cn/</w:t>
      </w:r>
      <w:r>
        <w:rPr>
          <w:rStyle w:val="26"/>
          <w:rFonts w:hint="default"/>
          <w:color w:val="auto"/>
          <w:sz w:val="24"/>
          <w:szCs w:val="24"/>
          <w:highlight w:val="none"/>
        </w:rPr>
        <w:fldChar w:fldCharType="end"/>
      </w:r>
      <w:r>
        <w:rPr>
          <w:rFonts w:hint="eastAsia" w:hAnsi="宋体" w:cs="宋体"/>
          <w:szCs w:val="24"/>
          <w:highlight w:val="none"/>
        </w:rPr>
        <w:t>）上查找。</w:t>
      </w:r>
    </w:p>
    <w:p w14:paraId="69BBB697">
      <w:pPr>
        <w:spacing w:line="560" w:lineRule="exact"/>
        <w:ind w:firstLine="480" w:firstLineChars="200"/>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2D11889C">
      <w:pPr>
        <w:spacing w:line="560" w:lineRule="exact"/>
        <w:ind w:firstLine="480" w:firstLineChars="20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3F77542">
      <w:pPr>
        <w:spacing w:line="600" w:lineRule="exact"/>
        <w:ind w:firstLine="482" w:firstLineChars="200"/>
        <w:rPr>
          <w:rFonts w:hAnsi="宋体" w:cs="宋体"/>
          <w:b/>
          <w:szCs w:val="24"/>
          <w:highlight w:val="none"/>
        </w:rPr>
      </w:pPr>
      <w:r>
        <w:rPr>
          <w:rFonts w:hint="eastAsia" w:hAnsi="宋体" w:cs="宋体"/>
          <w:b/>
          <w:szCs w:val="24"/>
          <w:highlight w:val="none"/>
        </w:rPr>
        <w:t>2、政策性扣减方式：</w:t>
      </w:r>
    </w:p>
    <w:p w14:paraId="3E138404">
      <w:pPr>
        <w:spacing w:line="600" w:lineRule="exact"/>
        <w:ind w:firstLine="480" w:firstLineChars="200"/>
        <w:rPr>
          <w:rFonts w:hAnsi="宋体" w:cs="宋体"/>
          <w:szCs w:val="24"/>
          <w:highlight w:val="none"/>
        </w:rPr>
      </w:pPr>
      <w:r>
        <w:rPr>
          <w:rFonts w:hint="eastAsia" w:hAnsi="宋体" w:cs="宋体"/>
          <w:szCs w:val="24"/>
          <w:highlight w:val="none"/>
        </w:rPr>
        <w:t>2.1在投标报价的基础上，对小微企业、监狱企业、残疾人福利性单位，按“投标报价×</w:t>
      </w:r>
      <w:r>
        <w:rPr>
          <w:rFonts w:hint="eastAsia" w:hAnsi="宋体" w:cs="宋体"/>
          <w:szCs w:val="24"/>
          <w:highlight w:val="none"/>
          <w:lang w:val="en-US" w:eastAsia="zh-CN"/>
        </w:rPr>
        <w:t>10</w:t>
      </w:r>
      <w:r>
        <w:rPr>
          <w:rFonts w:hint="eastAsia" w:hAnsi="宋体" w:cs="宋体"/>
          <w:szCs w:val="24"/>
          <w:highlight w:val="none"/>
        </w:rPr>
        <w:t>%”进行扣减；</w:t>
      </w:r>
    </w:p>
    <w:p w14:paraId="5C077754">
      <w:pPr>
        <w:spacing w:line="600" w:lineRule="exact"/>
        <w:ind w:firstLine="480" w:firstLineChars="200"/>
        <w:rPr>
          <w:rFonts w:hAnsi="宋体" w:cs="宋体"/>
          <w:szCs w:val="24"/>
          <w:highlight w:val="none"/>
        </w:rPr>
      </w:pPr>
      <w:r>
        <w:rPr>
          <w:rFonts w:hint="eastAsia" w:hAnsi="宋体" w:cs="宋体"/>
          <w:szCs w:val="24"/>
          <w:highlight w:val="none"/>
        </w:rPr>
        <w:t>2.2供应商为联合体参与投标，且联合协议中约定小型或微型企业的协议合同金额占到联合体协议合同总金额30％以上的，按“投标报价×2%”进行扣减；</w:t>
      </w:r>
    </w:p>
    <w:p w14:paraId="27ADD361">
      <w:pPr>
        <w:spacing w:line="600" w:lineRule="exact"/>
        <w:ind w:firstLine="480" w:firstLineChars="200"/>
        <w:rPr>
          <w:rFonts w:hAnsi="宋体" w:cs="宋体"/>
          <w:szCs w:val="24"/>
          <w:highlight w:val="none"/>
        </w:rPr>
      </w:pPr>
      <w:r>
        <w:rPr>
          <w:rFonts w:hint="eastAsia" w:hAnsi="宋体" w:cs="宋体"/>
          <w:szCs w:val="24"/>
          <w:highlight w:val="none"/>
        </w:rPr>
        <w:t>2.3供应商享受</w:t>
      </w:r>
      <w:r>
        <w:rPr>
          <w:rFonts w:hint="eastAsia" w:hAnsi="宋体" w:cs="宋体"/>
          <w:bCs/>
          <w:szCs w:val="24"/>
          <w:highlight w:val="none"/>
        </w:rPr>
        <w:t>支持</w:t>
      </w:r>
      <w:r>
        <w:rPr>
          <w:rFonts w:hint="eastAsia" w:hAnsi="宋体" w:cs="宋体"/>
          <w:szCs w:val="24"/>
          <w:highlight w:val="none"/>
        </w:rPr>
        <w:t>中小型企业发展政策优惠的，可以同时享受节能、环境标志产品优先采购政策；</w:t>
      </w:r>
    </w:p>
    <w:p w14:paraId="60461C0C">
      <w:pPr>
        <w:spacing w:line="600" w:lineRule="exact"/>
        <w:ind w:firstLine="480" w:firstLineChars="200"/>
        <w:rPr>
          <w:rFonts w:hAnsi="宋体" w:cs="宋体"/>
          <w:szCs w:val="24"/>
          <w:highlight w:val="none"/>
        </w:rPr>
      </w:pPr>
      <w:r>
        <w:rPr>
          <w:rFonts w:hint="eastAsia" w:hAnsi="宋体" w:cs="宋体"/>
          <w:szCs w:val="24"/>
          <w:highlight w:val="none"/>
        </w:rPr>
        <w:t>3、中标价格=中标供应商的有效投标报价。</w:t>
      </w:r>
    </w:p>
    <w:p w14:paraId="722E1E7D">
      <w:pPr>
        <w:pStyle w:val="10"/>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b/>
          <w:bCs/>
          <w:sz w:val="24"/>
          <w:szCs w:val="24"/>
          <w:highlight w:val="none"/>
        </w:rPr>
        <w:t>附件1：</w:t>
      </w:r>
    </w:p>
    <w:p w14:paraId="211FCE55">
      <w:pPr>
        <w:pStyle w:val="10"/>
        <w:jc w:val="center"/>
        <w:rPr>
          <w:rFonts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2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587"/>
        <w:gridCol w:w="553"/>
        <w:gridCol w:w="2349"/>
        <w:gridCol w:w="5064"/>
      </w:tblGrid>
      <w:tr w14:paraId="7665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1332" w:type="dxa"/>
            <w:gridSpan w:val="2"/>
            <w:vAlign w:val="center"/>
          </w:tcPr>
          <w:p w14:paraId="617B11CC">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条款号</w:t>
            </w:r>
          </w:p>
        </w:tc>
        <w:tc>
          <w:tcPr>
            <w:tcW w:w="2902" w:type="dxa"/>
            <w:gridSpan w:val="2"/>
            <w:vAlign w:val="center"/>
          </w:tcPr>
          <w:p w14:paraId="06F2FB0D">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评审因素</w:t>
            </w:r>
          </w:p>
        </w:tc>
        <w:tc>
          <w:tcPr>
            <w:tcW w:w="5064" w:type="dxa"/>
            <w:vAlign w:val="center"/>
          </w:tcPr>
          <w:p w14:paraId="3982A4AD">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评审标准</w:t>
            </w:r>
          </w:p>
        </w:tc>
      </w:tr>
      <w:tr w14:paraId="6AA6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45" w:type="dxa"/>
            <w:vMerge w:val="restart"/>
            <w:vAlign w:val="center"/>
          </w:tcPr>
          <w:p w14:paraId="74FE57F1">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2.1.1</w:t>
            </w:r>
          </w:p>
        </w:tc>
        <w:tc>
          <w:tcPr>
            <w:tcW w:w="587" w:type="dxa"/>
            <w:vMerge w:val="restart"/>
            <w:vAlign w:val="center"/>
          </w:tcPr>
          <w:p w14:paraId="280E58EB">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资格评审</w:t>
            </w:r>
          </w:p>
          <w:p w14:paraId="33053C39">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标准</w:t>
            </w:r>
          </w:p>
        </w:tc>
        <w:tc>
          <w:tcPr>
            <w:tcW w:w="2902" w:type="dxa"/>
            <w:gridSpan w:val="2"/>
            <w:vAlign w:val="center"/>
          </w:tcPr>
          <w:p w14:paraId="4DA49C20">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营业执照等主体资格证明文件</w:t>
            </w:r>
          </w:p>
        </w:tc>
        <w:tc>
          <w:tcPr>
            <w:tcW w:w="5064" w:type="dxa"/>
            <w:vAlign w:val="center"/>
          </w:tcPr>
          <w:p w14:paraId="4EF06884">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提供合格有效的法人或者其他组织的营业执照等证明文件，自然人的身份证明</w:t>
            </w:r>
          </w:p>
        </w:tc>
      </w:tr>
      <w:tr w14:paraId="0D54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5" w:type="dxa"/>
            <w:vMerge w:val="continue"/>
            <w:vAlign w:val="center"/>
          </w:tcPr>
          <w:p w14:paraId="3AE03BF3">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4D6A71AE">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733B0BE7">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法定代表人或负责人授权书/法定代表人身份证明</w:t>
            </w:r>
          </w:p>
        </w:tc>
        <w:tc>
          <w:tcPr>
            <w:tcW w:w="5064" w:type="dxa"/>
            <w:vAlign w:val="center"/>
          </w:tcPr>
          <w:p w14:paraId="518A9954">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提供法定代表人授权书（附法定代表人、被授权人身份证复印件），法定代表人直接参加投标，须提供法定代表人身份证明（附法定代表人身份证复印件）</w:t>
            </w:r>
            <w:r>
              <w:rPr>
                <w:rFonts w:hint="eastAsia" w:hAnsi="宋体" w:cs="宋体"/>
                <w:bCs/>
                <w:szCs w:val="24"/>
                <w:highlight w:val="none"/>
              </w:rPr>
              <w:t>；</w:t>
            </w:r>
          </w:p>
        </w:tc>
      </w:tr>
      <w:tr w14:paraId="4DEE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5" w:type="dxa"/>
            <w:vMerge w:val="continue"/>
            <w:vAlign w:val="center"/>
          </w:tcPr>
          <w:p w14:paraId="2CD262B1">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447C1A17">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47995BDC">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财务状况报告</w:t>
            </w:r>
          </w:p>
        </w:tc>
        <w:tc>
          <w:tcPr>
            <w:tcW w:w="5064" w:type="dxa"/>
            <w:vAlign w:val="center"/>
          </w:tcPr>
          <w:p w14:paraId="6C9F8408">
            <w:pPr>
              <w:tabs>
                <w:tab w:val="left" w:pos="0"/>
              </w:tabs>
              <w:adjustRightInd w:val="0"/>
              <w:snapToGrid w:val="0"/>
              <w:spacing w:line="360" w:lineRule="auto"/>
              <w:jc w:val="left"/>
              <w:rPr>
                <w:rFonts w:hAnsi="宋体" w:cs="宋体"/>
                <w:bCs/>
                <w:szCs w:val="24"/>
                <w:highlight w:val="none"/>
              </w:rPr>
            </w:pPr>
            <w:r>
              <w:rPr>
                <w:rFonts w:hint="eastAsia" w:cs="宋体"/>
                <w:color w:val="333333"/>
                <w:highlight w:val="none"/>
                <w:shd w:val="clear" w:color="auto" w:fill="FFFFFF"/>
              </w:rPr>
              <w:t>提供2024年度的经审计完整的财务审计报告（成立时间至提交投标文件截止时间不足一年的可提供成立后任意时段的资产负债表），或开标时间前六个月内银行出具的资信证明；</w:t>
            </w:r>
          </w:p>
        </w:tc>
      </w:tr>
      <w:tr w14:paraId="6B81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5" w:type="dxa"/>
            <w:vMerge w:val="continue"/>
            <w:vAlign w:val="center"/>
          </w:tcPr>
          <w:p w14:paraId="633E96BF">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0FED6931">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48AD69B0">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税收缴纳证明</w:t>
            </w:r>
          </w:p>
        </w:tc>
        <w:tc>
          <w:tcPr>
            <w:tcW w:w="5064" w:type="dxa"/>
            <w:vAlign w:val="center"/>
          </w:tcPr>
          <w:p w14:paraId="6590C307">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提供投标截止日前一年内已缴纳的至少一个月的纳税证明或完税证明（任意税种），依法免税的单位应提供相关证明材料</w:t>
            </w:r>
            <w:r>
              <w:rPr>
                <w:rFonts w:hint="eastAsia" w:hAnsi="宋体" w:cs="宋体"/>
                <w:szCs w:val="24"/>
                <w:highlight w:val="none"/>
                <w:shd w:val="clear" w:color="auto" w:fill="FFFFFF"/>
              </w:rPr>
              <w:t xml:space="preserve">； </w:t>
            </w:r>
          </w:p>
        </w:tc>
      </w:tr>
      <w:tr w14:paraId="5731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5" w:type="dxa"/>
            <w:vMerge w:val="continue"/>
            <w:vAlign w:val="center"/>
          </w:tcPr>
          <w:p w14:paraId="6E7CD919">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701986E1">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679209F9">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社会保障资金缴纳证明</w:t>
            </w:r>
          </w:p>
        </w:tc>
        <w:tc>
          <w:tcPr>
            <w:tcW w:w="5064" w:type="dxa"/>
            <w:vAlign w:val="center"/>
          </w:tcPr>
          <w:p w14:paraId="19D2143D">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提供投标截止日前一年内已缴存的至少一个月的社会保障资金缴存单据或社保机构开具的社会保险参保缴费情况证明，依法不需要缴纳社会保障资金的单位应提供相关证明材料</w:t>
            </w:r>
            <w:r>
              <w:rPr>
                <w:rFonts w:hint="eastAsia" w:hAnsi="宋体" w:cs="宋体"/>
                <w:szCs w:val="24"/>
                <w:highlight w:val="none"/>
                <w:shd w:val="clear" w:color="auto" w:fill="FFFFFF"/>
              </w:rPr>
              <w:t>；</w:t>
            </w:r>
          </w:p>
        </w:tc>
      </w:tr>
      <w:tr w14:paraId="2B36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5" w:type="dxa"/>
            <w:vMerge w:val="continue"/>
            <w:vAlign w:val="center"/>
          </w:tcPr>
          <w:p w14:paraId="51705C38">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3B165E46">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597939AD">
            <w:pPr>
              <w:tabs>
                <w:tab w:val="left" w:pos="0"/>
              </w:tabs>
              <w:adjustRightInd w:val="0"/>
              <w:snapToGrid w:val="0"/>
              <w:spacing w:line="360" w:lineRule="auto"/>
              <w:jc w:val="center"/>
              <w:rPr>
                <w:rFonts w:hAnsi="宋体" w:cs="宋体"/>
                <w:b/>
                <w:bCs/>
                <w:szCs w:val="24"/>
                <w:highlight w:val="none"/>
              </w:rPr>
            </w:pPr>
            <w:r>
              <w:rPr>
                <w:rFonts w:hint="eastAsia" w:hAnsi="宋体" w:cs="宋体"/>
                <w:b/>
                <w:szCs w:val="24"/>
                <w:highlight w:val="none"/>
              </w:rPr>
              <w:t>信用记录</w:t>
            </w:r>
          </w:p>
        </w:tc>
        <w:tc>
          <w:tcPr>
            <w:tcW w:w="5064" w:type="dxa"/>
            <w:vAlign w:val="center"/>
          </w:tcPr>
          <w:p w14:paraId="53987D67">
            <w:pPr>
              <w:tabs>
                <w:tab w:val="left" w:pos="0"/>
              </w:tabs>
              <w:adjustRightInd w:val="0"/>
              <w:snapToGrid w:val="0"/>
              <w:spacing w:line="360" w:lineRule="auto"/>
              <w:jc w:val="left"/>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供应商应通过“信用中国”网站(www.creditchina.gov.cn)、中国政府采购网(www.ccgp.gov.cn)查询相关主体信用记录</w:t>
            </w:r>
          </w:p>
        </w:tc>
      </w:tr>
      <w:tr w14:paraId="2EAD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5" w:type="dxa"/>
            <w:vMerge w:val="continue"/>
            <w:vAlign w:val="center"/>
          </w:tcPr>
          <w:p w14:paraId="6E2F7E9F">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513AAC59">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1296D4EF">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书面声明</w:t>
            </w:r>
          </w:p>
        </w:tc>
        <w:tc>
          <w:tcPr>
            <w:tcW w:w="5064" w:type="dxa"/>
            <w:vAlign w:val="center"/>
          </w:tcPr>
          <w:p w14:paraId="2FF5D8BD">
            <w:pPr>
              <w:tabs>
                <w:tab w:val="left" w:pos="0"/>
              </w:tabs>
              <w:adjustRightInd w:val="0"/>
              <w:snapToGrid w:val="0"/>
              <w:spacing w:line="360" w:lineRule="auto"/>
              <w:jc w:val="left"/>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参加政府采购活动前3年内，在经营活动中没有重大违法记录的书面声明</w:t>
            </w:r>
          </w:p>
        </w:tc>
      </w:tr>
      <w:tr w14:paraId="702D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45" w:type="dxa"/>
            <w:vMerge w:val="continue"/>
            <w:vAlign w:val="center"/>
          </w:tcPr>
          <w:p w14:paraId="29B217B7">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57052F7E">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4ED35CBE">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shd w:val="clear" w:color="auto" w:fill="FFFFFF"/>
              </w:rPr>
              <w:t>具有履行本合同所必需的设备和专业技术能力的说明及承诺函</w:t>
            </w:r>
          </w:p>
        </w:tc>
        <w:tc>
          <w:tcPr>
            <w:tcW w:w="5064" w:type="dxa"/>
            <w:vAlign w:val="center"/>
          </w:tcPr>
          <w:p w14:paraId="7F31F413">
            <w:pPr>
              <w:tabs>
                <w:tab w:val="left" w:pos="0"/>
              </w:tabs>
              <w:adjustRightInd w:val="0"/>
              <w:snapToGrid w:val="0"/>
              <w:spacing w:line="360" w:lineRule="auto"/>
              <w:jc w:val="left"/>
              <w:rPr>
                <w:rFonts w:hAnsi="宋体" w:cs="宋体"/>
                <w:szCs w:val="24"/>
                <w:highlight w:val="none"/>
                <w:shd w:val="clear" w:color="auto" w:fill="FFFFFF"/>
              </w:rPr>
            </w:pPr>
            <w:r>
              <w:rPr>
                <w:rFonts w:hint="eastAsia" w:hAnsi="宋体" w:cs="宋体"/>
                <w:szCs w:val="24"/>
                <w:highlight w:val="none"/>
                <w:shd w:val="clear" w:color="auto" w:fill="FFFFFF"/>
              </w:rPr>
              <w:t xml:space="preserve">提供具有履行本合同所必需的设备和专业技术能力的说明及承诺书； </w:t>
            </w:r>
          </w:p>
        </w:tc>
      </w:tr>
      <w:tr w14:paraId="7437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45" w:type="dxa"/>
            <w:vMerge w:val="continue"/>
            <w:vAlign w:val="center"/>
          </w:tcPr>
          <w:p w14:paraId="2AA6FE75">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75A0899C">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19989A42">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不接受联合体投标</w:t>
            </w:r>
          </w:p>
        </w:tc>
        <w:tc>
          <w:tcPr>
            <w:tcW w:w="5064" w:type="dxa"/>
            <w:vAlign w:val="center"/>
          </w:tcPr>
          <w:p w14:paraId="39E9C92A">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本项目不接受联合体投标（需提供承诺书）</w:t>
            </w:r>
          </w:p>
        </w:tc>
      </w:tr>
      <w:tr w14:paraId="14BB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298" w:type="dxa"/>
            <w:gridSpan w:val="5"/>
            <w:vAlign w:val="center"/>
          </w:tcPr>
          <w:p w14:paraId="55231AE6">
            <w:pPr>
              <w:tabs>
                <w:tab w:val="left" w:pos="0"/>
              </w:tabs>
              <w:adjustRightInd w:val="0"/>
              <w:snapToGrid w:val="0"/>
              <w:spacing w:line="360" w:lineRule="auto"/>
              <w:rPr>
                <w:rFonts w:hAnsi="宋体" w:cs="宋体"/>
                <w:b/>
                <w:szCs w:val="24"/>
                <w:highlight w:val="none"/>
              </w:rPr>
            </w:pPr>
            <w:r>
              <w:rPr>
                <w:rFonts w:hint="eastAsia" w:hAnsi="宋体" w:cs="宋体"/>
                <w:b/>
                <w:szCs w:val="24"/>
                <w:highlight w:val="none"/>
              </w:rPr>
              <w:t>注：以上为必备资质，缺一项或某项达不到要求，按无效投标处理。</w:t>
            </w:r>
          </w:p>
        </w:tc>
      </w:tr>
      <w:tr w14:paraId="10DA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restart"/>
            <w:vAlign w:val="center"/>
          </w:tcPr>
          <w:p w14:paraId="35C894D5">
            <w:pPr>
              <w:tabs>
                <w:tab w:val="left" w:pos="0"/>
              </w:tabs>
              <w:adjustRightInd w:val="0"/>
              <w:snapToGrid w:val="0"/>
              <w:spacing w:line="360" w:lineRule="auto"/>
              <w:jc w:val="center"/>
              <w:rPr>
                <w:rFonts w:hAnsi="宋体" w:cs="宋体"/>
                <w:szCs w:val="24"/>
                <w:highlight w:val="none"/>
              </w:rPr>
            </w:pPr>
            <w:r>
              <w:rPr>
                <w:rFonts w:hint="eastAsia" w:hAnsi="宋体" w:cs="宋体"/>
                <w:szCs w:val="24"/>
                <w:highlight w:val="none"/>
              </w:rPr>
              <w:t>2.1.2</w:t>
            </w:r>
          </w:p>
        </w:tc>
        <w:tc>
          <w:tcPr>
            <w:tcW w:w="587" w:type="dxa"/>
            <w:vMerge w:val="restart"/>
            <w:vAlign w:val="center"/>
          </w:tcPr>
          <w:p w14:paraId="0FBAB9C3">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符合性评审标准</w:t>
            </w:r>
          </w:p>
        </w:tc>
        <w:tc>
          <w:tcPr>
            <w:tcW w:w="553" w:type="dxa"/>
            <w:vMerge w:val="restart"/>
            <w:vAlign w:val="center"/>
          </w:tcPr>
          <w:p w14:paraId="42E71077">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有效性审查</w:t>
            </w:r>
          </w:p>
        </w:tc>
        <w:tc>
          <w:tcPr>
            <w:tcW w:w="2349" w:type="dxa"/>
            <w:vAlign w:val="center"/>
          </w:tcPr>
          <w:p w14:paraId="7A4729C5">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投标文件的签署盖章</w:t>
            </w:r>
          </w:p>
        </w:tc>
        <w:tc>
          <w:tcPr>
            <w:tcW w:w="5064" w:type="dxa"/>
            <w:vAlign w:val="center"/>
          </w:tcPr>
          <w:p w14:paraId="0E314850">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投标文件上法定代表人或负责人或其授权代表人的签字齐全并加盖公章</w:t>
            </w:r>
          </w:p>
        </w:tc>
      </w:tr>
      <w:tr w14:paraId="24A0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45" w:type="dxa"/>
            <w:vMerge w:val="continue"/>
          </w:tcPr>
          <w:p w14:paraId="5C91BB69">
            <w:pPr>
              <w:tabs>
                <w:tab w:val="left" w:pos="0"/>
              </w:tabs>
              <w:adjustRightInd w:val="0"/>
              <w:snapToGrid w:val="0"/>
              <w:spacing w:line="360" w:lineRule="auto"/>
              <w:rPr>
                <w:rFonts w:hAnsi="宋体" w:cs="宋体"/>
                <w:szCs w:val="24"/>
                <w:highlight w:val="none"/>
              </w:rPr>
            </w:pPr>
          </w:p>
        </w:tc>
        <w:tc>
          <w:tcPr>
            <w:tcW w:w="587" w:type="dxa"/>
            <w:vMerge w:val="continue"/>
          </w:tcPr>
          <w:p w14:paraId="25402206">
            <w:pPr>
              <w:tabs>
                <w:tab w:val="left" w:pos="0"/>
              </w:tabs>
              <w:adjustRightInd w:val="0"/>
              <w:snapToGrid w:val="0"/>
              <w:spacing w:line="360" w:lineRule="auto"/>
              <w:rPr>
                <w:rFonts w:hAnsi="宋体" w:cs="宋体"/>
                <w:b/>
                <w:bCs/>
                <w:szCs w:val="24"/>
                <w:highlight w:val="none"/>
              </w:rPr>
            </w:pPr>
          </w:p>
        </w:tc>
        <w:tc>
          <w:tcPr>
            <w:tcW w:w="553" w:type="dxa"/>
            <w:vMerge w:val="continue"/>
          </w:tcPr>
          <w:p w14:paraId="559B98C5">
            <w:pPr>
              <w:tabs>
                <w:tab w:val="left" w:pos="0"/>
              </w:tabs>
              <w:adjustRightInd w:val="0"/>
              <w:snapToGrid w:val="0"/>
              <w:spacing w:line="360" w:lineRule="auto"/>
              <w:rPr>
                <w:rFonts w:hAnsi="宋体" w:cs="宋体"/>
                <w:b/>
                <w:bCs/>
                <w:szCs w:val="24"/>
                <w:highlight w:val="none"/>
              </w:rPr>
            </w:pPr>
          </w:p>
        </w:tc>
        <w:tc>
          <w:tcPr>
            <w:tcW w:w="2349" w:type="dxa"/>
            <w:vAlign w:val="center"/>
          </w:tcPr>
          <w:p w14:paraId="436D7B59">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投标文件格式</w:t>
            </w:r>
          </w:p>
        </w:tc>
        <w:tc>
          <w:tcPr>
            <w:tcW w:w="5064" w:type="dxa"/>
            <w:vAlign w:val="center"/>
          </w:tcPr>
          <w:p w14:paraId="546635C3">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应符合“投标文件格式”要求</w:t>
            </w:r>
          </w:p>
        </w:tc>
      </w:tr>
      <w:tr w14:paraId="583F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continue"/>
          </w:tcPr>
          <w:p w14:paraId="10D85474">
            <w:pPr>
              <w:tabs>
                <w:tab w:val="left" w:pos="0"/>
              </w:tabs>
              <w:adjustRightInd w:val="0"/>
              <w:snapToGrid w:val="0"/>
              <w:spacing w:line="360" w:lineRule="auto"/>
              <w:rPr>
                <w:rFonts w:hAnsi="宋体" w:cs="宋体"/>
                <w:szCs w:val="24"/>
                <w:highlight w:val="none"/>
              </w:rPr>
            </w:pPr>
          </w:p>
        </w:tc>
        <w:tc>
          <w:tcPr>
            <w:tcW w:w="587" w:type="dxa"/>
            <w:vMerge w:val="continue"/>
          </w:tcPr>
          <w:p w14:paraId="7E7E4B90">
            <w:pPr>
              <w:tabs>
                <w:tab w:val="left" w:pos="0"/>
              </w:tabs>
              <w:adjustRightInd w:val="0"/>
              <w:snapToGrid w:val="0"/>
              <w:spacing w:line="360" w:lineRule="auto"/>
              <w:rPr>
                <w:rFonts w:hAnsi="宋体" w:cs="宋体"/>
                <w:b/>
                <w:bCs/>
                <w:szCs w:val="24"/>
                <w:highlight w:val="none"/>
              </w:rPr>
            </w:pPr>
          </w:p>
        </w:tc>
        <w:tc>
          <w:tcPr>
            <w:tcW w:w="553" w:type="dxa"/>
            <w:vMerge w:val="continue"/>
          </w:tcPr>
          <w:p w14:paraId="08C08A77">
            <w:pPr>
              <w:tabs>
                <w:tab w:val="left" w:pos="0"/>
              </w:tabs>
              <w:adjustRightInd w:val="0"/>
              <w:snapToGrid w:val="0"/>
              <w:spacing w:line="360" w:lineRule="auto"/>
              <w:rPr>
                <w:rFonts w:hAnsi="宋体" w:cs="宋体"/>
                <w:b/>
                <w:bCs/>
                <w:szCs w:val="24"/>
                <w:highlight w:val="none"/>
              </w:rPr>
            </w:pPr>
          </w:p>
        </w:tc>
        <w:tc>
          <w:tcPr>
            <w:tcW w:w="2349" w:type="dxa"/>
            <w:vAlign w:val="center"/>
          </w:tcPr>
          <w:p w14:paraId="68427469">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报价唯一</w:t>
            </w:r>
          </w:p>
        </w:tc>
        <w:tc>
          <w:tcPr>
            <w:tcW w:w="5064" w:type="dxa"/>
            <w:vAlign w:val="center"/>
          </w:tcPr>
          <w:p w14:paraId="033A7FE7">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只能有一个有效报价，不得提交选择性报价，且报价不超过采购预算金额或最高限价。</w:t>
            </w:r>
          </w:p>
        </w:tc>
      </w:tr>
      <w:tr w14:paraId="6EFF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1AF88B9F">
            <w:pPr>
              <w:tabs>
                <w:tab w:val="left" w:pos="0"/>
              </w:tabs>
              <w:adjustRightInd w:val="0"/>
              <w:snapToGrid w:val="0"/>
              <w:spacing w:line="360" w:lineRule="auto"/>
              <w:jc w:val="center"/>
              <w:rPr>
                <w:rFonts w:hAnsi="宋体" w:cs="宋体"/>
                <w:szCs w:val="24"/>
                <w:highlight w:val="none"/>
              </w:rPr>
            </w:pPr>
          </w:p>
        </w:tc>
        <w:tc>
          <w:tcPr>
            <w:tcW w:w="587" w:type="dxa"/>
            <w:vMerge w:val="continue"/>
            <w:vAlign w:val="center"/>
          </w:tcPr>
          <w:p w14:paraId="775555CE">
            <w:pPr>
              <w:tabs>
                <w:tab w:val="left" w:pos="0"/>
              </w:tabs>
              <w:adjustRightInd w:val="0"/>
              <w:snapToGrid w:val="0"/>
              <w:spacing w:line="360" w:lineRule="auto"/>
              <w:jc w:val="center"/>
              <w:rPr>
                <w:rFonts w:hAnsi="宋体" w:cs="宋体"/>
                <w:b/>
                <w:bCs/>
                <w:szCs w:val="24"/>
                <w:highlight w:val="none"/>
              </w:rPr>
            </w:pPr>
          </w:p>
        </w:tc>
        <w:tc>
          <w:tcPr>
            <w:tcW w:w="553" w:type="dxa"/>
            <w:vAlign w:val="bottom"/>
          </w:tcPr>
          <w:p w14:paraId="3764C8BA">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完整性审查</w:t>
            </w:r>
          </w:p>
        </w:tc>
        <w:tc>
          <w:tcPr>
            <w:tcW w:w="2349" w:type="dxa"/>
            <w:vAlign w:val="center"/>
          </w:tcPr>
          <w:p w14:paraId="5BEBDD6B">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投标文件内容</w:t>
            </w:r>
          </w:p>
        </w:tc>
        <w:tc>
          <w:tcPr>
            <w:tcW w:w="5064" w:type="dxa"/>
            <w:vAlign w:val="center"/>
          </w:tcPr>
          <w:p w14:paraId="4FC50CD0">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投标文件内容齐全、无遗漏</w:t>
            </w:r>
          </w:p>
        </w:tc>
      </w:tr>
      <w:tr w14:paraId="2010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continue"/>
            <w:vAlign w:val="center"/>
          </w:tcPr>
          <w:p w14:paraId="28A1F53C">
            <w:pPr>
              <w:tabs>
                <w:tab w:val="left" w:pos="0"/>
              </w:tabs>
              <w:adjustRightInd w:val="0"/>
              <w:snapToGrid w:val="0"/>
              <w:spacing w:line="360" w:lineRule="auto"/>
              <w:jc w:val="center"/>
              <w:rPr>
                <w:rFonts w:hAnsi="宋体" w:cs="宋体"/>
                <w:szCs w:val="24"/>
                <w:highlight w:val="none"/>
              </w:rPr>
            </w:pPr>
          </w:p>
        </w:tc>
        <w:tc>
          <w:tcPr>
            <w:tcW w:w="587" w:type="dxa"/>
            <w:vMerge w:val="continue"/>
            <w:vAlign w:val="center"/>
          </w:tcPr>
          <w:p w14:paraId="0424A6FA">
            <w:pPr>
              <w:tabs>
                <w:tab w:val="left" w:pos="0"/>
              </w:tabs>
              <w:adjustRightInd w:val="0"/>
              <w:snapToGrid w:val="0"/>
              <w:spacing w:line="360" w:lineRule="auto"/>
              <w:jc w:val="center"/>
              <w:rPr>
                <w:rFonts w:hAnsi="宋体" w:cs="宋体"/>
                <w:b/>
                <w:bCs/>
                <w:szCs w:val="24"/>
                <w:highlight w:val="none"/>
              </w:rPr>
            </w:pPr>
          </w:p>
        </w:tc>
        <w:tc>
          <w:tcPr>
            <w:tcW w:w="553" w:type="dxa"/>
            <w:vMerge w:val="restart"/>
            <w:vAlign w:val="center"/>
          </w:tcPr>
          <w:p w14:paraId="7EC9B1C9">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响应性审查</w:t>
            </w:r>
          </w:p>
        </w:tc>
        <w:tc>
          <w:tcPr>
            <w:tcW w:w="2349" w:type="dxa"/>
            <w:vAlign w:val="bottom"/>
          </w:tcPr>
          <w:p w14:paraId="3CF18AEE">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对招标文件响应程度</w:t>
            </w:r>
          </w:p>
        </w:tc>
        <w:tc>
          <w:tcPr>
            <w:tcW w:w="5064" w:type="dxa"/>
            <w:vAlign w:val="bottom"/>
          </w:tcPr>
          <w:p w14:paraId="106191D2">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要求全面响应，不能有任何采购人不能接受的附加条件</w:t>
            </w:r>
          </w:p>
        </w:tc>
      </w:tr>
      <w:tr w14:paraId="2983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continue"/>
            <w:vAlign w:val="center"/>
          </w:tcPr>
          <w:p w14:paraId="25146EE4">
            <w:pPr>
              <w:tabs>
                <w:tab w:val="left" w:pos="0"/>
              </w:tabs>
              <w:adjustRightInd w:val="0"/>
              <w:snapToGrid w:val="0"/>
              <w:spacing w:line="360" w:lineRule="auto"/>
              <w:jc w:val="center"/>
              <w:rPr>
                <w:rFonts w:hAnsi="宋体" w:cs="宋体"/>
                <w:szCs w:val="24"/>
                <w:highlight w:val="none"/>
              </w:rPr>
            </w:pPr>
          </w:p>
        </w:tc>
        <w:tc>
          <w:tcPr>
            <w:tcW w:w="587" w:type="dxa"/>
            <w:vMerge w:val="continue"/>
            <w:vAlign w:val="center"/>
          </w:tcPr>
          <w:p w14:paraId="0961EA1C">
            <w:pPr>
              <w:tabs>
                <w:tab w:val="left" w:pos="0"/>
              </w:tabs>
              <w:adjustRightInd w:val="0"/>
              <w:snapToGrid w:val="0"/>
              <w:spacing w:line="360" w:lineRule="auto"/>
              <w:jc w:val="center"/>
              <w:rPr>
                <w:rFonts w:hAnsi="宋体" w:cs="宋体"/>
                <w:b/>
                <w:bCs/>
                <w:szCs w:val="24"/>
                <w:highlight w:val="none"/>
              </w:rPr>
            </w:pPr>
          </w:p>
        </w:tc>
        <w:tc>
          <w:tcPr>
            <w:tcW w:w="553" w:type="dxa"/>
            <w:vMerge w:val="continue"/>
            <w:vAlign w:val="center"/>
          </w:tcPr>
          <w:p w14:paraId="3A805866">
            <w:pPr>
              <w:tabs>
                <w:tab w:val="left" w:pos="0"/>
              </w:tabs>
              <w:adjustRightInd w:val="0"/>
              <w:snapToGrid w:val="0"/>
              <w:spacing w:line="360" w:lineRule="auto"/>
              <w:jc w:val="center"/>
              <w:rPr>
                <w:rFonts w:hint="eastAsia" w:hAnsi="宋体" w:cs="宋体"/>
                <w:b/>
                <w:bCs/>
                <w:szCs w:val="24"/>
                <w:highlight w:val="none"/>
              </w:rPr>
            </w:pPr>
          </w:p>
        </w:tc>
        <w:tc>
          <w:tcPr>
            <w:tcW w:w="2349" w:type="dxa"/>
            <w:vAlign w:val="bottom"/>
          </w:tcPr>
          <w:p w14:paraId="6361B869">
            <w:pPr>
              <w:tabs>
                <w:tab w:val="left" w:pos="0"/>
              </w:tabs>
              <w:adjustRightInd w:val="0"/>
              <w:snapToGrid w:val="0"/>
              <w:spacing w:line="360" w:lineRule="auto"/>
              <w:jc w:val="center"/>
              <w:rPr>
                <w:rFonts w:hint="eastAsia" w:hAnsi="宋体" w:eastAsia="宋体" w:cs="宋体"/>
                <w:b/>
                <w:bCs/>
                <w:szCs w:val="24"/>
                <w:highlight w:val="none"/>
                <w:lang w:val="en-US" w:eastAsia="zh-CN"/>
              </w:rPr>
            </w:pPr>
            <w:r>
              <w:rPr>
                <w:rFonts w:hint="eastAsia" w:hAnsi="宋体" w:cs="宋体"/>
                <w:b/>
                <w:bCs/>
                <w:szCs w:val="24"/>
                <w:highlight w:val="none"/>
                <w:lang w:val="en-US" w:eastAsia="zh-CN"/>
              </w:rPr>
              <w:t>保证金</w:t>
            </w:r>
          </w:p>
        </w:tc>
        <w:tc>
          <w:tcPr>
            <w:tcW w:w="5064" w:type="dxa"/>
            <w:vAlign w:val="bottom"/>
          </w:tcPr>
          <w:p w14:paraId="7B2F6AB3">
            <w:pPr>
              <w:tabs>
                <w:tab w:val="left" w:pos="0"/>
              </w:tabs>
              <w:adjustRightInd w:val="0"/>
              <w:snapToGrid w:val="0"/>
              <w:spacing w:line="360" w:lineRule="auto"/>
              <w:rPr>
                <w:rFonts w:hint="eastAsia" w:hAnsi="宋体" w:cs="宋体"/>
                <w:szCs w:val="24"/>
                <w:highlight w:val="none"/>
              </w:rPr>
            </w:pPr>
            <w:r>
              <w:rPr>
                <w:rFonts w:hint="eastAsia" w:hAnsi="宋体" w:cs="宋体"/>
                <w:szCs w:val="24"/>
                <w:highlight w:val="none"/>
              </w:rPr>
              <w:t>应满足招标文件中要求</w:t>
            </w:r>
          </w:p>
        </w:tc>
      </w:tr>
      <w:tr w14:paraId="4216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5" w:type="dxa"/>
            <w:vMerge w:val="continue"/>
          </w:tcPr>
          <w:p w14:paraId="2F9C12B9">
            <w:pPr>
              <w:tabs>
                <w:tab w:val="left" w:pos="0"/>
              </w:tabs>
              <w:adjustRightInd w:val="0"/>
              <w:snapToGrid w:val="0"/>
              <w:spacing w:line="360" w:lineRule="auto"/>
              <w:rPr>
                <w:rFonts w:hAnsi="宋体" w:cs="宋体"/>
                <w:szCs w:val="24"/>
                <w:highlight w:val="none"/>
              </w:rPr>
            </w:pPr>
          </w:p>
        </w:tc>
        <w:tc>
          <w:tcPr>
            <w:tcW w:w="587" w:type="dxa"/>
            <w:vMerge w:val="continue"/>
          </w:tcPr>
          <w:p w14:paraId="0B5B4A59">
            <w:pPr>
              <w:tabs>
                <w:tab w:val="left" w:pos="0"/>
              </w:tabs>
              <w:adjustRightInd w:val="0"/>
              <w:snapToGrid w:val="0"/>
              <w:spacing w:line="360" w:lineRule="auto"/>
              <w:rPr>
                <w:rFonts w:hAnsi="宋体" w:cs="宋体"/>
                <w:b/>
                <w:bCs/>
                <w:szCs w:val="24"/>
                <w:highlight w:val="none"/>
              </w:rPr>
            </w:pPr>
          </w:p>
        </w:tc>
        <w:tc>
          <w:tcPr>
            <w:tcW w:w="553" w:type="dxa"/>
            <w:vMerge w:val="continue"/>
          </w:tcPr>
          <w:p w14:paraId="1BE2468F">
            <w:pPr>
              <w:tabs>
                <w:tab w:val="left" w:pos="0"/>
              </w:tabs>
              <w:adjustRightInd w:val="0"/>
              <w:snapToGrid w:val="0"/>
              <w:spacing w:line="360" w:lineRule="auto"/>
              <w:rPr>
                <w:rFonts w:hAnsi="宋体" w:cs="宋体"/>
                <w:b/>
                <w:bCs/>
                <w:szCs w:val="24"/>
                <w:highlight w:val="none"/>
              </w:rPr>
            </w:pPr>
          </w:p>
        </w:tc>
        <w:tc>
          <w:tcPr>
            <w:tcW w:w="2349" w:type="dxa"/>
            <w:vAlign w:val="bottom"/>
          </w:tcPr>
          <w:p w14:paraId="3988AFAC">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交货期</w:t>
            </w:r>
          </w:p>
        </w:tc>
        <w:tc>
          <w:tcPr>
            <w:tcW w:w="5064" w:type="dxa"/>
            <w:vAlign w:val="bottom"/>
          </w:tcPr>
          <w:p w14:paraId="65FF24C1">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应满足招标文件中要求的交货期</w:t>
            </w:r>
          </w:p>
        </w:tc>
      </w:tr>
      <w:tr w14:paraId="40F7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Merge w:val="continue"/>
          </w:tcPr>
          <w:p w14:paraId="63D6D184">
            <w:pPr>
              <w:tabs>
                <w:tab w:val="left" w:pos="0"/>
              </w:tabs>
              <w:adjustRightInd w:val="0"/>
              <w:snapToGrid w:val="0"/>
              <w:spacing w:line="360" w:lineRule="auto"/>
              <w:rPr>
                <w:rFonts w:hAnsi="宋体" w:cs="宋体"/>
                <w:szCs w:val="24"/>
                <w:highlight w:val="none"/>
              </w:rPr>
            </w:pPr>
          </w:p>
        </w:tc>
        <w:tc>
          <w:tcPr>
            <w:tcW w:w="587" w:type="dxa"/>
            <w:vMerge w:val="continue"/>
          </w:tcPr>
          <w:p w14:paraId="795E3E0D">
            <w:pPr>
              <w:tabs>
                <w:tab w:val="left" w:pos="0"/>
              </w:tabs>
              <w:adjustRightInd w:val="0"/>
              <w:snapToGrid w:val="0"/>
              <w:spacing w:line="360" w:lineRule="auto"/>
              <w:rPr>
                <w:rFonts w:hAnsi="宋体" w:cs="宋体"/>
                <w:b/>
                <w:bCs/>
                <w:szCs w:val="24"/>
                <w:highlight w:val="none"/>
              </w:rPr>
            </w:pPr>
          </w:p>
        </w:tc>
        <w:tc>
          <w:tcPr>
            <w:tcW w:w="553" w:type="dxa"/>
            <w:vMerge w:val="continue"/>
          </w:tcPr>
          <w:p w14:paraId="24101192">
            <w:pPr>
              <w:tabs>
                <w:tab w:val="left" w:pos="0"/>
              </w:tabs>
              <w:adjustRightInd w:val="0"/>
              <w:snapToGrid w:val="0"/>
              <w:spacing w:line="360" w:lineRule="auto"/>
              <w:rPr>
                <w:rFonts w:hAnsi="宋体" w:cs="宋体"/>
                <w:b/>
                <w:bCs/>
                <w:szCs w:val="24"/>
                <w:highlight w:val="none"/>
              </w:rPr>
            </w:pPr>
          </w:p>
        </w:tc>
        <w:tc>
          <w:tcPr>
            <w:tcW w:w="2349" w:type="dxa"/>
            <w:vAlign w:val="bottom"/>
          </w:tcPr>
          <w:p w14:paraId="21C6B396">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交货地点</w:t>
            </w:r>
          </w:p>
        </w:tc>
        <w:tc>
          <w:tcPr>
            <w:tcW w:w="5064" w:type="dxa"/>
            <w:vAlign w:val="bottom"/>
          </w:tcPr>
          <w:p w14:paraId="1AEFEBC1">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应满足招标文件中要求的交货地点</w:t>
            </w:r>
          </w:p>
        </w:tc>
      </w:tr>
      <w:tr w14:paraId="2050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5" w:type="dxa"/>
            <w:vMerge w:val="continue"/>
          </w:tcPr>
          <w:p w14:paraId="34D7FC76">
            <w:pPr>
              <w:tabs>
                <w:tab w:val="left" w:pos="0"/>
              </w:tabs>
              <w:adjustRightInd w:val="0"/>
              <w:snapToGrid w:val="0"/>
              <w:spacing w:line="360" w:lineRule="auto"/>
              <w:rPr>
                <w:rFonts w:hAnsi="宋体" w:cs="宋体"/>
                <w:szCs w:val="24"/>
                <w:highlight w:val="none"/>
              </w:rPr>
            </w:pPr>
          </w:p>
        </w:tc>
        <w:tc>
          <w:tcPr>
            <w:tcW w:w="587" w:type="dxa"/>
            <w:vMerge w:val="continue"/>
          </w:tcPr>
          <w:p w14:paraId="7AB57FED">
            <w:pPr>
              <w:tabs>
                <w:tab w:val="left" w:pos="0"/>
              </w:tabs>
              <w:adjustRightInd w:val="0"/>
              <w:snapToGrid w:val="0"/>
              <w:spacing w:line="360" w:lineRule="auto"/>
              <w:rPr>
                <w:rFonts w:hAnsi="宋体" w:cs="宋体"/>
                <w:b/>
                <w:bCs/>
                <w:szCs w:val="24"/>
                <w:highlight w:val="none"/>
              </w:rPr>
            </w:pPr>
          </w:p>
        </w:tc>
        <w:tc>
          <w:tcPr>
            <w:tcW w:w="553" w:type="dxa"/>
            <w:vMerge w:val="continue"/>
          </w:tcPr>
          <w:p w14:paraId="5A201BA7">
            <w:pPr>
              <w:tabs>
                <w:tab w:val="left" w:pos="0"/>
              </w:tabs>
              <w:adjustRightInd w:val="0"/>
              <w:snapToGrid w:val="0"/>
              <w:spacing w:line="360" w:lineRule="auto"/>
              <w:rPr>
                <w:rFonts w:hAnsi="宋体" w:cs="宋体"/>
                <w:b/>
                <w:bCs/>
                <w:szCs w:val="24"/>
                <w:highlight w:val="none"/>
              </w:rPr>
            </w:pPr>
          </w:p>
        </w:tc>
        <w:tc>
          <w:tcPr>
            <w:tcW w:w="2349" w:type="dxa"/>
            <w:vAlign w:val="bottom"/>
          </w:tcPr>
          <w:p w14:paraId="6CC12905">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投标有效期</w:t>
            </w:r>
          </w:p>
        </w:tc>
        <w:tc>
          <w:tcPr>
            <w:tcW w:w="5064" w:type="dxa"/>
            <w:vAlign w:val="bottom"/>
          </w:tcPr>
          <w:p w14:paraId="5F35AF0C">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应满足招标文件中的规定</w:t>
            </w:r>
          </w:p>
        </w:tc>
      </w:tr>
    </w:tbl>
    <w:p w14:paraId="48CD8801">
      <w:pPr>
        <w:spacing w:line="56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附件2：</w:t>
      </w:r>
    </w:p>
    <w:p w14:paraId="75FD69CE">
      <w:pPr>
        <w:spacing w:line="560" w:lineRule="exact"/>
        <w:jc w:val="center"/>
        <w:rPr>
          <w:rFonts w:hAnsi="宋体" w:cs="宋体"/>
          <w:b/>
          <w:szCs w:val="24"/>
          <w:highlight w:val="none"/>
        </w:rPr>
      </w:pPr>
      <w:r>
        <w:rPr>
          <w:rFonts w:hint="eastAsia" w:hAnsi="宋体" w:cs="宋体"/>
          <w:b/>
          <w:szCs w:val="24"/>
          <w:highlight w:val="none"/>
        </w:rPr>
        <w:t>评标因素及权重分值表</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656"/>
        <w:gridCol w:w="438"/>
        <w:gridCol w:w="6564"/>
        <w:gridCol w:w="741"/>
      </w:tblGrid>
      <w:tr w14:paraId="7D58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75" w:type="pct"/>
            <w:vAlign w:val="center"/>
          </w:tcPr>
          <w:p w14:paraId="2CC87403">
            <w:pPr>
              <w:pStyle w:val="15"/>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353" w:type="pct"/>
            <w:vAlign w:val="center"/>
          </w:tcPr>
          <w:p w14:paraId="7C31CFEC">
            <w:pPr>
              <w:spacing w:line="360" w:lineRule="auto"/>
              <w:jc w:val="center"/>
              <w:rPr>
                <w:rFonts w:hAnsi="宋体" w:cs="宋体"/>
                <w:b/>
                <w:bCs/>
                <w:szCs w:val="24"/>
                <w:highlight w:val="none"/>
              </w:rPr>
            </w:pPr>
            <w:r>
              <w:rPr>
                <w:rFonts w:hint="eastAsia" w:hAnsi="宋体" w:cs="宋体"/>
                <w:b/>
                <w:bCs/>
                <w:szCs w:val="24"/>
                <w:highlight w:val="none"/>
              </w:rPr>
              <w:t>总分</w:t>
            </w:r>
          </w:p>
        </w:tc>
        <w:tc>
          <w:tcPr>
            <w:tcW w:w="3772" w:type="pct"/>
            <w:gridSpan w:val="2"/>
            <w:vAlign w:val="center"/>
          </w:tcPr>
          <w:p w14:paraId="0D5FC515">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c>
          <w:tcPr>
            <w:tcW w:w="399" w:type="pct"/>
            <w:vAlign w:val="center"/>
          </w:tcPr>
          <w:p w14:paraId="5726E4B8">
            <w:pPr>
              <w:spacing w:line="276" w:lineRule="auto"/>
              <w:rPr>
                <w:rFonts w:hAnsi="宋体" w:cs="宋体"/>
                <w:b/>
                <w:bCs/>
                <w:szCs w:val="24"/>
                <w:highlight w:val="none"/>
              </w:rPr>
            </w:pPr>
            <w:r>
              <w:rPr>
                <w:rFonts w:hint="eastAsia" w:hAnsi="宋体" w:cs="宋体"/>
                <w:b/>
                <w:bCs/>
                <w:szCs w:val="24"/>
                <w:highlight w:val="none"/>
              </w:rPr>
              <w:t>最高</w:t>
            </w:r>
          </w:p>
          <w:p w14:paraId="27AD88D9">
            <w:pPr>
              <w:spacing w:line="276" w:lineRule="auto"/>
              <w:rPr>
                <w:rFonts w:hAnsi="宋体" w:cs="宋体"/>
                <w:b/>
                <w:bCs/>
                <w:szCs w:val="24"/>
                <w:highlight w:val="none"/>
              </w:rPr>
            </w:pPr>
            <w:r>
              <w:rPr>
                <w:rFonts w:hint="eastAsia" w:hAnsi="宋体" w:cs="宋体"/>
                <w:b/>
                <w:bCs/>
                <w:szCs w:val="24"/>
                <w:highlight w:val="none"/>
              </w:rPr>
              <w:t>得分</w:t>
            </w:r>
          </w:p>
        </w:tc>
      </w:tr>
      <w:tr w14:paraId="5254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75" w:type="pct"/>
            <w:vAlign w:val="center"/>
          </w:tcPr>
          <w:p w14:paraId="63481370">
            <w:pPr>
              <w:spacing w:line="276" w:lineRule="auto"/>
              <w:jc w:val="center"/>
              <w:rPr>
                <w:rFonts w:hAnsi="宋体" w:cs="宋体"/>
                <w:b/>
                <w:szCs w:val="24"/>
                <w:highlight w:val="none"/>
              </w:rPr>
            </w:pPr>
            <w:r>
              <w:rPr>
                <w:rFonts w:hint="eastAsia" w:hAnsi="宋体" w:cs="宋体"/>
                <w:b/>
                <w:szCs w:val="24"/>
                <w:highlight w:val="none"/>
              </w:rPr>
              <w:t>价格</w:t>
            </w:r>
          </w:p>
          <w:p w14:paraId="1443632D">
            <w:pPr>
              <w:spacing w:line="276" w:lineRule="auto"/>
              <w:jc w:val="center"/>
              <w:rPr>
                <w:rFonts w:hAnsi="宋体" w:cs="宋体"/>
                <w:b/>
                <w:bCs/>
                <w:szCs w:val="24"/>
                <w:highlight w:val="none"/>
              </w:rPr>
            </w:pPr>
            <w:r>
              <w:rPr>
                <w:rFonts w:hint="eastAsia" w:hAnsi="宋体" w:cs="宋体"/>
                <w:b/>
                <w:szCs w:val="24"/>
                <w:highlight w:val="none"/>
              </w:rPr>
              <w:t>评审</w:t>
            </w:r>
          </w:p>
        </w:tc>
        <w:tc>
          <w:tcPr>
            <w:tcW w:w="353" w:type="pct"/>
            <w:vAlign w:val="center"/>
          </w:tcPr>
          <w:p w14:paraId="74E359F7">
            <w:pPr>
              <w:spacing w:line="360" w:lineRule="auto"/>
              <w:jc w:val="center"/>
              <w:rPr>
                <w:rFonts w:hAnsi="宋体" w:cs="宋体"/>
                <w:b/>
                <w:bCs/>
                <w:szCs w:val="24"/>
                <w:highlight w:val="none"/>
              </w:rPr>
            </w:pPr>
            <w:r>
              <w:rPr>
                <w:rFonts w:hint="eastAsia" w:hAnsi="宋体" w:cs="宋体"/>
                <w:b/>
                <w:bCs/>
                <w:szCs w:val="24"/>
                <w:highlight w:val="none"/>
                <w:lang w:val="en-US" w:eastAsia="zh-CN"/>
              </w:rPr>
              <w:t>30</w:t>
            </w:r>
            <w:r>
              <w:rPr>
                <w:rFonts w:hint="eastAsia" w:hAnsi="宋体" w:cs="宋体"/>
                <w:b/>
                <w:bCs/>
                <w:szCs w:val="24"/>
                <w:highlight w:val="none"/>
              </w:rPr>
              <w:t>分</w:t>
            </w:r>
          </w:p>
        </w:tc>
        <w:tc>
          <w:tcPr>
            <w:tcW w:w="3772" w:type="pct"/>
            <w:gridSpan w:val="2"/>
            <w:vAlign w:val="center"/>
          </w:tcPr>
          <w:p w14:paraId="2F2A096A">
            <w:pPr>
              <w:spacing w:line="360" w:lineRule="auto"/>
              <w:rPr>
                <w:rFonts w:hAnsi="宋体" w:cs="宋体"/>
                <w:szCs w:val="24"/>
                <w:highlight w:val="none"/>
              </w:rPr>
            </w:pPr>
            <w:r>
              <w:rPr>
                <w:rFonts w:hint="eastAsia" w:hAnsi="宋体" w:cs="宋体"/>
                <w:szCs w:val="24"/>
                <w:highlight w:val="none"/>
              </w:rPr>
              <w:t>1.经初审合格的</w:t>
            </w:r>
            <w:r>
              <w:rPr>
                <w:rFonts w:hint="eastAsia" w:hAnsi="宋体" w:cs="宋体"/>
                <w:szCs w:val="24"/>
                <w:highlight w:val="none"/>
                <w:lang w:eastAsia="zh-CN"/>
              </w:rPr>
              <w:t>投标</w:t>
            </w:r>
            <w:r>
              <w:rPr>
                <w:rFonts w:hint="eastAsia" w:hAnsi="宋体" w:cs="宋体"/>
                <w:szCs w:val="24"/>
                <w:highlight w:val="none"/>
              </w:rPr>
              <w:t>文件，其</w:t>
            </w:r>
            <w:r>
              <w:rPr>
                <w:rFonts w:hint="eastAsia" w:hAnsi="宋体" w:cs="宋体"/>
                <w:szCs w:val="24"/>
                <w:highlight w:val="none"/>
                <w:lang w:eastAsia="zh-CN"/>
              </w:rPr>
              <w:t>投标</w:t>
            </w:r>
            <w:r>
              <w:rPr>
                <w:rFonts w:hint="eastAsia" w:hAnsi="宋体" w:cs="宋体"/>
                <w:szCs w:val="24"/>
                <w:highlight w:val="none"/>
              </w:rPr>
              <w:t>报价为有效</w:t>
            </w:r>
            <w:r>
              <w:rPr>
                <w:rFonts w:hint="eastAsia" w:hAnsi="宋体" w:cs="宋体"/>
                <w:szCs w:val="24"/>
                <w:highlight w:val="none"/>
                <w:lang w:val="en-US" w:eastAsia="zh-CN"/>
              </w:rPr>
              <w:t>投标</w:t>
            </w:r>
            <w:r>
              <w:rPr>
                <w:rFonts w:hint="eastAsia" w:hAnsi="宋体" w:cs="宋体"/>
                <w:szCs w:val="24"/>
                <w:highlight w:val="none"/>
              </w:rPr>
              <w:t>报价，对符合政策性扣减的供应商的有效</w:t>
            </w:r>
            <w:r>
              <w:rPr>
                <w:rFonts w:hint="eastAsia" w:hAnsi="宋体" w:cs="宋体"/>
                <w:szCs w:val="24"/>
                <w:highlight w:val="none"/>
                <w:lang w:eastAsia="zh-CN"/>
              </w:rPr>
              <w:t>投标报价</w:t>
            </w:r>
            <w:r>
              <w:rPr>
                <w:rFonts w:hint="eastAsia" w:hAnsi="宋体" w:cs="宋体"/>
                <w:szCs w:val="24"/>
                <w:highlight w:val="none"/>
              </w:rPr>
              <w:t>进行政策性扣减，并依据扣减后的价格（评审价格）进行价格评审。</w:t>
            </w:r>
          </w:p>
          <w:p w14:paraId="7F0E46E3">
            <w:pPr>
              <w:spacing w:line="360" w:lineRule="auto"/>
              <w:ind w:left="-108" w:leftChars="-45" w:firstLine="120" w:firstLineChars="50"/>
              <w:rPr>
                <w:rFonts w:hAnsi="宋体" w:cs="宋体"/>
                <w:szCs w:val="24"/>
                <w:highlight w:val="none"/>
              </w:rPr>
            </w:pPr>
            <w:r>
              <w:rPr>
                <w:rFonts w:hint="eastAsia" w:hAnsi="宋体" w:cs="宋体"/>
                <w:szCs w:val="24"/>
                <w:highlight w:val="none"/>
              </w:rPr>
              <w:t>2.满足</w:t>
            </w:r>
            <w:r>
              <w:rPr>
                <w:rFonts w:hint="eastAsia" w:hAnsi="宋体" w:cs="宋体"/>
                <w:szCs w:val="24"/>
                <w:highlight w:val="none"/>
                <w:lang w:eastAsia="zh-CN"/>
              </w:rPr>
              <w:t>招标</w:t>
            </w:r>
            <w:r>
              <w:rPr>
                <w:rFonts w:hint="eastAsia" w:hAnsi="宋体" w:cs="宋体"/>
                <w:szCs w:val="24"/>
                <w:highlight w:val="none"/>
              </w:rPr>
              <w:t>文件实质性要求且</w:t>
            </w:r>
            <w:r>
              <w:rPr>
                <w:rFonts w:hint="eastAsia" w:hAnsi="宋体" w:cs="宋体"/>
                <w:szCs w:val="24"/>
                <w:highlight w:val="none"/>
                <w:lang w:eastAsia="zh-CN"/>
              </w:rPr>
              <w:t>投标</w:t>
            </w:r>
            <w:r>
              <w:rPr>
                <w:rFonts w:hint="eastAsia" w:hAnsi="宋体" w:cs="宋体"/>
                <w:szCs w:val="24"/>
                <w:highlight w:val="none"/>
              </w:rPr>
              <w:t>报价最低的供应商的价格为</w:t>
            </w:r>
            <w:r>
              <w:rPr>
                <w:rFonts w:hint="eastAsia" w:hAnsi="宋体" w:cs="宋体"/>
                <w:szCs w:val="24"/>
                <w:highlight w:val="none"/>
                <w:lang w:eastAsia="zh-CN"/>
              </w:rPr>
              <w:t>投标</w:t>
            </w:r>
            <w:r>
              <w:rPr>
                <w:rFonts w:hint="eastAsia" w:hAnsi="宋体" w:cs="宋体"/>
                <w:szCs w:val="24"/>
                <w:highlight w:val="none"/>
              </w:rPr>
              <w:t>基准价，其价格分为满分</w:t>
            </w:r>
            <w:r>
              <w:rPr>
                <w:rFonts w:hint="eastAsia" w:hAnsi="宋体" w:cs="宋体"/>
                <w:szCs w:val="24"/>
                <w:highlight w:val="none"/>
                <w:lang w:val="en-US" w:eastAsia="zh-CN"/>
              </w:rPr>
              <w:t>30</w:t>
            </w:r>
            <w:r>
              <w:rPr>
                <w:rFonts w:hint="eastAsia" w:hAnsi="宋体" w:cs="宋体"/>
                <w:szCs w:val="24"/>
                <w:highlight w:val="none"/>
              </w:rPr>
              <w:t>分。</w:t>
            </w:r>
          </w:p>
          <w:p w14:paraId="1F835CF2">
            <w:pPr>
              <w:spacing w:line="360" w:lineRule="auto"/>
              <w:ind w:left="-108" w:leftChars="-45" w:firstLine="120" w:firstLineChars="50"/>
              <w:rPr>
                <w:rFonts w:hAnsi="宋体" w:cs="宋体"/>
                <w:szCs w:val="24"/>
                <w:highlight w:val="none"/>
              </w:rPr>
            </w:pPr>
            <w:r>
              <w:rPr>
                <w:rFonts w:hint="eastAsia" w:hAnsi="宋体" w:cs="宋体"/>
                <w:szCs w:val="24"/>
                <w:highlight w:val="none"/>
              </w:rPr>
              <w:t>3.</w:t>
            </w:r>
            <w:r>
              <w:rPr>
                <w:rFonts w:hint="eastAsia" w:hAnsi="宋体"/>
                <w:highlight w:val="none"/>
              </w:rPr>
              <w:t>价格分统一采用低价优先法，即满足</w:t>
            </w:r>
            <w:r>
              <w:rPr>
                <w:rFonts w:hint="eastAsia" w:hAnsi="宋体"/>
                <w:highlight w:val="none"/>
                <w:lang w:eastAsia="zh-CN"/>
              </w:rPr>
              <w:t>招标</w:t>
            </w:r>
            <w:r>
              <w:rPr>
                <w:rFonts w:hint="eastAsia" w:hAnsi="宋体"/>
                <w:highlight w:val="none"/>
              </w:rPr>
              <w:t>文件要求且</w:t>
            </w:r>
            <w:r>
              <w:rPr>
                <w:rFonts w:hint="eastAsia" w:hAnsi="宋体"/>
                <w:highlight w:val="none"/>
                <w:lang w:eastAsia="zh-CN"/>
              </w:rPr>
              <w:t>投标报价</w:t>
            </w:r>
            <w:r>
              <w:rPr>
                <w:rFonts w:hint="eastAsia" w:hAnsi="宋体"/>
                <w:highlight w:val="none"/>
              </w:rPr>
              <w:t>最低的为</w:t>
            </w:r>
            <w:r>
              <w:rPr>
                <w:rFonts w:hint="eastAsia" w:hAnsi="宋体"/>
                <w:highlight w:val="none"/>
                <w:lang w:eastAsia="zh-CN"/>
              </w:rPr>
              <w:t>投标</w:t>
            </w:r>
            <w:r>
              <w:rPr>
                <w:rFonts w:hint="eastAsia" w:hAnsi="宋体"/>
                <w:highlight w:val="none"/>
              </w:rPr>
              <w:t>基准价，其价格分为满分。其他供应商的价格分统一按照下列公式计算：</w:t>
            </w:r>
            <w:r>
              <w:rPr>
                <w:rFonts w:hint="eastAsia" w:hAnsi="宋体"/>
                <w:highlight w:val="none"/>
                <w:lang w:eastAsia="zh-CN"/>
              </w:rPr>
              <w:t>投标</w:t>
            </w:r>
            <w:r>
              <w:rPr>
                <w:rFonts w:hint="eastAsia" w:hAnsi="宋体"/>
                <w:highlight w:val="none"/>
              </w:rPr>
              <w:t>报价得分=(</w:t>
            </w:r>
            <w:r>
              <w:rPr>
                <w:rFonts w:hint="eastAsia" w:hAnsi="宋体"/>
                <w:highlight w:val="none"/>
                <w:lang w:eastAsia="zh-CN"/>
              </w:rPr>
              <w:t>投标</w:t>
            </w:r>
            <w:r>
              <w:rPr>
                <w:rFonts w:hint="eastAsia" w:hAnsi="宋体"/>
                <w:highlight w:val="none"/>
              </w:rPr>
              <w:t>基准价／</w:t>
            </w:r>
            <w:r>
              <w:rPr>
                <w:rFonts w:hint="eastAsia" w:hAnsi="宋体"/>
                <w:highlight w:val="none"/>
                <w:lang w:eastAsia="zh-CN"/>
              </w:rPr>
              <w:t>投标</w:t>
            </w:r>
            <w:r>
              <w:rPr>
                <w:rFonts w:hint="eastAsia" w:hAnsi="宋体"/>
                <w:highlight w:val="none"/>
              </w:rPr>
              <w:t>报价)×</w:t>
            </w:r>
            <w:r>
              <w:rPr>
                <w:rFonts w:hint="eastAsia" w:hAnsi="宋体"/>
                <w:highlight w:val="none"/>
                <w:lang w:val="en-US" w:eastAsia="zh-CN"/>
              </w:rPr>
              <w:t>30</w:t>
            </w:r>
            <w:r>
              <w:rPr>
                <w:rFonts w:hint="eastAsia" w:hAnsi="宋体"/>
                <w:highlight w:val="none"/>
              </w:rPr>
              <w:t>，计算分数时四舍五入取小数点后两位；</w:t>
            </w:r>
          </w:p>
          <w:p w14:paraId="5F9C0178">
            <w:pPr>
              <w:spacing w:line="360" w:lineRule="auto"/>
              <w:ind w:left="-108" w:leftChars="-45" w:firstLine="120" w:firstLineChars="50"/>
              <w:rPr>
                <w:rFonts w:hAnsi="宋体" w:cs="宋体"/>
                <w:szCs w:val="24"/>
                <w:highlight w:val="none"/>
              </w:rPr>
            </w:pPr>
            <w:r>
              <w:rPr>
                <w:rFonts w:hint="eastAsia" w:hAnsi="宋体" w:cs="宋体"/>
                <w:szCs w:val="24"/>
                <w:highlight w:val="none"/>
              </w:rPr>
              <w:t>4.</w:t>
            </w:r>
            <w:r>
              <w:rPr>
                <w:rFonts w:hint="eastAsia" w:hAnsi="宋体" w:cs="宋体"/>
                <w:szCs w:val="24"/>
                <w:highlight w:val="none"/>
                <w:lang w:eastAsia="zh-CN"/>
              </w:rPr>
              <w:t>投标</w:t>
            </w:r>
            <w:r>
              <w:rPr>
                <w:rFonts w:hint="eastAsia" w:hAnsi="宋体" w:cs="宋体"/>
                <w:szCs w:val="24"/>
                <w:highlight w:val="none"/>
              </w:rPr>
              <w:t>报价不完整的，不进入评标标准价的计算，本项得0分。</w:t>
            </w:r>
          </w:p>
          <w:p w14:paraId="1DB6A3EA">
            <w:pPr>
              <w:spacing w:line="360" w:lineRule="auto"/>
              <w:ind w:left="-108" w:leftChars="-45" w:firstLine="120" w:firstLineChars="50"/>
              <w:rPr>
                <w:rFonts w:hAnsi="宋体" w:cs="宋体"/>
                <w:szCs w:val="24"/>
                <w:highlight w:val="none"/>
              </w:rPr>
            </w:pPr>
            <w:r>
              <w:rPr>
                <w:rFonts w:hint="eastAsia" w:hAnsi="宋体" w:cs="宋体"/>
                <w:szCs w:val="24"/>
                <w:highlight w:val="none"/>
              </w:rPr>
              <w:t>5.经评委一致认定，供应商的</w:t>
            </w:r>
            <w:r>
              <w:rPr>
                <w:rFonts w:hint="eastAsia" w:hAnsi="宋体" w:cs="宋体"/>
                <w:szCs w:val="24"/>
                <w:highlight w:val="none"/>
                <w:lang w:eastAsia="zh-CN"/>
              </w:rPr>
              <w:t>投标</w:t>
            </w:r>
            <w:r>
              <w:rPr>
                <w:rFonts w:hint="eastAsia" w:hAnsi="宋体" w:cs="宋体"/>
                <w:szCs w:val="24"/>
                <w:highlight w:val="none"/>
              </w:rPr>
              <w:t>报价低于公认市场成本，或超过采购预算,其响应将被拒绝。</w:t>
            </w:r>
          </w:p>
        </w:tc>
        <w:tc>
          <w:tcPr>
            <w:tcW w:w="399" w:type="pct"/>
            <w:vAlign w:val="center"/>
          </w:tcPr>
          <w:p w14:paraId="56E9EA67">
            <w:pPr>
              <w:spacing w:line="360" w:lineRule="auto"/>
              <w:jc w:val="center"/>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0分</w:t>
            </w:r>
          </w:p>
        </w:tc>
      </w:tr>
      <w:tr w14:paraId="456F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475" w:type="pct"/>
            <w:vMerge w:val="restart"/>
            <w:vAlign w:val="center"/>
          </w:tcPr>
          <w:p w14:paraId="2D460033">
            <w:pPr>
              <w:spacing w:line="276" w:lineRule="auto"/>
              <w:jc w:val="center"/>
              <w:rPr>
                <w:rFonts w:hAnsi="宋体" w:cs="宋体"/>
                <w:b/>
                <w:szCs w:val="24"/>
                <w:highlight w:val="none"/>
              </w:rPr>
            </w:pPr>
            <w:r>
              <w:rPr>
                <w:rFonts w:hint="eastAsia" w:hAnsi="宋体" w:cs="宋体"/>
                <w:b/>
                <w:szCs w:val="24"/>
                <w:highlight w:val="none"/>
              </w:rPr>
              <w:t>技术方案</w:t>
            </w:r>
          </w:p>
        </w:tc>
        <w:tc>
          <w:tcPr>
            <w:tcW w:w="353" w:type="pct"/>
            <w:vMerge w:val="restart"/>
            <w:vAlign w:val="center"/>
          </w:tcPr>
          <w:p w14:paraId="264EF5CB">
            <w:pPr>
              <w:spacing w:line="560" w:lineRule="exact"/>
              <w:jc w:val="center"/>
              <w:rPr>
                <w:rFonts w:hAnsi="宋体" w:cs="宋体"/>
                <w:b/>
                <w:szCs w:val="24"/>
                <w:highlight w:val="none"/>
              </w:rPr>
            </w:pPr>
            <w:r>
              <w:rPr>
                <w:rFonts w:hint="eastAsia" w:hAnsi="宋体" w:cs="宋体"/>
                <w:b/>
                <w:szCs w:val="24"/>
                <w:highlight w:val="none"/>
                <w:lang w:val="en-US" w:eastAsia="zh-CN"/>
              </w:rPr>
              <w:t>27</w:t>
            </w:r>
            <w:r>
              <w:rPr>
                <w:rFonts w:hint="eastAsia" w:hAnsi="宋体" w:cs="宋体"/>
                <w:b/>
                <w:szCs w:val="24"/>
                <w:highlight w:val="none"/>
              </w:rPr>
              <w:t>分</w:t>
            </w:r>
          </w:p>
        </w:tc>
        <w:tc>
          <w:tcPr>
            <w:tcW w:w="235" w:type="pct"/>
            <w:vAlign w:val="center"/>
          </w:tcPr>
          <w:p w14:paraId="05EEE1D8">
            <w:pPr>
              <w:numPr>
                <w:ilvl w:val="0"/>
                <w:numId w:val="0"/>
              </w:numPr>
              <w:spacing w:line="560" w:lineRule="exact"/>
              <w:ind w:leftChars="0"/>
              <w:jc w:val="left"/>
              <w:rPr>
                <w:rFonts w:hint="default" w:hAnsi="宋体" w:cs="宋体"/>
                <w:spacing w:val="4"/>
                <w:szCs w:val="24"/>
                <w:highlight w:val="none"/>
                <w:lang w:val="en-US"/>
              </w:rPr>
            </w:pPr>
            <w:r>
              <w:rPr>
                <w:rFonts w:hint="eastAsia" w:hAnsi="宋体" w:cs="宋体"/>
                <w:spacing w:val="4"/>
                <w:szCs w:val="24"/>
                <w:highlight w:val="none"/>
                <w:lang w:val="en-US" w:eastAsia="zh-CN"/>
              </w:rPr>
              <w:t>①</w:t>
            </w:r>
          </w:p>
        </w:tc>
        <w:tc>
          <w:tcPr>
            <w:tcW w:w="3536" w:type="pct"/>
            <w:vAlign w:val="center"/>
          </w:tcPr>
          <w:p w14:paraId="2C0BC13F">
            <w:pPr>
              <w:spacing w:line="360" w:lineRule="auto"/>
              <w:ind w:left="-108" w:leftChars="-45"/>
              <w:jc w:val="left"/>
              <w:rPr>
                <w:rFonts w:hint="eastAsia" w:hAnsi="宋体" w:cs="宋体"/>
                <w:b/>
                <w:bCs/>
                <w:szCs w:val="24"/>
                <w:highlight w:val="none"/>
              </w:rPr>
            </w:pPr>
            <w:r>
              <w:rPr>
                <w:rFonts w:hint="eastAsia" w:hAnsi="宋体" w:cs="宋体"/>
                <w:b/>
                <w:bCs/>
                <w:szCs w:val="24"/>
                <w:highlight w:val="none"/>
              </w:rPr>
              <w:t>产品参数：</w:t>
            </w:r>
          </w:p>
          <w:p w14:paraId="5B0A6C2C">
            <w:pPr>
              <w:numPr>
                <w:ilvl w:val="0"/>
                <w:numId w:val="0"/>
              </w:numPr>
              <w:spacing w:line="360" w:lineRule="auto"/>
              <w:ind w:left="-108" w:leftChars="-45"/>
              <w:jc w:val="left"/>
              <w:rPr>
                <w:rFonts w:hint="eastAsia" w:hAnsi="宋体" w:cs="宋体"/>
                <w:b w:val="0"/>
                <w:bCs w:val="0"/>
                <w:szCs w:val="24"/>
                <w:highlight w:val="none"/>
                <w:lang w:val="en-US" w:eastAsia="zh-CN"/>
              </w:rPr>
            </w:pPr>
            <w:r>
              <w:rPr>
                <w:rFonts w:hint="eastAsia" w:hAnsi="宋体" w:cs="宋体"/>
                <w:b w:val="0"/>
                <w:bCs w:val="0"/>
                <w:szCs w:val="24"/>
                <w:highlight w:val="none"/>
              </w:rPr>
              <w:t>所投产品技术参数清楚、明确并能逐条响应招标文件</w:t>
            </w:r>
            <w:r>
              <w:rPr>
                <w:rFonts w:hint="eastAsia" w:hAnsi="宋体" w:cs="宋体"/>
                <w:b w:val="0"/>
                <w:bCs w:val="0"/>
                <w:szCs w:val="24"/>
                <w:highlight w:val="none"/>
                <w:lang w:val="en-US" w:eastAsia="zh-CN"/>
              </w:rPr>
              <w:t>所有参数要求，得基本分10</w:t>
            </w:r>
            <w:r>
              <w:rPr>
                <w:rFonts w:hint="eastAsia" w:hAnsi="宋体" w:cs="宋体"/>
                <w:b w:val="0"/>
                <w:bCs w:val="0"/>
                <w:szCs w:val="24"/>
                <w:highlight w:val="none"/>
              </w:rPr>
              <w:t>分，</w:t>
            </w:r>
            <w:r>
              <w:rPr>
                <w:rFonts w:hint="default" w:hAnsi="宋体" w:cs="宋体"/>
                <w:b w:val="0"/>
                <w:bCs w:val="0"/>
                <w:szCs w:val="24"/>
                <w:highlight w:val="none"/>
                <w:lang w:val="en-US" w:eastAsia="zh-CN"/>
              </w:rPr>
              <w:t>▲</w:t>
            </w:r>
            <w:r>
              <w:rPr>
                <w:rFonts w:hint="eastAsia" w:hAnsi="宋体" w:cs="宋体"/>
                <w:b w:val="0"/>
                <w:bCs w:val="0"/>
                <w:szCs w:val="24"/>
                <w:highlight w:val="none"/>
                <w:lang w:val="en-US" w:eastAsia="zh-CN"/>
              </w:rPr>
              <w:t>每</w:t>
            </w:r>
            <w:r>
              <w:rPr>
                <w:rFonts w:hint="eastAsia" w:hAnsi="宋体" w:cs="宋体"/>
                <w:b w:val="0"/>
                <w:bCs w:val="0"/>
                <w:szCs w:val="24"/>
                <w:highlight w:val="none"/>
              </w:rPr>
              <w:t>负偏离</w:t>
            </w:r>
            <w:r>
              <w:rPr>
                <w:rFonts w:hint="eastAsia" w:hAnsi="宋体" w:cs="宋体"/>
                <w:b w:val="0"/>
                <w:bCs w:val="0"/>
                <w:szCs w:val="24"/>
                <w:highlight w:val="none"/>
                <w:lang w:val="en-US" w:eastAsia="zh-CN"/>
              </w:rPr>
              <w:t>1项</w:t>
            </w:r>
            <w:r>
              <w:rPr>
                <w:rFonts w:hint="eastAsia" w:hAnsi="宋体" w:cs="宋体"/>
                <w:b w:val="0"/>
                <w:bCs w:val="0"/>
                <w:szCs w:val="24"/>
                <w:highlight w:val="none"/>
              </w:rPr>
              <w:t>扣</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一般参数每负偏</w:t>
            </w:r>
            <w:r>
              <w:rPr>
                <w:rFonts w:hint="eastAsia" w:hAnsi="宋体" w:cs="宋体"/>
                <w:b w:val="0"/>
                <w:bCs w:val="0"/>
                <w:szCs w:val="24"/>
                <w:highlight w:val="none"/>
              </w:rPr>
              <w:t>离</w:t>
            </w:r>
            <w:r>
              <w:rPr>
                <w:rFonts w:hint="eastAsia" w:hAnsi="宋体" w:cs="宋体"/>
                <w:b w:val="0"/>
                <w:bCs w:val="0"/>
                <w:szCs w:val="24"/>
                <w:highlight w:val="none"/>
                <w:lang w:val="en-US" w:eastAsia="zh-CN"/>
              </w:rPr>
              <w:t>1项</w:t>
            </w:r>
            <w:r>
              <w:rPr>
                <w:rFonts w:hint="eastAsia" w:hAnsi="宋体" w:cs="宋体"/>
                <w:b w:val="0"/>
                <w:bCs w:val="0"/>
                <w:szCs w:val="24"/>
                <w:highlight w:val="none"/>
              </w:rPr>
              <w:t>扣</w:t>
            </w:r>
            <w:r>
              <w:rPr>
                <w:rFonts w:hint="eastAsia" w:hAnsi="宋体" w:cs="宋体"/>
                <w:b w:val="0"/>
                <w:bCs w:val="0"/>
                <w:szCs w:val="24"/>
                <w:highlight w:val="none"/>
                <w:lang w:val="en-US" w:eastAsia="zh-CN"/>
              </w:rPr>
              <w:t>0.5</w:t>
            </w:r>
            <w:r>
              <w:rPr>
                <w:rFonts w:hint="eastAsia" w:hAnsi="宋体" w:cs="宋体"/>
                <w:b w:val="0"/>
                <w:bCs w:val="0"/>
                <w:szCs w:val="24"/>
                <w:highlight w:val="none"/>
              </w:rPr>
              <w:t>分</w:t>
            </w:r>
            <w:r>
              <w:rPr>
                <w:rFonts w:hint="eastAsia" w:hAnsi="宋体" w:cs="宋体"/>
                <w:b w:val="0"/>
                <w:bCs w:val="0"/>
                <w:szCs w:val="24"/>
                <w:highlight w:val="none"/>
                <w:lang w:eastAsia="zh-CN"/>
              </w:rPr>
              <w:t>，</w:t>
            </w:r>
            <w:r>
              <w:rPr>
                <w:rFonts w:hint="eastAsia" w:hAnsi="宋体" w:cs="宋体"/>
                <w:b w:val="0"/>
                <w:bCs w:val="0"/>
                <w:szCs w:val="24"/>
                <w:highlight w:val="none"/>
              </w:rPr>
              <w:t>扣完为止</w:t>
            </w:r>
            <w:r>
              <w:rPr>
                <w:rFonts w:hint="eastAsia" w:hAnsi="宋体" w:cs="宋体"/>
                <w:b w:val="0"/>
                <w:bCs w:val="0"/>
                <w:szCs w:val="24"/>
                <w:highlight w:val="none"/>
                <w:lang w:eastAsia="zh-CN"/>
              </w:rPr>
              <w:t>。</w:t>
            </w:r>
          </w:p>
          <w:p w14:paraId="013FF9D8">
            <w:pPr>
              <w:numPr>
                <w:ilvl w:val="0"/>
                <w:numId w:val="0"/>
              </w:numPr>
              <w:spacing w:line="360" w:lineRule="auto"/>
              <w:jc w:val="left"/>
              <w:rPr>
                <w:rFonts w:hint="eastAsia" w:hAnsi="宋体" w:cs="宋体"/>
                <w:b w:val="0"/>
                <w:bCs w:val="0"/>
                <w:szCs w:val="24"/>
                <w:highlight w:val="none"/>
                <w:lang w:val="en-US" w:eastAsia="zh-CN"/>
              </w:rPr>
            </w:pPr>
            <w:r>
              <w:rPr>
                <w:rFonts w:hint="eastAsia" w:hAnsi="宋体" w:cs="宋体"/>
                <w:b w:val="0"/>
                <w:bCs w:val="0"/>
                <w:szCs w:val="24"/>
                <w:highlight w:val="none"/>
                <w:lang w:val="en-US" w:eastAsia="zh-CN"/>
              </w:rPr>
              <w:t>备注：投标人需提供技术参数偏离表，加“▲”需要提供的要求的证明材料（包括但不限于技术白皮书、官网或功能截图、相关检测报告任意一种，不提供或缺漏项不得分。），并加盖单位公章。</w:t>
            </w:r>
          </w:p>
        </w:tc>
        <w:tc>
          <w:tcPr>
            <w:tcW w:w="399" w:type="pct"/>
            <w:vAlign w:val="center"/>
          </w:tcPr>
          <w:p w14:paraId="1C94250F">
            <w:pPr>
              <w:spacing w:line="560" w:lineRule="exact"/>
              <w:jc w:val="center"/>
              <w:rPr>
                <w:rFonts w:hAnsi="宋体" w:cs="宋体"/>
                <w:szCs w:val="24"/>
                <w:highlight w:val="none"/>
              </w:rPr>
            </w:pPr>
            <w:r>
              <w:rPr>
                <w:rFonts w:hint="eastAsia" w:hAnsi="宋体" w:cs="宋体"/>
                <w:szCs w:val="24"/>
                <w:highlight w:val="none"/>
                <w:lang w:val="en-US" w:eastAsia="zh-CN"/>
              </w:rPr>
              <w:t>10</w:t>
            </w:r>
            <w:r>
              <w:rPr>
                <w:rFonts w:hint="eastAsia" w:hAnsi="宋体" w:cs="宋体"/>
                <w:szCs w:val="24"/>
                <w:highlight w:val="none"/>
              </w:rPr>
              <w:t>分</w:t>
            </w:r>
          </w:p>
        </w:tc>
      </w:tr>
      <w:tr w14:paraId="077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75" w:type="pct"/>
            <w:vMerge w:val="continue"/>
            <w:vAlign w:val="center"/>
          </w:tcPr>
          <w:p w14:paraId="2CD2B206">
            <w:pPr>
              <w:spacing w:line="276" w:lineRule="auto"/>
              <w:jc w:val="center"/>
              <w:rPr>
                <w:rFonts w:hint="eastAsia" w:hAnsi="宋体" w:cs="宋体"/>
                <w:b/>
                <w:szCs w:val="24"/>
                <w:highlight w:val="none"/>
              </w:rPr>
            </w:pPr>
          </w:p>
        </w:tc>
        <w:tc>
          <w:tcPr>
            <w:tcW w:w="353" w:type="pct"/>
            <w:vMerge w:val="continue"/>
            <w:vAlign w:val="center"/>
          </w:tcPr>
          <w:p w14:paraId="1FAA6DE6">
            <w:pPr>
              <w:spacing w:line="560" w:lineRule="exact"/>
              <w:jc w:val="center"/>
              <w:rPr>
                <w:rFonts w:hint="eastAsia" w:hAnsi="宋体" w:cs="宋体"/>
                <w:b/>
                <w:szCs w:val="24"/>
                <w:highlight w:val="none"/>
                <w:lang w:val="en-US" w:eastAsia="zh-CN"/>
              </w:rPr>
            </w:pPr>
          </w:p>
        </w:tc>
        <w:tc>
          <w:tcPr>
            <w:tcW w:w="235" w:type="pct"/>
            <w:vAlign w:val="center"/>
          </w:tcPr>
          <w:p w14:paraId="447651E4">
            <w:pPr>
              <w:numPr>
                <w:ilvl w:val="0"/>
                <w:numId w:val="0"/>
              </w:numPr>
              <w:spacing w:line="560" w:lineRule="exact"/>
              <w:ind w:leftChars="0"/>
              <w:jc w:val="left"/>
              <w:rPr>
                <w:rFonts w:hint="eastAsia" w:hAnsi="宋体" w:cs="宋体"/>
                <w:spacing w:val="4"/>
                <w:szCs w:val="24"/>
                <w:highlight w:val="none"/>
                <w:lang w:val="en-US" w:eastAsia="zh-CN"/>
              </w:rPr>
            </w:pPr>
            <w:r>
              <w:rPr>
                <w:rFonts w:hint="eastAsia" w:hAnsi="宋体" w:cs="宋体"/>
                <w:spacing w:val="4"/>
                <w:szCs w:val="24"/>
                <w:highlight w:val="none"/>
                <w:lang w:val="en-US" w:eastAsia="zh-CN"/>
              </w:rPr>
              <w:t>②</w:t>
            </w:r>
          </w:p>
        </w:tc>
        <w:tc>
          <w:tcPr>
            <w:tcW w:w="3536" w:type="pct"/>
            <w:vAlign w:val="center"/>
          </w:tcPr>
          <w:p w14:paraId="32D6C3D6">
            <w:pPr>
              <w:numPr>
                <w:ilvl w:val="0"/>
                <w:numId w:val="0"/>
              </w:numPr>
              <w:spacing w:line="360" w:lineRule="auto"/>
              <w:jc w:val="left"/>
              <w:rPr>
                <w:rFonts w:hint="eastAsia" w:hAnsi="宋体" w:cs="宋体"/>
                <w:b/>
                <w:bCs/>
                <w:szCs w:val="24"/>
                <w:highlight w:val="none"/>
                <w:lang w:val="en-US" w:eastAsia="zh-CN"/>
              </w:rPr>
            </w:pPr>
            <w:r>
              <w:rPr>
                <w:rFonts w:hint="eastAsia" w:hAnsi="宋体" w:cs="宋体"/>
                <w:b/>
                <w:bCs/>
                <w:szCs w:val="24"/>
                <w:highlight w:val="none"/>
                <w:lang w:val="en-US" w:eastAsia="zh-CN"/>
              </w:rPr>
              <w:t>来源渠道：</w:t>
            </w:r>
          </w:p>
          <w:p w14:paraId="753E54F3">
            <w:pPr>
              <w:numPr>
                <w:ilvl w:val="0"/>
                <w:numId w:val="0"/>
              </w:numPr>
              <w:spacing w:line="360" w:lineRule="auto"/>
              <w:jc w:val="left"/>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投标人</w:t>
            </w:r>
            <w:r>
              <w:rPr>
                <w:rFonts w:hint="default" w:hAnsi="宋体" w:cs="宋体"/>
                <w:b w:val="0"/>
                <w:bCs w:val="0"/>
                <w:szCs w:val="24"/>
                <w:highlight w:val="none"/>
                <w:lang w:val="en-US" w:eastAsia="zh-CN"/>
              </w:rPr>
              <w:t>提供所投</w:t>
            </w:r>
            <w:r>
              <w:rPr>
                <w:rFonts w:hint="eastAsia" w:hAnsi="宋体" w:cs="宋体"/>
                <w:b w:val="0"/>
                <w:bCs w:val="0"/>
                <w:szCs w:val="24"/>
                <w:highlight w:val="none"/>
                <w:lang w:val="en-US" w:eastAsia="zh-CN"/>
              </w:rPr>
              <w:t>产品</w:t>
            </w:r>
            <w:r>
              <w:rPr>
                <w:rFonts w:hint="default" w:hAnsi="宋体" w:cs="宋体"/>
                <w:b w:val="0"/>
                <w:bCs w:val="0"/>
                <w:szCs w:val="24"/>
                <w:highlight w:val="none"/>
                <w:lang w:val="en-US" w:eastAsia="zh-CN"/>
              </w:rPr>
              <w:t>的合法来源渠道证明文件或情况说明，每提供1个产品得</w:t>
            </w:r>
            <w:r>
              <w:rPr>
                <w:rFonts w:hint="eastAsia" w:hAnsi="宋体" w:cs="宋体"/>
                <w:b w:val="0"/>
                <w:bCs w:val="0"/>
                <w:szCs w:val="24"/>
                <w:highlight w:val="none"/>
                <w:lang w:val="en-US" w:eastAsia="zh-CN"/>
              </w:rPr>
              <w:t>0.5</w:t>
            </w:r>
            <w:r>
              <w:rPr>
                <w:rFonts w:hint="default" w:hAnsi="宋体" w:cs="宋体"/>
                <w:b w:val="0"/>
                <w:bCs w:val="0"/>
                <w:szCs w:val="24"/>
                <w:highlight w:val="none"/>
                <w:lang w:val="en-US" w:eastAsia="zh-CN"/>
              </w:rPr>
              <w:t>分，满分</w:t>
            </w:r>
            <w:r>
              <w:rPr>
                <w:rFonts w:hint="eastAsia" w:hAnsi="宋体" w:cs="宋体"/>
                <w:b w:val="0"/>
                <w:bCs w:val="0"/>
                <w:szCs w:val="24"/>
                <w:highlight w:val="none"/>
                <w:lang w:val="en-US" w:eastAsia="zh-CN"/>
              </w:rPr>
              <w:t>5</w:t>
            </w:r>
            <w:r>
              <w:rPr>
                <w:rFonts w:hint="default" w:hAnsi="宋体" w:cs="宋体"/>
                <w:b w:val="0"/>
                <w:bCs w:val="0"/>
                <w:szCs w:val="24"/>
                <w:highlight w:val="none"/>
                <w:lang w:val="en-US" w:eastAsia="zh-CN"/>
              </w:rPr>
              <w:t>分。不提供不得分。（</w:t>
            </w:r>
            <w:r>
              <w:rPr>
                <w:rFonts w:hint="eastAsia" w:hAnsi="宋体" w:cs="宋体"/>
                <w:b w:val="0"/>
                <w:bCs w:val="0"/>
                <w:szCs w:val="24"/>
                <w:highlight w:val="none"/>
                <w:lang w:val="en-US" w:eastAsia="zh-CN"/>
              </w:rPr>
              <w:t>需提供证明材料，包括但不限于：</w:t>
            </w:r>
            <w:r>
              <w:rPr>
                <w:rFonts w:hint="default" w:hAnsi="宋体" w:cs="宋体"/>
                <w:b w:val="0"/>
                <w:bCs w:val="0"/>
                <w:szCs w:val="24"/>
                <w:highlight w:val="none"/>
                <w:lang w:val="en-US" w:eastAsia="zh-CN"/>
              </w:rPr>
              <w:t>产品制造商授权、销售协议、代理协议等证明文件）</w:t>
            </w:r>
            <w:r>
              <w:rPr>
                <w:rFonts w:hint="eastAsia" w:hAnsi="宋体" w:cs="宋体"/>
                <w:b w:val="0"/>
                <w:bCs w:val="0"/>
                <w:szCs w:val="24"/>
                <w:highlight w:val="none"/>
                <w:lang w:val="en-US" w:eastAsia="zh-CN"/>
              </w:rPr>
              <w:t>，并且加盖公章</w:t>
            </w:r>
            <w:r>
              <w:rPr>
                <w:rFonts w:hint="default" w:hAnsi="宋体" w:cs="宋体"/>
                <w:b w:val="0"/>
                <w:bCs w:val="0"/>
                <w:szCs w:val="24"/>
                <w:highlight w:val="none"/>
                <w:lang w:val="en-US" w:eastAsia="zh-CN"/>
              </w:rPr>
              <w:t>。</w:t>
            </w:r>
          </w:p>
        </w:tc>
        <w:tc>
          <w:tcPr>
            <w:tcW w:w="399" w:type="pct"/>
            <w:vAlign w:val="center"/>
          </w:tcPr>
          <w:p w14:paraId="7AE871F8">
            <w:pPr>
              <w:spacing w:line="560" w:lineRule="exact"/>
              <w:jc w:val="center"/>
              <w:rPr>
                <w:rFonts w:hint="default" w:hAnsi="宋体" w:cs="宋体"/>
                <w:szCs w:val="24"/>
                <w:highlight w:val="none"/>
                <w:lang w:val="en-US" w:eastAsia="zh-CN"/>
              </w:rPr>
            </w:pPr>
            <w:r>
              <w:rPr>
                <w:rFonts w:hint="eastAsia" w:hAnsi="宋体" w:cs="宋体"/>
                <w:szCs w:val="24"/>
                <w:highlight w:val="none"/>
                <w:lang w:val="en-US" w:eastAsia="zh-CN"/>
              </w:rPr>
              <w:t>5分</w:t>
            </w:r>
          </w:p>
        </w:tc>
      </w:tr>
      <w:tr w14:paraId="51A4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pct"/>
            <w:vMerge w:val="continue"/>
            <w:vAlign w:val="center"/>
          </w:tcPr>
          <w:p w14:paraId="796928DA">
            <w:pPr>
              <w:spacing w:line="276" w:lineRule="auto"/>
              <w:jc w:val="center"/>
              <w:rPr>
                <w:rFonts w:hAnsi="宋体" w:cs="宋体"/>
                <w:b/>
                <w:szCs w:val="24"/>
                <w:highlight w:val="none"/>
              </w:rPr>
            </w:pPr>
          </w:p>
        </w:tc>
        <w:tc>
          <w:tcPr>
            <w:tcW w:w="353" w:type="pct"/>
            <w:vMerge w:val="continue"/>
            <w:vAlign w:val="center"/>
          </w:tcPr>
          <w:p w14:paraId="2BEF2B8C">
            <w:pPr>
              <w:spacing w:line="560" w:lineRule="exact"/>
              <w:jc w:val="center"/>
              <w:rPr>
                <w:rFonts w:hAnsi="宋体" w:cs="宋体"/>
                <w:b/>
                <w:szCs w:val="24"/>
                <w:highlight w:val="none"/>
              </w:rPr>
            </w:pPr>
          </w:p>
        </w:tc>
        <w:tc>
          <w:tcPr>
            <w:tcW w:w="235" w:type="pct"/>
            <w:vAlign w:val="center"/>
          </w:tcPr>
          <w:p w14:paraId="744FEB24">
            <w:pPr>
              <w:numPr>
                <w:ilvl w:val="0"/>
                <w:numId w:val="0"/>
              </w:numPr>
              <w:spacing w:line="560" w:lineRule="exact"/>
              <w:ind w:leftChars="0"/>
              <w:jc w:val="left"/>
              <w:rPr>
                <w:rFonts w:hint="eastAsia" w:hAnsi="宋体" w:eastAsia="宋体" w:cs="宋体"/>
                <w:spacing w:val="4"/>
                <w:szCs w:val="24"/>
                <w:highlight w:val="none"/>
                <w:lang w:eastAsia="zh-CN"/>
              </w:rPr>
            </w:pPr>
            <w:r>
              <w:rPr>
                <w:rFonts w:hint="eastAsia" w:hAnsi="宋体" w:cs="宋体"/>
                <w:spacing w:val="4"/>
                <w:szCs w:val="24"/>
                <w:highlight w:val="none"/>
                <w:lang w:val="en-US" w:eastAsia="zh-CN"/>
              </w:rPr>
              <w:t>③</w:t>
            </w:r>
          </w:p>
        </w:tc>
        <w:tc>
          <w:tcPr>
            <w:tcW w:w="3536" w:type="pct"/>
            <w:vAlign w:val="center"/>
          </w:tcPr>
          <w:p w14:paraId="241E8D0C">
            <w:pPr>
              <w:spacing w:line="360" w:lineRule="auto"/>
              <w:ind w:left="-108" w:leftChars="-45"/>
              <w:jc w:val="left"/>
              <w:rPr>
                <w:rFonts w:hint="eastAsia" w:hAnsi="宋体" w:cs="宋体"/>
                <w:b/>
                <w:bCs/>
                <w:szCs w:val="24"/>
                <w:highlight w:val="none"/>
              </w:rPr>
            </w:pPr>
            <w:r>
              <w:rPr>
                <w:rFonts w:hint="eastAsia" w:hAnsi="宋体" w:cs="宋体"/>
                <w:b/>
                <w:bCs/>
                <w:szCs w:val="24"/>
                <w:highlight w:val="none"/>
              </w:rPr>
              <w:t>实施方案：</w:t>
            </w:r>
          </w:p>
          <w:p w14:paraId="203BF342">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一、评审内容</w:t>
            </w:r>
          </w:p>
          <w:p w14:paraId="6C1ADFE6">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投标人需针对本项目提供完整的项目实施方案。内容包含：</w:t>
            </w:r>
            <w:r>
              <w:rPr>
                <w:rFonts w:hint="eastAsia" w:hAnsi="宋体" w:cs="宋体"/>
                <w:b w:val="0"/>
                <w:bCs w:val="0"/>
                <w:szCs w:val="24"/>
                <w:highlight w:val="none"/>
                <w:lang w:eastAsia="zh-CN"/>
              </w:rPr>
              <w:t>①实施计划②供货、安装、调试</w:t>
            </w:r>
            <w:r>
              <w:rPr>
                <w:rFonts w:hint="eastAsia" w:hAnsi="宋体" w:cs="宋体"/>
                <w:b w:val="0"/>
                <w:bCs w:val="0"/>
                <w:szCs w:val="24"/>
                <w:highlight w:val="none"/>
                <w:lang w:val="en-US" w:eastAsia="zh-CN"/>
              </w:rPr>
              <w:t>方案</w:t>
            </w:r>
            <w:r>
              <w:rPr>
                <w:rFonts w:hint="eastAsia" w:hAnsi="宋体" w:cs="宋体"/>
                <w:b w:val="0"/>
                <w:bCs w:val="0"/>
                <w:szCs w:val="24"/>
                <w:highlight w:val="none"/>
                <w:lang w:eastAsia="zh-CN"/>
              </w:rPr>
              <w:t>③验收措施④物力调配的相应保障措施</w:t>
            </w:r>
            <w:r>
              <w:rPr>
                <w:rFonts w:hint="eastAsia" w:hAnsi="宋体" w:cs="宋体"/>
                <w:b w:val="0"/>
                <w:bCs w:val="0"/>
                <w:szCs w:val="24"/>
                <w:highlight w:val="none"/>
              </w:rPr>
              <w:t>。</w:t>
            </w:r>
          </w:p>
          <w:p w14:paraId="07BCAF97">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二、评审标准</w:t>
            </w:r>
          </w:p>
          <w:p w14:paraId="6B858FE8">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1、完整性：方案须全面，对评审内容中的各项要求描述详细；</w:t>
            </w:r>
          </w:p>
          <w:p w14:paraId="3E124452">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2、可实施性：切合本项目实际情况，实施步骤清晰、合理；</w:t>
            </w:r>
          </w:p>
          <w:p w14:paraId="23AB17E0">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3、针对性：方案能够紧扣项目实际情况，内容科学合理。</w:t>
            </w:r>
          </w:p>
          <w:p w14:paraId="5D96CE88">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三、赋分依据（满分</w:t>
            </w:r>
            <w:r>
              <w:rPr>
                <w:rFonts w:hint="eastAsia" w:hAnsi="宋体" w:cs="宋体"/>
                <w:b w:val="0"/>
                <w:bCs w:val="0"/>
                <w:szCs w:val="24"/>
                <w:highlight w:val="none"/>
                <w:lang w:val="en-US" w:eastAsia="zh-CN"/>
              </w:rPr>
              <w:t>12</w:t>
            </w:r>
            <w:r>
              <w:rPr>
                <w:rFonts w:hint="eastAsia" w:hAnsi="宋体" w:cs="宋体"/>
                <w:b w:val="0"/>
                <w:bCs w:val="0"/>
                <w:szCs w:val="24"/>
                <w:highlight w:val="none"/>
              </w:rPr>
              <w:t>分）</w:t>
            </w:r>
          </w:p>
          <w:p w14:paraId="4C68465B">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①</w:t>
            </w:r>
            <w:r>
              <w:rPr>
                <w:rFonts w:hint="eastAsia" w:hAnsi="宋体" w:cs="宋体"/>
                <w:b w:val="0"/>
                <w:bCs w:val="0"/>
                <w:szCs w:val="24"/>
                <w:highlight w:val="none"/>
                <w:lang w:eastAsia="zh-CN"/>
              </w:rPr>
              <w:t>实施计划</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3分</w:t>
            </w:r>
            <w:r>
              <w:rPr>
                <w:rFonts w:hint="eastAsia" w:hAnsi="宋体" w:cs="宋体"/>
                <w:b w:val="0"/>
                <w:bCs w:val="0"/>
                <w:szCs w:val="24"/>
                <w:highlight w:val="none"/>
                <w:lang w:eastAsia="zh-CN"/>
              </w:rPr>
              <w:t>；</w:t>
            </w:r>
          </w:p>
          <w:p w14:paraId="18D0F4BF">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②</w:t>
            </w:r>
            <w:r>
              <w:rPr>
                <w:rFonts w:hint="eastAsia" w:hAnsi="宋体" w:cs="宋体"/>
                <w:b w:val="0"/>
                <w:bCs w:val="0"/>
                <w:szCs w:val="24"/>
                <w:highlight w:val="none"/>
                <w:lang w:eastAsia="zh-CN"/>
              </w:rPr>
              <w:t>供货、安装、调试</w:t>
            </w:r>
            <w:r>
              <w:rPr>
                <w:rFonts w:hint="eastAsia" w:hAnsi="宋体" w:cs="宋体"/>
                <w:b w:val="0"/>
                <w:bCs w:val="0"/>
                <w:szCs w:val="24"/>
                <w:highlight w:val="none"/>
                <w:lang w:val="en-US" w:eastAsia="zh-CN"/>
              </w:rPr>
              <w:t>方案</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3分</w:t>
            </w:r>
            <w:r>
              <w:rPr>
                <w:rFonts w:hint="eastAsia" w:hAnsi="宋体" w:cs="宋体"/>
                <w:b w:val="0"/>
                <w:bCs w:val="0"/>
                <w:szCs w:val="24"/>
                <w:highlight w:val="none"/>
                <w:lang w:eastAsia="zh-CN"/>
              </w:rPr>
              <w:t>；</w:t>
            </w:r>
          </w:p>
          <w:p w14:paraId="4DADA0A4">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③</w:t>
            </w:r>
            <w:r>
              <w:rPr>
                <w:rFonts w:hint="eastAsia" w:hAnsi="宋体" w:cs="宋体"/>
                <w:b w:val="0"/>
                <w:bCs w:val="0"/>
                <w:szCs w:val="24"/>
                <w:highlight w:val="none"/>
                <w:lang w:eastAsia="zh-CN"/>
              </w:rPr>
              <w:t>验收措施</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3分</w:t>
            </w:r>
            <w:r>
              <w:rPr>
                <w:rFonts w:hint="eastAsia" w:hAnsi="宋体" w:cs="宋体"/>
                <w:b w:val="0"/>
                <w:bCs w:val="0"/>
                <w:szCs w:val="24"/>
                <w:highlight w:val="none"/>
                <w:lang w:eastAsia="zh-CN"/>
              </w:rPr>
              <w:t>；</w:t>
            </w:r>
          </w:p>
          <w:p w14:paraId="7AC38C5B">
            <w:pPr>
              <w:spacing w:line="360" w:lineRule="auto"/>
              <w:ind w:left="-108" w:leftChars="-45"/>
              <w:jc w:val="left"/>
              <w:rPr>
                <w:rFonts w:hAnsi="宋体" w:cs="宋体"/>
                <w:b w:val="0"/>
                <w:bCs w:val="0"/>
                <w:szCs w:val="24"/>
                <w:highlight w:val="none"/>
              </w:rPr>
            </w:pPr>
            <w:r>
              <w:rPr>
                <w:rFonts w:hint="eastAsia" w:hAnsi="宋体" w:cs="宋体"/>
                <w:b w:val="0"/>
                <w:bCs w:val="0"/>
                <w:szCs w:val="24"/>
                <w:highlight w:val="none"/>
              </w:rPr>
              <w:t>④</w:t>
            </w:r>
            <w:r>
              <w:rPr>
                <w:rFonts w:hint="eastAsia" w:hAnsi="宋体" w:cs="宋体"/>
                <w:b w:val="0"/>
                <w:bCs w:val="0"/>
                <w:szCs w:val="24"/>
                <w:highlight w:val="none"/>
                <w:lang w:eastAsia="zh-CN"/>
              </w:rPr>
              <w:t>物力调配的相应保障措施</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3分。</w:t>
            </w:r>
          </w:p>
        </w:tc>
        <w:tc>
          <w:tcPr>
            <w:tcW w:w="399" w:type="pct"/>
            <w:vAlign w:val="center"/>
          </w:tcPr>
          <w:p w14:paraId="1C6FAE42">
            <w:pPr>
              <w:spacing w:line="560" w:lineRule="exact"/>
              <w:jc w:val="center"/>
              <w:rPr>
                <w:rFonts w:hAnsi="宋体" w:cs="宋体"/>
                <w:szCs w:val="24"/>
                <w:highlight w:val="none"/>
              </w:rPr>
            </w:pPr>
            <w:r>
              <w:rPr>
                <w:rFonts w:hint="eastAsia" w:hAnsi="宋体" w:cs="宋体"/>
                <w:szCs w:val="24"/>
                <w:highlight w:val="none"/>
                <w:lang w:val="en-US" w:eastAsia="zh-CN"/>
              </w:rPr>
              <w:t>12</w:t>
            </w:r>
            <w:r>
              <w:rPr>
                <w:rFonts w:hint="eastAsia" w:hAnsi="宋体" w:cs="宋体"/>
                <w:szCs w:val="24"/>
                <w:highlight w:val="none"/>
              </w:rPr>
              <w:t>分</w:t>
            </w:r>
          </w:p>
        </w:tc>
      </w:tr>
      <w:tr w14:paraId="13F3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75" w:type="pct"/>
            <w:vMerge w:val="restart"/>
            <w:vAlign w:val="center"/>
          </w:tcPr>
          <w:p w14:paraId="55C2CEDC">
            <w:pPr>
              <w:spacing w:line="360" w:lineRule="auto"/>
              <w:jc w:val="center"/>
              <w:rPr>
                <w:rFonts w:hint="eastAsia" w:hAnsi="宋体" w:cs="宋体"/>
                <w:b/>
                <w:bCs/>
                <w:szCs w:val="24"/>
                <w:highlight w:val="none"/>
              </w:rPr>
            </w:pPr>
            <w:r>
              <w:rPr>
                <w:rFonts w:hint="eastAsia" w:hAnsi="宋体" w:cs="宋体"/>
                <w:b/>
                <w:bCs/>
                <w:szCs w:val="24"/>
                <w:highlight w:val="none"/>
              </w:rPr>
              <w:t>售后服务及培训方案</w:t>
            </w:r>
          </w:p>
          <w:p w14:paraId="41B19787">
            <w:pPr>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eastAsia="zh-CN"/>
              </w:rPr>
              <w:t xml:space="preserve"> </w:t>
            </w:r>
            <w:r>
              <w:rPr>
                <w:rFonts w:hint="eastAsia" w:hAnsi="宋体" w:cs="宋体"/>
                <w:b/>
                <w:bCs/>
                <w:szCs w:val="24"/>
                <w:highlight w:val="none"/>
                <w:lang w:val="en-US" w:eastAsia="zh-CN"/>
              </w:rPr>
              <w:t xml:space="preserve">               </w:t>
            </w:r>
          </w:p>
        </w:tc>
        <w:tc>
          <w:tcPr>
            <w:tcW w:w="353" w:type="pct"/>
            <w:vMerge w:val="restart"/>
            <w:vAlign w:val="center"/>
          </w:tcPr>
          <w:p w14:paraId="4CC02FCB">
            <w:pPr>
              <w:spacing w:line="360" w:lineRule="auto"/>
              <w:jc w:val="center"/>
              <w:rPr>
                <w:rFonts w:hAnsi="宋体" w:cs="宋体"/>
                <w:b/>
                <w:bCs/>
                <w:szCs w:val="24"/>
                <w:highlight w:val="none"/>
              </w:rPr>
            </w:pPr>
            <w:r>
              <w:rPr>
                <w:rFonts w:hint="eastAsia" w:hAnsi="宋体" w:cs="宋体"/>
                <w:b/>
                <w:bCs/>
                <w:szCs w:val="24"/>
                <w:highlight w:val="none"/>
                <w:lang w:val="en-US" w:eastAsia="zh-CN"/>
              </w:rPr>
              <w:t>28</w:t>
            </w:r>
            <w:r>
              <w:rPr>
                <w:rFonts w:hint="eastAsia" w:hAnsi="宋体" w:cs="宋体"/>
                <w:b/>
                <w:bCs/>
                <w:szCs w:val="24"/>
                <w:highlight w:val="none"/>
              </w:rPr>
              <w:t>分</w:t>
            </w:r>
          </w:p>
        </w:tc>
        <w:tc>
          <w:tcPr>
            <w:tcW w:w="235" w:type="pct"/>
            <w:vAlign w:val="center"/>
          </w:tcPr>
          <w:p w14:paraId="494243B9">
            <w:pPr>
              <w:spacing w:line="360" w:lineRule="auto"/>
              <w:jc w:val="left"/>
              <w:rPr>
                <w:rFonts w:hAnsi="宋体" w:cs="宋体"/>
                <w:szCs w:val="24"/>
                <w:highlight w:val="none"/>
              </w:rPr>
            </w:pPr>
            <w:r>
              <w:rPr>
                <w:rFonts w:hint="eastAsia" w:hAnsi="宋体" w:cs="宋体"/>
                <w:szCs w:val="24"/>
                <w:highlight w:val="none"/>
              </w:rPr>
              <w:t>④</w:t>
            </w:r>
          </w:p>
        </w:tc>
        <w:tc>
          <w:tcPr>
            <w:tcW w:w="3536" w:type="pct"/>
            <w:vAlign w:val="center"/>
          </w:tcPr>
          <w:p w14:paraId="0B6D6D92">
            <w:pPr>
              <w:adjustRightInd w:val="0"/>
              <w:snapToGrid w:val="0"/>
              <w:spacing w:line="360" w:lineRule="auto"/>
              <w:ind w:left="24" w:leftChars="10" w:right="24" w:rightChars="10"/>
              <w:rPr>
                <w:rFonts w:hint="eastAsia" w:ascii="宋体" w:hAnsi="宋体" w:eastAsia="宋体" w:cs="宋体"/>
                <w:b/>
                <w:sz w:val="24"/>
                <w:szCs w:val="24"/>
                <w:highlight w:val="none"/>
              </w:rPr>
            </w:pPr>
            <w:r>
              <w:rPr>
                <w:rFonts w:hint="eastAsia" w:hAnsi="宋体" w:cs="宋体"/>
                <w:b/>
                <w:sz w:val="24"/>
                <w:szCs w:val="24"/>
                <w:highlight w:val="none"/>
                <w:lang w:val="en-US" w:eastAsia="zh-CN"/>
              </w:rPr>
              <w:t>培训</w:t>
            </w:r>
            <w:r>
              <w:rPr>
                <w:rFonts w:hint="eastAsia" w:ascii="宋体" w:hAnsi="宋体" w:eastAsia="宋体" w:cs="宋体"/>
                <w:b/>
                <w:sz w:val="24"/>
                <w:szCs w:val="24"/>
                <w:highlight w:val="none"/>
              </w:rPr>
              <w:t>方案：</w:t>
            </w:r>
          </w:p>
          <w:p w14:paraId="1EC728D7">
            <w:pPr>
              <w:spacing w:line="360" w:lineRule="auto"/>
              <w:ind w:left="-108" w:leftChars="-45"/>
              <w:jc w:val="left"/>
              <w:rPr>
                <w:rFonts w:hint="eastAsia"/>
                <w:highlight w:val="none"/>
                <w:lang w:eastAsia="zh-CN"/>
              </w:rPr>
            </w:pPr>
            <w:r>
              <w:rPr>
                <w:rFonts w:hint="eastAsia"/>
                <w:highlight w:val="none"/>
                <w:lang w:val="en-US" w:eastAsia="zh-CN"/>
              </w:rPr>
              <w:t>一、</w:t>
            </w:r>
            <w:r>
              <w:rPr>
                <w:rFonts w:hint="eastAsia"/>
                <w:highlight w:val="none"/>
                <w:lang w:eastAsia="zh-CN"/>
              </w:rPr>
              <w:t>评审内容</w:t>
            </w:r>
          </w:p>
          <w:p w14:paraId="079185CB">
            <w:pPr>
              <w:spacing w:line="360" w:lineRule="auto"/>
              <w:ind w:left="-108" w:leftChars="-45"/>
              <w:jc w:val="left"/>
              <w:rPr>
                <w:rFonts w:hint="eastAsia" w:eastAsia="宋体"/>
                <w:highlight w:val="none"/>
                <w:lang w:eastAsia="zh-CN"/>
              </w:rPr>
            </w:pPr>
            <w:r>
              <w:rPr>
                <w:rFonts w:hint="eastAsia"/>
                <w:highlight w:val="none"/>
              </w:rPr>
              <w:t>针对本项目提供培训方案，为采购人培训操作维护人员，以保障使用过程中能熟练操作、维护和正常使用，培训方案</w:t>
            </w:r>
            <w:r>
              <w:rPr>
                <w:rFonts w:hint="eastAsia"/>
                <w:highlight w:val="none"/>
                <w:lang w:eastAsia="zh-CN"/>
              </w:rPr>
              <w:t>内容</w:t>
            </w:r>
            <w:r>
              <w:rPr>
                <w:rFonts w:hint="eastAsia"/>
                <w:highlight w:val="none"/>
              </w:rPr>
              <w:t>包含①培训内容②培训计划安排</w:t>
            </w:r>
            <w:r>
              <w:rPr>
                <w:rFonts w:hint="eastAsia"/>
                <w:highlight w:val="none"/>
                <w:lang w:eastAsia="zh-CN"/>
              </w:rPr>
              <w:t>。</w:t>
            </w:r>
          </w:p>
          <w:p w14:paraId="27EC8CD5">
            <w:pPr>
              <w:spacing w:line="360" w:lineRule="auto"/>
              <w:ind w:left="-108" w:leftChars="-45"/>
              <w:jc w:val="left"/>
              <w:rPr>
                <w:rFonts w:hint="eastAsia"/>
                <w:highlight w:val="none"/>
                <w:lang w:eastAsia="zh-CN"/>
              </w:rPr>
            </w:pPr>
            <w:r>
              <w:rPr>
                <w:rFonts w:hint="eastAsia"/>
                <w:highlight w:val="none"/>
                <w:lang w:val="en-US" w:eastAsia="zh-CN"/>
              </w:rPr>
              <w:t>二、</w:t>
            </w:r>
            <w:r>
              <w:rPr>
                <w:rFonts w:hint="eastAsia"/>
                <w:highlight w:val="none"/>
                <w:lang w:eastAsia="zh-CN"/>
              </w:rPr>
              <w:t>评审标准</w:t>
            </w:r>
          </w:p>
          <w:p w14:paraId="2281ED26">
            <w:pPr>
              <w:spacing w:line="360" w:lineRule="auto"/>
              <w:ind w:left="-108" w:leftChars="-45"/>
              <w:jc w:val="left"/>
              <w:rPr>
                <w:rFonts w:hint="eastAsia"/>
                <w:highlight w:val="none"/>
                <w:lang w:val="en-US" w:eastAsia="zh-CN"/>
              </w:rPr>
            </w:pPr>
            <w:r>
              <w:rPr>
                <w:rFonts w:hint="eastAsia"/>
                <w:highlight w:val="none"/>
                <w:lang w:val="en-US" w:eastAsia="zh-CN"/>
              </w:rPr>
              <w:t>1、</w:t>
            </w:r>
            <w:r>
              <w:rPr>
                <w:rFonts w:hint="eastAsia"/>
                <w:highlight w:val="none"/>
              </w:rPr>
              <w:t>完整性</w:t>
            </w:r>
            <w:r>
              <w:rPr>
                <w:rFonts w:hint="eastAsia"/>
                <w:highlight w:val="none"/>
                <w:lang w:eastAsia="zh-CN"/>
              </w:rPr>
              <w:t>：切合本项目实际情况，方案</w:t>
            </w:r>
            <w:r>
              <w:rPr>
                <w:rFonts w:hint="eastAsia"/>
                <w:highlight w:val="none"/>
                <w:lang w:val="en-US" w:eastAsia="zh-CN"/>
              </w:rPr>
              <w:t>内容齐全，对招标文件中各项要求有详细描述及其他内容的补充；</w:t>
            </w:r>
          </w:p>
          <w:p w14:paraId="07A2C6CD">
            <w:pPr>
              <w:spacing w:line="360" w:lineRule="auto"/>
              <w:ind w:left="-108" w:leftChars="-45"/>
              <w:jc w:val="left"/>
              <w:rPr>
                <w:rFonts w:hint="default"/>
                <w:highlight w:val="none"/>
                <w:lang w:val="en-US" w:eastAsia="zh-CN"/>
              </w:rPr>
            </w:pPr>
            <w:r>
              <w:rPr>
                <w:rFonts w:hint="eastAsia"/>
                <w:highlight w:val="none"/>
                <w:lang w:val="en-US" w:eastAsia="zh-CN"/>
              </w:rPr>
              <w:t>2、</w:t>
            </w:r>
            <w:r>
              <w:rPr>
                <w:rFonts w:hint="eastAsia"/>
                <w:highlight w:val="none"/>
              </w:rPr>
              <w:t>科学性</w:t>
            </w:r>
            <w:r>
              <w:rPr>
                <w:rFonts w:hint="eastAsia"/>
                <w:highlight w:val="none"/>
                <w:lang w:eastAsia="zh-CN"/>
              </w:rPr>
              <w:t>：</w:t>
            </w:r>
            <w:r>
              <w:rPr>
                <w:rFonts w:hint="eastAsia"/>
                <w:highlight w:val="none"/>
                <w:lang w:val="en-US" w:eastAsia="zh-CN"/>
              </w:rPr>
              <w:t>切合本项目实际情况，叙述清楚，符合客观实际情况；</w:t>
            </w:r>
          </w:p>
          <w:p w14:paraId="7557C830">
            <w:pPr>
              <w:spacing w:line="360" w:lineRule="auto"/>
              <w:ind w:left="-108" w:leftChars="-45"/>
              <w:jc w:val="left"/>
              <w:rPr>
                <w:rFonts w:hint="default"/>
                <w:highlight w:val="none"/>
                <w:lang w:val="en-US" w:eastAsia="zh-CN"/>
              </w:rPr>
            </w:pPr>
            <w:r>
              <w:rPr>
                <w:rFonts w:hint="eastAsia"/>
                <w:highlight w:val="none"/>
                <w:lang w:val="en-US" w:eastAsia="zh-CN"/>
              </w:rPr>
              <w:t>3、</w:t>
            </w:r>
            <w:r>
              <w:rPr>
                <w:rFonts w:hint="eastAsia"/>
                <w:highlight w:val="none"/>
              </w:rPr>
              <w:t>合理性</w:t>
            </w:r>
            <w:r>
              <w:rPr>
                <w:rFonts w:hint="eastAsia"/>
                <w:highlight w:val="none"/>
                <w:lang w:eastAsia="zh-CN"/>
              </w:rPr>
              <w:t>：方案内容符合项目实际特点，</w:t>
            </w:r>
            <w:r>
              <w:rPr>
                <w:rFonts w:hint="eastAsia"/>
                <w:highlight w:val="none"/>
                <w:lang w:val="en-US" w:eastAsia="zh-CN"/>
              </w:rPr>
              <w:t>合理、恰当。</w:t>
            </w:r>
          </w:p>
          <w:p w14:paraId="3C6F2D05">
            <w:pPr>
              <w:spacing w:line="360" w:lineRule="auto"/>
              <w:ind w:left="-108" w:leftChars="-45"/>
              <w:jc w:val="left"/>
              <w:rPr>
                <w:rFonts w:hint="eastAsia"/>
                <w:highlight w:val="none"/>
                <w:lang w:val="en-US" w:eastAsia="zh-CN"/>
              </w:rPr>
            </w:pPr>
            <w:r>
              <w:rPr>
                <w:rFonts w:hint="eastAsia"/>
                <w:highlight w:val="none"/>
                <w:lang w:val="en-US" w:eastAsia="zh-CN"/>
              </w:rPr>
              <w:t>三、赋分标准（满分6分）</w:t>
            </w:r>
          </w:p>
          <w:p w14:paraId="6EA96E56">
            <w:pPr>
              <w:spacing w:line="360" w:lineRule="auto"/>
              <w:ind w:left="-108" w:leftChars="-45"/>
              <w:jc w:val="left"/>
              <w:rPr>
                <w:rFonts w:hint="eastAsia"/>
                <w:highlight w:val="none"/>
                <w:lang w:val="en-US" w:eastAsia="zh-CN"/>
              </w:rPr>
            </w:pPr>
            <w:r>
              <w:rPr>
                <w:rFonts w:hint="eastAsia"/>
                <w:highlight w:val="none"/>
                <w:lang w:eastAsia="zh-CN"/>
              </w:rPr>
              <w:t>①</w:t>
            </w:r>
            <w:r>
              <w:rPr>
                <w:rFonts w:hint="eastAsia"/>
                <w:highlight w:val="none"/>
              </w:rPr>
              <w:t>培训内容</w:t>
            </w:r>
            <w:r>
              <w:rPr>
                <w:rFonts w:hint="eastAsia"/>
                <w:highlight w:val="none"/>
                <w:lang w:eastAsia="zh-CN"/>
              </w:rPr>
              <w:t>：</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w:t>
            </w:r>
            <w:r>
              <w:rPr>
                <w:rFonts w:hint="eastAsia" w:hAnsi="宋体" w:cs="宋体"/>
                <w:b w:val="0"/>
                <w:bCs w:val="0"/>
                <w:szCs w:val="24"/>
                <w:highlight w:val="none"/>
              </w:rPr>
              <w:t>分</w:t>
            </w:r>
            <w:r>
              <w:rPr>
                <w:rFonts w:hint="eastAsia" w:hAnsi="宋体" w:cs="宋体"/>
                <w:b w:val="0"/>
                <w:bCs w:val="0"/>
                <w:szCs w:val="24"/>
                <w:highlight w:val="none"/>
                <w:lang w:eastAsia="zh-CN"/>
              </w:rPr>
              <w:t>；</w:t>
            </w:r>
          </w:p>
          <w:p w14:paraId="5A156CDC">
            <w:pPr>
              <w:spacing w:line="360" w:lineRule="auto"/>
              <w:ind w:left="-108" w:leftChars="-45"/>
              <w:jc w:val="left"/>
              <w:rPr>
                <w:highlight w:val="none"/>
              </w:rPr>
            </w:pPr>
            <w:r>
              <w:rPr>
                <w:rFonts w:hint="eastAsia"/>
                <w:highlight w:val="none"/>
                <w:lang w:eastAsia="zh-CN"/>
              </w:rPr>
              <w:t>②</w:t>
            </w:r>
            <w:r>
              <w:rPr>
                <w:rFonts w:hint="eastAsia"/>
                <w:highlight w:val="none"/>
              </w:rPr>
              <w:t>培训计划安排</w:t>
            </w:r>
            <w:r>
              <w:rPr>
                <w:rFonts w:hint="eastAsia"/>
                <w:highlight w:val="none"/>
                <w:lang w:eastAsia="zh-CN"/>
              </w:rPr>
              <w:t>：</w:t>
            </w:r>
            <w:r>
              <w:rPr>
                <w:rFonts w:hint="eastAsia" w:hAnsi="宋体" w:cs="宋体"/>
                <w:b w:val="0"/>
                <w:bCs w:val="0"/>
                <w:szCs w:val="24"/>
                <w:highlight w:val="none"/>
              </w:rPr>
              <w:t>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w:t>
            </w:r>
            <w:r>
              <w:rPr>
                <w:rFonts w:hint="eastAsia" w:hAnsi="宋体" w:cs="宋体"/>
                <w:b w:val="0"/>
                <w:bCs w:val="0"/>
                <w:szCs w:val="24"/>
                <w:highlight w:val="none"/>
              </w:rPr>
              <w:t>分</w:t>
            </w:r>
            <w:r>
              <w:rPr>
                <w:rFonts w:hint="eastAsia" w:hAnsi="宋体" w:cs="宋体"/>
                <w:b w:val="0"/>
                <w:bCs w:val="0"/>
                <w:szCs w:val="24"/>
                <w:highlight w:val="none"/>
                <w:lang w:eastAsia="zh-CN"/>
              </w:rPr>
              <w:t>。</w:t>
            </w:r>
          </w:p>
        </w:tc>
        <w:tc>
          <w:tcPr>
            <w:tcW w:w="399" w:type="pct"/>
            <w:vAlign w:val="center"/>
          </w:tcPr>
          <w:p w14:paraId="0CC4413D">
            <w:pPr>
              <w:spacing w:line="360" w:lineRule="auto"/>
              <w:jc w:val="center"/>
              <w:rPr>
                <w:rFonts w:hAnsi="宋体" w:cs="宋体"/>
                <w:szCs w:val="24"/>
                <w:highlight w:val="none"/>
              </w:rPr>
            </w:pPr>
            <w:r>
              <w:rPr>
                <w:rFonts w:hint="eastAsia" w:hAnsi="宋体" w:cs="宋体"/>
                <w:szCs w:val="24"/>
                <w:highlight w:val="none"/>
                <w:lang w:val="en-US" w:eastAsia="zh-CN"/>
              </w:rPr>
              <w:t>6</w:t>
            </w:r>
            <w:r>
              <w:rPr>
                <w:rFonts w:hint="eastAsia" w:hAnsi="宋体" w:cs="宋体"/>
                <w:szCs w:val="24"/>
                <w:highlight w:val="none"/>
              </w:rPr>
              <w:t>分</w:t>
            </w:r>
          </w:p>
        </w:tc>
      </w:tr>
      <w:tr w14:paraId="419F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75" w:type="pct"/>
            <w:vMerge w:val="continue"/>
            <w:vAlign w:val="center"/>
          </w:tcPr>
          <w:p w14:paraId="6994FBE7">
            <w:pPr>
              <w:spacing w:line="360" w:lineRule="auto"/>
              <w:jc w:val="center"/>
              <w:rPr>
                <w:rFonts w:hint="default" w:hAnsi="宋体" w:eastAsia="宋体" w:cs="宋体"/>
                <w:b/>
                <w:bCs/>
                <w:szCs w:val="24"/>
                <w:highlight w:val="none"/>
                <w:lang w:val="en-US" w:eastAsia="zh-CN"/>
              </w:rPr>
            </w:pPr>
          </w:p>
        </w:tc>
        <w:tc>
          <w:tcPr>
            <w:tcW w:w="353" w:type="pct"/>
            <w:vMerge w:val="continue"/>
            <w:vAlign w:val="center"/>
          </w:tcPr>
          <w:p w14:paraId="78D6F1F8">
            <w:pPr>
              <w:spacing w:line="360" w:lineRule="auto"/>
              <w:jc w:val="center"/>
              <w:rPr>
                <w:rFonts w:hAnsi="宋体" w:cs="宋体"/>
                <w:b/>
                <w:bCs/>
                <w:szCs w:val="24"/>
                <w:highlight w:val="none"/>
              </w:rPr>
            </w:pPr>
          </w:p>
        </w:tc>
        <w:tc>
          <w:tcPr>
            <w:tcW w:w="235" w:type="pct"/>
            <w:vAlign w:val="center"/>
          </w:tcPr>
          <w:p w14:paraId="12B8BD24">
            <w:pPr>
              <w:spacing w:line="360" w:lineRule="auto"/>
              <w:jc w:val="left"/>
              <w:rPr>
                <w:rFonts w:hAnsi="宋体" w:cs="宋体"/>
                <w:szCs w:val="24"/>
                <w:highlight w:val="none"/>
              </w:rPr>
            </w:pPr>
            <w:r>
              <w:rPr>
                <w:rFonts w:hint="eastAsia" w:hAnsi="宋体" w:cs="宋体"/>
                <w:szCs w:val="24"/>
                <w:highlight w:val="none"/>
              </w:rPr>
              <w:t>⑤</w:t>
            </w:r>
          </w:p>
        </w:tc>
        <w:tc>
          <w:tcPr>
            <w:tcW w:w="3536" w:type="pct"/>
            <w:vAlign w:val="center"/>
          </w:tcPr>
          <w:p w14:paraId="4EEC56DB">
            <w:pPr>
              <w:spacing w:line="360" w:lineRule="auto"/>
              <w:ind w:left="-108" w:leftChars="-45"/>
              <w:jc w:val="left"/>
              <w:rPr>
                <w:rFonts w:hint="eastAsia" w:hAnsi="宋体" w:cs="宋体"/>
                <w:b/>
                <w:bCs/>
                <w:szCs w:val="24"/>
                <w:highlight w:val="none"/>
              </w:rPr>
            </w:pPr>
            <w:r>
              <w:rPr>
                <w:rFonts w:hint="eastAsia" w:hAnsi="宋体" w:cs="宋体"/>
                <w:b/>
                <w:bCs/>
                <w:szCs w:val="24"/>
                <w:highlight w:val="none"/>
                <w:lang w:val="en-US" w:eastAsia="zh-CN"/>
              </w:rPr>
              <w:t>售后</w:t>
            </w:r>
            <w:r>
              <w:rPr>
                <w:rFonts w:hint="eastAsia" w:hAnsi="宋体" w:cs="宋体"/>
                <w:b/>
                <w:bCs/>
                <w:szCs w:val="24"/>
                <w:highlight w:val="none"/>
              </w:rPr>
              <w:t>方案：</w:t>
            </w:r>
          </w:p>
          <w:p w14:paraId="1CB5C30A">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一、评审内容</w:t>
            </w:r>
          </w:p>
          <w:p w14:paraId="021C6115">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根据项目实际需求提供售后服务方案。内容包含：①售后服务范围②故障处理及补救措施</w:t>
            </w:r>
            <w:r>
              <w:rPr>
                <w:rFonts w:hint="eastAsia" w:hAnsi="宋体" w:cs="宋体"/>
                <w:b w:val="0"/>
                <w:bCs w:val="0"/>
                <w:szCs w:val="24"/>
                <w:highlight w:val="none"/>
                <w:lang w:val="en-US" w:eastAsia="zh-CN"/>
              </w:rPr>
              <w:t>③</w:t>
            </w:r>
            <w:r>
              <w:rPr>
                <w:rFonts w:hint="eastAsia" w:hAnsi="宋体" w:cs="宋体"/>
                <w:b w:val="0"/>
                <w:bCs w:val="0"/>
                <w:szCs w:val="24"/>
                <w:highlight w:val="none"/>
              </w:rPr>
              <w:t>定期回访及维护。</w:t>
            </w:r>
          </w:p>
          <w:p w14:paraId="638B9346">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二、评审标准</w:t>
            </w:r>
          </w:p>
          <w:p w14:paraId="478E315D">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1.完整性：方案须全面，对评审内容中的各项要求有详细描述；</w:t>
            </w:r>
          </w:p>
          <w:p w14:paraId="65E1C23E">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2.可实施性：切合本项目实际情况，提出步骤清晰、合理的方案；</w:t>
            </w:r>
          </w:p>
          <w:p w14:paraId="57AFDD49">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3.针对性：方案能够紧扣项目实际情况，内容科学合理。</w:t>
            </w:r>
          </w:p>
          <w:p w14:paraId="469325BD">
            <w:pPr>
              <w:spacing w:line="360" w:lineRule="auto"/>
              <w:ind w:left="-108" w:leftChars="-45"/>
              <w:jc w:val="left"/>
              <w:rPr>
                <w:rFonts w:hint="eastAsia" w:hAnsi="宋体" w:cs="宋体"/>
                <w:b w:val="0"/>
                <w:bCs w:val="0"/>
                <w:szCs w:val="24"/>
                <w:highlight w:val="none"/>
              </w:rPr>
            </w:pPr>
            <w:r>
              <w:rPr>
                <w:rFonts w:hint="eastAsia" w:hAnsi="宋体" w:cs="宋体"/>
                <w:b w:val="0"/>
                <w:bCs w:val="0"/>
                <w:szCs w:val="24"/>
                <w:highlight w:val="none"/>
              </w:rPr>
              <w:t>三、赋分依据（满分</w:t>
            </w:r>
            <w:r>
              <w:rPr>
                <w:rFonts w:hint="eastAsia" w:hAnsi="宋体" w:cs="宋体"/>
                <w:b w:val="0"/>
                <w:bCs w:val="0"/>
                <w:szCs w:val="24"/>
                <w:highlight w:val="none"/>
                <w:lang w:val="en-US" w:eastAsia="zh-CN"/>
              </w:rPr>
              <w:t>9</w:t>
            </w:r>
            <w:r>
              <w:rPr>
                <w:rFonts w:hint="eastAsia" w:hAnsi="宋体" w:cs="宋体"/>
                <w:b w:val="0"/>
                <w:bCs w:val="0"/>
                <w:szCs w:val="24"/>
                <w:highlight w:val="none"/>
              </w:rPr>
              <w:t>分）</w:t>
            </w:r>
          </w:p>
          <w:p w14:paraId="3B20A3DB">
            <w:pPr>
              <w:spacing w:line="360" w:lineRule="auto"/>
              <w:ind w:left="-108" w:leftChars="-45"/>
              <w:jc w:val="left"/>
              <w:rPr>
                <w:rFonts w:hint="eastAsia" w:hAnsi="宋体" w:cs="宋体"/>
                <w:b w:val="0"/>
                <w:bCs w:val="0"/>
                <w:szCs w:val="24"/>
                <w:highlight w:val="none"/>
                <w:lang w:eastAsia="zh-CN"/>
              </w:rPr>
            </w:pPr>
            <w:r>
              <w:rPr>
                <w:rFonts w:hint="eastAsia" w:hAnsi="宋体" w:cs="宋体"/>
                <w:b w:val="0"/>
                <w:bCs w:val="0"/>
                <w:szCs w:val="24"/>
                <w:highlight w:val="none"/>
              </w:rPr>
              <w:t>①售后服务范围：每完全满足一个评审标准得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w:t>
            </w:r>
            <w:r>
              <w:rPr>
                <w:rFonts w:hint="eastAsia" w:hAnsi="宋体" w:cs="宋体"/>
                <w:b w:val="0"/>
                <w:bCs w:val="0"/>
                <w:szCs w:val="24"/>
                <w:highlight w:val="none"/>
              </w:rPr>
              <w:t>分</w:t>
            </w:r>
            <w:r>
              <w:rPr>
                <w:rFonts w:hint="eastAsia" w:hAnsi="宋体" w:cs="宋体"/>
                <w:b w:val="0"/>
                <w:bCs w:val="0"/>
                <w:szCs w:val="24"/>
                <w:highlight w:val="none"/>
                <w:lang w:eastAsia="zh-CN"/>
              </w:rPr>
              <w:t>；</w:t>
            </w:r>
          </w:p>
          <w:p w14:paraId="2A173CEB">
            <w:pPr>
              <w:spacing w:line="360" w:lineRule="auto"/>
              <w:ind w:left="-108" w:leftChars="-45"/>
              <w:jc w:val="left"/>
              <w:rPr>
                <w:rFonts w:hint="eastAsia" w:hAnsi="宋体" w:cs="宋体"/>
                <w:b w:val="0"/>
                <w:bCs w:val="0"/>
                <w:szCs w:val="24"/>
                <w:highlight w:val="none"/>
                <w:lang w:eastAsia="zh-CN"/>
              </w:rPr>
            </w:pPr>
            <w:r>
              <w:rPr>
                <w:rFonts w:hint="eastAsia" w:hAnsi="宋体" w:cs="宋体"/>
                <w:b w:val="0"/>
                <w:bCs w:val="0"/>
                <w:szCs w:val="24"/>
                <w:highlight w:val="none"/>
              </w:rPr>
              <w:t>②故障处理及补救措施:每完全满足一个评审标准得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w:t>
            </w:r>
            <w:r>
              <w:rPr>
                <w:rFonts w:hint="eastAsia" w:hAnsi="宋体" w:cs="宋体"/>
                <w:b w:val="0"/>
                <w:bCs w:val="0"/>
                <w:szCs w:val="24"/>
                <w:highlight w:val="none"/>
              </w:rPr>
              <w:t>分</w:t>
            </w:r>
            <w:r>
              <w:rPr>
                <w:rFonts w:hint="eastAsia" w:hAnsi="宋体" w:cs="宋体"/>
                <w:b w:val="0"/>
                <w:bCs w:val="0"/>
                <w:szCs w:val="24"/>
                <w:highlight w:val="none"/>
                <w:lang w:eastAsia="zh-CN"/>
              </w:rPr>
              <w:t>；</w:t>
            </w:r>
          </w:p>
          <w:p w14:paraId="7391897C">
            <w:pPr>
              <w:spacing w:line="360" w:lineRule="auto"/>
              <w:ind w:left="-108" w:leftChars="-45"/>
              <w:jc w:val="left"/>
              <w:rPr>
                <w:rFonts w:hAnsi="宋体"/>
                <w:b w:val="0"/>
                <w:bCs w:val="0"/>
                <w:highlight w:val="none"/>
              </w:rPr>
            </w:pPr>
            <w:r>
              <w:rPr>
                <w:rFonts w:hint="eastAsia" w:hAnsi="宋体" w:cs="宋体"/>
                <w:b w:val="0"/>
                <w:bCs w:val="0"/>
                <w:szCs w:val="24"/>
                <w:highlight w:val="none"/>
              </w:rPr>
              <w:t>③定期回访及维护:每完全满足一个评审标准得</w:t>
            </w:r>
            <w:r>
              <w:rPr>
                <w:rFonts w:hint="eastAsia" w:hAnsi="宋体" w:cs="宋体"/>
                <w:b w:val="0"/>
                <w:bCs w:val="0"/>
                <w:szCs w:val="24"/>
                <w:highlight w:val="none"/>
                <w:lang w:val="en-US" w:eastAsia="zh-CN"/>
              </w:rPr>
              <w:t>1</w:t>
            </w:r>
            <w:r>
              <w:rPr>
                <w:rFonts w:hint="eastAsia" w:hAnsi="宋体" w:cs="宋体"/>
                <w:b w:val="0"/>
                <w:bCs w:val="0"/>
                <w:szCs w:val="24"/>
                <w:highlight w:val="none"/>
              </w:rPr>
              <w:t>分，</w:t>
            </w:r>
            <w:r>
              <w:rPr>
                <w:rFonts w:hint="eastAsia" w:hAnsi="宋体" w:cs="宋体"/>
                <w:b w:val="0"/>
                <w:bCs w:val="0"/>
                <w:szCs w:val="24"/>
                <w:highlight w:val="none"/>
                <w:lang w:val="en-US" w:eastAsia="zh-CN"/>
              </w:rPr>
              <w:t>不完全满足一个评审标准得0-1分，</w:t>
            </w:r>
            <w:r>
              <w:rPr>
                <w:rFonts w:hint="eastAsia" w:hAnsi="宋体" w:cs="宋体"/>
                <w:b w:val="0"/>
                <w:bCs w:val="0"/>
                <w:szCs w:val="24"/>
                <w:highlight w:val="none"/>
              </w:rPr>
              <w:t>满分</w:t>
            </w:r>
            <w:r>
              <w:rPr>
                <w:rFonts w:hint="eastAsia" w:hAnsi="宋体" w:cs="宋体"/>
                <w:b w:val="0"/>
                <w:bCs w:val="0"/>
                <w:szCs w:val="24"/>
                <w:highlight w:val="none"/>
                <w:lang w:val="en-US" w:eastAsia="zh-CN"/>
              </w:rPr>
              <w:t>3</w:t>
            </w:r>
            <w:r>
              <w:rPr>
                <w:rFonts w:hint="eastAsia" w:hAnsi="宋体" w:cs="宋体"/>
                <w:b w:val="0"/>
                <w:bCs w:val="0"/>
                <w:szCs w:val="24"/>
                <w:highlight w:val="none"/>
              </w:rPr>
              <w:t>分</w:t>
            </w:r>
            <w:r>
              <w:rPr>
                <w:rFonts w:hint="eastAsia" w:hAnsi="宋体" w:cs="宋体"/>
                <w:b w:val="0"/>
                <w:bCs w:val="0"/>
                <w:szCs w:val="24"/>
                <w:highlight w:val="none"/>
                <w:lang w:eastAsia="zh-CN"/>
              </w:rPr>
              <w:t>。</w:t>
            </w:r>
          </w:p>
        </w:tc>
        <w:tc>
          <w:tcPr>
            <w:tcW w:w="399" w:type="pct"/>
            <w:vAlign w:val="center"/>
          </w:tcPr>
          <w:p w14:paraId="060B44B8">
            <w:pPr>
              <w:spacing w:line="360" w:lineRule="auto"/>
              <w:jc w:val="center"/>
              <w:rPr>
                <w:rFonts w:hAnsi="宋体" w:cs="宋体"/>
                <w:szCs w:val="24"/>
                <w:highlight w:val="none"/>
              </w:rPr>
            </w:pPr>
            <w:r>
              <w:rPr>
                <w:rFonts w:hint="eastAsia" w:hAnsi="宋体" w:cs="宋体"/>
                <w:szCs w:val="24"/>
                <w:highlight w:val="none"/>
                <w:lang w:val="en-US" w:eastAsia="zh-CN"/>
              </w:rPr>
              <w:t>9</w:t>
            </w:r>
            <w:r>
              <w:rPr>
                <w:rFonts w:hint="eastAsia" w:hAnsi="宋体" w:cs="宋体"/>
                <w:szCs w:val="24"/>
                <w:highlight w:val="none"/>
              </w:rPr>
              <w:t>分</w:t>
            </w:r>
          </w:p>
        </w:tc>
      </w:tr>
      <w:tr w14:paraId="7FAB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75" w:type="pct"/>
            <w:vMerge w:val="continue"/>
            <w:vAlign w:val="center"/>
          </w:tcPr>
          <w:p w14:paraId="3A97E42B">
            <w:pPr>
              <w:spacing w:line="360" w:lineRule="auto"/>
              <w:jc w:val="center"/>
              <w:rPr>
                <w:rFonts w:hint="eastAsia" w:hAnsi="宋体" w:cs="宋体"/>
                <w:b/>
                <w:bCs/>
                <w:szCs w:val="24"/>
                <w:highlight w:val="none"/>
                <w:lang w:eastAsia="zh-CN"/>
              </w:rPr>
            </w:pPr>
          </w:p>
        </w:tc>
        <w:tc>
          <w:tcPr>
            <w:tcW w:w="353" w:type="pct"/>
            <w:vMerge w:val="continue"/>
            <w:vAlign w:val="center"/>
          </w:tcPr>
          <w:p w14:paraId="7C664A1E">
            <w:pPr>
              <w:spacing w:line="360" w:lineRule="auto"/>
              <w:jc w:val="center"/>
              <w:rPr>
                <w:rFonts w:hAnsi="宋体" w:cs="宋体"/>
                <w:b/>
                <w:bCs/>
                <w:szCs w:val="24"/>
                <w:highlight w:val="none"/>
              </w:rPr>
            </w:pPr>
          </w:p>
        </w:tc>
        <w:tc>
          <w:tcPr>
            <w:tcW w:w="235" w:type="pct"/>
            <w:vAlign w:val="center"/>
          </w:tcPr>
          <w:p w14:paraId="0A722FF4">
            <w:pPr>
              <w:spacing w:line="360" w:lineRule="auto"/>
              <w:jc w:val="left"/>
              <w:rPr>
                <w:rFonts w:hint="eastAsia" w:hAnsi="宋体" w:cs="宋体"/>
                <w:szCs w:val="24"/>
                <w:highlight w:val="none"/>
              </w:rPr>
            </w:pPr>
            <w:r>
              <w:rPr>
                <w:rFonts w:hint="eastAsia" w:hAnsi="宋体" w:cs="宋体"/>
                <w:szCs w:val="24"/>
                <w:highlight w:val="none"/>
              </w:rPr>
              <w:t>⑥</w:t>
            </w:r>
          </w:p>
        </w:tc>
        <w:tc>
          <w:tcPr>
            <w:tcW w:w="3536" w:type="pct"/>
            <w:vAlign w:val="center"/>
          </w:tcPr>
          <w:p w14:paraId="3A00A6EB">
            <w:pPr>
              <w:spacing w:line="360" w:lineRule="auto"/>
              <w:jc w:val="left"/>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投标人在本项目所在地具有售后服务场所，提供房屋租赁合同或购房合同及办公场地的影像资料得5分，不提供不得分。</w:t>
            </w:r>
          </w:p>
        </w:tc>
        <w:tc>
          <w:tcPr>
            <w:tcW w:w="399" w:type="pct"/>
            <w:vAlign w:val="center"/>
          </w:tcPr>
          <w:p w14:paraId="13619883">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5分</w:t>
            </w:r>
          </w:p>
        </w:tc>
      </w:tr>
      <w:tr w14:paraId="13A0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475" w:type="pct"/>
            <w:vAlign w:val="center"/>
          </w:tcPr>
          <w:p w14:paraId="71D3DF2C">
            <w:pPr>
              <w:spacing w:line="360" w:lineRule="auto"/>
              <w:jc w:val="center"/>
              <w:rPr>
                <w:rFonts w:hint="eastAsia" w:hAnsi="宋体" w:cs="宋体"/>
                <w:b/>
                <w:bCs/>
                <w:szCs w:val="24"/>
                <w:highlight w:val="none"/>
                <w:lang w:eastAsia="zh-CN"/>
              </w:rPr>
            </w:pPr>
          </w:p>
        </w:tc>
        <w:tc>
          <w:tcPr>
            <w:tcW w:w="353" w:type="pct"/>
            <w:vAlign w:val="center"/>
          </w:tcPr>
          <w:p w14:paraId="3ABF0198">
            <w:pPr>
              <w:spacing w:line="360" w:lineRule="auto"/>
              <w:jc w:val="center"/>
              <w:rPr>
                <w:rFonts w:hAnsi="宋体" w:cs="宋体"/>
                <w:b/>
                <w:bCs/>
                <w:szCs w:val="24"/>
                <w:highlight w:val="none"/>
              </w:rPr>
            </w:pPr>
          </w:p>
        </w:tc>
        <w:tc>
          <w:tcPr>
            <w:tcW w:w="235" w:type="pct"/>
            <w:vAlign w:val="center"/>
          </w:tcPr>
          <w:p w14:paraId="6358DDE4">
            <w:pPr>
              <w:spacing w:line="360" w:lineRule="auto"/>
              <w:jc w:val="left"/>
              <w:rPr>
                <w:rFonts w:hint="eastAsia" w:hAnsi="宋体" w:cs="宋体"/>
                <w:szCs w:val="24"/>
                <w:highlight w:val="none"/>
              </w:rPr>
            </w:pPr>
            <w:r>
              <w:rPr>
                <w:rFonts w:hint="eastAsia" w:hAnsi="宋体" w:cs="宋体"/>
                <w:szCs w:val="24"/>
                <w:highlight w:val="none"/>
              </w:rPr>
              <w:t>⑦</w:t>
            </w:r>
          </w:p>
        </w:tc>
        <w:tc>
          <w:tcPr>
            <w:tcW w:w="3536" w:type="pct"/>
            <w:vAlign w:val="center"/>
          </w:tcPr>
          <w:p w14:paraId="62EAFADB">
            <w:pPr>
              <w:spacing w:line="360" w:lineRule="auto"/>
              <w:jc w:val="left"/>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投标人需提供售后服务人员不少于5人，且具备大专及以上学历（需提供毕业证书）得5分，每增加1人得1分满分8分。</w:t>
            </w:r>
          </w:p>
        </w:tc>
        <w:tc>
          <w:tcPr>
            <w:tcW w:w="399" w:type="pct"/>
            <w:vAlign w:val="center"/>
          </w:tcPr>
          <w:p w14:paraId="48C8AA99">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8分</w:t>
            </w:r>
          </w:p>
        </w:tc>
      </w:tr>
      <w:tr w14:paraId="322B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475" w:type="pct"/>
            <w:vAlign w:val="center"/>
          </w:tcPr>
          <w:p w14:paraId="3FB67BAB">
            <w:pPr>
              <w:spacing w:line="360" w:lineRule="auto"/>
              <w:jc w:val="center"/>
              <w:rPr>
                <w:rFonts w:hint="default" w:hAnsi="宋体" w:cs="宋体"/>
                <w:b/>
                <w:bCs/>
                <w:szCs w:val="24"/>
                <w:highlight w:val="none"/>
                <w:lang w:val="en-US" w:eastAsia="zh-CN"/>
              </w:rPr>
            </w:pPr>
            <w:r>
              <w:rPr>
                <w:rFonts w:hint="eastAsia" w:hAnsi="宋体" w:cs="宋体"/>
                <w:b/>
                <w:bCs/>
                <w:szCs w:val="24"/>
                <w:highlight w:val="none"/>
                <w:lang w:val="en-US" w:eastAsia="zh-CN"/>
              </w:rPr>
              <w:t>现场演示</w:t>
            </w:r>
          </w:p>
        </w:tc>
        <w:tc>
          <w:tcPr>
            <w:tcW w:w="353" w:type="pct"/>
            <w:vAlign w:val="center"/>
          </w:tcPr>
          <w:p w14:paraId="189EDDAE">
            <w:pPr>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5分</w:t>
            </w:r>
          </w:p>
        </w:tc>
        <w:tc>
          <w:tcPr>
            <w:tcW w:w="235" w:type="pct"/>
            <w:vAlign w:val="center"/>
          </w:tcPr>
          <w:p w14:paraId="516A00CA">
            <w:pPr>
              <w:spacing w:line="360" w:lineRule="auto"/>
              <w:jc w:val="left"/>
              <w:rPr>
                <w:rFonts w:hint="eastAsia" w:hAnsi="宋体" w:cs="宋体"/>
                <w:szCs w:val="24"/>
                <w:highlight w:val="none"/>
              </w:rPr>
            </w:pPr>
            <w:r>
              <w:rPr>
                <w:rFonts w:hint="eastAsia" w:hAnsi="宋体" w:cs="宋体"/>
                <w:szCs w:val="24"/>
                <w:highlight w:val="none"/>
              </w:rPr>
              <w:t>⑧</w:t>
            </w:r>
          </w:p>
        </w:tc>
        <w:tc>
          <w:tcPr>
            <w:tcW w:w="3536" w:type="pct"/>
            <w:vAlign w:val="center"/>
          </w:tcPr>
          <w:p w14:paraId="530E62E4">
            <w:pPr>
              <w:spacing w:line="360" w:lineRule="auto"/>
              <w:jc w:val="left"/>
              <w:rPr>
                <w:rFonts w:hint="default" w:hAnsi="宋体" w:cs="宋体"/>
                <w:b w:val="0"/>
                <w:bCs w:val="0"/>
                <w:szCs w:val="24"/>
                <w:highlight w:val="none"/>
                <w:lang w:val="en-US" w:eastAsia="zh-CN"/>
              </w:rPr>
            </w:pPr>
            <w:r>
              <w:rPr>
                <w:rFonts w:hint="eastAsia" w:hAnsi="宋体" w:cs="宋体"/>
                <w:b w:val="0"/>
                <w:bCs w:val="0"/>
                <w:szCs w:val="24"/>
                <w:highlight w:val="none"/>
                <w:lang w:val="en-US" w:eastAsia="zh-CN"/>
              </w:rPr>
              <w:t>投标人需要现场对</w:t>
            </w:r>
            <w:r>
              <w:rPr>
                <w:rFonts w:hint="eastAsia" w:ascii="宋体" w:hAnsi="宋体" w:eastAsia="宋体" w:cs="宋体"/>
                <w:b w:val="0"/>
                <w:bCs w:val="0"/>
                <w:szCs w:val="24"/>
                <w:highlight w:val="none"/>
                <w:lang w:val="en-US" w:eastAsia="zh-CN"/>
              </w:rPr>
              <w:t>★</w:t>
            </w:r>
            <w:r>
              <w:rPr>
                <w:rFonts w:hint="eastAsia" w:hAnsi="宋体" w:cs="宋体"/>
                <w:b w:val="0"/>
                <w:bCs w:val="0"/>
                <w:szCs w:val="24"/>
                <w:highlight w:val="none"/>
                <w:lang w:val="en-US" w:eastAsia="zh-CN"/>
              </w:rPr>
              <w:t>项核心产品的主控设备进行现场演示，演示内容不符合1条扣1分，扣完为止，满分5分。不演示不得分</w:t>
            </w:r>
          </w:p>
        </w:tc>
        <w:tc>
          <w:tcPr>
            <w:tcW w:w="399" w:type="pct"/>
            <w:vAlign w:val="center"/>
          </w:tcPr>
          <w:p w14:paraId="566E827A">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5分</w:t>
            </w:r>
          </w:p>
        </w:tc>
      </w:tr>
      <w:tr w14:paraId="086B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475" w:type="pct"/>
            <w:vAlign w:val="center"/>
          </w:tcPr>
          <w:p w14:paraId="0239F4D3">
            <w:pPr>
              <w:spacing w:line="276" w:lineRule="auto"/>
              <w:jc w:val="center"/>
              <w:rPr>
                <w:rFonts w:hAnsi="宋体" w:cs="宋体"/>
                <w:b/>
                <w:szCs w:val="24"/>
                <w:highlight w:val="none"/>
              </w:rPr>
            </w:pPr>
            <w:r>
              <w:rPr>
                <w:rFonts w:hint="eastAsia" w:hAnsi="宋体" w:cs="宋体"/>
                <w:b/>
                <w:szCs w:val="24"/>
                <w:highlight w:val="none"/>
              </w:rPr>
              <w:t>业绩</w:t>
            </w:r>
          </w:p>
        </w:tc>
        <w:tc>
          <w:tcPr>
            <w:tcW w:w="353" w:type="pct"/>
            <w:vAlign w:val="center"/>
          </w:tcPr>
          <w:p w14:paraId="5628E820">
            <w:pPr>
              <w:spacing w:line="360" w:lineRule="auto"/>
              <w:jc w:val="center"/>
              <w:rPr>
                <w:rFonts w:hAnsi="宋体" w:cs="宋体"/>
                <w:b/>
                <w:bCs/>
                <w:szCs w:val="24"/>
                <w:highlight w:val="none"/>
              </w:rPr>
            </w:pPr>
            <w:r>
              <w:rPr>
                <w:rFonts w:hint="eastAsia" w:hAnsi="宋体" w:cs="宋体"/>
                <w:b/>
                <w:bCs/>
                <w:szCs w:val="24"/>
                <w:highlight w:val="none"/>
                <w:lang w:val="en-US" w:eastAsia="zh-CN"/>
              </w:rPr>
              <w:t>10</w:t>
            </w:r>
            <w:r>
              <w:rPr>
                <w:rFonts w:hint="eastAsia" w:hAnsi="宋体" w:cs="宋体"/>
                <w:b/>
                <w:bCs/>
                <w:szCs w:val="24"/>
                <w:highlight w:val="none"/>
              </w:rPr>
              <w:t>分</w:t>
            </w:r>
          </w:p>
        </w:tc>
        <w:tc>
          <w:tcPr>
            <w:tcW w:w="235" w:type="pct"/>
            <w:vAlign w:val="center"/>
          </w:tcPr>
          <w:p w14:paraId="5B8EAC86">
            <w:pPr>
              <w:spacing w:line="360" w:lineRule="auto"/>
              <w:jc w:val="left"/>
              <w:rPr>
                <w:rFonts w:hAnsi="宋体" w:cs="宋体"/>
                <w:szCs w:val="24"/>
                <w:highlight w:val="none"/>
              </w:rPr>
            </w:pPr>
            <w:r>
              <w:rPr>
                <w:rFonts w:hint="eastAsia" w:hAnsi="宋体" w:cs="宋体"/>
                <w:szCs w:val="24"/>
                <w:highlight w:val="none"/>
              </w:rPr>
              <w:t>⑨</w:t>
            </w:r>
          </w:p>
        </w:tc>
        <w:tc>
          <w:tcPr>
            <w:tcW w:w="3536" w:type="pct"/>
            <w:vAlign w:val="center"/>
          </w:tcPr>
          <w:p w14:paraId="3B9D3D24">
            <w:pPr>
              <w:adjustRightInd w:val="0"/>
              <w:snapToGrid w:val="0"/>
              <w:spacing w:line="360" w:lineRule="auto"/>
              <w:ind w:left="24" w:leftChars="10" w:right="24" w:rightChars="10"/>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投标人提供自202</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7</w:t>
            </w:r>
            <w:r>
              <w:rPr>
                <w:rFonts w:hint="eastAsia" w:ascii="宋体" w:hAnsi="宋体" w:eastAsia="宋体" w:cs="宋体"/>
                <w:sz w:val="24"/>
                <w:szCs w:val="24"/>
                <w:highlight w:val="none"/>
              </w:rPr>
              <w:t>月1日以来</w:t>
            </w:r>
            <w:r>
              <w:rPr>
                <w:rFonts w:hint="eastAsia" w:hAnsi="宋体" w:cs="宋体"/>
                <w:sz w:val="24"/>
                <w:szCs w:val="24"/>
                <w:highlight w:val="none"/>
                <w:lang w:val="en-US" w:eastAsia="zh-CN"/>
              </w:rPr>
              <w:t>同类</w:t>
            </w:r>
            <w:r>
              <w:rPr>
                <w:rFonts w:hint="eastAsia" w:ascii="宋体" w:hAnsi="宋体" w:eastAsia="宋体" w:cs="宋体"/>
                <w:sz w:val="24"/>
                <w:szCs w:val="24"/>
                <w:highlight w:val="none"/>
              </w:rPr>
              <w:t>项目业绩（以合同签订日期为准），每份合格业绩合同计</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10</w:t>
            </w:r>
            <w:r>
              <w:rPr>
                <w:rFonts w:hint="eastAsia" w:ascii="宋体" w:hAnsi="宋体" w:eastAsia="宋体" w:cs="宋体"/>
                <w:sz w:val="24"/>
                <w:szCs w:val="24"/>
                <w:highlight w:val="none"/>
              </w:rPr>
              <w:t>分。</w:t>
            </w:r>
          </w:p>
          <w:p w14:paraId="70FAA512">
            <w:pPr>
              <w:adjustRightInd w:val="0"/>
              <w:snapToGrid w:val="0"/>
              <w:spacing w:line="360" w:lineRule="auto"/>
              <w:ind w:left="24" w:leftChars="10" w:right="24" w:rightChars="10"/>
              <w:rPr>
                <w:highlight w:val="none"/>
              </w:rPr>
            </w:pPr>
            <w:r>
              <w:rPr>
                <w:rFonts w:hint="eastAsia" w:ascii="宋体" w:hAnsi="宋体" w:eastAsia="宋体" w:cs="宋体"/>
                <w:sz w:val="24"/>
                <w:szCs w:val="24"/>
                <w:highlight w:val="none"/>
              </w:rPr>
              <w:t>备注：需提供完整业绩合同及</w:t>
            </w:r>
            <w:r>
              <w:rPr>
                <w:rFonts w:hint="eastAsia" w:hAnsi="宋体" w:cs="宋体"/>
                <w:sz w:val="24"/>
                <w:szCs w:val="24"/>
                <w:highlight w:val="none"/>
                <w:lang w:val="en-US" w:eastAsia="zh-CN"/>
              </w:rPr>
              <w:t>中标通知书及验收报告</w:t>
            </w:r>
            <w:r>
              <w:rPr>
                <w:rFonts w:hint="eastAsia" w:ascii="宋体" w:hAnsi="宋体" w:eastAsia="宋体" w:cs="宋体"/>
                <w:sz w:val="24"/>
                <w:szCs w:val="24"/>
                <w:highlight w:val="none"/>
              </w:rPr>
              <w:t>，否则不得分。</w:t>
            </w:r>
          </w:p>
        </w:tc>
        <w:tc>
          <w:tcPr>
            <w:tcW w:w="399" w:type="pct"/>
            <w:vAlign w:val="center"/>
          </w:tcPr>
          <w:p w14:paraId="4AAD7581">
            <w:pPr>
              <w:spacing w:line="560" w:lineRule="exact"/>
              <w:jc w:val="center"/>
              <w:rPr>
                <w:rFonts w:hAnsi="宋体" w:cs="宋体"/>
                <w:szCs w:val="24"/>
                <w:highlight w:val="none"/>
              </w:rPr>
            </w:pPr>
            <w:r>
              <w:rPr>
                <w:rFonts w:hint="eastAsia" w:hAnsi="宋体" w:cs="宋体"/>
                <w:szCs w:val="24"/>
                <w:highlight w:val="none"/>
                <w:lang w:val="en-US" w:eastAsia="zh-CN"/>
              </w:rPr>
              <w:t>10</w:t>
            </w:r>
            <w:r>
              <w:rPr>
                <w:rFonts w:hint="eastAsia" w:hAnsi="宋体" w:cs="宋体"/>
                <w:szCs w:val="24"/>
                <w:highlight w:val="none"/>
              </w:rPr>
              <w:t>分</w:t>
            </w:r>
          </w:p>
        </w:tc>
      </w:tr>
    </w:tbl>
    <w:p w14:paraId="7C9466CE">
      <w:pPr>
        <w:rPr>
          <w:highlight w:val="none"/>
        </w:rPr>
      </w:pPr>
    </w:p>
    <w:p w14:paraId="26BEF4ED">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61F5B6DB">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评标委员会</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2BA54729">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2、采购人根据评标报告中推荐的中标候选人排列顺序确定投标人，以复函通知招标代理机构。</w:t>
      </w:r>
    </w:p>
    <w:p w14:paraId="569D5759">
      <w:pPr>
        <w:rPr>
          <w:rFonts w:cs="宋体"/>
          <w:bCs/>
          <w:sz w:val="36"/>
          <w:szCs w:val="36"/>
          <w:highlight w:val="none"/>
        </w:rPr>
      </w:pPr>
      <w:r>
        <w:rPr>
          <w:rFonts w:hint="eastAsia" w:cs="宋体"/>
          <w:bCs/>
          <w:sz w:val="36"/>
          <w:szCs w:val="36"/>
          <w:highlight w:val="none"/>
        </w:rPr>
        <w:br w:type="page"/>
      </w:r>
    </w:p>
    <w:p w14:paraId="740E76CF">
      <w:pPr>
        <w:pStyle w:val="2"/>
        <w:spacing w:line="360" w:lineRule="auto"/>
        <w:jc w:val="center"/>
        <w:rPr>
          <w:rFonts w:ascii="宋体" w:eastAsia="宋体" w:cs="宋体"/>
          <w:bCs/>
          <w:sz w:val="36"/>
          <w:szCs w:val="36"/>
          <w:highlight w:val="none"/>
        </w:rPr>
      </w:pPr>
      <w:bookmarkStart w:id="98" w:name="_Toc2042"/>
      <w:r>
        <w:rPr>
          <w:rFonts w:hint="eastAsia" w:ascii="宋体" w:eastAsia="宋体" w:cs="宋体"/>
          <w:bCs/>
          <w:sz w:val="36"/>
          <w:szCs w:val="36"/>
          <w:highlight w:val="none"/>
        </w:rPr>
        <w:t>第六章  投标文件构成及格式</w:t>
      </w:r>
      <w:bookmarkEnd w:id="90"/>
      <w:bookmarkEnd w:id="91"/>
      <w:bookmarkEnd w:id="92"/>
      <w:bookmarkEnd w:id="93"/>
      <w:bookmarkEnd w:id="94"/>
      <w:bookmarkEnd w:id="95"/>
      <w:bookmarkEnd w:id="98"/>
    </w:p>
    <w:p w14:paraId="34DB7329">
      <w:pPr>
        <w:rPr>
          <w:rFonts w:hAnsi="宋体" w:cs="宋体"/>
          <w:highlight w:val="none"/>
        </w:rPr>
      </w:pPr>
    </w:p>
    <w:p w14:paraId="30E2DE42">
      <w:pPr>
        <w:rPr>
          <w:rFonts w:hint="eastAsia" w:hAnsi="宋体" w:eastAsia="宋体" w:cs="宋体"/>
          <w:b/>
          <w:sz w:val="32"/>
          <w:szCs w:val="32"/>
          <w:highlight w:val="none"/>
          <w:lang w:eastAsia="zh-CN"/>
        </w:rPr>
      </w:pPr>
      <w:r>
        <w:rPr>
          <w:rFonts w:hint="eastAsia" w:hAnsi="宋体" w:cs="宋体"/>
          <w:b/>
          <w:sz w:val="32"/>
          <w:szCs w:val="32"/>
          <w:highlight w:val="none"/>
        </w:rPr>
        <w:t>项目编号：</w:t>
      </w:r>
      <w:r>
        <w:rPr>
          <w:rFonts w:hint="eastAsia" w:hAnsi="宋体" w:cs="宋体"/>
          <w:b/>
          <w:sz w:val="32"/>
          <w:szCs w:val="32"/>
          <w:highlight w:val="none"/>
          <w:lang w:eastAsia="zh-CN"/>
        </w:rPr>
        <w:t>YZZB-20250127</w:t>
      </w:r>
    </w:p>
    <w:p w14:paraId="0EDA6755">
      <w:pPr>
        <w:jc w:val="right"/>
        <w:rPr>
          <w:rFonts w:hAnsi="宋体" w:cs="宋体"/>
          <w:b/>
          <w:sz w:val="32"/>
          <w:szCs w:val="32"/>
          <w:highlight w:val="none"/>
        </w:rPr>
      </w:pPr>
      <w:r>
        <w:rPr>
          <w:rFonts w:hint="eastAsia" w:hAnsi="宋体" w:cs="宋体"/>
          <w:b/>
          <w:sz w:val="32"/>
          <w:szCs w:val="32"/>
          <w:highlight w:val="none"/>
        </w:rPr>
        <w:t>（正本或副本）</w:t>
      </w:r>
    </w:p>
    <w:p w14:paraId="3E749797">
      <w:pPr>
        <w:jc w:val="center"/>
        <w:rPr>
          <w:rFonts w:hAnsi="宋体" w:cs="宋体"/>
          <w:b/>
          <w:sz w:val="36"/>
          <w:szCs w:val="36"/>
          <w:highlight w:val="none"/>
        </w:rPr>
      </w:pPr>
    </w:p>
    <w:p w14:paraId="3E4CAF7F">
      <w:pPr>
        <w:rPr>
          <w:rFonts w:hAnsi="宋体" w:cs="宋体"/>
          <w:b/>
          <w:sz w:val="52"/>
          <w:szCs w:val="52"/>
          <w:highlight w:val="none"/>
        </w:rPr>
      </w:pPr>
    </w:p>
    <w:p w14:paraId="0D88DEF6">
      <w:pPr>
        <w:jc w:val="center"/>
        <w:rPr>
          <w:rFonts w:hint="eastAsia" w:hAnsi="宋体" w:eastAsia="宋体" w:cs="宋体"/>
          <w:b/>
          <w:sz w:val="44"/>
          <w:szCs w:val="44"/>
          <w:highlight w:val="none"/>
          <w:lang w:eastAsia="zh-CN"/>
        </w:rPr>
      </w:pPr>
      <w:r>
        <w:rPr>
          <w:rFonts w:hint="eastAsia" w:hAnsi="宋体" w:cs="宋体"/>
          <w:b/>
          <w:sz w:val="56"/>
          <w:szCs w:val="56"/>
          <w:highlight w:val="none"/>
          <w:lang w:eastAsia="zh-CN"/>
        </w:rPr>
        <w:t>多功能录播教室建设项目</w:t>
      </w:r>
    </w:p>
    <w:p w14:paraId="44219AFB">
      <w:pPr>
        <w:jc w:val="center"/>
        <w:rPr>
          <w:rFonts w:hAnsi="宋体" w:cs="宋体"/>
          <w:b/>
          <w:sz w:val="48"/>
          <w:szCs w:val="48"/>
          <w:highlight w:val="none"/>
        </w:rPr>
      </w:pPr>
    </w:p>
    <w:p w14:paraId="6BF8307B">
      <w:pPr>
        <w:rPr>
          <w:rFonts w:hAnsi="宋体" w:cs="宋体"/>
          <w:b/>
          <w:sz w:val="48"/>
          <w:szCs w:val="48"/>
          <w:highlight w:val="none"/>
        </w:rPr>
      </w:pPr>
    </w:p>
    <w:p w14:paraId="290F8465">
      <w:pPr>
        <w:jc w:val="center"/>
        <w:rPr>
          <w:rFonts w:hAnsi="宋体" w:cs="宋体"/>
          <w:b/>
          <w:sz w:val="72"/>
          <w:szCs w:val="72"/>
          <w:highlight w:val="none"/>
        </w:rPr>
      </w:pPr>
    </w:p>
    <w:p w14:paraId="5E700319">
      <w:pPr>
        <w:jc w:val="center"/>
        <w:rPr>
          <w:rFonts w:hAnsi="宋体" w:cs="宋体"/>
          <w:b/>
          <w:sz w:val="72"/>
          <w:szCs w:val="72"/>
          <w:highlight w:val="none"/>
        </w:rPr>
      </w:pPr>
      <w:r>
        <w:rPr>
          <w:rFonts w:hint="eastAsia" w:hAnsi="宋体" w:cs="宋体"/>
          <w:b/>
          <w:sz w:val="72"/>
          <w:szCs w:val="72"/>
          <w:highlight w:val="none"/>
        </w:rPr>
        <w:t>投 标 文 件</w:t>
      </w:r>
    </w:p>
    <w:p w14:paraId="3D1394EB">
      <w:pPr>
        <w:rPr>
          <w:rFonts w:hAnsi="宋体" w:cs="宋体"/>
          <w:b/>
          <w:sz w:val="36"/>
          <w:szCs w:val="36"/>
          <w:highlight w:val="none"/>
        </w:rPr>
      </w:pPr>
    </w:p>
    <w:p w14:paraId="3DDAA0A8">
      <w:pPr>
        <w:tabs>
          <w:tab w:val="center" w:pos="5346"/>
        </w:tabs>
        <w:spacing w:line="720" w:lineRule="auto"/>
        <w:jc w:val="center"/>
        <w:rPr>
          <w:rFonts w:hAnsi="宋体" w:cs="宋体"/>
          <w:b/>
          <w:sz w:val="32"/>
          <w:szCs w:val="32"/>
          <w:highlight w:val="none"/>
        </w:rPr>
      </w:pPr>
    </w:p>
    <w:p w14:paraId="225649B1">
      <w:pPr>
        <w:tabs>
          <w:tab w:val="center" w:pos="5346"/>
        </w:tabs>
        <w:spacing w:line="720" w:lineRule="auto"/>
        <w:jc w:val="center"/>
        <w:rPr>
          <w:rFonts w:hAnsi="宋体" w:cs="宋体"/>
          <w:b/>
          <w:sz w:val="32"/>
          <w:szCs w:val="32"/>
          <w:highlight w:val="none"/>
        </w:rPr>
      </w:pPr>
      <w:r>
        <w:rPr>
          <w:rFonts w:hint="eastAsia" w:hAnsi="宋体" w:cs="宋体"/>
          <w:b/>
          <w:sz w:val="32"/>
          <w:szCs w:val="32"/>
          <w:highlight w:val="none"/>
        </w:rPr>
        <w:t>投标人名称（公章）</w:t>
      </w:r>
    </w:p>
    <w:p w14:paraId="7830817D">
      <w:pPr>
        <w:spacing w:line="720" w:lineRule="auto"/>
        <w:jc w:val="center"/>
        <w:rPr>
          <w:rFonts w:hAnsi="宋体" w:cs="宋体"/>
          <w:sz w:val="32"/>
          <w:szCs w:val="32"/>
          <w:highlight w:val="none"/>
        </w:rPr>
      </w:pPr>
      <w:r>
        <w:rPr>
          <w:rFonts w:hint="eastAsia" w:hAnsi="宋体" w:cs="宋体"/>
          <w:b/>
          <w:sz w:val="32"/>
          <w:szCs w:val="32"/>
          <w:highlight w:val="none"/>
        </w:rPr>
        <w:t xml:space="preserve">  年   月</w:t>
      </w:r>
      <w:r>
        <w:rPr>
          <w:rFonts w:hint="eastAsia" w:hAnsi="宋体" w:cs="宋体"/>
          <w:b/>
          <w:sz w:val="36"/>
          <w:szCs w:val="36"/>
          <w:highlight w:val="none"/>
        </w:rPr>
        <w:br w:type="page"/>
      </w:r>
      <w:bookmarkStart w:id="99" w:name="_Toc426457699"/>
      <w:bookmarkStart w:id="100" w:name="_Toc23850"/>
      <w:bookmarkStart w:id="101" w:name="_Toc17702"/>
      <w:bookmarkStart w:id="102" w:name="_Toc22537"/>
      <w:bookmarkStart w:id="103" w:name="_Toc23267"/>
      <w:bookmarkStart w:id="104" w:name="_Toc30983"/>
      <w:bookmarkStart w:id="105" w:name="_Toc403077647"/>
      <w:bookmarkStart w:id="106" w:name="_Toc363474026"/>
      <w:r>
        <w:rPr>
          <w:rFonts w:hint="eastAsia" w:hAnsi="宋体" w:cs="宋体"/>
          <w:sz w:val="32"/>
          <w:szCs w:val="32"/>
          <w:highlight w:val="none"/>
        </w:rPr>
        <w:t>目    录</w:t>
      </w:r>
      <w:bookmarkEnd w:id="99"/>
      <w:bookmarkEnd w:id="100"/>
      <w:bookmarkEnd w:id="101"/>
      <w:bookmarkEnd w:id="102"/>
      <w:bookmarkEnd w:id="103"/>
      <w:bookmarkEnd w:id="104"/>
      <w:bookmarkEnd w:id="105"/>
      <w:bookmarkEnd w:id="106"/>
    </w:p>
    <w:p w14:paraId="5AF8F714">
      <w:pPr>
        <w:rPr>
          <w:rFonts w:hAnsi="宋体" w:cs="宋体"/>
          <w:highlight w:val="none"/>
        </w:rPr>
      </w:pPr>
    </w:p>
    <w:p w14:paraId="1DA5901F">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投标函</w:t>
      </w:r>
    </w:p>
    <w:p w14:paraId="1A9E3765">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投标报价表</w:t>
      </w:r>
    </w:p>
    <w:p w14:paraId="02B8DA25">
      <w:pPr>
        <w:numPr>
          <w:ilvl w:val="0"/>
          <w:numId w:val="7"/>
        </w:numPr>
        <w:tabs>
          <w:tab w:val="left" w:pos="1418"/>
        </w:tabs>
        <w:spacing w:line="720" w:lineRule="auto"/>
        <w:ind w:left="831"/>
        <w:rPr>
          <w:rFonts w:hAnsi="宋体" w:cs="宋体"/>
          <w:spacing w:val="4"/>
          <w:szCs w:val="24"/>
          <w:highlight w:val="none"/>
        </w:rPr>
      </w:pPr>
      <w:r>
        <w:rPr>
          <w:rFonts w:hint="eastAsia" w:hAnsi="宋体" w:cs="宋体"/>
          <w:szCs w:val="24"/>
          <w:highlight w:val="none"/>
        </w:rPr>
        <w:t>投标方案说明书</w:t>
      </w:r>
    </w:p>
    <w:p w14:paraId="5C3B2678">
      <w:pPr>
        <w:numPr>
          <w:ilvl w:val="0"/>
          <w:numId w:val="7"/>
        </w:numPr>
        <w:tabs>
          <w:tab w:val="left" w:pos="1418"/>
        </w:tabs>
        <w:spacing w:line="720" w:lineRule="auto"/>
        <w:ind w:left="831"/>
        <w:rPr>
          <w:rFonts w:hAnsi="宋体" w:cs="宋体"/>
          <w:spacing w:val="4"/>
          <w:szCs w:val="24"/>
          <w:highlight w:val="none"/>
        </w:rPr>
      </w:pPr>
      <w:r>
        <w:rPr>
          <w:rFonts w:hint="eastAsia" w:hAnsi="宋体" w:cs="宋体"/>
          <w:szCs w:val="24"/>
          <w:highlight w:val="none"/>
        </w:rPr>
        <w:t>商务条款偏离表</w:t>
      </w:r>
    </w:p>
    <w:p w14:paraId="11B90DB9">
      <w:pPr>
        <w:numPr>
          <w:ilvl w:val="0"/>
          <w:numId w:val="7"/>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陕西省政府采购供应商拒绝政府采购领域商业贿赂承诺书</w:t>
      </w:r>
    </w:p>
    <w:p w14:paraId="0D915961">
      <w:pPr>
        <w:numPr>
          <w:ilvl w:val="0"/>
          <w:numId w:val="7"/>
        </w:numPr>
        <w:tabs>
          <w:tab w:val="left" w:pos="1418"/>
        </w:tabs>
        <w:spacing w:line="720" w:lineRule="auto"/>
        <w:ind w:left="831"/>
        <w:rPr>
          <w:rFonts w:hAnsi="宋体" w:cs="宋体"/>
          <w:szCs w:val="24"/>
          <w:highlight w:val="none"/>
        </w:rPr>
      </w:pPr>
      <w:r>
        <w:rPr>
          <w:rFonts w:hint="eastAsia" w:hAnsi="宋体" w:cs="宋体"/>
          <w:szCs w:val="24"/>
          <w:highlight w:val="none"/>
        </w:rPr>
        <w:t>资格证明文件</w:t>
      </w:r>
    </w:p>
    <w:p w14:paraId="3B7373FB">
      <w:pPr>
        <w:numPr>
          <w:ilvl w:val="0"/>
          <w:numId w:val="7"/>
        </w:numPr>
        <w:tabs>
          <w:tab w:val="left" w:pos="1418"/>
        </w:tabs>
        <w:spacing w:line="720" w:lineRule="auto"/>
        <w:ind w:left="831"/>
        <w:rPr>
          <w:rFonts w:hAnsi="宋体" w:cs="宋体"/>
          <w:szCs w:val="24"/>
          <w:highlight w:val="none"/>
        </w:rPr>
      </w:pPr>
      <w:r>
        <w:rPr>
          <w:rFonts w:hint="eastAsia" w:hAnsi="宋体" w:cs="宋体"/>
          <w:szCs w:val="24"/>
          <w:highlight w:val="none"/>
        </w:rPr>
        <w:t>其他</w:t>
      </w:r>
    </w:p>
    <w:p w14:paraId="1339EB68">
      <w:pPr>
        <w:spacing w:line="480" w:lineRule="auto"/>
        <w:ind w:left="105"/>
        <w:rPr>
          <w:rFonts w:hAnsi="宋体" w:cs="宋体"/>
          <w:spacing w:val="4"/>
          <w:szCs w:val="24"/>
          <w:highlight w:val="none"/>
        </w:rPr>
      </w:pPr>
    </w:p>
    <w:p w14:paraId="34F290FC">
      <w:pPr>
        <w:pStyle w:val="4"/>
        <w:spacing w:before="333" w:beforeLines="100"/>
        <w:rPr>
          <w:rFonts w:ascii="宋体" w:hAnsi="宋体" w:cs="宋体"/>
          <w:sz w:val="32"/>
          <w:szCs w:val="32"/>
          <w:highlight w:val="none"/>
        </w:rPr>
      </w:pPr>
      <w:r>
        <w:rPr>
          <w:rFonts w:hint="eastAsia" w:ascii="宋体" w:hAnsi="宋体" w:cs="宋体"/>
          <w:sz w:val="28"/>
          <w:highlight w:val="none"/>
        </w:rPr>
        <w:br w:type="page"/>
      </w:r>
      <w:bookmarkStart w:id="107" w:name="_Toc403077648"/>
      <w:bookmarkStart w:id="108" w:name="_Toc363474027"/>
      <w:bookmarkStart w:id="109" w:name="_Toc20960"/>
      <w:bookmarkStart w:id="110" w:name="_Toc24564"/>
      <w:bookmarkStart w:id="111" w:name="_Toc5908"/>
      <w:bookmarkStart w:id="112" w:name="_Toc14057"/>
      <w:bookmarkStart w:id="113" w:name="_Toc4930"/>
      <w:bookmarkStart w:id="114" w:name="_Toc22682"/>
      <w:bookmarkStart w:id="115" w:name="_Toc23702"/>
      <w:bookmarkStart w:id="116" w:name="_Toc426457700"/>
      <w:bookmarkStart w:id="117" w:name="_Toc26301"/>
      <w:bookmarkStart w:id="118" w:name="_Toc28404"/>
      <w:bookmarkStart w:id="119" w:name="_Toc6397"/>
      <w:bookmarkStart w:id="120" w:name="_Toc31677"/>
      <w:bookmarkStart w:id="121" w:name="_Toc24231"/>
      <w:r>
        <w:rPr>
          <w:rFonts w:hint="eastAsia" w:ascii="宋体" w:hAnsi="宋体" w:cs="宋体"/>
          <w:sz w:val="32"/>
          <w:szCs w:val="32"/>
          <w:highlight w:val="none"/>
        </w:rPr>
        <w:t>一、投标</w:t>
      </w:r>
      <w:bookmarkEnd w:id="107"/>
      <w:bookmarkEnd w:id="108"/>
      <w:r>
        <w:rPr>
          <w:rFonts w:hint="eastAsia" w:ascii="宋体" w:hAnsi="宋体" w:cs="宋体"/>
          <w:sz w:val="32"/>
          <w:szCs w:val="32"/>
          <w:highlight w:val="none"/>
        </w:rPr>
        <w:t>函</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5BB33DDF">
      <w:pPr>
        <w:rPr>
          <w:rFonts w:hAnsi="宋体" w:cs="宋体"/>
          <w:highlight w:val="none"/>
        </w:rPr>
      </w:pPr>
    </w:p>
    <w:p w14:paraId="0140B74F">
      <w:pPr>
        <w:spacing w:line="500" w:lineRule="exact"/>
        <w:jc w:val="left"/>
        <w:rPr>
          <w:rFonts w:hint="eastAsia" w:hAnsi="宋体" w:eastAsia="宋体" w:cs="宋体"/>
          <w:spacing w:val="4"/>
          <w:szCs w:val="24"/>
          <w:highlight w:val="none"/>
          <w:u w:val="single"/>
          <w:lang w:eastAsia="zh-CN"/>
        </w:rPr>
      </w:pPr>
      <w:r>
        <w:rPr>
          <w:rFonts w:hint="eastAsia" w:hAnsi="宋体" w:cs="宋体"/>
          <w:b/>
          <w:spacing w:val="4"/>
          <w:szCs w:val="24"/>
          <w:highlight w:val="none"/>
        </w:rPr>
        <w:t>致</w:t>
      </w:r>
      <w:r>
        <w:rPr>
          <w:rFonts w:hint="eastAsia" w:hAnsi="宋体" w:cs="宋体"/>
          <w:b/>
          <w:spacing w:val="4"/>
          <w:szCs w:val="24"/>
          <w:highlight w:val="none"/>
          <w:u w:val="single"/>
        </w:rPr>
        <w:t>：采购人名称/</w:t>
      </w:r>
      <w:r>
        <w:rPr>
          <w:rFonts w:hint="eastAsia" w:hAnsi="宋体" w:cs="宋体"/>
          <w:b/>
          <w:spacing w:val="4"/>
          <w:szCs w:val="24"/>
          <w:highlight w:val="none"/>
          <w:u w:val="single"/>
          <w:lang w:eastAsia="zh-CN"/>
        </w:rPr>
        <w:t>陕西银正项目管理有限公司</w:t>
      </w:r>
    </w:p>
    <w:p w14:paraId="353174F6">
      <w:pPr>
        <w:spacing w:line="500" w:lineRule="exact"/>
        <w:ind w:firstLine="496" w:firstLineChars="200"/>
        <w:rPr>
          <w:rFonts w:hAnsi="宋体" w:cs="宋体"/>
          <w:spacing w:val="4"/>
          <w:highlight w:val="none"/>
        </w:rPr>
      </w:pPr>
      <w:r>
        <w:rPr>
          <w:rFonts w:hint="eastAsia" w:hAnsi="宋体" w:cs="宋体"/>
          <w:spacing w:val="4"/>
          <w:highlight w:val="none"/>
        </w:rPr>
        <w:t>根据贵方“</w:t>
      </w:r>
      <w:r>
        <w:rPr>
          <w:rFonts w:hint="eastAsia" w:hAnsi="宋体" w:cs="宋体"/>
          <w:spacing w:val="4"/>
          <w:highlight w:val="none"/>
          <w:u w:val="single"/>
        </w:rPr>
        <w:t xml:space="preserve">                      </w:t>
      </w:r>
      <w:r>
        <w:rPr>
          <w:rFonts w:hint="eastAsia" w:hAnsi="宋体" w:cs="宋体"/>
          <w:spacing w:val="4"/>
          <w:highlight w:val="none"/>
        </w:rPr>
        <w:t>”项目的投标邀请</w:t>
      </w:r>
      <w:r>
        <w:rPr>
          <w:rFonts w:hint="eastAsia" w:hAnsi="宋体" w:cs="宋体"/>
          <w:spacing w:val="4"/>
          <w:highlight w:val="none"/>
          <w:u w:val="single"/>
        </w:rPr>
        <w:t>(编号：        )</w:t>
      </w:r>
      <w:r>
        <w:rPr>
          <w:rFonts w:hint="eastAsia" w:hAnsi="宋体" w:cs="宋体"/>
          <w:spacing w:val="4"/>
          <w:highlight w:val="none"/>
        </w:rPr>
        <w:t>，签字代表</w:t>
      </w:r>
      <w:r>
        <w:rPr>
          <w:rFonts w:hint="eastAsia" w:hAnsi="宋体" w:cs="宋体"/>
          <w:spacing w:val="4"/>
          <w:highlight w:val="none"/>
          <w:u w:val="single"/>
        </w:rPr>
        <w:t>（全名、职务）</w:t>
      </w:r>
      <w:r>
        <w:rPr>
          <w:rFonts w:hint="eastAsia" w:hAnsi="宋体" w:cs="宋体"/>
          <w:spacing w:val="4"/>
          <w:highlight w:val="none"/>
        </w:rPr>
        <w:t>经正式授权并代表供应商</w:t>
      </w:r>
      <w:r>
        <w:rPr>
          <w:rFonts w:hint="eastAsia" w:hAnsi="宋体" w:cs="宋体"/>
          <w:spacing w:val="4"/>
          <w:highlight w:val="none"/>
          <w:u w:val="single"/>
        </w:rPr>
        <w:t>(供应商名称、地址)</w:t>
      </w:r>
      <w:r>
        <w:rPr>
          <w:rFonts w:hint="eastAsia" w:hAnsi="宋体" w:cs="宋体"/>
          <w:spacing w:val="4"/>
          <w:highlight w:val="none"/>
        </w:rPr>
        <w:t xml:space="preserve"> 提交投标文件正本壹份、副本一式</w:t>
      </w:r>
      <w:r>
        <w:rPr>
          <w:rFonts w:hint="eastAsia" w:hAnsi="宋体" w:cs="宋体"/>
          <w:spacing w:val="4"/>
          <w:highlight w:val="none"/>
          <w:u w:val="single"/>
        </w:rPr>
        <w:t xml:space="preserve">    </w:t>
      </w:r>
      <w:r>
        <w:rPr>
          <w:rFonts w:hint="eastAsia" w:hAnsi="宋体" w:cs="宋体"/>
          <w:spacing w:val="4"/>
          <w:highlight w:val="none"/>
        </w:rPr>
        <w:t>份、电子版</w:t>
      </w:r>
      <w:r>
        <w:rPr>
          <w:rFonts w:hint="eastAsia" w:hAnsi="宋体" w:cs="宋体"/>
          <w:spacing w:val="4"/>
          <w:highlight w:val="none"/>
          <w:u w:val="single"/>
        </w:rPr>
        <w:t xml:space="preserve">    </w:t>
      </w:r>
      <w:r>
        <w:rPr>
          <w:rFonts w:hint="eastAsia" w:hAnsi="宋体" w:cs="宋体"/>
          <w:spacing w:val="4"/>
          <w:highlight w:val="none"/>
        </w:rPr>
        <w:t>份、开标一览表</w:t>
      </w:r>
      <w:r>
        <w:rPr>
          <w:rFonts w:hint="eastAsia" w:hAnsi="宋体" w:cs="宋体"/>
          <w:spacing w:val="4"/>
          <w:highlight w:val="none"/>
          <w:u w:val="single"/>
        </w:rPr>
        <w:t xml:space="preserve">    </w:t>
      </w:r>
      <w:r>
        <w:rPr>
          <w:rFonts w:hint="eastAsia" w:hAnsi="宋体" w:cs="宋体"/>
          <w:spacing w:val="4"/>
          <w:highlight w:val="none"/>
        </w:rPr>
        <w:t>份。</w:t>
      </w:r>
    </w:p>
    <w:p w14:paraId="47351B07">
      <w:pPr>
        <w:spacing w:line="500" w:lineRule="exact"/>
        <w:ind w:left="624" w:leftChars="251" w:hanging="22" w:hangingChars="9"/>
        <w:jc w:val="left"/>
        <w:rPr>
          <w:rFonts w:hAnsi="宋体" w:cs="宋体"/>
          <w:spacing w:val="4"/>
          <w:highlight w:val="none"/>
        </w:rPr>
      </w:pPr>
      <w:r>
        <w:rPr>
          <w:rFonts w:hint="eastAsia" w:hAnsi="宋体" w:cs="宋体"/>
          <w:spacing w:val="4"/>
          <w:highlight w:val="none"/>
        </w:rPr>
        <w:t>我方承诺如下：</w:t>
      </w:r>
    </w:p>
    <w:p w14:paraId="5AA21833">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投标报价为小写：</w:t>
      </w:r>
      <w:r>
        <w:rPr>
          <w:rFonts w:hint="eastAsia" w:hAnsi="宋体" w:cs="宋体"/>
          <w:spacing w:val="4"/>
          <w:szCs w:val="24"/>
          <w:highlight w:val="none"/>
          <w:u w:val="single"/>
        </w:rPr>
        <w:t xml:space="preserve">         </w:t>
      </w:r>
      <w:r>
        <w:rPr>
          <w:rFonts w:hint="eastAsia" w:hAnsi="宋体" w:cs="宋体"/>
          <w:spacing w:val="4"/>
          <w:szCs w:val="24"/>
          <w:highlight w:val="none"/>
        </w:rPr>
        <w:t>（大写：</w:t>
      </w:r>
      <w:r>
        <w:rPr>
          <w:rFonts w:hint="eastAsia" w:hAnsi="宋体" w:cs="宋体"/>
          <w:spacing w:val="4"/>
          <w:szCs w:val="24"/>
          <w:highlight w:val="none"/>
          <w:u w:val="single"/>
        </w:rPr>
        <w:t xml:space="preserve">         </w:t>
      </w:r>
      <w:r>
        <w:rPr>
          <w:rFonts w:hint="eastAsia" w:hAnsi="宋体" w:cs="宋体"/>
          <w:spacing w:val="4"/>
          <w:szCs w:val="24"/>
          <w:highlight w:val="none"/>
        </w:rPr>
        <w:t>）。</w:t>
      </w:r>
    </w:p>
    <w:p w14:paraId="74DEE466">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如果中标，我们根据招标文件的规定，履行合同的责任和义务。</w:t>
      </w:r>
    </w:p>
    <w:p w14:paraId="0CDD571D">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我们已详细阅读和审核全部招标文件（含修改部分，如有的话）及有关附件，我们知道必须放弃提出含糊不清或误解的问题的权利。</w:t>
      </w:r>
    </w:p>
    <w:p w14:paraId="29BC1746">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我们同意在投标有效期内（</w:t>
      </w:r>
      <w:r>
        <w:rPr>
          <w:rFonts w:hint="eastAsia" w:hAnsi="宋体" w:cs="宋体"/>
          <w:spacing w:val="4"/>
          <w:szCs w:val="24"/>
          <w:highlight w:val="none"/>
          <w:u w:val="single"/>
        </w:rPr>
        <w:t>自开标之日起    天</w:t>
      </w:r>
      <w:r>
        <w:rPr>
          <w:rFonts w:hint="eastAsia" w:hAnsi="宋体" w:cs="宋体"/>
          <w:spacing w:val="4"/>
          <w:szCs w:val="24"/>
          <w:highlight w:val="none"/>
        </w:rPr>
        <w:t>），本投标函对我方具有约束力。</w:t>
      </w:r>
    </w:p>
    <w:p w14:paraId="7CFB8B40">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同意提供贵方可能另外要求的与本投标有关的任何证据和资料。</w:t>
      </w:r>
    </w:p>
    <w:p w14:paraId="36AB2096">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我们同意，如果中标，向</w:t>
      </w:r>
      <w:r>
        <w:rPr>
          <w:rFonts w:hint="eastAsia" w:hAnsi="宋体" w:cs="宋体"/>
          <w:spacing w:val="4"/>
          <w:szCs w:val="24"/>
          <w:highlight w:val="none"/>
          <w:lang w:eastAsia="zh-CN"/>
        </w:rPr>
        <w:t>陕西银正项目管理有限公司</w:t>
      </w:r>
      <w:r>
        <w:rPr>
          <w:rFonts w:hint="eastAsia" w:hAnsi="宋体" w:cs="宋体"/>
          <w:spacing w:val="4"/>
          <w:szCs w:val="24"/>
          <w:highlight w:val="none"/>
        </w:rPr>
        <w:t>交纳招标代理服务费。</w:t>
      </w:r>
    </w:p>
    <w:p w14:paraId="2FDDAE10">
      <w:pPr>
        <w:numPr>
          <w:ilvl w:val="0"/>
          <w:numId w:val="8"/>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与本投标有关的一切正式往来通讯为：</w:t>
      </w:r>
    </w:p>
    <w:p w14:paraId="34E8BED5">
      <w:pPr>
        <w:spacing w:line="500" w:lineRule="exact"/>
        <w:ind w:firstLine="1240" w:firstLineChars="500"/>
        <w:jc w:val="left"/>
        <w:rPr>
          <w:rFonts w:hAnsi="宋体" w:cs="宋体"/>
          <w:spacing w:val="4"/>
          <w:highlight w:val="none"/>
        </w:rPr>
      </w:pPr>
      <w:r>
        <w:rPr>
          <w:rFonts w:hint="eastAsia" w:hAnsi="宋体" w:cs="宋体"/>
          <w:spacing w:val="4"/>
          <w:highlight w:val="none"/>
        </w:rPr>
        <w:t>联系地址：</w:t>
      </w:r>
    </w:p>
    <w:p w14:paraId="62CCF8D6">
      <w:pPr>
        <w:spacing w:line="500" w:lineRule="exact"/>
        <w:ind w:firstLine="1240" w:firstLineChars="500"/>
        <w:jc w:val="left"/>
        <w:rPr>
          <w:rFonts w:hAnsi="宋体" w:cs="宋体"/>
          <w:spacing w:val="4"/>
          <w:highlight w:val="none"/>
        </w:rPr>
      </w:pPr>
      <w:r>
        <w:rPr>
          <w:rFonts w:hint="eastAsia" w:hAnsi="宋体" w:cs="宋体"/>
          <w:spacing w:val="4"/>
          <w:highlight w:val="none"/>
        </w:rPr>
        <w:t>邮政编码：</w:t>
      </w:r>
    </w:p>
    <w:p w14:paraId="18AA47B6">
      <w:pPr>
        <w:spacing w:line="500" w:lineRule="exact"/>
        <w:ind w:firstLine="1240" w:firstLineChars="500"/>
        <w:jc w:val="left"/>
        <w:rPr>
          <w:rFonts w:hAnsi="宋体" w:cs="宋体"/>
          <w:spacing w:val="4"/>
          <w:highlight w:val="none"/>
        </w:rPr>
      </w:pPr>
      <w:r>
        <w:rPr>
          <w:rFonts w:hint="eastAsia" w:hAnsi="宋体" w:cs="宋体"/>
          <w:spacing w:val="4"/>
          <w:highlight w:val="none"/>
        </w:rPr>
        <w:t>电    话：</w:t>
      </w:r>
    </w:p>
    <w:p w14:paraId="531FE5E2">
      <w:pPr>
        <w:spacing w:line="500" w:lineRule="exact"/>
        <w:ind w:firstLine="1240" w:firstLineChars="500"/>
        <w:jc w:val="left"/>
        <w:rPr>
          <w:rFonts w:hAnsi="宋体" w:cs="宋体"/>
          <w:spacing w:val="4"/>
          <w:highlight w:val="none"/>
        </w:rPr>
      </w:pPr>
      <w:r>
        <w:rPr>
          <w:rFonts w:hint="eastAsia" w:hAnsi="宋体" w:cs="宋体"/>
          <w:spacing w:val="4"/>
          <w:highlight w:val="none"/>
        </w:rPr>
        <w:t>传    真：</w:t>
      </w:r>
    </w:p>
    <w:p w14:paraId="46B2C26A">
      <w:pPr>
        <w:spacing w:line="500" w:lineRule="exact"/>
        <w:ind w:firstLine="1240" w:firstLineChars="500"/>
        <w:jc w:val="left"/>
        <w:rPr>
          <w:rFonts w:hAnsi="宋体" w:cs="宋体"/>
          <w:spacing w:val="4"/>
          <w:highlight w:val="none"/>
        </w:rPr>
      </w:pPr>
      <w:r>
        <w:rPr>
          <w:rFonts w:hint="eastAsia" w:hAnsi="宋体" w:cs="宋体"/>
          <w:spacing w:val="4"/>
          <w:highlight w:val="none"/>
        </w:rPr>
        <w:t>供应商名称（盖章）：</w:t>
      </w:r>
    </w:p>
    <w:p w14:paraId="222796CF">
      <w:pPr>
        <w:spacing w:line="500" w:lineRule="exact"/>
        <w:ind w:firstLine="1200" w:firstLineChars="500"/>
        <w:jc w:val="left"/>
        <w:rPr>
          <w:rFonts w:hAnsi="宋体" w:cs="宋体"/>
          <w:spacing w:val="4"/>
          <w:highlight w:val="none"/>
        </w:rPr>
      </w:pPr>
      <w:r>
        <w:rPr>
          <w:rFonts w:hint="eastAsia" w:hAnsi="宋体" w:cs="宋体"/>
          <w:highlight w:val="none"/>
        </w:rPr>
        <w:t>法定代表人或</w:t>
      </w:r>
      <w:r>
        <w:rPr>
          <w:rFonts w:hint="eastAsia" w:hAnsi="宋体" w:cs="宋体"/>
          <w:szCs w:val="24"/>
          <w:highlight w:val="none"/>
        </w:rPr>
        <w:t>被授权人签字或盖章</w:t>
      </w:r>
      <w:r>
        <w:rPr>
          <w:rFonts w:hint="eastAsia" w:hAnsi="宋体" w:cs="宋体"/>
          <w:spacing w:val="4"/>
          <w:highlight w:val="none"/>
        </w:rPr>
        <w:t>：</w:t>
      </w:r>
    </w:p>
    <w:p w14:paraId="7BB74A7C">
      <w:pPr>
        <w:spacing w:line="500" w:lineRule="exact"/>
        <w:ind w:firstLine="1240" w:firstLineChars="500"/>
        <w:jc w:val="left"/>
        <w:rPr>
          <w:rFonts w:hAnsi="宋体" w:cs="宋体"/>
          <w:spacing w:val="4"/>
          <w:highlight w:val="none"/>
        </w:rPr>
      </w:pPr>
      <w:r>
        <w:rPr>
          <w:rFonts w:hint="eastAsia" w:hAnsi="宋体" w:cs="宋体"/>
          <w:spacing w:val="4"/>
          <w:highlight w:val="none"/>
        </w:rPr>
        <w:t>日    期：</w:t>
      </w:r>
    </w:p>
    <w:p w14:paraId="070D9D70">
      <w:pPr>
        <w:spacing w:before="333" w:beforeLines="100"/>
        <w:jc w:val="center"/>
        <w:outlineLvl w:val="2"/>
        <w:rPr>
          <w:rFonts w:hAnsi="宋体" w:cs="宋体"/>
          <w:b/>
          <w:bCs/>
          <w:sz w:val="32"/>
          <w:szCs w:val="32"/>
          <w:highlight w:val="none"/>
        </w:rPr>
      </w:pPr>
      <w:r>
        <w:rPr>
          <w:rFonts w:hint="eastAsia" w:hAnsi="宋体" w:cs="宋体"/>
          <w:sz w:val="28"/>
          <w:highlight w:val="none"/>
        </w:rPr>
        <w:br w:type="page"/>
      </w:r>
      <w:bookmarkStart w:id="122" w:name="_Toc19867"/>
      <w:bookmarkStart w:id="123" w:name="_Toc21319"/>
      <w:bookmarkStart w:id="124" w:name="_Toc17802"/>
      <w:bookmarkStart w:id="125" w:name="_Toc27599"/>
      <w:bookmarkStart w:id="126" w:name="_Toc426457703"/>
      <w:bookmarkStart w:id="127" w:name="_Toc26697"/>
      <w:bookmarkStart w:id="128" w:name="_Toc2675"/>
      <w:bookmarkStart w:id="129" w:name="_Toc363474030"/>
      <w:bookmarkStart w:id="130" w:name="_Toc25217"/>
      <w:bookmarkStart w:id="131" w:name="_Toc29025"/>
      <w:bookmarkStart w:id="132" w:name="_Toc19026"/>
      <w:bookmarkStart w:id="133" w:name="_Toc21663"/>
      <w:bookmarkStart w:id="134" w:name="_Toc13665"/>
      <w:bookmarkStart w:id="135" w:name="_Toc4332"/>
      <w:bookmarkStart w:id="136" w:name="_Toc403077651"/>
      <w:r>
        <w:rPr>
          <w:rFonts w:hint="eastAsia" w:hAnsi="宋体" w:cs="宋体"/>
          <w:b/>
          <w:bCs/>
          <w:sz w:val="32"/>
          <w:szCs w:val="32"/>
          <w:highlight w:val="none"/>
        </w:rPr>
        <w:t>二、投标报价表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9FFF9DA">
      <w:pPr>
        <w:jc w:val="center"/>
        <w:rPr>
          <w:rFonts w:hAnsi="宋体" w:cs="宋体"/>
          <w:b/>
          <w:sz w:val="30"/>
          <w:szCs w:val="30"/>
          <w:highlight w:val="none"/>
        </w:rPr>
      </w:pPr>
      <w:r>
        <w:rPr>
          <w:rFonts w:hint="eastAsia" w:hAnsi="宋体" w:cs="宋体"/>
          <w:b/>
          <w:sz w:val="30"/>
          <w:szCs w:val="30"/>
          <w:highlight w:val="none"/>
        </w:rPr>
        <w:t>2.1开标一览表</w:t>
      </w:r>
    </w:p>
    <w:p w14:paraId="62FD3186">
      <w:pPr>
        <w:jc w:val="left"/>
        <w:rPr>
          <w:rFonts w:hAnsi="宋体" w:cs="宋体"/>
          <w:bCs/>
          <w:szCs w:val="24"/>
          <w:highlight w:val="none"/>
        </w:rPr>
      </w:pPr>
      <w:r>
        <w:rPr>
          <w:rFonts w:hint="eastAsia" w:hAnsi="宋体" w:cs="宋体"/>
          <w:bCs/>
          <w:szCs w:val="24"/>
          <w:highlight w:val="none"/>
        </w:rPr>
        <w:t>项目名称：</w:t>
      </w:r>
    </w:p>
    <w:p w14:paraId="2E94F100">
      <w:pPr>
        <w:jc w:val="left"/>
        <w:rPr>
          <w:rFonts w:hAnsi="宋体" w:cs="宋体"/>
          <w:bCs/>
          <w:szCs w:val="24"/>
          <w:highlight w:val="none"/>
        </w:rPr>
      </w:pPr>
      <w:r>
        <w:rPr>
          <w:rFonts w:hint="eastAsia" w:hAnsi="宋体" w:cs="宋体"/>
          <w:bCs/>
          <w:szCs w:val="24"/>
          <w:highlight w:val="none"/>
        </w:rPr>
        <w:t>项目编号：</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3133"/>
        <w:gridCol w:w="1852"/>
        <w:gridCol w:w="1863"/>
      </w:tblGrid>
      <w:tr w14:paraId="1202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311" w:type="pct"/>
            <w:vAlign w:val="center"/>
          </w:tcPr>
          <w:p w14:paraId="6673CE3D">
            <w:pPr>
              <w:jc w:val="center"/>
              <w:rPr>
                <w:rFonts w:hAnsi="宋体" w:cs="宋体"/>
                <w:szCs w:val="24"/>
                <w:highlight w:val="none"/>
              </w:rPr>
            </w:pPr>
            <w:r>
              <w:rPr>
                <w:rFonts w:hint="eastAsia" w:hAnsi="宋体" w:cs="宋体"/>
                <w:szCs w:val="24"/>
                <w:highlight w:val="none"/>
              </w:rPr>
              <w:t>投标报价</w:t>
            </w:r>
          </w:p>
          <w:p w14:paraId="4C958869">
            <w:pPr>
              <w:jc w:val="center"/>
              <w:rPr>
                <w:rFonts w:hAnsi="宋体" w:cs="宋体"/>
                <w:szCs w:val="24"/>
                <w:highlight w:val="none"/>
              </w:rPr>
            </w:pPr>
            <w:r>
              <w:rPr>
                <w:rFonts w:hint="eastAsia" w:hAnsi="宋体" w:cs="宋体"/>
                <w:szCs w:val="24"/>
                <w:highlight w:val="none"/>
              </w:rPr>
              <w:t>（元）</w:t>
            </w:r>
          </w:p>
        </w:tc>
        <w:tc>
          <w:tcPr>
            <w:tcW w:w="1688" w:type="pct"/>
            <w:vAlign w:val="center"/>
          </w:tcPr>
          <w:p w14:paraId="7DF6BBDB">
            <w:pPr>
              <w:jc w:val="center"/>
              <w:rPr>
                <w:rFonts w:hAnsi="宋体"/>
                <w:szCs w:val="24"/>
                <w:highlight w:val="none"/>
              </w:rPr>
            </w:pPr>
            <w:r>
              <w:rPr>
                <w:rFonts w:hint="eastAsia" w:hAnsi="宋体"/>
                <w:szCs w:val="24"/>
                <w:highlight w:val="none"/>
              </w:rPr>
              <w:t>交货期</w:t>
            </w:r>
          </w:p>
          <w:p w14:paraId="12B91F6C">
            <w:pPr>
              <w:jc w:val="center"/>
              <w:rPr>
                <w:rFonts w:hAnsi="宋体" w:cs="宋体"/>
                <w:szCs w:val="24"/>
                <w:highlight w:val="none"/>
              </w:rPr>
            </w:pPr>
            <w:r>
              <w:rPr>
                <w:rFonts w:hint="eastAsia" w:hAnsi="宋体"/>
                <w:szCs w:val="24"/>
                <w:highlight w:val="none"/>
              </w:rPr>
              <w:t>（日历日）</w:t>
            </w:r>
          </w:p>
        </w:tc>
        <w:tc>
          <w:tcPr>
            <w:tcW w:w="998" w:type="pct"/>
            <w:vAlign w:val="center"/>
          </w:tcPr>
          <w:p w14:paraId="27BC09FC">
            <w:pPr>
              <w:jc w:val="center"/>
              <w:rPr>
                <w:rFonts w:hAnsi="宋体" w:cs="宋体"/>
                <w:szCs w:val="24"/>
                <w:highlight w:val="none"/>
              </w:rPr>
            </w:pPr>
            <w:r>
              <w:rPr>
                <w:rFonts w:hint="eastAsia" w:hAnsi="宋体" w:cs="宋体"/>
                <w:szCs w:val="24"/>
                <w:highlight w:val="none"/>
              </w:rPr>
              <w:t>质保期</w:t>
            </w:r>
          </w:p>
          <w:p w14:paraId="06622073">
            <w:pPr>
              <w:jc w:val="center"/>
              <w:rPr>
                <w:rFonts w:hAnsi="宋体" w:cs="宋体"/>
                <w:szCs w:val="24"/>
                <w:highlight w:val="none"/>
              </w:rPr>
            </w:pPr>
            <w:r>
              <w:rPr>
                <w:rFonts w:hint="eastAsia" w:hAnsi="宋体" w:cs="宋体"/>
                <w:szCs w:val="24"/>
                <w:highlight w:val="none"/>
              </w:rPr>
              <w:t>（年）</w:t>
            </w:r>
          </w:p>
        </w:tc>
        <w:tc>
          <w:tcPr>
            <w:tcW w:w="1001" w:type="pct"/>
            <w:vAlign w:val="center"/>
          </w:tcPr>
          <w:p w14:paraId="421EEB28">
            <w:pPr>
              <w:jc w:val="center"/>
              <w:rPr>
                <w:rFonts w:hAnsi="宋体" w:cs="宋体"/>
                <w:szCs w:val="24"/>
                <w:highlight w:val="none"/>
              </w:rPr>
            </w:pPr>
            <w:r>
              <w:rPr>
                <w:rFonts w:hint="eastAsia" w:hAnsi="宋体" w:cs="宋体"/>
                <w:szCs w:val="24"/>
                <w:highlight w:val="none"/>
              </w:rPr>
              <w:t>备注</w:t>
            </w:r>
          </w:p>
        </w:tc>
      </w:tr>
      <w:tr w14:paraId="1BA4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11" w:type="pct"/>
            <w:vAlign w:val="center"/>
          </w:tcPr>
          <w:p w14:paraId="08672E2B">
            <w:pPr>
              <w:jc w:val="center"/>
              <w:rPr>
                <w:rFonts w:hAnsi="宋体" w:cs="宋体"/>
                <w:szCs w:val="24"/>
                <w:highlight w:val="none"/>
              </w:rPr>
            </w:pPr>
          </w:p>
        </w:tc>
        <w:tc>
          <w:tcPr>
            <w:tcW w:w="1688" w:type="pct"/>
            <w:vAlign w:val="center"/>
          </w:tcPr>
          <w:p w14:paraId="771F340C">
            <w:pPr>
              <w:jc w:val="center"/>
              <w:rPr>
                <w:rFonts w:hAnsi="宋体" w:cs="宋体"/>
                <w:szCs w:val="24"/>
                <w:highlight w:val="none"/>
              </w:rPr>
            </w:pPr>
          </w:p>
        </w:tc>
        <w:tc>
          <w:tcPr>
            <w:tcW w:w="998" w:type="pct"/>
          </w:tcPr>
          <w:p w14:paraId="110228BE">
            <w:pPr>
              <w:jc w:val="center"/>
              <w:rPr>
                <w:rFonts w:hAnsi="宋体" w:cs="宋体"/>
                <w:szCs w:val="24"/>
                <w:highlight w:val="none"/>
              </w:rPr>
            </w:pPr>
          </w:p>
        </w:tc>
        <w:tc>
          <w:tcPr>
            <w:tcW w:w="1001" w:type="pct"/>
          </w:tcPr>
          <w:p w14:paraId="13EEC07A">
            <w:pPr>
              <w:jc w:val="center"/>
              <w:rPr>
                <w:rFonts w:hAnsi="宋体" w:cs="宋体"/>
                <w:szCs w:val="24"/>
                <w:highlight w:val="none"/>
              </w:rPr>
            </w:pPr>
          </w:p>
        </w:tc>
      </w:tr>
      <w:tr w14:paraId="509D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2FB9D654">
            <w:pPr>
              <w:jc w:val="center"/>
              <w:rPr>
                <w:rFonts w:hAnsi="宋体" w:cs="宋体"/>
                <w:szCs w:val="24"/>
                <w:highlight w:val="none"/>
              </w:rPr>
            </w:pPr>
            <w:r>
              <w:rPr>
                <w:rFonts w:hint="eastAsia" w:hAnsi="宋体" w:cs="宋体"/>
                <w:szCs w:val="24"/>
                <w:highlight w:val="none"/>
              </w:rPr>
              <w:t>投标报价（大写）：                                  （小写：￥       ）</w:t>
            </w:r>
          </w:p>
        </w:tc>
      </w:tr>
      <w:tr w14:paraId="5970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1BD95065">
            <w:pPr>
              <w:jc w:val="center"/>
              <w:rPr>
                <w:rFonts w:hAnsi="宋体" w:cs="宋体"/>
                <w:szCs w:val="24"/>
                <w:highlight w:val="none"/>
              </w:rPr>
            </w:pPr>
            <w:r>
              <w:rPr>
                <w:rFonts w:hint="eastAsia" w:hAnsi="宋体" w:cs="宋体"/>
                <w:szCs w:val="24"/>
                <w:highlight w:val="none"/>
              </w:rPr>
              <w:t>备注：表内报价内容以元为单位，保留小数点后两位。</w:t>
            </w:r>
          </w:p>
        </w:tc>
      </w:tr>
    </w:tbl>
    <w:p w14:paraId="74FBDEE9">
      <w:pPr>
        <w:tabs>
          <w:tab w:val="left" w:pos="7200"/>
          <w:tab w:val="left" w:pos="8504"/>
        </w:tabs>
        <w:spacing w:line="360" w:lineRule="auto"/>
        <w:ind w:right="-1"/>
        <w:rPr>
          <w:rFonts w:hAnsi="宋体" w:cs="宋体"/>
          <w:highlight w:val="none"/>
        </w:rPr>
      </w:pPr>
    </w:p>
    <w:p w14:paraId="06FF282E">
      <w:pPr>
        <w:spacing w:line="120" w:lineRule="exact"/>
        <w:rPr>
          <w:rFonts w:hAnsi="宋体" w:cs="宋体"/>
          <w:highlight w:val="none"/>
        </w:rPr>
      </w:pPr>
    </w:p>
    <w:p w14:paraId="56FA4FAE">
      <w:pPr>
        <w:spacing w:line="480" w:lineRule="auto"/>
        <w:ind w:right="617" w:rightChars="257"/>
        <w:jc w:val="left"/>
        <w:rPr>
          <w:rFonts w:hAnsi="宋体" w:cs="宋体"/>
          <w:highlight w:val="none"/>
        </w:rPr>
      </w:pPr>
      <w:r>
        <w:rPr>
          <w:rFonts w:hint="eastAsia" w:hAnsi="宋体" w:cs="宋体"/>
          <w:highlight w:val="none"/>
          <w:lang w:val="en-US" w:eastAsia="zh-CN"/>
        </w:rPr>
        <w:t>投标人</w:t>
      </w:r>
      <w:r>
        <w:rPr>
          <w:rFonts w:hint="eastAsia" w:hAnsi="宋体" w:cs="宋体"/>
          <w:highlight w:val="none"/>
        </w:rPr>
        <w:t>名称：</w:t>
      </w:r>
      <w:r>
        <w:rPr>
          <w:rFonts w:hint="eastAsia" w:hAnsi="宋体" w:cs="宋体"/>
          <w:highlight w:val="none"/>
          <w:u w:val="single"/>
        </w:rPr>
        <w:t xml:space="preserve">      （加盖单位公章）      </w:t>
      </w:r>
    </w:p>
    <w:p w14:paraId="6FAC090E">
      <w:pPr>
        <w:spacing w:line="480" w:lineRule="auto"/>
        <w:ind w:right="617" w:rightChars="257"/>
        <w:jc w:val="left"/>
        <w:rPr>
          <w:rFonts w:hAnsi="宋体" w:cs="宋体"/>
          <w:highlight w:val="none"/>
        </w:rPr>
      </w:pPr>
    </w:p>
    <w:p w14:paraId="3F71179B">
      <w:pPr>
        <w:spacing w:line="480" w:lineRule="auto"/>
        <w:ind w:right="617" w:rightChars="257"/>
        <w:jc w:val="left"/>
        <w:rPr>
          <w:rFonts w:hAnsi="宋体" w:cs="宋体"/>
          <w:highlight w:val="none"/>
        </w:rPr>
      </w:pPr>
      <w:r>
        <w:rPr>
          <w:rFonts w:hint="eastAsia" w:hAnsi="宋体" w:cs="宋体"/>
          <w:highlight w:val="none"/>
        </w:rPr>
        <w:t>法定代表人/被授权人签字或盖章：</w:t>
      </w:r>
    </w:p>
    <w:p w14:paraId="49126C6C">
      <w:pPr>
        <w:pStyle w:val="12"/>
        <w:ind w:left="0" w:firstLine="0"/>
        <w:rPr>
          <w:highlight w:val="none"/>
        </w:rPr>
      </w:pPr>
    </w:p>
    <w:p w14:paraId="3E41B096">
      <w:pPr>
        <w:spacing w:line="480" w:lineRule="auto"/>
        <w:ind w:right="617" w:rightChars="257"/>
        <w:rPr>
          <w:rFonts w:hAnsi="宋体" w:cs="宋体"/>
          <w:highlight w:val="none"/>
        </w:rPr>
      </w:pPr>
      <w:r>
        <w:rPr>
          <w:rFonts w:hint="eastAsia" w:hAnsi="宋体" w:cs="宋体"/>
          <w:highlight w:val="none"/>
        </w:rPr>
        <w:t>日    期：</w:t>
      </w:r>
    </w:p>
    <w:p w14:paraId="47738E8F">
      <w:pPr>
        <w:spacing w:before="166" w:beforeLines="50" w:after="166" w:afterLines="50" w:line="480" w:lineRule="auto"/>
        <w:rPr>
          <w:rFonts w:hAnsi="宋体" w:cs="宋体"/>
          <w:szCs w:val="21"/>
          <w:highlight w:val="none"/>
          <w:u w:val="single"/>
        </w:rPr>
      </w:pPr>
      <w:r>
        <w:rPr>
          <w:rFonts w:hint="eastAsia" w:hAnsi="宋体" w:cs="宋体"/>
          <w:highlight w:val="none"/>
        </w:rPr>
        <w:t>本表应按“供应商须知”的规定密封单独提交。若有折扣声明，请与本表一并装订和密封。</w:t>
      </w:r>
    </w:p>
    <w:p w14:paraId="78052AD8">
      <w:pPr>
        <w:rPr>
          <w:rFonts w:hAnsi="宋体" w:cs="宋体"/>
          <w:highlight w:val="none"/>
        </w:rPr>
      </w:pPr>
      <w:r>
        <w:rPr>
          <w:rFonts w:hint="eastAsia" w:hAnsi="宋体" w:cs="宋体"/>
          <w:highlight w:val="none"/>
        </w:rPr>
        <w:br w:type="page"/>
      </w:r>
    </w:p>
    <w:p w14:paraId="624251D3">
      <w:pPr>
        <w:jc w:val="center"/>
        <w:rPr>
          <w:rFonts w:hAnsi="宋体" w:cs="宋体"/>
          <w:highlight w:val="none"/>
        </w:rPr>
      </w:pPr>
      <w:r>
        <w:rPr>
          <w:rFonts w:hint="eastAsia" w:hAnsi="宋体" w:cs="宋体"/>
          <w:b/>
          <w:sz w:val="30"/>
          <w:szCs w:val="30"/>
          <w:highlight w:val="none"/>
        </w:rPr>
        <w:t>2.2投标分项报价表</w:t>
      </w:r>
      <w:r>
        <w:rPr>
          <w:rFonts w:hint="eastAsia" w:hAnsi="宋体" w:cs="宋体"/>
          <w:highlight w:val="none"/>
        </w:rPr>
        <w:t xml:space="preserve"> </w:t>
      </w:r>
    </w:p>
    <w:p w14:paraId="167E2588">
      <w:pPr>
        <w:jc w:val="center"/>
        <w:rPr>
          <w:rFonts w:hAnsi="宋体" w:cs="宋体"/>
          <w:highlight w:val="none"/>
        </w:rPr>
      </w:pPr>
    </w:p>
    <w:tbl>
      <w:tblPr>
        <w:tblStyle w:val="22"/>
        <w:tblW w:w="8899" w:type="dxa"/>
        <w:jc w:val="center"/>
        <w:tblLayout w:type="fixed"/>
        <w:tblCellMar>
          <w:top w:w="0" w:type="dxa"/>
          <w:left w:w="28" w:type="dxa"/>
          <w:bottom w:w="0" w:type="dxa"/>
          <w:right w:w="28" w:type="dxa"/>
        </w:tblCellMar>
      </w:tblPr>
      <w:tblGrid>
        <w:gridCol w:w="875"/>
        <w:gridCol w:w="681"/>
        <w:gridCol w:w="1290"/>
        <w:gridCol w:w="1185"/>
        <w:gridCol w:w="1380"/>
        <w:gridCol w:w="1230"/>
        <w:gridCol w:w="1125"/>
        <w:gridCol w:w="1133"/>
      </w:tblGrid>
      <w:tr w14:paraId="74FD20DF">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6713FE72">
            <w:pPr>
              <w:spacing w:after="120"/>
              <w:jc w:val="center"/>
              <w:rPr>
                <w:rFonts w:hAnsi="宋体" w:cs="宋体"/>
                <w:szCs w:val="24"/>
                <w:highlight w:val="none"/>
              </w:rPr>
            </w:pPr>
            <w:r>
              <w:rPr>
                <w:rFonts w:hint="eastAsia" w:hAnsi="宋体" w:cs="宋体"/>
                <w:highlight w:val="none"/>
              </w:rPr>
              <w:t xml:space="preserve">                           </w:t>
            </w:r>
            <w:r>
              <w:rPr>
                <w:rFonts w:hint="eastAsia" w:hAnsi="宋体" w:cs="宋体"/>
                <w:szCs w:val="24"/>
                <w:highlight w:val="none"/>
              </w:rPr>
              <w:t>产品</w:t>
            </w:r>
          </w:p>
          <w:p w14:paraId="74386CA7">
            <w:pPr>
              <w:spacing w:after="120"/>
              <w:jc w:val="center"/>
              <w:rPr>
                <w:rFonts w:hAnsi="宋体" w:cs="宋体"/>
                <w:highlight w:val="none"/>
              </w:rPr>
            </w:pPr>
            <w:r>
              <w:rPr>
                <w:rFonts w:hint="eastAsia" w:hAnsi="宋体" w:cs="宋体"/>
                <w:szCs w:val="24"/>
                <w:highlight w:val="none"/>
              </w:rPr>
              <w:t>费用</w:t>
            </w:r>
          </w:p>
        </w:tc>
        <w:tc>
          <w:tcPr>
            <w:tcW w:w="681" w:type="dxa"/>
            <w:tcBorders>
              <w:top w:val="single" w:color="auto" w:sz="6" w:space="0"/>
              <w:left w:val="single" w:color="auto" w:sz="4" w:space="0"/>
              <w:bottom w:val="single" w:color="auto" w:sz="6" w:space="0"/>
            </w:tcBorders>
            <w:vAlign w:val="center"/>
          </w:tcPr>
          <w:p w14:paraId="497A14CC">
            <w:pPr>
              <w:spacing w:after="120"/>
              <w:jc w:val="center"/>
              <w:rPr>
                <w:rFonts w:hAnsi="宋体" w:cs="宋体"/>
                <w:highlight w:val="none"/>
              </w:rPr>
            </w:pPr>
            <w:r>
              <w:rPr>
                <w:rFonts w:hint="eastAsia" w:hAnsi="宋体" w:cs="宋体"/>
                <w:highlight w:val="none"/>
              </w:rPr>
              <w:t>序号</w:t>
            </w:r>
          </w:p>
        </w:tc>
        <w:tc>
          <w:tcPr>
            <w:tcW w:w="1290" w:type="dxa"/>
            <w:tcBorders>
              <w:top w:val="single" w:color="auto" w:sz="6" w:space="0"/>
              <w:left w:val="single" w:color="auto" w:sz="6" w:space="0"/>
              <w:bottom w:val="single" w:color="auto" w:sz="6" w:space="0"/>
              <w:right w:val="single" w:color="auto" w:sz="6" w:space="0"/>
            </w:tcBorders>
            <w:vAlign w:val="center"/>
          </w:tcPr>
          <w:p w14:paraId="5A51310A">
            <w:pPr>
              <w:spacing w:after="120"/>
              <w:jc w:val="center"/>
              <w:rPr>
                <w:rFonts w:hAnsi="宋体" w:cs="宋体"/>
                <w:highlight w:val="none"/>
              </w:rPr>
            </w:pPr>
            <w:r>
              <w:rPr>
                <w:rFonts w:hint="eastAsia" w:hAnsi="宋体" w:cs="宋体"/>
                <w:highlight w:val="none"/>
              </w:rPr>
              <w:t>名称</w:t>
            </w:r>
          </w:p>
        </w:tc>
        <w:tc>
          <w:tcPr>
            <w:tcW w:w="1185" w:type="dxa"/>
            <w:tcBorders>
              <w:top w:val="single" w:color="auto" w:sz="6" w:space="0"/>
              <w:left w:val="single" w:color="auto" w:sz="6" w:space="0"/>
              <w:bottom w:val="single" w:color="auto" w:sz="6" w:space="0"/>
              <w:right w:val="single" w:color="auto" w:sz="4" w:space="0"/>
            </w:tcBorders>
            <w:vAlign w:val="center"/>
          </w:tcPr>
          <w:p w14:paraId="445AB627">
            <w:pPr>
              <w:spacing w:after="120"/>
              <w:jc w:val="center"/>
              <w:rPr>
                <w:rFonts w:hAnsi="宋体" w:cs="宋体"/>
                <w:highlight w:val="none"/>
              </w:rPr>
            </w:pPr>
            <w:r>
              <w:rPr>
                <w:rFonts w:hint="eastAsia" w:hAnsi="宋体" w:cs="宋体"/>
                <w:highlight w:val="none"/>
              </w:rPr>
              <w:t>品牌</w:t>
            </w:r>
          </w:p>
        </w:tc>
        <w:tc>
          <w:tcPr>
            <w:tcW w:w="1380" w:type="dxa"/>
            <w:tcBorders>
              <w:top w:val="single" w:color="auto" w:sz="6" w:space="0"/>
              <w:left w:val="single" w:color="auto" w:sz="4" w:space="0"/>
              <w:bottom w:val="single" w:color="auto" w:sz="6" w:space="0"/>
              <w:right w:val="single" w:color="auto" w:sz="6" w:space="0"/>
            </w:tcBorders>
            <w:vAlign w:val="center"/>
          </w:tcPr>
          <w:p w14:paraId="695EC15F">
            <w:pPr>
              <w:spacing w:after="120"/>
              <w:jc w:val="center"/>
              <w:rPr>
                <w:rFonts w:hAnsi="宋体" w:cs="宋体"/>
                <w:highlight w:val="none"/>
              </w:rPr>
            </w:pPr>
            <w:r>
              <w:rPr>
                <w:rFonts w:hint="eastAsia" w:hAnsi="宋体" w:cs="宋体"/>
                <w:highlight w:val="none"/>
              </w:rPr>
              <w:t>规格型号</w:t>
            </w:r>
          </w:p>
        </w:tc>
        <w:tc>
          <w:tcPr>
            <w:tcW w:w="1230" w:type="dxa"/>
            <w:tcBorders>
              <w:top w:val="single" w:color="auto" w:sz="6" w:space="0"/>
              <w:left w:val="single" w:color="auto" w:sz="6" w:space="0"/>
              <w:bottom w:val="single" w:color="auto" w:sz="6" w:space="0"/>
              <w:right w:val="single" w:color="auto" w:sz="6" w:space="0"/>
            </w:tcBorders>
            <w:vAlign w:val="center"/>
          </w:tcPr>
          <w:p w14:paraId="448E743C">
            <w:pPr>
              <w:spacing w:after="120"/>
              <w:jc w:val="center"/>
              <w:rPr>
                <w:rFonts w:hAnsi="宋体" w:cs="宋体"/>
                <w:highlight w:val="none"/>
              </w:rPr>
            </w:pPr>
            <w:r>
              <w:rPr>
                <w:rFonts w:hint="eastAsia" w:hAnsi="宋体" w:cs="宋体"/>
                <w:highlight w:val="none"/>
              </w:rPr>
              <w:t>数量</w:t>
            </w:r>
          </w:p>
        </w:tc>
        <w:tc>
          <w:tcPr>
            <w:tcW w:w="1125" w:type="dxa"/>
            <w:tcBorders>
              <w:top w:val="single" w:color="auto" w:sz="6" w:space="0"/>
              <w:left w:val="single" w:color="auto" w:sz="6" w:space="0"/>
              <w:bottom w:val="single" w:color="auto" w:sz="6" w:space="0"/>
              <w:right w:val="single" w:color="auto" w:sz="6" w:space="0"/>
            </w:tcBorders>
            <w:vAlign w:val="center"/>
          </w:tcPr>
          <w:p w14:paraId="6DF394B3">
            <w:pPr>
              <w:spacing w:after="120"/>
              <w:jc w:val="center"/>
              <w:rPr>
                <w:rFonts w:hAnsi="宋体" w:cs="宋体"/>
                <w:highlight w:val="none"/>
              </w:rPr>
            </w:pPr>
            <w:r>
              <w:rPr>
                <w:rFonts w:hint="eastAsia" w:hAnsi="宋体" w:cs="宋体"/>
                <w:highlight w:val="none"/>
              </w:rPr>
              <w:t>单价</w:t>
            </w:r>
          </w:p>
          <w:p w14:paraId="15A0CBD3">
            <w:pPr>
              <w:spacing w:after="120"/>
              <w:jc w:val="center"/>
              <w:rPr>
                <w:rFonts w:hAnsi="宋体" w:cs="宋体"/>
                <w:bCs/>
                <w:highlight w:val="none"/>
              </w:rPr>
            </w:pPr>
            <w:r>
              <w:rPr>
                <w:rFonts w:hint="eastAsia" w:hAnsi="宋体" w:cs="宋体"/>
                <w:highlight w:val="none"/>
              </w:rPr>
              <w:t>（元）</w:t>
            </w:r>
          </w:p>
        </w:tc>
        <w:tc>
          <w:tcPr>
            <w:tcW w:w="1133" w:type="dxa"/>
            <w:tcBorders>
              <w:top w:val="single" w:color="auto" w:sz="6" w:space="0"/>
              <w:left w:val="single" w:color="auto" w:sz="6" w:space="0"/>
              <w:bottom w:val="single" w:color="auto" w:sz="6" w:space="0"/>
              <w:right w:val="single" w:color="auto" w:sz="6" w:space="0"/>
            </w:tcBorders>
            <w:vAlign w:val="center"/>
          </w:tcPr>
          <w:p w14:paraId="55B42223">
            <w:pPr>
              <w:spacing w:after="120"/>
              <w:jc w:val="center"/>
              <w:rPr>
                <w:rFonts w:hAnsi="宋体" w:cs="宋体"/>
                <w:bCs/>
                <w:highlight w:val="none"/>
              </w:rPr>
            </w:pPr>
            <w:r>
              <w:rPr>
                <w:rFonts w:hint="eastAsia" w:hAnsi="宋体" w:cs="宋体"/>
                <w:bCs/>
                <w:highlight w:val="none"/>
              </w:rPr>
              <w:t>总价</w:t>
            </w:r>
          </w:p>
          <w:p w14:paraId="3A452110">
            <w:pPr>
              <w:spacing w:after="120"/>
              <w:jc w:val="center"/>
              <w:rPr>
                <w:rFonts w:hAnsi="宋体" w:cs="宋体"/>
                <w:bCs/>
                <w:highlight w:val="none"/>
              </w:rPr>
            </w:pPr>
            <w:r>
              <w:rPr>
                <w:rFonts w:hint="eastAsia" w:hAnsi="宋体" w:cs="宋体"/>
                <w:bCs/>
                <w:highlight w:val="none"/>
              </w:rPr>
              <w:t>（元）</w:t>
            </w:r>
          </w:p>
        </w:tc>
      </w:tr>
      <w:tr w14:paraId="2F7D0D2F">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070A7C27">
            <w:pPr>
              <w:spacing w:before="333" w:beforeLines="100"/>
              <w:jc w:val="center"/>
              <w:rPr>
                <w:rFonts w:hAnsi="宋体" w:cs="宋体"/>
                <w:highlight w:val="none"/>
              </w:rPr>
            </w:pPr>
          </w:p>
        </w:tc>
        <w:tc>
          <w:tcPr>
            <w:tcW w:w="681" w:type="dxa"/>
            <w:tcBorders>
              <w:top w:val="single" w:color="auto" w:sz="6" w:space="0"/>
              <w:left w:val="single" w:color="auto" w:sz="4" w:space="0"/>
              <w:bottom w:val="single" w:color="auto" w:sz="4" w:space="0"/>
            </w:tcBorders>
            <w:vAlign w:val="center"/>
          </w:tcPr>
          <w:p w14:paraId="5FF26986">
            <w:pPr>
              <w:spacing w:before="333" w:beforeLines="100"/>
              <w:jc w:val="center"/>
              <w:rPr>
                <w:rFonts w:hAnsi="宋体" w:cs="宋体"/>
                <w:highlight w:val="none"/>
              </w:rPr>
            </w:pPr>
            <w:r>
              <w:rPr>
                <w:rFonts w:hint="eastAsia" w:hAnsi="宋体" w:cs="宋体"/>
                <w:highlight w:val="none"/>
              </w:rPr>
              <w:t>1</w:t>
            </w:r>
          </w:p>
        </w:tc>
        <w:tc>
          <w:tcPr>
            <w:tcW w:w="1290" w:type="dxa"/>
            <w:tcBorders>
              <w:top w:val="single" w:color="auto" w:sz="6" w:space="0"/>
              <w:left w:val="single" w:color="auto" w:sz="6" w:space="0"/>
              <w:bottom w:val="single" w:color="auto" w:sz="4" w:space="0"/>
              <w:right w:val="single" w:color="auto" w:sz="6" w:space="0"/>
            </w:tcBorders>
            <w:vAlign w:val="center"/>
          </w:tcPr>
          <w:p w14:paraId="566D3368">
            <w:pPr>
              <w:spacing w:before="166" w:beforeLines="50"/>
              <w:jc w:val="center"/>
              <w:rPr>
                <w:rFonts w:hAnsi="宋体" w:cs="宋体"/>
                <w:highlight w:val="none"/>
              </w:rPr>
            </w:pPr>
          </w:p>
        </w:tc>
        <w:tc>
          <w:tcPr>
            <w:tcW w:w="1185" w:type="dxa"/>
            <w:tcBorders>
              <w:top w:val="single" w:color="auto" w:sz="6" w:space="0"/>
              <w:left w:val="single" w:color="auto" w:sz="6" w:space="0"/>
              <w:bottom w:val="single" w:color="auto" w:sz="4" w:space="0"/>
              <w:right w:val="single" w:color="auto" w:sz="4" w:space="0"/>
            </w:tcBorders>
            <w:vAlign w:val="center"/>
          </w:tcPr>
          <w:p w14:paraId="6D72E51C">
            <w:pPr>
              <w:spacing w:before="166" w:beforeLines="50"/>
              <w:jc w:val="center"/>
              <w:rPr>
                <w:rFonts w:hAnsi="宋体" w:cs="宋体"/>
                <w:highlight w:val="none"/>
              </w:rPr>
            </w:pPr>
          </w:p>
        </w:tc>
        <w:tc>
          <w:tcPr>
            <w:tcW w:w="1380" w:type="dxa"/>
            <w:tcBorders>
              <w:top w:val="single" w:color="auto" w:sz="6" w:space="0"/>
              <w:left w:val="single" w:color="auto" w:sz="4" w:space="0"/>
              <w:bottom w:val="single" w:color="auto" w:sz="4" w:space="0"/>
              <w:right w:val="single" w:color="auto" w:sz="6" w:space="0"/>
            </w:tcBorders>
            <w:vAlign w:val="center"/>
          </w:tcPr>
          <w:p w14:paraId="08D27419">
            <w:pPr>
              <w:spacing w:before="166" w:beforeLines="50"/>
              <w:jc w:val="center"/>
              <w:rPr>
                <w:rFonts w:hAnsi="宋体" w:cs="宋体"/>
                <w:highlight w:val="none"/>
              </w:rPr>
            </w:pPr>
          </w:p>
        </w:tc>
        <w:tc>
          <w:tcPr>
            <w:tcW w:w="1230" w:type="dxa"/>
            <w:tcBorders>
              <w:top w:val="single" w:color="auto" w:sz="6" w:space="0"/>
              <w:left w:val="single" w:color="auto" w:sz="6" w:space="0"/>
              <w:bottom w:val="single" w:color="auto" w:sz="4" w:space="0"/>
              <w:right w:val="single" w:color="auto" w:sz="6" w:space="0"/>
            </w:tcBorders>
            <w:vAlign w:val="center"/>
          </w:tcPr>
          <w:p w14:paraId="0D8B5497">
            <w:pPr>
              <w:spacing w:before="166" w:beforeLines="50"/>
              <w:jc w:val="center"/>
              <w:rPr>
                <w:rFonts w:hAnsi="宋体" w:cs="宋体"/>
                <w:highlight w:val="none"/>
              </w:rPr>
            </w:pPr>
          </w:p>
        </w:tc>
        <w:tc>
          <w:tcPr>
            <w:tcW w:w="1125" w:type="dxa"/>
            <w:tcBorders>
              <w:top w:val="single" w:color="auto" w:sz="6" w:space="0"/>
              <w:left w:val="single" w:color="auto" w:sz="6" w:space="0"/>
              <w:bottom w:val="single" w:color="auto" w:sz="4" w:space="0"/>
              <w:right w:val="single" w:color="auto" w:sz="6" w:space="0"/>
            </w:tcBorders>
            <w:vAlign w:val="center"/>
          </w:tcPr>
          <w:p w14:paraId="67590DA4">
            <w:pPr>
              <w:spacing w:before="166" w:beforeLines="50"/>
              <w:jc w:val="center"/>
              <w:rPr>
                <w:rFonts w:hAnsi="宋体" w:cs="宋体"/>
                <w:highlight w:val="none"/>
              </w:rPr>
            </w:pPr>
          </w:p>
        </w:tc>
        <w:tc>
          <w:tcPr>
            <w:tcW w:w="1133" w:type="dxa"/>
            <w:tcBorders>
              <w:top w:val="single" w:color="auto" w:sz="6" w:space="0"/>
              <w:left w:val="single" w:color="auto" w:sz="6" w:space="0"/>
              <w:bottom w:val="single" w:color="auto" w:sz="4" w:space="0"/>
              <w:right w:val="single" w:color="auto" w:sz="6" w:space="0"/>
            </w:tcBorders>
            <w:vAlign w:val="center"/>
          </w:tcPr>
          <w:p w14:paraId="73E2487B">
            <w:pPr>
              <w:spacing w:before="166" w:beforeLines="50"/>
              <w:jc w:val="center"/>
              <w:rPr>
                <w:rFonts w:hAnsi="宋体" w:cs="宋体"/>
                <w:highlight w:val="none"/>
              </w:rPr>
            </w:pPr>
          </w:p>
        </w:tc>
      </w:tr>
      <w:tr w14:paraId="6E6D44D0">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37FA9376">
            <w:pPr>
              <w:spacing w:before="333" w:beforeLines="100"/>
              <w:jc w:val="center"/>
              <w:rPr>
                <w:rFonts w:hAnsi="宋体" w:cs="宋体"/>
                <w:highlight w:val="none"/>
              </w:rPr>
            </w:pPr>
          </w:p>
        </w:tc>
        <w:tc>
          <w:tcPr>
            <w:tcW w:w="681" w:type="dxa"/>
            <w:tcBorders>
              <w:top w:val="single" w:color="auto" w:sz="4" w:space="0"/>
              <w:left w:val="single" w:color="auto" w:sz="4" w:space="0"/>
              <w:bottom w:val="single" w:color="auto" w:sz="6" w:space="0"/>
            </w:tcBorders>
            <w:vAlign w:val="center"/>
          </w:tcPr>
          <w:p w14:paraId="77AB66E6">
            <w:pPr>
              <w:spacing w:before="333" w:beforeLines="100"/>
              <w:jc w:val="center"/>
              <w:rPr>
                <w:rFonts w:hAnsi="宋体" w:cs="宋体"/>
                <w:highlight w:val="none"/>
              </w:rPr>
            </w:pPr>
            <w:r>
              <w:rPr>
                <w:rFonts w:hint="eastAsia" w:hAnsi="宋体" w:cs="宋体"/>
                <w:highlight w:val="none"/>
              </w:rPr>
              <w:t>2</w:t>
            </w:r>
          </w:p>
        </w:tc>
        <w:tc>
          <w:tcPr>
            <w:tcW w:w="1290" w:type="dxa"/>
            <w:tcBorders>
              <w:top w:val="single" w:color="auto" w:sz="4" w:space="0"/>
              <w:left w:val="single" w:color="auto" w:sz="6" w:space="0"/>
              <w:bottom w:val="single" w:color="auto" w:sz="6" w:space="0"/>
              <w:right w:val="single" w:color="auto" w:sz="6" w:space="0"/>
            </w:tcBorders>
            <w:vAlign w:val="center"/>
          </w:tcPr>
          <w:p w14:paraId="78CAA30F">
            <w:pPr>
              <w:spacing w:before="333" w:beforeLines="100"/>
              <w:jc w:val="center"/>
              <w:rPr>
                <w:rFonts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1137D1DA">
            <w:pPr>
              <w:spacing w:before="166" w:beforeLines="50"/>
              <w:jc w:val="center"/>
              <w:rPr>
                <w:rFonts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04D20903">
            <w:pPr>
              <w:spacing w:before="166" w:beforeLines="50"/>
              <w:jc w:val="center"/>
              <w:rPr>
                <w:rFonts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29361A13">
            <w:pPr>
              <w:spacing w:before="166" w:beforeLines="50"/>
              <w:jc w:val="center"/>
              <w:rPr>
                <w:rFonts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2B98F7B0">
            <w:pPr>
              <w:spacing w:before="166" w:beforeLines="50"/>
              <w:jc w:val="center"/>
              <w:rPr>
                <w:rFonts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2CEEDF88">
            <w:pPr>
              <w:spacing w:before="166" w:beforeLines="50"/>
              <w:jc w:val="center"/>
              <w:rPr>
                <w:rFonts w:hAnsi="宋体" w:cs="宋体"/>
                <w:highlight w:val="none"/>
              </w:rPr>
            </w:pPr>
          </w:p>
        </w:tc>
      </w:tr>
      <w:tr w14:paraId="08916AF1">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18573BA">
            <w:pPr>
              <w:spacing w:before="333" w:beforeLines="100"/>
              <w:jc w:val="center"/>
              <w:rPr>
                <w:rFonts w:hAnsi="宋体" w:cs="宋体"/>
                <w:highlight w:val="none"/>
              </w:rPr>
            </w:pPr>
          </w:p>
        </w:tc>
        <w:tc>
          <w:tcPr>
            <w:tcW w:w="681" w:type="dxa"/>
            <w:tcBorders>
              <w:top w:val="single" w:color="auto" w:sz="4" w:space="0"/>
              <w:left w:val="single" w:color="auto" w:sz="4" w:space="0"/>
              <w:bottom w:val="single" w:color="auto" w:sz="6" w:space="0"/>
            </w:tcBorders>
            <w:vAlign w:val="center"/>
          </w:tcPr>
          <w:p w14:paraId="531E6D64">
            <w:pPr>
              <w:spacing w:before="333" w:beforeLines="100"/>
              <w:jc w:val="center"/>
              <w:rPr>
                <w:rFonts w:hAnsi="宋体" w:cs="宋体"/>
                <w:highlight w:val="none"/>
              </w:rPr>
            </w:pPr>
            <w:r>
              <w:rPr>
                <w:rFonts w:hint="eastAsia" w:hAnsi="宋体" w:cs="宋体"/>
                <w:highlight w:val="none"/>
              </w:rPr>
              <w:t>3</w:t>
            </w:r>
          </w:p>
        </w:tc>
        <w:tc>
          <w:tcPr>
            <w:tcW w:w="1290" w:type="dxa"/>
            <w:tcBorders>
              <w:top w:val="single" w:color="auto" w:sz="4" w:space="0"/>
              <w:left w:val="single" w:color="auto" w:sz="6" w:space="0"/>
              <w:bottom w:val="single" w:color="auto" w:sz="6" w:space="0"/>
              <w:right w:val="single" w:color="auto" w:sz="6" w:space="0"/>
            </w:tcBorders>
            <w:vAlign w:val="center"/>
          </w:tcPr>
          <w:p w14:paraId="2FB603C5">
            <w:pPr>
              <w:spacing w:before="333" w:beforeLines="100"/>
              <w:jc w:val="center"/>
              <w:rPr>
                <w:rFonts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164817DC">
            <w:pPr>
              <w:spacing w:before="166" w:beforeLines="50"/>
              <w:jc w:val="center"/>
              <w:rPr>
                <w:rFonts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690D30BF">
            <w:pPr>
              <w:spacing w:before="166" w:beforeLines="50"/>
              <w:jc w:val="center"/>
              <w:rPr>
                <w:rFonts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1037079E">
            <w:pPr>
              <w:spacing w:before="166" w:beforeLines="50"/>
              <w:jc w:val="center"/>
              <w:rPr>
                <w:rFonts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4B89522C">
            <w:pPr>
              <w:spacing w:before="166" w:beforeLines="50"/>
              <w:jc w:val="center"/>
              <w:rPr>
                <w:rFonts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04D85342">
            <w:pPr>
              <w:spacing w:before="166" w:beforeLines="50"/>
              <w:jc w:val="center"/>
              <w:rPr>
                <w:rFonts w:hAnsi="宋体" w:cs="宋体"/>
                <w:highlight w:val="none"/>
              </w:rPr>
            </w:pPr>
          </w:p>
        </w:tc>
      </w:tr>
      <w:tr w14:paraId="0BE44B6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98E9E8D">
            <w:pPr>
              <w:spacing w:before="333" w:beforeLines="100"/>
              <w:jc w:val="center"/>
              <w:rPr>
                <w:rFonts w:hAnsi="宋体" w:cs="宋体"/>
                <w:highlight w:val="none"/>
              </w:rPr>
            </w:pPr>
          </w:p>
        </w:tc>
        <w:tc>
          <w:tcPr>
            <w:tcW w:w="681" w:type="dxa"/>
            <w:tcBorders>
              <w:top w:val="single" w:color="auto" w:sz="4" w:space="0"/>
              <w:left w:val="single" w:color="auto" w:sz="4" w:space="0"/>
              <w:bottom w:val="single" w:color="auto" w:sz="6" w:space="0"/>
            </w:tcBorders>
            <w:vAlign w:val="center"/>
          </w:tcPr>
          <w:p w14:paraId="3A78A5B6">
            <w:pPr>
              <w:spacing w:before="333" w:beforeLines="100"/>
              <w:jc w:val="center"/>
              <w:rPr>
                <w:rFonts w:hAnsi="宋体" w:cs="宋体"/>
                <w:highlight w:val="none"/>
              </w:rPr>
            </w:pPr>
            <w:r>
              <w:rPr>
                <w:rFonts w:hint="eastAsia" w:hAnsi="宋体" w:cs="宋体"/>
                <w:szCs w:val="24"/>
                <w:highlight w:val="none"/>
              </w:rPr>
              <w:t>……</w:t>
            </w:r>
          </w:p>
        </w:tc>
        <w:tc>
          <w:tcPr>
            <w:tcW w:w="1290" w:type="dxa"/>
            <w:tcBorders>
              <w:top w:val="single" w:color="auto" w:sz="4" w:space="0"/>
              <w:left w:val="single" w:color="auto" w:sz="6" w:space="0"/>
              <w:bottom w:val="single" w:color="auto" w:sz="6" w:space="0"/>
              <w:right w:val="single" w:color="auto" w:sz="6" w:space="0"/>
            </w:tcBorders>
            <w:vAlign w:val="center"/>
          </w:tcPr>
          <w:p w14:paraId="52E7E1F4">
            <w:pPr>
              <w:spacing w:before="166" w:beforeLines="50"/>
              <w:jc w:val="center"/>
              <w:rPr>
                <w:rFonts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0896AC38">
            <w:pPr>
              <w:spacing w:before="166" w:beforeLines="50"/>
              <w:jc w:val="center"/>
              <w:rPr>
                <w:rFonts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5F078635">
            <w:pPr>
              <w:spacing w:before="166" w:beforeLines="50"/>
              <w:jc w:val="center"/>
              <w:rPr>
                <w:rFonts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228AAAAC">
            <w:pPr>
              <w:spacing w:before="166" w:beforeLines="50"/>
              <w:jc w:val="center"/>
              <w:rPr>
                <w:rFonts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6AF8008D">
            <w:pPr>
              <w:spacing w:before="166" w:beforeLines="50"/>
              <w:jc w:val="center"/>
              <w:rPr>
                <w:rFonts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3F93F6C8">
            <w:pPr>
              <w:spacing w:before="166" w:beforeLines="50"/>
              <w:jc w:val="center"/>
              <w:rPr>
                <w:rFonts w:hAnsi="宋体" w:cs="宋体"/>
                <w:highlight w:val="none"/>
              </w:rPr>
            </w:pPr>
          </w:p>
        </w:tc>
      </w:tr>
      <w:tr w14:paraId="384DCE6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73BE67E0">
            <w:pPr>
              <w:spacing w:before="333" w:beforeLines="100"/>
              <w:jc w:val="center"/>
              <w:rPr>
                <w:rFonts w:hAnsi="宋体" w:cs="宋体"/>
                <w:highlight w:val="none"/>
              </w:rPr>
            </w:pPr>
          </w:p>
        </w:tc>
        <w:tc>
          <w:tcPr>
            <w:tcW w:w="681" w:type="dxa"/>
            <w:tcBorders>
              <w:top w:val="single" w:color="auto" w:sz="4" w:space="0"/>
              <w:left w:val="single" w:color="auto" w:sz="4" w:space="0"/>
              <w:bottom w:val="single" w:color="auto" w:sz="6" w:space="0"/>
            </w:tcBorders>
            <w:vAlign w:val="center"/>
          </w:tcPr>
          <w:p w14:paraId="36F9555B">
            <w:pPr>
              <w:spacing w:before="333" w:beforeLines="100"/>
              <w:jc w:val="center"/>
              <w:rPr>
                <w:rFonts w:hAnsi="宋体" w:cs="宋体"/>
                <w:b/>
                <w:highlight w:val="none"/>
              </w:rPr>
            </w:pPr>
            <w:r>
              <w:rPr>
                <w:rFonts w:hint="eastAsia" w:hAnsi="宋体" w:cs="宋体"/>
                <w:szCs w:val="24"/>
                <w:highlight w:val="none"/>
              </w:rPr>
              <w:t>……</w:t>
            </w:r>
          </w:p>
        </w:tc>
        <w:tc>
          <w:tcPr>
            <w:tcW w:w="1290" w:type="dxa"/>
            <w:tcBorders>
              <w:top w:val="single" w:color="auto" w:sz="4" w:space="0"/>
              <w:left w:val="single" w:color="auto" w:sz="6" w:space="0"/>
              <w:bottom w:val="single" w:color="auto" w:sz="6" w:space="0"/>
              <w:right w:val="single" w:color="auto" w:sz="6" w:space="0"/>
            </w:tcBorders>
            <w:vAlign w:val="center"/>
          </w:tcPr>
          <w:p w14:paraId="1820E6BD">
            <w:pPr>
              <w:spacing w:before="166" w:beforeLines="50"/>
              <w:jc w:val="center"/>
              <w:rPr>
                <w:rFonts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3A528DED">
            <w:pPr>
              <w:spacing w:before="166" w:beforeLines="50"/>
              <w:jc w:val="center"/>
              <w:rPr>
                <w:rFonts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62B73868">
            <w:pPr>
              <w:spacing w:before="166" w:beforeLines="50"/>
              <w:jc w:val="center"/>
              <w:rPr>
                <w:rFonts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33B92DAB">
            <w:pPr>
              <w:spacing w:before="166" w:beforeLines="50"/>
              <w:jc w:val="center"/>
              <w:rPr>
                <w:rFonts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1CF470F8">
            <w:pPr>
              <w:spacing w:before="166" w:beforeLines="50"/>
              <w:jc w:val="center"/>
              <w:rPr>
                <w:rFonts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63EAA540">
            <w:pPr>
              <w:spacing w:before="166" w:beforeLines="50"/>
              <w:jc w:val="center"/>
              <w:rPr>
                <w:rFonts w:hAnsi="宋体" w:cs="宋体"/>
                <w:highlight w:val="none"/>
              </w:rPr>
            </w:pPr>
          </w:p>
        </w:tc>
      </w:tr>
      <w:tr w14:paraId="53CC04F9">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vAlign w:val="center"/>
          </w:tcPr>
          <w:p w14:paraId="48A4A1EC">
            <w:pPr>
              <w:jc w:val="center"/>
              <w:rPr>
                <w:rFonts w:hAnsi="宋体" w:cs="宋体"/>
                <w:szCs w:val="24"/>
                <w:highlight w:val="none"/>
              </w:rPr>
            </w:pPr>
            <w:r>
              <w:rPr>
                <w:rFonts w:hint="eastAsia" w:hAnsi="宋体" w:cs="宋体"/>
                <w:szCs w:val="24"/>
                <w:highlight w:val="none"/>
              </w:rPr>
              <w:t>投标总报价</w:t>
            </w:r>
          </w:p>
        </w:tc>
        <w:tc>
          <w:tcPr>
            <w:tcW w:w="6053" w:type="dxa"/>
            <w:gridSpan w:val="5"/>
            <w:tcBorders>
              <w:top w:val="single" w:color="auto" w:sz="4" w:space="0"/>
              <w:left w:val="single" w:color="auto" w:sz="6" w:space="0"/>
              <w:bottom w:val="single" w:color="auto" w:sz="6" w:space="0"/>
              <w:right w:val="single" w:color="auto" w:sz="6" w:space="0"/>
            </w:tcBorders>
            <w:vAlign w:val="center"/>
          </w:tcPr>
          <w:p w14:paraId="3AB3399D">
            <w:pPr>
              <w:spacing w:before="166" w:beforeLines="50"/>
              <w:jc w:val="center"/>
              <w:rPr>
                <w:rFonts w:hAnsi="宋体" w:cs="宋体"/>
                <w:szCs w:val="24"/>
                <w:highlight w:val="none"/>
              </w:rPr>
            </w:pPr>
            <w:r>
              <w:rPr>
                <w:rFonts w:hint="eastAsia" w:hAnsi="宋体" w:cs="宋体"/>
                <w:szCs w:val="24"/>
                <w:highlight w:val="none"/>
              </w:rPr>
              <w:t>大写：                           小写：</w:t>
            </w:r>
          </w:p>
        </w:tc>
      </w:tr>
      <w:tr w14:paraId="28F965E3">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vAlign w:val="center"/>
          </w:tcPr>
          <w:p w14:paraId="4A02D96D">
            <w:pPr>
              <w:jc w:val="center"/>
              <w:rPr>
                <w:rFonts w:hAnsi="宋体" w:cs="宋体"/>
                <w:szCs w:val="24"/>
                <w:highlight w:val="none"/>
              </w:rPr>
            </w:pPr>
            <w:r>
              <w:rPr>
                <w:rFonts w:hint="eastAsia" w:hAnsi="宋体" w:cs="宋体"/>
                <w:szCs w:val="24"/>
                <w:highlight w:val="none"/>
              </w:rPr>
              <w:t>备注</w:t>
            </w:r>
          </w:p>
        </w:tc>
        <w:tc>
          <w:tcPr>
            <w:tcW w:w="6053" w:type="dxa"/>
            <w:gridSpan w:val="5"/>
            <w:tcBorders>
              <w:top w:val="single" w:color="auto" w:sz="4" w:space="0"/>
              <w:left w:val="single" w:color="auto" w:sz="6" w:space="0"/>
              <w:bottom w:val="single" w:color="auto" w:sz="6" w:space="0"/>
              <w:right w:val="single" w:color="auto" w:sz="6" w:space="0"/>
            </w:tcBorders>
            <w:vAlign w:val="center"/>
          </w:tcPr>
          <w:p w14:paraId="5A9C082B">
            <w:pPr>
              <w:spacing w:before="166" w:beforeLines="50"/>
              <w:rPr>
                <w:rFonts w:hAnsi="宋体" w:cs="宋体"/>
                <w:szCs w:val="24"/>
                <w:highlight w:val="none"/>
              </w:rPr>
            </w:pPr>
            <w:r>
              <w:rPr>
                <w:rFonts w:hint="eastAsia" w:hAnsi="宋体" w:cs="宋体"/>
                <w:spacing w:val="-6"/>
                <w:szCs w:val="24"/>
                <w:highlight w:val="none"/>
              </w:rPr>
              <w:t>保留小数点后两位。</w:t>
            </w:r>
          </w:p>
        </w:tc>
      </w:tr>
    </w:tbl>
    <w:p w14:paraId="0E4F1F8A">
      <w:pPr>
        <w:spacing w:line="560" w:lineRule="exact"/>
        <w:rPr>
          <w:rFonts w:hAnsi="宋体" w:cs="宋体"/>
          <w:highlight w:val="none"/>
        </w:rPr>
      </w:pPr>
      <w:r>
        <w:rPr>
          <w:rFonts w:hint="eastAsia" w:hAnsi="宋体" w:cs="宋体"/>
          <w:highlight w:val="none"/>
        </w:rPr>
        <w:t>注：1.如果按单价计算的结果与总价不一致，以单价为准修正总价。</w:t>
      </w:r>
    </w:p>
    <w:p w14:paraId="3A31D825">
      <w:pPr>
        <w:spacing w:line="560" w:lineRule="exact"/>
        <w:ind w:firstLine="480" w:firstLineChars="200"/>
        <w:rPr>
          <w:rFonts w:hAnsi="宋体" w:cs="宋体"/>
          <w:highlight w:val="none"/>
        </w:rPr>
      </w:pPr>
      <w:r>
        <w:rPr>
          <w:rFonts w:hint="eastAsia" w:hAnsi="宋体" w:cs="宋体"/>
          <w:highlight w:val="none"/>
        </w:rPr>
        <w:t>2.如果不提供详细分项报价将视为没有实质性响应招标文件。</w:t>
      </w:r>
    </w:p>
    <w:p w14:paraId="4F035C12">
      <w:pPr>
        <w:spacing w:line="560" w:lineRule="exact"/>
        <w:ind w:firstLine="480" w:firstLineChars="200"/>
        <w:rPr>
          <w:rFonts w:hAnsi="宋体" w:cs="宋体"/>
          <w:bCs/>
          <w:highlight w:val="none"/>
        </w:rPr>
      </w:pPr>
      <w:r>
        <w:rPr>
          <w:rFonts w:hint="eastAsia" w:hAnsi="宋体" w:cs="宋体"/>
          <w:bCs/>
          <w:highlight w:val="none"/>
        </w:rPr>
        <w:t>3.供应商可适当调整该表格式，但不得减少信息内容。</w:t>
      </w:r>
    </w:p>
    <w:p w14:paraId="7139B820">
      <w:pPr>
        <w:spacing w:line="560" w:lineRule="exact"/>
        <w:ind w:firstLine="480" w:firstLineChars="200"/>
        <w:rPr>
          <w:highlight w:val="none"/>
        </w:rPr>
      </w:pPr>
      <w:r>
        <w:rPr>
          <w:rFonts w:hint="eastAsia"/>
          <w:highlight w:val="none"/>
        </w:rPr>
        <w:t>4.单位：元，保留小数点后两位。</w:t>
      </w:r>
    </w:p>
    <w:p w14:paraId="09A416CD">
      <w:pPr>
        <w:rPr>
          <w:rFonts w:hAnsi="宋体" w:cs="宋体"/>
          <w:highlight w:val="none"/>
        </w:rPr>
      </w:pPr>
    </w:p>
    <w:p w14:paraId="00413AF8">
      <w:pPr>
        <w:pStyle w:val="4"/>
        <w:spacing w:before="333" w:beforeLines="100"/>
        <w:rPr>
          <w:rFonts w:ascii="宋体" w:hAnsi="宋体" w:cs="宋体"/>
          <w:b w:val="0"/>
          <w:highlight w:val="none"/>
        </w:rPr>
      </w:pPr>
      <w:bookmarkStart w:id="137" w:name="_Toc16715"/>
      <w:bookmarkStart w:id="138" w:name="_Toc2184"/>
      <w:bookmarkStart w:id="139" w:name="_Toc3617"/>
      <w:bookmarkStart w:id="140" w:name="_Toc31326"/>
      <w:bookmarkStart w:id="141" w:name="_Toc19152"/>
      <w:bookmarkStart w:id="142" w:name="_Toc4085"/>
      <w:bookmarkStart w:id="143" w:name="_Toc14384"/>
      <w:bookmarkStart w:id="144" w:name="_Toc8367"/>
      <w:r>
        <w:rPr>
          <w:rFonts w:hint="eastAsia" w:ascii="宋体" w:hAnsi="宋体" w:cs="宋体"/>
          <w:sz w:val="32"/>
          <w:szCs w:val="32"/>
          <w:highlight w:val="none"/>
        </w:rPr>
        <w:br w:type="page"/>
      </w:r>
      <w:bookmarkStart w:id="145" w:name="_Toc29887"/>
      <w:bookmarkStart w:id="146" w:name="_Toc18339"/>
      <w:bookmarkStart w:id="147" w:name="_Toc18539"/>
      <w:bookmarkStart w:id="148" w:name="_Toc17891"/>
      <w:r>
        <w:rPr>
          <w:rFonts w:hint="eastAsia" w:ascii="宋体" w:hAnsi="宋体" w:cs="宋体"/>
          <w:sz w:val="32"/>
          <w:szCs w:val="32"/>
          <w:highlight w:val="none"/>
        </w:rPr>
        <w:t>三、投标方案说明书</w:t>
      </w:r>
      <w:bookmarkEnd w:id="137"/>
      <w:bookmarkEnd w:id="138"/>
      <w:bookmarkEnd w:id="139"/>
      <w:bookmarkEnd w:id="140"/>
      <w:bookmarkEnd w:id="141"/>
      <w:bookmarkEnd w:id="142"/>
      <w:bookmarkEnd w:id="143"/>
      <w:bookmarkEnd w:id="144"/>
      <w:bookmarkEnd w:id="145"/>
      <w:bookmarkEnd w:id="146"/>
      <w:bookmarkEnd w:id="147"/>
      <w:bookmarkEnd w:id="148"/>
    </w:p>
    <w:p w14:paraId="3187F68C">
      <w:pPr>
        <w:spacing w:line="360" w:lineRule="auto"/>
        <w:ind w:firstLine="480" w:firstLineChars="200"/>
        <w:rPr>
          <w:rFonts w:hAnsi="宋体" w:cs="宋体"/>
          <w:bCs/>
          <w:szCs w:val="24"/>
          <w:highlight w:val="none"/>
        </w:rPr>
      </w:pPr>
      <w:r>
        <w:rPr>
          <w:rFonts w:hint="eastAsia" w:hAnsi="宋体" w:cs="宋体"/>
          <w:bCs/>
          <w:szCs w:val="24"/>
          <w:highlight w:val="none"/>
        </w:rPr>
        <w:t>备注：按照招标文件的要求编制的投标方案说明书（参照评分办法）。</w:t>
      </w:r>
    </w:p>
    <w:p w14:paraId="34EAB1FB">
      <w:pPr>
        <w:rPr>
          <w:rFonts w:hAnsi="宋体" w:cs="宋体"/>
          <w:szCs w:val="24"/>
          <w:highlight w:val="none"/>
        </w:rPr>
      </w:pPr>
      <w:r>
        <w:rPr>
          <w:rFonts w:hint="eastAsia" w:hAnsi="宋体" w:cs="宋体"/>
          <w:szCs w:val="24"/>
          <w:highlight w:val="none"/>
        </w:rPr>
        <w:br w:type="page"/>
      </w:r>
    </w:p>
    <w:p w14:paraId="3015A3EA">
      <w:pPr>
        <w:spacing w:after="120"/>
        <w:rPr>
          <w:rFonts w:hAnsi="宋体"/>
          <w:b/>
          <w:szCs w:val="24"/>
          <w:highlight w:val="none"/>
        </w:rPr>
      </w:pPr>
      <w:r>
        <w:rPr>
          <w:rFonts w:hint="eastAsia" w:hAnsi="宋体"/>
          <w:b/>
          <w:szCs w:val="24"/>
          <w:highlight w:val="none"/>
        </w:rPr>
        <w:t>附表1：</w:t>
      </w:r>
    </w:p>
    <w:p w14:paraId="04AD5183">
      <w:pPr>
        <w:spacing w:after="120"/>
        <w:jc w:val="center"/>
        <w:rPr>
          <w:rFonts w:hAnsi="宋体"/>
          <w:b/>
          <w:sz w:val="32"/>
          <w:szCs w:val="32"/>
          <w:highlight w:val="none"/>
        </w:rPr>
      </w:pPr>
      <w:r>
        <w:rPr>
          <w:rFonts w:hint="eastAsia" w:hAnsi="宋体"/>
          <w:b/>
          <w:sz w:val="32"/>
          <w:szCs w:val="32"/>
          <w:highlight w:val="none"/>
        </w:rPr>
        <w:t>技术规格响应表</w:t>
      </w:r>
    </w:p>
    <w:p w14:paraId="325E0664">
      <w:pPr>
        <w:spacing w:after="120"/>
        <w:ind w:firstLine="120" w:firstLineChars="50"/>
        <w:rPr>
          <w:rFonts w:hAnsi="宋体"/>
          <w:szCs w:val="24"/>
          <w:highlight w:val="none"/>
        </w:rPr>
      </w:pPr>
      <w:r>
        <w:rPr>
          <w:rFonts w:hint="eastAsia" w:hAnsi="宋体"/>
          <w:szCs w:val="24"/>
          <w:highlight w:val="none"/>
        </w:rPr>
        <w:t>项目名称：</w:t>
      </w:r>
    </w:p>
    <w:p w14:paraId="7B250CE2">
      <w:pPr>
        <w:spacing w:after="120"/>
        <w:ind w:firstLine="120" w:firstLineChars="50"/>
        <w:rPr>
          <w:rFonts w:hAnsi="宋体"/>
          <w:szCs w:val="24"/>
          <w:highlight w:val="none"/>
        </w:rPr>
      </w:pPr>
      <w:r>
        <w:rPr>
          <w:rFonts w:hint="eastAsia" w:hAnsi="宋体"/>
          <w:szCs w:val="24"/>
          <w:highlight w:val="none"/>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276"/>
        <w:gridCol w:w="2268"/>
        <w:gridCol w:w="2781"/>
        <w:gridCol w:w="1188"/>
        <w:gridCol w:w="594"/>
      </w:tblGrid>
      <w:tr w14:paraId="6859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37" w:type="dxa"/>
          </w:tcPr>
          <w:p w14:paraId="68419E6B">
            <w:pPr>
              <w:spacing w:before="166" w:beforeLines="50"/>
              <w:jc w:val="center"/>
              <w:rPr>
                <w:rFonts w:hAnsi="宋体"/>
                <w:szCs w:val="24"/>
                <w:highlight w:val="none"/>
              </w:rPr>
            </w:pPr>
            <w:r>
              <w:rPr>
                <w:rFonts w:hint="eastAsia" w:hAnsi="宋体"/>
                <w:szCs w:val="24"/>
                <w:highlight w:val="none"/>
              </w:rPr>
              <w:t>序号</w:t>
            </w:r>
          </w:p>
        </w:tc>
        <w:tc>
          <w:tcPr>
            <w:tcW w:w="1276" w:type="dxa"/>
          </w:tcPr>
          <w:p w14:paraId="5C151C38">
            <w:pPr>
              <w:spacing w:before="166" w:beforeLines="50"/>
              <w:jc w:val="center"/>
              <w:rPr>
                <w:rFonts w:hAnsi="宋体"/>
                <w:szCs w:val="24"/>
                <w:highlight w:val="none"/>
              </w:rPr>
            </w:pPr>
            <w:r>
              <w:rPr>
                <w:rFonts w:hint="eastAsia" w:hAnsi="宋体"/>
                <w:szCs w:val="24"/>
                <w:highlight w:val="none"/>
              </w:rPr>
              <w:t>产品名称</w:t>
            </w:r>
          </w:p>
        </w:tc>
        <w:tc>
          <w:tcPr>
            <w:tcW w:w="2268" w:type="dxa"/>
          </w:tcPr>
          <w:p w14:paraId="59B0A2F9">
            <w:pPr>
              <w:spacing w:before="166" w:beforeLines="50"/>
              <w:jc w:val="center"/>
              <w:rPr>
                <w:rFonts w:hAnsi="宋体"/>
                <w:szCs w:val="24"/>
                <w:highlight w:val="none"/>
              </w:rPr>
            </w:pPr>
            <w:r>
              <w:rPr>
                <w:rFonts w:hint="eastAsia" w:hAnsi="宋体"/>
                <w:szCs w:val="24"/>
                <w:highlight w:val="none"/>
              </w:rPr>
              <w:t>招标规格 ☆1</w:t>
            </w:r>
          </w:p>
        </w:tc>
        <w:tc>
          <w:tcPr>
            <w:tcW w:w="2781" w:type="dxa"/>
          </w:tcPr>
          <w:p w14:paraId="473DF89E">
            <w:pPr>
              <w:spacing w:before="166" w:beforeLines="50"/>
              <w:jc w:val="center"/>
              <w:rPr>
                <w:rFonts w:hAnsi="宋体"/>
                <w:szCs w:val="24"/>
                <w:highlight w:val="none"/>
              </w:rPr>
            </w:pPr>
            <w:r>
              <w:rPr>
                <w:rFonts w:hint="eastAsia" w:hAnsi="宋体"/>
                <w:szCs w:val="24"/>
                <w:highlight w:val="none"/>
              </w:rPr>
              <w:t>投标规格 ☆2</w:t>
            </w:r>
          </w:p>
        </w:tc>
        <w:tc>
          <w:tcPr>
            <w:tcW w:w="1188" w:type="dxa"/>
          </w:tcPr>
          <w:p w14:paraId="34A2B3A9">
            <w:pPr>
              <w:spacing w:before="166" w:beforeLines="50"/>
              <w:jc w:val="center"/>
              <w:rPr>
                <w:rFonts w:hAnsi="宋体"/>
                <w:szCs w:val="24"/>
                <w:highlight w:val="none"/>
              </w:rPr>
            </w:pPr>
            <w:r>
              <w:rPr>
                <w:rFonts w:hint="eastAsia" w:hAnsi="宋体"/>
                <w:szCs w:val="24"/>
                <w:highlight w:val="none"/>
              </w:rPr>
              <w:t>偏离说明</w:t>
            </w:r>
          </w:p>
        </w:tc>
        <w:tc>
          <w:tcPr>
            <w:tcW w:w="594" w:type="dxa"/>
          </w:tcPr>
          <w:p w14:paraId="6E6EB91E">
            <w:pPr>
              <w:spacing w:before="166" w:beforeLines="50"/>
              <w:jc w:val="center"/>
              <w:rPr>
                <w:rFonts w:hAnsi="宋体"/>
                <w:szCs w:val="24"/>
                <w:highlight w:val="none"/>
              </w:rPr>
            </w:pPr>
            <w:r>
              <w:rPr>
                <w:rFonts w:hint="eastAsia" w:hAnsi="宋体"/>
                <w:szCs w:val="24"/>
                <w:highlight w:val="none"/>
              </w:rPr>
              <w:t>备注</w:t>
            </w:r>
          </w:p>
        </w:tc>
      </w:tr>
      <w:tr w14:paraId="317E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737" w:type="dxa"/>
          </w:tcPr>
          <w:p w14:paraId="69C3499B">
            <w:pPr>
              <w:rPr>
                <w:rFonts w:hAnsi="宋体"/>
                <w:szCs w:val="24"/>
                <w:highlight w:val="none"/>
              </w:rPr>
            </w:pPr>
          </w:p>
        </w:tc>
        <w:tc>
          <w:tcPr>
            <w:tcW w:w="1276" w:type="dxa"/>
          </w:tcPr>
          <w:p w14:paraId="0AF25741">
            <w:pPr>
              <w:rPr>
                <w:rFonts w:hAnsi="宋体"/>
                <w:szCs w:val="24"/>
                <w:highlight w:val="none"/>
              </w:rPr>
            </w:pPr>
          </w:p>
        </w:tc>
        <w:tc>
          <w:tcPr>
            <w:tcW w:w="2268" w:type="dxa"/>
          </w:tcPr>
          <w:p w14:paraId="50353E86">
            <w:pPr>
              <w:rPr>
                <w:rFonts w:hAnsi="宋体"/>
                <w:szCs w:val="24"/>
                <w:highlight w:val="none"/>
              </w:rPr>
            </w:pPr>
          </w:p>
        </w:tc>
        <w:tc>
          <w:tcPr>
            <w:tcW w:w="2781" w:type="dxa"/>
          </w:tcPr>
          <w:p w14:paraId="6D5FE2E6">
            <w:pPr>
              <w:rPr>
                <w:rFonts w:hAnsi="宋体"/>
                <w:szCs w:val="24"/>
                <w:highlight w:val="none"/>
              </w:rPr>
            </w:pPr>
          </w:p>
        </w:tc>
        <w:tc>
          <w:tcPr>
            <w:tcW w:w="1188" w:type="dxa"/>
          </w:tcPr>
          <w:p w14:paraId="2A7CB546">
            <w:pPr>
              <w:rPr>
                <w:rFonts w:hAnsi="宋体"/>
                <w:szCs w:val="24"/>
                <w:highlight w:val="none"/>
              </w:rPr>
            </w:pPr>
          </w:p>
        </w:tc>
        <w:tc>
          <w:tcPr>
            <w:tcW w:w="594" w:type="dxa"/>
          </w:tcPr>
          <w:p w14:paraId="59E800B5">
            <w:pPr>
              <w:rPr>
                <w:rFonts w:hAnsi="宋体"/>
                <w:szCs w:val="24"/>
                <w:highlight w:val="none"/>
              </w:rPr>
            </w:pPr>
          </w:p>
        </w:tc>
      </w:tr>
      <w:tr w14:paraId="1E12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9" w:hRule="atLeast"/>
          <w:jc w:val="center"/>
        </w:trPr>
        <w:tc>
          <w:tcPr>
            <w:tcW w:w="737" w:type="dxa"/>
          </w:tcPr>
          <w:p w14:paraId="425C5F45">
            <w:pPr>
              <w:rPr>
                <w:rFonts w:hAnsi="宋体"/>
                <w:szCs w:val="24"/>
                <w:highlight w:val="none"/>
              </w:rPr>
            </w:pPr>
          </w:p>
        </w:tc>
        <w:tc>
          <w:tcPr>
            <w:tcW w:w="1276" w:type="dxa"/>
          </w:tcPr>
          <w:p w14:paraId="13D9E5A5">
            <w:pPr>
              <w:rPr>
                <w:rFonts w:hAnsi="宋体"/>
                <w:szCs w:val="24"/>
                <w:highlight w:val="none"/>
              </w:rPr>
            </w:pPr>
          </w:p>
        </w:tc>
        <w:tc>
          <w:tcPr>
            <w:tcW w:w="2268" w:type="dxa"/>
          </w:tcPr>
          <w:p w14:paraId="6972C66F">
            <w:pPr>
              <w:rPr>
                <w:rFonts w:hAnsi="宋体"/>
                <w:szCs w:val="24"/>
                <w:highlight w:val="none"/>
              </w:rPr>
            </w:pPr>
          </w:p>
        </w:tc>
        <w:tc>
          <w:tcPr>
            <w:tcW w:w="2781" w:type="dxa"/>
          </w:tcPr>
          <w:p w14:paraId="674BBA0B">
            <w:pPr>
              <w:rPr>
                <w:rFonts w:hAnsi="宋体"/>
                <w:szCs w:val="24"/>
                <w:highlight w:val="none"/>
              </w:rPr>
            </w:pPr>
          </w:p>
        </w:tc>
        <w:tc>
          <w:tcPr>
            <w:tcW w:w="1188" w:type="dxa"/>
          </w:tcPr>
          <w:p w14:paraId="75652B09">
            <w:pPr>
              <w:rPr>
                <w:rFonts w:hAnsi="宋体"/>
                <w:szCs w:val="24"/>
                <w:highlight w:val="none"/>
              </w:rPr>
            </w:pPr>
          </w:p>
        </w:tc>
        <w:tc>
          <w:tcPr>
            <w:tcW w:w="594" w:type="dxa"/>
          </w:tcPr>
          <w:p w14:paraId="6100725F">
            <w:pPr>
              <w:rPr>
                <w:rFonts w:hAnsi="宋体"/>
                <w:szCs w:val="24"/>
                <w:highlight w:val="none"/>
              </w:rPr>
            </w:pPr>
          </w:p>
        </w:tc>
      </w:tr>
      <w:tr w14:paraId="3FF9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737" w:type="dxa"/>
          </w:tcPr>
          <w:p w14:paraId="1254AF4D">
            <w:pPr>
              <w:rPr>
                <w:rFonts w:hAnsi="宋体"/>
                <w:szCs w:val="24"/>
                <w:highlight w:val="none"/>
              </w:rPr>
            </w:pPr>
          </w:p>
        </w:tc>
        <w:tc>
          <w:tcPr>
            <w:tcW w:w="1276" w:type="dxa"/>
          </w:tcPr>
          <w:p w14:paraId="1B4A6AE5">
            <w:pPr>
              <w:rPr>
                <w:rFonts w:hAnsi="宋体"/>
                <w:szCs w:val="24"/>
                <w:highlight w:val="none"/>
              </w:rPr>
            </w:pPr>
          </w:p>
        </w:tc>
        <w:tc>
          <w:tcPr>
            <w:tcW w:w="2268" w:type="dxa"/>
          </w:tcPr>
          <w:p w14:paraId="70DCCF68">
            <w:pPr>
              <w:rPr>
                <w:rFonts w:hAnsi="宋体"/>
                <w:szCs w:val="24"/>
                <w:highlight w:val="none"/>
              </w:rPr>
            </w:pPr>
          </w:p>
        </w:tc>
        <w:tc>
          <w:tcPr>
            <w:tcW w:w="2781" w:type="dxa"/>
          </w:tcPr>
          <w:p w14:paraId="3E38695D">
            <w:pPr>
              <w:rPr>
                <w:rFonts w:hAnsi="宋体"/>
                <w:szCs w:val="24"/>
                <w:highlight w:val="none"/>
              </w:rPr>
            </w:pPr>
          </w:p>
        </w:tc>
        <w:tc>
          <w:tcPr>
            <w:tcW w:w="1188" w:type="dxa"/>
          </w:tcPr>
          <w:p w14:paraId="3E53558E">
            <w:pPr>
              <w:rPr>
                <w:rFonts w:hAnsi="宋体"/>
                <w:szCs w:val="24"/>
                <w:highlight w:val="none"/>
              </w:rPr>
            </w:pPr>
          </w:p>
        </w:tc>
        <w:tc>
          <w:tcPr>
            <w:tcW w:w="594" w:type="dxa"/>
          </w:tcPr>
          <w:p w14:paraId="2AAA39B8">
            <w:pPr>
              <w:rPr>
                <w:rFonts w:hAnsi="宋体"/>
                <w:szCs w:val="24"/>
                <w:highlight w:val="none"/>
              </w:rPr>
            </w:pPr>
          </w:p>
        </w:tc>
      </w:tr>
      <w:tr w14:paraId="7D19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737" w:type="dxa"/>
          </w:tcPr>
          <w:p w14:paraId="480DBC80">
            <w:pPr>
              <w:rPr>
                <w:rFonts w:hAnsi="宋体"/>
                <w:szCs w:val="24"/>
                <w:highlight w:val="none"/>
              </w:rPr>
            </w:pPr>
          </w:p>
        </w:tc>
        <w:tc>
          <w:tcPr>
            <w:tcW w:w="1276" w:type="dxa"/>
          </w:tcPr>
          <w:p w14:paraId="49D61FE1">
            <w:pPr>
              <w:rPr>
                <w:rFonts w:hAnsi="宋体"/>
                <w:szCs w:val="24"/>
                <w:highlight w:val="none"/>
              </w:rPr>
            </w:pPr>
          </w:p>
        </w:tc>
        <w:tc>
          <w:tcPr>
            <w:tcW w:w="2268" w:type="dxa"/>
          </w:tcPr>
          <w:p w14:paraId="37B99BD4">
            <w:pPr>
              <w:rPr>
                <w:rFonts w:hAnsi="宋体"/>
                <w:szCs w:val="24"/>
                <w:highlight w:val="none"/>
              </w:rPr>
            </w:pPr>
          </w:p>
        </w:tc>
        <w:tc>
          <w:tcPr>
            <w:tcW w:w="2781" w:type="dxa"/>
          </w:tcPr>
          <w:p w14:paraId="7F5F93D2">
            <w:pPr>
              <w:rPr>
                <w:rFonts w:hAnsi="宋体"/>
                <w:szCs w:val="24"/>
                <w:highlight w:val="none"/>
              </w:rPr>
            </w:pPr>
          </w:p>
        </w:tc>
        <w:tc>
          <w:tcPr>
            <w:tcW w:w="1188" w:type="dxa"/>
          </w:tcPr>
          <w:p w14:paraId="35C8725B">
            <w:pPr>
              <w:rPr>
                <w:rFonts w:hAnsi="宋体"/>
                <w:szCs w:val="24"/>
                <w:highlight w:val="none"/>
              </w:rPr>
            </w:pPr>
          </w:p>
        </w:tc>
        <w:tc>
          <w:tcPr>
            <w:tcW w:w="594" w:type="dxa"/>
          </w:tcPr>
          <w:p w14:paraId="7E426A25">
            <w:pPr>
              <w:rPr>
                <w:rFonts w:hAnsi="宋体"/>
                <w:szCs w:val="24"/>
                <w:highlight w:val="none"/>
              </w:rPr>
            </w:pPr>
          </w:p>
        </w:tc>
      </w:tr>
      <w:tr w14:paraId="19EA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737" w:type="dxa"/>
          </w:tcPr>
          <w:p w14:paraId="096E0902">
            <w:pPr>
              <w:rPr>
                <w:rFonts w:hAnsi="宋体"/>
                <w:szCs w:val="24"/>
                <w:highlight w:val="none"/>
              </w:rPr>
            </w:pPr>
          </w:p>
        </w:tc>
        <w:tc>
          <w:tcPr>
            <w:tcW w:w="1276" w:type="dxa"/>
          </w:tcPr>
          <w:p w14:paraId="0B551FCB">
            <w:pPr>
              <w:rPr>
                <w:rFonts w:hAnsi="宋体"/>
                <w:szCs w:val="24"/>
                <w:highlight w:val="none"/>
              </w:rPr>
            </w:pPr>
          </w:p>
        </w:tc>
        <w:tc>
          <w:tcPr>
            <w:tcW w:w="2268" w:type="dxa"/>
          </w:tcPr>
          <w:p w14:paraId="4F6C8F7E">
            <w:pPr>
              <w:rPr>
                <w:rFonts w:hAnsi="宋体"/>
                <w:szCs w:val="24"/>
                <w:highlight w:val="none"/>
              </w:rPr>
            </w:pPr>
          </w:p>
        </w:tc>
        <w:tc>
          <w:tcPr>
            <w:tcW w:w="2781" w:type="dxa"/>
          </w:tcPr>
          <w:p w14:paraId="68F334C7">
            <w:pPr>
              <w:rPr>
                <w:rFonts w:hAnsi="宋体"/>
                <w:szCs w:val="24"/>
                <w:highlight w:val="none"/>
              </w:rPr>
            </w:pPr>
          </w:p>
        </w:tc>
        <w:tc>
          <w:tcPr>
            <w:tcW w:w="1188" w:type="dxa"/>
          </w:tcPr>
          <w:p w14:paraId="0348E1FD">
            <w:pPr>
              <w:rPr>
                <w:rFonts w:hAnsi="宋体"/>
                <w:szCs w:val="24"/>
                <w:highlight w:val="none"/>
              </w:rPr>
            </w:pPr>
          </w:p>
        </w:tc>
        <w:tc>
          <w:tcPr>
            <w:tcW w:w="594" w:type="dxa"/>
          </w:tcPr>
          <w:p w14:paraId="0C49A183">
            <w:pPr>
              <w:rPr>
                <w:rFonts w:hAnsi="宋体"/>
                <w:szCs w:val="24"/>
                <w:highlight w:val="none"/>
              </w:rPr>
            </w:pPr>
          </w:p>
        </w:tc>
      </w:tr>
      <w:tr w14:paraId="711E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737" w:type="dxa"/>
          </w:tcPr>
          <w:p w14:paraId="3B587430">
            <w:pPr>
              <w:rPr>
                <w:rFonts w:hAnsi="宋体"/>
                <w:szCs w:val="24"/>
                <w:highlight w:val="none"/>
              </w:rPr>
            </w:pPr>
          </w:p>
        </w:tc>
        <w:tc>
          <w:tcPr>
            <w:tcW w:w="1276" w:type="dxa"/>
          </w:tcPr>
          <w:p w14:paraId="748A2DB3">
            <w:pPr>
              <w:rPr>
                <w:rFonts w:hAnsi="宋体"/>
                <w:szCs w:val="24"/>
                <w:highlight w:val="none"/>
              </w:rPr>
            </w:pPr>
          </w:p>
        </w:tc>
        <w:tc>
          <w:tcPr>
            <w:tcW w:w="2268" w:type="dxa"/>
          </w:tcPr>
          <w:p w14:paraId="44D98572">
            <w:pPr>
              <w:rPr>
                <w:rFonts w:hAnsi="宋体"/>
                <w:szCs w:val="24"/>
                <w:highlight w:val="none"/>
              </w:rPr>
            </w:pPr>
          </w:p>
        </w:tc>
        <w:tc>
          <w:tcPr>
            <w:tcW w:w="2781" w:type="dxa"/>
          </w:tcPr>
          <w:p w14:paraId="0DD25D29">
            <w:pPr>
              <w:rPr>
                <w:rFonts w:hAnsi="宋体"/>
                <w:szCs w:val="24"/>
                <w:highlight w:val="none"/>
              </w:rPr>
            </w:pPr>
          </w:p>
        </w:tc>
        <w:tc>
          <w:tcPr>
            <w:tcW w:w="1188" w:type="dxa"/>
          </w:tcPr>
          <w:p w14:paraId="0DA02F54">
            <w:pPr>
              <w:rPr>
                <w:rFonts w:hAnsi="宋体"/>
                <w:szCs w:val="24"/>
                <w:highlight w:val="none"/>
              </w:rPr>
            </w:pPr>
          </w:p>
        </w:tc>
        <w:tc>
          <w:tcPr>
            <w:tcW w:w="594" w:type="dxa"/>
          </w:tcPr>
          <w:p w14:paraId="319D9787">
            <w:pPr>
              <w:rPr>
                <w:rFonts w:hAnsi="宋体"/>
                <w:szCs w:val="24"/>
                <w:highlight w:val="none"/>
              </w:rPr>
            </w:pPr>
          </w:p>
        </w:tc>
      </w:tr>
      <w:tr w14:paraId="57BB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737" w:type="dxa"/>
          </w:tcPr>
          <w:p w14:paraId="42395493">
            <w:pPr>
              <w:rPr>
                <w:rFonts w:hAnsi="宋体"/>
                <w:szCs w:val="24"/>
                <w:highlight w:val="none"/>
              </w:rPr>
            </w:pPr>
          </w:p>
        </w:tc>
        <w:tc>
          <w:tcPr>
            <w:tcW w:w="1276" w:type="dxa"/>
          </w:tcPr>
          <w:p w14:paraId="5727E1AF">
            <w:pPr>
              <w:rPr>
                <w:rFonts w:hAnsi="宋体"/>
                <w:szCs w:val="24"/>
                <w:highlight w:val="none"/>
              </w:rPr>
            </w:pPr>
          </w:p>
        </w:tc>
        <w:tc>
          <w:tcPr>
            <w:tcW w:w="2268" w:type="dxa"/>
          </w:tcPr>
          <w:p w14:paraId="2566EF2A">
            <w:pPr>
              <w:rPr>
                <w:rFonts w:hAnsi="宋体"/>
                <w:szCs w:val="24"/>
                <w:highlight w:val="none"/>
              </w:rPr>
            </w:pPr>
          </w:p>
        </w:tc>
        <w:tc>
          <w:tcPr>
            <w:tcW w:w="2781" w:type="dxa"/>
          </w:tcPr>
          <w:p w14:paraId="3477FA50">
            <w:pPr>
              <w:rPr>
                <w:rFonts w:hAnsi="宋体"/>
                <w:szCs w:val="24"/>
                <w:highlight w:val="none"/>
              </w:rPr>
            </w:pPr>
          </w:p>
        </w:tc>
        <w:tc>
          <w:tcPr>
            <w:tcW w:w="1188" w:type="dxa"/>
          </w:tcPr>
          <w:p w14:paraId="2BC9B48A">
            <w:pPr>
              <w:rPr>
                <w:rFonts w:hAnsi="宋体"/>
                <w:szCs w:val="24"/>
                <w:highlight w:val="none"/>
              </w:rPr>
            </w:pPr>
          </w:p>
        </w:tc>
        <w:tc>
          <w:tcPr>
            <w:tcW w:w="594" w:type="dxa"/>
          </w:tcPr>
          <w:p w14:paraId="184416AC">
            <w:pPr>
              <w:rPr>
                <w:rFonts w:hAnsi="宋体"/>
                <w:szCs w:val="24"/>
                <w:highlight w:val="none"/>
              </w:rPr>
            </w:pPr>
          </w:p>
        </w:tc>
      </w:tr>
    </w:tbl>
    <w:p w14:paraId="0D40AEE1">
      <w:pPr>
        <w:rPr>
          <w:rFonts w:hAnsi="宋体"/>
          <w:highlight w:val="none"/>
        </w:rPr>
      </w:pPr>
    </w:p>
    <w:p w14:paraId="51C2951A">
      <w:pPr>
        <w:rPr>
          <w:rFonts w:hAnsi="宋体"/>
          <w:highlight w:val="none"/>
        </w:rPr>
      </w:pPr>
    </w:p>
    <w:p w14:paraId="54799477">
      <w:pPr>
        <w:rPr>
          <w:rFonts w:hAnsi="宋体"/>
          <w:szCs w:val="24"/>
          <w:highlight w:val="none"/>
        </w:rPr>
      </w:pPr>
    </w:p>
    <w:p w14:paraId="567898C4">
      <w:pPr>
        <w:spacing w:line="280" w:lineRule="exact"/>
        <w:ind w:firstLine="120" w:firstLineChars="50"/>
        <w:rPr>
          <w:rFonts w:hAnsi="宋体"/>
          <w:szCs w:val="24"/>
          <w:highlight w:val="none"/>
        </w:rPr>
      </w:pPr>
      <w:r>
        <w:rPr>
          <w:rFonts w:hint="eastAsia"/>
          <w:highlight w:val="none"/>
        </w:rPr>
        <w:t>法定代表人或被授权人（签字或盖章）</w:t>
      </w:r>
      <w:r>
        <w:rPr>
          <w:rFonts w:hint="eastAsia" w:hAnsi="宋体"/>
          <w:szCs w:val="24"/>
          <w:highlight w:val="none"/>
        </w:rPr>
        <w:t>:</w:t>
      </w:r>
    </w:p>
    <w:p w14:paraId="5FA7792E">
      <w:pPr>
        <w:tabs>
          <w:tab w:val="left" w:pos="3045"/>
        </w:tabs>
        <w:spacing w:line="280" w:lineRule="exact"/>
        <w:rPr>
          <w:rFonts w:hAnsi="宋体"/>
          <w:szCs w:val="24"/>
          <w:highlight w:val="none"/>
        </w:rPr>
      </w:pPr>
    </w:p>
    <w:p w14:paraId="3016DF68">
      <w:pPr>
        <w:spacing w:line="280" w:lineRule="exact"/>
        <w:rPr>
          <w:rFonts w:hAnsi="宋体"/>
          <w:szCs w:val="24"/>
          <w:highlight w:val="none"/>
        </w:rPr>
      </w:pPr>
    </w:p>
    <w:p w14:paraId="5FBB8117">
      <w:pPr>
        <w:spacing w:line="280" w:lineRule="exact"/>
        <w:ind w:firstLine="120" w:firstLineChars="50"/>
        <w:rPr>
          <w:rFonts w:hAnsi="宋体"/>
          <w:szCs w:val="24"/>
          <w:highlight w:val="none"/>
        </w:rPr>
      </w:pPr>
      <w:r>
        <w:rPr>
          <w:rFonts w:hint="eastAsia" w:hAnsi="宋体"/>
          <w:szCs w:val="24"/>
          <w:highlight w:val="none"/>
        </w:rPr>
        <w:t>公      章：</w:t>
      </w:r>
    </w:p>
    <w:p w14:paraId="16132E19">
      <w:pPr>
        <w:rPr>
          <w:rFonts w:hAnsi="宋体"/>
          <w:szCs w:val="24"/>
          <w:highlight w:val="none"/>
        </w:rPr>
      </w:pPr>
    </w:p>
    <w:p w14:paraId="5F7F1F03">
      <w:pPr>
        <w:spacing w:line="360" w:lineRule="auto"/>
        <w:ind w:left="1560" w:hanging="1560" w:hangingChars="650"/>
        <w:rPr>
          <w:rFonts w:hAnsi="宋体"/>
          <w:szCs w:val="24"/>
          <w:highlight w:val="none"/>
        </w:rPr>
      </w:pPr>
      <w:r>
        <w:rPr>
          <w:rFonts w:hint="eastAsia" w:hAnsi="宋体"/>
          <w:szCs w:val="24"/>
          <w:highlight w:val="none"/>
        </w:rPr>
        <w:t>注:  1.  ☆1指招标文件中的技术规格(参数),供应商应按照招标文件中的内容逐条抄写。</w:t>
      </w:r>
    </w:p>
    <w:p w14:paraId="0EBFA5CA">
      <w:pPr>
        <w:spacing w:line="360" w:lineRule="auto"/>
        <w:ind w:left="1560" w:hanging="1560" w:hangingChars="650"/>
        <w:rPr>
          <w:rFonts w:hAnsi="宋体"/>
          <w:szCs w:val="24"/>
          <w:highlight w:val="none"/>
        </w:rPr>
      </w:pPr>
      <w:r>
        <w:rPr>
          <w:rFonts w:hint="eastAsia" w:hAnsi="宋体"/>
          <w:szCs w:val="24"/>
          <w:highlight w:val="none"/>
        </w:rPr>
        <w:t xml:space="preserve">     2.  ☆2指供应商拟提供的招标产品的功能及技术规格(参数),供应商应逐条如实填写并提供相应的支持文件。 </w:t>
      </w:r>
    </w:p>
    <w:p w14:paraId="6624D02C">
      <w:pPr>
        <w:rPr>
          <w:rFonts w:hAnsi="宋体"/>
          <w:highlight w:val="none"/>
        </w:rPr>
      </w:pPr>
      <w:r>
        <w:rPr>
          <w:rFonts w:hint="eastAsia" w:hAnsi="宋体"/>
          <w:szCs w:val="24"/>
          <w:highlight w:val="none"/>
        </w:rPr>
        <w:t xml:space="preserve">     </w:t>
      </w:r>
      <w:r>
        <w:rPr>
          <w:rFonts w:hint="eastAsia" w:hAnsi="宋体"/>
          <w:highlight w:val="none"/>
        </w:rPr>
        <w:t>3.     偏离说明填写：优于、满足或低于。</w:t>
      </w:r>
    </w:p>
    <w:p w14:paraId="56B48890">
      <w:pPr>
        <w:rPr>
          <w:rFonts w:hAnsi="宋体"/>
          <w:highlight w:val="none"/>
        </w:rPr>
      </w:pPr>
      <w:r>
        <w:rPr>
          <w:rFonts w:hint="eastAsia" w:hAnsi="宋体"/>
          <w:highlight w:val="none"/>
        </w:rPr>
        <w:br w:type="page"/>
      </w:r>
    </w:p>
    <w:p w14:paraId="19E1CFB2">
      <w:pPr>
        <w:spacing w:after="120"/>
        <w:jc w:val="left"/>
        <w:rPr>
          <w:rFonts w:hAnsi="宋体"/>
          <w:b/>
          <w:sz w:val="32"/>
          <w:szCs w:val="32"/>
          <w:highlight w:val="none"/>
        </w:rPr>
      </w:pPr>
      <w:r>
        <w:rPr>
          <w:rFonts w:hint="eastAsia" w:hAnsi="宋体"/>
          <w:b/>
          <w:szCs w:val="24"/>
          <w:highlight w:val="none"/>
        </w:rPr>
        <w:t>附表2：</w:t>
      </w:r>
    </w:p>
    <w:p w14:paraId="2165F9B7">
      <w:pPr>
        <w:spacing w:after="120"/>
        <w:jc w:val="center"/>
        <w:rPr>
          <w:rFonts w:hAnsi="宋体"/>
          <w:b/>
          <w:sz w:val="32"/>
          <w:szCs w:val="32"/>
          <w:highlight w:val="none"/>
        </w:rPr>
      </w:pPr>
      <w:r>
        <w:rPr>
          <w:rFonts w:hint="eastAsia" w:hAnsi="宋体"/>
          <w:b/>
          <w:sz w:val="32"/>
          <w:szCs w:val="32"/>
          <w:highlight w:val="none"/>
        </w:rPr>
        <w:t>供货一览表</w:t>
      </w:r>
    </w:p>
    <w:p w14:paraId="3E8EAB2A">
      <w:pPr>
        <w:spacing w:after="120"/>
        <w:ind w:firstLine="120" w:firstLineChars="50"/>
        <w:rPr>
          <w:rFonts w:hAnsi="宋体"/>
          <w:szCs w:val="24"/>
          <w:highlight w:val="none"/>
        </w:rPr>
      </w:pPr>
      <w:r>
        <w:rPr>
          <w:rFonts w:hint="eastAsia" w:hAnsi="宋体"/>
          <w:szCs w:val="24"/>
          <w:highlight w:val="none"/>
        </w:rPr>
        <w:t>项目名称：</w:t>
      </w:r>
    </w:p>
    <w:p w14:paraId="110FE25D">
      <w:pPr>
        <w:spacing w:after="120"/>
        <w:ind w:firstLine="120" w:firstLineChars="50"/>
        <w:rPr>
          <w:rFonts w:hAnsi="宋体"/>
          <w:szCs w:val="24"/>
          <w:highlight w:val="none"/>
        </w:rPr>
      </w:pPr>
      <w:r>
        <w:rPr>
          <w:rFonts w:hint="eastAsia" w:hAnsi="宋体"/>
          <w:szCs w:val="24"/>
          <w:highlight w:val="none"/>
        </w:rPr>
        <w:t>项目编号：</w:t>
      </w:r>
    </w:p>
    <w:tbl>
      <w:tblPr>
        <w:tblStyle w:val="22"/>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2"/>
        <w:gridCol w:w="1609"/>
        <w:gridCol w:w="1513"/>
        <w:gridCol w:w="1378"/>
        <w:gridCol w:w="1031"/>
        <w:gridCol w:w="1035"/>
        <w:gridCol w:w="1093"/>
        <w:gridCol w:w="1222"/>
      </w:tblGrid>
      <w:tr w14:paraId="1E355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vAlign w:val="center"/>
          </w:tcPr>
          <w:p w14:paraId="5D1456B4">
            <w:pPr>
              <w:spacing w:before="166" w:beforeLines="50" w:line="360" w:lineRule="auto"/>
              <w:jc w:val="center"/>
              <w:rPr>
                <w:rFonts w:hAnsi="宋体"/>
                <w:b/>
                <w:szCs w:val="24"/>
                <w:highlight w:val="none"/>
              </w:rPr>
            </w:pPr>
            <w:r>
              <w:rPr>
                <w:rFonts w:hint="eastAsia" w:hAnsi="宋体"/>
                <w:b/>
                <w:szCs w:val="24"/>
                <w:highlight w:val="none"/>
              </w:rPr>
              <w:t>序号</w:t>
            </w:r>
          </w:p>
        </w:tc>
        <w:tc>
          <w:tcPr>
            <w:tcW w:w="1609" w:type="dxa"/>
            <w:vAlign w:val="center"/>
          </w:tcPr>
          <w:p w14:paraId="684DEAE4">
            <w:pPr>
              <w:spacing w:before="166" w:beforeLines="50" w:line="360" w:lineRule="auto"/>
              <w:jc w:val="center"/>
              <w:rPr>
                <w:rFonts w:hAnsi="宋体"/>
                <w:b/>
                <w:szCs w:val="24"/>
                <w:highlight w:val="none"/>
              </w:rPr>
            </w:pPr>
            <w:r>
              <w:rPr>
                <w:rFonts w:hint="eastAsia" w:hAnsi="宋体"/>
                <w:b/>
                <w:szCs w:val="24"/>
                <w:highlight w:val="none"/>
              </w:rPr>
              <w:t>名称</w:t>
            </w:r>
          </w:p>
        </w:tc>
        <w:tc>
          <w:tcPr>
            <w:tcW w:w="1513" w:type="dxa"/>
            <w:tcBorders>
              <w:right w:val="single" w:color="auto" w:sz="4" w:space="0"/>
            </w:tcBorders>
            <w:vAlign w:val="center"/>
          </w:tcPr>
          <w:p w14:paraId="510204A7">
            <w:pPr>
              <w:pStyle w:val="3"/>
              <w:adjustRightInd w:val="0"/>
              <w:snapToGrid w:val="0"/>
              <w:ind w:left="0"/>
              <w:jc w:val="center"/>
              <w:rPr>
                <w:rFonts w:ascii="宋体" w:hAnsi="宋体"/>
                <w:sz w:val="24"/>
                <w:szCs w:val="24"/>
                <w:highlight w:val="none"/>
              </w:rPr>
            </w:pPr>
            <w:bookmarkStart w:id="149" w:name="_Toc30065"/>
            <w:bookmarkStart w:id="150" w:name="_Toc28060"/>
            <w:bookmarkStart w:id="151" w:name="_Toc24801"/>
            <w:bookmarkStart w:id="152" w:name="_Toc8403"/>
            <w:bookmarkStart w:id="153" w:name="_Toc27923"/>
            <w:bookmarkStart w:id="154" w:name="_Toc628"/>
            <w:bookmarkStart w:id="155" w:name="_Toc32309"/>
            <w:bookmarkStart w:id="156" w:name="_Toc32014"/>
            <w:bookmarkStart w:id="157" w:name="_Toc24009"/>
            <w:bookmarkStart w:id="158" w:name="_Toc15750"/>
            <w:bookmarkStart w:id="159" w:name="_Toc24582"/>
            <w:bookmarkStart w:id="160" w:name="_Toc29617"/>
            <w:r>
              <w:rPr>
                <w:rFonts w:hint="eastAsia" w:ascii="宋体" w:hAnsi="宋体"/>
                <w:sz w:val="24"/>
                <w:szCs w:val="24"/>
                <w:highlight w:val="none"/>
              </w:rPr>
              <w:t>品牌、规格及型号</w:t>
            </w:r>
            <w:bookmarkEnd w:id="149"/>
            <w:bookmarkEnd w:id="150"/>
            <w:bookmarkEnd w:id="151"/>
            <w:bookmarkEnd w:id="152"/>
            <w:bookmarkEnd w:id="153"/>
            <w:bookmarkEnd w:id="154"/>
            <w:bookmarkEnd w:id="155"/>
            <w:bookmarkEnd w:id="156"/>
            <w:bookmarkEnd w:id="157"/>
            <w:bookmarkEnd w:id="158"/>
            <w:bookmarkEnd w:id="159"/>
            <w:bookmarkEnd w:id="160"/>
          </w:p>
        </w:tc>
        <w:tc>
          <w:tcPr>
            <w:tcW w:w="1378" w:type="dxa"/>
            <w:tcBorders>
              <w:left w:val="single" w:color="auto" w:sz="4" w:space="0"/>
            </w:tcBorders>
            <w:vAlign w:val="center"/>
          </w:tcPr>
          <w:p w14:paraId="1DFDA573">
            <w:pPr>
              <w:pStyle w:val="3"/>
              <w:adjustRightInd w:val="0"/>
              <w:snapToGrid w:val="0"/>
              <w:ind w:left="0"/>
              <w:jc w:val="center"/>
              <w:rPr>
                <w:rFonts w:ascii="宋体" w:hAnsi="宋体"/>
                <w:sz w:val="24"/>
                <w:szCs w:val="24"/>
                <w:highlight w:val="none"/>
              </w:rPr>
            </w:pPr>
            <w:bookmarkStart w:id="161" w:name="_Toc16441"/>
            <w:bookmarkStart w:id="162" w:name="_Toc11874"/>
            <w:bookmarkStart w:id="163" w:name="_Toc17740"/>
            <w:bookmarkStart w:id="164" w:name="_Toc8331"/>
            <w:bookmarkStart w:id="165" w:name="_Toc13693"/>
            <w:bookmarkStart w:id="166" w:name="_Toc6970"/>
            <w:bookmarkStart w:id="167" w:name="_Toc5023"/>
            <w:bookmarkStart w:id="168" w:name="_Toc23855"/>
            <w:bookmarkStart w:id="169" w:name="_Toc4360"/>
            <w:bookmarkStart w:id="170" w:name="_Toc13511"/>
            <w:bookmarkStart w:id="171" w:name="_Toc10047"/>
            <w:bookmarkStart w:id="172" w:name="_Toc6823"/>
            <w:bookmarkStart w:id="173" w:name="_Toc426457706"/>
            <w:r>
              <w:rPr>
                <w:rFonts w:hint="eastAsia" w:ascii="宋体" w:hAnsi="宋体"/>
                <w:sz w:val="24"/>
                <w:szCs w:val="24"/>
                <w:highlight w:val="none"/>
              </w:rPr>
              <w:t>原产地及 制造厂名</w:t>
            </w:r>
            <w:bookmarkEnd w:id="161"/>
            <w:bookmarkEnd w:id="162"/>
            <w:bookmarkEnd w:id="163"/>
            <w:bookmarkEnd w:id="164"/>
            <w:bookmarkEnd w:id="165"/>
            <w:bookmarkEnd w:id="166"/>
            <w:bookmarkEnd w:id="167"/>
            <w:bookmarkEnd w:id="168"/>
            <w:bookmarkEnd w:id="169"/>
            <w:bookmarkEnd w:id="170"/>
            <w:bookmarkEnd w:id="171"/>
            <w:bookmarkEnd w:id="172"/>
          </w:p>
        </w:tc>
        <w:tc>
          <w:tcPr>
            <w:tcW w:w="1031" w:type="dxa"/>
            <w:tcBorders>
              <w:right w:val="single" w:color="auto" w:sz="4" w:space="0"/>
            </w:tcBorders>
            <w:vAlign w:val="center"/>
          </w:tcPr>
          <w:p w14:paraId="43FEB0B1">
            <w:pPr>
              <w:pStyle w:val="3"/>
              <w:adjustRightInd w:val="0"/>
              <w:snapToGrid w:val="0"/>
              <w:ind w:left="0"/>
              <w:jc w:val="center"/>
              <w:rPr>
                <w:rFonts w:ascii="宋体" w:hAnsi="宋体"/>
                <w:sz w:val="24"/>
                <w:szCs w:val="24"/>
                <w:highlight w:val="none"/>
              </w:rPr>
            </w:pPr>
            <w:bookmarkStart w:id="174" w:name="_Toc24194"/>
            <w:bookmarkStart w:id="175" w:name="_Toc2218"/>
            <w:bookmarkStart w:id="176" w:name="_Toc27110"/>
            <w:bookmarkStart w:id="177" w:name="_Toc6864"/>
            <w:bookmarkStart w:id="178" w:name="_Toc5186"/>
            <w:bookmarkStart w:id="179" w:name="_Toc13853"/>
            <w:bookmarkStart w:id="180" w:name="_Toc29415"/>
            <w:bookmarkStart w:id="181" w:name="_Toc22669"/>
            <w:bookmarkStart w:id="182" w:name="_Toc15304"/>
            <w:bookmarkStart w:id="183" w:name="_Toc5449"/>
            <w:bookmarkStart w:id="184" w:name="_Toc17442"/>
            <w:bookmarkStart w:id="185" w:name="_Toc32261"/>
            <w:r>
              <w:rPr>
                <w:rFonts w:hint="eastAsia" w:ascii="宋体" w:hAnsi="宋体"/>
                <w:sz w:val="24"/>
                <w:szCs w:val="24"/>
                <w:highlight w:val="none"/>
              </w:rPr>
              <w:t>数量</w:t>
            </w:r>
            <w:bookmarkEnd w:id="173"/>
            <w:bookmarkEnd w:id="174"/>
            <w:bookmarkEnd w:id="175"/>
            <w:bookmarkEnd w:id="176"/>
            <w:bookmarkEnd w:id="177"/>
            <w:bookmarkEnd w:id="178"/>
            <w:bookmarkEnd w:id="179"/>
            <w:bookmarkEnd w:id="180"/>
            <w:bookmarkEnd w:id="181"/>
            <w:bookmarkEnd w:id="182"/>
            <w:bookmarkEnd w:id="183"/>
            <w:bookmarkEnd w:id="184"/>
            <w:bookmarkEnd w:id="185"/>
          </w:p>
        </w:tc>
        <w:tc>
          <w:tcPr>
            <w:tcW w:w="1035" w:type="dxa"/>
            <w:tcBorders>
              <w:left w:val="single" w:color="auto" w:sz="4" w:space="0"/>
            </w:tcBorders>
            <w:vAlign w:val="center"/>
          </w:tcPr>
          <w:p w14:paraId="3FF3DDF2">
            <w:pPr>
              <w:pStyle w:val="3"/>
              <w:ind w:left="0"/>
              <w:jc w:val="center"/>
              <w:rPr>
                <w:rFonts w:ascii="宋体" w:hAnsi="宋体"/>
                <w:sz w:val="24"/>
                <w:szCs w:val="24"/>
                <w:highlight w:val="none"/>
              </w:rPr>
            </w:pPr>
            <w:bookmarkStart w:id="186" w:name="_Toc2426"/>
            <w:bookmarkStart w:id="187" w:name="_Toc25212"/>
            <w:bookmarkStart w:id="188" w:name="_Toc20784"/>
            <w:bookmarkStart w:id="189" w:name="_Toc6713"/>
            <w:bookmarkStart w:id="190" w:name="_Toc5343"/>
            <w:bookmarkStart w:id="191" w:name="_Toc10474"/>
            <w:bookmarkStart w:id="192" w:name="_Toc10545"/>
            <w:bookmarkStart w:id="193" w:name="_Toc21073"/>
            <w:bookmarkStart w:id="194" w:name="_Toc426457707"/>
            <w:bookmarkStart w:id="195" w:name="_Toc6926"/>
            <w:bookmarkStart w:id="196" w:name="_Toc32606"/>
            <w:bookmarkStart w:id="197" w:name="_Toc6310"/>
            <w:bookmarkStart w:id="198" w:name="_Toc20788"/>
            <w:r>
              <w:rPr>
                <w:rFonts w:ascii="宋体" w:hAnsi="宋体" w:cs="宋体"/>
                <w:sz w:val="24"/>
                <w:szCs w:val="24"/>
                <w:highlight w:val="none"/>
              </w:rPr>
              <w:t>交付地点</w:t>
            </w:r>
            <w:bookmarkEnd w:id="186"/>
            <w:bookmarkEnd w:id="187"/>
            <w:bookmarkEnd w:id="188"/>
            <w:bookmarkEnd w:id="189"/>
            <w:bookmarkEnd w:id="190"/>
            <w:bookmarkEnd w:id="191"/>
            <w:bookmarkEnd w:id="192"/>
            <w:bookmarkEnd w:id="193"/>
            <w:bookmarkEnd w:id="194"/>
            <w:bookmarkEnd w:id="195"/>
            <w:bookmarkEnd w:id="196"/>
            <w:bookmarkEnd w:id="197"/>
            <w:bookmarkEnd w:id="198"/>
          </w:p>
        </w:tc>
        <w:tc>
          <w:tcPr>
            <w:tcW w:w="1093" w:type="dxa"/>
            <w:tcBorders>
              <w:right w:val="single" w:color="auto" w:sz="4" w:space="0"/>
            </w:tcBorders>
            <w:vAlign w:val="center"/>
          </w:tcPr>
          <w:p w14:paraId="4511A5D3">
            <w:pPr>
              <w:pStyle w:val="3"/>
              <w:ind w:left="0"/>
              <w:jc w:val="center"/>
              <w:rPr>
                <w:rFonts w:ascii="宋体" w:hAnsi="宋体"/>
                <w:sz w:val="24"/>
                <w:szCs w:val="24"/>
                <w:highlight w:val="none"/>
              </w:rPr>
            </w:pPr>
            <w:bookmarkStart w:id="199" w:name="_Toc19803"/>
            <w:bookmarkStart w:id="200" w:name="_Toc31537"/>
            <w:bookmarkStart w:id="201" w:name="_Toc23582"/>
            <w:bookmarkStart w:id="202" w:name="_Toc5026"/>
            <w:bookmarkStart w:id="203" w:name="_Toc31745"/>
            <w:bookmarkStart w:id="204" w:name="_Toc12618"/>
            <w:bookmarkStart w:id="205" w:name="_Toc28407"/>
            <w:bookmarkStart w:id="206" w:name="_Toc25012"/>
            <w:bookmarkStart w:id="207" w:name="_Toc14545"/>
            <w:bookmarkStart w:id="208" w:name="_Toc426457708"/>
            <w:bookmarkStart w:id="209" w:name="_Toc4618"/>
            <w:bookmarkStart w:id="210" w:name="_Toc5960"/>
            <w:bookmarkStart w:id="211" w:name="_Toc24743"/>
            <w:r>
              <w:rPr>
                <w:rFonts w:ascii="宋体" w:hAnsi="宋体" w:cs="宋体"/>
                <w:sz w:val="24"/>
                <w:szCs w:val="24"/>
                <w:highlight w:val="none"/>
              </w:rPr>
              <w:t>交付时间</w:t>
            </w:r>
            <w:bookmarkEnd w:id="199"/>
            <w:bookmarkEnd w:id="200"/>
            <w:bookmarkEnd w:id="201"/>
            <w:bookmarkEnd w:id="202"/>
            <w:bookmarkEnd w:id="203"/>
            <w:bookmarkEnd w:id="204"/>
            <w:bookmarkEnd w:id="205"/>
            <w:bookmarkEnd w:id="206"/>
            <w:bookmarkEnd w:id="207"/>
            <w:bookmarkEnd w:id="208"/>
            <w:bookmarkEnd w:id="209"/>
            <w:bookmarkEnd w:id="210"/>
            <w:bookmarkEnd w:id="211"/>
          </w:p>
        </w:tc>
        <w:tc>
          <w:tcPr>
            <w:tcW w:w="1222" w:type="dxa"/>
            <w:tcBorders>
              <w:right w:val="single" w:color="auto" w:sz="4" w:space="0"/>
            </w:tcBorders>
            <w:vAlign w:val="center"/>
          </w:tcPr>
          <w:p w14:paraId="623FEFE1">
            <w:pPr>
              <w:pStyle w:val="3"/>
              <w:ind w:left="0"/>
              <w:jc w:val="center"/>
              <w:rPr>
                <w:rFonts w:ascii="宋体" w:hAnsi="宋体" w:cs="宋体"/>
                <w:sz w:val="24"/>
                <w:szCs w:val="24"/>
                <w:highlight w:val="none"/>
              </w:rPr>
            </w:pPr>
            <w:bookmarkStart w:id="212" w:name="_Toc14093"/>
            <w:bookmarkStart w:id="213" w:name="_Toc24445"/>
            <w:bookmarkStart w:id="214" w:name="_Toc3059"/>
            <w:bookmarkStart w:id="215" w:name="_Toc1768"/>
            <w:bookmarkStart w:id="216" w:name="_Toc12830"/>
            <w:bookmarkStart w:id="217" w:name="_Toc16567"/>
            <w:bookmarkStart w:id="218" w:name="_Toc22386"/>
            <w:bookmarkStart w:id="219" w:name="_Toc3825"/>
            <w:bookmarkStart w:id="220" w:name="_Toc8990"/>
            <w:bookmarkStart w:id="221" w:name="_Toc22789"/>
            <w:bookmarkStart w:id="222" w:name="_Toc426457709"/>
            <w:bookmarkStart w:id="223" w:name="_Toc6139"/>
            <w:bookmarkStart w:id="224" w:name="_Toc18685"/>
            <w:r>
              <w:rPr>
                <w:rFonts w:hint="eastAsia" w:ascii="宋体" w:hAnsi="宋体" w:cs="宋体"/>
                <w:sz w:val="24"/>
                <w:szCs w:val="24"/>
                <w:highlight w:val="none"/>
              </w:rPr>
              <w:t>备注</w:t>
            </w:r>
            <w:bookmarkEnd w:id="212"/>
            <w:bookmarkEnd w:id="213"/>
            <w:bookmarkEnd w:id="214"/>
            <w:bookmarkEnd w:id="215"/>
            <w:bookmarkEnd w:id="216"/>
            <w:bookmarkEnd w:id="217"/>
            <w:bookmarkEnd w:id="218"/>
            <w:bookmarkEnd w:id="219"/>
            <w:bookmarkEnd w:id="220"/>
            <w:bookmarkEnd w:id="221"/>
            <w:bookmarkEnd w:id="222"/>
            <w:bookmarkEnd w:id="223"/>
            <w:bookmarkEnd w:id="224"/>
          </w:p>
        </w:tc>
      </w:tr>
      <w:tr w14:paraId="66A39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3AF27036">
            <w:pPr>
              <w:spacing w:before="166" w:beforeLines="50" w:line="360" w:lineRule="auto"/>
              <w:jc w:val="center"/>
              <w:rPr>
                <w:rFonts w:hAnsi="宋体"/>
                <w:szCs w:val="24"/>
                <w:highlight w:val="none"/>
              </w:rPr>
            </w:pPr>
          </w:p>
        </w:tc>
        <w:tc>
          <w:tcPr>
            <w:tcW w:w="1609" w:type="dxa"/>
          </w:tcPr>
          <w:p w14:paraId="5FB68419">
            <w:pPr>
              <w:spacing w:before="166" w:beforeLines="50" w:line="360" w:lineRule="auto"/>
              <w:jc w:val="center"/>
              <w:rPr>
                <w:rFonts w:hAnsi="宋体"/>
                <w:szCs w:val="24"/>
                <w:highlight w:val="none"/>
              </w:rPr>
            </w:pPr>
          </w:p>
        </w:tc>
        <w:tc>
          <w:tcPr>
            <w:tcW w:w="1513" w:type="dxa"/>
            <w:tcBorders>
              <w:right w:val="single" w:color="auto" w:sz="4" w:space="0"/>
            </w:tcBorders>
          </w:tcPr>
          <w:p w14:paraId="28332F5C">
            <w:pPr>
              <w:spacing w:before="166" w:beforeLines="50" w:line="360" w:lineRule="auto"/>
              <w:jc w:val="center"/>
              <w:rPr>
                <w:rFonts w:hAnsi="宋体"/>
                <w:szCs w:val="24"/>
                <w:highlight w:val="none"/>
              </w:rPr>
            </w:pPr>
          </w:p>
        </w:tc>
        <w:tc>
          <w:tcPr>
            <w:tcW w:w="1378" w:type="dxa"/>
            <w:tcBorders>
              <w:left w:val="single" w:color="auto" w:sz="4" w:space="0"/>
            </w:tcBorders>
          </w:tcPr>
          <w:p w14:paraId="60E7F729">
            <w:pPr>
              <w:spacing w:before="166" w:beforeLines="50" w:line="360" w:lineRule="auto"/>
              <w:jc w:val="center"/>
              <w:rPr>
                <w:rFonts w:hAnsi="宋体"/>
                <w:szCs w:val="24"/>
                <w:highlight w:val="none"/>
              </w:rPr>
            </w:pPr>
          </w:p>
        </w:tc>
        <w:tc>
          <w:tcPr>
            <w:tcW w:w="1031" w:type="dxa"/>
            <w:tcBorders>
              <w:right w:val="single" w:color="auto" w:sz="4" w:space="0"/>
            </w:tcBorders>
          </w:tcPr>
          <w:p w14:paraId="7361E322">
            <w:pPr>
              <w:spacing w:before="166" w:beforeLines="50" w:line="360" w:lineRule="auto"/>
              <w:jc w:val="center"/>
              <w:rPr>
                <w:rFonts w:hAnsi="宋体"/>
                <w:szCs w:val="24"/>
                <w:highlight w:val="none"/>
              </w:rPr>
            </w:pPr>
          </w:p>
        </w:tc>
        <w:tc>
          <w:tcPr>
            <w:tcW w:w="1035" w:type="dxa"/>
            <w:tcBorders>
              <w:left w:val="single" w:color="auto" w:sz="4" w:space="0"/>
            </w:tcBorders>
          </w:tcPr>
          <w:p w14:paraId="5882E13D">
            <w:pPr>
              <w:spacing w:before="166" w:beforeLines="50" w:line="360" w:lineRule="auto"/>
              <w:jc w:val="center"/>
              <w:rPr>
                <w:rFonts w:hAnsi="宋体"/>
                <w:szCs w:val="24"/>
                <w:highlight w:val="none"/>
              </w:rPr>
            </w:pPr>
          </w:p>
        </w:tc>
        <w:tc>
          <w:tcPr>
            <w:tcW w:w="1093" w:type="dxa"/>
            <w:tcBorders>
              <w:right w:val="single" w:color="auto" w:sz="4" w:space="0"/>
            </w:tcBorders>
          </w:tcPr>
          <w:p w14:paraId="5729A514">
            <w:pPr>
              <w:spacing w:before="166" w:beforeLines="50" w:line="360" w:lineRule="auto"/>
              <w:jc w:val="center"/>
              <w:rPr>
                <w:rFonts w:hAnsi="宋体"/>
                <w:szCs w:val="24"/>
                <w:highlight w:val="none"/>
              </w:rPr>
            </w:pPr>
          </w:p>
        </w:tc>
        <w:tc>
          <w:tcPr>
            <w:tcW w:w="1222" w:type="dxa"/>
            <w:tcBorders>
              <w:right w:val="single" w:color="auto" w:sz="4" w:space="0"/>
            </w:tcBorders>
          </w:tcPr>
          <w:p w14:paraId="436F6A03">
            <w:pPr>
              <w:spacing w:before="166" w:beforeLines="50" w:line="360" w:lineRule="auto"/>
              <w:jc w:val="center"/>
              <w:rPr>
                <w:rFonts w:hAnsi="宋体"/>
                <w:szCs w:val="24"/>
                <w:highlight w:val="none"/>
              </w:rPr>
            </w:pPr>
          </w:p>
        </w:tc>
      </w:tr>
      <w:tr w14:paraId="55839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6A1A58E4">
            <w:pPr>
              <w:spacing w:before="166" w:beforeLines="50" w:line="360" w:lineRule="auto"/>
              <w:jc w:val="center"/>
              <w:rPr>
                <w:rFonts w:hAnsi="宋体"/>
                <w:szCs w:val="24"/>
                <w:highlight w:val="none"/>
              </w:rPr>
            </w:pPr>
          </w:p>
        </w:tc>
        <w:tc>
          <w:tcPr>
            <w:tcW w:w="1609" w:type="dxa"/>
          </w:tcPr>
          <w:p w14:paraId="31025EBC">
            <w:pPr>
              <w:spacing w:before="166" w:beforeLines="50" w:line="360" w:lineRule="auto"/>
              <w:jc w:val="center"/>
              <w:rPr>
                <w:rFonts w:hAnsi="宋体"/>
                <w:szCs w:val="24"/>
                <w:highlight w:val="none"/>
              </w:rPr>
            </w:pPr>
          </w:p>
        </w:tc>
        <w:tc>
          <w:tcPr>
            <w:tcW w:w="1513" w:type="dxa"/>
            <w:tcBorders>
              <w:right w:val="single" w:color="auto" w:sz="4" w:space="0"/>
            </w:tcBorders>
          </w:tcPr>
          <w:p w14:paraId="0A2ECE81">
            <w:pPr>
              <w:spacing w:before="166" w:beforeLines="50" w:line="360" w:lineRule="auto"/>
              <w:jc w:val="center"/>
              <w:rPr>
                <w:rFonts w:hAnsi="宋体"/>
                <w:szCs w:val="24"/>
                <w:highlight w:val="none"/>
              </w:rPr>
            </w:pPr>
          </w:p>
        </w:tc>
        <w:tc>
          <w:tcPr>
            <w:tcW w:w="1378" w:type="dxa"/>
            <w:tcBorders>
              <w:left w:val="single" w:color="auto" w:sz="4" w:space="0"/>
            </w:tcBorders>
          </w:tcPr>
          <w:p w14:paraId="1365E817">
            <w:pPr>
              <w:spacing w:before="166" w:beforeLines="50" w:line="360" w:lineRule="auto"/>
              <w:jc w:val="center"/>
              <w:rPr>
                <w:rFonts w:hAnsi="宋体"/>
                <w:szCs w:val="24"/>
                <w:highlight w:val="none"/>
              </w:rPr>
            </w:pPr>
          </w:p>
        </w:tc>
        <w:tc>
          <w:tcPr>
            <w:tcW w:w="1031" w:type="dxa"/>
            <w:tcBorders>
              <w:right w:val="single" w:color="auto" w:sz="4" w:space="0"/>
            </w:tcBorders>
          </w:tcPr>
          <w:p w14:paraId="381F8CB9">
            <w:pPr>
              <w:spacing w:before="166" w:beforeLines="50" w:line="360" w:lineRule="auto"/>
              <w:jc w:val="center"/>
              <w:rPr>
                <w:rFonts w:hAnsi="宋体"/>
                <w:szCs w:val="24"/>
                <w:highlight w:val="none"/>
              </w:rPr>
            </w:pPr>
          </w:p>
        </w:tc>
        <w:tc>
          <w:tcPr>
            <w:tcW w:w="1035" w:type="dxa"/>
            <w:tcBorders>
              <w:left w:val="single" w:color="auto" w:sz="4" w:space="0"/>
            </w:tcBorders>
          </w:tcPr>
          <w:p w14:paraId="6350270C">
            <w:pPr>
              <w:spacing w:before="166" w:beforeLines="50" w:line="360" w:lineRule="auto"/>
              <w:jc w:val="center"/>
              <w:rPr>
                <w:rFonts w:hAnsi="宋体"/>
                <w:szCs w:val="24"/>
                <w:highlight w:val="none"/>
              </w:rPr>
            </w:pPr>
          </w:p>
        </w:tc>
        <w:tc>
          <w:tcPr>
            <w:tcW w:w="1093" w:type="dxa"/>
            <w:tcBorders>
              <w:right w:val="single" w:color="auto" w:sz="4" w:space="0"/>
            </w:tcBorders>
          </w:tcPr>
          <w:p w14:paraId="77E2888F">
            <w:pPr>
              <w:spacing w:before="166" w:beforeLines="50" w:line="360" w:lineRule="auto"/>
              <w:jc w:val="center"/>
              <w:rPr>
                <w:rFonts w:hAnsi="宋体"/>
                <w:szCs w:val="24"/>
                <w:highlight w:val="none"/>
              </w:rPr>
            </w:pPr>
          </w:p>
        </w:tc>
        <w:tc>
          <w:tcPr>
            <w:tcW w:w="1222" w:type="dxa"/>
            <w:tcBorders>
              <w:right w:val="single" w:color="auto" w:sz="4" w:space="0"/>
            </w:tcBorders>
          </w:tcPr>
          <w:p w14:paraId="2DB2B82B">
            <w:pPr>
              <w:spacing w:before="166" w:beforeLines="50" w:line="360" w:lineRule="auto"/>
              <w:jc w:val="center"/>
              <w:rPr>
                <w:rFonts w:hAnsi="宋体"/>
                <w:szCs w:val="24"/>
                <w:highlight w:val="none"/>
              </w:rPr>
            </w:pPr>
          </w:p>
        </w:tc>
      </w:tr>
      <w:tr w14:paraId="25AFF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3FB33345">
            <w:pPr>
              <w:spacing w:before="166" w:beforeLines="50" w:line="360" w:lineRule="auto"/>
              <w:jc w:val="center"/>
              <w:rPr>
                <w:rFonts w:hAnsi="宋体"/>
                <w:szCs w:val="24"/>
                <w:highlight w:val="none"/>
              </w:rPr>
            </w:pPr>
          </w:p>
        </w:tc>
        <w:tc>
          <w:tcPr>
            <w:tcW w:w="1609" w:type="dxa"/>
          </w:tcPr>
          <w:p w14:paraId="1BE870E0">
            <w:pPr>
              <w:spacing w:before="166" w:beforeLines="50" w:line="360" w:lineRule="auto"/>
              <w:jc w:val="center"/>
              <w:rPr>
                <w:rFonts w:hAnsi="宋体"/>
                <w:szCs w:val="24"/>
                <w:highlight w:val="none"/>
              </w:rPr>
            </w:pPr>
          </w:p>
        </w:tc>
        <w:tc>
          <w:tcPr>
            <w:tcW w:w="1513" w:type="dxa"/>
            <w:tcBorders>
              <w:right w:val="single" w:color="auto" w:sz="4" w:space="0"/>
            </w:tcBorders>
          </w:tcPr>
          <w:p w14:paraId="5A36D8C2">
            <w:pPr>
              <w:spacing w:before="166" w:beforeLines="50" w:line="360" w:lineRule="auto"/>
              <w:jc w:val="center"/>
              <w:rPr>
                <w:rFonts w:hAnsi="宋体"/>
                <w:szCs w:val="24"/>
                <w:highlight w:val="none"/>
              </w:rPr>
            </w:pPr>
          </w:p>
        </w:tc>
        <w:tc>
          <w:tcPr>
            <w:tcW w:w="1378" w:type="dxa"/>
            <w:tcBorders>
              <w:left w:val="single" w:color="auto" w:sz="4" w:space="0"/>
            </w:tcBorders>
          </w:tcPr>
          <w:p w14:paraId="55AB75E2">
            <w:pPr>
              <w:spacing w:before="166" w:beforeLines="50" w:line="360" w:lineRule="auto"/>
              <w:jc w:val="center"/>
              <w:rPr>
                <w:rFonts w:hAnsi="宋体"/>
                <w:szCs w:val="24"/>
                <w:highlight w:val="none"/>
              </w:rPr>
            </w:pPr>
          </w:p>
        </w:tc>
        <w:tc>
          <w:tcPr>
            <w:tcW w:w="1031" w:type="dxa"/>
            <w:tcBorders>
              <w:right w:val="single" w:color="auto" w:sz="4" w:space="0"/>
            </w:tcBorders>
          </w:tcPr>
          <w:p w14:paraId="07D30AAB">
            <w:pPr>
              <w:spacing w:before="166" w:beforeLines="50" w:line="360" w:lineRule="auto"/>
              <w:jc w:val="center"/>
              <w:rPr>
                <w:rFonts w:hAnsi="宋体"/>
                <w:szCs w:val="24"/>
                <w:highlight w:val="none"/>
              </w:rPr>
            </w:pPr>
          </w:p>
        </w:tc>
        <w:tc>
          <w:tcPr>
            <w:tcW w:w="1035" w:type="dxa"/>
            <w:tcBorders>
              <w:left w:val="single" w:color="auto" w:sz="4" w:space="0"/>
            </w:tcBorders>
          </w:tcPr>
          <w:p w14:paraId="6BCE5540">
            <w:pPr>
              <w:spacing w:before="166" w:beforeLines="50" w:line="360" w:lineRule="auto"/>
              <w:jc w:val="center"/>
              <w:rPr>
                <w:rFonts w:hAnsi="宋体"/>
                <w:szCs w:val="24"/>
                <w:highlight w:val="none"/>
              </w:rPr>
            </w:pPr>
          </w:p>
        </w:tc>
        <w:tc>
          <w:tcPr>
            <w:tcW w:w="1093" w:type="dxa"/>
            <w:tcBorders>
              <w:right w:val="single" w:color="auto" w:sz="4" w:space="0"/>
            </w:tcBorders>
          </w:tcPr>
          <w:p w14:paraId="60426526">
            <w:pPr>
              <w:spacing w:before="166" w:beforeLines="50" w:line="360" w:lineRule="auto"/>
              <w:jc w:val="center"/>
              <w:rPr>
                <w:rFonts w:hAnsi="宋体"/>
                <w:szCs w:val="24"/>
                <w:highlight w:val="none"/>
              </w:rPr>
            </w:pPr>
          </w:p>
        </w:tc>
        <w:tc>
          <w:tcPr>
            <w:tcW w:w="1222" w:type="dxa"/>
            <w:tcBorders>
              <w:right w:val="single" w:color="auto" w:sz="4" w:space="0"/>
            </w:tcBorders>
          </w:tcPr>
          <w:p w14:paraId="1A717A67">
            <w:pPr>
              <w:spacing w:before="166" w:beforeLines="50" w:line="360" w:lineRule="auto"/>
              <w:jc w:val="center"/>
              <w:rPr>
                <w:rFonts w:hAnsi="宋体"/>
                <w:szCs w:val="24"/>
                <w:highlight w:val="none"/>
              </w:rPr>
            </w:pPr>
          </w:p>
        </w:tc>
      </w:tr>
      <w:tr w14:paraId="1CFB9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03C92647">
            <w:pPr>
              <w:spacing w:before="166" w:beforeLines="50" w:line="360" w:lineRule="auto"/>
              <w:jc w:val="center"/>
              <w:rPr>
                <w:rFonts w:hAnsi="宋体"/>
                <w:szCs w:val="24"/>
                <w:highlight w:val="none"/>
              </w:rPr>
            </w:pPr>
          </w:p>
        </w:tc>
        <w:tc>
          <w:tcPr>
            <w:tcW w:w="1609" w:type="dxa"/>
          </w:tcPr>
          <w:p w14:paraId="054A62F1">
            <w:pPr>
              <w:spacing w:before="166" w:beforeLines="50" w:line="360" w:lineRule="auto"/>
              <w:jc w:val="center"/>
              <w:rPr>
                <w:rFonts w:hAnsi="宋体"/>
                <w:szCs w:val="24"/>
                <w:highlight w:val="none"/>
              </w:rPr>
            </w:pPr>
          </w:p>
        </w:tc>
        <w:tc>
          <w:tcPr>
            <w:tcW w:w="1513" w:type="dxa"/>
            <w:tcBorders>
              <w:right w:val="single" w:color="auto" w:sz="4" w:space="0"/>
            </w:tcBorders>
          </w:tcPr>
          <w:p w14:paraId="1A8527DF">
            <w:pPr>
              <w:spacing w:before="166" w:beforeLines="50" w:line="360" w:lineRule="auto"/>
              <w:jc w:val="center"/>
              <w:rPr>
                <w:rFonts w:hAnsi="宋体"/>
                <w:szCs w:val="24"/>
                <w:highlight w:val="none"/>
              </w:rPr>
            </w:pPr>
          </w:p>
        </w:tc>
        <w:tc>
          <w:tcPr>
            <w:tcW w:w="1378" w:type="dxa"/>
            <w:tcBorders>
              <w:left w:val="single" w:color="auto" w:sz="4" w:space="0"/>
            </w:tcBorders>
          </w:tcPr>
          <w:p w14:paraId="4406FF14">
            <w:pPr>
              <w:spacing w:before="166" w:beforeLines="50" w:line="360" w:lineRule="auto"/>
              <w:jc w:val="center"/>
              <w:rPr>
                <w:rFonts w:hAnsi="宋体"/>
                <w:szCs w:val="24"/>
                <w:highlight w:val="none"/>
              </w:rPr>
            </w:pPr>
          </w:p>
        </w:tc>
        <w:tc>
          <w:tcPr>
            <w:tcW w:w="1031" w:type="dxa"/>
            <w:tcBorders>
              <w:right w:val="single" w:color="auto" w:sz="4" w:space="0"/>
            </w:tcBorders>
          </w:tcPr>
          <w:p w14:paraId="57423689">
            <w:pPr>
              <w:spacing w:before="166" w:beforeLines="50" w:line="360" w:lineRule="auto"/>
              <w:jc w:val="center"/>
              <w:rPr>
                <w:rFonts w:hAnsi="宋体"/>
                <w:szCs w:val="24"/>
                <w:highlight w:val="none"/>
              </w:rPr>
            </w:pPr>
          </w:p>
        </w:tc>
        <w:tc>
          <w:tcPr>
            <w:tcW w:w="1035" w:type="dxa"/>
            <w:tcBorders>
              <w:left w:val="single" w:color="auto" w:sz="4" w:space="0"/>
            </w:tcBorders>
          </w:tcPr>
          <w:p w14:paraId="26906589">
            <w:pPr>
              <w:spacing w:before="166" w:beforeLines="50" w:line="360" w:lineRule="auto"/>
              <w:jc w:val="center"/>
              <w:rPr>
                <w:rFonts w:hAnsi="宋体"/>
                <w:szCs w:val="24"/>
                <w:highlight w:val="none"/>
              </w:rPr>
            </w:pPr>
          </w:p>
        </w:tc>
        <w:tc>
          <w:tcPr>
            <w:tcW w:w="1093" w:type="dxa"/>
            <w:tcBorders>
              <w:right w:val="single" w:color="auto" w:sz="4" w:space="0"/>
            </w:tcBorders>
          </w:tcPr>
          <w:p w14:paraId="2A99DC0D">
            <w:pPr>
              <w:spacing w:before="166" w:beforeLines="50" w:line="360" w:lineRule="auto"/>
              <w:jc w:val="center"/>
              <w:rPr>
                <w:rFonts w:hAnsi="宋体"/>
                <w:szCs w:val="24"/>
                <w:highlight w:val="none"/>
              </w:rPr>
            </w:pPr>
          </w:p>
        </w:tc>
        <w:tc>
          <w:tcPr>
            <w:tcW w:w="1222" w:type="dxa"/>
            <w:tcBorders>
              <w:right w:val="single" w:color="auto" w:sz="4" w:space="0"/>
            </w:tcBorders>
          </w:tcPr>
          <w:p w14:paraId="2C47114F">
            <w:pPr>
              <w:spacing w:before="166" w:beforeLines="50" w:line="360" w:lineRule="auto"/>
              <w:jc w:val="center"/>
              <w:rPr>
                <w:rFonts w:hAnsi="宋体"/>
                <w:szCs w:val="24"/>
                <w:highlight w:val="none"/>
              </w:rPr>
            </w:pPr>
          </w:p>
        </w:tc>
      </w:tr>
      <w:tr w14:paraId="624A1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708432FD">
            <w:pPr>
              <w:spacing w:before="166" w:beforeLines="50" w:line="360" w:lineRule="auto"/>
              <w:jc w:val="center"/>
              <w:rPr>
                <w:rFonts w:hAnsi="宋体"/>
                <w:szCs w:val="24"/>
                <w:highlight w:val="none"/>
              </w:rPr>
            </w:pPr>
          </w:p>
        </w:tc>
        <w:tc>
          <w:tcPr>
            <w:tcW w:w="1609" w:type="dxa"/>
          </w:tcPr>
          <w:p w14:paraId="199AF08C">
            <w:pPr>
              <w:spacing w:before="166" w:beforeLines="50" w:line="360" w:lineRule="auto"/>
              <w:jc w:val="center"/>
              <w:rPr>
                <w:rFonts w:hAnsi="宋体"/>
                <w:szCs w:val="24"/>
                <w:highlight w:val="none"/>
              </w:rPr>
            </w:pPr>
          </w:p>
        </w:tc>
        <w:tc>
          <w:tcPr>
            <w:tcW w:w="1513" w:type="dxa"/>
            <w:tcBorders>
              <w:right w:val="single" w:color="auto" w:sz="4" w:space="0"/>
            </w:tcBorders>
          </w:tcPr>
          <w:p w14:paraId="7DE8F7F1">
            <w:pPr>
              <w:spacing w:before="166" w:beforeLines="50" w:line="360" w:lineRule="auto"/>
              <w:jc w:val="center"/>
              <w:rPr>
                <w:rFonts w:hAnsi="宋体"/>
                <w:szCs w:val="24"/>
                <w:highlight w:val="none"/>
              </w:rPr>
            </w:pPr>
          </w:p>
        </w:tc>
        <w:tc>
          <w:tcPr>
            <w:tcW w:w="1378" w:type="dxa"/>
            <w:tcBorders>
              <w:left w:val="single" w:color="auto" w:sz="4" w:space="0"/>
            </w:tcBorders>
          </w:tcPr>
          <w:p w14:paraId="42F52887">
            <w:pPr>
              <w:spacing w:before="166" w:beforeLines="50" w:line="360" w:lineRule="auto"/>
              <w:jc w:val="center"/>
              <w:rPr>
                <w:rFonts w:hAnsi="宋体"/>
                <w:szCs w:val="24"/>
                <w:highlight w:val="none"/>
              </w:rPr>
            </w:pPr>
          </w:p>
        </w:tc>
        <w:tc>
          <w:tcPr>
            <w:tcW w:w="1031" w:type="dxa"/>
            <w:tcBorders>
              <w:right w:val="single" w:color="auto" w:sz="4" w:space="0"/>
            </w:tcBorders>
          </w:tcPr>
          <w:p w14:paraId="61051976">
            <w:pPr>
              <w:spacing w:before="166" w:beforeLines="50" w:line="360" w:lineRule="auto"/>
              <w:jc w:val="center"/>
              <w:rPr>
                <w:rFonts w:hAnsi="宋体"/>
                <w:szCs w:val="24"/>
                <w:highlight w:val="none"/>
              </w:rPr>
            </w:pPr>
          </w:p>
        </w:tc>
        <w:tc>
          <w:tcPr>
            <w:tcW w:w="1035" w:type="dxa"/>
            <w:tcBorders>
              <w:left w:val="single" w:color="auto" w:sz="4" w:space="0"/>
            </w:tcBorders>
          </w:tcPr>
          <w:p w14:paraId="1EFB81E6">
            <w:pPr>
              <w:spacing w:before="166" w:beforeLines="50" w:line="360" w:lineRule="auto"/>
              <w:jc w:val="center"/>
              <w:rPr>
                <w:rFonts w:hAnsi="宋体"/>
                <w:szCs w:val="24"/>
                <w:highlight w:val="none"/>
              </w:rPr>
            </w:pPr>
          </w:p>
        </w:tc>
        <w:tc>
          <w:tcPr>
            <w:tcW w:w="1093" w:type="dxa"/>
            <w:tcBorders>
              <w:right w:val="single" w:color="auto" w:sz="4" w:space="0"/>
            </w:tcBorders>
          </w:tcPr>
          <w:p w14:paraId="1E20A713">
            <w:pPr>
              <w:spacing w:before="166" w:beforeLines="50" w:line="360" w:lineRule="auto"/>
              <w:jc w:val="center"/>
              <w:rPr>
                <w:rFonts w:hAnsi="宋体"/>
                <w:szCs w:val="24"/>
                <w:highlight w:val="none"/>
              </w:rPr>
            </w:pPr>
          </w:p>
        </w:tc>
        <w:tc>
          <w:tcPr>
            <w:tcW w:w="1222" w:type="dxa"/>
            <w:tcBorders>
              <w:right w:val="single" w:color="auto" w:sz="4" w:space="0"/>
            </w:tcBorders>
          </w:tcPr>
          <w:p w14:paraId="59AFC516">
            <w:pPr>
              <w:spacing w:before="166" w:beforeLines="50" w:line="360" w:lineRule="auto"/>
              <w:jc w:val="center"/>
              <w:rPr>
                <w:rFonts w:hAnsi="宋体"/>
                <w:szCs w:val="24"/>
                <w:highlight w:val="none"/>
              </w:rPr>
            </w:pPr>
          </w:p>
        </w:tc>
      </w:tr>
      <w:tr w14:paraId="102C2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45ABF2AB">
            <w:pPr>
              <w:spacing w:before="166" w:beforeLines="50" w:line="360" w:lineRule="auto"/>
              <w:jc w:val="center"/>
              <w:rPr>
                <w:rFonts w:hAnsi="宋体"/>
                <w:szCs w:val="24"/>
                <w:highlight w:val="none"/>
              </w:rPr>
            </w:pPr>
          </w:p>
        </w:tc>
        <w:tc>
          <w:tcPr>
            <w:tcW w:w="1609" w:type="dxa"/>
          </w:tcPr>
          <w:p w14:paraId="3607039D">
            <w:pPr>
              <w:spacing w:before="166" w:beforeLines="50" w:line="360" w:lineRule="auto"/>
              <w:jc w:val="center"/>
              <w:rPr>
                <w:rFonts w:hAnsi="宋体"/>
                <w:szCs w:val="24"/>
                <w:highlight w:val="none"/>
              </w:rPr>
            </w:pPr>
          </w:p>
        </w:tc>
        <w:tc>
          <w:tcPr>
            <w:tcW w:w="1513" w:type="dxa"/>
            <w:tcBorders>
              <w:right w:val="single" w:color="auto" w:sz="4" w:space="0"/>
            </w:tcBorders>
          </w:tcPr>
          <w:p w14:paraId="65A04ADD">
            <w:pPr>
              <w:spacing w:before="166" w:beforeLines="50" w:line="360" w:lineRule="auto"/>
              <w:jc w:val="center"/>
              <w:rPr>
                <w:rFonts w:hAnsi="宋体"/>
                <w:szCs w:val="24"/>
                <w:highlight w:val="none"/>
              </w:rPr>
            </w:pPr>
          </w:p>
        </w:tc>
        <w:tc>
          <w:tcPr>
            <w:tcW w:w="1378" w:type="dxa"/>
            <w:tcBorders>
              <w:left w:val="single" w:color="auto" w:sz="4" w:space="0"/>
            </w:tcBorders>
          </w:tcPr>
          <w:p w14:paraId="3B9D605B">
            <w:pPr>
              <w:spacing w:before="166" w:beforeLines="50" w:line="360" w:lineRule="auto"/>
              <w:jc w:val="center"/>
              <w:rPr>
                <w:rFonts w:hAnsi="宋体"/>
                <w:szCs w:val="24"/>
                <w:highlight w:val="none"/>
              </w:rPr>
            </w:pPr>
          </w:p>
        </w:tc>
        <w:tc>
          <w:tcPr>
            <w:tcW w:w="1031" w:type="dxa"/>
            <w:tcBorders>
              <w:right w:val="single" w:color="auto" w:sz="4" w:space="0"/>
            </w:tcBorders>
          </w:tcPr>
          <w:p w14:paraId="406CF39F">
            <w:pPr>
              <w:spacing w:before="166" w:beforeLines="50" w:line="360" w:lineRule="auto"/>
              <w:jc w:val="center"/>
              <w:rPr>
                <w:rFonts w:hAnsi="宋体"/>
                <w:szCs w:val="24"/>
                <w:highlight w:val="none"/>
              </w:rPr>
            </w:pPr>
          </w:p>
        </w:tc>
        <w:tc>
          <w:tcPr>
            <w:tcW w:w="1035" w:type="dxa"/>
            <w:tcBorders>
              <w:left w:val="single" w:color="auto" w:sz="4" w:space="0"/>
            </w:tcBorders>
          </w:tcPr>
          <w:p w14:paraId="5376175B">
            <w:pPr>
              <w:spacing w:before="166" w:beforeLines="50" w:line="360" w:lineRule="auto"/>
              <w:jc w:val="center"/>
              <w:rPr>
                <w:rFonts w:hAnsi="宋体"/>
                <w:szCs w:val="24"/>
                <w:highlight w:val="none"/>
              </w:rPr>
            </w:pPr>
          </w:p>
        </w:tc>
        <w:tc>
          <w:tcPr>
            <w:tcW w:w="1093" w:type="dxa"/>
            <w:tcBorders>
              <w:right w:val="single" w:color="auto" w:sz="4" w:space="0"/>
            </w:tcBorders>
          </w:tcPr>
          <w:p w14:paraId="7634E361">
            <w:pPr>
              <w:spacing w:before="166" w:beforeLines="50" w:line="360" w:lineRule="auto"/>
              <w:jc w:val="center"/>
              <w:rPr>
                <w:rFonts w:hAnsi="宋体"/>
                <w:szCs w:val="24"/>
                <w:highlight w:val="none"/>
              </w:rPr>
            </w:pPr>
          </w:p>
        </w:tc>
        <w:tc>
          <w:tcPr>
            <w:tcW w:w="1222" w:type="dxa"/>
            <w:tcBorders>
              <w:right w:val="single" w:color="auto" w:sz="4" w:space="0"/>
            </w:tcBorders>
          </w:tcPr>
          <w:p w14:paraId="16D883E8">
            <w:pPr>
              <w:spacing w:before="166" w:beforeLines="50" w:line="360" w:lineRule="auto"/>
              <w:jc w:val="center"/>
              <w:rPr>
                <w:rFonts w:hAnsi="宋体"/>
                <w:szCs w:val="24"/>
                <w:highlight w:val="none"/>
              </w:rPr>
            </w:pPr>
          </w:p>
        </w:tc>
      </w:tr>
      <w:tr w14:paraId="0B383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02A55818">
            <w:pPr>
              <w:spacing w:before="166" w:beforeLines="50" w:line="360" w:lineRule="auto"/>
              <w:jc w:val="center"/>
              <w:rPr>
                <w:rFonts w:hAnsi="宋体"/>
                <w:szCs w:val="24"/>
                <w:highlight w:val="none"/>
              </w:rPr>
            </w:pPr>
          </w:p>
        </w:tc>
        <w:tc>
          <w:tcPr>
            <w:tcW w:w="1609" w:type="dxa"/>
          </w:tcPr>
          <w:p w14:paraId="5D54D689">
            <w:pPr>
              <w:spacing w:before="166" w:beforeLines="50" w:line="360" w:lineRule="auto"/>
              <w:jc w:val="center"/>
              <w:rPr>
                <w:rFonts w:hAnsi="宋体"/>
                <w:szCs w:val="24"/>
                <w:highlight w:val="none"/>
              </w:rPr>
            </w:pPr>
          </w:p>
        </w:tc>
        <w:tc>
          <w:tcPr>
            <w:tcW w:w="1513" w:type="dxa"/>
            <w:tcBorders>
              <w:right w:val="single" w:color="auto" w:sz="4" w:space="0"/>
            </w:tcBorders>
          </w:tcPr>
          <w:p w14:paraId="24A3E7F4">
            <w:pPr>
              <w:spacing w:before="166" w:beforeLines="50" w:line="360" w:lineRule="auto"/>
              <w:jc w:val="center"/>
              <w:rPr>
                <w:rFonts w:hAnsi="宋体"/>
                <w:szCs w:val="24"/>
                <w:highlight w:val="none"/>
              </w:rPr>
            </w:pPr>
          </w:p>
        </w:tc>
        <w:tc>
          <w:tcPr>
            <w:tcW w:w="1378" w:type="dxa"/>
            <w:tcBorders>
              <w:left w:val="single" w:color="auto" w:sz="4" w:space="0"/>
            </w:tcBorders>
          </w:tcPr>
          <w:p w14:paraId="7A4A18F8">
            <w:pPr>
              <w:spacing w:before="166" w:beforeLines="50" w:line="360" w:lineRule="auto"/>
              <w:jc w:val="center"/>
              <w:rPr>
                <w:rFonts w:hAnsi="宋体"/>
                <w:szCs w:val="24"/>
                <w:highlight w:val="none"/>
              </w:rPr>
            </w:pPr>
          </w:p>
        </w:tc>
        <w:tc>
          <w:tcPr>
            <w:tcW w:w="1031" w:type="dxa"/>
            <w:tcBorders>
              <w:right w:val="single" w:color="auto" w:sz="4" w:space="0"/>
            </w:tcBorders>
          </w:tcPr>
          <w:p w14:paraId="638DF8AC">
            <w:pPr>
              <w:spacing w:before="166" w:beforeLines="50" w:line="360" w:lineRule="auto"/>
              <w:jc w:val="center"/>
              <w:rPr>
                <w:rFonts w:hAnsi="宋体"/>
                <w:szCs w:val="24"/>
                <w:highlight w:val="none"/>
              </w:rPr>
            </w:pPr>
          </w:p>
        </w:tc>
        <w:tc>
          <w:tcPr>
            <w:tcW w:w="1035" w:type="dxa"/>
            <w:tcBorders>
              <w:left w:val="single" w:color="auto" w:sz="4" w:space="0"/>
            </w:tcBorders>
          </w:tcPr>
          <w:p w14:paraId="4355388A">
            <w:pPr>
              <w:spacing w:before="166" w:beforeLines="50" w:line="360" w:lineRule="auto"/>
              <w:jc w:val="center"/>
              <w:rPr>
                <w:rFonts w:hAnsi="宋体"/>
                <w:szCs w:val="24"/>
                <w:highlight w:val="none"/>
              </w:rPr>
            </w:pPr>
          </w:p>
        </w:tc>
        <w:tc>
          <w:tcPr>
            <w:tcW w:w="1093" w:type="dxa"/>
            <w:tcBorders>
              <w:right w:val="single" w:color="auto" w:sz="4" w:space="0"/>
            </w:tcBorders>
          </w:tcPr>
          <w:p w14:paraId="56ABCB31">
            <w:pPr>
              <w:spacing w:before="166" w:beforeLines="50" w:line="360" w:lineRule="auto"/>
              <w:jc w:val="center"/>
              <w:rPr>
                <w:rFonts w:hAnsi="宋体"/>
                <w:szCs w:val="24"/>
                <w:highlight w:val="none"/>
              </w:rPr>
            </w:pPr>
          </w:p>
        </w:tc>
        <w:tc>
          <w:tcPr>
            <w:tcW w:w="1222" w:type="dxa"/>
            <w:tcBorders>
              <w:right w:val="single" w:color="auto" w:sz="4" w:space="0"/>
            </w:tcBorders>
          </w:tcPr>
          <w:p w14:paraId="685891D3">
            <w:pPr>
              <w:spacing w:before="166" w:beforeLines="50" w:line="360" w:lineRule="auto"/>
              <w:jc w:val="center"/>
              <w:rPr>
                <w:rFonts w:hAnsi="宋体"/>
                <w:szCs w:val="24"/>
                <w:highlight w:val="none"/>
              </w:rPr>
            </w:pPr>
          </w:p>
        </w:tc>
      </w:tr>
      <w:tr w14:paraId="6F51D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66028186">
            <w:pPr>
              <w:spacing w:before="166" w:beforeLines="50" w:line="360" w:lineRule="auto"/>
              <w:jc w:val="center"/>
              <w:rPr>
                <w:rFonts w:hAnsi="宋体"/>
                <w:szCs w:val="24"/>
                <w:highlight w:val="none"/>
              </w:rPr>
            </w:pPr>
          </w:p>
        </w:tc>
        <w:tc>
          <w:tcPr>
            <w:tcW w:w="1609" w:type="dxa"/>
          </w:tcPr>
          <w:p w14:paraId="195D8259">
            <w:pPr>
              <w:spacing w:before="166" w:beforeLines="50" w:line="360" w:lineRule="auto"/>
              <w:jc w:val="center"/>
              <w:rPr>
                <w:rFonts w:hAnsi="宋体"/>
                <w:szCs w:val="24"/>
                <w:highlight w:val="none"/>
              </w:rPr>
            </w:pPr>
          </w:p>
        </w:tc>
        <w:tc>
          <w:tcPr>
            <w:tcW w:w="1513" w:type="dxa"/>
            <w:tcBorders>
              <w:right w:val="single" w:color="auto" w:sz="4" w:space="0"/>
            </w:tcBorders>
          </w:tcPr>
          <w:p w14:paraId="55BC20CC">
            <w:pPr>
              <w:spacing w:before="166" w:beforeLines="50" w:line="360" w:lineRule="auto"/>
              <w:jc w:val="center"/>
              <w:rPr>
                <w:rFonts w:hAnsi="宋体"/>
                <w:szCs w:val="24"/>
                <w:highlight w:val="none"/>
              </w:rPr>
            </w:pPr>
          </w:p>
        </w:tc>
        <w:tc>
          <w:tcPr>
            <w:tcW w:w="1378" w:type="dxa"/>
            <w:tcBorders>
              <w:left w:val="single" w:color="auto" w:sz="4" w:space="0"/>
            </w:tcBorders>
          </w:tcPr>
          <w:p w14:paraId="60194271">
            <w:pPr>
              <w:spacing w:before="166" w:beforeLines="50" w:line="360" w:lineRule="auto"/>
              <w:jc w:val="center"/>
              <w:rPr>
                <w:rFonts w:hAnsi="宋体"/>
                <w:szCs w:val="24"/>
                <w:highlight w:val="none"/>
              </w:rPr>
            </w:pPr>
          </w:p>
        </w:tc>
        <w:tc>
          <w:tcPr>
            <w:tcW w:w="1031" w:type="dxa"/>
            <w:tcBorders>
              <w:right w:val="single" w:color="auto" w:sz="4" w:space="0"/>
            </w:tcBorders>
          </w:tcPr>
          <w:p w14:paraId="42399313">
            <w:pPr>
              <w:spacing w:before="166" w:beforeLines="50" w:line="360" w:lineRule="auto"/>
              <w:jc w:val="center"/>
              <w:rPr>
                <w:rFonts w:hAnsi="宋体"/>
                <w:szCs w:val="24"/>
                <w:highlight w:val="none"/>
              </w:rPr>
            </w:pPr>
          </w:p>
        </w:tc>
        <w:tc>
          <w:tcPr>
            <w:tcW w:w="1035" w:type="dxa"/>
            <w:tcBorders>
              <w:left w:val="single" w:color="auto" w:sz="4" w:space="0"/>
            </w:tcBorders>
          </w:tcPr>
          <w:p w14:paraId="15EE369A">
            <w:pPr>
              <w:spacing w:before="166" w:beforeLines="50" w:line="360" w:lineRule="auto"/>
              <w:jc w:val="center"/>
              <w:rPr>
                <w:rFonts w:hAnsi="宋体"/>
                <w:szCs w:val="24"/>
                <w:highlight w:val="none"/>
              </w:rPr>
            </w:pPr>
          </w:p>
        </w:tc>
        <w:tc>
          <w:tcPr>
            <w:tcW w:w="1093" w:type="dxa"/>
            <w:tcBorders>
              <w:right w:val="single" w:color="auto" w:sz="4" w:space="0"/>
            </w:tcBorders>
          </w:tcPr>
          <w:p w14:paraId="0F651557">
            <w:pPr>
              <w:spacing w:before="166" w:beforeLines="50" w:line="360" w:lineRule="auto"/>
              <w:jc w:val="center"/>
              <w:rPr>
                <w:rFonts w:hAnsi="宋体"/>
                <w:szCs w:val="24"/>
                <w:highlight w:val="none"/>
              </w:rPr>
            </w:pPr>
          </w:p>
        </w:tc>
        <w:tc>
          <w:tcPr>
            <w:tcW w:w="1222" w:type="dxa"/>
            <w:tcBorders>
              <w:right w:val="single" w:color="auto" w:sz="4" w:space="0"/>
            </w:tcBorders>
          </w:tcPr>
          <w:p w14:paraId="16B80032">
            <w:pPr>
              <w:spacing w:before="166" w:beforeLines="50" w:line="360" w:lineRule="auto"/>
              <w:jc w:val="center"/>
              <w:rPr>
                <w:rFonts w:hAnsi="宋体"/>
                <w:szCs w:val="24"/>
                <w:highlight w:val="none"/>
              </w:rPr>
            </w:pPr>
          </w:p>
        </w:tc>
      </w:tr>
      <w:tr w14:paraId="3CA4F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2" w:type="dxa"/>
          </w:tcPr>
          <w:p w14:paraId="49473AAE">
            <w:pPr>
              <w:spacing w:before="166" w:beforeLines="50" w:line="360" w:lineRule="auto"/>
              <w:jc w:val="center"/>
              <w:rPr>
                <w:rFonts w:hAnsi="宋体"/>
                <w:szCs w:val="24"/>
                <w:highlight w:val="none"/>
              </w:rPr>
            </w:pPr>
          </w:p>
        </w:tc>
        <w:tc>
          <w:tcPr>
            <w:tcW w:w="1609" w:type="dxa"/>
          </w:tcPr>
          <w:p w14:paraId="2CF5C0F3">
            <w:pPr>
              <w:spacing w:before="166" w:beforeLines="50" w:line="360" w:lineRule="auto"/>
              <w:jc w:val="center"/>
              <w:rPr>
                <w:rFonts w:hAnsi="宋体"/>
                <w:szCs w:val="24"/>
                <w:highlight w:val="none"/>
              </w:rPr>
            </w:pPr>
          </w:p>
        </w:tc>
        <w:tc>
          <w:tcPr>
            <w:tcW w:w="1513" w:type="dxa"/>
            <w:tcBorders>
              <w:right w:val="single" w:color="auto" w:sz="4" w:space="0"/>
            </w:tcBorders>
          </w:tcPr>
          <w:p w14:paraId="3FFCDC8F">
            <w:pPr>
              <w:spacing w:before="166" w:beforeLines="50" w:line="360" w:lineRule="auto"/>
              <w:jc w:val="center"/>
              <w:rPr>
                <w:rFonts w:hAnsi="宋体"/>
                <w:szCs w:val="24"/>
                <w:highlight w:val="none"/>
              </w:rPr>
            </w:pPr>
          </w:p>
        </w:tc>
        <w:tc>
          <w:tcPr>
            <w:tcW w:w="1378" w:type="dxa"/>
            <w:tcBorders>
              <w:left w:val="single" w:color="auto" w:sz="4" w:space="0"/>
            </w:tcBorders>
          </w:tcPr>
          <w:p w14:paraId="1732BAA2">
            <w:pPr>
              <w:spacing w:before="166" w:beforeLines="50" w:line="360" w:lineRule="auto"/>
              <w:jc w:val="center"/>
              <w:rPr>
                <w:rFonts w:hAnsi="宋体"/>
                <w:szCs w:val="24"/>
                <w:highlight w:val="none"/>
              </w:rPr>
            </w:pPr>
          </w:p>
        </w:tc>
        <w:tc>
          <w:tcPr>
            <w:tcW w:w="1031" w:type="dxa"/>
            <w:tcBorders>
              <w:right w:val="single" w:color="auto" w:sz="4" w:space="0"/>
            </w:tcBorders>
          </w:tcPr>
          <w:p w14:paraId="63FADDDD">
            <w:pPr>
              <w:spacing w:before="166" w:beforeLines="50" w:line="360" w:lineRule="auto"/>
              <w:jc w:val="center"/>
              <w:rPr>
                <w:rFonts w:hAnsi="宋体"/>
                <w:szCs w:val="24"/>
                <w:highlight w:val="none"/>
              </w:rPr>
            </w:pPr>
          </w:p>
        </w:tc>
        <w:tc>
          <w:tcPr>
            <w:tcW w:w="1035" w:type="dxa"/>
            <w:tcBorders>
              <w:left w:val="single" w:color="auto" w:sz="4" w:space="0"/>
            </w:tcBorders>
          </w:tcPr>
          <w:p w14:paraId="2E9DAB0A">
            <w:pPr>
              <w:spacing w:before="166" w:beforeLines="50" w:line="360" w:lineRule="auto"/>
              <w:jc w:val="center"/>
              <w:rPr>
                <w:rFonts w:hAnsi="宋体"/>
                <w:szCs w:val="24"/>
                <w:highlight w:val="none"/>
              </w:rPr>
            </w:pPr>
          </w:p>
        </w:tc>
        <w:tc>
          <w:tcPr>
            <w:tcW w:w="1093" w:type="dxa"/>
            <w:tcBorders>
              <w:right w:val="single" w:color="auto" w:sz="4" w:space="0"/>
            </w:tcBorders>
          </w:tcPr>
          <w:p w14:paraId="261E9E3C">
            <w:pPr>
              <w:spacing w:before="166" w:beforeLines="50" w:line="360" w:lineRule="auto"/>
              <w:jc w:val="center"/>
              <w:rPr>
                <w:rFonts w:hAnsi="宋体"/>
                <w:szCs w:val="24"/>
                <w:highlight w:val="none"/>
              </w:rPr>
            </w:pPr>
          </w:p>
        </w:tc>
        <w:tc>
          <w:tcPr>
            <w:tcW w:w="1222" w:type="dxa"/>
            <w:tcBorders>
              <w:right w:val="single" w:color="auto" w:sz="4" w:space="0"/>
            </w:tcBorders>
          </w:tcPr>
          <w:p w14:paraId="7D12393C">
            <w:pPr>
              <w:spacing w:before="166" w:beforeLines="50" w:line="360" w:lineRule="auto"/>
              <w:jc w:val="center"/>
              <w:rPr>
                <w:rFonts w:hAnsi="宋体"/>
                <w:szCs w:val="24"/>
                <w:highlight w:val="none"/>
              </w:rPr>
            </w:pPr>
          </w:p>
        </w:tc>
      </w:tr>
    </w:tbl>
    <w:p w14:paraId="07AA935D">
      <w:pPr>
        <w:rPr>
          <w:rFonts w:hAnsi="宋体"/>
          <w:highlight w:val="none"/>
        </w:rPr>
      </w:pPr>
    </w:p>
    <w:p w14:paraId="7DAA8A87">
      <w:pPr>
        <w:ind w:firstLine="120" w:firstLineChars="50"/>
        <w:rPr>
          <w:rFonts w:hAnsi="宋体"/>
          <w:szCs w:val="24"/>
          <w:highlight w:val="none"/>
        </w:rPr>
      </w:pPr>
      <w:r>
        <w:rPr>
          <w:rFonts w:hint="eastAsia"/>
          <w:highlight w:val="none"/>
        </w:rPr>
        <w:t>法定代表人或被授权人（签字或盖章）</w:t>
      </w:r>
      <w:r>
        <w:rPr>
          <w:rFonts w:hint="eastAsia" w:hAnsi="宋体"/>
          <w:szCs w:val="24"/>
          <w:highlight w:val="none"/>
        </w:rPr>
        <w:t>：</w:t>
      </w:r>
    </w:p>
    <w:p w14:paraId="31CAE5F0">
      <w:pPr>
        <w:tabs>
          <w:tab w:val="left" w:pos="3045"/>
        </w:tabs>
        <w:rPr>
          <w:rFonts w:hAnsi="宋体"/>
          <w:szCs w:val="24"/>
          <w:highlight w:val="none"/>
        </w:rPr>
      </w:pPr>
    </w:p>
    <w:p w14:paraId="6C0781D0">
      <w:pPr>
        <w:rPr>
          <w:rFonts w:hAnsi="宋体"/>
          <w:szCs w:val="24"/>
          <w:highlight w:val="none"/>
        </w:rPr>
      </w:pPr>
    </w:p>
    <w:p w14:paraId="2F93063A">
      <w:pPr>
        <w:ind w:firstLine="120" w:firstLineChars="50"/>
        <w:rPr>
          <w:rFonts w:hAnsi="宋体"/>
          <w:szCs w:val="24"/>
          <w:highlight w:val="none"/>
        </w:rPr>
      </w:pPr>
      <w:r>
        <w:rPr>
          <w:rFonts w:hint="eastAsia" w:hAnsi="宋体"/>
          <w:szCs w:val="24"/>
          <w:highlight w:val="none"/>
        </w:rPr>
        <w:t>公      章：</w:t>
      </w:r>
    </w:p>
    <w:p w14:paraId="456D58EA">
      <w:pPr>
        <w:pStyle w:val="40"/>
        <w:tabs>
          <w:tab w:val="left" w:pos="2040"/>
        </w:tabs>
        <w:spacing w:beforeLines="0" w:line="400" w:lineRule="exact"/>
        <w:ind w:left="0" w:firstLine="964" w:firstLineChars="400"/>
        <w:rPr>
          <w:rFonts w:hAnsi="宋体" w:eastAsia="宋体" w:cs="宋体"/>
          <w:color w:val="auto"/>
          <w:szCs w:val="21"/>
          <w:highlight w:val="none"/>
        </w:rPr>
      </w:pPr>
      <w:r>
        <w:rPr>
          <w:rFonts w:hint="eastAsia" w:hAnsi="宋体" w:cs="宋体"/>
          <w:b/>
          <w:color w:val="auto"/>
          <w:highlight w:val="none"/>
        </w:rPr>
        <w:br w:type="page"/>
      </w:r>
    </w:p>
    <w:p w14:paraId="6FA15C5F">
      <w:pPr>
        <w:pStyle w:val="4"/>
        <w:spacing w:before="333" w:beforeLines="100"/>
        <w:ind w:firstLine="321" w:firstLineChars="100"/>
        <w:rPr>
          <w:rFonts w:ascii="宋体" w:hAnsi="宋体" w:cs="宋体"/>
          <w:sz w:val="32"/>
          <w:szCs w:val="32"/>
          <w:highlight w:val="none"/>
        </w:rPr>
      </w:pPr>
      <w:bookmarkStart w:id="225" w:name="_Toc21284"/>
      <w:bookmarkStart w:id="226" w:name="_Toc9218"/>
      <w:bookmarkStart w:id="227" w:name="_Toc23455"/>
      <w:bookmarkStart w:id="228" w:name="_Toc426457713"/>
      <w:bookmarkStart w:id="229" w:name="_Toc403077655"/>
      <w:bookmarkStart w:id="230" w:name="_Toc1379"/>
      <w:bookmarkStart w:id="231" w:name="_Toc363474032"/>
      <w:bookmarkStart w:id="232" w:name="_Toc2621"/>
      <w:bookmarkStart w:id="233" w:name="_Toc17364"/>
      <w:bookmarkStart w:id="234" w:name="_Toc15268"/>
      <w:bookmarkStart w:id="235" w:name="_Toc4633"/>
      <w:bookmarkStart w:id="236" w:name="_Toc13421"/>
      <w:bookmarkStart w:id="237" w:name="_Toc2700"/>
      <w:bookmarkStart w:id="238" w:name="_Toc19497"/>
      <w:r>
        <w:rPr>
          <w:rFonts w:hint="eastAsia" w:ascii="宋体" w:hAnsi="宋体" w:cs="宋体"/>
          <w:sz w:val="32"/>
          <w:szCs w:val="32"/>
          <w:highlight w:val="none"/>
        </w:rPr>
        <w:t>四、</w:t>
      </w:r>
      <w:bookmarkEnd w:id="225"/>
      <w:bookmarkEnd w:id="226"/>
      <w:bookmarkEnd w:id="227"/>
      <w:bookmarkEnd w:id="228"/>
      <w:bookmarkEnd w:id="229"/>
      <w:bookmarkEnd w:id="230"/>
      <w:bookmarkEnd w:id="231"/>
      <w:bookmarkEnd w:id="232"/>
      <w:r>
        <w:rPr>
          <w:rFonts w:hint="eastAsia" w:ascii="宋体" w:hAnsi="宋体" w:cs="宋体"/>
          <w:sz w:val="32"/>
          <w:szCs w:val="32"/>
          <w:highlight w:val="none"/>
        </w:rPr>
        <w:t>商务条款偏离表</w:t>
      </w:r>
      <w:bookmarkEnd w:id="233"/>
      <w:bookmarkEnd w:id="234"/>
      <w:bookmarkEnd w:id="235"/>
      <w:bookmarkEnd w:id="236"/>
      <w:bookmarkEnd w:id="237"/>
      <w:bookmarkEnd w:id="238"/>
    </w:p>
    <w:p w14:paraId="60CD738B">
      <w:pPr>
        <w:pStyle w:val="20"/>
        <w:widowControl w:val="0"/>
        <w:spacing w:before="166" w:beforeLines="50" w:beforeAutospacing="0" w:after="166" w:afterLines="50" w:afterAutospacing="0"/>
        <w:ind w:firstLine="480" w:firstLineChars="200"/>
        <w:rPr>
          <w:rFonts w:cs="宋体"/>
          <w:highlight w:val="none"/>
        </w:rPr>
      </w:pPr>
      <w:r>
        <w:rPr>
          <w:rFonts w:hint="eastAsia" w:cs="宋体"/>
          <w:highlight w:val="none"/>
        </w:rPr>
        <w:t>项目编号：</w:t>
      </w:r>
    </w:p>
    <w:p w14:paraId="2D6FCA40">
      <w:pPr>
        <w:pStyle w:val="20"/>
        <w:widowControl w:val="0"/>
        <w:spacing w:before="166" w:beforeLines="50" w:beforeAutospacing="0" w:after="166" w:afterLines="50" w:afterAutospacing="0"/>
        <w:ind w:firstLine="480" w:firstLineChars="200"/>
        <w:rPr>
          <w:rFonts w:cs="宋体"/>
          <w:highlight w:val="none"/>
        </w:rPr>
      </w:pPr>
      <w:r>
        <w:rPr>
          <w:rFonts w:hint="eastAsia" w:cs="宋体"/>
          <w:highlight w:val="none"/>
        </w:rPr>
        <w:t>项目名称：</w:t>
      </w:r>
    </w:p>
    <w:tbl>
      <w:tblPr>
        <w:tblStyle w:val="2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2F3B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D4CDB24">
            <w:pPr>
              <w:pStyle w:val="20"/>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48FAB4C8">
            <w:pPr>
              <w:pStyle w:val="20"/>
              <w:widowControl w:val="0"/>
              <w:spacing w:before="0" w:beforeAutospacing="0" w:after="0" w:afterAutospacing="0"/>
              <w:jc w:val="center"/>
              <w:rPr>
                <w:rFonts w:cs="宋体"/>
                <w:highlight w:val="none"/>
              </w:rPr>
            </w:pPr>
            <w:r>
              <w:rPr>
                <w:rFonts w:hint="eastAsia"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4975C8B8">
            <w:pPr>
              <w:pStyle w:val="20"/>
              <w:widowControl w:val="0"/>
              <w:spacing w:before="0" w:beforeAutospacing="0" w:after="0" w:afterAutospacing="0"/>
              <w:jc w:val="center"/>
              <w:rPr>
                <w:rFonts w:cs="宋体"/>
                <w:highlight w:val="none"/>
              </w:rPr>
            </w:pPr>
            <w:r>
              <w:rPr>
                <w:rFonts w:hint="eastAsia"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453EA0EC">
            <w:pPr>
              <w:pStyle w:val="20"/>
              <w:widowControl w:val="0"/>
              <w:spacing w:before="0" w:beforeAutospacing="0" w:after="0" w:afterAutospacing="0"/>
              <w:jc w:val="center"/>
              <w:rPr>
                <w:rFonts w:cs="宋体"/>
                <w:highlight w:val="none"/>
              </w:rPr>
            </w:pPr>
            <w:r>
              <w:rPr>
                <w:rFonts w:hint="eastAsia"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31549B17">
            <w:pPr>
              <w:pStyle w:val="20"/>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283DCFEB">
            <w:pPr>
              <w:pStyle w:val="20"/>
              <w:widowControl w:val="0"/>
              <w:spacing w:before="0" w:beforeAutospacing="0" w:after="0" w:afterAutospacing="0"/>
              <w:jc w:val="center"/>
              <w:rPr>
                <w:rFonts w:cs="宋体"/>
                <w:highlight w:val="none"/>
              </w:rPr>
            </w:pPr>
            <w:r>
              <w:rPr>
                <w:rFonts w:hint="eastAsia" w:cs="宋体"/>
                <w:highlight w:val="none"/>
              </w:rPr>
              <w:t>说明</w:t>
            </w:r>
          </w:p>
        </w:tc>
      </w:tr>
      <w:tr w14:paraId="6BFA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EDE9223">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5CD127D">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BAD317B">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45ADAB9">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351147">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E3602ED">
            <w:pPr>
              <w:pStyle w:val="20"/>
              <w:widowControl w:val="0"/>
              <w:spacing w:before="0" w:beforeAutospacing="0" w:after="0" w:afterAutospacing="0"/>
              <w:ind w:firstLine="480" w:firstLineChars="200"/>
              <w:jc w:val="center"/>
              <w:rPr>
                <w:rFonts w:cs="宋体"/>
                <w:highlight w:val="none"/>
              </w:rPr>
            </w:pPr>
          </w:p>
        </w:tc>
      </w:tr>
      <w:tr w14:paraId="346D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5D48208">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671E44A">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0CE9F55">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BEC369E">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45CDB9">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A28021A">
            <w:pPr>
              <w:pStyle w:val="20"/>
              <w:widowControl w:val="0"/>
              <w:spacing w:before="0" w:beforeAutospacing="0" w:after="0" w:afterAutospacing="0"/>
              <w:ind w:firstLine="480" w:firstLineChars="200"/>
              <w:jc w:val="center"/>
              <w:rPr>
                <w:rFonts w:cs="宋体"/>
                <w:highlight w:val="none"/>
              </w:rPr>
            </w:pPr>
          </w:p>
        </w:tc>
      </w:tr>
      <w:tr w14:paraId="774B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357AD38">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CC72EF4">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FF93B30">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009B7F32">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F691F5">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19E5A7C">
            <w:pPr>
              <w:pStyle w:val="20"/>
              <w:widowControl w:val="0"/>
              <w:spacing w:before="0" w:beforeAutospacing="0" w:after="0" w:afterAutospacing="0"/>
              <w:ind w:firstLine="480" w:firstLineChars="200"/>
              <w:jc w:val="center"/>
              <w:rPr>
                <w:rFonts w:cs="宋体"/>
                <w:highlight w:val="none"/>
              </w:rPr>
            </w:pPr>
          </w:p>
        </w:tc>
      </w:tr>
      <w:tr w14:paraId="57E2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FADBF58">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8AA12A7">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FF35E12">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F116791">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4AEE83">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9F5B329">
            <w:pPr>
              <w:pStyle w:val="20"/>
              <w:widowControl w:val="0"/>
              <w:spacing w:before="0" w:beforeAutospacing="0" w:after="0" w:afterAutospacing="0"/>
              <w:ind w:firstLine="480" w:firstLineChars="200"/>
              <w:jc w:val="center"/>
              <w:rPr>
                <w:rFonts w:cs="宋体"/>
                <w:highlight w:val="none"/>
              </w:rPr>
            </w:pPr>
          </w:p>
        </w:tc>
      </w:tr>
      <w:tr w14:paraId="3BF5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F259C9B">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F6762AA">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AD6930C">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6C279A4">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ECB8D6">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9A266A5">
            <w:pPr>
              <w:pStyle w:val="20"/>
              <w:widowControl w:val="0"/>
              <w:spacing w:before="0" w:beforeAutospacing="0" w:after="0" w:afterAutospacing="0"/>
              <w:ind w:firstLine="480" w:firstLineChars="200"/>
              <w:jc w:val="center"/>
              <w:rPr>
                <w:rFonts w:cs="宋体"/>
                <w:highlight w:val="none"/>
              </w:rPr>
            </w:pPr>
          </w:p>
        </w:tc>
      </w:tr>
      <w:tr w14:paraId="44FD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3FB760A">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543AE5C">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90205E7">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DFA7746">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CF71D2">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92ED94A">
            <w:pPr>
              <w:pStyle w:val="20"/>
              <w:widowControl w:val="0"/>
              <w:spacing w:before="0" w:beforeAutospacing="0" w:after="0" w:afterAutospacing="0"/>
              <w:ind w:firstLine="480" w:firstLineChars="200"/>
              <w:jc w:val="center"/>
              <w:rPr>
                <w:rFonts w:cs="宋体"/>
                <w:highlight w:val="none"/>
              </w:rPr>
            </w:pPr>
          </w:p>
        </w:tc>
      </w:tr>
      <w:tr w14:paraId="5292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7E00FF1">
            <w:pPr>
              <w:pStyle w:val="20"/>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2AEF66E">
            <w:pPr>
              <w:pStyle w:val="20"/>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06B14C5">
            <w:pPr>
              <w:pStyle w:val="20"/>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41F7D78">
            <w:pPr>
              <w:pStyle w:val="20"/>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C005C5">
            <w:pPr>
              <w:pStyle w:val="20"/>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36F2C13">
            <w:pPr>
              <w:pStyle w:val="20"/>
              <w:widowControl w:val="0"/>
              <w:spacing w:before="0" w:beforeAutospacing="0" w:after="0" w:afterAutospacing="0"/>
              <w:ind w:firstLine="480" w:firstLineChars="200"/>
              <w:jc w:val="center"/>
              <w:rPr>
                <w:rFonts w:cs="宋体"/>
                <w:highlight w:val="none"/>
              </w:rPr>
            </w:pPr>
          </w:p>
        </w:tc>
      </w:tr>
    </w:tbl>
    <w:p w14:paraId="3BF44196">
      <w:pPr>
        <w:pStyle w:val="20"/>
        <w:widowControl w:val="0"/>
        <w:spacing w:before="0" w:beforeAutospacing="0" w:after="0" w:afterAutospacing="0"/>
        <w:rPr>
          <w:rFonts w:cs="宋体"/>
          <w:highlight w:val="none"/>
        </w:rPr>
      </w:pPr>
      <w:r>
        <w:rPr>
          <w:rFonts w:hint="eastAsia" w:cs="宋体"/>
          <w:highlight w:val="none"/>
        </w:rPr>
        <w:t>说明：</w:t>
      </w:r>
    </w:p>
    <w:p w14:paraId="4B88B49E">
      <w:pPr>
        <w:pStyle w:val="20"/>
        <w:widowControl w:val="0"/>
        <w:spacing w:before="0" w:beforeAutospacing="0" w:after="0" w:afterAutospacing="0"/>
        <w:ind w:firstLine="480" w:firstLineChars="200"/>
        <w:jc w:val="both"/>
        <w:rPr>
          <w:rFonts w:cs="宋体"/>
          <w:highlight w:val="none"/>
        </w:rPr>
      </w:pPr>
      <w:r>
        <w:rPr>
          <w:rFonts w:hint="eastAsia" w:cs="宋体"/>
          <w:highlight w:val="none"/>
        </w:rPr>
        <w:t>1.本表只填写投标文件中与招标文件有偏离（包括正偏离和负偏离）的内容，投标文件中商务响应与招标文件要求完全一致的，不用在此表中列出，但必须提交空白表。</w:t>
      </w:r>
    </w:p>
    <w:p w14:paraId="6C4D0D2F">
      <w:pPr>
        <w:pStyle w:val="20"/>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2.供应商必须据实填写，不得虚假响应，否则将取消其投标或中标资格，并按有关规定进处罚。</w:t>
      </w:r>
    </w:p>
    <w:p w14:paraId="59148A67">
      <w:pPr>
        <w:pStyle w:val="20"/>
        <w:widowControl w:val="0"/>
        <w:spacing w:before="0" w:beforeAutospacing="0" w:after="0" w:afterAutospacing="0"/>
        <w:ind w:firstLine="480" w:firstLineChars="200"/>
        <w:jc w:val="center"/>
        <w:rPr>
          <w:rFonts w:cs="宋体"/>
          <w:highlight w:val="none"/>
        </w:rPr>
      </w:pPr>
    </w:p>
    <w:p w14:paraId="62CDDB9F">
      <w:pPr>
        <w:pStyle w:val="20"/>
        <w:widowControl w:val="0"/>
        <w:spacing w:before="0" w:beforeAutospacing="0" w:after="0" w:afterAutospacing="0"/>
        <w:ind w:firstLine="480" w:firstLineChars="200"/>
        <w:rPr>
          <w:rFonts w:cs="宋体"/>
          <w:highlight w:val="none"/>
        </w:rPr>
      </w:pPr>
      <w:r>
        <w:rPr>
          <w:rFonts w:hint="eastAsia" w:cs="宋体"/>
          <w:highlight w:val="none"/>
          <w:lang w:val="en-US" w:eastAsia="zh-CN"/>
        </w:rPr>
        <w:t>投标人</w:t>
      </w:r>
      <w:r>
        <w:rPr>
          <w:rFonts w:hint="eastAsia" w:cs="宋体"/>
          <w:highlight w:val="none"/>
        </w:rPr>
        <w:t>名称：                     （单位公章）</w:t>
      </w:r>
    </w:p>
    <w:p w14:paraId="0316D6FF">
      <w:pPr>
        <w:pStyle w:val="20"/>
        <w:widowControl w:val="0"/>
        <w:spacing w:before="0" w:beforeAutospacing="0" w:after="0" w:afterAutospacing="0"/>
        <w:ind w:firstLine="480" w:firstLineChars="200"/>
        <w:jc w:val="center"/>
        <w:rPr>
          <w:rFonts w:cs="宋体"/>
          <w:highlight w:val="none"/>
        </w:rPr>
      </w:pPr>
    </w:p>
    <w:p w14:paraId="7D7B3E51">
      <w:pPr>
        <w:pStyle w:val="20"/>
        <w:widowControl w:val="0"/>
        <w:spacing w:before="0" w:beforeAutospacing="0" w:after="0" w:afterAutospacing="0"/>
        <w:ind w:firstLine="480" w:firstLineChars="200"/>
        <w:rPr>
          <w:rFonts w:cs="宋体"/>
          <w:highlight w:val="none"/>
        </w:rPr>
      </w:pPr>
      <w:r>
        <w:rPr>
          <w:rFonts w:hint="eastAsia" w:cs="宋体"/>
          <w:highlight w:val="none"/>
        </w:rPr>
        <w:t xml:space="preserve">法定代表人或被授权人（签字或盖章）：                 </w:t>
      </w:r>
    </w:p>
    <w:p w14:paraId="25AD67C0">
      <w:pPr>
        <w:jc w:val="center"/>
        <w:outlineLvl w:val="2"/>
        <w:rPr>
          <w:rFonts w:hAnsi="宋体" w:cs="宋体"/>
          <w:highlight w:val="none"/>
        </w:rPr>
      </w:pPr>
      <w:r>
        <w:rPr>
          <w:rFonts w:hint="eastAsia" w:hAnsi="宋体" w:cs="宋体"/>
          <w:highlight w:val="none"/>
        </w:rPr>
        <w:br w:type="page"/>
      </w:r>
      <w:bookmarkStart w:id="239" w:name="_Toc426457714"/>
      <w:bookmarkStart w:id="240" w:name="_Toc363474033"/>
      <w:bookmarkStart w:id="241" w:name="_Toc403077656"/>
      <w:bookmarkStart w:id="242" w:name="_Toc6432"/>
      <w:bookmarkStart w:id="243" w:name="_Toc10179"/>
      <w:bookmarkStart w:id="244" w:name="_Toc22990"/>
      <w:bookmarkStart w:id="245" w:name="_Toc8692"/>
      <w:bookmarkStart w:id="246" w:name="_Toc6862"/>
      <w:bookmarkStart w:id="247" w:name="_Toc10058"/>
      <w:bookmarkStart w:id="248" w:name="_Toc13133"/>
      <w:bookmarkStart w:id="249" w:name="_Toc26097"/>
      <w:bookmarkStart w:id="250" w:name="_Toc8659"/>
      <w:bookmarkStart w:id="251" w:name="_Toc8857"/>
      <w:bookmarkStart w:id="252" w:name="_Toc24011"/>
      <w:r>
        <w:rPr>
          <w:rStyle w:val="28"/>
          <w:rFonts w:hint="eastAsia"/>
          <w:sz w:val="32"/>
          <w:szCs w:val="32"/>
          <w:highlight w:val="none"/>
        </w:rPr>
        <w:t>五、</w:t>
      </w:r>
      <w:bookmarkEnd w:id="239"/>
      <w:bookmarkEnd w:id="240"/>
      <w:bookmarkEnd w:id="241"/>
      <w:bookmarkEnd w:id="242"/>
      <w:bookmarkEnd w:id="243"/>
      <w:bookmarkEnd w:id="244"/>
      <w:bookmarkEnd w:id="245"/>
      <w:bookmarkEnd w:id="246"/>
      <w:bookmarkEnd w:id="247"/>
      <w:r>
        <w:rPr>
          <w:rStyle w:val="28"/>
          <w:rFonts w:hint="eastAsia"/>
          <w:sz w:val="32"/>
          <w:szCs w:val="32"/>
          <w:highlight w:val="none"/>
        </w:rPr>
        <w:t>陕西省政府采购供应商拒绝政府采购领域商业贿赂承诺书</w:t>
      </w:r>
      <w:bookmarkEnd w:id="248"/>
      <w:bookmarkEnd w:id="249"/>
      <w:bookmarkEnd w:id="250"/>
      <w:bookmarkEnd w:id="251"/>
      <w:bookmarkEnd w:id="252"/>
    </w:p>
    <w:p w14:paraId="0C188DF5">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为响应党中央、国务院关于治理政府采购领域商业贿赂行为的号召，我公司在此庄严承诺：</w:t>
      </w:r>
    </w:p>
    <w:p w14:paraId="6815931B">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1、在参与政府采购活动中遵纪守法、诚信经营、公平竞标。</w:t>
      </w:r>
    </w:p>
    <w:p w14:paraId="02AA3A97">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2、不向政府采购人、采购代理机构和政府采购评审专家进行任何形式的商业贿赂以谋取交易机会。</w:t>
      </w:r>
    </w:p>
    <w:p w14:paraId="60B9ECF9">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3、不向政府采购代理机构和采购人提供虚假资质文件或采用虚假应标方式参与政府采购市场竞争并谋取中标、成交。</w:t>
      </w:r>
    </w:p>
    <w:p w14:paraId="7771C566">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4、不采取“围标、陪标”等商业欺诈手段获得政府采购定单。</w:t>
      </w:r>
    </w:p>
    <w:p w14:paraId="5BE68B97">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5、不采取不正当手段诋毁、排挤其他供应商。</w:t>
      </w:r>
    </w:p>
    <w:p w14:paraId="5553F224">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6、不在提供商品和服务时“偷梁换柱、以次充好”损害采购人的合法权益。</w:t>
      </w:r>
    </w:p>
    <w:p w14:paraId="3DEBA108">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7、不与采购人、采购代理机构政府采购评审专家或其它供应商恶意串通，进行质疑和投诉，维护政府采购市场秩序。</w:t>
      </w:r>
    </w:p>
    <w:p w14:paraId="3236A6A7">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8、尊重和接受政府采购监督管理部门的监督和政府采购代理机构招标采购要求，承担因违约行为给采购人造成的损失。</w:t>
      </w:r>
    </w:p>
    <w:p w14:paraId="6F0F9099">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9、不发生其他有悖于政府采购公开、公平、公正和诚信原则的行为。</w:t>
      </w:r>
    </w:p>
    <w:p w14:paraId="3D2E8965">
      <w:pPr>
        <w:widowControl/>
        <w:spacing w:line="408" w:lineRule="auto"/>
        <w:ind w:left="274" w:leftChars="114" w:firstLine="470" w:firstLineChars="196"/>
        <w:jc w:val="left"/>
        <w:rPr>
          <w:rFonts w:hint="eastAsia" w:hAnsi="宋体" w:eastAsia="宋体" w:cs="宋体"/>
          <w:highlight w:val="none"/>
          <w:lang w:eastAsia="zh-CN"/>
        </w:rPr>
      </w:pPr>
    </w:p>
    <w:p w14:paraId="0660AEDD">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承诺单位：（盖章）</w:t>
      </w:r>
    </w:p>
    <w:p w14:paraId="7A0FC2B5">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全权代表：（</w:t>
      </w:r>
      <w:r>
        <w:rPr>
          <w:rFonts w:hint="eastAsia" w:hAnsi="宋体" w:cs="宋体"/>
          <w:szCs w:val="24"/>
          <w:highlight w:val="none"/>
        </w:rPr>
        <w:t>签字</w:t>
      </w:r>
      <w:r>
        <w:rPr>
          <w:rFonts w:hint="eastAsia" w:hAnsi="宋体" w:cs="宋体"/>
          <w:szCs w:val="24"/>
          <w:highlight w:val="none"/>
          <w:lang w:val="en-US" w:eastAsia="zh-CN"/>
        </w:rPr>
        <w:t>或盖章</w:t>
      </w:r>
      <w:r>
        <w:rPr>
          <w:rFonts w:hint="eastAsia" w:hAnsi="宋体" w:cs="宋体"/>
          <w:highlight w:val="none"/>
        </w:rPr>
        <w:t>）：</w:t>
      </w:r>
    </w:p>
    <w:p w14:paraId="0891B835">
      <w:pPr>
        <w:widowControl/>
        <w:spacing w:line="408" w:lineRule="auto"/>
        <w:ind w:left="274" w:leftChars="114"/>
        <w:jc w:val="left"/>
        <w:rPr>
          <w:rFonts w:hAnsi="宋体" w:cs="宋体"/>
          <w:highlight w:val="none"/>
        </w:rPr>
      </w:pPr>
      <w:r>
        <w:rPr>
          <w:rFonts w:hint="eastAsia" w:hAnsi="宋体" w:cs="宋体"/>
          <w:highlight w:val="none"/>
        </w:rPr>
        <w:t>地  址：                        </w:t>
      </w:r>
    </w:p>
    <w:p w14:paraId="06703554">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邮  编：</w:t>
      </w:r>
    </w:p>
    <w:p w14:paraId="25104470">
      <w:pPr>
        <w:widowControl/>
        <w:spacing w:line="408" w:lineRule="auto"/>
        <w:ind w:left="274" w:leftChars="114"/>
        <w:jc w:val="left"/>
        <w:rPr>
          <w:rFonts w:hAnsi="宋体" w:cs="宋体"/>
          <w:highlight w:val="none"/>
        </w:rPr>
      </w:pPr>
      <w:r>
        <w:rPr>
          <w:rFonts w:hint="eastAsia" w:hAnsi="宋体" w:cs="宋体"/>
          <w:highlight w:val="none"/>
        </w:rPr>
        <w:t>电  话：                                                                   年  月  日</w:t>
      </w:r>
    </w:p>
    <w:p w14:paraId="5D5541E1">
      <w:pPr>
        <w:pStyle w:val="4"/>
        <w:spacing w:before="333" w:beforeLines="100"/>
        <w:rPr>
          <w:rFonts w:ascii="宋体" w:hAnsi="宋体" w:cs="宋体"/>
          <w:sz w:val="32"/>
          <w:szCs w:val="32"/>
          <w:highlight w:val="none"/>
        </w:rPr>
      </w:pPr>
      <w:bookmarkStart w:id="253" w:name="_Toc155"/>
      <w:bookmarkStart w:id="254" w:name="_Toc3206"/>
      <w:bookmarkStart w:id="255" w:name="_Toc426457715"/>
      <w:bookmarkStart w:id="256" w:name="_Toc363474034"/>
      <w:bookmarkStart w:id="257" w:name="_Toc8066"/>
      <w:bookmarkStart w:id="258" w:name="_Toc27947"/>
      <w:bookmarkStart w:id="259" w:name="_Toc403077657"/>
      <w:bookmarkStart w:id="260" w:name="_Toc5679"/>
      <w:bookmarkStart w:id="261" w:name="_Toc28113"/>
      <w:bookmarkStart w:id="262" w:name="_Toc29450"/>
      <w:bookmarkStart w:id="263" w:name="_Toc7550"/>
      <w:bookmarkStart w:id="264" w:name="_Toc491"/>
      <w:bookmarkStart w:id="265" w:name="_Toc21171"/>
      <w:bookmarkStart w:id="266" w:name="_Toc20139"/>
      <w:r>
        <w:rPr>
          <w:rFonts w:hint="eastAsia" w:ascii="宋体" w:hAnsi="宋体" w:cs="宋体"/>
          <w:sz w:val="32"/>
          <w:szCs w:val="32"/>
          <w:highlight w:val="none"/>
        </w:rPr>
        <w:t>六、资格证明文件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27BFD83A">
      <w:pPr>
        <w:spacing w:line="560" w:lineRule="exact"/>
        <w:ind w:firstLine="480" w:firstLineChars="200"/>
        <w:rPr>
          <w:rFonts w:hint="eastAsia" w:cs="宋体"/>
          <w:color w:val="333333"/>
          <w:highlight w:val="none"/>
          <w:shd w:val="clear" w:color="auto" w:fill="FFFFFF"/>
          <w:lang w:eastAsia="zh-CN"/>
        </w:rPr>
      </w:pPr>
      <w:r>
        <w:rPr>
          <w:rFonts w:hint="eastAsia" w:cs="宋体"/>
          <w:color w:val="333333"/>
          <w:highlight w:val="none"/>
          <w:shd w:val="clear" w:color="auto" w:fill="FFFFFF"/>
          <w:lang w:eastAsia="zh-CN"/>
        </w:rPr>
        <w:t>（1）提供合格有效的法人或者其他组织的营业执照等证明文件，自然人的身份证明；</w:t>
      </w:r>
    </w:p>
    <w:p w14:paraId="28A782AC">
      <w:pPr>
        <w:spacing w:line="560" w:lineRule="exact"/>
        <w:ind w:firstLine="480" w:firstLineChars="200"/>
        <w:rPr>
          <w:rFonts w:hint="eastAsia" w:cs="宋体"/>
          <w:color w:val="333333"/>
          <w:highlight w:val="none"/>
          <w:shd w:val="clear" w:color="auto" w:fill="FFFFFF"/>
          <w:lang w:eastAsia="zh-CN"/>
        </w:rPr>
      </w:pPr>
      <w:r>
        <w:rPr>
          <w:rFonts w:hint="eastAsia" w:cs="宋体"/>
          <w:color w:val="333333"/>
          <w:highlight w:val="none"/>
          <w:shd w:val="clear" w:color="auto" w:fill="FFFFFF"/>
          <w:lang w:eastAsia="zh-CN"/>
        </w:rPr>
        <w:t>（2）提供法定代表人授权书（附法定代表人、被授权人身份证复印件），法定代表人直接参加投标，须提供法定代表人身份证明（附法定代表人身份证复印件）；</w:t>
      </w:r>
    </w:p>
    <w:p w14:paraId="285F246A">
      <w:pPr>
        <w:spacing w:line="560" w:lineRule="exact"/>
        <w:ind w:firstLine="480" w:firstLineChars="200"/>
        <w:rPr>
          <w:rFonts w:hint="eastAsia" w:cs="宋体"/>
          <w:color w:val="333333"/>
          <w:highlight w:val="none"/>
          <w:shd w:val="clear" w:color="auto" w:fill="FFFFFF"/>
          <w:lang w:eastAsia="zh-CN"/>
        </w:rPr>
      </w:pPr>
      <w:r>
        <w:rPr>
          <w:rFonts w:hint="eastAsia" w:cs="宋体"/>
          <w:color w:val="333333"/>
          <w:highlight w:val="none"/>
          <w:shd w:val="clear" w:color="auto" w:fill="FFFFFF"/>
          <w:lang w:eastAsia="zh-CN"/>
        </w:rPr>
        <w:t>（3）财务状况报告：提供2024年度的经审计完整的财务审计报告（成立时间至提交投标文件截止时间不足一年的可提供成立后任意时段的资产负债表），或开标时间前六个月内银行出具的资信证明；</w:t>
      </w:r>
    </w:p>
    <w:p w14:paraId="7DD4BC46">
      <w:pPr>
        <w:spacing w:line="560" w:lineRule="exact"/>
        <w:ind w:firstLine="480" w:firstLineChars="200"/>
        <w:rPr>
          <w:rFonts w:hint="eastAsia" w:cs="宋体"/>
          <w:color w:val="333333"/>
          <w:highlight w:val="none"/>
          <w:shd w:val="clear" w:color="auto" w:fill="FFFFFF"/>
          <w:lang w:eastAsia="zh-CN"/>
        </w:rPr>
      </w:pPr>
      <w:r>
        <w:rPr>
          <w:rFonts w:hint="eastAsia" w:cs="宋体"/>
          <w:color w:val="333333"/>
          <w:highlight w:val="none"/>
          <w:shd w:val="clear" w:color="auto" w:fill="FFFFFF"/>
          <w:lang w:eastAsia="zh-CN"/>
        </w:rPr>
        <w:t>（4）税收缴纳证明：提供投标截止日前一年内已缴纳的至少一个月的纳税证明或完税证明（任意税种），依法免税的单位应提供相关证明材料；</w:t>
      </w:r>
    </w:p>
    <w:p w14:paraId="142091AC">
      <w:pPr>
        <w:spacing w:line="560" w:lineRule="exact"/>
        <w:ind w:firstLine="480" w:firstLineChars="200"/>
        <w:rPr>
          <w:rFonts w:hint="eastAsia" w:cs="宋体"/>
          <w:color w:val="333333"/>
          <w:highlight w:val="none"/>
          <w:shd w:val="clear" w:color="auto" w:fill="FFFFFF"/>
          <w:lang w:eastAsia="zh-CN"/>
        </w:rPr>
      </w:pPr>
      <w:r>
        <w:rPr>
          <w:rFonts w:hint="eastAsia" w:cs="宋体"/>
          <w:color w:val="333333"/>
          <w:highlight w:val="none"/>
          <w:shd w:val="clear" w:color="auto" w:fill="FFFFFF"/>
          <w:lang w:eastAsia="zh-CN"/>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14:paraId="1EEDD8AB">
      <w:pPr>
        <w:spacing w:line="560" w:lineRule="exact"/>
        <w:ind w:firstLine="480" w:firstLineChars="200"/>
        <w:rPr>
          <w:rFonts w:hint="eastAsia" w:cs="宋体"/>
          <w:color w:val="333333"/>
          <w:highlight w:val="none"/>
          <w:shd w:val="clear" w:color="auto" w:fill="FFFFFF"/>
          <w:lang w:eastAsia="zh-CN"/>
        </w:rPr>
      </w:pPr>
      <w:r>
        <w:rPr>
          <w:rFonts w:hint="eastAsia" w:cs="宋体"/>
          <w:color w:val="333333"/>
          <w:highlight w:val="none"/>
          <w:shd w:val="clear" w:color="auto" w:fill="FFFFFF"/>
          <w:lang w:eastAsia="zh-CN"/>
        </w:rPr>
        <w:t>（6）提供具有履行本合同所必需的设备和专业技术能力的说明及承诺书；</w:t>
      </w:r>
    </w:p>
    <w:p w14:paraId="4A393F60">
      <w:pPr>
        <w:spacing w:line="560" w:lineRule="exact"/>
        <w:ind w:firstLine="480" w:firstLineChars="200"/>
        <w:rPr>
          <w:rFonts w:hint="eastAsia" w:cs="宋体"/>
          <w:color w:val="333333"/>
          <w:highlight w:val="none"/>
          <w:shd w:val="clear" w:color="auto" w:fill="FFFFFF"/>
          <w:lang w:eastAsia="zh-CN"/>
        </w:rPr>
      </w:pPr>
      <w:r>
        <w:rPr>
          <w:rFonts w:hint="eastAsia" w:cs="宋体"/>
          <w:color w:val="333333"/>
          <w:highlight w:val="none"/>
          <w:shd w:val="clear" w:color="auto" w:fill="FFFFFF"/>
          <w:lang w:eastAsia="zh-CN"/>
        </w:rPr>
        <w:t>（7）供应商应通过“信用中国”网站(www.creditchina.gov.cn)、中国政府采购网(www.ccgp.gov.cn)查询相关主体信用记录；</w:t>
      </w:r>
    </w:p>
    <w:p w14:paraId="57E0B877">
      <w:pPr>
        <w:spacing w:line="560" w:lineRule="exact"/>
        <w:ind w:firstLine="480" w:firstLineChars="200"/>
        <w:rPr>
          <w:rFonts w:hint="eastAsia" w:cs="宋体"/>
          <w:color w:val="333333"/>
          <w:highlight w:val="none"/>
          <w:shd w:val="clear" w:color="auto" w:fill="FFFFFF"/>
          <w:lang w:eastAsia="zh-CN"/>
        </w:rPr>
      </w:pPr>
      <w:r>
        <w:rPr>
          <w:rFonts w:hint="eastAsia" w:cs="宋体"/>
          <w:color w:val="333333"/>
          <w:highlight w:val="none"/>
          <w:shd w:val="clear" w:color="auto" w:fill="FFFFFF"/>
          <w:lang w:eastAsia="zh-CN"/>
        </w:rPr>
        <w:t>（8）参加政府采购活动前3年内，在经营活动中没有重大违法记录的书面声明；</w:t>
      </w:r>
    </w:p>
    <w:p w14:paraId="51867451">
      <w:pPr>
        <w:spacing w:line="560" w:lineRule="exact"/>
        <w:ind w:firstLine="480" w:firstLineChars="200"/>
        <w:rPr>
          <w:rFonts w:hint="eastAsia" w:cs="宋体"/>
          <w:color w:val="333333"/>
          <w:highlight w:val="none"/>
          <w:shd w:val="clear" w:color="auto" w:fill="FFFFFF"/>
        </w:rPr>
      </w:pPr>
      <w:r>
        <w:rPr>
          <w:rFonts w:hint="eastAsia" w:cs="宋体"/>
          <w:color w:val="333333"/>
          <w:highlight w:val="none"/>
          <w:shd w:val="clear" w:color="auto" w:fill="FFFFFF"/>
          <w:lang w:eastAsia="zh-CN"/>
        </w:rPr>
        <w:t>（9）本项目不接受联合体投标（提供承诺书）。</w:t>
      </w:r>
    </w:p>
    <w:p w14:paraId="126D1955">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5B1E2262">
      <w:pPr>
        <w:pStyle w:val="10"/>
        <w:rPr>
          <w:rFonts w:ascii="宋体" w:hAnsi="宋体" w:cs="宋体"/>
          <w:szCs w:val="24"/>
          <w:highlight w:val="none"/>
        </w:rPr>
      </w:pPr>
    </w:p>
    <w:p w14:paraId="4623BD47">
      <w:pPr>
        <w:pStyle w:val="10"/>
        <w:rPr>
          <w:rFonts w:ascii="宋体" w:hAnsi="宋体" w:cs="宋体"/>
          <w:b/>
          <w:bCs/>
          <w:sz w:val="30"/>
          <w:szCs w:val="30"/>
          <w:highlight w:val="none"/>
        </w:rPr>
        <w:sectPr>
          <w:footerReference r:id="rId10" w:type="default"/>
          <w:pgSz w:w="11906" w:h="16838"/>
          <w:pgMar w:top="1361" w:right="1417" w:bottom="1361" w:left="1417" w:header="1134" w:footer="992" w:gutter="0"/>
          <w:pgNumType w:fmt="decimal"/>
          <w:cols w:space="720" w:num="1"/>
          <w:docGrid w:type="lines" w:linePitch="333" w:charSpace="0"/>
        </w:sectPr>
      </w:pPr>
      <w:bookmarkStart w:id="267" w:name="_Toc16097"/>
      <w:bookmarkStart w:id="268" w:name="_Toc403077649"/>
      <w:bookmarkStart w:id="269" w:name="_Toc19075"/>
      <w:bookmarkStart w:id="270" w:name="_Toc426457701"/>
      <w:bookmarkStart w:id="271" w:name="_Toc363474028"/>
      <w:bookmarkStart w:id="272" w:name="_Toc25348"/>
      <w:bookmarkStart w:id="273" w:name="_Toc30210"/>
      <w:bookmarkStart w:id="274" w:name="_Toc4867"/>
    </w:p>
    <w:bookmarkEnd w:id="267"/>
    <w:bookmarkEnd w:id="268"/>
    <w:bookmarkEnd w:id="269"/>
    <w:bookmarkEnd w:id="270"/>
    <w:bookmarkEnd w:id="271"/>
    <w:bookmarkEnd w:id="272"/>
    <w:bookmarkEnd w:id="273"/>
    <w:bookmarkEnd w:id="274"/>
    <w:p w14:paraId="7427EE70">
      <w:pPr>
        <w:jc w:val="center"/>
        <w:outlineLvl w:val="2"/>
        <w:rPr>
          <w:rFonts w:hAnsi="宋体" w:cs="宋体"/>
          <w:b/>
          <w:bCs/>
          <w:sz w:val="30"/>
          <w:szCs w:val="30"/>
          <w:highlight w:val="none"/>
        </w:rPr>
      </w:pPr>
      <w:bookmarkStart w:id="275" w:name="_Toc1056"/>
      <w:bookmarkStart w:id="276" w:name="_Toc30099"/>
      <w:bookmarkStart w:id="277" w:name="_Toc25505"/>
      <w:bookmarkStart w:id="278" w:name="_Toc4146"/>
      <w:r>
        <w:rPr>
          <w:rFonts w:hint="eastAsia" w:hAnsi="宋体" w:cs="宋体"/>
          <w:b/>
          <w:bCs/>
          <w:sz w:val="30"/>
          <w:szCs w:val="30"/>
          <w:highlight w:val="none"/>
        </w:rPr>
        <w:t>七、其他</w:t>
      </w:r>
      <w:bookmarkEnd w:id="275"/>
      <w:bookmarkEnd w:id="276"/>
      <w:bookmarkEnd w:id="277"/>
      <w:bookmarkEnd w:id="278"/>
    </w:p>
    <w:p w14:paraId="44D66D6B">
      <w:pPr>
        <w:spacing w:line="500" w:lineRule="exact"/>
        <w:ind w:firstLine="480" w:firstLineChars="200"/>
        <w:rPr>
          <w:rFonts w:hAnsi="宋体" w:cs="宋体"/>
          <w:szCs w:val="24"/>
          <w:highlight w:val="none"/>
        </w:rPr>
      </w:pPr>
      <w:r>
        <w:rPr>
          <w:rFonts w:hint="eastAsia" w:hAnsi="宋体" w:cs="宋体"/>
          <w:szCs w:val="24"/>
          <w:highlight w:val="none"/>
        </w:rPr>
        <w:t>1、依据招标文件要求，供应商认为有必要说明的其他内容</w:t>
      </w:r>
    </w:p>
    <w:p w14:paraId="5A5C6EF7">
      <w:pPr>
        <w:spacing w:line="500" w:lineRule="exact"/>
        <w:ind w:firstLine="480" w:firstLineChars="200"/>
        <w:rPr>
          <w:rFonts w:hAnsi="宋体" w:cs="宋体"/>
          <w:szCs w:val="24"/>
          <w:highlight w:val="none"/>
        </w:rPr>
      </w:pPr>
      <w:r>
        <w:rPr>
          <w:rFonts w:hint="eastAsia" w:hAnsi="宋体" w:cs="宋体"/>
          <w:szCs w:val="24"/>
          <w:highlight w:val="none"/>
        </w:rPr>
        <w:t>2、其他可以证明供应商实力的文件。</w:t>
      </w:r>
    </w:p>
    <w:p w14:paraId="4969A9CE">
      <w:pPr>
        <w:rPr>
          <w:rFonts w:hAnsi="宋体" w:cs="宋体"/>
          <w:b/>
          <w:bCs/>
          <w:sz w:val="28"/>
          <w:szCs w:val="28"/>
          <w:highlight w:val="none"/>
        </w:rPr>
      </w:pPr>
      <w:r>
        <w:rPr>
          <w:rFonts w:hint="eastAsia" w:hAnsi="宋体" w:cs="宋体"/>
          <w:b/>
          <w:bCs/>
          <w:sz w:val="28"/>
          <w:szCs w:val="28"/>
          <w:highlight w:val="none"/>
        </w:rPr>
        <w:br w:type="page"/>
      </w:r>
    </w:p>
    <w:p w14:paraId="470896F6">
      <w:pPr>
        <w:pStyle w:val="10"/>
        <w:rPr>
          <w:rFonts w:ascii="宋体" w:hAnsi="宋体" w:cs="宋体"/>
          <w:b/>
          <w:bCs/>
          <w:sz w:val="28"/>
          <w:szCs w:val="28"/>
          <w:highlight w:val="none"/>
        </w:rPr>
      </w:pPr>
      <w:r>
        <w:rPr>
          <w:rFonts w:hint="eastAsia" w:ascii="宋体" w:hAnsi="宋体" w:cs="宋体"/>
          <w:b/>
          <w:bCs/>
          <w:sz w:val="28"/>
          <w:szCs w:val="28"/>
          <w:highlight w:val="none"/>
        </w:rPr>
        <w:t>附件1：</w:t>
      </w:r>
    </w:p>
    <w:p w14:paraId="384B58C1">
      <w:pPr>
        <w:spacing w:before="312" w:beforeLines="100"/>
        <w:jc w:val="center"/>
        <w:rPr>
          <w:rFonts w:hAnsi="宋体" w:cs="宋体"/>
          <w:sz w:val="30"/>
          <w:szCs w:val="30"/>
          <w:highlight w:val="none"/>
        </w:rPr>
      </w:pPr>
      <w:r>
        <w:rPr>
          <w:rFonts w:hint="eastAsia" w:hAnsi="宋体" w:cs="宋体"/>
          <w:sz w:val="30"/>
          <w:szCs w:val="30"/>
          <w:highlight w:val="none"/>
        </w:rPr>
        <w:t>法定代表人身份证明/法定代表人授权书</w:t>
      </w:r>
    </w:p>
    <w:p w14:paraId="4AD01382">
      <w:pPr>
        <w:pStyle w:val="10"/>
        <w:spacing w:before="156" w:beforeLines="5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347D63D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 xml:space="preserve"> </w:t>
      </w:r>
    </w:p>
    <w:p w14:paraId="69B103A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1F3B6513">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1A0EBF05">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0869E28">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39A5AB43">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（投标人名称）的法定代表人。</w:t>
      </w:r>
    </w:p>
    <w:p w14:paraId="05DCFBA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01BEC836">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3"/>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7D89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46A74900">
            <w:pPr>
              <w:snapToGrid w:val="0"/>
              <w:spacing w:line="480" w:lineRule="auto"/>
              <w:jc w:val="center"/>
              <w:rPr>
                <w:rFonts w:hAnsi="宋体" w:cs="宋体"/>
                <w:szCs w:val="21"/>
                <w:highlight w:val="none"/>
              </w:rPr>
            </w:pPr>
          </w:p>
          <w:p w14:paraId="2EE35261">
            <w:pPr>
              <w:snapToGrid w:val="0"/>
              <w:spacing w:line="480" w:lineRule="auto"/>
              <w:jc w:val="center"/>
              <w:rPr>
                <w:rFonts w:hAnsi="宋体" w:cs="宋体"/>
                <w:szCs w:val="21"/>
                <w:highlight w:val="none"/>
              </w:rPr>
            </w:pPr>
          </w:p>
          <w:p w14:paraId="32096732">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3400005B">
            <w:pPr>
              <w:pStyle w:val="10"/>
              <w:jc w:val="center"/>
              <w:rPr>
                <w:rFonts w:ascii="宋体" w:hAnsi="宋体" w:cs="宋体"/>
                <w:highlight w:val="none"/>
              </w:rPr>
            </w:pPr>
            <w:r>
              <w:rPr>
                <w:rFonts w:hint="eastAsia" w:ascii="宋体" w:hAnsi="宋体" w:cs="宋体"/>
                <w:szCs w:val="21"/>
                <w:highlight w:val="none"/>
              </w:rPr>
              <w:t>（正反面）</w:t>
            </w:r>
          </w:p>
          <w:p w14:paraId="352EF233">
            <w:pPr>
              <w:snapToGrid w:val="0"/>
              <w:spacing w:line="480" w:lineRule="auto"/>
              <w:jc w:val="center"/>
              <w:rPr>
                <w:rFonts w:hAnsi="宋体" w:cs="宋体"/>
                <w:szCs w:val="21"/>
                <w:highlight w:val="none"/>
              </w:rPr>
            </w:pPr>
          </w:p>
          <w:p w14:paraId="683F2DAC">
            <w:pPr>
              <w:snapToGrid w:val="0"/>
              <w:spacing w:line="480" w:lineRule="auto"/>
              <w:jc w:val="center"/>
              <w:rPr>
                <w:rFonts w:hAnsi="宋体" w:cs="宋体"/>
                <w:szCs w:val="21"/>
                <w:highlight w:val="none"/>
              </w:rPr>
            </w:pPr>
          </w:p>
        </w:tc>
      </w:tr>
    </w:tbl>
    <w:p w14:paraId="308052E5">
      <w:pPr>
        <w:snapToGrid w:val="0"/>
        <w:spacing w:line="480" w:lineRule="auto"/>
        <w:rPr>
          <w:rFonts w:hAnsi="宋体" w:cs="宋体"/>
          <w:szCs w:val="21"/>
          <w:highlight w:val="none"/>
        </w:rPr>
      </w:pPr>
    </w:p>
    <w:p w14:paraId="7E532A0D">
      <w:pPr>
        <w:snapToGrid w:val="0"/>
        <w:rPr>
          <w:rFonts w:hAnsi="宋体" w:cs="宋体"/>
          <w:szCs w:val="21"/>
          <w:highlight w:val="none"/>
        </w:rPr>
      </w:pPr>
    </w:p>
    <w:p w14:paraId="01D84639">
      <w:pPr>
        <w:snapToGrid w:val="0"/>
        <w:rPr>
          <w:rFonts w:hAnsi="宋体" w:cs="宋体"/>
          <w:szCs w:val="21"/>
          <w:highlight w:val="none"/>
        </w:rPr>
      </w:pPr>
    </w:p>
    <w:p w14:paraId="264BDE1A">
      <w:pPr>
        <w:snapToGrid w:val="0"/>
        <w:rPr>
          <w:rFonts w:hAnsi="宋体" w:cs="宋体"/>
          <w:szCs w:val="21"/>
          <w:highlight w:val="none"/>
        </w:rPr>
      </w:pPr>
    </w:p>
    <w:p w14:paraId="6A509C8D">
      <w:pPr>
        <w:snapToGrid w:val="0"/>
        <w:rPr>
          <w:rFonts w:hAnsi="宋体" w:cs="宋体"/>
          <w:szCs w:val="21"/>
          <w:highlight w:val="none"/>
        </w:rPr>
      </w:pPr>
    </w:p>
    <w:p w14:paraId="04D4FD41">
      <w:pPr>
        <w:adjustRightInd w:val="0"/>
        <w:snapToGrid w:val="0"/>
        <w:spacing w:line="360" w:lineRule="auto"/>
        <w:rPr>
          <w:rFonts w:hAnsi="宋体" w:cs="宋体"/>
          <w:highlight w:val="none"/>
        </w:rPr>
      </w:pPr>
    </w:p>
    <w:p w14:paraId="55BBE0A9">
      <w:pPr>
        <w:adjustRightInd w:val="0"/>
        <w:snapToGrid w:val="0"/>
        <w:spacing w:line="360" w:lineRule="auto"/>
        <w:ind w:right="420"/>
        <w:rPr>
          <w:rFonts w:hAnsi="宋体" w:cs="宋体"/>
          <w:highlight w:val="none"/>
        </w:rPr>
      </w:pPr>
    </w:p>
    <w:p w14:paraId="7AAF0310">
      <w:pPr>
        <w:adjustRightInd w:val="0"/>
        <w:snapToGrid w:val="0"/>
        <w:spacing w:line="360" w:lineRule="auto"/>
        <w:ind w:right="420"/>
        <w:rPr>
          <w:rFonts w:hAnsi="宋体" w:cs="宋体"/>
          <w:highlight w:val="none"/>
        </w:rPr>
      </w:pPr>
    </w:p>
    <w:p w14:paraId="57273BAA">
      <w:pPr>
        <w:adjustRightInd w:val="0"/>
        <w:snapToGrid w:val="0"/>
        <w:spacing w:line="360" w:lineRule="auto"/>
        <w:ind w:right="420"/>
        <w:rPr>
          <w:rFonts w:hAnsi="宋体" w:cs="宋体"/>
          <w:highlight w:val="none"/>
        </w:rPr>
      </w:pPr>
    </w:p>
    <w:p w14:paraId="3EE2A821">
      <w:pPr>
        <w:adjustRightInd w:val="0"/>
        <w:snapToGrid w:val="0"/>
        <w:spacing w:line="360" w:lineRule="auto"/>
        <w:ind w:right="420"/>
        <w:rPr>
          <w:rFonts w:hAnsi="宋体" w:cs="宋体"/>
          <w:highlight w:val="none"/>
        </w:rPr>
      </w:pPr>
    </w:p>
    <w:p w14:paraId="4180DD65">
      <w:pPr>
        <w:adjustRightInd w:val="0"/>
        <w:snapToGrid w:val="0"/>
        <w:spacing w:line="360" w:lineRule="auto"/>
        <w:ind w:right="420"/>
        <w:rPr>
          <w:rFonts w:hAnsi="宋体" w:cs="宋体"/>
          <w:highlight w:val="none"/>
        </w:rPr>
      </w:pPr>
      <w:r>
        <w:rPr>
          <w:rFonts w:hint="eastAsia" w:hAnsi="宋体" w:cs="宋体"/>
          <w:highlight w:val="none"/>
        </w:rPr>
        <w:t>投标人名称（公章）：</w:t>
      </w:r>
    </w:p>
    <w:p w14:paraId="1EB9A127">
      <w:pPr>
        <w:adjustRightInd w:val="0"/>
        <w:snapToGrid w:val="0"/>
        <w:spacing w:line="360" w:lineRule="auto"/>
        <w:ind w:right="420"/>
        <w:rPr>
          <w:rFonts w:hAnsi="宋体" w:cs="宋体"/>
          <w:highlight w:val="none"/>
        </w:rPr>
      </w:pPr>
      <w:r>
        <w:rPr>
          <w:rFonts w:hint="eastAsia" w:hAnsi="宋体" w:cs="宋体"/>
          <w:highlight w:val="none"/>
        </w:rPr>
        <w:t>日期：    年  月  日</w:t>
      </w:r>
    </w:p>
    <w:p w14:paraId="2FCF04DD">
      <w:pPr>
        <w:adjustRightInd w:val="0"/>
        <w:snapToGrid w:val="0"/>
        <w:spacing w:line="360" w:lineRule="auto"/>
        <w:ind w:right="420"/>
        <w:rPr>
          <w:rFonts w:hAnsi="宋体" w:cs="宋体"/>
          <w:highlight w:val="none"/>
        </w:rPr>
      </w:pPr>
    </w:p>
    <w:p w14:paraId="08DFBF70">
      <w:pPr>
        <w:rPr>
          <w:rFonts w:hAnsi="宋体" w:cs="宋体"/>
          <w:sz w:val="32"/>
          <w:szCs w:val="32"/>
          <w:highlight w:val="none"/>
        </w:rPr>
      </w:pPr>
      <w:r>
        <w:rPr>
          <w:rFonts w:hint="eastAsia" w:hAnsi="宋体" w:cs="宋体"/>
          <w:sz w:val="32"/>
          <w:szCs w:val="32"/>
          <w:highlight w:val="none"/>
        </w:rPr>
        <w:br w:type="page"/>
      </w:r>
    </w:p>
    <w:p w14:paraId="77F8B303">
      <w:pPr>
        <w:keepNext/>
        <w:spacing w:before="312" w:beforeLines="100"/>
        <w:jc w:val="center"/>
        <w:rPr>
          <w:rFonts w:hAnsi="宋体" w:cs="宋体"/>
          <w:sz w:val="32"/>
          <w:szCs w:val="32"/>
          <w:highlight w:val="none"/>
        </w:rPr>
      </w:pPr>
      <w:r>
        <w:rPr>
          <w:rFonts w:hint="eastAsia" w:hAnsi="宋体" w:cs="宋体"/>
          <w:sz w:val="32"/>
          <w:szCs w:val="32"/>
          <w:highlight w:val="none"/>
        </w:rPr>
        <w:t>法定代表人授权书</w:t>
      </w:r>
    </w:p>
    <w:p w14:paraId="1C710CF9">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54B0A319">
      <w:pPr>
        <w:spacing w:line="560" w:lineRule="exact"/>
        <w:jc w:val="left"/>
        <w:rPr>
          <w:rFonts w:hint="eastAsia" w:hAnsi="宋体" w:eastAsia="宋体" w:cs="宋体"/>
          <w:spacing w:val="4"/>
          <w:szCs w:val="24"/>
          <w:highlight w:val="none"/>
          <w:lang w:eastAsia="zh-CN"/>
        </w:rPr>
      </w:pPr>
      <w:r>
        <w:rPr>
          <w:rFonts w:hint="eastAsia" w:hAnsi="宋体" w:cs="宋体"/>
          <w:b/>
          <w:spacing w:val="4"/>
          <w:szCs w:val="24"/>
          <w:highlight w:val="none"/>
        </w:rPr>
        <w:t>致：</w:t>
      </w:r>
      <w:r>
        <w:rPr>
          <w:rFonts w:hint="eastAsia" w:hAnsi="宋体" w:cs="宋体"/>
          <w:b/>
          <w:spacing w:val="4"/>
          <w:szCs w:val="24"/>
          <w:highlight w:val="none"/>
          <w:u w:val="single"/>
        </w:rPr>
        <w:t>采购人名称/</w:t>
      </w:r>
      <w:r>
        <w:rPr>
          <w:rFonts w:hint="eastAsia" w:hAnsi="宋体" w:cs="宋体"/>
          <w:b/>
          <w:spacing w:val="4"/>
          <w:szCs w:val="24"/>
          <w:highlight w:val="none"/>
          <w:u w:val="single"/>
          <w:lang w:eastAsia="zh-CN"/>
        </w:rPr>
        <w:t>陕西银正项目管理有限公司</w:t>
      </w:r>
    </w:p>
    <w:p w14:paraId="56F7DD33">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 xml:space="preserve">(投标人名称)   </w:t>
      </w:r>
      <w:r>
        <w:rPr>
          <w:rFonts w:hint="eastAsia" w:hAnsi="宋体" w:cs="宋体"/>
          <w:spacing w:val="4"/>
          <w:szCs w:val="24"/>
          <w:highlight w:val="none"/>
        </w:rPr>
        <w:t>按中华人民共和国法律于</w:t>
      </w:r>
      <w:r>
        <w:rPr>
          <w:rFonts w:hint="eastAsia" w:hAnsi="宋体" w:cs="宋体"/>
          <w:spacing w:val="4"/>
          <w:szCs w:val="24"/>
          <w:highlight w:val="none"/>
          <w:u w:val="single"/>
        </w:rPr>
        <w:t xml:space="preserve">（  年  月  日 ）  </w:t>
      </w:r>
      <w:r>
        <w:rPr>
          <w:rFonts w:hint="eastAsia" w:hAnsi="宋体" w:cs="宋体"/>
          <w:spacing w:val="4"/>
          <w:szCs w:val="24"/>
          <w:highlight w:val="none"/>
        </w:rPr>
        <w:t>成立。</w:t>
      </w:r>
      <w:r>
        <w:rPr>
          <w:rFonts w:hint="eastAsia" w:hAnsi="宋体" w:cs="宋体"/>
          <w:spacing w:val="4"/>
          <w:szCs w:val="24"/>
          <w:highlight w:val="none"/>
          <w:u w:val="single"/>
        </w:rPr>
        <w:t>(</w:t>
      </w:r>
      <w:r>
        <w:rPr>
          <w:rFonts w:hint="eastAsia" w:hAnsi="宋体" w:cs="宋体"/>
          <w:szCs w:val="24"/>
          <w:highlight w:val="none"/>
          <w:u w:val="single"/>
        </w:rPr>
        <w:t>法定代表人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 xml:space="preserve">（项目名称、项目编号）    </w:t>
      </w:r>
      <w:r>
        <w:rPr>
          <w:rFonts w:hint="eastAsia" w:hAnsi="宋体" w:cs="宋体"/>
          <w:spacing w:val="4"/>
          <w:szCs w:val="24"/>
          <w:highlight w:val="none"/>
        </w:rPr>
        <w:t>投标、谈判、签约等具体工作，并签署全部有关的文件、协议及合同。</w:t>
      </w:r>
    </w:p>
    <w:p w14:paraId="0EDF4974">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0A6BDDFA">
      <w:pPr>
        <w:spacing w:line="56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highlight w:val="none"/>
          <w:lang w:val="zh-CN"/>
        </w:rPr>
        <w:t>自开标之日起</w:t>
      </w:r>
      <w:r>
        <w:rPr>
          <w:rFonts w:hint="eastAsia" w:hAnsi="宋体" w:cs="宋体"/>
          <w:highlight w:val="none"/>
        </w:rPr>
        <w:t>90</w:t>
      </w:r>
      <w:r>
        <w:rPr>
          <w:rFonts w:hint="eastAsia" w:hAnsi="宋体" w:cs="宋体"/>
          <w:highlight w:val="none"/>
          <w:lang w:val="zh-CN"/>
        </w:rPr>
        <w:t>天。</w:t>
      </w:r>
    </w:p>
    <w:p w14:paraId="474E88E8">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签章生效，特此证明。</w:t>
      </w:r>
    </w:p>
    <w:tbl>
      <w:tblPr>
        <w:tblStyle w:val="22"/>
        <w:tblW w:w="8190" w:type="dxa"/>
        <w:tblInd w:w="633" w:type="dxa"/>
        <w:tblLayout w:type="fixed"/>
        <w:tblCellMar>
          <w:top w:w="0" w:type="dxa"/>
          <w:left w:w="108" w:type="dxa"/>
          <w:bottom w:w="0" w:type="dxa"/>
          <w:right w:w="108" w:type="dxa"/>
        </w:tblCellMar>
      </w:tblPr>
      <w:tblGrid>
        <w:gridCol w:w="4200"/>
        <w:gridCol w:w="3990"/>
      </w:tblGrid>
      <w:tr w14:paraId="2894F194">
        <w:tblPrEx>
          <w:tblCellMar>
            <w:top w:w="0" w:type="dxa"/>
            <w:left w:w="108" w:type="dxa"/>
            <w:bottom w:w="0" w:type="dxa"/>
            <w:right w:w="108" w:type="dxa"/>
          </w:tblCellMar>
        </w:tblPrEx>
        <w:trPr>
          <w:trHeight w:val="600" w:hRule="atLeast"/>
        </w:trPr>
        <w:tc>
          <w:tcPr>
            <w:tcW w:w="4200" w:type="dxa"/>
          </w:tcPr>
          <w:p w14:paraId="2ED40F2E">
            <w:pPr>
              <w:spacing w:line="520" w:lineRule="exact"/>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0A49C91A">
            <w:pPr>
              <w:spacing w:line="520" w:lineRule="exact"/>
              <w:jc w:val="left"/>
              <w:rPr>
                <w:rFonts w:hAnsi="宋体" w:cs="宋体"/>
                <w:spacing w:val="4"/>
                <w:szCs w:val="24"/>
                <w:highlight w:val="none"/>
              </w:rPr>
            </w:pPr>
            <w:r>
              <w:rPr>
                <w:rFonts w:hint="eastAsia" w:hAnsi="宋体" w:cs="宋体"/>
                <w:szCs w:val="24"/>
                <w:highlight w:val="none"/>
              </w:rPr>
              <w:t>法定代表人</w:t>
            </w:r>
            <w:r>
              <w:rPr>
                <w:rFonts w:hint="eastAsia" w:hAnsi="宋体" w:cs="宋体"/>
                <w:spacing w:val="4"/>
                <w:szCs w:val="24"/>
                <w:highlight w:val="none"/>
              </w:rPr>
              <w:t>签字或盖章：</w:t>
            </w:r>
          </w:p>
        </w:tc>
      </w:tr>
      <w:tr w14:paraId="76660B64">
        <w:tblPrEx>
          <w:tblCellMar>
            <w:top w:w="0" w:type="dxa"/>
            <w:left w:w="108" w:type="dxa"/>
            <w:bottom w:w="0" w:type="dxa"/>
            <w:right w:w="108" w:type="dxa"/>
          </w:tblCellMar>
        </w:tblPrEx>
        <w:trPr>
          <w:trHeight w:val="600" w:hRule="atLeast"/>
        </w:trPr>
        <w:tc>
          <w:tcPr>
            <w:tcW w:w="4200" w:type="dxa"/>
          </w:tcPr>
          <w:p w14:paraId="475E8C36">
            <w:pPr>
              <w:spacing w:line="520" w:lineRule="exact"/>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E01BD3C">
            <w:pPr>
              <w:spacing w:line="520" w:lineRule="exact"/>
              <w:jc w:val="left"/>
              <w:rPr>
                <w:rFonts w:hAnsi="宋体" w:cs="宋体"/>
                <w:spacing w:val="4"/>
                <w:szCs w:val="24"/>
                <w:highlight w:val="none"/>
              </w:rPr>
            </w:pPr>
            <w:r>
              <w:rPr>
                <w:rFonts w:hint="eastAsia" w:hAnsi="宋体" w:cs="宋体"/>
                <w:spacing w:val="4"/>
                <w:szCs w:val="24"/>
                <w:highlight w:val="none"/>
              </w:rPr>
              <w:t>职务：</w:t>
            </w:r>
          </w:p>
        </w:tc>
      </w:tr>
      <w:tr w14:paraId="13AA3BCB">
        <w:tblPrEx>
          <w:tblCellMar>
            <w:top w:w="0" w:type="dxa"/>
            <w:left w:w="108" w:type="dxa"/>
            <w:bottom w:w="0" w:type="dxa"/>
            <w:right w:w="108" w:type="dxa"/>
          </w:tblCellMar>
        </w:tblPrEx>
        <w:trPr>
          <w:trHeight w:val="600" w:hRule="atLeast"/>
        </w:trPr>
        <w:tc>
          <w:tcPr>
            <w:tcW w:w="4200" w:type="dxa"/>
          </w:tcPr>
          <w:p w14:paraId="02111BD7">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26E1615F">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r>
      <w:tr w14:paraId="126F3E36">
        <w:tblPrEx>
          <w:tblCellMar>
            <w:top w:w="0" w:type="dxa"/>
            <w:left w:w="108" w:type="dxa"/>
            <w:bottom w:w="0" w:type="dxa"/>
            <w:right w:w="108" w:type="dxa"/>
          </w:tblCellMar>
        </w:tblPrEx>
        <w:trPr>
          <w:trHeight w:val="600" w:hRule="atLeast"/>
        </w:trPr>
        <w:tc>
          <w:tcPr>
            <w:tcW w:w="4200" w:type="dxa"/>
          </w:tcPr>
          <w:p w14:paraId="3339D406">
            <w:pPr>
              <w:spacing w:line="520" w:lineRule="exact"/>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012211F2">
            <w:pPr>
              <w:spacing w:line="520" w:lineRule="exact"/>
              <w:jc w:val="left"/>
              <w:rPr>
                <w:rFonts w:hAnsi="宋体" w:cs="宋体"/>
                <w:spacing w:val="4"/>
                <w:szCs w:val="24"/>
                <w:highlight w:val="none"/>
              </w:rPr>
            </w:pPr>
          </w:p>
        </w:tc>
      </w:tr>
    </w:tbl>
    <w:p w14:paraId="43557C8F">
      <w:pPr>
        <w:spacing w:line="520" w:lineRule="exact"/>
        <w:ind w:firstLine="496" w:firstLineChars="200"/>
        <w:jc w:val="left"/>
        <w:rPr>
          <w:rFonts w:hAnsi="宋体" w:cs="宋体"/>
          <w:spacing w:val="4"/>
          <w:szCs w:val="24"/>
          <w:highlight w:val="none"/>
        </w:rPr>
      </w:pPr>
    </w:p>
    <w:p w14:paraId="3799DBF7">
      <w:pPr>
        <w:spacing w:before="240" w:line="360" w:lineRule="auto"/>
        <w:ind w:firstLine="960" w:firstLineChars="400"/>
        <w:rPr>
          <w:rFonts w:hAnsi="宋体" w:cs="宋体"/>
          <w:highlight w:val="none"/>
          <w:u w:val="single"/>
        </w:rPr>
      </w:pPr>
      <w:r>
        <w:rPr>
          <w:rFonts w:hint="eastAsia" w:hAnsi="宋体" w:cs="宋体"/>
          <w:highlight w:val="none"/>
          <w:lang w:val="zh-CN"/>
        </w:rPr>
        <w:t>附法定代表人</w:t>
      </w:r>
      <w:r>
        <w:rPr>
          <w:rFonts w:hint="eastAsia" w:hAnsi="宋体" w:cs="宋体"/>
          <w:highlight w:val="none"/>
        </w:rPr>
        <w:t>、</w:t>
      </w:r>
      <w:r>
        <w:rPr>
          <w:rFonts w:hint="eastAsia" w:hAnsi="宋体" w:cs="宋体"/>
          <w:highlight w:val="none"/>
          <w:lang w:val="zh-CN"/>
        </w:rPr>
        <w:t>授权代表身份证复印件</w:t>
      </w:r>
    </w:p>
    <w:tbl>
      <w:tblPr>
        <w:tblStyle w:val="22"/>
        <w:tblW w:w="8357" w:type="dxa"/>
        <w:tblInd w:w="540" w:type="dxa"/>
        <w:tblLayout w:type="fixed"/>
        <w:tblCellMar>
          <w:top w:w="0" w:type="dxa"/>
          <w:left w:w="108" w:type="dxa"/>
          <w:bottom w:w="0" w:type="dxa"/>
          <w:right w:w="108" w:type="dxa"/>
        </w:tblCellMar>
      </w:tblPr>
      <w:tblGrid>
        <w:gridCol w:w="4246"/>
        <w:gridCol w:w="4111"/>
      </w:tblGrid>
      <w:tr w14:paraId="72A02F60">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432CA061">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3B6ACE1E">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A9621A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4"/>
                <w:highlight w:val="none"/>
              </w:rPr>
              <w:t>授权代表</w:t>
            </w:r>
            <w:r>
              <w:rPr>
                <w:rFonts w:hint="eastAsia" w:hAnsi="宋体" w:cs="宋体"/>
                <w:szCs w:val="21"/>
                <w:highlight w:val="none"/>
              </w:rPr>
              <w:t>身份证复印件粘贴处</w:t>
            </w:r>
          </w:p>
          <w:p w14:paraId="10BF4C15">
            <w:pPr>
              <w:autoSpaceDE w:val="0"/>
              <w:autoSpaceDN w:val="0"/>
              <w:adjustRightInd w:val="0"/>
              <w:snapToGrid w:val="0"/>
              <w:spacing w:before="156" w:beforeLines="50" w:line="360" w:lineRule="auto"/>
              <w:jc w:val="center"/>
              <w:rPr>
                <w:rFonts w:hAnsi="宋体" w:cs="宋体"/>
                <w:highlight w:val="none"/>
                <w:u w:val="single"/>
              </w:rPr>
            </w:pPr>
            <w:r>
              <w:rPr>
                <w:rFonts w:hint="eastAsia" w:hAnsi="宋体" w:cs="宋体"/>
                <w:szCs w:val="21"/>
                <w:highlight w:val="none"/>
              </w:rPr>
              <w:t>（正反面）</w:t>
            </w:r>
          </w:p>
        </w:tc>
      </w:tr>
    </w:tbl>
    <w:p w14:paraId="00AECB32">
      <w:pPr>
        <w:spacing w:line="480" w:lineRule="auto"/>
        <w:ind w:left="485" w:leftChars="202"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07960D68">
      <w:pPr>
        <w:spacing w:line="440" w:lineRule="exact"/>
        <w:ind w:left="485" w:leftChars="202"/>
        <w:rPr>
          <w:rFonts w:hAnsi="宋体" w:cs="宋体"/>
          <w:spacing w:val="4"/>
          <w:szCs w:val="30"/>
          <w:highlight w:val="none"/>
        </w:rPr>
      </w:pPr>
      <w:r>
        <w:rPr>
          <w:rFonts w:hint="eastAsia" w:hAnsi="宋体" w:cs="宋体"/>
          <w:spacing w:val="4"/>
          <w:szCs w:val="30"/>
          <w:highlight w:val="none"/>
        </w:rPr>
        <w:t>日   期：</w:t>
      </w:r>
    </w:p>
    <w:p w14:paraId="4EB72CCF">
      <w:pPr>
        <w:ind w:firstLine="482" w:firstLineChars="200"/>
        <w:rPr>
          <w:rFonts w:hAnsi="宋体" w:cs="宋体"/>
          <w:b/>
          <w:bCs/>
          <w:highlight w:val="none"/>
          <w:lang w:val="zh-CN"/>
        </w:rPr>
      </w:pPr>
    </w:p>
    <w:p w14:paraId="54669903">
      <w:pPr>
        <w:ind w:firstLine="496" w:firstLineChars="200"/>
        <w:rPr>
          <w:rFonts w:hAnsi="宋体" w:cs="宋体"/>
          <w:highlight w:val="none"/>
        </w:rPr>
      </w:pPr>
      <w:bookmarkStart w:id="279" w:name="_Toc25905"/>
      <w:r>
        <w:rPr>
          <w:rFonts w:hint="eastAsia" w:hAnsi="宋体" w:cs="宋体"/>
          <w:spacing w:val="4"/>
          <w:szCs w:val="30"/>
          <w:highlight w:val="none"/>
        </w:rPr>
        <w:br w:type="page"/>
      </w:r>
      <w:bookmarkEnd w:id="279"/>
    </w:p>
    <w:p w14:paraId="652052E4">
      <w:pPr>
        <w:rPr>
          <w:rFonts w:hAnsi="宋体" w:cs="宋体"/>
          <w:b/>
          <w:bCs/>
          <w:sz w:val="32"/>
          <w:szCs w:val="32"/>
          <w:highlight w:val="none"/>
          <w:shd w:val="clear" w:color="auto" w:fill="FFFFFF"/>
        </w:rPr>
      </w:pPr>
      <w:r>
        <w:rPr>
          <w:rFonts w:hint="eastAsia" w:hAnsi="宋体" w:cs="宋体"/>
          <w:b/>
          <w:bCs/>
          <w:sz w:val="32"/>
          <w:szCs w:val="32"/>
          <w:highlight w:val="none"/>
          <w:shd w:val="clear" w:color="auto" w:fill="FFFFFF"/>
        </w:rPr>
        <w:t>附件2：</w:t>
      </w:r>
    </w:p>
    <w:p w14:paraId="750FA70C">
      <w:pPr>
        <w:widowControl/>
        <w:spacing w:line="360" w:lineRule="auto"/>
        <w:ind w:left="1" w:firstLine="281" w:firstLineChars="100"/>
        <w:rPr>
          <w:rFonts w:hAnsi="宋体" w:cs="宋体"/>
          <w:b/>
          <w:sz w:val="28"/>
          <w:szCs w:val="28"/>
          <w:highlight w:val="none"/>
        </w:rPr>
      </w:pPr>
    </w:p>
    <w:p w14:paraId="02A84205">
      <w:pPr>
        <w:widowControl/>
        <w:spacing w:line="360" w:lineRule="auto"/>
        <w:ind w:left="1" w:firstLine="281" w:firstLineChars="100"/>
        <w:jc w:val="center"/>
        <w:rPr>
          <w:rFonts w:hAnsi="宋体" w:cs="宋体"/>
          <w:b/>
          <w:sz w:val="28"/>
          <w:szCs w:val="28"/>
          <w:highlight w:val="none"/>
        </w:rPr>
      </w:pPr>
    </w:p>
    <w:p w14:paraId="3624D693">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2DB874FE">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0341F2D4">
      <w:pPr>
        <w:pStyle w:val="20"/>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DC153B1">
      <w:pPr>
        <w:pStyle w:val="20"/>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19180D3">
      <w:pPr>
        <w:pStyle w:val="20"/>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6961016">
      <w:pPr>
        <w:pStyle w:val="20"/>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39A3587E">
      <w:pPr>
        <w:pStyle w:val="20"/>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0BA0104">
      <w:pPr>
        <w:pStyle w:val="20"/>
        <w:wordWrap w:val="0"/>
        <w:spacing w:beforeAutospacing="0" w:afterAutospacing="0" w:line="560" w:lineRule="exact"/>
        <w:ind w:firstLine="420"/>
        <w:rPr>
          <w:rFonts w:cs="宋体"/>
          <w:highlight w:val="none"/>
          <w:shd w:val="clear" w:color="auto" w:fill="FFFFFF"/>
        </w:rPr>
      </w:pPr>
    </w:p>
    <w:p w14:paraId="0EB0E94B">
      <w:pPr>
        <w:spacing w:line="480" w:lineRule="auto"/>
        <w:ind w:firstLine="3360" w:firstLineChars="1400"/>
        <w:rPr>
          <w:rFonts w:hAnsi="宋体" w:cs="宋体"/>
          <w:highlight w:val="none"/>
        </w:rPr>
      </w:pPr>
    </w:p>
    <w:p w14:paraId="00991601">
      <w:pPr>
        <w:spacing w:line="480" w:lineRule="auto"/>
        <w:ind w:firstLine="3360" w:firstLineChars="1400"/>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（盖章）</w:t>
      </w:r>
    </w:p>
    <w:p w14:paraId="06BACBE7">
      <w:pPr>
        <w:pStyle w:val="50"/>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4F2A15E">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C0B8A6B">
      <w:pPr>
        <w:adjustRightInd w:val="0"/>
        <w:snapToGrid w:val="0"/>
        <w:spacing w:line="360" w:lineRule="auto"/>
        <w:jc w:val="center"/>
        <w:rPr>
          <w:rFonts w:asciiTheme="minorEastAsia" w:hAnsiTheme="minorEastAsia" w:eastAsiaTheme="minorEastAsia" w:cstheme="minorEastAsia"/>
          <w:b/>
          <w:sz w:val="28"/>
          <w:szCs w:val="28"/>
          <w:highlight w:val="none"/>
        </w:rPr>
      </w:pPr>
    </w:p>
    <w:p w14:paraId="2CF67271">
      <w:pPr>
        <w:adjustRightInd w:val="0"/>
        <w:snapToGrid w:val="0"/>
        <w:spacing w:line="360" w:lineRule="auto"/>
        <w:jc w:val="center"/>
        <w:rPr>
          <w:rFonts w:hAnsi="宋体" w:cs="宋体"/>
          <w:b/>
          <w:sz w:val="28"/>
          <w:szCs w:val="28"/>
          <w:highlight w:val="none"/>
        </w:rPr>
      </w:pPr>
    </w:p>
    <w:p w14:paraId="6C91E9DA">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67C34646">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0C4E2CB4">
      <w:pPr>
        <w:rPr>
          <w:highlight w:val="none"/>
        </w:rPr>
      </w:pPr>
    </w:p>
    <w:p w14:paraId="7AF00B94">
      <w:pPr>
        <w:pStyle w:val="14"/>
        <w:adjustRightInd w:val="0"/>
        <w:snapToGrid w:val="0"/>
        <w:spacing w:line="720" w:lineRule="exact"/>
        <w:jc w:val="center"/>
        <w:rPr>
          <w:rFonts w:hAnsi="宋体" w:cs="宋体"/>
          <w:b/>
          <w:sz w:val="28"/>
          <w:szCs w:val="28"/>
          <w:highlight w:val="none"/>
        </w:rPr>
      </w:pPr>
    </w:p>
    <w:p w14:paraId="7BBCDC97">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36D0F603">
      <w:pPr>
        <w:pStyle w:val="14"/>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291F04B6">
      <w:pPr>
        <w:pStyle w:val="14"/>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17797663">
      <w:pPr>
        <w:pStyle w:val="14"/>
        <w:adjustRightInd w:val="0"/>
        <w:snapToGrid w:val="0"/>
        <w:spacing w:line="720" w:lineRule="exact"/>
        <w:rPr>
          <w:rFonts w:hAnsi="宋体" w:cs="宋体"/>
          <w:spacing w:val="4"/>
          <w:sz w:val="24"/>
          <w:szCs w:val="24"/>
          <w:highlight w:val="none"/>
        </w:rPr>
      </w:pPr>
    </w:p>
    <w:p w14:paraId="615BD551">
      <w:pPr>
        <w:pStyle w:val="14"/>
        <w:adjustRightInd w:val="0"/>
        <w:snapToGrid w:val="0"/>
        <w:spacing w:line="720" w:lineRule="exact"/>
        <w:rPr>
          <w:rFonts w:hAnsi="宋体" w:cs="宋体"/>
          <w:spacing w:val="4"/>
          <w:sz w:val="24"/>
          <w:szCs w:val="24"/>
          <w:highlight w:val="none"/>
        </w:rPr>
      </w:pPr>
    </w:p>
    <w:p w14:paraId="3EF37E78">
      <w:pPr>
        <w:pStyle w:val="14"/>
        <w:adjustRightInd w:val="0"/>
        <w:snapToGrid w:val="0"/>
        <w:spacing w:line="720" w:lineRule="exact"/>
        <w:rPr>
          <w:rFonts w:hAnsi="宋体" w:cs="宋体"/>
          <w:spacing w:val="4"/>
          <w:sz w:val="24"/>
          <w:szCs w:val="24"/>
          <w:highlight w:val="none"/>
        </w:rPr>
      </w:pPr>
    </w:p>
    <w:p w14:paraId="4E4BA16F">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48D1E4CA">
      <w:pPr>
        <w:pStyle w:val="50"/>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3358E9DD">
      <w:pPr>
        <w:rPr>
          <w:rFonts w:hAnsi="宋体" w:cs="宋体"/>
          <w:b/>
          <w:sz w:val="28"/>
          <w:szCs w:val="28"/>
          <w:highlight w:val="none"/>
        </w:rPr>
      </w:pPr>
      <w:r>
        <w:rPr>
          <w:rFonts w:hint="eastAsia" w:hAnsi="宋体" w:cs="宋体"/>
          <w:b/>
          <w:sz w:val="28"/>
          <w:szCs w:val="28"/>
          <w:highlight w:val="none"/>
        </w:rPr>
        <w:br w:type="page"/>
      </w:r>
    </w:p>
    <w:p w14:paraId="77406411">
      <w:pPr>
        <w:jc w:val="center"/>
        <w:rPr>
          <w:rFonts w:hint="eastAsia" w:hAnsi="宋体" w:cs="宋体"/>
          <w:b/>
          <w:sz w:val="28"/>
          <w:szCs w:val="28"/>
          <w:highlight w:val="none"/>
          <w:lang w:val="en-US" w:eastAsia="zh-CN"/>
        </w:rPr>
      </w:pPr>
      <w:r>
        <w:rPr>
          <w:rFonts w:hint="eastAsia" w:hAnsi="宋体" w:cs="宋体"/>
          <w:b/>
          <w:sz w:val="28"/>
          <w:szCs w:val="28"/>
          <w:highlight w:val="none"/>
          <w:lang w:val="en-US" w:eastAsia="zh-CN"/>
        </w:rPr>
        <w:t>承诺函</w:t>
      </w:r>
    </w:p>
    <w:p w14:paraId="4C754884">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6D5D3835">
      <w:pPr>
        <w:ind w:firstLine="562" w:firstLineChars="200"/>
        <w:jc w:val="both"/>
        <w:rPr>
          <w:rFonts w:hint="eastAsia" w:hAnsi="宋体" w:cs="宋体"/>
          <w:b/>
          <w:sz w:val="28"/>
          <w:szCs w:val="28"/>
          <w:highlight w:val="none"/>
        </w:rPr>
      </w:pPr>
    </w:p>
    <w:p w14:paraId="72E64110">
      <w:pPr>
        <w:ind w:firstLine="867" w:firstLineChars="300"/>
        <w:jc w:val="both"/>
        <w:rPr>
          <w:rFonts w:hint="eastAsia" w:hAnsi="宋体" w:cs="宋体"/>
          <w:b/>
          <w:sz w:val="28"/>
          <w:szCs w:val="28"/>
          <w:highlight w:val="none"/>
        </w:rPr>
      </w:pPr>
      <w:r>
        <w:rPr>
          <w:rFonts w:hint="eastAsia" w:hAnsi="宋体" w:cs="宋体"/>
          <w:b/>
          <w:bCs/>
          <w:spacing w:val="4"/>
          <w:sz w:val="28"/>
          <w:szCs w:val="28"/>
          <w:highlight w:val="none"/>
          <w:u w:val="none"/>
        </w:rPr>
        <w:t>我公司郑重承诺</w:t>
      </w:r>
      <w:r>
        <w:rPr>
          <w:rFonts w:hint="eastAsia" w:hAnsi="宋体" w:cs="宋体"/>
          <w:b/>
          <w:bCs/>
          <w:spacing w:val="4"/>
          <w:sz w:val="28"/>
          <w:szCs w:val="28"/>
          <w:highlight w:val="none"/>
          <w:u w:val="none"/>
          <w:lang w:val="en-US" w:eastAsia="zh-CN"/>
        </w:rPr>
        <w:t>，</w:t>
      </w:r>
      <w:r>
        <w:rPr>
          <w:rFonts w:hint="eastAsia" w:hAnsi="宋体" w:cs="宋体"/>
          <w:b/>
          <w:sz w:val="28"/>
          <w:szCs w:val="28"/>
          <w:highlight w:val="none"/>
        </w:rPr>
        <w:t>为了确保</w:t>
      </w:r>
      <w:r>
        <w:rPr>
          <w:rFonts w:hint="eastAsia" w:hAnsi="宋体" w:cs="宋体"/>
          <w:b/>
          <w:sz w:val="28"/>
          <w:szCs w:val="28"/>
          <w:highlight w:val="none"/>
          <w:lang w:val="en-US" w:eastAsia="zh-CN"/>
        </w:rPr>
        <w:t>项目完成质量</w:t>
      </w:r>
      <w:r>
        <w:rPr>
          <w:rFonts w:hint="eastAsia" w:hAnsi="宋体" w:cs="宋体"/>
          <w:b/>
          <w:sz w:val="28"/>
          <w:szCs w:val="28"/>
          <w:highlight w:val="none"/>
        </w:rPr>
        <w:t>，此项目招标录播相关设备</w:t>
      </w:r>
      <w:r>
        <w:rPr>
          <w:rFonts w:hint="eastAsia" w:hAnsi="宋体" w:cs="宋体"/>
          <w:b/>
          <w:sz w:val="28"/>
          <w:szCs w:val="28"/>
          <w:highlight w:val="none"/>
          <w:lang w:val="en-US" w:eastAsia="zh-CN"/>
        </w:rPr>
        <w:t>由我公司承担</w:t>
      </w:r>
      <w:r>
        <w:rPr>
          <w:rFonts w:hint="eastAsia" w:hAnsi="宋体" w:cs="宋体"/>
          <w:b/>
          <w:sz w:val="28"/>
          <w:szCs w:val="28"/>
          <w:highlight w:val="none"/>
        </w:rPr>
        <w:t>无缝衔接</w:t>
      </w:r>
      <w:r>
        <w:rPr>
          <w:rFonts w:hint="eastAsia" w:hAnsi="宋体" w:cs="宋体"/>
          <w:b/>
          <w:sz w:val="28"/>
          <w:szCs w:val="28"/>
          <w:highlight w:val="none"/>
          <w:lang w:val="en-US" w:eastAsia="zh-CN"/>
        </w:rPr>
        <w:t>至</w:t>
      </w:r>
      <w:r>
        <w:rPr>
          <w:rFonts w:hint="eastAsia" w:hAnsi="宋体" w:cs="宋体"/>
          <w:b/>
          <w:sz w:val="28"/>
          <w:szCs w:val="28"/>
          <w:highlight w:val="none"/>
          <w:lang w:eastAsia="zh-CN"/>
        </w:rPr>
        <w:t>“</w:t>
      </w:r>
      <w:r>
        <w:rPr>
          <w:rFonts w:hint="eastAsia" w:hAnsi="宋体" w:cs="宋体"/>
          <w:b/>
          <w:sz w:val="28"/>
          <w:szCs w:val="28"/>
          <w:highlight w:val="none"/>
        </w:rPr>
        <w:t>镇安县教育信息平台</w:t>
      </w:r>
      <w:r>
        <w:rPr>
          <w:rFonts w:hint="eastAsia" w:hAnsi="宋体" w:cs="宋体"/>
          <w:b/>
          <w:sz w:val="28"/>
          <w:szCs w:val="28"/>
          <w:highlight w:val="none"/>
          <w:lang w:eastAsia="zh-CN"/>
        </w:rPr>
        <w:t>”</w:t>
      </w:r>
      <w:r>
        <w:rPr>
          <w:rFonts w:hint="eastAsia" w:hAnsi="宋体" w:cs="宋体"/>
          <w:b/>
          <w:sz w:val="28"/>
          <w:szCs w:val="28"/>
          <w:highlight w:val="none"/>
        </w:rPr>
        <w:t>。</w:t>
      </w:r>
    </w:p>
    <w:p w14:paraId="78F386D1">
      <w:pPr>
        <w:ind w:firstLine="562" w:firstLineChars="200"/>
        <w:jc w:val="both"/>
        <w:rPr>
          <w:rFonts w:hint="eastAsia" w:hAnsi="宋体" w:cs="宋体"/>
          <w:b/>
          <w:sz w:val="28"/>
          <w:szCs w:val="28"/>
          <w:highlight w:val="none"/>
        </w:rPr>
      </w:pPr>
    </w:p>
    <w:p w14:paraId="4957E8C5">
      <w:pPr>
        <w:spacing w:line="480" w:lineRule="auto"/>
        <w:ind w:firstLine="3360" w:firstLineChars="1400"/>
        <w:jc w:val="right"/>
        <w:rPr>
          <w:rFonts w:hint="eastAsia" w:hAnsi="宋体" w:cs="宋体"/>
          <w:highlight w:val="none"/>
          <w:lang w:val="en-US" w:eastAsia="zh-CN"/>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r>
        <w:rPr>
          <w:rFonts w:hint="eastAsia" w:hAnsi="宋体" w:cs="宋体"/>
          <w:highlight w:val="none"/>
          <w:lang w:val="en-US" w:eastAsia="zh-CN"/>
        </w:rPr>
        <w:t xml:space="preserve"> </w:t>
      </w:r>
    </w:p>
    <w:p w14:paraId="7B87A46D">
      <w:pPr>
        <w:spacing w:line="480" w:lineRule="auto"/>
        <w:ind w:firstLine="3360" w:firstLineChars="1400"/>
        <w:jc w:val="right"/>
        <w:rPr>
          <w:rFonts w:hint="eastAsia"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61D18ED9">
      <w:pPr>
        <w:spacing w:line="480" w:lineRule="auto"/>
        <w:ind w:firstLine="3360" w:firstLineChars="1400"/>
        <w:jc w:val="right"/>
        <w:rPr>
          <w:rFonts w:hint="eastAsia" w:ascii="宋体" w:hAnsi="宋体" w:cs="宋体"/>
          <w:szCs w:val="24"/>
          <w:highlight w:val="none"/>
        </w:rPr>
      </w:pPr>
    </w:p>
    <w:p w14:paraId="182C196C">
      <w:pPr>
        <w:spacing w:line="480" w:lineRule="auto"/>
        <w:jc w:val="both"/>
        <w:rPr>
          <w:rFonts w:hint="eastAsia" w:hAnsi="宋体" w:cs="宋体"/>
          <w:b/>
          <w:sz w:val="28"/>
          <w:szCs w:val="28"/>
          <w:highlight w:val="none"/>
        </w:rPr>
      </w:pPr>
      <w:r>
        <w:rPr>
          <w:rFonts w:hint="eastAsia" w:hAnsi="宋体" w:cs="宋体"/>
          <w:b/>
          <w:bCs/>
          <w:szCs w:val="24"/>
          <w:highlight w:val="none"/>
          <w:lang w:val="en-US" w:eastAsia="zh-CN"/>
        </w:rPr>
        <w:t>备注：不提供此承诺函按无效标处理。</w:t>
      </w:r>
      <w:r>
        <w:rPr>
          <w:rFonts w:hint="eastAsia" w:hAnsi="宋体" w:cs="宋体"/>
          <w:b/>
          <w:sz w:val="28"/>
          <w:szCs w:val="28"/>
          <w:highlight w:val="none"/>
        </w:rPr>
        <w:br w:type="page"/>
      </w:r>
    </w:p>
    <w:p w14:paraId="0CA6F2B7">
      <w:pPr>
        <w:rPr>
          <w:rFonts w:hAnsi="宋体" w:cs="宋体"/>
          <w:b/>
          <w:sz w:val="28"/>
          <w:szCs w:val="28"/>
          <w:highlight w:val="none"/>
        </w:rPr>
      </w:pPr>
      <w:r>
        <w:rPr>
          <w:rFonts w:hint="eastAsia" w:hAnsi="宋体" w:cs="宋体"/>
          <w:b/>
          <w:sz w:val="28"/>
          <w:szCs w:val="28"/>
          <w:highlight w:val="none"/>
        </w:rPr>
        <w:t>附件3</w:t>
      </w:r>
      <w:r>
        <w:rPr>
          <w:rFonts w:hint="eastAsia" w:hAnsi="宋体" w:cs="宋体"/>
          <w:b/>
          <w:sz w:val="28"/>
          <w:szCs w:val="28"/>
          <w:highlight w:val="none"/>
          <w:lang w:eastAsia="zh-CN"/>
        </w:rPr>
        <w:t>（</w:t>
      </w:r>
      <w:r>
        <w:rPr>
          <w:rFonts w:hint="eastAsia" w:hAnsi="宋体" w:cs="宋体"/>
          <w:b/>
          <w:sz w:val="28"/>
          <w:szCs w:val="28"/>
          <w:highlight w:val="none"/>
          <w:lang w:val="en-US" w:eastAsia="zh-CN"/>
        </w:rPr>
        <w:t>如有</w:t>
      </w:r>
      <w:r>
        <w:rPr>
          <w:rFonts w:hint="eastAsia" w:hAnsi="宋体" w:cs="宋体"/>
          <w:b/>
          <w:sz w:val="28"/>
          <w:szCs w:val="28"/>
          <w:highlight w:val="none"/>
          <w:lang w:eastAsia="zh-CN"/>
        </w:rPr>
        <w:t>）</w:t>
      </w:r>
      <w:r>
        <w:rPr>
          <w:rFonts w:hint="eastAsia" w:hAnsi="宋体" w:cs="宋体"/>
          <w:b/>
          <w:sz w:val="28"/>
          <w:szCs w:val="28"/>
          <w:highlight w:val="none"/>
        </w:rPr>
        <w:t>：</w:t>
      </w:r>
    </w:p>
    <w:p w14:paraId="52F68B3A">
      <w:pPr>
        <w:spacing w:before="100" w:beforeAutospacing="1" w:after="156" w:afterLines="50" w:line="360" w:lineRule="auto"/>
        <w:jc w:val="center"/>
        <w:rPr>
          <w:rFonts w:hAnsi="宋体" w:cs="宋体"/>
          <w:b/>
          <w:sz w:val="28"/>
          <w:szCs w:val="28"/>
          <w:highlight w:val="none"/>
        </w:rPr>
      </w:pPr>
    </w:p>
    <w:p w14:paraId="30504468">
      <w:pPr>
        <w:spacing w:line="588" w:lineRule="exact"/>
        <w:jc w:val="center"/>
        <w:rPr>
          <w:rFonts w:hAnsi="宋体" w:cs="宋体"/>
          <w:b/>
          <w:spacing w:val="6"/>
          <w:sz w:val="32"/>
          <w:szCs w:val="32"/>
          <w:highlight w:val="none"/>
        </w:rPr>
      </w:pPr>
      <w:r>
        <w:rPr>
          <w:rFonts w:hint="eastAsia" w:hAnsi="宋体" w:cs="宋体"/>
          <w:b/>
          <w:spacing w:val="6"/>
          <w:sz w:val="32"/>
          <w:szCs w:val="32"/>
          <w:highlight w:val="none"/>
        </w:rPr>
        <w:t>中小企业声明函</w:t>
      </w:r>
    </w:p>
    <w:p w14:paraId="0FF8EB13">
      <w:pPr>
        <w:pStyle w:val="10"/>
        <w:spacing w:before="2"/>
        <w:rPr>
          <w:rFonts w:ascii="宋体"/>
          <w:b/>
          <w:sz w:val="24"/>
          <w:highlight w:val="none"/>
        </w:rPr>
      </w:pPr>
    </w:p>
    <w:p w14:paraId="652947F1">
      <w:pPr>
        <w:pStyle w:val="10"/>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本公司（联合体）郑重声明，根据《政府采购促进中小企业发展管理办法》（财库﹝2020﹞46 号）的规定，本公司（联合体）参加（</w:t>
      </w:r>
      <w:r>
        <w:rPr>
          <w:rFonts w:hint="eastAsia" w:ascii="宋体" w:hAnsi="宋体" w:cs="宋体"/>
          <w:spacing w:val="6"/>
          <w:sz w:val="24"/>
          <w:szCs w:val="24"/>
          <w:highlight w:val="none"/>
          <w:u w:val="single"/>
        </w:rPr>
        <w:t xml:space="preserve">单位名称   </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）采购活动，提供的货物全部由符合政策要求的中小企业制造。相关企业（含联合体中的中小企业、签订分包意向协议的中小企业）的具体情况如下：</w:t>
      </w:r>
    </w:p>
    <w:p w14:paraId="6E7D5846">
      <w:pPr>
        <w:pStyle w:val="29"/>
        <w:tabs>
          <w:tab w:val="left" w:pos="1183"/>
          <w:tab w:val="left" w:pos="1484"/>
          <w:tab w:val="left" w:pos="4662"/>
          <w:tab w:val="left" w:pos="6903"/>
        </w:tabs>
        <w:spacing w:line="360" w:lineRule="auto"/>
        <w:ind w:firstLine="504"/>
        <w:jc w:val="left"/>
        <w:rPr>
          <w:rFonts w:hAnsi="宋体" w:cs="宋体"/>
          <w:spacing w:val="6"/>
          <w:kern w:val="2"/>
          <w:szCs w:val="24"/>
          <w:highlight w:val="none"/>
        </w:rPr>
      </w:pPr>
      <w:r>
        <w:rPr>
          <w:rFonts w:hint="eastAsia" w:hAnsi="宋体" w:cs="宋体"/>
          <w:spacing w:val="6"/>
          <w:kern w:val="2"/>
          <w:szCs w:val="24"/>
          <w:highlight w:val="none"/>
        </w:rPr>
        <w:t>1.</w:t>
      </w:r>
      <w:r>
        <w:rPr>
          <w:rFonts w:hint="eastAsia" w:hAnsi="宋体" w:cs="宋体"/>
          <w:spacing w:val="6"/>
          <w:kern w:val="2"/>
          <w:szCs w:val="24"/>
          <w:highlight w:val="none"/>
          <w:u w:val="single"/>
        </w:rPr>
        <w:t>（ 标 的 名 称 ）</w:t>
      </w:r>
      <w:r>
        <w:rPr>
          <w:rFonts w:hint="eastAsia" w:hAnsi="宋体" w:cs="宋体"/>
          <w:spacing w:val="6"/>
          <w:kern w:val="2"/>
          <w:szCs w:val="24"/>
          <w:highlight w:val="none"/>
        </w:rPr>
        <w:t>，属于</w:t>
      </w:r>
      <w:r>
        <w:rPr>
          <w:rFonts w:hint="eastAsia" w:hAnsi="宋体" w:cs="宋体"/>
          <w:spacing w:val="6"/>
          <w:kern w:val="2"/>
          <w:szCs w:val="24"/>
          <w:highlight w:val="none"/>
          <w:u w:val="single"/>
        </w:rPr>
        <w:t>（ 采 购 文 件 中 明 确 的 所 属 行 业 ）行业</w:t>
      </w:r>
      <w:r>
        <w:rPr>
          <w:rFonts w:hint="eastAsia" w:hAnsi="宋体" w:cs="宋体"/>
          <w:spacing w:val="6"/>
          <w:kern w:val="2"/>
          <w:szCs w:val="24"/>
          <w:highlight w:val="none"/>
        </w:rPr>
        <w:t>；制造商为</w:t>
      </w:r>
      <w:r>
        <w:rPr>
          <w:rFonts w:hint="eastAsia" w:hAnsi="宋体" w:cs="宋体"/>
          <w:spacing w:val="6"/>
          <w:kern w:val="2"/>
          <w:szCs w:val="24"/>
          <w:highlight w:val="none"/>
          <w:u w:val="single"/>
        </w:rPr>
        <w:t>（企业名称）</w:t>
      </w:r>
      <w:r>
        <w:rPr>
          <w:rFonts w:hint="eastAsia" w:hAnsi="宋体" w:cs="宋体"/>
          <w:spacing w:val="6"/>
          <w:kern w:val="2"/>
          <w:szCs w:val="24"/>
          <w:highlight w:val="none"/>
        </w:rPr>
        <w:t>，从业人员</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人，营业收入为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万元，资产总额为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w:t>
      </w:r>
      <w:r>
        <w:rPr>
          <w:rFonts w:hint="eastAsia" w:hAnsi="宋体" w:cs="宋体"/>
          <w:spacing w:val="6"/>
          <w:kern w:val="2"/>
          <w:szCs w:val="24"/>
          <w:highlight w:val="none"/>
          <w:u w:val="single"/>
        </w:rPr>
        <w:t>属于（中型企业、小型企业、微型企业）</w:t>
      </w:r>
      <w:r>
        <w:rPr>
          <w:rFonts w:hint="eastAsia" w:hAnsi="宋体" w:cs="宋体"/>
          <w:spacing w:val="6"/>
          <w:kern w:val="2"/>
          <w:szCs w:val="24"/>
          <w:highlight w:val="none"/>
        </w:rPr>
        <w:t>；</w:t>
      </w:r>
    </w:p>
    <w:p w14:paraId="07E32888">
      <w:pPr>
        <w:pStyle w:val="29"/>
        <w:tabs>
          <w:tab w:val="left" w:pos="1183"/>
          <w:tab w:val="left" w:pos="1484"/>
          <w:tab w:val="left" w:pos="4662"/>
          <w:tab w:val="left" w:pos="6903"/>
        </w:tabs>
        <w:spacing w:line="360" w:lineRule="auto"/>
        <w:ind w:firstLine="504"/>
        <w:jc w:val="left"/>
        <w:rPr>
          <w:rFonts w:hAnsi="宋体" w:cs="宋体"/>
          <w:spacing w:val="6"/>
          <w:kern w:val="2"/>
          <w:szCs w:val="24"/>
          <w:highlight w:val="none"/>
        </w:rPr>
      </w:pPr>
      <w:r>
        <w:rPr>
          <w:rFonts w:hint="eastAsia" w:hAnsi="宋体" w:cs="宋体"/>
          <w:spacing w:val="6"/>
          <w:kern w:val="2"/>
          <w:szCs w:val="24"/>
          <w:highlight w:val="none"/>
        </w:rPr>
        <w:t>2.</w:t>
      </w:r>
      <w:r>
        <w:rPr>
          <w:rFonts w:hint="eastAsia" w:hAnsi="宋体" w:cs="宋体"/>
          <w:spacing w:val="6"/>
          <w:kern w:val="2"/>
          <w:szCs w:val="24"/>
          <w:highlight w:val="none"/>
          <w:u w:val="single"/>
        </w:rPr>
        <w:t>（ 标 的 名 称 ）</w:t>
      </w:r>
      <w:r>
        <w:rPr>
          <w:rFonts w:hint="eastAsia" w:hAnsi="宋体" w:cs="宋体"/>
          <w:spacing w:val="6"/>
          <w:kern w:val="2"/>
          <w:szCs w:val="24"/>
          <w:highlight w:val="none"/>
        </w:rPr>
        <w:t>，属于</w:t>
      </w:r>
      <w:r>
        <w:rPr>
          <w:rFonts w:hint="eastAsia" w:hAnsi="宋体" w:cs="宋体"/>
          <w:spacing w:val="6"/>
          <w:kern w:val="2"/>
          <w:szCs w:val="24"/>
          <w:highlight w:val="none"/>
          <w:u w:val="single"/>
        </w:rPr>
        <w:t>（ 采 购 文 件 中 明 确 的 所 属 行 业 ）行业</w:t>
      </w:r>
      <w:r>
        <w:rPr>
          <w:rFonts w:hint="eastAsia" w:hAnsi="宋体" w:cs="宋体"/>
          <w:spacing w:val="6"/>
          <w:kern w:val="2"/>
          <w:szCs w:val="24"/>
          <w:highlight w:val="none"/>
        </w:rPr>
        <w:t>；制造商为</w:t>
      </w:r>
      <w:r>
        <w:rPr>
          <w:rFonts w:hint="eastAsia" w:hAnsi="宋体" w:cs="宋体"/>
          <w:spacing w:val="6"/>
          <w:kern w:val="2"/>
          <w:szCs w:val="24"/>
          <w:highlight w:val="none"/>
          <w:u w:val="single"/>
        </w:rPr>
        <w:t>（企业名称）</w:t>
      </w:r>
      <w:r>
        <w:rPr>
          <w:rFonts w:hint="eastAsia" w:hAnsi="宋体" w:cs="宋体"/>
          <w:spacing w:val="6"/>
          <w:kern w:val="2"/>
          <w:szCs w:val="24"/>
          <w:highlight w:val="none"/>
        </w:rPr>
        <w:t>，从业人员</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人，营业收入为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万元，资产总额为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w:t>
      </w:r>
      <w:r>
        <w:rPr>
          <w:rFonts w:hint="eastAsia" w:hAnsi="宋体" w:cs="宋体"/>
          <w:spacing w:val="6"/>
          <w:kern w:val="2"/>
          <w:szCs w:val="24"/>
          <w:highlight w:val="none"/>
          <w:u w:val="single"/>
        </w:rPr>
        <w:t>属于（中型企业、小型企业、微型企业）</w:t>
      </w:r>
      <w:r>
        <w:rPr>
          <w:rFonts w:hint="eastAsia" w:hAnsi="宋体" w:cs="宋体"/>
          <w:spacing w:val="6"/>
          <w:kern w:val="2"/>
          <w:szCs w:val="24"/>
          <w:highlight w:val="none"/>
        </w:rPr>
        <w:t>；</w:t>
      </w:r>
    </w:p>
    <w:p w14:paraId="7105F8FB">
      <w:pPr>
        <w:pStyle w:val="10"/>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w:t>
      </w:r>
    </w:p>
    <w:p w14:paraId="3967C723">
      <w:pPr>
        <w:pStyle w:val="10"/>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14:paraId="4BA27F2B">
      <w:pPr>
        <w:pStyle w:val="10"/>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本企业对上述声明内容的真实性负责。如有虚假，将依法承担相应责任。</w:t>
      </w:r>
    </w:p>
    <w:p w14:paraId="0A689D0E">
      <w:pPr>
        <w:pStyle w:val="10"/>
        <w:spacing w:before="35" w:line="316" w:lineRule="auto"/>
        <w:ind w:left="4060" w:right="2166"/>
        <w:rPr>
          <w:rFonts w:ascii="宋体" w:hAnsi="宋体" w:cs="宋体"/>
          <w:spacing w:val="6"/>
          <w:sz w:val="24"/>
          <w:szCs w:val="24"/>
          <w:highlight w:val="none"/>
        </w:rPr>
      </w:pPr>
    </w:p>
    <w:p w14:paraId="5348B8F6">
      <w:pPr>
        <w:pStyle w:val="10"/>
        <w:spacing w:before="35" w:line="316" w:lineRule="auto"/>
        <w:ind w:left="4060" w:right="2166"/>
        <w:rPr>
          <w:rFonts w:ascii="宋体" w:hAnsi="宋体" w:cs="宋体"/>
          <w:spacing w:val="6"/>
          <w:sz w:val="24"/>
          <w:szCs w:val="24"/>
          <w:highlight w:val="none"/>
        </w:rPr>
      </w:pPr>
      <w:r>
        <w:rPr>
          <w:rFonts w:hint="eastAsia" w:ascii="宋体" w:hAnsi="宋体" w:cs="宋体"/>
          <w:spacing w:val="6"/>
          <w:sz w:val="24"/>
          <w:szCs w:val="24"/>
          <w:highlight w:val="none"/>
        </w:rPr>
        <w:t>企业名称（盖章）：</w:t>
      </w:r>
    </w:p>
    <w:p w14:paraId="7DFD709D">
      <w:pPr>
        <w:pStyle w:val="10"/>
        <w:spacing w:before="35" w:line="316" w:lineRule="auto"/>
        <w:ind w:left="4060" w:right="2166"/>
        <w:rPr>
          <w:rFonts w:ascii="宋体" w:hAnsi="宋体" w:cs="宋体"/>
          <w:spacing w:val="6"/>
          <w:sz w:val="24"/>
          <w:szCs w:val="24"/>
          <w:highlight w:val="none"/>
        </w:rPr>
      </w:pPr>
      <w:r>
        <w:rPr>
          <w:rFonts w:hint="eastAsia" w:ascii="宋体" w:hAnsi="宋体" w:cs="宋体"/>
          <w:spacing w:val="6"/>
          <w:sz w:val="24"/>
          <w:szCs w:val="24"/>
          <w:highlight w:val="none"/>
        </w:rPr>
        <w:t>日期：</w:t>
      </w:r>
    </w:p>
    <w:p w14:paraId="7A3691CD">
      <w:pPr>
        <w:rPr>
          <w:rFonts w:hAnsi="宋体" w:cs="宋体"/>
          <w:b/>
          <w:sz w:val="28"/>
          <w:szCs w:val="28"/>
          <w:highlight w:val="none"/>
        </w:rPr>
      </w:pPr>
      <w:r>
        <w:rPr>
          <w:rFonts w:hint="eastAsia" w:hAnsi="宋体" w:cs="宋体"/>
          <w:b/>
          <w:sz w:val="28"/>
          <w:szCs w:val="28"/>
          <w:highlight w:val="none"/>
        </w:rPr>
        <w:br w:type="page"/>
      </w:r>
    </w:p>
    <w:p w14:paraId="752875AD">
      <w:pPr>
        <w:spacing w:before="312" w:beforeLines="100" w:after="156" w:afterLines="50"/>
        <w:rPr>
          <w:rFonts w:hAnsi="宋体" w:cs="宋体"/>
          <w:b/>
          <w:sz w:val="28"/>
          <w:szCs w:val="28"/>
          <w:highlight w:val="none"/>
        </w:rPr>
      </w:pPr>
      <w:r>
        <w:rPr>
          <w:rFonts w:hint="eastAsia" w:hAnsi="宋体" w:cs="宋体"/>
          <w:b/>
          <w:sz w:val="28"/>
          <w:szCs w:val="28"/>
          <w:highlight w:val="none"/>
        </w:rPr>
        <w:t>附件4（如有）：</w:t>
      </w:r>
    </w:p>
    <w:p w14:paraId="3E6111FC">
      <w:pPr>
        <w:spacing w:before="312" w:beforeLines="100" w:after="156" w:afterLines="50"/>
        <w:jc w:val="center"/>
        <w:rPr>
          <w:rFonts w:hAnsi="宋体" w:cs="宋体"/>
          <w:b/>
          <w:sz w:val="28"/>
          <w:szCs w:val="28"/>
          <w:highlight w:val="none"/>
        </w:rPr>
      </w:pPr>
      <w:r>
        <w:rPr>
          <w:rFonts w:hint="eastAsia" w:hAnsi="宋体" w:cs="宋体"/>
          <w:b/>
          <w:sz w:val="28"/>
          <w:szCs w:val="28"/>
          <w:highlight w:val="none"/>
        </w:rPr>
        <w:t>产品属节能、环境标志产品列表</w:t>
      </w:r>
    </w:p>
    <w:p w14:paraId="7CB9632E">
      <w:pPr>
        <w:spacing w:line="360" w:lineRule="auto"/>
        <w:rPr>
          <w:rFonts w:hAnsi="宋体" w:cs="宋体"/>
          <w:bCs/>
          <w:szCs w:val="24"/>
          <w:highlight w:val="none"/>
        </w:rPr>
      </w:pPr>
      <w:r>
        <w:rPr>
          <w:rFonts w:hint="eastAsia" w:hAnsi="宋体" w:cs="宋体"/>
          <w:bCs/>
          <w:szCs w:val="24"/>
          <w:highlight w:val="none"/>
        </w:rPr>
        <w:t>项目名称：</w:t>
      </w:r>
    </w:p>
    <w:p w14:paraId="00A949D2">
      <w:pPr>
        <w:spacing w:line="360" w:lineRule="auto"/>
        <w:rPr>
          <w:rFonts w:hAnsi="宋体" w:cs="宋体"/>
          <w:bCs/>
          <w:szCs w:val="24"/>
          <w:highlight w:val="none"/>
        </w:rPr>
      </w:pPr>
      <w:r>
        <w:rPr>
          <w:rFonts w:hint="eastAsia" w:hAnsi="宋体" w:cs="宋体"/>
          <w:bCs/>
          <w:szCs w:val="24"/>
          <w:highlight w:val="none"/>
        </w:rPr>
        <w:t>项目编号：</w:t>
      </w:r>
    </w:p>
    <w:tbl>
      <w:tblPr>
        <w:tblStyle w:val="22"/>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704D34CF">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1279D2D7">
            <w:pPr>
              <w:spacing w:after="120"/>
              <w:jc w:val="center"/>
              <w:rPr>
                <w:rFonts w:hAnsi="宋体" w:cs="宋体"/>
                <w:highlight w:val="none"/>
              </w:rPr>
            </w:pPr>
            <w:r>
              <w:rPr>
                <w:rFonts w:hint="eastAsia" w:hAnsi="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34C5AAB2">
            <w:pPr>
              <w:spacing w:after="120"/>
              <w:jc w:val="center"/>
              <w:rPr>
                <w:rFonts w:hAnsi="宋体" w:cs="宋体"/>
                <w:highlight w:val="none"/>
              </w:rPr>
            </w:pPr>
            <w:r>
              <w:rPr>
                <w:rFonts w:hint="eastAsia" w:hAnsi="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24717D2E">
            <w:pPr>
              <w:spacing w:before="156" w:beforeLines="50" w:after="120"/>
              <w:jc w:val="center"/>
              <w:rPr>
                <w:rFonts w:hAnsi="宋体" w:cs="宋体"/>
                <w:highlight w:val="none"/>
              </w:rPr>
            </w:pPr>
            <w:r>
              <w:rPr>
                <w:rFonts w:hint="eastAsia" w:hAnsi="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4147BF91">
            <w:pPr>
              <w:spacing w:after="120"/>
              <w:jc w:val="center"/>
              <w:rPr>
                <w:rFonts w:hAnsi="宋体" w:cs="宋体"/>
                <w:highlight w:val="none"/>
              </w:rPr>
            </w:pPr>
            <w:r>
              <w:rPr>
                <w:rFonts w:hint="eastAsia" w:hAnsi="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7DEADA10">
            <w:pPr>
              <w:spacing w:after="120"/>
              <w:jc w:val="center"/>
              <w:rPr>
                <w:rFonts w:hAnsi="宋体" w:cs="宋体"/>
                <w:highlight w:val="none"/>
              </w:rPr>
            </w:pPr>
            <w:r>
              <w:rPr>
                <w:rFonts w:hint="eastAsia" w:hAnsi="宋体" w:cs="宋体"/>
                <w:highlight w:val="none"/>
              </w:rPr>
              <w:t>单价</w:t>
            </w:r>
          </w:p>
          <w:p w14:paraId="4BB09EC6">
            <w:pPr>
              <w:spacing w:after="120"/>
              <w:jc w:val="center"/>
              <w:rPr>
                <w:rFonts w:hAnsi="宋体" w:cs="宋体"/>
                <w:bCs/>
                <w:highlight w:val="none"/>
              </w:rPr>
            </w:pPr>
            <w:r>
              <w:rPr>
                <w:rFonts w:hint="eastAsia" w:hAnsi="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34861C32">
            <w:pPr>
              <w:spacing w:after="120"/>
              <w:jc w:val="center"/>
              <w:rPr>
                <w:rFonts w:hAnsi="宋体" w:cs="宋体"/>
                <w:bCs/>
                <w:highlight w:val="none"/>
              </w:rPr>
            </w:pPr>
            <w:r>
              <w:rPr>
                <w:rFonts w:hint="eastAsia" w:hAnsi="宋体" w:cs="宋体"/>
                <w:bCs/>
                <w:highlight w:val="none"/>
              </w:rPr>
              <w:t>总价</w:t>
            </w:r>
          </w:p>
          <w:p w14:paraId="6E16672E">
            <w:pPr>
              <w:spacing w:after="120"/>
              <w:jc w:val="center"/>
              <w:rPr>
                <w:rFonts w:hAnsi="宋体" w:cs="宋体"/>
                <w:bCs/>
                <w:highlight w:val="none"/>
              </w:rPr>
            </w:pPr>
            <w:r>
              <w:rPr>
                <w:rFonts w:hint="eastAsia" w:hAnsi="宋体" w:cs="宋体"/>
                <w:bCs/>
                <w:highlight w:val="none"/>
              </w:rPr>
              <w:t>（元）</w:t>
            </w:r>
          </w:p>
        </w:tc>
      </w:tr>
      <w:tr w14:paraId="6C5EFE6A">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4438EBAC">
            <w:pPr>
              <w:spacing w:before="312" w:beforeLines="100"/>
              <w:jc w:val="center"/>
              <w:rPr>
                <w:rFonts w:hAnsi="宋体" w:cs="宋体"/>
                <w:highlight w:val="none"/>
              </w:rPr>
            </w:pPr>
            <w:r>
              <w:rPr>
                <w:rFonts w:hint="eastAsia" w:hAnsi="宋体" w:cs="宋体"/>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5AF0CC7D">
            <w:pPr>
              <w:spacing w:before="156" w:beforeLines="50"/>
              <w:jc w:val="center"/>
              <w:rPr>
                <w:rFonts w:hAnsi="宋体" w:cs="宋体"/>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77AE6560">
            <w:pPr>
              <w:spacing w:before="156" w:beforeLines="50"/>
              <w:jc w:val="center"/>
              <w:rPr>
                <w:rFonts w:hAnsi="宋体" w:cs="宋体"/>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F7525E2">
            <w:pPr>
              <w:spacing w:before="156" w:beforeLines="50"/>
              <w:jc w:val="center"/>
              <w:rPr>
                <w:rFonts w:hAnsi="宋体" w:cs="宋体"/>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3C4B19BC">
            <w:pPr>
              <w:spacing w:before="156" w:beforeLines="50"/>
              <w:jc w:val="center"/>
              <w:rPr>
                <w:rFonts w:hAnsi="宋体" w:cs="宋体"/>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F99F158">
            <w:pPr>
              <w:spacing w:before="156" w:beforeLines="50"/>
              <w:jc w:val="center"/>
              <w:rPr>
                <w:rFonts w:hAnsi="宋体" w:cs="宋体"/>
                <w:highlight w:val="none"/>
              </w:rPr>
            </w:pPr>
          </w:p>
        </w:tc>
      </w:tr>
      <w:tr w14:paraId="70E6A33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00ADC0F">
            <w:pPr>
              <w:spacing w:before="312" w:beforeLines="100"/>
              <w:jc w:val="center"/>
              <w:rPr>
                <w:rFonts w:hAnsi="宋体" w:cs="宋体"/>
                <w:highlight w:val="none"/>
              </w:rPr>
            </w:pPr>
            <w:r>
              <w:rPr>
                <w:rFonts w:hint="eastAsia" w:hAnsi="宋体" w:cs="宋体"/>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260BB62">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0C1ED56B">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953009A">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DBF02EC">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4769CFA7">
            <w:pPr>
              <w:spacing w:before="156" w:beforeLines="50"/>
              <w:jc w:val="center"/>
              <w:rPr>
                <w:rFonts w:hAnsi="宋体" w:cs="宋体"/>
                <w:highlight w:val="none"/>
              </w:rPr>
            </w:pPr>
          </w:p>
        </w:tc>
      </w:tr>
      <w:tr w14:paraId="626AEA6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8478E9F">
            <w:pPr>
              <w:spacing w:before="312" w:beforeLines="100"/>
              <w:jc w:val="center"/>
              <w:rPr>
                <w:rFonts w:hAnsi="宋体" w:cs="宋体"/>
                <w:highlight w:val="none"/>
              </w:rPr>
            </w:pPr>
            <w:r>
              <w:rPr>
                <w:rFonts w:hint="eastAsia" w:hAnsi="宋体" w:cs="宋体"/>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14DAD932">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5D93B33D">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C689498">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680E70FE">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05771674">
            <w:pPr>
              <w:spacing w:before="156" w:beforeLines="50"/>
              <w:jc w:val="center"/>
              <w:rPr>
                <w:rFonts w:hAnsi="宋体" w:cs="宋体"/>
                <w:highlight w:val="none"/>
              </w:rPr>
            </w:pPr>
          </w:p>
        </w:tc>
      </w:tr>
      <w:tr w14:paraId="04390BA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0A1A1A2">
            <w:pPr>
              <w:spacing w:before="312" w:beforeLines="100"/>
              <w:jc w:val="center"/>
              <w:rPr>
                <w:rFonts w:hAnsi="宋体" w:cs="宋体"/>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CDB5366">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AA5BED9">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FED0F17">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63572AA7">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21A04CD9">
            <w:pPr>
              <w:spacing w:before="156" w:beforeLines="50"/>
              <w:jc w:val="center"/>
              <w:rPr>
                <w:rFonts w:hAnsi="宋体" w:cs="宋体"/>
                <w:highlight w:val="none"/>
              </w:rPr>
            </w:pPr>
          </w:p>
        </w:tc>
      </w:tr>
      <w:tr w14:paraId="6B9C6E3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3A9D6FF">
            <w:pPr>
              <w:spacing w:before="312" w:beforeLines="100"/>
              <w:jc w:val="center"/>
              <w:rPr>
                <w:rFonts w:hAnsi="宋体" w:cs="宋体"/>
                <w:b/>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05F1E19F">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8B748A5">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536789D3">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3D758F6">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E4A4ED9">
            <w:pPr>
              <w:spacing w:before="156" w:beforeLines="50"/>
              <w:jc w:val="center"/>
              <w:rPr>
                <w:rFonts w:hAnsi="宋体" w:cs="宋体"/>
                <w:highlight w:val="none"/>
              </w:rPr>
            </w:pPr>
          </w:p>
        </w:tc>
      </w:tr>
      <w:tr w14:paraId="4DA2CDB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4F8F5B6F">
            <w:pPr>
              <w:jc w:val="center"/>
              <w:rPr>
                <w:rFonts w:hAnsi="宋体" w:cs="宋体"/>
                <w:highlight w:val="none"/>
              </w:rPr>
            </w:pPr>
            <w:r>
              <w:rPr>
                <w:rFonts w:hint="eastAsia" w:hAnsi="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563F4271">
            <w:pPr>
              <w:spacing w:before="156" w:beforeLines="50"/>
              <w:jc w:val="left"/>
              <w:rPr>
                <w:rFonts w:hAnsi="宋体" w:cs="宋体"/>
                <w:highlight w:val="none"/>
              </w:rPr>
            </w:pPr>
            <w:r>
              <w:rPr>
                <w:rFonts w:hint="eastAsia" w:hAnsi="宋体" w:cs="宋体"/>
                <w:highlight w:val="none"/>
              </w:rPr>
              <w:t>大写：                                小写：</w:t>
            </w:r>
          </w:p>
        </w:tc>
      </w:tr>
      <w:tr w14:paraId="3EB7BAF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433FC4BF">
            <w:pPr>
              <w:jc w:val="center"/>
              <w:rPr>
                <w:rFonts w:hAnsi="宋体" w:cs="宋体"/>
                <w:highlight w:val="none"/>
              </w:rPr>
            </w:pPr>
            <w:r>
              <w:rPr>
                <w:rFonts w:hint="eastAsia" w:hAnsi="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1CA15D47">
            <w:pPr>
              <w:spacing w:before="156" w:beforeLines="50"/>
              <w:jc w:val="center"/>
              <w:rPr>
                <w:rFonts w:hAnsi="宋体" w:cs="宋体"/>
                <w:highlight w:val="none"/>
              </w:rPr>
            </w:pPr>
            <w:r>
              <w:rPr>
                <w:rFonts w:hint="eastAsia" w:hAnsi="宋体" w:cs="宋体"/>
                <w:spacing w:val="-6"/>
                <w:highlight w:val="none"/>
              </w:rPr>
              <w:t>保留小数点后两位。</w:t>
            </w:r>
          </w:p>
        </w:tc>
      </w:tr>
    </w:tbl>
    <w:p w14:paraId="069866ED">
      <w:pPr>
        <w:adjustRightInd w:val="0"/>
        <w:snapToGrid w:val="0"/>
        <w:spacing w:line="360" w:lineRule="auto"/>
        <w:rPr>
          <w:rFonts w:hAnsi="宋体" w:cs="宋体"/>
          <w:szCs w:val="21"/>
          <w:highlight w:val="none"/>
        </w:rPr>
      </w:pPr>
    </w:p>
    <w:p w14:paraId="76A1C952">
      <w:pPr>
        <w:adjustRightInd w:val="0"/>
        <w:snapToGrid w:val="0"/>
        <w:spacing w:line="360" w:lineRule="auto"/>
        <w:rPr>
          <w:rFonts w:hAnsi="宋体" w:cs="宋体"/>
          <w:bCs/>
          <w:szCs w:val="21"/>
          <w:highlight w:val="none"/>
        </w:rPr>
      </w:pPr>
      <w:r>
        <w:rPr>
          <w:rFonts w:hint="eastAsia" w:hAnsi="宋体" w:cs="宋体"/>
          <w:szCs w:val="21"/>
          <w:highlight w:val="none"/>
        </w:rPr>
        <w:t>说明：</w:t>
      </w:r>
      <w:r>
        <w:rPr>
          <w:rFonts w:hint="eastAsia" w:hAnsi="宋体" w:cs="宋体"/>
          <w:bCs/>
          <w:szCs w:val="21"/>
          <w:highlight w:val="none"/>
        </w:rPr>
        <w:t>1、</w:t>
      </w:r>
      <w:r>
        <w:rPr>
          <w:rFonts w:hint="eastAsia" w:hAnsi="宋体" w:cs="宋体"/>
          <w:szCs w:val="21"/>
          <w:highlight w:val="none"/>
        </w:rPr>
        <w:t>供应商提供的属于节能、环境标志产品品目清单中优先采购的产品，须按招标文件要求提供相关证明材料。</w:t>
      </w:r>
    </w:p>
    <w:p w14:paraId="57FA62FF">
      <w:pPr>
        <w:pStyle w:val="49"/>
        <w:spacing w:line="400" w:lineRule="exact"/>
        <w:ind w:left="480" w:leftChars="200" w:firstLine="240" w:firstLineChars="100"/>
        <w:rPr>
          <w:rFonts w:hAnsi="宋体" w:cs="宋体"/>
          <w:sz w:val="28"/>
          <w:szCs w:val="28"/>
          <w:highlight w:val="none"/>
        </w:rPr>
      </w:pPr>
      <w:r>
        <w:rPr>
          <w:rFonts w:hint="eastAsia" w:hAnsi="宋体" w:cs="宋体"/>
          <w:bCs/>
          <w:highlight w:val="none"/>
        </w:rPr>
        <w:t>2、未按上述要求提供、</w:t>
      </w:r>
      <w:r>
        <w:rPr>
          <w:rFonts w:hint="eastAsia" w:hAnsi="宋体" w:cs="宋体"/>
          <w:highlight w:val="none"/>
        </w:rPr>
        <w:t>填写</w:t>
      </w:r>
      <w:r>
        <w:rPr>
          <w:rFonts w:hint="eastAsia" w:hAnsi="宋体" w:cs="宋体"/>
          <w:bCs/>
          <w:highlight w:val="none"/>
        </w:rPr>
        <w:t>的，评审时不予以考虑。</w:t>
      </w:r>
    </w:p>
    <w:p w14:paraId="369873E8">
      <w:pPr>
        <w:spacing w:before="100" w:beforeAutospacing="1" w:after="156" w:afterLines="50" w:line="360" w:lineRule="auto"/>
        <w:rPr>
          <w:rFonts w:hAnsi="宋体" w:cs="宋体"/>
          <w:b/>
          <w:bCs/>
          <w:spacing w:val="6"/>
          <w:sz w:val="30"/>
          <w:szCs w:val="30"/>
          <w:highlight w:val="none"/>
        </w:rPr>
      </w:pPr>
      <w:r>
        <w:rPr>
          <w:rFonts w:hint="eastAsia" w:hAnsi="宋体" w:cs="宋体"/>
          <w:szCs w:val="24"/>
          <w:highlight w:val="none"/>
        </w:rPr>
        <w:br w:type="page"/>
      </w:r>
      <w:r>
        <w:rPr>
          <w:rFonts w:hint="eastAsia" w:hAnsi="宋体" w:cs="宋体"/>
          <w:b/>
          <w:bCs/>
          <w:spacing w:val="6"/>
          <w:sz w:val="30"/>
          <w:szCs w:val="30"/>
          <w:highlight w:val="none"/>
        </w:rPr>
        <w:t>附件5（如有）：</w:t>
      </w:r>
    </w:p>
    <w:p w14:paraId="0D02ED76">
      <w:pPr>
        <w:spacing w:line="588" w:lineRule="exact"/>
        <w:jc w:val="center"/>
        <w:rPr>
          <w:rFonts w:hAnsi="宋体" w:cs="宋体"/>
          <w:b/>
          <w:spacing w:val="6"/>
          <w:sz w:val="32"/>
          <w:szCs w:val="32"/>
          <w:highlight w:val="none"/>
        </w:rPr>
      </w:pPr>
      <w:bookmarkStart w:id="280" w:name="OLE_LINK14"/>
      <w:bookmarkStart w:id="281" w:name="OLE_LINK13"/>
      <w:r>
        <w:rPr>
          <w:rFonts w:hint="eastAsia" w:hAnsi="宋体" w:cs="宋体"/>
          <w:b/>
          <w:spacing w:val="6"/>
          <w:sz w:val="32"/>
          <w:szCs w:val="32"/>
          <w:highlight w:val="none"/>
        </w:rPr>
        <w:t>残疾人福利性单位声明函</w:t>
      </w:r>
    </w:p>
    <w:bookmarkEnd w:id="280"/>
    <w:bookmarkEnd w:id="281"/>
    <w:p w14:paraId="07197CE5">
      <w:pPr>
        <w:spacing w:line="588" w:lineRule="exact"/>
        <w:rPr>
          <w:rFonts w:hAnsi="宋体" w:cs="宋体"/>
          <w:b/>
          <w:spacing w:val="6"/>
          <w:sz w:val="30"/>
          <w:szCs w:val="30"/>
          <w:highlight w:val="none"/>
        </w:rPr>
      </w:pPr>
    </w:p>
    <w:p w14:paraId="24EAEEF2">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F57E9A">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12791EFE">
      <w:pPr>
        <w:spacing w:line="588" w:lineRule="exact"/>
        <w:ind w:firstLine="504" w:firstLineChars="200"/>
        <w:rPr>
          <w:rFonts w:hAnsi="宋体" w:cs="宋体"/>
          <w:spacing w:val="6"/>
          <w:szCs w:val="24"/>
          <w:highlight w:val="none"/>
        </w:rPr>
      </w:pPr>
    </w:p>
    <w:p w14:paraId="2A980A76">
      <w:pPr>
        <w:spacing w:line="588" w:lineRule="exact"/>
        <w:ind w:firstLine="504" w:firstLineChars="200"/>
        <w:rPr>
          <w:rFonts w:hAnsi="宋体" w:cs="宋体"/>
          <w:spacing w:val="6"/>
          <w:szCs w:val="24"/>
          <w:highlight w:val="none"/>
        </w:rPr>
      </w:pPr>
    </w:p>
    <w:p w14:paraId="1BC23902">
      <w:pPr>
        <w:spacing w:line="588" w:lineRule="exact"/>
        <w:ind w:firstLine="504" w:firstLineChars="200"/>
        <w:rPr>
          <w:rFonts w:hAnsi="宋体" w:cs="宋体"/>
          <w:spacing w:val="6"/>
          <w:szCs w:val="24"/>
          <w:highlight w:val="none"/>
        </w:rPr>
      </w:pPr>
    </w:p>
    <w:p w14:paraId="22F4176C">
      <w:pPr>
        <w:spacing w:line="588" w:lineRule="exact"/>
        <w:ind w:firstLine="504" w:firstLineChars="200"/>
        <w:rPr>
          <w:rFonts w:hAnsi="宋体" w:cs="宋体"/>
          <w:spacing w:val="6"/>
          <w:szCs w:val="24"/>
          <w:highlight w:val="none"/>
        </w:rPr>
      </w:pPr>
    </w:p>
    <w:p w14:paraId="45EB5B0C">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7FD300F">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206ED559">
      <w:pPr>
        <w:spacing w:line="360" w:lineRule="auto"/>
        <w:rPr>
          <w:rFonts w:hAnsi="宋体" w:cs="宋体"/>
          <w:b/>
          <w:sz w:val="28"/>
          <w:szCs w:val="28"/>
          <w:highlight w:val="none"/>
        </w:rPr>
      </w:pPr>
      <w:r>
        <w:rPr>
          <w:rFonts w:hint="eastAsia" w:hAnsi="宋体" w:cs="宋体"/>
          <w:highlight w:val="none"/>
        </w:rPr>
        <w:br w:type="page"/>
      </w:r>
      <w:r>
        <w:rPr>
          <w:rFonts w:hint="eastAsia" w:hAnsi="宋体" w:cs="宋体"/>
          <w:b/>
          <w:sz w:val="28"/>
          <w:szCs w:val="28"/>
          <w:highlight w:val="none"/>
        </w:rPr>
        <w:t>附件6：</w:t>
      </w:r>
    </w:p>
    <w:p w14:paraId="6620DE39">
      <w:pPr>
        <w:jc w:val="center"/>
        <w:rPr>
          <w:rFonts w:hAnsi="宋体" w:cs="宋体"/>
          <w:b/>
          <w:bCs/>
          <w:sz w:val="44"/>
          <w:szCs w:val="44"/>
          <w:highlight w:val="none"/>
        </w:rPr>
      </w:pPr>
      <w:r>
        <w:rPr>
          <w:rFonts w:hint="eastAsia" w:hAnsi="宋体" w:cs="宋体"/>
          <w:b/>
          <w:bCs/>
          <w:sz w:val="44"/>
          <w:szCs w:val="44"/>
          <w:highlight w:val="none"/>
        </w:rPr>
        <w:t>质疑函范本</w:t>
      </w:r>
    </w:p>
    <w:p w14:paraId="7E12C17A">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2CC1FCE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79576B7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02F3037">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5F69CA1B">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334129FB">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43070128">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242CF24">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12789A6C">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605F0859">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6388A5EB">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2AF910D4">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20682A0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72EB2496">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38463216">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7C5F252">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3A56321B">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54E8ED5A">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3ABA19E2">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0C61ACDA">
      <w:pPr>
        <w:adjustRightInd w:val="0"/>
        <w:snapToGrid w:val="0"/>
        <w:spacing w:line="360" w:lineRule="auto"/>
        <w:rPr>
          <w:rFonts w:hAnsi="宋体" w:cs="宋体"/>
          <w:szCs w:val="24"/>
          <w:highlight w:val="none"/>
        </w:rPr>
      </w:pPr>
      <w:r>
        <w:rPr>
          <w:rFonts w:hint="eastAsia" w:hAnsi="宋体" w:cs="宋体"/>
          <w:szCs w:val="24"/>
          <w:highlight w:val="none"/>
        </w:rPr>
        <w:t>……</w:t>
      </w:r>
    </w:p>
    <w:p w14:paraId="347F0B36">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2EAE4B0E">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78408EFA">
      <w:pPr>
        <w:rPr>
          <w:rFonts w:hAnsi="宋体" w:cs="宋体"/>
          <w:szCs w:val="24"/>
          <w:highlight w:val="none"/>
        </w:rPr>
      </w:pPr>
      <w:r>
        <w:rPr>
          <w:rFonts w:hint="eastAsia" w:hAnsi="宋体" w:cs="宋体"/>
          <w:szCs w:val="24"/>
          <w:highlight w:val="none"/>
        </w:rPr>
        <w:t xml:space="preserve">签字(签章)：                   公章：                      </w:t>
      </w:r>
    </w:p>
    <w:p w14:paraId="77FE8E8B">
      <w:pPr>
        <w:rPr>
          <w:rFonts w:hAnsi="宋体" w:cs="宋体"/>
          <w:szCs w:val="24"/>
          <w:highlight w:val="none"/>
        </w:rPr>
      </w:pPr>
      <w:r>
        <w:rPr>
          <w:rFonts w:hint="eastAsia" w:hAnsi="宋体" w:cs="宋体"/>
          <w:szCs w:val="24"/>
          <w:highlight w:val="none"/>
        </w:rPr>
        <w:t xml:space="preserve">日期：    </w:t>
      </w:r>
    </w:p>
    <w:p w14:paraId="6C70666C">
      <w:pPr>
        <w:jc w:val="center"/>
        <w:rPr>
          <w:rFonts w:hAnsi="宋体" w:cs="宋体"/>
          <w:b/>
          <w:sz w:val="44"/>
          <w:szCs w:val="44"/>
          <w:highlight w:val="none"/>
        </w:rPr>
      </w:pPr>
    </w:p>
    <w:p w14:paraId="7582D248">
      <w:pPr>
        <w:rPr>
          <w:rFonts w:hAnsi="宋体" w:cs="宋体"/>
          <w:b/>
          <w:sz w:val="44"/>
          <w:szCs w:val="44"/>
          <w:highlight w:val="none"/>
        </w:rPr>
      </w:pPr>
      <w:r>
        <w:rPr>
          <w:rFonts w:hint="eastAsia" w:hAnsi="宋体" w:cs="宋体"/>
          <w:b/>
          <w:sz w:val="44"/>
          <w:szCs w:val="44"/>
          <w:highlight w:val="none"/>
        </w:rPr>
        <w:br w:type="page"/>
      </w:r>
    </w:p>
    <w:p w14:paraId="462B9707">
      <w:pPr>
        <w:jc w:val="center"/>
        <w:rPr>
          <w:rFonts w:hAnsi="宋体" w:cs="宋体"/>
          <w:b/>
          <w:sz w:val="44"/>
          <w:szCs w:val="44"/>
          <w:highlight w:val="none"/>
        </w:rPr>
      </w:pPr>
      <w:r>
        <w:rPr>
          <w:rFonts w:hint="eastAsia" w:hAnsi="宋体" w:cs="宋体"/>
          <w:b/>
          <w:sz w:val="44"/>
          <w:szCs w:val="44"/>
          <w:highlight w:val="none"/>
        </w:rPr>
        <w:t>投诉书范本</w:t>
      </w:r>
    </w:p>
    <w:p w14:paraId="742E9843">
      <w:pPr>
        <w:rPr>
          <w:rFonts w:hAnsi="宋体" w:cs="宋体"/>
          <w:szCs w:val="24"/>
          <w:highlight w:val="none"/>
        </w:rPr>
      </w:pPr>
      <w:r>
        <w:rPr>
          <w:rFonts w:hint="eastAsia" w:hAnsi="宋体" w:cs="宋体"/>
          <w:szCs w:val="24"/>
          <w:highlight w:val="none"/>
        </w:rPr>
        <w:t>一、投诉相关主体基本情况</w:t>
      </w:r>
    </w:p>
    <w:p w14:paraId="6F42E682">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6352237E">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2B874E1">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07564060">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F90EE29">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3D766D6E">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09112937">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128E3C6">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6D19380">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942FDAE">
      <w:pPr>
        <w:rPr>
          <w:rFonts w:hAnsi="宋体" w:cs="宋体"/>
          <w:szCs w:val="24"/>
          <w:highlight w:val="none"/>
        </w:rPr>
      </w:pPr>
      <w:r>
        <w:rPr>
          <w:rFonts w:hint="eastAsia" w:hAnsi="宋体" w:cs="宋体"/>
          <w:szCs w:val="24"/>
          <w:highlight w:val="none"/>
        </w:rPr>
        <w:t>被投诉人2</w:t>
      </w:r>
    </w:p>
    <w:p w14:paraId="5B99FEDA">
      <w:pPr>
        <w:rPr>
          <w:rFonts w:hAnsi="宋体" w:cs="宋体"/>
          <w:szCs w:val="24"/>
          <w:highlight w:val="none"/>
          <w:u w:val="dotted"/>
        </w:rPr>
      </w:pPr>
      <w:r>
        <w:rPr>
          <w:rFonts w:hint="eastAsia" w:hAnsi="宋体" w:cs="宋体"/>
          <w:szCs w:val="24"/>
          <w:highlight w:val="none"/>
        </w:rPr>
        <w:t>……</w:t>
      </w:r>
    </w:p>
    <w:p w14:paraId="42E28AA8">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1EA08C2">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1F76BC1">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215D7A5">
      <w:pPr>
        <w:rPr>
          <w:rFonts w:hAnsi="宋体" w:cs="宋体"/>
          <w:szCs w:val="24"/>
          <w:highlight w:val="none"/>
        </w:rPr>
      </w:pPr>
      <w:r>
        <w:rPr>
          <w:rFonts w:hint="eastAsia" w:hAnsi="宋体" w:cs="宋体"/>
          <w:szCs w:val="24"/>
          <w:highlight w:val="none"/>
        </w:rPr>
        <w:t>二、投诉项目基本情况</w:t>
      </w:r>
    </w:p>
    <w:p w14:paraId="7AF6B643">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7F652271">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2E0A587">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B925C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634E4268">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0E35E666">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D78B347">
      <w:pPr>
        <w:rPr>
          <w:rFonts w:hAnsi="宋体" w:cs="宋体"/>
          <w:szCs w:val="24"/>
          <w:highlight w:val="none"/>
        </w:rPr>
      </w:pPr>
      <w:r>
        <w:rPr>
          <w:rFonts w:hint="eastAsia" w:hAnsi="宋体" w:cs="宋体"/>
          <w:szCs w:val="24"/>
          <w:highlight w:val="none"/>
        </w:rPr>
        <w:t>三、质疑基本情况</w:t>
      </w:r>
    </w:p>
    <w:p w14:paraId="75CFF14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0BCD7225">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2A4A33B">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1E934951">
      <w:pPr>
        <w:rPr>
          <w:rFonts w:hAnsi="宋体" w:cs="宋体"/>
          <w:szCs w:val="24"/>
          <w:highlight w:val="none"/>
        </w:rPr>
      </w:pPr>
      <w:r>
        <w:rPr>
          <w:rFonts w:hint="eastAsia" w:hAnsi="宋体" w:cs="宋体"/>
          <w:szCs w:val="24"/>
          <w:highlight w:val="none"/>
        </w:rPr>
        <w:t>四、投诉事项具体内容</w:t>
      </w:r>
    </w:p>
    <w:p w14:paraId="2BACD8A7">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39FABA0D">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3C553B07">
      <w:pPr>
        <w:rPr>
          <w:rFonts w:hAnsi="宋体" w:cs="宋体"/>
          <w:szCs w:val="24"/>
          <w:highlight w:val="none"/>
          <w:u w:val="dotted"/>
        </w:rPr>
      </w:pPr>
      <w:r>
        <w:rPr>
          <w:rFonts w:hint="eastAsia" w:hAnsi="宋体" w:cs="宋体"/>
          <w:szCs w:val="24"/>
          <w:highlight w:val="none"/>
          <w:u w:val="dotted"/>
        </w:rPr>
        <w:t xml:space="preserve">                                                      </w:t>
      </w:r>
    </w:p>
    <w:p w14:paraId="4858EF0F">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18D701E1">
      <w:pPr>
        <w:rPr>
          <w:rFonts w:hAnsi="宋体" w:cs="宋体"/>
          <w:szCs w:val="24"/>
          <w:highlight w:val="none"/>
          <w:u w:val="dotted"/>
        </w:rPr>
      </w:pPr>
      <w:r>
        <w:rPr>
          <w:rFonts w:hint="eastAsia" w:hAnsi="宋体" w:cs="宋体"/>
          <w:szCs w:val="24"/>
          <w:highlight w:val="none"/>
          <w:u w:val="dotted"/>
        </w:rPr>
        <w:t xml:space="preserve">                                                      </w:t>
      </w:r>
    </w:p>
    <w:p w14:paraId="47A55EB8">
      <w:pPr>
        <w:rPr>
          <w:rFonts w:hAnsi="宋体" w:cs="宋体"/>
          <w:szCs w:val="24"/>
          <w:highlight w:val="none"/>
        </w:rPr>
      </w:pPr>
      <w:r>
        <w:rPr>
          <w:rFonts w:hint="eastAsia" w:hAnsi="宋体" w:cs="宋体"/>
          <w:szCs w:val="24"/>
          <w:highlight w:val="none"/>
        </w:rPr>
        <w:t>投诉事项2</w:t>
      </w:r>
    </w:p>
    <w:p w14:paraId="66B45DBB">
      <w:pPr>
        <w:rPr>
          <w:rFonts w:hAnsi="宋体" w:cs="宋体"/>
          <w:szCs w:val="24"/>
          <w:highlight w:val="none"/>
          <w:u w:val="dotted"/>
        </w:rPr>
      </w:pPr>
      <w:r>
        <w:rPr>
          <w:rFonts w:hint="eastAsia" w:hAnsi="宋体" w:cs="宋体"/>
          <w:szCs w:val="24"/>
          <w:highlight w:val="none"/>
        </w:rPr>
        <w:t>……</w:t>
      </w:r>
    </w:p>
    <w:p w14:paraId="579C5886">
      <w:pPr>
        <w:rPr>
          <w:rFonts w:hAnsi="宋体" w:cs="宋体"/>
          <w:szCs w:val="24"/>
          <w:highlight w:val="none"/>
        </w:rPr>
      </w:pPr>
      <w:r>
        <w:rPr>
          <w:rFonts w:hint="eastAsia" w:hAnsi="宋体" w:cs="宋体"/>
          <w:szCs w:val="24"/>
          <w:highlight w:val="none"/>
        </w:rPr>
        <w:t>五、与投诉事项相关的投诉请求</w:t>
      </w:r>
    </w:p>
    <w:p w14:paraId="20F22985">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148BD202">
      <w:pPr>
        <w:rPr>
          <w:rFonts w:hAnsi="宋体" w:cs="宋体"/>
          <w:szCs w:val="24"/>
          <w:highlight w:val="none"/>
          <w:u w:val="single"/>
        </w:rPr>
      </w:pPr>
      <w:r>
        <w:rPr>
          <w:rFonts w:hint="eastAsia" w:hAnsi="宋体" w:cs="宋体"/>
          <w:szCs w:val="24"/>
          <w:highlight w:val="none"/>
        </w:rPr>
        <w:t xml:space="preserve">                                                                                                    </w:t>
      </w:r>
    </w:p>
    <w:p w14:paraId="4A29928F">
      <w:pPr>
        <w:rPr>
          <w:rFonts w:hAnsi="宋体" w:cs="宋体"/>
          <w:szCs w:val="24"/>
          <w:highlight w:val="none"/>
        </w:rPr>
      </w:pPr>
      <w:r>
        <w:rPr>
          <w:rFonts w:hint="eastAsia" w:hAnsi="宋体" w:cs="宋体"/>
          <w:szCs w:val="24"/>
          <w:highlight w:val="none"/>
        </w:rPr>
        <w:t xml:space="preserve">签字(签章)：                   公章：                      </w:t>
      </w:r>
    </w:p>
    <w:p w14:paraId="2FDEB599">
      <w:pPr>
        <w:rPr>
          <w:rFonts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p w14:paraId="25D11BFC">
      <w:pPr>
        <w:rPr>
          <w:highlight w:val="none"/>
        </w:rPr>
      </w:pPr>
    </w:p>
    <w:p w14:paraId="49507C46">
      <w:pPr>
        <w:rPr>
          <w:highlight w:val="none"/>
        </w:rPr>
      </w:pPr>
    </w:p>
    <w:sectPr>
      <w:pgSz w:w="11906" w:h="16838"/>
      <w:pgMar w:top="1361" w:right="1417" w:bottom="136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53166">
    <w:pPr>
      <w:pStyle w:val="16"/>
      <w:jc w:val="both"/>
    </w:pPr>
    <w:r>
      <w:rPr>
        <w:rFonts w:hint="eastAsia"/>
        <w:lang w:eastAsia="zh-CN"/>
      </w:rPr>
      <w:t>陕西银正项目管理有限公司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3106">
    <w:pPr>
      <w:tabs>
        <w:tab w:val="left" w:pos="5646"/>
      </w:tabs>
      <w:rPr>
        <w:rFonts w:hint="eastAsia" w:eastAsia="宋体"/>
        <w:sz w:val="18"/>
        <w:szCs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9D3E1">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D9D3E1">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3BC627">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14:paraId="4A3BC627">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lang w:eastAsia="zh-CN"/>
      </w:rPr>
      <w:t>陕西银正项目管理有限公司</w:t>
    </w:r>
    <w:r>
      <w:rPr>
        <w:rFonts w:hint="eastAsia"/>
        <w:sz w:val="18"/>
        <w:szCs w:val="18"/>
      </w:rPr>
      <w:t xml:space="preserve">                                   地址：</w: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17016">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14:paraId="55517016">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65DB2A">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q6PAjxwEAAJ0DAAAOAAAAAAAAAAEAIAAAACMBAABkcnMvZTJv&#10;RG9jLnhtbFBLBQYAAAAABgAGAFkBAABcBQAAAAA=&#10;">
              <v:fill on="f" focussize="0,0"/>
              <v:stroke on="f"/>
              <v:imagedata o:title=""/>
              <o:lock v:ext="edit" aspectratio="f"/>
              <v:textbox inset="0mm,0mm,0mm,0mm" style="mso-fit-shape-to-text:t;">
                <w:txbxContent>
                  <w:p w14:paraId="7765DB2A">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0806C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sP5WRxwEAAJ0DAAAOAAAAAAAAAAEAIAAAACMBAABkcnMvZTJv&#10;RG9jLnhtbFBLBQYAAAAABgAGAFkBAABcBQAAAAA=&#10;">
              <v:fill on="f" focussize="0,0"/>
              <v:stroke on="f"/>
              <v:imagedata o:title=""/>
              <o:lock v:ext="edit" aspectratio="f"/>
              <v:textbox inset="0mm,0mm,0mm,0mm" style="mso-fit-shape-to-text:t;">
                <w:txbxContent>
                  <w:p w14:paraId="080806C9">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B5DDDF">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75B5DDDF">
                    <w:pPr>
                      <w:snapToGrid w:val="0"/>
                      <w:rPr>
                        <w:sz w:val="18"/>
                      </w:rPr>
                    </w:pPr>
                  </w:p>
                </w:txbxContent>
              </v:textbox>
            </v:shape>
          </w:pict>
        </mc:Fallback>
      </mc:AlternateContent>
    </w:r>
    <w:r>
      <w:rPr>
        <w:rFonts w:hint="eastAsia"/>
        <w:sz w:val="18"/>
        <w:szCs w:val="18"/>
        <w:lang w:eastAsia="zh-CN"/>
      </w:rPr>
      <w:t>陕西省西安市未央区西安市经济技术开发区凤城二路海荣翡翠国际城1幢12306号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F848">
    <w:pPr>
      <w:tabs>
        <w:tab w:val="left" w:pos="564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9EDE5">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79EDE5">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35C338">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438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tlDOVxwEAAJ0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qflqyZkVhl788vPH5def&#10;y+/vjGIkUO+xorp7T5VxeOcGWps5jhRMvIc2mPQlRozyJO/5Ki8Mkcl0ab1ar0tKScrNDuEXD9d9&#10;wPgenGHJqHmg98uyitNHjGPpXJK6WXentM5vqO0/AcIcI5CXYLqdmIwTJysO+2Git3fNmdj1tAg1&#10;t7T3nOkPlnROOzMbYTb2k5E6or89RhojT5dQRyhilRx6tcxv2rC0Fo/9XPXwV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tlDOVxwEAAJ0DAAAOAAAAAAAAAAEAIAAAACMBAABkcnMvZTJv&#10;RG9jLnhtbFBLBQYAAAAABgAGAFkBAABcBQAAAAA=&#10;">
              <v:fill on="f" focussize="0,0"/>
              <v:stroke on="f"/>
              <v:imagedata o:title=""/>
              <o:lock v:ext="edit" aspectratio="f"/>
              <v:textbox inset="0mm,0mm,0mm,0mm" style="mso-fit-shape-to-text:t;">
                <w:txbxContent>
                  <w:p w14:paraId="1535C338">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0B88">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2DB28">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C2DB28">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F94F">
    <w:pPr>
      <w:pBdr>
        <w:bottom w:val="single" w:color="auto" w:sz="4" w:space="0"/>
      </w:pBdr>
      <w:rPr>
        <w:rFonts w:hAnsi="宋体"/>
        <w:sz w:val="18"/>
        <w:szCs w:val="18"/>
      </w:rPr>
    </w:pPr>
    <w:r>
      <w:rPr>
        <w:rFonts w:hint="eastAsia" w:hAnsi="宋体"/>
        <w:sz w:val="18"/>
      </w:rPr>
      <w:t xml:space="preserve"> </w:t>
    </w:r>
    <w:r>
      <w:rPr>
        <w:rFonts w:hint="eastAsia" w:asciiTheme="minorEastAsia" w:hAnsiTheme="minorEastAsia" w:eastAsiaTheme="minorEastAsia" w:cstheme="minorEastAsia"/>
        <w:sz w:val="18"/>
        <w:szCs w:val="18"/>
        <w:lang w:eastAsia="zh-CN"/>
      </w:rPr>
      <w:t>多功能录播教室建设项目</w:t>
    </w:r>
    <w:r>
      <w:rPr>
        <w:rFonts w:hint="eastAsia" w:hAnsi="宋体"/>
        <w:sz w:val="18"/>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BDE9">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4396">
    <w:pPr>
      <w:pStyle w:val="17"/>
      <w:pBdr>
        <w:bottom w:val="single" w:color="auto" w:sz="4" w:space="1"/>
      </w:pBdr>
      <w:tabs>
        <w:tab w:val="left" w:pos="2307"/>
        <w:tab w:val="clear" w:pos="4153"/>
      </w:tabs>
      <w:jc w:val="left"/>
      <w:rPr>
        <w:rFonts w:ascii="宋体" w:hAnsi="宋体" w:cs="宋体"/>
        <w:sz w:val="16"/>
        <w:szCs w:val="16"/>
      </w:rPr>
    </w:pPr>
    <w:r>
      <w:rPr>
        <w:rFonts w:hint="eastAsia" w:ascii="宋体" w:hAnsi="宋体" w:cs="宋体"/>
        <w:lang w:eastAsia="zh-CN"/>
      </w:rPr>
      <w:t>多功能录播教室建设项目</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C668">
    <w:pPr>
      <w:pStyle w:val="1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4B66CD3"/>
    <w:multiLevelType w:val="singleLevel"/>
    <w:tmpl w:val="14B66CD3"/>
    <w:lvl w:ilvl="0" w:tentative="0">
      <w:start w:val="1"/>
      <w:numFmt w:val="chineseCounting"/>
      <w:suff w:val="nothing"/>
      <w:lvlText w:val="%1、"/>
      <w:lvlJc w:val="left"/>
      <w:rPr>
        <w:rFonts w:hint="eastAsia"/>
      </w:rPr>
    </w:lvl>
  </w:abstractNum>
  <w:abstractNum w:abstractNumId="2">
    <w:nsid w:val="166C7F20"/>
    <w:multiLevelType w:val="singleLevel"/>
    <w:tmpl w:val="166C7F20"/>
    <w:lvl w:ilvl="0" w:tentative="0">
      <w:start w:val="2"/>
      <w:numFmt w:val="chineseCounting"/>
      <w:suff w:val="nothing"/>
      <w:lvlText w:val="%1、"/>
      <w:lvlJc w:val="left"/>
      <w:rPr>
        <w:rFonts w:hint="eastAsia"/>
      </w:rPr>
    </w:lvl>
  </w:abstractNum>
  <w:abstractNum w:abstractNumId="3">
    <w:nsid w:val="398619F5"/>
    <w:multiLevelType w:val="singleLevel"/>
    <w:tmpl w:val="398619F5"/>
    <w:lvl w:ilvl="0" w:tentative="0">
      <w:start w:val="1"/>
      <w:numFmt w:val="decimal"/>
      <w:suff w:val="nothing"/>
      <w:lvlText w:val="%1、"/>
      <w:lvlJc w:val="left"/>
    </w:lvl>
  </w:abstractNum>
  <w:abstractNum w:abstractNumId="4">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B25AF4"/>
    <w:multiLevelType w:val="singleLevel"/>
    <w:tmpl w:val="59B25AF4"/>
    <w:lvl w:ilvl="0" w:tentative="0">
      <w:start w:val="1"/>
      <w:numFmt w:val="decimal"/>
      <w:suff w:val="nothing"/>
      <w:lvlText w:val="（%1）"/>
      <w:lvlJc w:val="left"/>
    </w:lvl>
  </w:abstractNum>
  <w:abstractNum w:abstractNumId="7">
    <w:nsid w:val="59B64AF0"/>
    <w:multiLevelType w:val="singleLevel"/>
    <w:tmpl w:val="59B64AF0"/>
    <w:lvl w:ilvl="0" w:tentative="0">
      <w:start w:val="16"/>
      <w:numFmt w:val="decimal"/>
      <w:suff w:val="nothing"/>
      <w:lvlText w:val="%1."/>
      <w:lvlJc w:val="left"/>
    </w:lvl>
  </w:abstractNum>
  <w:num w:numId="1">
    <w:abstractNumId w:val="5"/>
  </w:num>
  <w:num w:numId="2">
    <w:abstractNumId w:val="7"/>
  </w:num>
  <w:num w:numId="3">
    <w:abstractNumId w:val="6"/>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36440B"/>
    <w:rsid w:val="00187D6D"/>
    <w:rsid w:val="002623F0"/>
    <w:rsid w:val="003501F1"/>
    <w:rsid w:val="00361870"/>
    <w:rsid w:val="0036440B"/>
    <w:rsid w:val="003F65FD"/>
    <w:rsid w:val="007A011C"/>
    <w:rsid w:val="00806E58"/>
    <w:rsid w:val="00833EAA"/>
    <w:rsid w:val="00BC45B8"/>
    <w:rsid w:val="00CE146C"/>
    <w:rsid w:val="00D348C5"/>
    <w:rsid w:val="00E067AC"/>
    <w:rsid w:val="00EA43B0"/>
    <w:rsid w:val="00FE2086"/>
    <w:rsid w:val="018265F8"/>
    <w:rsid w:val="024C0DD3"/>
    <w:rsid w:val="02511F45"/>
    <w:rsid w:val="02C8184E"/>
    <w:rsid w:val="03196F07"/>
    <w:rsid w:val="03AF6B8E"/>
    <w:rsid w:val="03E76A39"/>
    <w:rsid w:val="04205404"/>
    <w:rsid w:val="0427397A"/>
    <w:rsid w:val="05A5167E"/>
    <w:rsid w:val="05CA098C"/>
    <w:rsid w:val="05EC0902"/>
    <w:rsid w:val="061E4834"/>
    <w:rsid w:val="07A10909"/>
    <w:rsid w:val="07AA0EFE"/>
    <w:rsid w:val="07F96640"/>
    <w:rsid w:val="089247D2"/>
    <w:rsid w:val="08D73FA9"/>
    <w:rsid w:val="08F057C4"/>
    <w:rsid w:val="09336D4E"/>
    <w:rsid w:val="09504B23"/>
    <w:rsid w:val="096E7DFA"/>
    <w:rsid w:val="0976164F"/>
    <w:rsid w:val="09957E07"/>
    <w:rsid w:val="09E0765E"/>
    <w:rsid w:val="09F9416E"/>
    <w:rsid w:val="09FF17A0"/>
    <w:rsid w:val="0A8048F0"/>
    <w:rsid w:val="0AFE5915"/>
    <w:rsid w:val="0B9758D5"/>
    <w:rsid w:val="0BDF2EA6"/>
    <w:rsid w:val="0C162DCB"/>
    <w:rsid w:val="0C1A540F"/>
    <w:rsid w:val="0C8A73DD"/>
    <w:rsid w:val="0D0429D6"/>
    <w:rsid w:val="0D0A0CEC"/>
    <w:rsid w:val="0D813533"/>
    <w:rsid w:val="0E49130A"/>
    <w:rsid w:val="0EE63157"/>
    <w:rsid w:val="0EF621A5"/>
    <w:rsid w:val="0F15797F"/>
    <w:rsid w:val="0F2F65FD"/>
    <w:rsid w:val="0F5A12B1"/>
    <w:rsid w:val="0FA14870"/>
    <w:rsid w:val="0FBF0E36"/>
    <w:rsid w:val="0FEC5B35"/>
    <w:rsid w:val="100C4220"/>
    <w:rsid w:val="100D3063"/>
    <w:rsid w:val="10A87B1C"/>
    <w:rsid w:val="10BC45ED"/>
    <w:rsid w:val="11811206"/>
    <w:rsid w:val="118A1E61"/>
    <w:rsid w:val="11A30F62"/>
    <w:rsid w:val="11D87558"/>
    <w:rsid w:val="123C27D6"/>
    <w:rsid w:val="132E39D9"/>
    <w:rsid w:val="135C18B6"/>
    <w:rsid w:val="136219AB"/>
    <w:rsid w:val="13F014A1"/>
    <w:rsid w:val="14292B96"/>
    <w:rsid w:val="14706074"/>
    <w:rsid w:val="14F45C8B"/>
    <w:rsid w:val="15011606"/>
    <w:rsid w:val="15067670"/>
    <w:rsid w:val="15474266"/>
    <w:rsid w:val="15DE2A1A"/>
    <w:rsid w:val="16ED1512"/>
    <w:rsid w:val="16F46986"/>
    <w:rsid w:val="1717535E"/>
    <w:rsid w:val="17440242"/>
    <w:rsid w:val="17553B5A"/>
    <w:rsid w:val="175C35B5"/>
    <w:rsid w:val="17D92FFD"/>
    <w:rsid w:val="184061B3"/>
    <w:rsid w:val="185C066D"/>
    <w:rsid w:val="186124D8"/>
    <w:rsid w:val="18D86D19"/>
    <w:rsid w:val="1A624883"/>
    <w:rsid w:val="1ADB272C"/>
    <w:rsid w:val="1B2B55D1"/>
    <w:rsid w:val="1B475A8F"/>
    <w:rsid w:val="1CA36C49"/>
    <w:rsid w:val="1CEF0B8C"/>
    <w:rsid w:val="1E5A4DD8"/>
    <w:rsid w:val="1E8B7FA7"/>
    <w:rsid w:val="1E8F2847"/>
    <w:rsid w:val="1ED7573E"/>
    <w:rsid w:val="1F4B09D2"/>
    <w:rsid w:val="2000428E"/>
    <w:rsid w:val="20050859"/>
    <w:rsid w:val="20A65DE2"/>
    <w:rsid w:val="20F87B37"/>
    <w:rsid w:val="217E2260"/>
    <w:rsid w:val="21917436"/>
    <w:rsid w:val="219C53C0"/>
    <w:rsid w:val="219C6B91"/>
    <w:rsid w:val="21E67460"/>
    <w:rsid w:val="234F663D"/>
    <w:rsid w:val="236E435E"/>
    <w:rsid w:val="23B57CE5"/>
    <w:rsid w:val="25B100B4"/>
    <w:rsid w:val="269E0279"/>
    <w:rsid w:val="26D12AD5"/>
    <w:rsid w:val="26EC12B4"/>
    <w:rsid w:val="28185376"/>
    <w:rsid w:val="29223568"/>
    <w:rsid w:val="299A7E41"/>
    <w:rsid w:val="29D02C9C"/>
    <w:rsid w:val="2A16744D"/>
    <w:rsid w:val="2AEA2F9B"/>
    <w:rsid w:val="2B7F4874"/>
    <w:rsid w:val="2BB16143"/>
    <w:rsid w:val="2BB1742D"/>
    <w:rsid w:val="2C275F61"/>
    <w:rsid w:val="2C6E0B1A"/>
    <w:rsid w:val="2CAC47CF"/>
    <w:rsid w:val="2D372553"/>
    <w:rsid w:val="2D4773DF"/>
    <w:rsid w:val="2D766B20"/>
    <w:rsid w:val="2D8F17BD"/>
    <w:rsid w:val="2DD636B9"/>
    <w:rsid w:val="2E3B3926"/>
    <w:rsid w:val="2EBF00B3"/>
    <w:rsid w:val="2EC4391B"/>
    <w:rsid w:val="2EEE0AA0"/>
    <w:rsid w:val="2F18040C"/>
    <w:rsid w:val="2F1E2C01"/>
    <w:rsid w:val="2FB6157B"/>
    <w:rsid w:val="2FE70202"/>
    <w:rsid w:val="2FFC5506"/>
    <w:rsid w:val="30234671"/>
    <w:rsid w:val="304E49A9"/>
    <w:rsid w:val="30A14026"/>
    <w:rsid w:val="30E32AF9"/>
    <w:rsid w:val="31A50834"/>
    <w:rsid w:val="31F51615"/>
    <w:rsid w:val="326F491A"/>
    <w:rsid w:val="33952634"/>
    <w:rsid w:val="34194BD6"/>
    <w:rsid w:val="342D401A"/>
    <w:rsid w:val="35704857"/>
    <w:rsid w:val="35A324DC"/>
    <w:rsid w:val="35BF4E53"/>
    <w:rsid w:val="36A95A89"/>
    <w:rsid w:val="36DD58BA"/>
    <w:rsid w:val="382C5908"/>
    <w:rsid w:val="38406F3B"/>
    <w:rsid w:val="39E82C8D"/>
    <w:rsid w:val="3A250283"/>
    <w:rsid w:val="3A8C13F3"/>
    <w:rsid w:val="3ACC03BC"/>
    <w:rsid w:val="3B08564E"/>
    <w:rsid w:val="3B4D2B71"/>
    <w:rsid w:val="3B615F60"/>
    <w:rsid w:val="3BB9127F"/>
    <w:rsid w:val="3C006314"/>
    <w:rsid w:val="3CEB50AD"/>
    <w:rsid w:val="3D9A0976"/>
    <w:rsid w:val="3DE96932"/>
    <w:rsid w:val="3E974BA8"/>
    <w:rsid w:val="3EF25EF3"/>
    <w:rsid w:val="3F2A76F6"/>
    <w:rsid w:val="3F6D5DD2"/>
    <w:rsid w:val="3F9208BA"/>
    <w:rsid w:val="40181FC6"/>
    <w:rsid w:val="40553C49"/>
    <w:rsid w:val="41191901"/>
    <w:rsid w:val="41C83A4A"/>
    <w:rsid w:val="41F52311"/>
    <w:rsid w:val="42274C0F"/>
    <w:rsid w:val="42B63602"/>
    <w:rsid w:val="438D20D6"/>
    <w:rsid w:val="43A6077E"/>
    <w:rsid w:val="43C8027C"/>
    <w:rsid w:val="43F34ED3"/>
    <w:rsid w:val="45267B73"/>
    <w:rsid w:val="457679FC"/>
    <w:rsid w:val="459B6123"/>
    <w:rsid w:val="45CE3A2F"/>
    <w:rsid w:val="46AF4D71"/>
    <w:rsid w:val="46FE1043"/>
    <w:rsid w:val="47B3290C"/>
    <w:rsid w:val="48703163"/>
    <w:rsid w:val="48941F9C"/>
    <w:rsid w:val="49AA5E96"/>
    <w:rsid w:val="49B72E45"/>
    <w:rsid w:val="4A674BED"/>
    <w:rsid w:val="4AC217FD"/>
    <w:rsid w:val="4B3B0ADB"/>
    <w:rsid w:val="4CBC4D6C"/>
    <w:rsid w:val="4CD04264"/>
    <w:rsid w:val="4D7252E3"/>
    <w:rsid w:val="4D73094E"/>
    <w:rsid w:val="4E515D0F"/>
    <w:rsid w:val="4F1F7F3C"/>
    <w:rsid w:val="4F521282"/>
    <w:rsid w:val="51005019"/>
    <w:rsid w:val="51025AC7"/>
    <w:rsid w:val="511D22EA"/>
    <w:rsid w:val="53424A31"/>
    <w:rsid w:val="53DB35C3"/>
    <w:rsid w:val="544E464E"/>
    <w:rsid w:val="54602152"/>
    <w:rsid w:val="54602A9A"/>
    <w:rsid w:val="54946F57"/>
    <w:rsid w:val="54B177CA"/>
    <w:rsid w:val="54F71AA5"/>
    <w:rsid w:val="55191910"/>
    <w:rsid w:val="557E04DB"/>
    <w:rsid w:val="55EC45D1"/>
    <w:rsid w:val="56014951"/>
    <w:rsid w:val="56527CF8"/>
    <w:rsid w:val="56893D1F"/>
    <w:rsid w:val="56994394"/>
    <w:rsid w:val="56F54B4E"/>
    <w:rsid w:val="57644960"/>
    <w:rsid w:val="57B57D5F"/>
    <w:rsid w:val="58187882"/>
    <w:rsid w:val="588E6547"/>
    <w:rsid w:val="589F0348"/>
    <w:rsid w:val="58A92836"/>
    <w:rsid w:val="5A414023"/>
    <w:rsid w:val="5A461F0B"/>
    <w:rsid w:val="5A7A12B0"/>
    <w:rsid w:val="5AA40B4D"/>
    <w:rsid w:val="5AAE5FDB"/>
    <w:rsid w:val="5B7A6807"/>
    <w:rsid w:val="5BC4403A"/>
    <w:rsid w:val="5C890377"/>
    <w:rsid w:val="5CC56111"/>
    <w:rsid w:val="5CDE15D9"/>
    <w:rsid w:val="5CFE757D"/>
    <w:rsid w:val="5DBA3C42"/>
    <w:rsid w:val="5DD344F3"/>
    <w:rsid w:val="5E197DBD"/>
    <w:rsid w:val="5EA155B4"/>
    <w:rsid w:val="5FE25961"/>
    <w:rsid w:val="605300FC"/>
    <w:rsid w:val="60557F87"/>
    <w:rsid w:val="60B06944"/>
    <w:rsid w:val="62972EE4"/>
    <w:rsid w:val="62A05035"/>
    <w:rsid w:val="63744110"/>
    <w:rsid w:val="64065F0C"/>
    <w:rsid w:val="6435059C"/>
    <w:rsid w:val="64451080"/>
    <w:rsid w:val="64591923"/>
    <w:rsid w:val="645B4167"/>
    <w:rsid w:val="656D4115"/>
    <w:rsid w:val="66097975"/>
    <w:rsid w:val="66422180"/>
    <w:rsid w:val="66725207"/>
    <w:rsid w:val="66BA2939"/>
    <w:rsid w:val="675B4115"/>
    <w:rsid w:val="67704E60"/>
    <w:rsid w:val="6888711C"/>
    <w:rsid w:val="69257F13"/>
    <w:rsid w:val="6953327D"/>
    <w:rsid w:val="697F10A1"/>
    <w:rsid w:val="69B151E1"/>
    <w:rsid w:val="69CD366B"/>
    <w:rsid w:val="69D928B9"/>
    <w:rsid w:val="6A2F53F0"/>
    <w:rsid w:val="6B545C62"/>
    <w:rsid w:val="6BB30BA5"/>
    <w:rsid w:val="6BB754F0"/>
    <w:rsid w:val="6BC475CA"/>
    <w:rsid w:val="6CA0199D"/>
    <w:rsid w:val="6CDE7FB8"/>
    <w:rsid w:val="6DC94927"/>
    <w:rsid w:val="6E027A67"/>
    <w:rsid w:val="6F180B5B"/>
    <w:rsid w:val="6FAD4D66"/>
    <w:rsid w:val="6FB03715"/>
    <w:rsid w:val="70482C4F"/>
    <w:rsid w:val="707C24E8"/>
    <w:rsid w:val="712D267F"/>
    <w:rsid w:val="71C85D8B"/>
    <w:rsid w:val="71C96415"/>
    <w:rsid w:val="7331706C"/>
    <w:rsid w:val="740873D3"/>
    <w:rsid w:val="766B2E46"/>
    <w:rsid w:val="769161F9"/>
    <w:rsid w:val="76D05559"/>
    <w:rsid w:val="771C6239"/>
    <w:rsid w:val="77417215"/>
    <w:rsid w:val="7783749C"/>
    <w:rsid w:val="77924F55"/>
    <w:rsid w:val="77E44C5F"/>
    <w:rsid w:val="78746DE5"/>
    <w:rsid w:val="793D3979"/>
    <w:rsid w:val="79943D8B"/>
    <w:rsid w:val="79B009B8"/>
    <w:rsid w:val="7A1846EE"/>
    <w:rsid w:val="7A565E50"/>
    <w:rsid w:val="7AE22AE4"/>
    <w:rsid w:val="7B3A19D9"/>
    <w:rsid w:val="7D8F646F"/>
    <w:rsid w:val="7DF61FF1"/>
    <w:rsid w:val="7E6C0FD3"/>
    <w:rsid w:val="7F0855EA"/>
    <w:rsid w:val="7F5467E0"/>
    <w:rsid w:val="7F6F0265"/>
    <w:rsid w:val="7F721BA4"/>
    <w:rsid w:val="7F95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7"/>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link w:val="28"/>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hAnsi="Calibri Light" w:eastAsia="华文仿宋"/>
      <w:kern w:val="2"/>
      <w:sz w:val="21"/>
      <w:szCs w:val="24"/>
    </w:rPr>
  </w:style>
  <w:style w:type="paragraph" w:styleId="8">
    <w:name w:val="annotation text"/>
    <w:basedOn w:val="1"/>
    <w:qFormat/>
    <w:uiPriority w:val="0"/>
    <w:pPr>
      <w:jc w:val="left"/>
    </w:pPr>
  </w:style>
  <w:style w:type="paragraph" w:styleId="9">
    <w:name w:val="Body Text 3"/>
    <w:basedOn w:val="1"/>
    <w:qFormat/>
    <w:uiPriority w:val="0"/>
    <w:pPr>
      <w:jc w:val="center"/>
    </w:pPr>
    <w:rPr>
      <w:rFonts w:ascii="Times New Roman"/>
      <w:b/>
      <w:spacing w:val="-20"/>
      <w:w w:val="110"/>
      <w:kern w:val="2"/>
      <w:sz w:val="52"/>
    </w:rPr>
  </w:style>
  <w:style w:type="paragraph" w:styleId="10">
    <w:name w:val="Body Text"/>
    <w:basedOn w:val="1"/>
    <w:next w:val="1"/>
    <w:qFormat/>
    <w:uiPriority w:val="0"/>
    <w:pPr>
      <w:spacing w:after="120"/>
    </w:pPr>
    <w:rPr>
      <w:rFonts w:ascii="Times New Roman"/>
      <w:kern w:val="2"/>
      <w:sz w:val="21"/>
    </w:rPr>
  </w:style>
  <w:style w:type="paragraph" w:styleId="11">
    <w:name w:val="Body Text Indent"/>
    <w:basedOn w:val="1"/>
    <w:next w:val="1"/>
    <w:qFormat/>
    <w:uiPriority w:val="0"/>
    <w:pPr>
      <w:widowControl/>
      <w:ind w:firstLine="652" w:firstLineChars="233"/>
    </w:pPr>
    <w:rPr>
      <w:rFonts w:ascii="Times New Roman"/>
      <w:sz w:val="28"/>
    </w:rPr>
  </w:style>
  <w:style w:type="paragraph" w:styleId="12">
    <w:name w:val="index 4"/>
    <w:basedOn w:val="1"/>
    <w:next w:val="1"/>
    <w:unhideWhenUsed/>
    <w:qFormat/>
    <w:uiPriority w:val="99"/>
    <w:pPr>
      <w:ind w:left="428" w:firstLine="140"/>
    </w:pPr>
  </w:style>
  <w:style w:type="paragraph" w:styleId="13">
    <w:name w:val="toc 3"/>
    <w:basedOn w:val="1"/>
    <w:next w:val="1"/>
    <w:qFormat/>
    <w:uiPriority w:val="0"/>
    <w:pPr>
      <w:ind w:left="840" w:leftChars="400"/>
    </w:pPr>
  </w:style>
  <w:style w:type="paragraph" w:styleId="14">
    <w:name w:val="Plain Text"/>
    <w:basedOn w:val="1"/>
    <w:qFormat/>
    <w:uiPriority w:val="0"/>
    <w:rPr>
      <w:rFonts w:hAnsi="Courier New"/>
      <w:kern w:val="2"/>
      <w:sz w:val="21"/>
    </w:rPr>
  </w:style>
  <w:style w:type="paragraph" w:styleId="15">
    <w:name w:val="Date"/>
    <w:basedOn w:val="1"/>
    <w:next w:val="1"/>
    <w:qFormat/>
    <w:uiPriority w:val="0"/>
    <w:rPr>
      <w:rFonts w:ascii="Times New Roman"/>
      <w:kern w:val="2"/>
      <w:sz w:val="28"/>
    </w:rPr>
  </w:style>
  <w:style w:type="paragraph" w:styleId="16">
    <w:name w:val="footer"/>
    <w:basedOn w:val="1"/>
    <w:qFormat/>
    <w:uiPriority w:val="99"/>
    <w:pPr>
      <w:tabs>
        <w:tab w:val="center" w:pos="4153"/>
        <w:tab w:val="right" w:pos="8306"/>
      </w:tabs>
      <w:snapToGrid w:val="0"/>
      <w:jc w:val="left"/>
    </w:pPr>
    <w:rPr>
      <w:rFonts w:ascii="Times New Roman"/>
      <w:kern w:val="2"/>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8">
    <w:name w:val="toc 1"/>
    <w:basedOn w:val="1"/>
    <w:next w:val="1"/>
    <w:unhideWhenUsed/>
    <w:qFormat/>
    <w:uiPriority w:val="39"/>
    <w:pPr>
      <w:tabs>
        <w:tab w:val="left" w:pos="1418"/>
        <w:tab w:val="right" w:leader="dot" w:pos="8302"/>
      </w:tabs>
      <w:spacing w:line="960" w:lineRule="auto"/>
    </w:pPr>
  </w:style>
  <w:style w:type="paragraph" w:styleId="19">
    <w:name w:val="toc 2"/>
    <w:basedOn w:val="1"/>
    <w:next w:val="1"/>
    <w:unhideWhenUsed/>
    <w:qFormat/>
    <w:uiPriority w:val="39"/>
    <w:pPr>
      <w:tabs>
        <w:tab w:val="right" w:leader="dot" w:pos="8302"/>
      </w:tabs>
      <w:spacing w:line="960" w:lineRule="auto"/>
      <w:ind w:left="420" w:leftChars="200"/>
    </w:pPr>
  </w:style>
  <w:style w:type="paragraph" w:styleId="20">
    <w:name w:val="Normal (Web)"/>
    <w:basedOn w:val="1"/>
    <w:qFormat/>
    <w:uiPriority w:val="99"/>
    <w:pPr>
      <w:widowControl/>
      <w:spacing w:before="100" w:beforeAutospacing="1" w:after="100" w:afterAutospacing="1"/>
      <w:jc w:val="left"/>
    </w:pPr>
    <w:rPr>
      <w:rFonts w:hAnsi="宋体"/>
      <w:szCs w:val="24"/>
    </w:rPr>
  </w:style>
  <w:style w:type="paragraph" w:styleId="21">
    <w:name w:val="Body Text First Indent 2"/>
    <w:basedOn w:val="11"/>
    <w:qFormat/>
    <w:uiPriority w:val="99"/>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Hyperlink"/>
    <w:basedOn w:val="24"/>
    <w:qFormat/>
    <w:uiPriority w:val="99"/>
    <w:rPr>
      <w:rFonts w:hint="eastAsia" w:ascii="宋体" w:hAnsi="宋体" w:eastAsia="宋体" w:cs="宋体"/>
      <w:color w:val="000000"/>
      <w:sz w:val="18"/>
      <w:szCs w:val="18"/>
      <w:u w:val="none"/>
    </w:rPr>
  </w:style>
  <w:style w:type="character" w:customStyle="1" w:styleId="27">
    <w:name w:val="标题 1 Char"/>
    <w:link w:val="2"/>
    <w:qFormat/>
    <w:uiPriority w:val="0"/>
    <w:rPr>
      <w:rFonts w:ascii="仿宋_GB2312" w:hAnsi="宋体" w:eastAsia="仿宋_GB2312"/>
      <w:b/>
      <w:kern w:val="2"/>
      <w:sz w:val="32"/>
    </w:rPr>
  </w:style>
  <w:style w:type="character" w:customStyle="1" w:styleId="28">
    <w:name w:val="标题 3 Char"/>
    <w:link w:val="4"/>
    <w:qFormat/>
    <w:uiPriority w:val="0"/>
    <w:rPr>
      <w:rFonts w:ascii="Times New Roman"/>
      <w:b/>
      <w:bCs/>
      <w:kern w:val="2"/>
      <w:szCs w:val="24"/>
    </w:rPr>
  </w:style>
  <w:style w:type="paragraph" w:customStyle="1" w:styleId="29">
    <w:name w:val="列出段落1"/>
    <w:basedOn w:val="1"/>
    <w:qFormat/>
    <w:uiPriority w:val="34"/>
    <w:pPr>
      <w:ind w:firstLine="420" w:firstLineChars="200"/>
    </w:pPr>
  </w:style>
  <w:style w:type="character" w:customStyle="1" w:styleId="30">
    <w:name w:val="font41"/>
    <w:basedOn w:val="24"/>
    <w:qFormat/>
    <w:uiPriority w:val="0"/>
    <w:rPr>
      <w:rFonts w:hint="eastAsia" w:ascii="宋体" w:hAnsi="宋体" w:eastAsia="宋体" w:cs="宋体"/>
      <w:b/>
      <w:color w:val="000000"/>
      <w:sz w:val="22"/>
      <w:szCs w:val="22"/>
      <w:u w:val="none"/>
    </w:rPr>
  </w:style>
  <w:style w:type="character" w:customStyle="1" w:styleId="31">
    <w:name w:val="font51"/>
    <w:basedOn w:val="24"/>
    <w:qFormat/>
    <w:uiPriority w:val="0"/>
    <w:rPr>
      <w:rFonts w:hint="eastAsia" w:ascii="宋体" w:hAnsi="宋体" w:eastAsia="宋体" w:cs="宋体"/>
      <w:color w:val="000000"/>
      <w:sz w:val="22"/>
      <w:szCs w:val="22"/>
      <w:u w:val="none"/>
    </w:rPr>
  </w:style>
  <w:style w:type="character" w:customStyle="1" w:styleId="32">
    <w:name w:val="font01"/>
    <w:basedOn w:val="24"/>
    <w:qFormat/>
    <w:uiPriority w:val="0"/>
    <w:rPr>
      <w:rFonts w:hint="eastAsia" w:ascii="宋体" w:hAnsi="宋体" w:eastAsia="宋体" w:cs="宋体"/>
      <w:color w:val="000000"/>
      <w:sz w:val="20"/>
      <w:szCs w:val="20"/>
      <w:u w:val="none"/>
    </w:rPr>
  </w:style>
  <w:style w:type="character" w:customStyle="1" w:styleId="33">
    <w:name w:val="font21"/>
    <w:basedOn w:val="24"/>
    <w:qFormat/>
    <w:uiPriority w:val="0"/>
    <w:rPr>
      <w:rFonts w:hint="eastAsia" w:ascii="宋体" w:hAnsi="宋体" w:eastAsia="宋体" w:cs="宋体"/>
      <w:color w:val="000000"/>
      <w:sz w:val="20"/>
      <w:szCs w:val="20"/>
      <w:u w:val="none"/>
      <w:vertAlign w:val="superscript"/>
    </w:rPr>
  </w:style>
  <w:style w:type="character" w:customStyle="1" w:styleId="34">
    <w:name w:val="font11"/>
    <w:basedOn w:val="24"/>
    <w:qFormat/>
    <w:uiPriority w:val="0"/>
    <w:rPr>
      <w:rFonts w:hint="eastAsia" w:ascii="宋体" w:hAnsi="宋体" w:eastAsia="宋体" w:cs="宋体"/>
      <w:color w:val="000000"/>
      <w:sz w:val="22"/>
      <w:szCs w:val="22"/>
      <w:u w:val="none"/>
    </w:rPr>
  </w:style>
  <w:style w:type="character" w:customStyle="1" w:styleId="35">
    <w:name w:val="font81"/>
    <w:basedOn w:val="24"/>
    <w:qFormat/>
    <w:uiPriority w:val="0"/>
    <w:rPr>
      <w:rFonts w:ascii="仿宋" w:hAnsi="仿宋" w:eastAsia="仿宋" w:cs="仿宋"/>
      <w:color w:val="000000"/>
      <w:sz w:val="22"/>
      <w:szCs w:val="22"/>
      <w:u w:val="none"/>
    </w:rPr>
  </w:style>
  <w:style w:type="character" w:customStyle="1" w:styleId="36">
    <w:name w:val="font61"/>
    <w:basedOn w:val="24"/>
    <w:qFormat/>
    <w:uiPriority w:val="0"/>
    <w:rPr>
      <w:rFonts w:hint="eastAsia" w:ascii="宋体" w:hAnsi="宋体" w:eastAsia="宋体" w:cs="宋体"/>
      <w:color w:val="000000"/>
      <w:sz w:val="18"/>
      <w:szCs w:val="18"/>
      <w:u w:val="none"/>
    </w:rPr>
  </w:style>
  <w:style w:type="character" w:customStyle="1" w:styleId="37">
    <w:name w:val="font91"/>
    <w:basedOn w:val="24"/>
    <w:qFormat/>
    <w:uiPriority w:val="0"/>
    <w:rPr>
      <w:rFonts w:ascii="Arial" w:hAnsi="Arial" w:cs="Arial"/>
      <w:color w:val="000000"/>
      <w:sz w:val="18"/>
      <w:szCs w:val="18"/>
      <w:u w:val="none"/>
    </w:rPr>
  </w:style>
  <w:style w:type="paragraph" w:customStyle="1" w:styleId="38">
    <w:name w:val="Table Paragraph"/>
    <w:basedOn w:val="1"/>
    <w:qFormat/>
    <w:uiPriority w:val="1"/>
    <w:rPr>
      <w:rFonts w:hAnsi="宋体" w:cs="宋体"/>
      <w:lang w:val="zh-CN" w:bidi="zh-CN"/>
    </w:rPr>
  </w:style>
  <w:style w:type="paragraph" w:customStyle="1" w:styleId="39">
    <w:name w:val="表格文字中"/>
    <w:basedOn w:val="1"/>
    <w:qFormat/>
    <w:uiPriority w:val="0"/>
    <w:pPr>
      <w:adjustRightInd w:val="0"/>
      <w:snapToGrid w:val="0"/>
      <w:ind w:left="22" w:leftChars="8"/>
      <w:jc w:val="center"/>
    </w:pPr>
    <w:rPr>
      <w:szCs w:val="24"/>
    </w:rPr>
  </w:style>
  <w:style w:type="paragraph" w:customStyle="1" w:styleId="40">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1">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character" w:customStyle="1" w:styleId="42">
    <w:name w:val="font31"/>
    <w:basedOn w:val="24"/>
    <w:qFormat/>
    <w:uiPriority w:val="0"/>
    <w:rPr>
      <w:rFonts w:hint="eastAsia" w:ascii="宋体" w:hAnsi="宋体" w:eastAsia="宋体" w:cs="宋体"/>
      <w:color w:val="000000"/>
      <w:sz w:val="18"/>
      <w:szCs w:val="18"/>
      <w:u w:val="none"/>
    </w:rPr>
  </w:style>
  <w:style w:type="character" w:customStyle="1" w:styleId="43">
    <w:name w:val="font101"/>
    <w:basedOn w:val="24"/>
    <w:qFormat/>
    <w:uiPriority w:val="0"/>
    <w:rPr>
      <w:rFonts w:hint="default" w:ascii="Times New Roman" w:hAnsi="Times New Roman" w:cs="Times New Roman"/>
      <w:color w:val="000000"/>
      <w:sz w:val="18"/>
      <w:szCs w:val="18"/>
      <w:u w:val="none"/>
    </w:rPr>
  </w:style>
  <w:style w:type="character" w:customStyle="1" w:styleId="44">
    <w:name w:val="font71"/>
    <w:basedOn w:val="24"/>
    <w:qFormat/>
    <w:uiPriority w:val="0"/>
    <w:rPr>
      <w:rFonts w:hint="eastAsia" w:ascii="宋体" w:hAnsi="宋体" w:eastAsia="宋体" w:cs="宋体"/>
      <w:b/>
      <w:bCs/>
      <w:color w:val="000000"/>
      <w:sz w:val="19"/>
      <w:szCs w:val="19"/>
      <w:u w:val="none"/>
    </w:rPr>
  </w:style>
  <w:style w:type="character" w:customStyle="1" w:styleId="45">
    <w:name w:val="font112"/>
    <w:basedOn w:val="24"/>
    <w:qFormat/>
    <w:uiPriority w:val="0"/>
    <w:rPr>
      <w:rFonts w:hint="eastAsia" w:ascii="宋体" w:hAnsi="宋体" w:eastAsia="宋体" w:cs="宋体"/>
      <w:color w:val="000000"/>
      <w:sz w:val="18"/>
      <w:szCs w:val="18"/>
      <w:u w:val="none"/>
      <w:vertAlign w:val="superscript"/>
    </w:rPr>
  </w:style>
  <w:style w:type="character" w:customStyle="1" w:styleId="46">
    <w:name w:val="font121"/>
    <w:basedOn w:val="24"/>
    <w:qFormat/>
    <w:uiPriority w:val="0"/>
    <w:rPr>
      <w:rFonts w:ascii="微软雅黑" w:hAnsi="微软雅黑" w:eastAsia="微软雅黑" w:cs="微软雅黑"/>
      <w:color w:val="000000"/>
      <w:sz w:val="16"/>
      <w:szCs w:val="16"/>
      <w:u w:val="none"/>
    </w:rPr>
  </w:style>
  <w:style w:type="character" w:customStyle="1" w:styleId="47">
    <w:name w:val="font131"/>
    <w:basedOn w:val="24"/>
    <w:qFormat/>
    <w:uiPriority w:val="0"/>
    <w:rPr>
      <w:rFonts w:hint="default" w:ascii="Times New Roman" w:hAnsi="Times New Roman" w:cs="Times New Roman"/>
      <w:color w:val="000000"/>
      <w:sz w:val="18"/>
      <w:szCs w:val="18"/>
      <w:u w:val="none"/>
      <w:vertAlign w:val="superscript"/>
    </w:rPr>
  </w:style>
  <w:style w:type="character" w:customStyle="1" w:styleId="48">
    <w:name w:val="font141"/>
    <w:basedOn w:val="24"/>
    <w:qFormat/>
    <w:uiPriority w:val="0"/>
    <w:rPr>
      <w:rFonts w:hint="eastAsia" w:ascii="宋体" w:hAnsi="宋体" w:eastAsia="宋体" w:cs="宋体"/>
      <w:color w:val="000000"/>
      <w:sz w:val="16"/>
      <w:szCs w:val="16"/>
      <w:u w:val="none"/>
      <w:vertAlign w:val="superscript"/>
    </w:rPr>
  </w:style>
  <w:style w:type="paragraph" w:customStyle="1" w:styleId="49">
    <w:name w:val="Char1"/>
    <w:basedOn w:val="1"/>
    <w:qFormat/>
    <w:uiPriority w:val="0"/>
    <w:pPr>
      <w:tabs>
        <w:tab w:val="left" w:pos="360"/>
      </w:tabs>
      <w:ind w:left="360" w:hanging="360" w:hangingChars="200"/>
    </w:pPr>
    <w:rPr>
      <w:szCs w:val="24"/>
    </w:rPr>
  </w:style>
  <w:style w:type="paragraph" w:customStyle="1" w:styleId="50">
    <w:name w:val="列出段落11"/>
    <w:basedOn w:val="1"/>
    <w:qFormat/>
    <w:uiPriority w:val="34"/>
    <w:pPr>
      <w:ind w:firstLine="420" w:firstLineChars="200"/>
    </w:pPr>
    <w:rPr>
      <w:rFonts w:ascii="Calibri" w:hAnsi="Calibri"/>
      <w:szCs w:val="22"/>
    </w:rPr>
  </w:style>
  <w:style w:type="character" w:customStyle="1" w:styleId="51">
    <w:name w:val="font181"/>
    <w:basedOn w:val="24"/>
    <w:qFormat/>
    <w:uiPriority w:val="0"/>
    <w:rPr>
      <w:rFonts w:hint="eastAsia" w:ascii="微软雅黑" w:hAnsi="微软雅黑" w:eastAsia="微软雅黑" w:cs="微软雅黑"/>
      <w:color w:val="000000"/>
      <w:sz w:val="16"/>
      <w:szCs w:val="16"/>
      <w:u w:val="none"/>
    </w:rPr>
  </w:style>
  <w:style w:type="paragraph" w:customStyle="1" w:styleId="52">
    <w:name w:val="520"/>
    <w:qFormat/>
    <w:uiPriority w:val="0"/>
    <w:pPr>
      <w:spacing w:line="360" w:lineRule="auto"/>
    </w:pPr>
    <w:rPr>
      <w:rFonts w:ascii="宋体" w:hAnsi="宋体" w:eastAsia="仿宋_GB2312" w:cs="Times New Roman"/>
      <w:b/>
      <w:kern w:val="2"/>
      <w:sz w:val="30"/>
      <w:szCs w:val="30"/>
      <w:lang w:val="en-US" w:eastAsia="zh-CN" w:bidi="ar-SA"/>
    </w:rPr>
  </w:style>
  <w:style w:type="paragraph" w:customStyle="1" w:styleId="5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34"/>
    <w:pPr>
      <w:ind w:firstLine="420" w:firstLineChars="200"/>
    </w:pPr>
  </w:style>
  <w:style w:type="paragraph" w:customStyle="1" w:styleId="55">
    <w:name w:val="p0"/>
    <w:basedOn w:val="1"/>
    <w:qFormat/>
    <w:uiPriority w:val="0"/>
    <w:pPr>
      <w:widowControl/>
    </w:pPr>
    <w:rPr>
      <w:szCs w:val="24"/>
    </w:rPr>
  </w:style>
  <w:style w:type="paragraph" w:customStyle="1" w:styleId="56">
    <w:name w:val="正文缩进1"/>
    <w:basedOn w:val="1"/>
    <w:qFormat/>
    <w:uiPriority w:val="0"/>
    <w:pPr>
      <w:ind w:firstLine="420" w:firstLineChars="200"/>
    </w:pPr>
  </w:style>
  <w:style w:type="paragraph" w:styleId="57">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customStyle="1" w:styleId="5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B051F-26F3-42D7-90FA-337DF21A52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28461</Words>
  <Characters>31301</Characters>
  <Lines>332</Lines>
  <Paragraphs>93</Paragraphs>
  <TotalTime>28</TotalTime>
  <ScaleCrop>false</ScaleCrop>
  <LinksUpToDate>false</LinksUpToDate>
  <CharactersWithSpaces>33066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2024-06-04T08:46:00Z</dcterms:created>
  <dc:creator>Administrator</dc:creator>
  <cp:lastModifiedBy>Mr.sy</cp:lastModifiedBy>
  <dcterms:modified xsi:type="dcterms:W3CDTF">2025-08-07T11:02:31Z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51773F62F0CB4CF3A51647BFF1E453E4_13</vt:lpwstr>
  </property>
  <property fmtid="{D5CDD505-2E9C-101B-9397-08002B2CF9AE}" pid="4" name="KSOTemplateDocerSaveRecord">
    <vt:lpwstr>eyJoZGlkIjoiNjE3MzAxNTgxYjAxOTI0ZjUxMzZjMDU1NTMzNDBmOTIiLCJ1c2VySWQiOiIyMzA4NTAzMTYifQ==</vt:lpwstr>
  </property>
</Properties>
</file>