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BC6A00">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CGZC-2025-113（HSGJ2025-170）</w:t>
      </w:r>
    </w:p>
    <w:p w14:paraId="56DB9492">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16CC76FC">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71528A7E">
      <w:pPr>
        <w:rPr>
          <w:rFonts w:hint="eastAsia"/>
          <w:highlight w:val="none"/>
          <w:lang w:val="en-US" w:eastAsia="zh-CN"/>
        </w:rPr>
      </w:pPr>
    </w:p>
    <w:p w14:paraId="00650092">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default" w:ascii="宋体" w:hAnsi="宋体" w:eastAsia="宋体" w:cs="宋体"/>
          <w:b/>
          <w:sz w:val="52"/>
          <w:szCs w:val="48"/>
          <w:highlight w:val="none"/>
          <w:lang w:val="en-US" w:eastAsia="zh-CN"/>
        </w:rPr>
      </w:pPr>
      <w:r>
        <w:rPr>
          <w:rFonts w:hint="eastAsia" w:ascii="宋体" w:hAnsi="宋体" w:eastAsia="宋体" w:cs="宋体"/>
          <w:b/>
          <w:sz w:val="52"/>
          <w:szCs w:val="48"/>
          <w:highlight w:val="none"/>
          <w:lang w:val="en-US" w:eastAsia="zh-CN"/>
        </w:rPr>
        <w:t>2025-2027管委会机关餐饮服务第三批（金融商务产业园等部门食材配送）（总部创意产业园）（四包）</w:t>
      </w:r>
    </w:p>
    <w:p w14:paraId="56C53CD4">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p>
    <w:p w14:paraId="12F0E428">
      <w:pPr>
        <w:bidi w:val="0"/>
        <w:rPr>
          <w:rFonts w:hint="eastAsia"/>
          <w:highlight w:val="none"/>
        </w:rPr>
      </w:pPr>
    </w:p>
    <w:p w14:paraId="00639627">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4588"/>
      <w:bookmarkStart w:id="3" w:name="_Toc15337"/>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51E4C58E">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F6C928F">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006C1F5">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4B721BD">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54B1F35F">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8B24D00">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32"/>
          <w:szCs w:val="32"/>
          <w:highlight w:val="none"/>
          <w:lang w:eastAsia="zh-CN"/>
        </w:rPr>
      </w:pPr>
      <w:bookmarkStart w:id="4" w:name="_Toc12262"/>
      <w:bookmarkStart w:id="5" w:name="_Toc2655"/>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西安浐灞国际港党政办公室</w:t>
      </w:r>
    </w:p>
    <w:p w14:paraId="7253B041">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32"/>
          <w:szCs w:val="32"/>
          <w:highlight w:val="none"/>
        </w:rPr>
      </w:pPr>
      <w:bookmarkStart w:id="6" w:name="_Toc9269"/>
      <w:bookmarkStart w:id="7" w:name="_Toc16289"/>
      <w:bookmarkStart w:id="8" w:name="_Toc2128"/>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5EAA1E8D">
      <w:pPr>
        <w:keepNext w:val="0"/>
        <w:keepLines w:val="0"/>
        <w:pageBreakBefore w:val="0"/>
        <w:widowControl/>
        <w:kinsoku/>
        <w:wordWrap/>
        <w:overflowPunct/>
        <w:topLinePunct w:val="0"/>
        <w:autoSpaceDE/>
        <w:autoSpaceDN/>
        <w:bidi w:val="0"/>
        <w:adjustRightInd/>
        <w:snapToGrid/>
        <w:spacing w:line="480" w:lineRule="auto"/>
        <w:ind w:firstLine="1137" w:firstLineChars="350"/>
        <w:textAlignment w:val="auto"/>
        <w:outlineLvl w:val="9"/>
        <w:rPr>
          <w:rFonts w:hint="eastAsia" w:ascii="宋体" w:hAnsi="宋体" w:eastAsia="宋体" w:cs="宋体"/>
          <w:b/>
          <w:sz w:val="21"/>
          <w:szCs w:val="21"/>
          <w:highlight w:val="none"/>
        </w:rPr>
      </w:pPr>
      <w:bookmarkStart w:id="9" w:name="_Toc221"/>
      <w:bookmarkStart w:id="10" w:name="_Toc2766"/>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highlight w:val="none"/>
        </w:rPr>
        <w:t>月</w:t>
      </w:r>
      <w:bookmarkEnd w:id="9"/>
      <w:bookmarkEnd w:id="10"/>
    </w:p>
    <w:p w14:paraId="520AFA19">
      <w:pPr>
        <w:spacing w:line="560" w:lineRule="exact"/>
        <w:jc w:val="center"/>
        <w:rPr>
          <w:rFonts w:hint="eastAsia" w:ascii="宋体" w:hAnsi="宋体" w:eastAsia="宋体" w:cs="宋体"/>
          <w:sz w:val="32"/>
          <w:szCs w:val="32"/>
          <w:highlight w:val="none"/>
        </w:rPr>
        <w:sectPr>
          <w:headerReference r:id="rId3" w:type="default"/>
          <w:headerReference r:id="rId4" w:type="even"/>
          <w:pgSz w:w="11906" w:h="16838"/>
          <w:pgMar w:top="1417" w:right="1417" w:bottom="1417" w:left="1417" w:header="851" w:footer="992" w:gutter="0"/>
          <w:pgNumType w:fmt="decimal"/>
          <w:cols w:space="720" w:num="1"/>
          <w:rtlGutter w:val="0"/>
          <w:docGrid w:type="linesAndChars" w:linePitch="333" w:charSpace="1024"/>
        </w:sectPr>
      </w:pPr>
    </w:p>
    <w:p w14:paraId="3DE03DDB">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highlight w:val="none"/>
        </w:rPr>
      </w:pPr>
      <w:r>
        <w:rPr>
          <w:rFonts w:hint="eastAsia" w:ascii="宋体" w:hAnsi="宋体" w:eastAsia="宋体" w:cs="宋体"/>
          <w:b/>
          <w:bCs/>
          <w:sz w:val="44"/>
          <w:szCs w:val="52"/>
          <w:highlight w:val="none"/>
        </w:rPr>
        <w:t>目</w:t>
      </w:r>
      <w:r>
        <w:rPr>
          <w:rFonts w:hint="eastAsia" w:ascii="宋体" w:hAnsi="宋体" w:eastAsia="宋体" w:cs="宋体"/>
          <w:b/>
          <w:bCs/>
          <w:sz w:val="44"/>
          <w:szCs w:val="52"/>
          <w:highlight w:val="none"/>
          <w:lang w:val="en-US" w:eastAsia="zh-CN"/>
        </w:rPr>
        <w:t xml:space="preserve">  </w:t>
      </w:r>
      <w:r>
        <w:rPr>
          <w:rFonts w:hint="eastAsia" w:ascii="宋体" w:hAnsi="宋体" w:eastAsia="宋体" w:cs="宋体"/>
          <w:b/>
          <w:bCs/>
          <w:sz w:val="44"/>
          <w:szCs w:val="52"/>
          <w:highlight w:val="none"/>
        </w:rPr>
        <w:t>录</w:t>
      </w:r>
    </w:p>
    <w:p w14:paraId="7FC44B49">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TOC \o "1-1" \h \u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_Toc8543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_Toc8543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3CA1C936">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_Toc9510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第二章  供应商须知</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_Toc9510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13</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6C4A8B56">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_Toc26456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第三章  招标内容及要求</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_Toc26456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53</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5F27CD8D">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_Toc5152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第四章  商务及合同文本</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_Toc5152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56</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6A9154E9">
      <w:pPr>
        <w:pStyle w:val="21"/>
        <w:tabs>
          <w:tab w:val="right" w:leader="dot" w:pos="9304"/>
        </w:tabs>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_Toc24544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第五章  投标文件构成及格式</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_Toc24544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66</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14:paraId="29A84A2C">
      <w:pPr>
        <w:spacing w:line="360" w:lineRule="auto"/>
        <w:rPr>
          <w:rFonts w:hint="eastAsia" w:ascii="宋体" w:hAnsi="宋体" w:eastAsia="宋体" w:cs="宋体"/>
          <w:highlight w:val="none"/>
        </w:rPr>
      </w:pPr>
      <w:r>
        <w:rPr>
          <w:rFonts w:hint="eastAsia" w:ascii="宋体" w:hAnsi="宋体" w:eastAsia="宋体" w:cs="宋体"/>
          <w:b/>
          <w:bCs/>
          <w:sz w:val="32"/>
          <w:szCs w:val="32"/>
          <w:highlight w:val="none"/>
        </w:rPr>
        <w:fldChar w:fldCharType="end"/>
      </w:r>
    </w:p>
    <w:p w14:paraId="3FE48F8F">
      <w:pPr>
        <w:rPr>
          <w:rFonts w:hint="eastAsia" w:ascii="宋体" w:hAnsi="宋体" w:eastAsia="宋体" w:cs="宋体"/>
          <w:b/>
          <w:bCs/>
          <w:sz w:val="32"/>
          <w:szCs w:val="32"/>
          <w:highlight w:val="none"/>
          <w:lang w:eastAsia="zh-CN"/>
        </w:rPr>
        <w:sectPr>
          <w:footerReference r:id="rId5" w:type="default"/>
          <w:footerReference r:id="rId6" w:type="even"/>
          <w:pgSz w:w="11906" w:h="16838"/>
          <w:pgMar w:top="1417" w:right="1417" w:bottom="1417" w:left="1417" w:header="851" w:footer="992" w:gutter="0"/>
          <w:pgNumType w:fmt="decimal" w:start="1"/>
          <w:cols w:space="720" w:num="1"/>
          <w:rtlGutter w:val="0"/>
          <w:docGrid w:type="linesAndChars" w:linePitch="333" w:charSpace="1024"/>
        </w:sectPr>
      </w:pPr>
    </w:p>
    <w:p w14:paraId="4187457D">
      <w:pPr>
        <w:pStyle w:val="3"/>
        <w:tabs>
          <w:tab w:val="left" w:pos="4631"/>
        </w:tabs>
        <w:ind w:right="113"/>
        <w:jc w:val="center"/>
        <w:rPr>
          <w:rFonts w:hint="eastAsia" w:ascii="宋体" w:hAnsi="宋体" w:eastAsia="宋体" w:cs="宋体"/>
          <w:sz w:val="30"/>
          <w:szCs w:val="30"/>
          <w:highlight w:val="none"/>
          <w:lang w:eastAsia="zh-CN"/>
        </w:rPr>
      </w:pPr>
      <w:bookmarkStart w:id="11" w:name="_Toc8543"/>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790F45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7398339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食材配送服务第三批（金融商务产业园等部门食材配送）招标项目的潜在投标人应在全国公共资源交易平台（陕西省·西安市）网站〖首页〉电子交易平台〉陕西政府采购交易系统〉企业端〗获取招标文件，并于2025年8月20日09时00分（北京时间）前递交投标文件。</w:t>
      </w:r>
    </w:p>
    <w:p w14:paraId="78A64C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398DC04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项目编号：CGZC-2025-113（HSGJ2025-170）</w:t>
      </w:r>
    </w:p>
    <w:p w14:paraId="649F15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项目名称：2025-2027管委会机关餐饮服务第三批（金融商务产业园等部门食材配送）</w:t>
      </w:r>
    </w:p>
    <w:p w14:paraId="53FA536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30FFA46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预算金额：13809000.00元</w:t>
      </w:r>
    </w:p>
    <w:p w14:paraId="697831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02578B4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w:t>
      </w:r>
    </w:p>
    <w:p w14:paraId="4B4203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合同包预算金额：2040000.00元</w:t>
      </w:r>
    </w:p>
    <w:p w14:paraId="79DF041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合同包最高限价：2040000.00元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59FA063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2074A9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61EC91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843F3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84A6B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4FEE5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5405E0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11E975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6304EC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789017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4A77D7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775654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E43082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88B913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5B3B7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2040000.00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2AB5A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2040000.00</w:t>
            </w:r>
          </w:p>
        </w:tc>
      </w:tr>
    </w:tbl>
    <w:p w14:paraId="1B7D6B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0D7F0F4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0B7B5E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w:t>
      </w:r>
    </w:p>
    <w:p w14:paraId="5E2AEF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合同包预算金额：2457000.00元</w:t>
      </w:r>
    </w:p>
    <w:p w14:paraId="6BBFD5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合同包最高限价：2457000.00元</w:t>
      </w:r>
    </w:p>
    <w:tbl>
      <w:tblPr>
        <w:tblStyle w:val="28"/>
        <w:tblW w:w="4985"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52"/>
        <w:gridCol w:w="1048"/>
        <w:gridCol w:w="1873"/>
        <w:gridCol w:w="1291"/>
        <w:gridCol w:w="1353"/>
        <w:gridCol w:w="1558"/>
        <w:gridCol w:w="1509"/>
      </w:tblGrid>
      <w:tr w14:paraId="64A6C6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5325C7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23EEEC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4586F8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2A5BE2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89AA43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E78826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022E84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019F551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87C5DB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5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4DB7F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00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CE8F03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6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9CAD8B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1(批)</w:t>
            </w:r>
          </w:p>
        </w:tc>
        <w:tc>
          <w:tcPr>
            <w:tcW w:w="72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37B54F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78E54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2457000.00</w:t>
            </w:r>
          </w:p>
        </w:tc>
        <w:tc>
          <w:tcPr>
            <w:tcW w:w="8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68B0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2457000.00</w:t>
            </w:r>
          </w:p>
        </w:tc>
      </w:tr>
    </w:tbl>
    <w:p w14:paraId="2BD8B41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0DAFE3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27D842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w:t>
      </w:r>
    </w:p>
    <w:p w14:paraId="00A6AF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合同包预算金额：2211000.00元</w:t>
      </w:r>
    </w:p>
    <w:p w14:paraId="458198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合同包最高限价：2211000.00元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02"/>
        <w:gridCol w:w="1003"/>
        <w:gridCol w:w="1879"/>
        <w:gridCol w:w="1063"/>
        <w:gridCol w:w="1433"/>
        <w:gridCol w:w="1542"/>
        <w:gridCol w:w="1761"/>
      </w:tblGrid>
      <w:tr w14:paraId="478EABD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FCEF76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E6AAE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AC1068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DA882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48AE4D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CDD76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756E63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4AE670A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F4680A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3</w:t>
            </w:r>
            <w:r>
              <w:rPr>
                <w:rFonts w:ascii="宋体" w:hAnsi="宋体" w:eastAsia="宋体" w:cs="宋体"/>
                <w:kern w:val="0"/>
                <w:sz w:val="22"/>
                <w:szCs w:val="22"/>
                <w:highlight w:val="none"/>
                <w:lang w:val="en-US" w:eastAsia="zh-CN" w:bidi="ar"/>
              </w:rPr>
              <w:t>-1</w:t>
            </w:r>
          </w:p>
        </w:tc>
        <w:tc>
          <w:tcPr>
            <w:tcW w:w="54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8D4CA8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01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F69F1A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3D666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1(批)</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256753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详见采购文件</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AE302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2211000.00</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7A328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2211000.00</w:t>
            </w:r>
          </w:p>
        </w:tc>
      </w:tr>
    </w:tbl>
    <w:p w14:paraId="43B03B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5AE415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7B9D81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w:t>
      </w:r>
    </w:p>
    <w:p w14:paraId="24DA55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合同包预算金额：2730000.00元</w:t>
      </w:r>
    </w:p>
    <w:p w14:paraId="5C48F1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合同包最高限价：2730000.00元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49FAC4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76CB14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35420C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100A9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50797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F69F7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951414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90BBE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16104A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92F8B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4</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51B351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7CBB2A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73F38E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DB0EFD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1E6B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2730000.00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55ED5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2730000.00</w:t>
            </w:r>
          </w:p>
        </w:tc>
      </w:tr>
    </w:tbl>
    <w:p w14:paraId="260043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B83AE4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20BBDF0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w:t>
      </w:r>
    </w:p>
    <w:p w14:paraId="4E3B7E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合同包预算金额：1866000.00元</w:t>
      </w:r>
    </w:p>
    <w:p w14:paraId="5211C3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合同包最高限价：1866000.00元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04AEE83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B6D4A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F2EDB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B085F5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CF283C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6F1A6C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30E8D0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AAA3B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062E68D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929F02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5</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E47CC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2DE5E8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81CA53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975C03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3A48F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1866000.00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C4EA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1866000.00</w:t>
            </w:r>
          </w:p>
        </w:tc>
      </w:tr>
    </w:tbl>
    <w:p w14:paraId="2ED23D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0E87B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4DDA0C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w:t>
      </w:r>
    </w:p>
    <w:p w14:paraId="1ECD5B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合同包预算金额：2505000.00元</w:t>
      </w:r>
    </w:p>
    <w:p w14:paraId="0AA717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合同包最高限价：2505000.00元</w:t>
      </w:r>
    </w:p>
    <w:tbl>
      <w:tblPr>
        <w:tblStyle w:val="28"/>
        <w:tblW w:w="4991"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2"/>
        <w:gridCol w:w="1046"/>
        <w:gridCol w:w="2246"/>
        <w:gridCol w:w="1078"/>
        <w:gridCol w:w="1343"/>
        <w:gridCol w:w="1465"/>
        <w:gridCol w:w="1465"/>
      </w:tblGrid>
      <w:tr w14:paraId="74B79D1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BCB9D5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69D1C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673868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72E7EC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7F5818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126C0D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B71E3E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7249EB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6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EC10F6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6</w:t>
            </w:r>
            <w:r>
              <w:rPr>
                <w:rFonts w:ascii="宋体" w:hAnsi="宋体" w:eastAsia="宋体" w:cs="宋体"/>
                <w:kern w:val="0"/>
                <w:sz w:val="22"/>
                <w:szCs w:val="22"/>
                <w:highlight w:val="none"/>
                <w:lang w:val="en-US" w:eastAsia="zh-CN" w:bidi="ar"/>
              </w:rPr>
              <w:t>-1</w:t>
            </w:r>
          </w:p>
        </w:tc>
        <w:tc>
          <w:tcPr>
            <w:tcW w:w="57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3CB87D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餐饮业</w:t>
            </w:r>
          </w:p>
        </w:tc>
        <w:tc>
          <w:tcPr>
            <w:tcW w:w="122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95551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59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64D68E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8A77C9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62D9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2505000.00</w:t>
            </w:r>
          </w:p>
        </w:tc>
        <w:tc>
          <w:tcPr>
            <w:tcW w:w="75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34C9C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2505000.00</w:t>
            </w:r>
          </w:p>
        </w:tc>
      </w:tr>
    </w:tbl>
    <w:p w14:paraId="5684EC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7923A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648C684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6DF23D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001244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18E787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合同包1(2025-2027管委会机关餐饮服务第三批（金融商务产业园等部门食材配送）（金融商务产业园）（一包）)落实政府采购政策需满足的资格要求如下:</w:t>
      </w:r>
    </w:p>
    <w:p w14:paraId="5AD3100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6EF8D8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C753E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60F85F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34F150B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1E1F5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1E5D94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267369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9A368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1805B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2F82ED8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合同包2(2025-2027管委会机关餐饮服务第三批（金融商务产业园等部门食材配送）（数字商贸产业园）（二包）)落实政府采购政策需满足的资格要求如下:</w:t>
      </w:r>
    </w:p>
    <w:p w14:paraId="299EB4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7E3A0A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B791E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072EC2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4D623B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2DAC3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073EAF9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8A07D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C7324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D551B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7636C5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合同包3(2025-2027管委会机关餐饮服务第三批（金融商务产业园等部门食材配送）（湿地文旅产业园）（三包）)落实政府采购政策需满足的资格要求如下:</w:t>
      </w:r>
    </w:p>
    <w:p w14:paraId="244DE7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2E0C34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28E88C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50DAE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90C3DE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3E4ABCF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0EF433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5D5E644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AC4662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06C52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65F5075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合同包4(2025-2027管委会机关餐饮服务第三批（金融商务产业园等部门食材配送）（总部创意产业园）（四包）)落实政府采购政策需满足的资格要求如下:</w:t>
      </w:r>
    </w:p>
    <w:p w14:paraId="258CE6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25AA7EA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44572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048817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0208C2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1637AA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39FF4D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1718869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0342AD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0A1381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17142F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合同包5(2025-2027管委会机关餐饮服务第三批（金融商务产业园等部门食材配送）（雁鸣生态产业园）（五包）)落实政府采购政策需满足的资格要求如下:</w:t>
      </w:r>
    </w:p>
    <w:p w14:paraId="05F28E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289450E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04CA19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456F69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0128B19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78F32B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6093BA4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69FE37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19CC9A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9F290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7F8FCD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合同包6(2025-2027管委会机关餐饮服务第三批（金融商务产业园等部门食材配送）（世园会展产业园）（六包）)落实政府采购政策需满足的资格要求如下:</w:t>
      </w:r>
    </w:p>
    <w:p w14:paraId="19DC97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0EB6E8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50110C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72E1A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43BF9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281A729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3867F81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8355AE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8B6D4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043129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02BC614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696F36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合同包1(2025-2027管委会机关餐饮服务第三批（金融商务产业园等部门食材配送）（金融商务产业园）（一包）)特定资格要求如下:</w:t>
      </w:r>
    </w:p>
    <w:p w14:paraId="4E34F97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35572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693FC9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8DB8D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045F6F9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2E7BAB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5A5A98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合同包2(2025-2027管委会机关餐饮服务第三批（金融商务产业园等部门食材配送）（数字商贸产业园）（二包）)特定资格要求如下:</w:t>
      </w:r>
    </w:p>
    <w:p w14:paraId="5EF8F8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29902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23125A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3）供应商应授权合法的人员参加磋商全过程，其中法定代表人直接参加磋商的，须出具法 定代表人身份证，并与营业执照上信息一致。法定代表人授权代表参加磋商的，须出具法定代表人授权书及授权代表身份证；</w:t>
      </w:r>
    </w:p>
    <w:p w14:paraId="4585054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3E76AF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637606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52587FC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合同包3(2025-2027管委会机关餐饮服务第三批（金融商务产业园等部门食材配送）（湿地文旅产业园）（三包）)特定资格要求如下:</w:t>
      </w:r>
    </w:p>
    <w:p w14:paraId="3B252B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70FF58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41F9B3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549E8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08AC5E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1A4B7F0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04C658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合同包4(2025-2027管委会机关餐饮服务第三批（金融商务产业园等部门食材配送）（总部创意产业园）（四包）)特定资格要求如下:</w:t>
      </w:r>
    </w:p>
    <w:p w14:paraId="468B144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148A3A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5E84177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60260F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2DFBB6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7F4FA64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70F1A69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合同包5(2025-2027管委会机关餐饮服务第三批（金融商务产业园等部门食材配送）（雁鸣生态产业园）（五包）)特定资格要求如下:</w:t>
      </w:r>
    </w:p>
    <w:p w14:paraId="7889DC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FC20F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87487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B5AB0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0B45FF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49DE24D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5F3F59D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合同包6(2025-2027管委会机关餐饮服务第三批（金融商务产业园等部门食材配送）（世园会展产业园）（六包）)特定资格要求如下:</w:t>
      </w:r>
    </w:p>
    <w:p w14:paraId="6C24AA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E75999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460976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2BDFF0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3A36247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419606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default"/>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6）</w:t>
      </w: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7984AE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56E422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时间：2025年7月31日至2025年8月6日，每天上午00:00:00至12:00:00，下午12:00:00至23:59:59（北京时间）</w:t>
      </w:r>
    </w:p>
    <w:p w14:paraId="003C08B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3EB28FD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2A7F66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1F7479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0165D4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时间：2025年8月20日09时00分00秒（北京时间）</w:t>
      </w:r>
    </w:p>
    <w:p w14:paraId="3AAB552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60A901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5F4209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39BBDC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7ADF97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690C04E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13F92F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671EB1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6B2E53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34E60D6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700808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6FEFC6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641871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59369D1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1FBC88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1AB8BB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677C16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名称：西安浐灞国际港党政办公室</w:t>
      </w:r>
    </w:p>
    <w:p w14:paraId="4E2A9B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49B140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联系方式：李老师 029-88072319</w:t>
      </w:r>
    </w:p>
    <w:p w14:paraId="42AC7F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4702EF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337B8C8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4C72D3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联系方式：029-81779899转8013</w:t>
      </w:r>
    </w:p>
    <w:p w14:paraId="2FBE25A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5"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1874FC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项目联系人：曹美奇、杨阳</w:t>
      </w:r>
    </w:p>
    <w:p w14:paraId="3B53936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电话：029-81779899转8013</w:t>
      </w:r>
    </w:p>
    <w:p w14:paraId="081A34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9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29F6A75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2025年7月30日</w:t>
      </w:r>
    </w:p>
    <w:p w14:paraId="76776B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0"/>
        <w:rPr>
          <w:rFonts w:hint="eastAsia" w:ascii="宋体" w:hAnsi="宋体" w:eastAsia="宋体" w:cs="宋体"/>
          <w:b/>
          <w:bCs/>
          <w:sz w:val="32"/>
          <w:szCs w:val="32"/>
          <w:highlight w:val="none"/>
        </w:rPr>
      </w:pPr>
      <w:r>
        <w:rPr>
          <w:rFonts w:hint="eastAsia" w:ascii="宋体" w:hAnsi="宋体" w:eastAsia="宋体" w:cs="宋体"/>
          <w:sz w:val="32"/>
          <w:szCs w:val="32"/>
          <w:highlight w:val="none"/>
        </w:rPr>
        <w:br w:type="page"/>
      </w:r>
      <w:bookmarkStart w:id="12" w:name="_Toc9510"/>
      <w:bookmarkStart w:id="13" w:name="_Toc6230"/>
      <w:r>
        <w:rPr>
          <w:rFonts w:hint="eastAsia" w:ascii="宋体" w:hAnsi="宋体" w:eastAsia="宋体" w:cs="宋体"/>
          <w:b/>
          <w:bCs/>
          <w:sz w:val="32"/>
          <w:szCs w:val="32"/>
          <w:highlight w:val="none"/>
        </w:rPr>
        <w:t>第二章  供应商须知</w:t>
      </w:r>
      <w:bookmarkEnd w:id="12"/>
      <w:bookmarkEnd w:id="13"/>
    </w:p>
    <w:p w14:paraId="67B87390">
      <w:pPr>
        <w:spacing w:line="240" w:lineRule="auto"/>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62"/>
        <w:gridCol w:w="1578"/>
        <w:gridCol w:w="7335"/>
      </w:tblGrid>
      <w:tr w14:paraId="3C47E4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0" w:hRule="atLeast"/>
          <w:jc w:val="center"/>
        </w:trPr>
        <w:tc>
          <w:tcPr>
            <w:tcW w:w="244" w:type="pct"/>
            <w:tcBorders>
              <w:top w:val="single" w:color="auto" w:sz="12" w:space="0"/>
              <w:bottom w:val="single" w:color="auto" w:sz="2" w:space="0"/>
            </w:tcBorders>
            <w:shd w:val="clear" w:color="auto" w:fill="F1F1F1"/>
            <w:noWrap w:val="0"/>
            <w:vAlign w:val="center"/>
          </w:tcPr>
          <w:p w14:paraId="0B13533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843" w:type="pct"/>
            <w:tcBorders>
              <w:top w:val="single" w:color="auto" w:sz="12" w:space="0"/>
              <w:bottom w:val="single" w:color="auto" w:sz="2" w:space="0"/>
            </w:tcBorders>
            <w:shd w:val="clear" w:color="auto" w:fill="F1F1F1"/>
            <w:noWrap w:val="0"/>
            <w:vAlign w:val="center"/>
          </w:tcPr>
          <w:p w14:paraId="587A1E4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c>
          <w:tcPr>
            <w:tcW w:w="3912" w:type="pct"/>
            <w:tcBorders>
              <w:top w:val="single" w:color="auto" w:sz="12" w:space="0"/>
              <w:bottom w:val="single" w:color="auto" w:sz="2" w:space="0"/>
            </w:tcBorders>
            <w:shd w:val="clear" w:color="auto" w:fill="F1F1F1"/>
            <w:noWrap w:val="0"/>
            <w:vAlign w:val="center"/>
          </w:tcPr>
          <w:p w14:paraId="12176F9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说明和要求</w:t>
            </w:r>
          </w:p>
        </w:tc>
      </w:tr>
      <w:tr w14:paraId="1521B0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noWrap w:val="0"/>
            <w:vAlign w:val="center"/>
          </w:tcPr>
          <w:p w14:paraId="00844ED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843" w:type="pct"/>
            <w:tcBorders>
              <w:top w:val="single" w:color="auto" w:sz="2" w:space="0"/>
            </w:tcBorders>
            <w:noWrap w:val="0"/>
            <w:vAlign w:val="center"/>
          </w:tcPr>
          <w:p w14:paraId="296351A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3912" w:type="pct"/>
            <w:tcBorders>
              <w:top w:val="single" w:color="auto" w:sz="2" w:space="0"/>
            </w:tcBorders>
            <w:noWrap w:val="0"/>
            <w:vAlign w:val="center"/>
          </w:tcPr>
          <w:p w14:paraId="088A4F9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2025-2027管委会机关餐饮服务第三批（金融商务产业园等部门食材配送）（总部创意产业园）（四包）</w:t>
            </w:r>
          </w:p>
        </w:tc>
      </w:tr>
      <w:tr w14:paraId="1B8E93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noWrap w:val="0"/>
            <w:vAlign w:val="center"/>
          </w:tcPr>
          <w:p w14:paraId="66433C7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843" w:type="pct"/>
            <w:noWrap w:val="0"/>
            <w:vAlign w:val="center"/>
          </w:tcPr>
          <w:p w14:paraId="63A07DF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3912" w:type="pct"/>
            <w:noWrap w:val="0"/>
            <w:vAlign w:val="center"/>
          </w:tcPr>
          <w:p w14:paraId="7DF2A1BE">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CGZC-2025-113（HSGJ2025-170）</w:t>
            </w:r>
          </w:p>
        </w:tc>
      </w:tr>
      <w:tr w14:paraId="0A1D6D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FF25DE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843" w:type="pct"/>
            <w:noWrap w:val="0"/>
            <w:vAlign w:val="center"/>
          </w:tcPr>
          <w:p w14:paraId="0F2AE90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2" w:type="pct"/>
            <w:noWrap w:val="0"/>
            <w:vAlign w:val="center"/>
          </w:tcPr>
          <w:p w14:paraId="0C7D392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YS-西安市港务区-2025-00115</w:t>
            </w:r>
          </w:p>
        </w:tc>
      </w:tr>
      <w:tr w14:paraId="546C4E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noWrap w:val="0"/>
            <w:vAlign w:val="center"/>
          </w:tcPr>
          <w:p w14:paraId="7F3A22E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843" w:type="pct"/>
            <w:noWrap w:val="0"/>
            <w:vAlign w:val="center"/>
          </w:tcPr>
          <w:p w14:paraId="1C3CD1E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noWrap w:val="0"/>
            <w:vAlign w:val="center"/>
          </w:tcPr>
          <w:p w14:paraId="59A1AAD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300905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00F82A1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35E216C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支持中小企业发展</w:t>
            </w:r>
          </w:p>
        </w:tc>
        <w:tc>
          <w:tcPr>
            <w:tcW w:w="3912" w:type="pct"/>
            <w:noWrap w:val="0"/>
            <w:vAlign w:val="center"/>
          </w:tcPr>
          <w:p w14:paraId="1E6747B9">
            <w:pPr>
              <w:keepNext w:val="0"/>
              <w:keepLines w:val="0"/>
              <w:pageBreakBefore w:val="0"/>
              <w:widowControl/>
              <w:kinsoku/>
              <w:wordWrap/>
              <w:overflowPunct/>
              <w:topLinePunct w:val="0"/>
              <w:autoSpaceDE/>
              <w:autoSpaceDN/>
              <w:bidi w:val="0"/>
              <w:adjustRightInd/>
              <w:snapToGrid/>
              <w:spacing w:line="240" w:lineRule="auto"/>
              <w:ind w:firstLine="245"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p>
          <w:p w14:paraId="229D2601">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本项目专门面向</w:t>
            </w:r>
            <w:r>
              <w:rPr>
                <w:rFonts w:hint="eastAsia" w:ascii="宋体" w:hAnsi="宋体" w:eastAsia="宋体" w:cs="宋体"/>
                <w:b/>
                <w:bCs/>
                <w:sz w:val="24"/>
                <w:szCs w:val="24"/>
                <w:highlight w:val="none"/>
                <w:lang w:val="en-US" w:eastAsia="zh-CN"/>
              </w:rPr>
              <w:t>中小</w:t>
            </w:r>
            <w:r>
              <w:rPr>
                <w:rFonts w:hint="eastAsia" w:ascii="宋体" w:hAnsi="宋体" w:eastAsia="宋体" w:cs="宋体"/>
                <w:b/>
                <w:bCs/>
                <w:sz w:val="24"/>
                <w:szCs w:val="24"/>
                <w:highlight w:val="none"/>
                <w:lang w:eastAsia="zh-CN"/>
              </w:rPr>
              <w:t>企业采购，本项目所属行业为：</w:t>
            </w:r>
            <w:r>
              <w:rPr>
                <w:rFonts w:hint="eastAsia" w:ascii="宋体" w:hAnsi="宋体" w:eastAsia="宋体" w:cs="宋体"/>
                <w:b/>
                <w:bCs/>
                <w:sz w:val="24"/>
                <w:szCs w:val="24"/>
                <w:highlight w:val="none"/>
                <w:lang w:val="en-US" w:eastAsia="zh-CN"/>
              </w:rPr>
              <w:t>批发业</w:t>
            </w:r>
            <w:r>
              <w:rPr>
                <w:rFonts w:hint="eastAsia" w:ascii="宋体" w:hAnsi="宋体" w:eastAsia="宋体" w:cs="宋体"/>
                <w:b/>
                <w:bCs/>
                <w:sz w:val="24"/>
                <w:szCs w:val="24"/>
                <w:highlight w:val="none"/>
                <w:lang w:eastAsia="zh-CN"/>
              </w:rPr>
              <w:t>。</w:t>
            </w:r>
          </w:p>
        </w:tc>
      </w:tr>
      <w:tr w14:paraId="2F388F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6A1F9B4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5CE8B2B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支持监狱企业发展</w:t>
            </w:r>
          </w:p>
        </w:tc>
        <w:tc>
          <w:tcPr>
            <w:tcW w:w="3912" w:type="pct"/>
            <w:noWrap w:val="0"/>
            <w:vAlign w:val="center"/>
          </w:tcPr>
          <w:p w14:paraId="0384EF8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根据财政部、司法部联合下发的《关于政府采购支持监狱企业发展有关问题的通知》（财库〔2014〕68号）的规定，监狱企业视同小型、微型企业。价格评审时给予的扣除，用扣除后的价格参与评审。</w:t>
            </w:r>
          </w:p>
        </w:tc>
      </w:tr>
      <w:tr w14:paraId="4C6749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0256140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24239A1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其他法律法规强制性规定的</w:t>
            </w:r>
          </w:p>
        </w:tc>
        <w:tc>
          <w:tcPr>
            <w:tcW w:w="3912" w:type="pct"/>
            <w:noWrap w:val="0"/>
            <w:vAlign w:val="center"/>
          </w:tcPr>
          <w:p w14:paraId="737B7E0F">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14:paraId="74104C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417339C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p>
        </w:tc>
        <w:tc>
          <w:tcPr>
            <w:tcW w:w="843" w:type="pct"/>
            <w:noWrap w:val="0"/>
            <w:vAlign w:val="center"/>
          </w:tcPr>
          <w:p w14:paraId="11D5B15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其他</w:t>
            </w:r>
          </w:p>
        </w:tc>
        <w:tc>
          <w:tcPr>
            <w:tcW w:w="3912" w:type="pct"/>
            <w:noWrap w:val="0"/>
            <w:vAlign w:val="center"/>
          </w:tcPr>
          <w:p w14:paraId="5FA60DE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参加政府采购活动的</w:t>
            </w:r>
            <w:r>
              <w:rPr>
                <w:rFonts w:hint="eastAsia" w:ascii="宋体" w:hAnsi="宋体" w:eastAsia="宋体" w:cs="宋体"/>
                <w:sz w:val="24"/>
                <w:szCs w:val="24"/>
                <w:highlight w:val="none"/>
                <w:lang w:val="en-US" w:eastAsia="zh-CN"/>
              </w:rPr>
              <w:t>小微</w:t>
            </w:r>
            <w:r>
              <w:rPr>
                <w:rFonts w:hint="eastAsia" w:ascii="宋体" w:hAnsi="宋体" w:eastAsia="宋体" w:cs="宋体"/>
                <w:sz w:val="24"/>
                <w:szCs w:val="24"/>
                <w:highlight w:val="none"/>
                <w:lang w:eastAsia="zh-CN"/>
              </w:rPr>
              <w:t>企业、监狱企业、残疾人福利性单位应根据企业性质分别提供《中小企业声明函》\《监狱企业证明函》\《残疾</w:t>
            </w:r>
            <w:r>
              <w:rPr>
                <w:rFonts w:hint="eastAsia" w:ascii="宋体" w:hAnsi="宋体" w:eastAsia="宋体" w:cs="宋体"/>
                <w:sz w:val="24"/>
                <w:szCs w:val="24"/>
                <w:highlight w:val="none"/>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43751C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E31E6E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843" w:type="pct"/>
            <w:noWrap w:val="0"/>
            <w:vAlign w:val="center"/>
          </w:tcPr>
          <w:p w14:paraId="75EAF99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noWrap w:val="0"/>
            <w:vAlign w:val="center"/>
          </w:tcPr>
          <w:p w14:paraId="653B108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2730000.00</w:t>
            </w:r>
            <w:r>
              <w:rPr>
                <w:rFonts w:hint="eastAsia" w:ascii="宋体" w:hAnsi="宋体" w:eastAsia="宋体" w:cs="宋体"/>
                <w:sz w:val="24"/>
                <w:szCs w:val="24"/>
                <w:highlight w:val="none"/>
              </w:rPr>
              <w:t>元</w:t>
            </w:r>
          </w:p>
          <w:p w14:paraId="19FDD029">
            <w:pPr>
              <w:pStyle w:val="15"/>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2.最高限价：2730000.00元</w:t>
            </w:r>
          </w:p>
          <w:p w14:paraId="52135301">
            <w:pPr>
              <w:pStyle w:val="15"/>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156B48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49228D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843" w:type="pct"/>
            <w:noWrap w:val="0"/>
            <w:vAlign w:val="center"/>
          </w:tcPr>
          <w:p w14:paraId="09604C5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noWrap w:val="0"/>
            <w:vAlign w:val="center"/>
          </w:tcPr>
          <w:p w14:paraId="5CA06155">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544788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041E62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843" w:type="pct"/>
            <w:noWrap w:val="0"/>
            <w:vAlign w:val="center"/>
          </w:tcPr>
          <w:p w14:paraId="7A02D11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noWrap w:val="0"/>
            <w:vAlign w:val="center"/>
          </w:tcPr>
          <w:p w14:paraId="2AC81B50">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60CF13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5D67CC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843" w:type="pct"/>
            <w:noWrap w:val="0"/>
            <w:vAlign w:val="center"/>
          </w:tcPr>
          <w:p w14:paraId="42738A4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noWrap w:val="0"/>
            <w:vAlign w:val="center"/>
          </w:tcPr>
          <w:p w14:paraId="23C2FAB2">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3E10E5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F7D6A6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843" w:type="pct"/>
            <w:noWrap w:val="0"/>
            <w:vAlign w:val="center"/>
          </w:tcPr>
          <w:p w14:paraId="114393F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noWrap w:val="0"/>
            <w:vAlign w:val="center"/>
          </w:tcPr>
          <w:p w14:paraId="554051E0">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2025-2027管委会机关餐饮服务第三批（金融商务产业园等部门食材配送）（总部创意产业园）（四包），</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1112CD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002EC4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843" w:type="pct"/>
            <w:noWrap w:val="0"/>
            <w:vAlign w:val="center"/>
          </w:tcPr>
          <w:p w14:paraId="0429ED88">
            <w:pPr>
              <w:pStyle w:val="16"/>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noWrap w:val="0"/>
            <w:vAlign w:val="center"/>
          </w:tcPr>
          <w:p w14:paraId="3A7B6B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3年（合同一年一签，若中标供应商上一年服务不能满足采购人要求，采购人可拒绝续签）。</w:t>
            </w:r>
          </w:p>
        </w:tc>
      </w:tr>
      <w:tr w14:paraId="19DD61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9BBA67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843" w:type="pct"/>
            <w:noWrap w:val="0"/>
            <w:vAlign w:val="center"/>
          </w:tcPr>
          <w:p w14:paraId="385E31A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noWrap w:val="0"/>
            <w:vAlign w:val="center"/>
          </w:tcPr>
          <w:p w14:paraId="2FE63961">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693550B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47A6F0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843" w:type="pct"/>
            <w:noWrap w:val="0"/>
            <w:vAlign w:val="center"/>
          </w:tcPr>
          <w:p w14:paraId="00677C1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noWrap w:val="0"/>
            <w:vAlign w:val="center"/>
          </w:tcPr>
          <w:p w14:paraId="6E584269">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满足国家及行业现行技术标准、规范要求</w:t>
            </w:r>
          </w:p>
        </w:tc>
      </w:tr>
      <w:tr w14:paraId="7C1C79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2573B1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43" w:type="pct"/>
            <w:noWrap w:val="0"/>
            <w:vAlign w:val="center"/>
          </w:tcPr>
          <w:p w14:paraId="467FF88B">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noWrap w:val="0"/>
            <w:vAlign w:val="center"/>
          </w:tcPr>
          <w:p w14:paraId="752BA2D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70689F5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2AA30F5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按季度据实结算。</w:t>
            </w:r>
          </w:p>
          <w:p w14:paraId="2D0D831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注：付款依据为合同、招标文件、投标文件、发票。</w:t>
            </w:r>
          </w:p>
        </w:tc>
      </w:tr>
      <w:tr w14:paraId="6B9E8C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C21C26F">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14</w:t>
            </w:r>
          </w:p>
        </w:tc>
        <w:tc>
          <w:tcPr>
            <w:tcW w:w="843" w:type="pct"/>
            <w:noWrap w:val="0"/>
            <w:vAlign w:val="center"/>
          </w:tcPr>
          <w:p w14:paraId="4ABDD4E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noWrap w:val="0"/>
            <w:vAlign w:val="center"/>
          </w:tcPr>
          <w:p w14:paraId="546823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732B67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00F7F0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F695BD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492203B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5.须提供有效的《食品经营许可证》；</w:t>
            </w:r>
          </w:p>
          <w:p w14:paraId="08CA0A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default"/>
                <w:highlight w:val="none"/>
                <w:lang w:val="en-US" w:eastAsia="zh-CN"/>
              </w:rPr>
            </w:pPr>
            <w:r>
              <w:rPr>
                <w:rFonts w:hint="eastAsia" w:ascii="宋体" w:hAnsi="宋体" w:eastAsia="宋体" w:cs="宋体"/>
                <w:color w:val="auto"/>
                <w:sz w:val="24"/>
                <w:szCs w:val="24"/>
                <w:highlight w:val="none"/>
                <w:lang w:val="en-US" w:eastAsia="zh-CN"/>
              </w:rPr>
              <w:t>6.本项目专门面向中小微企业采购，须符合《政府采购促进中小企业发展管理办法》（财库〔2020〕46号）规定的中小微企业参加，符合要求的监狱企业或残疾人福利单位视同小微企业，并按要求提供声明函。</w:t>
            </w:r>
          </w:p>
        </w:tc>
      </w:tr>
      <w:tr w14:paraId="76A9FF4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58FB03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843" w:type="pct"/>
            <w:noWrap w:val="0"/>
            <w:vAlign w:val="center"/>
          </w:tcPr>
          <w:p w14:paraId="6E5A114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w:t>
            </w:r>
          </w:p>
        </w:tc>
        <w:tc>
          <w:tcPr>
            <w:tcW w:w="3912" w:type="pct"/>
            <w:noWrap w:val="0"/>
            <w:vAlign w:val="center"/>
          </w:tcPr>
          <w:p w14:paraId="2601E6C9">
            <w:pPr>
              <w:keepNext w:val="0"/>
              <w:keepLines w:val="0"/>
              <w:pageBreakBefore w:val="0"/>
              <w:kinsoku/>
              <w:wordWrap/>
              <w:overflowPunct/>
              <w:topLinePunct w:val="0"/>
              <w:autoSpaceDE/>
              <w:autoSpaceDN/>
              <w:bidi w:val="0"/>
              <w:adjustRightInd/>
              <w:snapToGrid w:val="0"/>
              <w:spacing w:line="312" w:lineRule="auto"/>
              <w:jc w:val="both"/>
              <w:rPr>
                <w:rFonts w:hint="eastAsia"/>
                <w:highlight w:val="none"/>
                <w:lang w:val="en-US" w:eastAsia="zh-CN"/>
              </w:rPr>
            </w:pPr>
            <w:r>
              <w:rPr>
                <w:rFonts w:hint="eastAsia" w:ascii="宋体" w:hAnsi="宋体" w:eastAsia="宋体" w:cs="宋体"/>
                <w:sz w:val="24"/>
                <w:szCs w:val="24"/>
                <w:highlight w:val="none"/>
                <w:lang w:eastAsia="zh-CN"/>
              </w:rPr>
              <w:t>无</w:t>
            </w:r>
          </w:p>
        </w:tc>
      </w:tr>
      <w:tr w14:paraId="643ED5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765332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843" w:type="pct"/>
            <w:noWrap w:val="0"/>
            <w:vAlign w:val="center"/>
          </w:tcPr>
          <w:p w14:paraId="211CAD4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履约保证金</w:t>
            </w:r>
          </w:p>
        </w:tc>
        <w:tc>
          <w:tcPr>
            <w:tcW w:w="3912" w:type="pct"/>
            <w:noWrap w:val="0"/>
            <w:vAlign w:val="center"/>
          </w:tcPr>
          <w:p w14:paraId="3B95DF89">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3F96DAF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2D719B2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户　名：_____________________________</w:t>
            </w:r>
          </w:p>
          <w:p w14:paraId="2555CCF7">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账　号：_____________________________</w:t>
            </w:r>
          </w:p>
          <w:p w14:paraId="7EAE4C8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开户行：_____________________________</w:t>
            </w:r>
          </w:p>
          <w:p w14:paraId="40287C1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业务咨询电话：_______________________</w:t>
            </w:r>
          </w:p>
          <w:p w14:paraId="179D99B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本项目无</w:t>
            </w:r>
            <w:r>
              <w:rPr>
                <w:rFonts w:hint="eastAsia" w:ascii="宋体" w:hAnsi="宋体" w:eastAsia="宋体" w:cs="宋体"/>
                <w:sz w:val="24"/>
                <w:szCs w:val="24"/>
                <w:highlight w:val="none"/>
              </w:rPr>
              <w:t>履约保证金</w:t>
            </w:r>
            <w:r>
              <w:rPr>
                <w:rFonts w:hint="eastAsia" w:ascii="宋体" w:hAnsi="宋体" w:eastAsia="宋体" w:cs="宋体"/>
                <w:sz w:val="24"/>
                <w:szCs w:val="24"/>
                <w:highlight w:val="none"/>
                <w:lang w:eastAsia="zh-CN"/>
              </w:rPr>
              <w:t>。</w:t>
            </w:r>
          </w:p>
        </w:tc>
      </w:tr>
      <w:tr w14:paraId="56E7FC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BD21ED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843" w:type="pct"/>
            <w:noWrap w:val="0"/>
            <w:vAlign w:val="center"/>
          </w:tcPr>
          <w:p w14:paraId="00023FC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投标文件份数</w:t>
            </w:r>
          </w:p>
        </w:tc>
        <w:tc>
          <w:tcPr>
            <w:tcW w:w="3912" w:type="pct"/>
            <w:noWrap w:val="0"/>
            <w:vAlign w:val="center"/>
          </w:tcPr>
          <w:p w14:paraId="3D4B8AD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75E1DE8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中标供应商在领取中标通知书时</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59D48C8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F05B28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843" w:type="pct"/>
            <w:noWrap w:val="0"/>
            <w:vAlign w:val="center"/>
          </w:tcPr>
          <w:p w14:paraId="6D7842B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rPr>
              <w:t>现场踏勘和集中答疑</w:t>
            </w:r>
          </w:p>
        </w:tc>
        <w:tc>
          <w:tcPr>
            <w:tcW w:w="3912" w:type="pct"/>
            <w:noWrap w:val="0"/>
            <w:vAlign w:val="center"/>
          </w:tcPr>
          <w:p w14:paraId="158E57F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highlight w:val="none"/>
                <w:lang w:eastAsia="zh-CN"/>
              </w:rPr>
              <w:t>不统一组织</w:t>
            </w:r>
          </w:p>
        </w:tc>
      </w:tr>
      <w:tr w14:paraId="0DC090C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3F8948F">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843" w:type="pct"/>
            <w:noWrap w:val="0"/>
            <w:vAlign w:val="center"/>
          </w:tcPr>
          <w:p w14:paraId="374653A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政府采购信息发布媒体</w:t>
            </w:r>
          </w:p>
          <w:p w14:paraId="1024E15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（采购公告、采购结果公告、变更公告）</w:t>
            </w:r>
          </w:p>
        </w:tc>
        <w:tc>
          <w:tcPr>
            <w:tcW w:w="3912" w:type="pct"/>
            <w:noWrap w:val="0"/>
            <w:vAlign w:val="center"/>
          </w:tcPr>
          <w:p w14:paraId="4A59C360">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1．陕西省政府采购网：仅提供项目公告，官网地址：http://ccgp-shaanxi.gov.cn/。</w:t>
            </w:r>
          </w:p>
          <w:p w14:paraId="2FDFF707">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2．全国公共资源交易平台（陕西省·西安市）：即西安市公共资源交易平台，提供项目公告和采购文件下载。官网地址：http://sxggzyjy.xa.gov.cn/</w:t>
            </w:r>
          </w:p>
        </w:tc>
      </w:tr>
      <w:tr w14:paraId="149216A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197AD88">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843" w:type="pct"/>
            <w:noWrap w:val="0"/>
            <w:vAlign w:val="center"/>
          </w:tcPr>
          <w:p w14:paraId="659E8ED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询问和质疑</w:t>
            </w:r>
          </w:p>
        </w:tc>
        <w:tc>
          <w:tcPr>
            <w:tcW w:w="3912" w:type="pct"/>
            <w:noWrap w:val="0"/>
            <w:vAlign w:val="center"/>
          </w:tcPr>
          <w:p w14:paraId="6C504E89">
            <w:pPr>
              <w:keepNext w:val="0"/>
              <w:keepLines w:val="0"/>
              <w:pageBreakBefore w:val="0"/>
              <w:kinsoku/>
              <w:wordWrap/>
              <w:overflowPunct/>
              <w:topLinePunct w:val="0"/>
              <w:autoSpaceDE/>
              <w:autoSpaceDN/>
              <w:bidi w:val="0"/>
              <w:adjustRightInd/>
              <w:snapToGrid w:val="0"/>
              <w:spacing w:line="312" w:lineRule="auto"/>
              <w:jc w:val="both"/>
              <w:rPr>
                <w:rFonts w:hint="eastAsia" w:eastAsia="宋体"/>
                <w:highlight w:val="none"/>
                <w:lang w:eastAsia="zh-CN"/>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招标公告</w:t>
            </w:r>
            <w:r>
              <w:rPr>
                <w:rFonts w:hint="eastAsia" w:ascii="宋体" w:hAnsi="宋体" w:eastAsia="宋体" w:cs="宋体"/>
                <w:sz w:val="24"/>
                <w:szCs w:val="24"/>
                <w:highlight w:val="none"/>
              </w:rPr>
              <w:t>中的“联系方式”</w:t>
            </w:r>
          </w:p>
        </w:tc>
      </w:tr>
      <w:tr w14:paraId="1D12AC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B851FDB">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843" w:type="pct"/>
            <w:noWrap w:val="0"/>
            <w:vAlign w:val="center"/>
          </w:tcPr>
          <w:p w14:paraId="5D60EC9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noWrap w:val="0"/>
            <w:vAlign w:val="center"/>
          </w:tcPr>
          <w:p w14:paraId="267BFE3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0D700E24">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1673D640">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2D7AA0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74AEA6B">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843" w:type="pct"/>
            <w:noWrap w:val="0"/>
            <w:vAlign w:val="center"/>
          </w:tcPr>
          <w:p w14:paraId="47912BC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信用信息查询截至时点</w:t>
            </w:r>
          </w:p>
        </w:tc>
        <w:tc>
          <w:tcPr>
            <w:tcW w:w="3912" w:type="pct"/>
            <w:noWrap w:val="0"/>
            <w:vAlign w:val="center"/>
          </w:tcPr>
          <w:p w14:paraId="77C0AB8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同提交投标文件截止时间</w:t>
            </w:r>
          </w:p>
        </w:tc>
      </w:tr>
      <w:tr w14:paraId="26816FC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8727FA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843" w:type="pct"/>
            <w:noWrap w:val="0"/>
            <w:vAlign w:val="center"/>
          </w:tcPr>
          <w:p w14:paraId="423EE78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开标形式</w:t>
            </w:r>
          </w:p>
        </w:tc>
        <w:tc>
          <w:tcPr>
            <w:tcW w:w="3912" w:type="pct"/>
            <w:noWrap w:val="0"/>
            <w:vAlign w:val="center"/>
          </w:tcPr>
          <w:p w14:paraId="529A79F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不见面开标  ☐见面开标</w:t>
            </w:r>
          </w:p>
          <w:p w14:paraId="6E0887F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详见本章“开标程序”有关内容。</w:t>
            </w:r>
          </w:p>
        </w:tc>
      </w:tr>
      <w:tr w14:paraId="386401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F9EE6A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843" w:type="pct"/>
            <w:noWrap w:val="0"/>
            <w:vAlign w:val="center"/>
          </w:tcPr>
          <w:p w14:paraId="6F5AF2C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是否允许递交多个备选投标方案</w:t>
            </w:r>
          </w:p>
        </w:tc>
        <w:tc>
          <w:tcPr>
            <w:tcW w:w="3912" w:type="pct"/>
            <w:noWrap w:val="0"/>
            <w:vAlign w:val="center"/>
          </w:tcPr>
          <w:p w14:paraId="5191322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6C8C58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F322B2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843" w:type="pct"/>
            <w:noWrap w:val="0"/>
            <w:vAlign w:val="center"/>
          </w:tcPr>
          <w:p w14:paraId="6980A0A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中标通知书</w:t>
            </w:r>
          </w:p>
        </w:tc>
        <w:tc>
          <w:tcPr>
            <w:tcW w:w="3912" w:type="pct"/>
            <w:noWrap w:val="0"/>
            <w:vAlign w:val="center"/>
          </w:tcPr>
          <w:p w14:paraId="02C53B6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1．领取地点：西安市高新路88号尚品国际B幢25层</w:t>
            </w:r>
          </w:p>
          <w:p w14:paraId="3B05B04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2．联系电话：</w:t>
            </w:r>
            <w:r>
              <w:rPr>
                <w:rFonts w:hint="eastAsia" w:ascii="宋体" w:hAnsi="宋体" w:eastAsia="宋体" w:cs="宋体"/>
                <w:sz w:val="24"/>
                <w:szCs w:val="24"/>
                <w:highlight w:val="none"/>
                <w:lang w:eastAsia="zh-CN"/>
              </w:rPr>
              <w:t>029-81779899转8013</w:t>
            </w:r>
          </w:p>
          <w:p w14:paraId="31606787">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eastAsia="zh-CN"/>
              </w:rPr>
            </w:pPr>
            <w:r>
              <w:rPr>
                <w:rFonts w:hint="eastAsia" w:ascii="宋体" w:hAnsi="宋体" w:eastAsia="宋体" w:cs="宋体"/>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曹美奇、杨阳</w:t>
            </w:r>
          </w:p>
        </w:tc>
      </w:tr>
      <w:tr w14:paraId="55B167B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292459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843" w:type="pct"/>
            <w:noWrap w:val="0"/>
            <w:vAlign w:val="center"/>
          </w:tcPr>
          <w:p w14:paraId="6482BF2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中标服务费及交纳信息</w:t>
            </w:r>
          </w:p>
        </w:tc>
        <w:tc>
          <w:tcPr>
            <w:tcW w:w="3912" w:type="pct"/>
            <w:noWrap w:val="0"/>
            <w:vAlign w:val="center"/>
          </w:tcPr>
          <w:p w14:paraId="027B207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中标</w:t>
            </w:r>
            <w:r>
              <w:rPr>
                <w:rFonts w:hint="eastAsia" w:ascii="宋体" w:hAnsi="宋体" w:eastAsia="宋体" w:cs="宋体"/>
                <w:sz w:val="24"/>
                <w:szCs w:val="24"/>
                <w:highlight w:val="none"/>
                <w:lang w:eastAsia="zh-CN"/>
              </w:rPr>
              <w:t>单位</w:t>
            </w:r>
            <w:r>
              <w:rPr>
                <w:rFonts w:hint="eastAsia" w:ascii="宋体" w:hAnsi="宋体" w:eastAsia="宋体" w:cs="宋体"/>
                <w:sz w:val="24"/>
                <w:szCs w:val="24"/>
                <w:highlight w:val="none"/>
              </w:rPr>
              <w:t>应向采购代理机构交纳招标代理服务费。招标代理服务费收取按照国家计委颁布的《招标代理服务收费管理暂行办法》（计价格[2002]1980号）和（发改办价格[2003]857号）按服务收费标准计取。此服务费应计入</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报价中，但不需要单独开列。</w:t>
            </w:r>
          </w:p>
          <w:p w14:paraId="5AB8BBA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2.代理服务费交纳信息</w:t>
            </w:r>
          </w:p>
          <w:p w14:paraId="2F9D0AC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043AD04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0D25FA1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1804E5D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default" w:ascii="宋体" w:hAnsi="宋体" w:eastAsia="宋体" w:cs="宋体"/>
                <w:sz w:val="24"/>
                <w:szCs w:val="24"/>
                <w:highlight w:val="none"/>
                <w:lang w:val="en-US" w:eastAsia="zh-CN"/>
              </w:rPr>
              <w:t>转账事由：</w:t>
            </w:r>
            <w:r>
              <w:rPr>
                <w:rFonts w:hint="eastAsia" w:ascii="宋体" w:hAnsi="宋体" w:eastAsia="宋体" w:cs="宋体"/>
                <w:sz w:val="24"/>
                <w:szCs w:val="24"/>
                <w:highlight w:val="none"/>
                <w:lang w:val="en-US" w:eastAsia="zh-CN"/>
              </w:rPr>
              <w:t>CGZC-2025-113（HSGJ2025-170）</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 xml:space="preserve">包 </w:t>
            </w:r>
            <w:r>
              <w:rPr>
                <w:rFonts w:hint="default" w:ascii="宋体" w:hAnsi="宋体" w:eastAsia="宋体" w:cs="宋体"/>
                <w:sz w:val="24"/>
                <w:szCs w:val="24"/>
                <w:highlight w:val="none"/>
                <w:lang w:val="en-US" w:eastAsia="zh-CN"/>
              </w:rPr>
              <w:t>中标服务费</w:t>
            </w:r>
          </w:p>
        </w:tc>
      </w:tr>
      <w:tr w14:paraId="33DEBD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5C41A1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843" w:type="pct"/>
            <w:noWrap w:val="0"/>
            <w:vAlign w:val="center"/>
          </w:tcPr>
          <w:p w14:paraId="18C9315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西安市公共资源交易中心电子化政府采购系统技术支持（软件开发商）</w:t>
            </w:r>
          </w:p>
        </w:tc>
        <w:tc>
          <w:tcPr>
            <w:tcW w:w="3912" w:type="pct"/>
            <w:noWrap w:val="0"/>
            <w:vAlign w:val="center"/>
          </w:tcPr>
          <w:p w14:paraId="64B1B0BB">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国泰新点软件股份有限公司</w:t>
            </w:r>
          </w:p>
          <w:p w14:paraId="4D5B07A2">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14:paraId="309BEFC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2．驻场技术人员：029-86510166/86510167转80310</w:t>
            </w:r>
          </w:p>
        </w:tc>
      </w:tr>
      <w:tr w14:paraId="6844E7A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E8A2AA0">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843" w:type="pct"/>
            <w:noWrap w:val="0"/>
            <w:vAlign w:val="center"/>
          </w:tcPr>
          <w:p w14:paraId="1890050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CA业务网点</w:t>
            </w:r>
          </w:p>
        </w:tc>
        <w:tc>
          <w:tcPr>
            <w:tcW w:w="3912" w:type="pct"/>
            <w:noWrap w:val="0"/>
            <w:vAlign w:val="center"/>
          </w:tcPr>
          <w:p w14:paraId="742AC9A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陕西省数字证书认证中心股份有限公司</w:t>
            </w:r>
          </w:p>
          <w:p w14:paraId="170A2F0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网点1：西安市高新三路信息港大厦1楼客服中心</w:t>
            </w:r>
          </w:p>
          <w:p w14:paraId="56CF42D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客服电话：4006-369-888</w:t>
            </w:r>
          </w:p>
          <w:p w14:paraId="675D6723">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网点2：西安市长安北路14号省体育公寓B座一楼</w:t>
            </w:r>
          </w:p>
          <w:p w14:paraId="0AD59EE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咨询电话：029-88661241</w:t>
            </w:r>
          </w:p>
          <w:p w14:paraId="10BD035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网点3：西安市文景北路16号白桦林国际B座2楼11#窗口</w:t>
            </w:r>
          </w:p>
          <w:p w14:paraId="373320D2">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咨询电话：029-86510073转80211</w:t>
            </w:r>
          </w:p>
        </w:tc>
      </w:tr>
      <w:tr w14:paraId="047894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157583B">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843" w:type="pct"/>
            <w:noWrap w:val="0"/>
            <w:vAlign w:val="center"/>
          </w:tcPr>
          <w:p w14:paraId="0913AC1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noWrap w:val="0"/>
            <w:vAlign w:val="center"/>
          </w:tcPr>
          <w:p w14:paraId="768C5A9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西安市政府采购信用担保及信用融资政策</w:t>
            </w:r>
          </w:p>
          <w:p w14:paraId="006BCD9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2BA7AD9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西安浐灞国际港政府采购信用融资联系人：</w:t>
            </w:r>
            <w:r>
              <w:rPr>
                <w:rFonts w:hint="eastAsia" w:ascii="宋体" w:hAnsi="宋体" w:eastAsia="宋体" w:cs="宋体"/>
                <w:sz w:val="24"/>
                <w:szCs w:val="24"/>
                <w:highlight w:val="none"/>
                <w:lang w:eastAsia="zh-CN"/>
              </w:rPr>
              <w:t>王涛</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15029991040</w:t>
            </w:r>
          </w:p>
        </w:tc>
      </w:tr>
      <w:tr w14:paraId="4A1736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6C750D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843" w:type="pct"/>
            <w:noWrap w:val="0"/>
            <w:vAlign w:val="center"/>
          </w:tcPr>
          <w:p w14:paraId="7CA619E7">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highlight w:val="none"/>
              </w:rPr>
            </w:pPr>
            <w:r>
              <w:rPr>
                <w:rFonts w:hint="eastAsia" w:hAnsi="宋体" w:cs="Times New Roman"/>
                <w:sz w:val="24"/>
                <w:szCs w:val="24"/>
                <w:highlight w:val="none"/>
              </w:rPr>
              <w:t>所属行业</w:t>
            </w:r>
          </w:p>
        </w:tc>
        <w:tc>
          <w:tcPr>
            <w:tcW w:w="3912" w:type="pct"/>
            <w:noWrap w:val="0"/>
            <w:vAlign w:val="center"/>
          </w:tcPr>
          <w:p w14:paraId="08208F22">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eastAsia" w:ascii="宋体" w:hAnsi="宋体" w:eastAsia="宋体" w:cs="宋体"/>
                <w:sz w:val="24"/>
                <w:szCs w:val="24"/>
                <w:highlight w:val="none"/>
                <w:lang w:eastAsia="zh-CN"/>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w:t>
            </w:r>
            <w:r>
              <w:rPr>
                <w:rFonts w:hint="eastAsia" w:cs="Times New Roman"/>
                <w:sz w:val="24"/>
                <w:szCs w:val="24"/>
                <w:highlight w:val="none"/>
                <w:lang w:val="en-US" w:eastAsia="zh-CN"/>
              </w:rPr>
              <w:t>批发业</w:t>
            </w:r>
          </w:p>
        </w:tc>
      </w:tr>
      <w:tr w14:paraId="41FF5D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E6B1D07">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843" w:type="pct"/>
            <w:noWrap w:val="0"/>
            <w:vAlign w:val="center"/>
          </w:tcPr>
          <w:p w14:paraId="18A80E3A">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noWrap w:val="0"/>
            <w:vAlign w:val="center"/>
          </w:tcPr>
          <w:p w14:paraId="2F3BA216">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4E639F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9F1DF0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43" w:type="pct"/>
            <w:noWrap w:val="0"/>
            <w:vAlign w:val="center"/>
          </w:tcPr>
          <w:p w14:paraId="6A8E0E35">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highlight w:val="none"/>
                <w:lang w:eastAsia="zh-CN" w:bidi="ar-SA"/>
              </w:rPr>
              <w:t>其他未尽事宜</w:t>
            </w:r>
          </w:p>
        </w:tc>
        <w:tc>
          <w:tcPr>
            <w:tcW w:w="3912" w:type="pct"/>
            <w:noWrap w:val="0"/>
            <w:vAlign w:val="center"/>
          </w:tcPr>
          <w:p w14:paraId="10979D00">
            <w:pPr>
              <w:pStyle w:val="76"/>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47F57070">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highlight w:val="none"/>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6CE09997">
      <w:pPr>
        <w:jc w:val="both"/>
        <w:rPr>
          <w:rFonts w:hint="eastAsia" w:ascii="宋体" w:hAnsi="宋体" w:eastAsia="宋体" w:cs="宋体"/>
          <w:b/>
          <w:bCs/>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b/>
          <w:bCs/>
          <w:sz w:val="28"/>
          <w:szCs w:val="28"/>
          <w:highlight w:val="none"/>
        </w:rPr>
        <w:t>一、有关定义</w:t>
      </w:r>
    </w:p>
    <w:p w14:paraId="5E24944A">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val="en-US" w:eastAsia="zh-CN"/>
        </w:rPr>
        <w:t>西安浐灞国际港党政办公室</w:t>
      </w:r>
      <w:r>
        <w:rPr>
          <w:rFonts w:hint="eastAsia" w:ascii="宋体" w:hAnsi="宋体" w:eastAsia="宋体" w:cs="宋体"/>
          <w:sz w:val="24"/>
          <w:szCs w:val="24"/>
          <w:highlight w:val="none"/>
        </w:rPr>
        <w:t>。</w:t>
      </w:r>
    </w:p>
    <w:p w14:paraId="0E639424">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2．供应商：指向采购人提供货物、工程或者服务的法人、其他组织或者自然人。</w:t>
      </w:r>
    </w:p>
    <w:p w14:paraId="2FB2BA14">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3．同级政府采购监管部门：同级财政部门。</w:t>
      </w:r>
    </w:p>
    <w:p w14:paraId="574823BC">
      <w:pPr>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4．西安市公共资源交易平台：即【全国公共资源交易平台（陕西省·西安市）】的简称，官网地址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2EC277A4">
      <w:pPr>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5．企业端：指西安市公共资源交易平台〖首页·〉电子交易平台·〉陕西政府采购交易系统·〉企业端〗，快捷登录网址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"http://www.sxggzyjy.cn:9002/TPBidder/memberLogin"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http://www.sxggzyjy.cn:9002/TPBidder/memberLogin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p>
    <w:p w14:paraId="2E718339">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二、供应商注意事项</w:t>
      </w:r>
    </w:p>
    <w:p w14:paraId="5AC97A4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（一）供应商投标流程</w:t>
      </w:r>
    </w:p>
    <w:p w14:paraId="7EF0C2E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使用电子交易系统的采购项目（即线上项目），将同时提供WORD\PDF格式（仅用于预览）和SXSZF格式（用于制作电子投标文件）两个版本，文件内容一致。</w:t>
      </w:r>
    </w:p>
    <w:p w14:paraId="0B6B0A7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1．预览采购文件：打开西安市公共资源交易平台〖首页·〉交易大厅·〉政府采购〗栏目，下载和阅读本项目采购文件的预览版本（WORD\PDF格式）；</w:t>
      </w:r>
    </w:p>
    <w:p w14:paraId="3F75E3D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2．办理注册登记（针对初次使用电子交易系统的用户）：</w:t>
      </w:r>
    </w:p>
    <w:p w14:paraId="25A8CB1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（1）办理诚信入库注册：在决定参加本项目采购活动后，供应商应先在西安市公共资源交易平台上完成“诚信入库登记”；</w:t>
      </w:r>
    </w:p>
    <w:p w14:paraId="1FD1E8B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41733647">
      <w:pPr>
        <w:keepLines w:val="0"/>
        <w:pageBreakBefore w:val="0"/>
        <w:widowControl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办理须知：</w:t>
      </w:r>
    </w:p>
    <w:p w14:paraId="6C5B9BD7">
      <w:pPr>
        <w:keepLines w:val="0"/>
        <w:pageBreakBefore w:val="0"/>
        <w:widowControl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http://</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"http://www.snca.com.cn/channel/show/27.html"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www.snca.com.cn/channel/show/27.html</w:t>
      </w:r>
      <w:r>
        <w:rPr>
          <w:rStyle w:val="35"/>
          <w:rFonts w:hint="eastAsia" w:ascii="宋体" w:hAnsi="宋体" w:eastAsia="宋体" w:cs="宋体"/>
          <w:color w:val="auto"/>
          <w:sz w:val="24"/>
          <w:szCs w:val="24"/>
          <w:highlight w:val="none"/>
          <w:u w:val="none"/>
        </w:rPr>
        <w:fldChar w:fldCharType="end"/>
      </w:r>
    </w:p>
    <w:p w14:paraId="0A0E705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（3）绑定和激活CA：将数字证书与诚信库中的供应商账户进行绑定。</w:t>
      </w:r>
    </w:p>
    <w:p w14:paraId="47115F0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4C60D5B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4．制作电子投标文件：需要使用专用制作软件“新点投标文件制作软件（陕西公共资源）”进行编制，编制完成后使用CA锁对电子投标文件进行签章、加密。详见本章中的“投标文件”相关内容。</w:t>
      </w:r>
    </w:p>
    <w:p w14:paraId="6065E91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5．提交电子投标文件：在提交投标文件截止时间前及时提交加密后电子投标文件，逾期提交的，系统将会拒收；</w:t>
      </w:r>
    </w:p>
    <w:p w14:paraId="3EDAFE5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3E14EFE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2BFA98B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8．中标供应商注册：按照陕西省政府采购监管部门的要求，采购代理机构在发布中标公告前，应由中标供应商在陕西省政府采购网上完成注册。</w:t>
      </w:r>
    </w:p>
    <w:p w14:paraId="6C86ABF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（二）关于询问、质疑和投诉</w:t>
      </w:r>
    </w:p>
    <w:p w14:paraId="0001EFE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1．询问</w:t>
      </w:r>
    </w:p>
    <w:p w14:paraId="551ACC5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供应商对政府采购活动事项有疑问的，可以向采购人或采购代理机构提出询问。采购人或采购代理机构将在3个工作日内对供应商依法提出的询问作出答复。</w:t>
      </w:r>
    </w:p>
    <w:p w14:paraId="4B80B85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1DAA3EA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2．质疑</w:t>
      </w:r>
    </w:p>
    <w:p w14:paraId="0FF1EAC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（1）供应商认为采购文件、采购过程、成交结果使自己的权益受到损害的，可以在知道或应知其权益受到损害之日起7个工作日内以书面形式向采购人、采购代理机构提出。</w:t>
      </w:r>
    </w:p>
    <w:p w14:paraId="0DF2E1F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（2）质疑方式：</w:t>
      </w:r>
    </w:p>
    <w:p w14:paraId="3D4E4CF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在线质疑：</w:t>
      </w:r>
    </w:p>
    <w:p w14:paraId="567606F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登录西安市公共资源交易平台〖首页·〉电子交易平台·〉企业端〗，在〖我的项目〗中点击“项目流程·〉提出质疑”，填写表单并提交质疑。</w:t>
      </w:r>
    </w:p>
    <w:p w14:paraId="2826E37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书面质疑：</w:t>
      </w:r>
    </w:p>
    <w:p w14:paraId="4D4DF46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书面质疑函应按照财政部国库司制定的《政府采购供应商质疑函范本》（见下方链接）进行填写，签字、盖章后提交至采购人、采购代理机构。</w:t>
      </w:r>
    </w:p>
    <w:p w14:paraId="1FD20E5A">
      <w:pPr>
        <w:keepLines w:val="0"/>
        <w:pageBreakBefore w:val="0"/>
        <w:kinsoku/>
        <w:wordWrap/>
        <w:overflowPunct/>
        <w:topLinePunct w:val="0"/>
        <w:autoSpaceDE/>
        <w:autoSpaceDN/>
        <w:bidi w:val="0"/>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质疑函范本地址：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"http://download.ccgp.gov.cn/2018/zhiyihanfanben.zip"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http://download.ccgp.gov.cn/2018/zhiyihanfanben.zip</w:t>
      </w:r>
      <w:r>
        <w:rPr>
          <w:rStyle w:val="35"/>
          <w:rFonts w:hint="eastAsia" w:ascii="宋体" w:hAnsi="宋体" w:eastAsia="宋体" w:cs="宋体"/>
          <w:color w:val="auto"/>
          <w:sz w:val="24"/>
          <w:szCs w:val="24"/>
          <w:highlight w:val="none"/>
          <w:u w:val="none"/>
        </w:rPr>
        <w:fldChar w:fldCharType="end"/>
      </w:r>
    </w:p>
    <w:p w14:paraId="099A480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5798F5A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455B9F9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（5）有下列情形之一的，属于无效质疑：</w:t>
      </w:r>
    </w:p>
    <w:p w14:paraId="4B2260A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对采购文件提出质疑的质疑人不是依法获取采购文件的潜在供应商；对采购过程、中标结果提出质疑的质疑人不是参与本次政府采购项目的供应商；</w:t>
      </w:r>
    </w:p>
    <w:p w14:paraId="5DD335E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超过法定期限或未以书面形式提出的；</w:t>
      </w:r>
    </w:p>
    <w:p w14:paraId="1ABFA80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缺乏必要的证明材料，或捏造事实、提供虚假材料，或以非法手段取得证明材料的；</w:t>
      </w:r>
    </w:p>
    <w:p w14:paraId="2A3A383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质疑函没有合法有效的签字、盖章或委托授权书的（代理人提出质疑和投诉，应当提交供应商签署的授权委托书）；</w:t>
      </w:r>
    </w:p>
    <w:p w14:paraId="2BF21D3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针对同一采购程序环节又提出其他质疑事项的，或质疑答复后就同一事项再次提出质疑的；</w:t>
      </w:r>
    </w:p>
    <w:p w14:paraId="1329180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不符合法律、法规、规章和政府采购监管机构规定的其他条件的。</w:t>
      </w:r>
    </w:p>
    <w:p w14:paraId="726F7B0D">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3．投诉</w:t>
      </w:r>
    </w:p>
    <w:p w14:paraId="00B4341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139514E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（2）供应商投诉的事项不得超出已质疑事项的范围。供应商提出投诉时，应当提交投诉书和必要的证明材料，并按财政部《投诉书范本》给定的格式进行填写。</w:t>
      </w:r>
    </w:p>
    <w:p w14:paraId="55573FB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投诉书范本地址：</w:t>
      </w:r>
    </w:p>
    <w:p w14:paraId="651127C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"http://download.ccgp.gov.cn/2018/tousushufanben.zip"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http://download.ccgp.gov.cn/2018/tousushufanben.zip</w:t>
      </w:r>
      <w:r>
        <w:rPr>
          <w:rStyle w:val="35"/>
          <w:rFonts w:hint="eastAsia" w:ascii="宋体" w:hAnsi="宋体" w:eastAsia="宋体" w:cs="宋体"/>
          <w:sz w:val="24"/>
          <w:szCs w:val="24"/>
          <w:highlight w:val="none"/>
        </w:rPr>
        <w:fldChar w:fldCharType="end"/>
      </w:r>
    </w:p>
    <w:p w14:paraId="46C7865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4．恶意质疑、投诉的法律后果</w:t>
      </w:r>
    </w:p>
    <w:p w14:paraId="0A6B61A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（1）对捏造事实、提供虚假材料进行质疑、投诉的行为予以严肃处理：</w:t>
      </w:r>
    </w:p>
    <w:p w14:paraId="699F0B7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20453F3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（2）对捏造事实诬告陷害他人、诽谤他人的法律适用：</w:t>
      </w:r>
    </w:p>
    <w:p w14:paraId="1B71797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7A7AEFF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50B1DA8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（三）关于保证金</w:t>
      </w:r>
    </w:p>
    <w:p w14:paraId="58E10ED9">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1．西安市政府采购信用担保及信用融资政策</w:t>
      </w:r>
    </w:p>
    <w:p w14:paraId="3A06554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5312135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7512939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《实施方案》链接地址：</w:t>
      </w:r>
    </w:p>
    <w:p w14:paraId="550B622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"http://xaczj.xa.gov.cn/zfcg/cgfg/5db90552fd850863a9e4594d.html"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http://xaczj.xa.gov.cn/zfcg/cgfg/5db90552fd850863a9e4594d.html</w:t>
      </w:r>
      <w:r>
        <w:rPr>
          <w:rStyle w:val="35"/>
          <w:rFonts w:hint="eastAsia" w:ascii="宋体" w:hAnsi="宋体" w:eastAsia="宋体" w:cs="宋体"/>
          <w:color w:val="auto"/>
          <w:sz w:val="24"/>
          <w:szCs w:val="24"/>
          <w:highlight w:val="none"/>
          <w:u w:val="none"/>
        </w:rPr>
        <w:fldChar w:fldCharType="end"/>
      </w:r>
    </w:p>
    <w:p w14:paraId="3331BDD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《合作机构名单》链接地址：</w:t>
      </w:r>
    </w:p>
    <w:p w14:paraId="5274F015">
      <w:pPr>
        <w:pStyle w:val="104"/>
        <w:keepLines w:val="0"/>
        <w:pageBreakBefore w:val="0"/>
        <w:kinsoku/>
        <w:wordWrap/>
        <w:overflowPunct/>
        <w:topLinePunct w:val="0"/>
        <w:autoSpaceDE/>
        <w:autoSpaceDN/>
        <w:bidi w:val="0"/>
        <w:snapToGrid/>
        <w:spacing w:line="360" w:lineRule="auto"/>
        <w:ind w:firstLine="418" w:firstLineChars="171"/>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"http://xaczj.xa.gov.cn/zfcg/cgfg/5db9054565cbd804f69e97e0.html"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http://xaczj.xa.gov.cn/zfcg/cgfg/5db9054565cbd804f69e97e0.html</w:t>
      </w:r>
      <w:r>
        <w:rPr>
          <w:rStyle w:val="35"/>
          <w:rFonts w:hint="eastAsia" w:ascii="宋体" w:hAnsi="宋体" w:eastAsia="宋体" w:cs="宋体"/>
          <w:color w:val="auto"/>
          <w:sz w:val="24"/>
          <w:szCs w:val="24"/>
          <w:highlight w:val="none"/>
          <w:u w:val="none"/>
        </w:rPr>
        <w:fldChar w:fldCharType="end"/>
      </w:r>
    </w:p>
    <w:p w14:paraId="68082C7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highlight w:val="none"/>
          <w:lang w:eastAsia="zh-CN"/>
        </w:rPr>
        <w:t>。</w:t>
      </w:r>
    </w:p>
    <w:p w14:paraId="1E0C8F9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highlight w:val="none"/>
          <w:lang w:val="en-US" w:eastAsia="zh-CN"/>
        </w:rPr>
        <w:t>）</w:t>
      </w:r>
    </w:p>
    <w:p w14:paraId="5232E6AD">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2．投标保证金</w:t>
      </w:r>
    </w:p>
    <w:p w14:paraId="3B2F9AC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按照西安市财政局《关于促进政府采购公平竞争优化营商环境的通知》第三条规定，供应商参与西安市政府采购活动时，免交投标保证金。</w:t>
      </w:r>
    </w:p>
    <w:p w14:paraId="2842A075">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3．履约保证金</w:t>
      </w:r>
    </w:p>
    <w:p w14:paraId="779DEE1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（1）交纳履约保证金</w:t>
      </w:r>
    </w:p>
    <w:p w14:paraId="5B6A812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2E0F4AE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（2）采用履约保函形式时应注意以下事项：</w:t>
      </w:r>
    </w:p>
    <w:p w14:paraId="38D5B12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履约保函的受益人为采购人，供应商未能按合同规定履行其义务时，采购人有权从履约保证金中取得补偿。</w:t>
      </w:r>
    </w:p>
    <w:p w14:paraId="3C908DF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26E3E52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担保金额不少于《投标邀请函》中规定的履约保证金交纳金额；</w:t>
      </w:r>
    </w:p>
    <w:p w14:paraId="60B1FB2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172A7C1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（3）退还履约保证金</w:t>
      </w:r>
    </w:p>
    <w:p w14:paraId="2A41467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0439230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（四）关于联合体</w:t>
      </w:r>
    </w:p>
    <w:p w14:paraId="729A4B8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1．《政府采购促进中小企业发展管理办法》（财库〔2020〕46号）</w:t>
      </w:r>
      <w:r>
        <w:rPr>
          <w:rFonts w:hint="eastAsia" w:ascii="宋体" w:hAnsi="宋体" w:eastAsia="宋体" w:cs="宋体"/>
          <w:sz w:val="24"/>
          <w:szCs w:val="24"/>
          <w:highlight w:val="none"/>
          <w:lang w:eastAsia="zh-CN"/>
        </w:rPr>
        <w:t>、</w:t>
      </w:r>
      <w:r>
        <w:rPr>
          <w:rFonts w:hint="eastAsia" w:ascii="宋体" w:hAnsi="宋体" w:eastAsia="宋体" w:cs="宋体"/>
          <w:color w:val="auto"/>
          <w:sz w:val="24"/>
          <w:szCs w:val="24"/>
          <w:highlight w:val="none"/>
          <w:lang w:eastAsia="zh-CN"/>
        </w:rPr>
        <w:t>《陕西省财政厅关于进一步落实政府采购支持中小企业相关政策的通知》（陕财办采〔2023〕3号）</w:t>
      </w:r>
      <w:r>
        <w:rPr>
          <w:rFonts w:hint="eastAsia" w:ascii="宋体" w:hAnsi="宋体" w:eastAsia="宋体" w:cs="宋体"/>
          <w:sz w:val="24"/>
          <w:szCs w:val="24"/>
          <w:highlight w:val="none"/>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highlight w:val="none"/>
          <w:lang w:val="en-US" w:eastAsia="zh-CN"/>
        </w:rPr>
        <w:t>30</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以上的，对联合体或者大中型企业的报价给</w:t>
      </w:r>
      <w:r>
        <w:rPr>
          <w:rFonts w:hint="eastAsia" w:ascii="宋体" w:hAnsi="宋体" w:eastAsia="宋体" w:cs="宋体"/>
          <w:color w:val="auto"/>
          <w:sz w:val="24"/>
          <w:szCs w:val="24"/>
          <w:highlight w:val="none"/>
        </w:rPr>
        <w:t>予</w:t>
      </w:r>
      <w:r>
        <w:rPr>
          <w:rFonts w:hint="eastAsia" w:ascii="宋体" w:hAnsi="宋体" w:eastAsia="宋体" w:cs="宋体"/>
          <w:b w:val="0"/>
          <w:bCs w:val="0"/>
          <w:color w:val="auto"/>
          <w:sz w:val="24"/>
          <w:szCs w:val="24"/>
          <w:highlight w:val="none"/>
        </w:rPr>
        <w:t>4%—6%</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rPr>
        <w:t>工程项目为1%~2%）的扣除，用扣除后的价格参加评审。</w:t>
      </w:r>
    </w:p>
    <w:p w14:paraId="7E0943A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75D8C0C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6A03CF9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4．供应商以联合体形式参加政府采购活动时，遵循以下规则：</w:t>
      </w:r>
    </w:p>
    <w:p w14:paraId="7CB1605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0BFDDE7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4B531E9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采用资格前审的项目，联合体应当在提交资格前审申请文件前组成。资格前审后联合体不得增减、更换成员。</w:t>
      </w:r>
    </w:p>
    <w:p w14:paraId="3DAF3AF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资格审查阶段，采购人将对所有联合体成员进行信用记录查询，联合体成员存在不良信用记录的，视同联合体存在不良信用记录。</w:t>
      </w:r>
    </w:p>
    <w:p w14:paraId="02F20EC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招标文件要求供应商交纳保证金的，可以由联合体中的一方或者多方共同交纳保证金，其交纳的保证金对联合体各方均具有约束力。</w:t>
      </w:r>
    </w:p>
    <w:p w14:paraId="685BAB7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⑥ 招标文件要求供应商提供履约人员和设备情况的，联合体各方均应提供，以说明其作为独立供应商所具有的能有效执行合同的能力和资源。</w:t>
      </w:r>
    </w:p>
    <w:p w14:paraId="055838A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7911C2A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2342ACC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⑨ 对采购项目提出投诉时，应当由组成联合体的所有供应商共同提出。</w:t>
      </w:r>
    </w:p>
    <w:p w14:paraId="2FC4CE3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（5）联合体出现下列情形之一的，联合体投标无效：</w:t>
      </w:r>
    </w:p>
    <w:p w14:paraId="2D7395D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 没有提交有效的联合体协议的；</w:t>
      </w:r>
    </w:p>
    <w:p w14:paraId="01499761">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 组成联合体的大中型企业和其他自然人、法人或者其他组织，与小型、微型企业之间存在投资关系的；</w:t>
      </w:r>
    </w:p>
    <w:p w14:paraId="0B0B890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 联合体协议签订后，联合体成员单独参加或者与其他供应商另外组成联合体参加同一合同项下的政府采购活动的；</w:t>
      </w:r>
    </w:p>
    <w:p w14:paraId="34D3F4E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 资格前审后联合体增减、更换成员的；</w:t>
      </w:r>
    </w:p>
    <w:p w14:paraId="64D802F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⑤ 联合体成员因存在不良信用记录，被拒绝其参与政府采购活动的。</w:t>
      </w:r>
    </w:p>
    <w:p w14:paraId="55D2490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（五）关于进口产品</w:t>
      </w:r>
    </w:p>
    <w:p w14:paraId="10C3E7A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01F3114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305133B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（六）关于政府采购政策</w:t>
      </w:r>
    </w:p>
    <w:p w14:paraId="4F91DB67">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249D4E0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48E2581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（2）根据财政部、司法部联合下发的《关于政府采购支持监狱企业发展有关问题的通知》（财库〔2014〕68号）的规定，监狱企业视同小型、微型企业。</w:t>
      </w:r>
    </w:p>
    <w:p w14:paraId="5919CFC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13DB8B1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0CFBAD5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2．节能、环保产品采购政策</w:t>
      </w:r>
    </w:p>
    <w:p w14:paraId="746775A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0EC4ED5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474BC0F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（3）《节能产品政府采购品目清单》见财政部、发展改革委《关于印发节能产品政府采购品目清单的通知》（财库〔2019〕19号）附件。</w:t>
      </w:r>
    </w:p>
    <w:p w14:paraId="6B6CAF0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（4）《环境标志产品政府采购品目清单》见财政部、生态环境部《关于印发环境标志产品政府采购品目清单的通知》（财库〔2019〕18号）附件。</w:t>
      </w:r>
    </w:p>
    <w:p w14:paraId="3078A3B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highlight w:val="none"/>
          <w:lang w:eastAsia="zh-CN"/>
        </w:rPr>
      </w:pPr>
      <w:r>
        <w:rPr>
          <w:rFonts w:hint="eastAsia" w:ascii="宋体" w:hAnsi="宋体" w:eastAsia="宋体" w:cs="宋体"/>
          <w:sz w:val="24"/>
          <w:szCs w:val="24"/>
          <w:highlight w:val="none"/>
        </w:rPr>
        <w:t>（5）“国家确定的认证机构”名单见市场监管总局《关于发布参与实施政府采购节能产品、环境标志产品认证机构名录的公告》（2019年第16号）。</w:t>
      </w:r>
    </w:p>
    <w:p w14:paraId="16F0291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陕西省中小企业政府采购信用融资办法</w:t>
      </w:r>
    </w:p>
    <w:p w14:paraId="3590AF2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211CCDC7">
      <w:pPr>
        <w:keepLines w:val="0"/>
        <w:pageBreakBefore w:val="0"/>
        <w:kinsoku/>
        <w:wordWrap/>
        <w:overflowPunct/>
        <w:topLinePunct w:val="0"/>
        <w:autoSpaceDE/>
        <w:autoSpaceDN/>
        <w:bidi w:val="0"/>
        <w:snapToGrid/>
        <w:spacing w:line="360" w:lineRule="auto"/>
        <w:ind w:firstLine="49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"http://www.ccgp-shaanxi.gov.cn/zcdservice/zcd/shanxi/article/zcdt/1390497710741917696"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http://www.ccgp-shaanxi.gov.cn/zcdservice/zcd/shanxi/article/zcdt/1390497710741917696</w:t>
      </w:r>
      <w:r>
        <w:rPr>
          <w:rStyle w:val="35"/>
          <w:rFonts w:hint="eastAsia" w:ascii="宋体" w:hAnsi="宋体" w:eastAsia="宋体" w:cs="宋体"/>
          <w:color w:val="auto"/>
          <w:sz w:val="24"/>
          <w:szCs w:val="24"/>
          <w:highlight w:val="none"/>
          <w:u w:val="none"/>
        </w:rPr>
        <w:fldChar w:fldCharType="end"/>
      </w:r>
    </w:p>
    <w:p w14:paraId="2772F0F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（七）关于现场踏勘和集中答疑</w:t>
      </w:r>
    </w:p>
    <w:p w14:paraId="1BC4489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采购人可以根据项目实际情况决定是否组织现场踏勘\标前集中答疑</w:t>
      </w:r>
      <w:r>
        <w:rPr>
          <w:rFonts w:hint="eastAsia" w:ascii="宋体" w:hAnsi="宋体" w:eastAsia="宋体" w:cs="宋体"/>
          <w:color w:val="auto"/>
          <w:sz w:val="24"/>
          <w:szCs w:val="24"/>
          <w:highlight w:val="none"/>
        </w:rPr>
        <w:t>。投标邀请函中</w:t>
      </w:r>
      <w:r>
        <w:rPr>
          <w:rFonts w:hint="eastAsia" w:ascii="宋体" w:hAnsi="宋体" w:eastAsia="宋体" w:cs="宋体"/>
          <w:sz w:val="24"/>
          <w:szCs w:val="24"/>
          <w:highlight w:val="none"/>
        </w:rPr>
        <w:t>明确载明安排上述活动的，各供应商应派出技术、预算等相关人员，在招标文件约定的时间、地点参加现场踏勘\标前集中答疑。</w:t>
      </w:r>
    </w:p>
    <w:p w14:paraId="2DFCE32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302324E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凡未参加现场踏勘和集中答疑的供应商，由此带来的不利后果由该供应商自行承担。</w:t>
      </w:r>
    </w:p>
    <w:p w14:paraId="778C3A9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（八）关于同一品牌产品的处理</w:t>
      </w:r>
    </w:p>
    <w:p w14:paraId="1232C5F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0E4DBD1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338E63A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6DB0456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（九）关于知识产权和保密事项</w:t>
      </w:r>
    </w:p>
    <w:p w14:paraId="75D7CD4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642E7C7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6218EFC8">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（十）关于信用记录的查询和使用</w:t>
      </w:r>
    </w:p>
    <w:p w14:paraId="3D1E5A9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"https://www.creditchina.gov.cn"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https://www.creditchina.gov.cn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/）和【中国政府采购网】（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对供应商的信用情况进行甄别。</w:t>
      </w:r>
    </w:p>
    <w:p w14:paraId="11E58D5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2．对列入失信被执行人、</w:t>
      </w:r>
      <w:r>
        <w:rPr>
          <w:rFonts w:hint="eastAsia" w:ascii="宋体" w:hAnsi="宋体" w:eastAsia="宋体" w:cs="宋体"/>
          <w:sz w:val="24"/>
          <w:szCs w:val="24"/>
          <w:highlight w:val="none"/>
          <w:lang w:eastAsia="zh-CN"/>
        </w:rPr>
        <w:t>重大税收违法失信主体</w:t>
      </w:r>
      <w:r>
        <w:rPr>
          <w:rFonts w:hint="eastAsia" w:ascii="宋体" w:hAnsi="宋体" w:eastAsia="宋体" w:cs="宋体"/>
          <w:sz w:val="24"/>
          <w:szCs w:val="24"/>
          <w:highlight w:val="none"/>
        </w:rPr>
        <w:t>、政府采购严重违法失信行为记录名单及其他不符合《中华人民共和国政府采购法》第二十二条规定条件的供应商，将拒绝其参与政府采购活动。</w:t>
      </w:r>
    </w:p>
    <w:p w14:paraId="6024C71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3．供应商在参加政府采购活动前3年内因违法经营被禁止在一定期限内参加政府采购活动，期限届满的，可以参加政府采购活动的，但供应商应提供相关证明材料。</w:t>
      </w:r>
    </w:p>
    <w:p w14:paraId="11106FC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4．信用记录查询结果打印后，将与其他采购文件一并保存。</w:t>
      </w:r>
    </w:p>
    <w:p w14:paraId="672FFE2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（十一）其他重要事项</w:t>
      </w:r>
    </w:p>
    <w:p w14:paraId="36D1BB5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1．招标文件内所附网络链接仅供参考，不保证其长期有效性。</w:t>
      </w:r>
    </w:p>
    <w:p w14:paraId="3B7EC58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2．供应商的投标费用自理。</w:t>
      </w:r>
    </w:p>
    <w:p w14:paraId="3A256E4D">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三、招标文件</w:t>
      </w:r>
    </w:p>
    <w:p w14:paraId="154F7B7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（一）招标文件的解释权</w:t>
      </w:r>
    </w:p>
    <w:p w14:paraId="4F1999C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本项目招标文件的解释权归采购代理机构，评标委员会成员应根据政府采购法律法规和招标文件所载明的评审方法、标准进行评审。</w:t>
      </w:r>
    </w:p>
    <w:p w14:paraId="5CA2CF6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（二）招标文件主要内容</w:t>
      </w:r>
    </w:p>
    <w:p w14:paraId="27EF1AD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招标公告</w:t>
      </w:r>
    </w:p>
    <w:p w14:paraId="4417424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第2章  供应商须知</w:t>
      </w:r>
    </w:p>
    <w:p w14:paraId="323E400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第3章  招标内容及要求</w:t>
      </w:r>
    </w:p>
    <w:p w14:paraId="7DE77412">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第4章  </w:t>
      </w:r>
      <w:r>
        <w:rPr>
          <w:rFonts w:hint="eastAsia" w:ascii="宋体" w:hAnsi="宋体" w:eastAsia="宋体" w:cs="宋体"/>
          <w:sz w:val="24"/>
          <w:szCs w:val="24"/>
          <w:highlight w:val="none"/>
          <w:lang w:eastAsia="zh-CN"/>
        </w:rPr>
        <w:t>商务及</w:t>
      </w:r>
      <w:r>
        <w:rPr>
          <w:rFonts w:hint="eastAsia" w:ascii="宋体" w:hAnsi="宋体" w:eastAsia="宋体" w:cs="宋体"/>
          <w:sz w:val="24"/>
          <w:szCs w:val="24"/>
          <w:highlight w:val="none"/>
        </w:rPr>
        <w:t>合同文本</w:t>
      </w:r>
    </w:p>
    <w:p w14:paraId="4AE5DBD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第5章  投标文件构成及格式</w:t>
      </w:r>
    </w:p>
    <w:p w14:paraId="0F52F5D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（三）招标文件的检查及阅读</w:t>
      </w:r>
    </w:p>
    <w:p w14:paraId="3B0868C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供应商应认真阅读和充分理解招标文件中所有的事项、格式条款和规范要求，在投标文件中对招标文件做出全面响应，并按招标文件的要求提交全部资料。</w:t>
      </w:r>
    </w:p>
    <w:p w14:paraId="3C447AB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项目废标后重新组织招标的，采购代理机构将重新编制、发布新版招标文件，供应商应按新版招标文件重新编制投标文件。原招标文件及投标文件失效。</w:t>
      </w:r>
    </w:p>
    <w:p w14:paraId="1A105DF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（四）招标文件的修改、澄清</w:t>
      </w:r>
    </w:p>
    <w:p w14:paraId="3D37367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1．提交投标文件截止之日前，采购人或采购代理机构可能对已发出的招标文件进行澄清或者修改，澄清或者修改的内容为招标文件的组成部分。</w:t>
      </w:r>
    </w:p>
    <w:p w14:paraId="34F2135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0FA8858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4B6243F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712A2EF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）中的〖首页·〉信息公告·〉市级·〉西安市〗；</w:t>
      </w:r>
    </w:p>
    <w:p w14:paraId="5A41800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"http://xa.sxggzyjy.cn/"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全国公共资源交易网（陕西省·西安市）</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）中的〖首页·〉交易大厅·〉政府采购〗。</w:t>
      </w:r>
    </w:p>
    <w:p w14:paraId="3CD48C8D">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四、投标文件</w:t>
      </w:r>
    </w:p>
    <w:p w14:paraId="461DE6E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（一）投标文件的式样</w:t>
      </w:r>
    </w:p>
    <w:p w14:paraId="4E2D5E44">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1．组成及格式</w:t>
      </w:r>
    </w:p>
    <w:p w14:paraId="2F4917A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供应商依照招标文件第五章《投标文件构成及格式》给定形式进行编制投标文件。项目分标段的，应按所投标段分别准备投标文件。</w:t>
      </w:r>
    </w:p>
    <w:p w14:paraId="5AF39C92">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2．语言</w:t>
      </w:r>
    </w:p>
    <w:p w14:paraId="35A6693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招标活动的所有文件、资料、函电文字均使用简体中文，确需提交用其他语言形成的资料，必须翻译成简体中文，如有差异，以简体中文为准。</w:t>
      </w:r>
    </w:p>
    <w:p w14:paraId="3DD7CBE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3．计量单位</w:t>
      </w:r>
    </w:p>
    <w:p w14:paraId="52F3640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投标文件的计量单位应使用中华人民共和国法定计量单位，但招标文件另有规定的除外。</w:t>
      </w:r>
    </w:p>
    <w:p w14:paraId="07782BB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（二）投标文件的有效期</w:t>
      </w:r>
    </w:p>
    <w:p w14:paraId="553C9A6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投标文件有效期为自开标之日起不少于90个日历日。如中标，延长至合同执行完毕时止。</w:t>
      </w:r>
    </w:p>
    <w:p w14:paraId="4CC67F6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04CBCC1F">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本项目计价模式</w:t>
      </w:r>
      <w:r>
        <w:rPr>
          <w:rFonts w:hint="eastAsia" w:ascii="宋体" w:hAnsi="宋体" w:eastAsia="宋体" w:cs="宋体"/>
          <w:b w:val="0"/>
          <w:bCs w:val="0"/>
          <w:kern w:val="0"/>
          <w:sz w:val="24"/>
          <w:szCs w:val="24"/>
          <w:highlight w:val="none"/>
          <w:u w:val="none"/>
          <w:lang w:val="en-US" w:eastAsia="zh-CN" w:bidi="ar-SA"/>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b w:val="0"/>
          <w:bCs w:val="0"/>
          <w:kern w:val="0"/>
          <w:sz w:val="24"/>
          <w:szCs w:val="24"/>
          <w:highlight w:val="none"/>
          <w:u w:val="none"/>
          <w:lang w:val="en-US" w:eastAsia="zh-CN" w:bidi="ar-SA"/>
        </w:rPr>
        <w:t>（综合优惠率），结算金额=配送单价*供货数量*（1-综合优惠率），配送服务费包含配送费、装卸费、包装费、储存费、服务费、货物价款、保险费、人工费、招标代理服务费、保险、利润、税金、风险、验收等所需的全部费用。</w:t>
      </w:r>
    </w:p>
    <w:p w14:paraId="34955F4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highlight w:val="none"/>
        </w:rPr>
        <w:t>招标文件未列明，而供应商认为应当计取的费用均应列入报价中。报价时不论是否计取，采购人均按已计取对待。</w:t>
      </w:r>
    </w:p>
    <w:p w14:paraId="36AD61A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0469EC2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3．投标报价货币：人民币；单位：元。</w:t>
      </w:r>
    </w:p>
    <w:p w14:paraId="13BE712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4．投标文件报价出现前后不一致的，除招标文件另有规定外，按照下列规则修正：</w:t>
      </w:r>
    </w:p>
    <w:p w14:paraId="56969F5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（1）投标文件中开标一览表内容与投标文件中其他位置相应内容表述不一致的，以开标一览表为准；</w:t>
      </w:r>
    </w:p>
    <w:p w14:paraId="4222476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（2）大写金额和小写金额不一致的，以大写金额为准；</w:t>
      </w:r>
    </w:p>
    <w:p w14:paraId="587D09B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（3）单价金额小数点或者百分比有明显错位的，以开标一览表的总价为准，并修改单价；</w:t>
      </w:r>
    </w:p>
    <w:p w14:paraId="77C1411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0AD9805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同时出现两种以上不一致的，按照前款规定的顺序修正。修正后的报价经供应商确认后产生约束力，供应商不确认的，其投标无效。</w:t>
      </w:r>
    </w:p>
    <w:p w14:paraId="40E1580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5．因供应商对招标文件理解不透、误解、疏漏或对市场行情了解不清造成的后果和风险，均由供应商自己负责。</w:t>
      </w:r>
    </w:p>
    <w:p w14:paraId="33290A3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（四）投标文件的制作和签章</w:t>
      </w:r>
    </w:p>
    <w:p w14:paraId="58BE1D3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highlight w:val="none"/>
        </w:rPr>
        <w:t>政府采购项目投标文件制作软件及操作手册</w:t>
      </w:r>
      <w:r>
        <w:rPr>
          <w:rFonts w:hint="eastAsia" w:ascii="宋体" w:hAnsi="宋体" w:eastAsia="宋体" w:cs="宋体"/>
          <w:sz w:val="24"/>
          <w:szCs w:val="24"/>
          <w:highlight w:val="none"/>
        </w:rPr>
        <w:t>》。</w:t>
      </w:r>
    </w:p>
    <w:p w14:paraId="01B6BBB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链接地址：</w:t>
      </w:r>
    </w:p>
    <w:p w14:paraId="7794DA2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"http://sxggzyjy.xa.gov.cn/fwzn/004003/20181115/4d59c184-e8f6-4d5a-a416-c2f6b0601e66.html"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sz w:val="24"/>
          <w:szCs w:val="24"/>
          <w:highlight w:val="none"/>
        </w:rPr>
        <w:t>http://sxggzyjy.xa.gov.cn/fwzn/004003/20181115/4d59c184-e8f6-4d5a-a416-c2f6b0601e66.html</w:t>
      </w:r>
      <w:r>
        <w:rPr>
          <w:rStyle w:val="35"/>
          <w:rFonts w:hint="eastAsia" w:ascii="宋体" w:hAnsi="宋体" w:eastAsia="宋体" w:cs="宋体"/>
          <w:sz w:val="24"/>
          <w:szCs w:val="24"/>
          <w:highlight w:val="none"/>
        </w:rPr>
        <w:fldChar w:fldCharType="end"/>
      </w:r>
    </w:p>
    <w:p w14:paraId="2BB454C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2．编制电子投标文件前，</w:t>
      </w:r>
      <w:r>
        <w:rPr>
          <w:rFonts w:hint="eastAsia" w:ascii="宋体" w:hAnsi="宋体" w:eastAsia="宋体" w:cs="宋体"/>
          <w:b/>
          <w:bCs/>
          <w:sz w:val="24"/>
          <w:szCs w:val="24"/>
          <w:highlight w:val="none"/>
        </w:rPr>
        <w:t>务必先做好电子招标文件的备份工作</w:t>
      </w:r>
      <w:r>
        <w:rPr>
          <w:rFonts w:hint="eastAsia" w:ascii="宋体" w:hAnsi="宋体" w:eastAsia="宋体" w:cs="宋体"/>
          <w:sz w:val="24"/>
          <w:szCs w:val="24"/>
          <w:highlight w:val="none"/>
        </w:rPr>
        <w:t>。然后按操作手册中给出的方法将电子招标文件（*.SXSZF）或答疑文件（*.SXSCF，即更新后的电子招标文件）导入制作软件，最后按照章节分别编制投标文件各个部分。</w:t>
      </w:r>
    </w:p>
    <w:p w14:paraId="7954AF3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再次提醒</w:t>
      </w:r>
      <w:r>
        <w:rPr>
          <w:rFonts w:hint="eastAsia" w:ascii="宋体" w:hAnsi="宋体" w:eastAsia="宋体" w:cs="宋体"/>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highlight w:val="none"/>
        </w:rPr>
        <w:t>使用旧版电子招标文件制作的电子投标文件（*.SXSTF），系统将拒绝接收。</w:t>
      </w:r>
    </w:p>
    <w:p w14:paraId="25FACF5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3．电子投标文件制作过程中，需要法定代表人签字或盖章的地方，请使用“法人CA锁”进行签章；需要加盖供应商公章的地方，请使用“企业CA锁”进行签章。</w:t>
      </w:r>
    </w:p>
    <w:p w14:paraId="16D13CA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4B00ACC9">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（五）投标文件的加密和提交</w:t>
      </w:r>
    </w:p>
    <w:p w14:paraId="30E8B2B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1．在生成电子投标文件时，需要使用CA锁对投标文件进行加密。</w:t>
      </w:r>
    </w:p>
    <w:p w14:paraId="7830096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注意：加密投标文件和开标时解密投标文件应当使用同一CA，否则将会导致解密失败。</w:t>
      </w:r>
    </w:p>
    <w:p w14:paraId="4351EF0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6139982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3．上传文件有误或需要重新提交的，可先撤销已经上传的文件，然后重新上传新文件。</w:t>
      </w:r>
    </w:p>
    <w:p w14:paraId="3F6BDFC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（六）投标文件的补充、修改和撤回</w:t>
      </w:r>
    </w:p>
    <w:p w14:paraId="6420E36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5B3C24EE">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2．供应商在提交投标文件截止时间后，撤回投标文件的，投标保证金不予退还。</w:t>
      </w:r>
    </w:p>
    <w:p w14:paraId="652F53D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0405ABA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（七）关于投标文件的雷同性分析</w:t>
      </w:r>
    </w:p>
    <w:p w14:paraId="5771133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2465D80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553DA16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0AD9557B">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若“文件创建标识码”一致，则表示不同投标供应商使用投标文件制作软件时，使用同一源工程文件，该情形建议由评标委员会结合项目情况综合判定。</w:t>
      </w:r>
    </w:p>
    <w:p w14:paraId="54543FC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（八）投标文件被拒绝接收的情形</w:t>
      </w:r>
    </w:p>
    <w:p w14:paraId="4B17630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1．误投的或采用旧版电子招标文件制作的；</w:t>
      </w:r>
    </w:p>
    <w:p w14:paraId="0D370E8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2．逾期提交电子投标文件的。</w:t>
      </w:r>
    </w:p>
    <w:p w14:paraId="5AF2F7F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五、开标程序</w:t>
      </w:r>
    </w:p>
    <w:p w14:paraId="5CD56CCD">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开标工作由采购代理机构组织实施，整个过程受同级政府采购监管机构的监督、管理。</w:t>
      </w:r>
    </w:p>
    <w:p w14:paraId="5EA9E1C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[适用于不见面开标项目]</w:t>
      </w:r>
    </w:p>
    <w:p w14:paraId="3F0DDC3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（一）“不见面开标”基本流程</w:t>
      </w:r>
    </w:p>
    <w:p w14:paraId="538905D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“不见面开标”是依托政府采购云平台实现的供应商在线参与开标的一种组织形式。供应商无需抵达开标现场，即可在线实现开标、解密、澄清等操作。</w:t>
      </w:r>
    </w:p>
    <w:p w14:paraId="6B30C6D6">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1．供应商登录：开标前，请各供应商至少提前半小时登录西安市公共资源交易平台〖首页·〉不见面开标〗系统。</w:t>
      </w:r>
    </w:p>
    <w:p w14:paraId="48D1614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2．主持人宣布开标：提交投标文件截止时间过后，系统将不再接收任何投标文件。</w:t>
      </w:r>
    </w:p>
    <w:p w14:paraId="2EC8F4B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3．解密投标文件：供应商在收到主持人“开始解密”指令后，应使用“加密该投标文件的CA锁（</w:t>
      </w:r>
      <w:r>
        <w:rPr>
          <w:rFonts w:hint="eastAsia" w:ascii="宋体" w:hAnsi="宋体" w:eastAsia="宋体" w:cs="宋体"/>
          <w:b/>
          <w:bCs/>
          <w:sz w:val="24"/>
          <w:szCs w:val="24"/>
          <w:highlight w:val="none"/>
        </w:rPr>
        <w:t>必须是同一把锁</w:t>
      </w:r>
      <w:r>
        <w:rPr>
          <w:rFonts w:hint="eastAsia" w:ascii="宋体" w:hAnsi="宋体" w:eastAsia="宋体" w:cs="宋体"/>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4615525F">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4．唱标：对于公开招标项目，“不见面开标”系统将自动展示供应商名单及其投标报价。</w:t>
      </w:r>
    </w:p>
    <w:p w14:paraId="3BBCFE90">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5．开标结束：进入评审环节。供应商请保持在线，评审期间评标委员会可能会要求供应商做相应的澄清。因供应商擅自离席造成的不利后果，由供应商自行承担。</w:t>
      </w:r>
    </w:p>
    <w:p w14:paraId="5624B14C">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“不见面开标”系统操作说明：详见西安市公共资源交易平台〖首页·〉服务指南·〉下载专区〗中的《</w:t>
      </w:r>
      <w:r>
        <w:rPr>
          <w:rFonts w:hint="eastAsia" w:ascii="宋体" w:hAnsi="宋体" w:eastAsia="宋体" w:cs="宋体"/>
          <w:b/>
          <w:bCs/>
          <w:sz w:val="24"/>
          <w:szCs w:val="24"/>
          <w:highlight w:val="none"/>
        </w:rPr>
        <w:t>西安公共资源交易不见面开标大厅供应商操作手册</w:t>
      </w:r>
      <w:r>
        <w:rPr>
          <w:rFonts w:hint="eastAsia" w:ascii="宋体" w:hAnsi="宋体" w:eastAsia="宋体" w:cs="宋体"/>
          <w:sz w:val="24"/>
          <w:szCs w:val="24"/>
          <w:highlight w:val="none"/>
        </w:rPr>
        <w:t>》。</w:t>
      </w:r>
    </w:p>
    <w:p w14:paraId="43E56AA9">
      <w:pPr>
        <w:keepLines w:val="0"/>
        <w:pageBreakBefore w:val="0"/>
        <w:kinsoku/>
        <w:wordWrap/>
        <w:overflowPunct/>
        <w:topLinePunct w:val="0"/>
        <w:autoSpaceDE/>
        <w:autoSpaceDN/>
        <w:bidi w:val="0"/>
        <w:snapToGrid/>
        <w:spacing w:line="360" w:lineRule="auto"/>
        <w:ind w:firstLine="490" w:firstLineChars="200"/>
        <w:textAlignment w:val="auto"/>
        <w:outlineLvl w:val="9"/>
        <w:rPr>
          <w:rStyle w:val="35"/>
          <w:rFonts w:hint="eastAsia" w:ascii="宋体" w:hAnsi="宋体" w:eastAsia="宋体" w:cs="宋体"/>
          <w:color w:val="auto"/>
          <w:sz w:val="24"/>
          <w:szCs w:val="24"/>
          <w:highlight w:val="none"/>
          <w:u w:val="none"/>
        </w:rPr>
      </w:pPr>
      <w:r>
        <w:rPr>
          <w:rFonts w:hint="eastAsia" w:ascii="宋体" w:hAnsi="宋体" w:eastAsia="宋体" w:cs="宋体"/>
          <w:sz w:val="24"/>
          <w:szCs w:val="24"/>
          <w:highlight w:val="none"/>
        </w:rPr>
        <w:t>链接地址：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"http://sxggzyjy.xa.gov.cn/fwzn/004003/20200426/bc8b2c1e-abe2-4168-913c-68ff93345faf.html"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http://sxggzyjy.xa.gov.cn/fwzn/004003/20200426/bc8b2c1e-abe2-4168-913c-68ff93345faf.html</w:t>
      </w:r>
      <w:r>
        <w:rPr>
          <w:rStyle w:val="35"/>
          <w:rFonts w:hint="eastAsia" w:ascii="宋体" w:hAnsi="宋体" w:eastAsia="宋体" w:cs="宋体"/>
          <w:color w:val="auto"/>
          <w:sz w:val="24"/>
          <w:szCs w:val="24"/>
          <w:highlight w:val="none"/>
          <w:u w:val="none"/>
        </w:rPr>
        <w:fldChar w:fldCharType="end"/>
      </w:r>
    </w:p>
    <w:p w14:paraId="0A3F959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（二）开标环节投标文件视为无效的情形</w:t>
      </w:r>
    </w:p>
    <w:p w14:paraId="31844FFB">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2399963A">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762D38EA">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18EE3A75">
      <w:pPr>
        <w:pStyle w:val="15"/>
        <w:keepNext w:val="0"/>
        <w:keepLines w:val="0"/>
        <w:pageBreakBefore w:val="0"/>
        <w:widowControl/>
        <w:kinsoku/>
        <w:wordWrap/>
        <w:overflowPunct/>
        <w:topLinePunct w:val="0"/>
        <w:autoSpaceDE/>
        <w:autoSpaceDN/>
        <w:bidi w:val="0"/>
        <w:adjustRightInd/>
        <w:snapToGrid/>
        <w:spacing w:line="360" w:lineRule="auto"/>
        <w:ind w:firstLine="49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2AA2328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（三）开标环节投标文件视为无效的情形</w:t>
      </w:r>
    </w:p>
    <w:p w14:paraId="30257005">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1．供应商放弃或拒绝对电子投标文件进行解密的；</w:t>
      </w:r>
    </w:p>
    <w:p w14:paraId="382C7898">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2．因供应商自身原因，导致未在规定的解密时限内完整解密的，如忘带CA锁、或携带的CA锁与加密文件的CA锁不同、或使用旧版招标文件编制投标文件等情形；</w:t>
      </w:r>
    </w:p>
    <w:p w14:paraId="192276D9">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3．上传的电子投标文件无法正常打开的；</w:t>
      </w:r>
    </w:p>
    <w:p w14:paraId="27BEC99A">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4．政府采购法律法规规定的其他无效情形。</w:t>
      </w:r>
    </w:p>
    <w:p w14:paraId="271372B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（四）突发状况的应急处置</w:t>
      </w:r>
    </w:p>
    <w:p w14:paraId="719FA5D3">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33316688">
      <w:pPr>
        <w:pStyle w:val="4"/>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六、资格审查</w:t>
      </w:r>
    </w:p>
    <w:p w14:paraId="338AEE6D">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7572FA41">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5E92DE56">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资格审查结束后，资格审查小组成员应当对审查结果进行签字确认；对未通过资格审查的供应商，资格审查小组应当场告知其未通过的原因。</w:t>
      </w:r>
    </w:p>
    <w:p w14:paraId="2759E90B">
      <w:pPr>
        <w:keepLines w:val="0"/>
        <w:pageBreakBefore w:val="0"/>
        <w:kinsoku/>
        <w:wordWrap/>
        <w:overflowPunct/>
        <w:topLinePunct w:val="0"/>
        <w:autoSpaceDE/>
        <w:autoSpaceDN/>
        <w:bidi w:val="0"/>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合格供应商不足3家的，不得评标。</w:t>
      </w:r>
    </w:p>
    <w:p w14:paraId="2A168C79">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8"/>
        <w:gridCol w:w="2603"/>
        <w:gridCol w:w="5980"/>
      </w:tblGrid>
      <w:tr w14:paraId="4BF9DA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tcBorders>
              <w:top w:val="single" w:color="auto" w:sz="12" w:space="0"/>
              <w:bottom w:val="single" w:color="auto" w:sz="2" w:space="0"/>
            </w:tcBorders>
            <w:shd w:val="clear" w:color="auto" w:fill="F1F1F1"/>
            <w:noWrap w:val="0"/>
            <w:vAlign w:val="center"/>
          </w:tcPr>
          <w:p w14:paraId="268E43C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404" w:type="pct"/>
            <w:tcBorders>
              <w:top w:val="single" w:color="auto" w:sz="12" w:space="0"/>
              <w:bottom w:val="single" w:color="auto" w:sz="2" w:space="0"/>
            </w:tcBorders>
            <w:shd w:val="clear" w:color="auto" w:fill="F1F1F1"/>
            <w:noWrap w:val="0"/>
            <w:vAlign w:val="center"/>
          </w:tcPr>
          <w:p w14:paraId="22D86F3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资格性审查项</w:t>
            </w:r>
          </w:p>
        </w:tc>
        <w:tc>
          <w:tcPr>
            <w:tcW w:w="3223" w:type="pct"/>
            <w:tcBorders>
              <w:top w:val="single" w:color="auto" w:sz="12" w:space="0"/>
              <w:bottom w:val="single" w:color="auto" w:sz="2" w:space="0"/>
            </w:tcBorders>
            <w:shd w:val="clear" w:color="auto" w:fill="F1F1F1"/>
            <w:noWrap w:val="0"/>
            <w:vAlign w:val="center"/>
          </w:tcPr>
          <w:p w14:paraId="4E948A2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通过条件</w:t>
            </w:r>
          </w:p>
        </w:tc>
      </w:tr>
      <w:tr w14:paraId="57F96F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237BE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404" w:type="pct"/>
            <w:noWrap w:val="0"/>
            <w:vAlign w:val="center"/>
          </w:tcPr>
          <w:p w14:paraId="62320D1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有效的主体资格证明</w:t>
            </w:r>
          </w:p>
        </w:tc>
        <w:tc>
          <w:tcPr>
            <w:tcW w:w="3223" w:type="pct"/>
            <w:noWrap w:val="0"/>
            <w:vAlign w:val="center"/>
          </w:tcPr>
          <w:p w14:paraId="08DC196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2B42A5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4C6C9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404" w:type="pct"/>
            <w:noWrap w:val="0"/>
            <w:vAlign w:val="center"/>
          </w:tcPr>
          <w:p w14:paraId="19BA737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noWrap w:val="0"/>
            <w:vAlign w:val="center"/>
          </w:tcPr>
          <w:p w14:paraId="551A53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52E730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200B8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404" w:type="pct"/>
            <w:noWrap w:val="0"/>
            <w:vAlign w:val="center"/>
          </w:tcPr>
          <w:p w14:paraId="4391041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法定代表人委托授权书\身份证明</w:t>
            </w:r>
          </w:p>
        </w:tc>
        <w:tc>
          <w:tcPr>
            <w:tcW w:w="3223" w:type="pct"/>
            <w:noWrap w:val="0"/>
            <w:vAlign w:val="center"/>
          </w:tcPr>
          <w:p w14:paraId="5E82F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4035CE5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69C67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404" w:type="pct"/>
            <w:noWrap w:val="0"/>
            <w:vAlign w:val="center"/>
          </w:tcPr>
          <w:p w14:paraId="6510F6C3">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关联关系</w:t>
            </w:r>
          </w:p>
        </w:tc>
        <w:tc>
          <w:tcPr>
            <w:tcW w:w="3223" w:type="pct"/>
            <w:noWrap w:val="0"/>
            <w:vAlign w:val="center"/>
          </w:tcPr>
          <w:p w14:paraId="71FC5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75780F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4DEA7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eastAsia="zh-CN"/>
              </w:rPr>
            </w:pPr>
            <w:r>
              <w:rPr>
                <w:rFonts w:hint="default" w:ascii="宋体" w:hAnsi="宋体" w:eastAsia="宋体" w:cs="宋体"/>
                <w:sz w:val="24"/>
                <w:szCs w:val="24"/>
                <w:highlight w:val="none"/>
                <w:lang w:eastAsia="zh-CN"/>
              </w:rPr>
              <w:t>5</w:t>
            </w:r>
          </w:p>
        </w:tc>
        <w:tc>
          <w:tcPr>
            <w:tcW w:w="1404" w:type="pct"/>
            <w:noWrap w:val="0"/>
            <w:vAlign w:val="center"/>
          </w:tcPr>
          <w:p w14:paraId="5DED32E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23" w:type="pct"/>
            <w:noWrap w:val="0"/>
            <w:vAlign w:val="center"/>
          </w:tcPr>
          <w:p w14:paraId="66219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宋体" w:hAnsi="宋体" w:eastAsia="宋体" w:cs="宋体"/>
                <w:i w:val="0"/>
                <w:iCs w:val="0"/>
                <w:caps w:val="0"/>
                <w:color w:val="auto"/>
                <w:spacing w:val="0"/>
                <w:kern w:val="0"/>
                <w:sz w:val="24"/>
                <w:szCs w:val="24"/>
                <w:highlight w:val="none"/>
                <w:u w:val="none"/>
                <w:lang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r>
              <w:rPr>
                <w:rFonts w:hint="default" w:ascii="宋体" w:hAnsi="宋体" w:eastAsia="宋体" w:cs="宋体"/>
                <w:i w:val="0"/>
                <w:iCs w:val="0"/>
                <w:caps w:val="0"/>
                <w:color w:val="auto"/>
                <w:spacing w:val="0"/>
                <w:kern w:val="0"/>
                <w:sz w:val="24"/>
                <w:szCs w:val="24"/>
                <w:highlight w:val="none"/>
                <w:u w:val="none"/>
                <w:lang w:eastAsia="zh-CN" w:bidi="ar-SA"/>
              </w:rPr>
              <w:t>。</w:t>
            </w:r>
          </w:p>
        </w:tc>
      </w:tr>
      <w:tr w14:paraId="575508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688" w:type="dxa"/>
            <w:noWrap w:val="0"/>
            <w:vAlign w:val="center"/>
          </w:tcPr>
          <w:p w14:paraId="20734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p>
        </w:tc>
        <w:tc>
          <w:tcPr>
            <w:tcW w:w="2603" w:type="dxa"/>
            <w:noWrap w:val="0"/>
            <w:vAlign w:val="center"/>
          </w:tcPr>
          <w:p w14:paraId="64974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专门面向</w:t>
            </w:r>
            <w:r>
              <w:rPr>
                <w:rFonts w:hint="default" w:ascii="宋体" w:hAnsi="宋体" w:eastAsia="宋体" w:cs="宋体"/>
                <w:sz w:val="24"/>
                <w:szCs w:val="24"/>
                <w:highlight w:val="none"/>
                <w:lang w:eastAsia="zh-CN"/>
              </w:rPr>
              <w:t>中小</w:t>
            </w:r>
            <w:r>
              <w:rPr>
                <w:rFonts w:hint="eastAsia" w:ascii="宋体" w:hAnsi="宋体" w:eastAsia="宋体" w:cs="宋体"/>
                <w:sz w:val="24"/>
                <w:szCs w:val="24"/>
                <w:highlight w:val="none"/>
                <w:lang w:eastAsia="zh-CN"/>
              </w:rPr>
              <w:t>企业</w:t>
            </w:r>
          </w:p>
        </w:tc>
        <w:tc>
          <w:tcPr>
            <w:tcW w:w="5980" w:type="dxa"/>
            <w:noWrap w:val="0"/>
            <w:vAlign w:val="center"/>
          </w:tcPr>
          <w:p w14:paraId="1C02100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tc>
      </w:tr>
      <w:tr w14:paraId="70CFD51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6BFD579B">
            <w:pPr>
              <w:spacing w:line="360" w:lineRule="auto"/>
              <w:ind w:left="0" w:leftChars="0" w:right="0" w:rightChars="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注意事项：</w:t>
            </w:r>
          </w:p>
          <w:p w14:paraId="5DA1E0B5">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7673A8DD">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546ADC0F">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3．以联合体形式参与投标时，应提供有效的《联合体协议书》，并遵循招标文件第二章中“关于联合体”的相关规定。</w:t>
            </w:r>
          </w:p>
          <w:p w14:paraId="18EC3B92">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4．《法定代表人委托授权书》、《法定代表人身份证明书》应按第五章《投标文件构成及格式》中给定的格式填写，并按要求签字、盖章。</w:t>
            </w:r>
          </w:p>
          <w:p w14:paraId="51650842">
            <w:pPr>
              <w:spacing w:line="360" w:lineRule="auto"/>
              <w:ind w:left="0" w:leftChars="0" w:right="0" w:righ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4DC89D5F">
      <w:pPr>
        <w:pStyle w:val="4"/>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七、评审方法和程序</w:t>
      </w:r>
    </w:p>
    <w:p w14:paraId="5DBFF7C9">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（一）评标方法</w:t>
      </w:r>
    </w:p>
    <w:p w14:paraId="7EF02F0B">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本项目采用综合评分法，即投标文件满足招标文件全部实质性要求，且按照评审因素的量化指标评审得分最高的供应商为中标候选人。</w:t>
      </w:r>
    </w:p>
    <w:p w14:paraId="4871D2AC">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（二）评标程序</w:t>
      </w:r>
    </w:p>
    <w:p w14:paraId="20A5E9C7">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1．组建评标委员会</w:t>
      </w:r>
    </w:p>
    <w:p w14:paraId="280FAD83">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74CF4B06">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由采购代理机构组织评标委员会推选评标组长，采购人代表不得担任组长。</w:t>
      </w:r>
    </w:p>
    <w:p w14:paraId="69AA2AB4">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2．投标文件的符合性审查</w:t>
      </w:r>
    </w:p>
    <w:p w14:paraId="19F82E47">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供应商资格性审查通过后，评标委员会对符合资格的投标人的投标文件进行符合性审查，以确定其是否满足招标文件的实质性要求。</w:t>
      </w:r>
    </w:p>
    <w:p w14:paraId="16E70320">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对于投标文件中含义不明确、同类问题表述不一致或者有明显文字和计算错误的内容，评标委员会应当以书面形式要求投标人作出必要的澄清、说明或者补正。</w:t>
      </w:r>
    </w:p>
    <w:p w14:paraId="5E688C5F">
      <w:pPr>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53CAB6AD">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91"/>
        <w:gridCol w:w="2079"/>
        <w:gridCol w:w="6499"/>
      </w:tblGrid>
      <w:tr w14:paraId="5A4C5A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noWrap w:val="0"/>
            <w:vAlign w:val="center"/>
          </w:tcPr>
          <w:p w14:paraId="448759F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121" w:type="pct"/>
            <w:tcBorders>
              <w:top w:val="single" w:color="auto" w:sz="12" w:space="0"/>
              <w:bottom w:val="single" w:color="auto" w:sz="2" w:space="0"/>
            </w:tcBorders>
            <w:shd w:val="clear" w:color="auto" w:fill="F1F1F1"/>
            <w:noWrap w:val="0"/>
            <w:vAlign w:val="center"/>
          </w:tcPr>
          <w:p w14:paraId="459B009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符合性审查项</w:t>
            </w:r>
          </w:p>
        </w:tc>
        <w:tc>
          <w:tcPr>
            <w:tcW w:w="3505" w:type="pct"/>
            <w:tcBorders>
              <w:top w:val="single" w:color="auto" w:sz="12" w:space="0"/>
              <w:bottom w:val="single" w:color="auto" w:sz="2" w:space="0"/>
            </w:tcBorders>
            <w:shd w:val="clear" w:color="auto" w:fill="F1F1F1"/>
            <w:noWrap w:val="0"/>
            <w:vAlign w:val="center"/>
          </w:tcPr>
          <w:p w14:paraId="47F1BC44">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通过条件</w:t>
            </w:r>
          </w:p>
        </w:tc>
      </w:tr>
      <w:tr w14:paraId="29EC3C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noWrap w:val="0"/>
            <w:vAlign w:val="center"/>
          </w:tcPr>
          <w:p w14:paraId="19619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21" w:type="pct"/>
            <w:tcBorders>
              <w:top w:val="single" w:color="auto" w:sz="2" w:space="0"/>
            </w:tcBorders>
            <w:noWrap w:val="0"/>
            <w:vAlign w:val="center"/>
          </w:tcPr>
          <w:p w14:paraId="3C9B5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与项目的一致性</w:t>
            </w:r>
          </w:p>
        </w:tc>
        <w:tc>
          <w:tcPr>
            <w:tcW w:w="3505" w:type="pct"/>
            <w:tcBorders>
              <w:top w:val="single" w:color="auto" w:sz="2" w:space="0"/>
            </w:tcBorders>
            <w:noWrap w:val="0"/>
            <w:vAlign w:val="center"/>
          </w:tcPr>
          <w:p w14:paraId="45FA0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至少以下三处的项目名称、项目编号、标段（未分标段的除外）与本项目完全一致：</w:t>
            </w:r>
          </w:p>
          <w:p w14:paraId="5E84B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（1）投标文件封面</w:t>
            </w:r>
          </w:p>
          <w:p w14:paraId="09559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（2）投标函</w:t>
            </w:r>
          </w:p>
          <w:p w14:paraId="66DA0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（3）法定代表人委托授权书\身份证明</w:t>
            </w:r>
          </w:p>
        </w:tc>
      </w:tr>
      <w:tr w14:paraId="05C2CB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410D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121" w:type="pct"/>
            <w:noWrap w:val="0"/>
            <w:vAlign w:val="center"/>
          </w:tcPr>
          <w:p w14:paraId="02F5F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投标文件组成</w:t>
            </w:r>
          </w:p>
        </w:tc>
        <w:tc>
          <w:tcPr>
            <w:tcW w:w="3505" w:type="pct"/>
            <w:noWrap w:val="0"/>
            <w:vAlign w:val="center"/>
          </w:tcPr>
          <w:p w14:paraId="314B8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投标文件应包含以下部分：</w:t>
            </w:r>
          </w:p>
          <w:p w14:paraId="7FAB4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（1）投标函</w:t>
            </w:r>
          </w:p>
          <w:p w14:paraId="2D9EB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（2）开标一览表</w:t>
            </w:r>
          </w:p>
          <w:p w14:paraId="5EE79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（3）资格证明文件</w:t>
            </w:r>
          </w:p>
          <w:p w14:paraId="027A7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（4）供应商概况</w:t>
            </w:r>
          </w:p>
          <w:p w14:paraId="7E9AA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（5）供应商参加政府采购活动承诺书</w:t>
            </w:r>
          </w:p>
          <w:p w14:paraId="0EEFC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（6）投标方案</w:t>
            </w:r>
          </w:p>
        </w:tc>
      </w:tr>
      <w:tr w14:paraId="36F368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31B2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121" w:type="pct"/>
            <w:noWrap w:val="0"/>
            <w:vAlign w:val="center"/>
          </w:tcPr>
          <w:p w14:paraId="344DE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w:t>
            </w:r>
          </w:p>
        </w:tc>
        <w:tc>
          <w:tcPr>
            <w:tcW w:w="3505" w:type="pct"/>
            <w:noWrap w:val="0"/>
            <w:vAlign w:val="center"/>
          </w:tcPr>
          <w:p w14:paraId="4D739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签章均符合招标文件要求，且无遗漏。</w:t>
            </w:r>
          </w:p>
        </w:tc>
      </w:tr>
      <w:tr w14:paraId="4108EC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E731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121" w:type="pct"/>
            <w:noWrap w:val="0"/>
            <w:vAlign w:val="center"/>
          </w:tcPr>
          <w:p w14:paraId="4D460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语言和计量单位</w:t>
            </w:r>
          </w:p>
        </w:tc>
        <w:tc>
          <w:tcPr>
            <w:tcW w:w="3505" w:type="pct"/>
            <w:noWrap w:val="0"/>
            <w:vAlign w:val="center"/>
          </w:tcPr>
          <w:p w14:paraId="49EAF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4B4485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7085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121" w:type="pct"/>
            <w:noWrap w:val="0"/>
            <w:vAlign w:val="center"/>
          </w:tcPr>
          <w:p w14:paraId="7A8FE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投标文件有效期</w:t>
            </w:r>
          </w:p>
        </w:tc>
        <w:tc>
          <w:tcPr>
            <w:tcW w:w="3505" w:type="pct"/>
            <w:noWrap w:val="0"/>
            <w:vAlign w:val="center"/>
          </w:tcPr>
          <w:p w14:paraId="45472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符合招标文件的要求</w:t>
            </w:r>
          </w:p>
        </w:tc>
      </w:tr>
      <w:tr w14:paraId="24E34C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9A5E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121" w:type="pct"/>
            <w:noWrap w:val="0"/>
            <w:vAlign w:val="center"/>
          </w:tcPr>
          <w:p w14:paraId="650CD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5" w:type="pct"/>
            <w:noWrap w:val="0"/>
            <w:vAlign w:val="center"/>
          </w:tcPr>
          <w:p w14:paraId="671B9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41011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1E956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6B173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2C04B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7F944F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39FB4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121" w:type="pct"/>
            <w:noWrap w:val="0"/>
            <w:vAlign w:val="center"/>
          </w:tcPr>
          <w:p w14:paraId="28D38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noWrap w:val="0"/>
            <w:vAlign w:val="center"/>
          </w:tcPr>
          <w:p w14:paraId="7E31B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579ED5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1F95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121" w:type="pct"/>
            <w:noWrap w:val="0"/>
            <w:vAlign w:val="center"/>
          </w:tcPr>
          <w:p w14:paraId="24028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noWrap w:val="0"/>
            <w:vAlign w:val="center"/>
          </w:tcPr>
          <w:p w14:paraId="778D6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741521C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7418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121" w:type="pct"/>
            <w:noWrap w:val="0"/>
            <w:vAlign w:val="center"/>
          </w:tcPr>
          <w:p w14:paraId="25646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电子投标文件雷同性分析</w:t>
            </w:r>
          </w:p>
        </w:tc>
        <w:tc>
          <w:tcPr>
            <w:tcW w:w="3505" w:type="pct"/>
            <w:noWrap w:val="0"/>
            <w:vAlign w:val="center"/>
          </w:tcPr>
          <w:p w14:paraId="456C8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电子投标文件的“文件制作机器码”和“文件创建标识码”通过评标系统的雷同性分析。</w:t>
            </w:r>
          </w:p>
        </w:tc>
      </w:tr>
      <w:tr w14:paraId="69CB08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FA6A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121" w:type="pct"/>
            <w:noWrap w:val="0"/>
            <w:vAlign w:val="center"/>
          </w:tcPr>
          <w:p w14:paraId="050ED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其他</w:t>
            </w:r>
          </w:p>
        </w:tc>
        <w:tc>
          <w:tcPr>
            <w:tcW w:w="3505" w:type="pct"/>
            <w:noWrap w:val="0"/>
            <w:vAlign w:val="center"/>
          </w:tcPr>
          <w:p w14:paraId="09BF1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完全理解并接受法律法规和招标文件对供应商合法经营的各类规约和责任义务要求，没有出现法律法规或招标文件规定的其他无效情形。</w:t>
            </w:r>
          </w:p>
        </w:tc>
      </w:tr>
    </w:tbl>
    <w:p w14:paraId="1D42ABA6">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3．综合比较与评价</w:t>
      </w:r>
    </w:p>
    <w:p w14:paraId="23C94B7E">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评标委员会按《评审要素及分值一览表》中规定的评标方法和标准，对通过符合性审查的投标文件进行商务和技术评估，综合比较与评价。</w:t>
      </w:r>
    </w:p>
    <w:p w14:paraId="4D2E999C">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出现下列情形的，供应商投标无效：</w:t>
      </w:r>
    </w:p>
    <w:p w14:paraId="6BF1BCDF">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（1）投标文件报价出现本章第五小节“投标报价”所列需要修正情形，但供应商对修正后的报价不予确认的；</w:t>
      </w:r>
    </w:p>
    <w:p w14:paraId="2243660B">
      <w:pPr>
        <w:keepNext w:val="0"/>
        <w:keepLines w:val="0"/>
        <w:pageBreakBefore w:val="0"/>
        <w:widowControl/>
        <w:kinsoku/>
        <w:wordWrap/>
        <w:overflowPunct/>
        <w:topLinePunct w:val="0"/>
        <w:autoSpaceDE/>
        <w:autoSpaceDN/>
        <w:bidi w:val="0"/>
        <w:adjustRightInd/>
        <w:snapToGrid/>
        <w:spacing w:line="360" w:lineRule="auto"/>
        <w:ind w:firstLine="490" w:firstLineChars="200"/>
        <w:jc w:val="both"/>
        <w:textAlignment w:val="auto"/>
        <w:rPr>
          <w:rFonts w:hint="eastAsia" w:ascii="宋体" w:hAnsi="宋体" w:eastAsia="宋体" w:cs="宋体"/>
          <w:sz w:val="32"/>
          <w:szCs w:val="32"/>
          <w:highlight w:val="none"/>
        </w:rPr>
      </w:pPr>
      <w:r>
        <w:rPr>
          <w:rFonts w:hint="eastAsia" w:ascii="宋体" w:hAnsi="宋体" w:eastAsia="宋体" w:cs="宋体"/>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7E4F0BA2">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8"/>
        <w:tblW w:w="508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77"/>
        <w:gridCol w:w="1358"/>
        <w:gridCol w:w="7501"/>
      </w:tblGrid>
      <w:tr w14:paraId="4E570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trPr>
        <w:tc>
          <w:tcPr>
            <w:tcW w:w="204" w:type="pct"/>
            <w:noWrap w:val="0"/>
            <w:vAlign w:val="center"/>
          </w:tcPr>
          <w:p w14:paraId="7B3D247C">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735" w:type="pct"/>
            <w:noWrap w:val="0"/>
            <w:vAlign w:val="center"/>
          </w:tcPr>
          <w:p w14:paraId="52C5C9B8">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059" w:type="pct"/>
            <w:noWrap w:val="0"/>
            <w:vAlign w:val="top"/>
          </w:tcPr>
          <w:p w14:paraId="05034A69">
            <w:pPr>
              <w:pStyle w:val="109"/>
              <w:spacing w:before="216" w:line="36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00AA1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027D6C42">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735" w:type="pct"/>
            <w:noWrap w:val="0"/>
            <w:vAlign w:val="center"/>
          </w:tcPr>
          <w:p w14:paraId="57DACB0B">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rPr>
            </w:pPr>
            <w:r>
              <w:rPr>
                <w:rFonts w:hint="eastAsia" w:cs="宋体"/>
                <w:spacing w:val="0"/>
                <w:sz w:val="24"/>
                <w:szCs w:val="24"/>
                <w:highlight w:val="none"/>
                <w:lang w:eastAsia="zh-CN"/>
              </w:rPr>
              <w:t>投标</w:t>
            </w:r>
            <w:r>
              <w:rPr>
                <w:rFonts w:hint="eastAsia" w:ascii="宋体" w:hAnsi="宋体" w:eastAsia="宋体" w:cs="宋体"/>
                <w:spacing w:val="0"/>
                <w:sz w:val="24"/>
                <w:szCs w:val="24"/>
                <w:highlight w:val="none"/>
              </w:rPr>
              <w:t>报价</w:t>
            </w:r>
          </w:p>
          <w:p w14:paraId="129072EF">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r>
              <w:rPr>
                <w:rFonts w:hint="eastAsia" w:ascii="宋体" w:hAnsi="宋体" w:eastAsia="宋体" w:cs="宋体"/>
                <w:spacing w:val="0"/>
                <w:sz w:val="24"/>
                <w:szCs w:val="24"/>
                <w:highlight w:val="none"/>
                <w:lang w:eastAsia="zh-CN"/>
              </w:rPr>
              <w:t>）</w:t>
            </w:r>
          </w:p>
        </w:tc>
        <w:tc>
          <w:tcPr>
            <w:tcW w:w="4059" w:type="pct"/>
            <w:noWrap w:val="0"/>
            <w:vAlign w:val="center"/>
          </w:tcPr>
          <w:p w14:paraId="6430EB08">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经资格审查、符合性审查合格的投标文件，其投标报价为有效投标报价。满足招标文件要求且投标价格最低的投标报价为评标基准价，其价格分为满分。价格分按照下列公式计算。</w:t>
            </w:r>
          </w:p>
          <w:p w14:paraId="31AEDEC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投标报价得分=(评标基准价／投标报价)×10</w:t>
            </w:r>
          </w:p>
          <w:p w14:paraId="163D2DD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zh-TW" w:eastAsia="zh-TW"/>
              </w:rPr>
              <w:t>注：本项目专门面</w:t>
            </w:r>
            <w:r>
              <w:rPr>
                <w:rFonts w:hint="eastAsia" w:cs="宋体"/>
                <w:spacing w:val="0"/>
                <w:sz w:val="24"/>
                <w:szCs w:val="24"/>
                <w:highlight w:val="none"/>
                <w:lang w:val="en-US" w:eastAsia="zh-CN"/>
              </w:rPr>
              <w:t>中小</w:t>
            </w:r>
            <w:r>
              <w:rPr>
                <w:rFonts w:hint="eastAsia" w:ascii="宋体" w:hAnsi="宋体" w:eastAsia="宋体" w:cs="宋体"/>
                <w:spacing w:val="0"/>
                <w:sz w:val="24"/>
                <w:szCs w:val="24"/>
                <w:highlight w:val="none"/>
                <w:lang w:val="zh-TW" w:eastAsia="zh-TW"/>
              </w:rPr>
              <w:t>企业采购，根据财政部发布《政府采购促进中小企业发展政策问答》的规定，专门面向中小企业采购的项目或者采购包，不再执行价格评审优惠的扶持政策。</w:t>
            </w:r>
          </w:p>
        </w:tc>
      </w:tr>
      <w:tr w14:paraId="59AA4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2AC81F0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735" w:type="pct"/>
            <w:noWrap w:val="0"/>
            <w:vAlign w:val="center"/>
          </w:tcPr>
          <w:p w14:paraId="61A011D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服务方案</w:t>
            </w:r>
          </w:p>
          <w:p w14:paraId="1BE495A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12</w:t>
            </w:r>
            <w:r>
              <w:rPr>
                <w:rFonts w:hint="eastAsia" w:ascii="宋体" w:hAnsi="宋体" w:eastAsia="宋体" w:cs="宋体"/>
                <w:spacing w:val="0"/>
                <w:sz w:val="24"/>
                <w:szCs w:val="24"/>
                <w:highlight w:val="none"/>
              </w:rPr>
              <w:t>分）</w:t>
            </w:r>
          </w:p>
        </w:tc>
        <w:tc>
          <w:tcPr>
            <w:tcW w:w="4059" w:type="pct"/>
            <w:noWrap w:val="0"/>
            <w:vAlign w:val="center"/>
          </w:tcPr>
          <w:p w14:paraId="4C52EB6B">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投标人需提供科学、完整、合理、规范的服务方案。方案内容完整，分析全面。</w:t>
            </w:r>
          </w:p>
          <w:p w14:paraId="15C12319">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总体服务方案设计科学合理、描述条理清晰，可行性、安全性强，完全满足采购需求得（8-12]分；</w:t>
            </w:r>
          </w:p>
          <w:p w14:paraId="563E33E4">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方案内容较完整，分析较全面、总体服务方案设计较合理、描述条理较清晰，可行性较强，满足采购需求得（4-8]分；</w:t>
            </w:r>
          </w:p>
          <w:p w14:paraId="78141DF8">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方案内容一般，可行性一般，基本满足采购需求得（0-4]分；</w:t>
            </w:r>
          </w:p>
          <w:p w14:paraId="41921731">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未提供不得分。</w:t>
            </w:r>
          </w:p>
        </w:tc>
      </w:tr>
      <w:tr w14:paraId="44BBC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2F5865F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735" w:type="pct"/>
            <w:noWrap w:val="0"/>
            <w:vAlign w:val="center"/>
          </w:tcPr>
          <w:p w14:paraId="27EA71C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产品质量保障措施</w:t>
            </w:r>
          </w:p>
          <w:p w14:paraId="5A03B770">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（10分）</w:t>
            </w:r>
          </w:p>
        </w:tc>
        <w:tc>
          <w:tcPr>
            <w:tcW w:w="4059" w:type="pct"/>
            <w:noWrap w:val="0"/>
            <w:vAlign w:val="center"/>
          </w:tcPr>
          <w:p w14:paraId="620E6571">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投标人针对本项目编写产品质量保障措施（包含但不限于原材料来源保障措施、选材标准、加工包装、运输环境、营养搭配保证措施等）。</w:t>
            </w:r>
          </w:p>
          <w:p w14:paraId="2AF718B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投标人的产品保障措施内容全面，来源渠道合法安全、选材标准高、加工包装符合食品安全要求、运输环境干净、营养搭配科学合理的得（7-10]分；</w:t>
            </w:r>
          </w:p>
          <w:p w14:paraId="119E122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措施内容较全面，来源渠道合法安全、选材标准较高、加工包装符合食品安全要求、运输环境较干净、营养搭配较科学合理得（3-7]分；</w:t>
            </w:r>
          </w:p>
          <w:p w14:paraId="6613331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措施内容一般，内容粗略，营养搭配一般得（0-3]分；</w:t>
            </w:r>
          </w:p>
          <w:p w14:paraId="58FDFE1B">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未提供不得分。</w:t>
            </w:r>
          </w:p>
        </w:tc>
      </w:tr>
      <w:tr w14:paraId="40600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07A79DF7">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4</w:t>
            </w:r>
          </w:p>
        </w:tc>
        <w:tc>
          <w:tcPr>
            <w:tcW w:w="735" w:type="pct"/>
            <w:noWrap w:val="0"/>
            <w:vAlign w:val="center"/>
          </w:tcPr>
          <w:p w14:paraId="519ADE9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rPr>
            </w:pPr>
            <w:r>
              <w:rPr>
                <w:rFonts w:hint="eastAsia" w:ascii="宋体" w:hAnsi="宋体" w:eastAsia="宋体" w:cs="宋体"/>
                <w:spacing w:val="0"/>
                <w:sz w:val="24"/>
                <w:szCs w:val="24"/>
                <w:highlight w:val="none"/>
                <w:lang w:val="en-US" w:eastAsia="en-US"/>
              </w:rPr>
              <w:t>配送方案</w:t>
            </w:r>
          </w:p>
          <w:p w14:paraId="3B2A75C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（10分）</w:t>
            </w:r>
          </w:p>
        </w:tc>
        <w:tc>
          <w:tcPr>
            <w:tcW w:w="4059" w:type="pct"/>
            <w:noWrap w:val="0"/>
            <w:vAlign w:val="center"/>
          </w:tcPr>
          <w:p w14:paraId="759ABC9F">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投标人提供合理完善的配送方案，包含整体配送计划方案、详细的专职配送队伍安排、流程控制、质量管理、食材数量及种类管理、采购计划单及配送时间管理、安全管理、验货标准等说明。</w:t>
            </w:r>
          </w:p>
          <w:p w14:paraId="6657F7AF">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配送方案完善、合理、符合实际情况、完全满足采购需求得（7-10］分；配送方案基本可行，基本符合实际情况、基本满足采购需求得（3-7］分；配送方案可行性一般，部分满足采购需求得（0-3］分；</w:t>
            </w:r>
          </w:p>
          <w:p w14:paraId="5E8426C4">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19FAD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2D578335">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735" w:type="pct"/>
            <w:noWrap w:val="0"/>
            <w:vAlign w:val="center"/>
          </w:tcPr>
          <w:p w14:paraId="7F5F3096">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服务设备</w:t>
            </w:r>
          </w:p>
          <w:p w14:paraId="03441A0B">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eastAsia="zh-CN"/>
              </w:rPr>
            </w:pPr>
            <w:r>
              <w:rPr>
                <w:rFonts w:hint="eastAsia"/>
                <w:sz w:val="24"/>
                <w:szCs w:val="24"/>
                <w:highlight w:val="none"/>
                <w:lang w:val="en-US" w:eastAsia="zh-CN"/>
              </w:rPr>
              <w:t>（8分）</w:t>
            </w:r>
          </w:p>
        </w:tc>
        <w:tc>
          <w:tcPr>
            <w:tcW w:w="4059" w:type="pct"/>
            <w:noWrap w:val="0"/>
            <w:vAlign w:val="center"/>
          </w:tcPr>
          <w:p w14:paraId="5010C56E">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snapToGrid w:val="0"/>
                <w:color w:val="000000"/>
                <w:spacing w:val="0"/>
                <w:kern w:val="0"/>
                <w:position w:val="0"/>
                <w:sz w:val="21"/>
                <w:szCs w:val="21"/>
                <w:highlight w:val="none"/>
                <w:lang w:val="en-US" w:eastAsia="zh-CN"/>
              </w:rPr>
              <w:t>投标人</w:t>
            </w:r>
            <w:r>
              <w:rPr>
                <w:rFonts w:hint="eastAsia" w:ascii="宋体" w:hAnsi="宋体" w:eastAsia="宋体" w:cs="宋体"/>
                <w:highlight w:val="none"/>
                <w:vertAlign w:val="baseline"/>
                <w:lang w:val="en-US" w:eastAsia="zh-CN"/>
              </w:rPr>
              <w:t>针对本项目拟投入的服务设备情况（包括但不限于冷冻、冷藏设备等）；</w:t>
            </w:r>
          </w:p>
          <w:p w14:paraId="0052F3A8">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服务设备配备全面，能完全满足本项目采购需求，并能提供相应文字照片证明材料的得（5-8]分；</w:t>
            </w:r>
          </w:p>
          <w:p w14:paraId="3AC2C57E">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服务设备配备较全面，操作性较强，有相关证明材料得（3-5］分；</w:t>
            </w:r>
          </w:p>
          <w:p w14:paraId="3A857EDE">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服务设备配备种类欠缺，文字照片证明材料部分完整得（0-3]分；</w:t>
            </w:r>
          </w:p>
          <w:p w14:paraId="738ED194">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0F719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204" w:type="pct"/>
            <w:noWrap w:val="0"/>
            <w:vAlign w:val="center"/>
          </w:tcPr>
          <w:p w14:paraId="0CA8737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6</w:t>
            </w:r>
          </w:p>
        </w:tc>
        <w:tc>
          <w:tcPr>
            <w:tcW w:w="735" w:type="pct"/>
            <w:noWrap w:val="0"/>
            <w:vAlign w:val="center"/>
          </w:tcPr>
          <w:p w14:paraId="6D7BBFA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储存场所</w:t>
            </w:r>
          </w:p>
          <w:p w14:paraId="445EC82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sz w:val="24"/>
                <w:szCs w:val="24"/>
                <w:highlight w:val="none"/>
                <w:lang w:val="en-US" w:eastAsia="zh-CN"/>
              </w:rPr>
              <w:t>（8分）</w:t>
            </w:r>
          </w:p>
        </w:tc>
        <w:tc>
          <w:tcPr>
            <w:tcW w:w="4059" w:type="pct"/>
            <w:noWrap w:val="0"/>
            <w:vAlign w:val="center"/>
          </w:tcPr>
          <w:p w14:paraId="5F7592D6">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具有可靠的产品储藏体系和生产、储存场所，空间能够保证空气良好的流通性、适宜的储藏的温度等，且有定期检查维护制度，提供相关证明文件（包括但不限于租赁合同或购房合同、储存场所照片、设备购置发票、巡查记录等）</w:t>
            </w:r>
            <w:r>
              <w:rPr>
                <w:rFonts w:hint="eastAsia" w:ascii="宋体" w:hAnsi="宋体" w:eastAsia="宋体" w:cs="宋体"/>
                <w:highlight w:val="none"/>
                <w:vertAlign w:val="baseline"/>
                <w:lang w:val="zh-TW" w:eastAsia="zh-CN"/>
              </w:rPr>
              <w:t>。</w:t>
            </w:r>
          </w:p>
          <w:p w14:paraId="17491C8B">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存储制度完善、证明材料齐全</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5</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8</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275B9E5F">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w:t>
            </w:r>
            <w:r>
              <w:rPr>
                <w:rFonts w:hint="eastAsia" w:ascii="宋体" w:hAnsi="宋体" w:eastAsia="宋体" w:cs="宋体"/>
                <w:highlight w:val="none"/>
                <w:vertAlign w:val="baseline"/>
                <w:lang w:val="en-US" w:eastAsia="zh-CN"/>
              </w:rPr>
              <w:t>较</w:t>
            </w:r>
            <w:r>
              <w:rPr>
                <w:rFonts w:hint="eastAsia" w:ascii="宋体" w:hAnsi="宋体" w:eastAsia="宋体" w:cs="宋体"/>
                <w:highlight w:val="none"/>
                <w:vertAlign w:val="baseline"/>
                <w:lang w:val="zh-TW" w:eastAsia="zh-TW"/>
              </w:rPr>
              <w:t>完善、证明材料</w:t>
            </w:r>
            <w:r>
              <w:rPr>
                <w:rFonts w:hint="eastAsia" w:ascii="宋体" w:hAnsi="宋体" w:eastAsia="宋体" w:cs="宋体"/>
                <w:highlight w:val="none"/>
                <w:vertAlign w:val="baseline"/>
                <w:lang w:val="en-US" w:eastAsia="zh-CN"/>
              </w:rPr>
              <w:t>较完善</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zh-CN"/>
              </w:rPr>
              <w:t>（3</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5</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529E0419">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zh-TW" w:eastAsia="zh-CN"/>
              </w:rPr>
            </w:pPr>
            <w:r>
              <w:rPr>
                <w:rFonts w:hint="eastAsia" w:ascii="宋体" w:hAnsi="宋体" w:eastAsia="宋体" w:cs="宋体"/>
                <w:highlight w:val="none"/>
                <w:vertAlign w:val="baseline"/>
                <w:lang w:val="zh-TW" w:eastAsia="zh-TW"/>
              </w:rPr>
              <w:t>存储制度</w:t>
            </w:r>
            <w:r>
              <w:rPr>
                <w:rFonts w:hint="eastAsia" w:ascii="宋体" w:hAnsi="宋体" w:eastAsia="宋体" w:cs="宋体"/>
                <w:highlight w:val="none"/>
                <w:vertAlign w:val="baseline"/>
                <w:lang w:val="zh-TW" w:eastAsia="zh-CN"/>
              </w:rPr>
              <w:t>基</w:t>
            </w:r>
            <w:r>
              <w:rPr>
                <w:rFonts w:hint="eastAsia" w:ascii="宋体" w:hAnsi="宋体" w:eastAsia="宋体" w:cs="宋体"/>
                <w:highlight w:val="none"/>
                <w:vertAlign w:val="baseline"/>
                <w:lang w:val="en-US" w:eastAsia="zh-CN"/>
              </w:rPr>
              <w:t>本</w:t>
            </w:r>
            <w:r>
              <w:rPr>
                <w:rFonts w:hint="eastAsia" w:ascii="宋体" w:hAnsi="宋体" w:eastAsia="宋体" w:cs="宋体"/>
                <w:highlight w:val="none"/>
                <w:vertAlign w:val="baseline"/>
                <w:lang w:val="zh-TW" w:eastAsia="zh-TW"/>
              </w:rPr>
              <w:t>完善、证明材料</w:t>
            </w:r>
            <w:r>
              <w:rPr>
                <w:rFonts w:hint="eastAsia" w:ascii="宋体" w:hAnsi="宋体" w:eastAsia="宋体" w:cs="宋体"/>
                <w:highlight w:val="none"/>
                <w:vertAlign w:val="baseline"/>
                <w:lang w:val="en-US" w:eastAsia="zh-CN"/>
              </w:rPr>
              <w:t>基本完善</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zh-CN"/>
              </w:rPr>
              <w:t>（</w:t>
            </w:r>
            <w:r>
              <w:rPr>
                <w:rFonts w:hint="eastAsia" w:ascii="宋体" w:hAnsi="宋体" w:eastAsia="宋体" w:cs="宋体"/>
                <w:highlight w:val="none"/>
                <w:vertAlign w:val="baseline"/>
                <w:lang w:val="en-US" w:eastAsia="en-US"/>
              </w:rPr>
              <w:t>0-3</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p>
          <w:p w14:paraId="2F20FA04">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highlight w:val="none"/>
                <w:vertAlign w:val="baseline"/>
                <w:lang w:val="en-US" w:eastAsia="zh-CN"/>
              </w:rPr>
              <w:t>未提供不得分。</w:t>
            </w:r>
          </w:p>
        </w:tc>
      </w:tr>
      <w:tr w14:paraId="36AAA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269825D6">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7</w:t>
            </w:r>
          </w:p>
        </w:tc>
        <w:tc>
          <w:tcPr>
            <w:tcW w:w="735" w:type="pct"/>
            <w:noWrap w:val="0"/>
            <w:vAlign w:val="center"/>
          </w:tcPr>
          <w:p w14:paraId="4DC68123">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rPr>
              <w:t>拟派人员情况</w:t>
            </w: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lang w:val="en-US" w:eastAsia="zh-CN"/>
              </w:rPr>
              <w:t>10分</w:t>
            </w:r>
            <w:r>
              <w:rPr>
                <w:rFonts w:hint="eastAsia" w:ascii="宋体" w:hAnsi="宋体" w:eastAsia="宋体" w:cs="宋体"/>
                <w:highlight w:val="none"/>
                <w:vertAlign w:val="baseline"/>
                <w:lang w:eastAsia="zh-CN"/>
              </w:rPr>
              <w:t>）</w:t>
            </w:r>
          </w:p>
        </w:tc>
        <w:tc>
          <w:tcPr>
            <w:tcW w:w="4059" w:type="pct"/>
            <w:noWrap w:val="0"/>
            <w:vAlign w:val="center"/>
          </w:tcPr>
          <w:p w14:paraId="668D3971">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根据人员组织机构、数量、执业年限、相关证书、专业程度、工作经验等进行综合评审。</w:t>
            </w:r>
          </w:p>
          <w:p w14:paraId="32FC6196">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人员架构科学、合理、专业、经验丰富，提供相关证书等材料完整得（7-10]分；</w:t>
            </w:r>
          </w:p>
          <w:p w14:paraId="3959D270">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人员架构较科学、合理、专业、经验较丰富，提供相关证书等材料完整得（3-7]分；</w:t>
            </w:r>
          </w:p>
          <w:p w14:paraId="7825E3A4">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人员架构简单、配置一般、经验一般，提供材料基本齐全得（0-3]分；未提供不得分。</w:t>
            </w:r>
          </w:p>
          <w:p w14:paraId="72A796B4">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lang w:val="en-US" w:eastAsia="zh-CN"/>
              </w:rPr>
              <w:t>备注：提供人员相关证件并加盖公章。</w:t>
            </w:r>
          </w:p>
        </w:tc>
      </w:tr>
      <w:tr w14:paraId="70415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36E7199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735" w:type="pct"/>
            <w:noWrap w:val="0"/>
            <w:vAlign w:val="center"/>
          </w:tcPr>
          <w:p w14:paraId="022C52C1">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w:t>
            </w:r>
          </w:p>
          <w:p w14:paraId="3BD34B05">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（8分）</w:t>
            </w:r>
          </w:p>
        </w:tc>
        <w:tc>
          <w:tcPr>
            <w:tcW w:w="4059" w:type="pct"/>
            <w:noWrap w:val="0"/>
            <w:vAlign w:val="center"/>
          </w:tcPr>
          <w:p w14:paraId="72E66D16">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突发情况处置是否合理、切实可行。</w:t>
            </w:r>
          </w:p>
          <w:p w14:paraId="5766D457">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应急预案内容完善、合理可行、针对性强的得（5-8］分；</w:t>
            </w:r>
          </w:p>
          <w:p w14:paraId="74A95CE7">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应急预案内容较完善、较合理可行、针对性较强的得（3-5］分；</w:t>
            </w:r>
          </w:p>
          <w:p w14:paraId="7B714C43">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应急预案内容基本完善、合理、针对性一般的得（0-3]分；</w:t>
            </w:r>
          </w:p>
          <w:p w14:paraId="362BF3D9">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spacing w:val="0"/>
                <w:sz w:val="24"/>
                <w:szCs w:val="24"/>
                <w:highlight w:val="none"/>
                <w:lang w:val="en-US" w:eastAsia="en-US" w:bidi="ar-SA"/>
              </w:rPr>
            </w:pPr>
            <w:r>
              <w:rPr>
                <w:rFonts w:hint="eastAsia" w:ascii="宋体" w:hAnsi="宋体" w:eastAsia="宋体" w:cs="宋体"/>
                <w:highlight w:val="none"/>
                <w:vertAlign w:val="baseline"/>
                <w:lang w:val="en-US" w:eastAsia="zh-CN"/>
              </w:rPr>
              <w:t>未提供不得分。</w:t>
            </w:r>
          </w:p>
        </w:tc>
      </w:tr>
      <w:tr w14:paraId="3F546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378" w:type="dxa"/>
            <w:noWrap w:val="0"/>
            <w:vAlign w:val="center"/>
          </w:tcPr>
          <w:p w14:paraId="09B19BA2">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9</w:t>
            </w:r>
          </w:p>
        </w:tc>
        <w:tc>
          <w:tcPr>
            <w:tcW w:w="735" w:type="pct"/>
            <w:noWrap w:val="0"/>
            <w:vAlign w:val="center"/>
          </w:tcPr>
          <w:p w14:paraId="3FEDF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bidi="ar-SA"/>
              </w:rPr>
              <w:t>售后服务</w:t>
            </w:r>
          </w:p>
          <w:p w14:paraId="5A723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cs="宋体"/>
                <w:color w:val="000000"/>
                <w:sz w:val="24"/>
                <w:szCs w:val="24"/>
                <w:highlight w:val="none"/>
                <w:lang w:val="en-US" w:eastAsia="zh-CN" w:bidi="ar-SA"/>
              </w:rPr>
              <w:t>（8分）</w:t>
            </w:r>
          </w:p>
        </w:tc>
        <w:tc>
          <w:tcPr>
            <w:tcW w:w="4059" w:type="pct"/>
            <w:noWrap w:val="0"/>
            <w:vAlign w:val="center"/>
          </w:tcPr>
          <w:p w14:paraId="2DAD533A">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须承诺配送食材（米面油、副食品、调味品等）的生产日期为最新生产，蔬菜类、肉类等为新鲜食材，符合国家食品标准，供应的食品如有质量问题，应在2小时内给予退货及追补，承诺因产品质量或配送造成一切安全问题和后果承担全部责任，并结合采购需求提供售后服务方案。</w:t>
            </w:r>
          </w:p>
          <w:p w14:paraId="30FB0547">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售后服务承诺及方案详细，完全满足采购需求得（5-8］分；</w:t>
            </w:r>
          </w:p>
          <w:p w14:paraId="129B17FE">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售后服务承诺及方案较完整，较能满足采购需求得（3-5］分；</w:t>
            </w:r>
          </w:p>
          <w:p w14:paraId="57EF37A0">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售后服务承诺及方案内容基本完整得（0-3］分；</w:t>
            </w:r>
          </w:p>
          <w:p w14:paraId="108E801C">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sz w:val="24"/>
                <w:szCs w:val="24"/>
                <w:highlight w:val="none"/>
                <w:lang w:val="en-US" w:eastAsia="zh-CN" w:bidi="ar-SA"/>
              </w:rPr>
            </w:pPr>
            <w:r>
              <w:rPr>
                <w:rFonts w:hint="eastAsia" w:ascii="宋体" w:hAnsi="宋体" w:eastAsia="宋体" w:cs="宋体"/>
                <w:highlight w:val="none"/>
                <w:vertAlign w:val="baseline"/>
                <w:lang w:val="en-US" w:eastAsia="zh-CN"/>
              </w:rPr>
              <w:t>未提供不得分。</w:t>
            </w:r>
          </w:p>
        </w:tc>
      </w:tr>
      <w:tr w14:paraId="0FDEA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378" w:type="dxa"/>
            <w:noWrap w:val="0"/>
            <w:vAlign w:val="center"/>
          </w:tcPr>
          <w:p w14:paraId="644F339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10</w:t>
            </w:r>
          </w:p>
        </w:tc>
        <w:tc>
          <w:tcPr>
            <w:tcW w:w="1358" w:type="dxa"/>
            <w:noWrap w:val="0"/>
            <w:vAlign w:val="center"/>
          </w:tcPr>
          <w:p w14:paraId="3A78AD51">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服务承诺</w:t>
            </w:r>
          </w:p>
          <w:p w14:paraId="1570699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（6分）</w:t>
            </w:r>
          </w:p>
        </w:tc>
        <w:tc>
          <w:tcPr>
            <w:tcW w:w="7495" w:type="dxa"/>
            <w:noWrap w:val="0"/>
            <w:vAlign w:val="center"/>
          </w:tcPr>
          <w:p w14:paraId="2AA59559">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0"/>
                <w:sz w:val="24"/>
                <w:szCs w:val="24"/>
                <w:highlight w:val="none"/>
                <w:lang w:val="en-US" w:eastAsia="zh-CN"/>
              </w:rPr>
            </w:pPr>
            <w:r>
              <w:rPr>
                <w:rFonts w:hint="eastAsia" w:ascii="宋体" w:hAnsi="宋体" w:eastAsia="宋体" w:cs="宋体"/>
                <w:highlight w:val="none"/>
                <w:lang w:val="en-US" w:eastAsia="zh-CN"/>
              </w:rPr>
              <w:t>提供食品质量承诺、安全保证承诺，时限保证承诺等书面承诺。服务承诺明确可行、合理性得（3-6］分；服务承诺较明确可行、基本合理得（0-3］分；未提供不得分。</w:t>
            </w:r>
          </w:p>
        </w:tc>
      </w:tr>
      <w:tr w14:paraId="09DE9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378" w:type="dxa"/>
            <w:noWrap w:val="0"/>
            <w:vAlign w:val="center"/>
          </w:tcPr>
          <w:p w14:paraId="501548F0">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735" w:type="pct"/>
            <w:noWrap w:val="0"/>
            <w:vAlign w:val="center"/>
          </w:tcPr>
          <w:p w14:paraId="62CF91B6">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eastAsia="zh-CN"/>
              </w:rPr>
            </w:pPr>
            <w:r>
              <w:rPr>
                <w:rFonts w:hint="eastAsia" w:ascii="宋体" w:hAnsi="宋体" w:eastAsia="宋体" w:cs="宋体"/>
                <w:highlight w:val="none"/>
                <w:vertAlign w:val="baseline"/>
                <w:lang w:eastAsia="zh-CN"/>
              </w:rPr>
              <w:t>业绩</w:t>
            </w:r>
          </w:p>
          <w:p w14:paraId="49E9DA65">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val="zh-CN" w:eastAsia="zh-CN"/>
              </w:rPr>
            </w:pP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lang w:val="en-US" w:eastAsia="zh-CN"/>
              </w:rPr>
              <w:t>10分</w:t>
            </w:r>
            <w:r>
              <w:rPr>
                <w:rFonts w:hint="eastAsia" w:ascii="宋体" w:hAnsi="宋体" w:eastAsia="宋体" w:cs="宋体"/>
                <w:highlight w:val="none"/>
                <w:vertAlign w:val="baseline"/>
                <w:lang w:eastAsia="zh-CN"/>
              </w:rPr>
              <w:t>）</w:t>
            </w:r>
          </w:p>
        </w:tc>
        <w:tc>
          <w:tcPr>
            <w:tcW w:w="4059" w:type="pct"/>
            <w:noWrap w:val="0"/>
            <w:vAlign w:val="center"/>
          </w:tcPr>
          <w:p w14:paraId="20261A8C">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highlight w:val="none"/>
                <w:vertAlign w:val="baseline"/>
                <w:lang w:val="en-US" w:eastAsia="zh-CN"/>
              </w:rPr>
            </w:pPr>
            <w:r>
              <w:rPr>
                <w:rFonts w:hint="eastAsia" w:ascii="宋体" w:hAnsi="宋体" w:eastAsia="宋体" w:cs="宋体"/>
                <w:highlight w:val="none"/>
                <w:vertAlign w:val="baseline"/>
                <w:lang w:eastAsia="zh-CN"/>
              </w:rPr>
              <w:t>投标人提供</w:t>
            </w:r>
            <w:r>
              <w:rPr>
                <w:rFonts w:hint="eastAsia" w:ascii="宋体" w:hAnsi="宋体" w:eastAsia="宋体" w:cs="宋体"/>
                <w:color w:val="auto"/>
                <w:highlight w:val="none"/>
                <w:vertAlign w:val="baseline"/>
                <w:lang w:eastAsia="zh-CN"/>
              </w:rPr>
              <w:t>20</w:t>
            </w:r>
            <w:r>
              <w:rPr>
                <w:rFonts w:hint="eastAsia" w:ascii="宋体" w:hAnsi="宋体" w:eastAsia="宋体" w:cs="宋体"/>
                <w:color w:val="auto"/>
                <w:highlight w:val="none"/>
                <w:vertAlign w:val="baseline"/>
                <w:lang w:val="en-US" w:eastAsia="zh-CN"/>
              </w:rPr>
              <w:t>22</w:t>
            </w:r>
            <w:r>
              <w:rPr>
                <w:rFonts w:hint="eastAsia" w:ascii="宋体" w:hAnsi="宋体" w:eastAsia="宋体" w:cs="宋体"/>
                <w:color w:val="auto"/>
                <w:highlight w:val="none"/>
                <w:vertAlign w:val="baseline"/>
                <w:lang w:eastAsia="zh-CN"/>
              </w:rPr>
              <w:t>年</w:t>
            </w:r>
            <w:r>
              <w:rPr>
                <w:rFonts w:hint="eastAsia" w:ascii="宋体" w:hAnsi="宋体" w:eastAsia="宋体" w:cs="宋体"/>
                <w:color w:val="auto"/>
                <w:highlight w:val="none"/>
                <w:vertAlign w:val="baseline"/>
                <w:lang w:val="en-US" w:eastAsia="zh-CN"/>
              </w:rPr>
              <w:t>1</w:t>
            </w:r>
            <w:r>
              <w:rPr>
                <w:rFonts w:hint="eastAsia" w:ascii="宋体" w:hAnsi="宋体" w:eastAsia="宋体" w:cs="宋体"/>
                <w:color w:val="auto"/>
                <w:highlight w:val="none"/>
                <w:vertAlign w:val="baseline"/>
                <w:lang w:eastAsia="zh-CN"/>
              </w:rPr>
              <w:t>月</w:t>
            </w:r>
            <w:r>
              <w:rPr>
                <w:rFonts w:hint="eastAsia" w:ascii="宋体" w:hAnsi="宋体" w:eastAsia="宋体" w:cs="宋体"/>
                <w:color w:val="auto"/>
                <w:highlight w:val="none"/>
                <w:vertAlign w:val="baseline"/>
                <w:lang w:val="en-US" w:eastAsia="zh-CN"/>
              </w:rPr>
              <w:t>1日</w:t>
            </w:r>
            <w:r>
              <w:rPr>
                <w:rFonts w:hint="eastAsia" w:ascii="宋体" w:hAnsi="宋体" w:eastAsia="宋体" w:cs="宋体"/>
                <w:color w:val="auto"/>
                <w:highlight w:val="none"/>
                <w:vertAlign w:val="baseline"/>
                <w:lang w:eastAsia="zh-CN"/>
              </w:rPr>
              <w:t>至今（以合同签订时间为准）</w:t>
            </w:r>
            <w:r>
              <w:rPr>
                <w:rFonts w:hint="eastAsia" w:ascii="宋体" w:hAnsi="宋体" w:eastAsia="宋体" w:cs="宋体"/>
                <w:highlight w:val="none"/>
                <w:vertAlign w:val="baseline"/>
                <w:lang w:eastAsia="zh-CN"/>
              </w:rPr>
              <w:t>类似业绩，以合同协议书为准，每份计</w:t>
            </w:r>
            <w:r>
              <w:rPr>
                <w:rFonts w:hint="eastAsia" w:ascii="宋体" w:hAnsi="宋体" w:eastAsia="宋体" w:cs="宋体"/>
                <w:highlight w:val="none"/>
                <w:vertAlign w:val="baseline"/>
                <w:lang w:val="en-US" w:eastAsia="zh-CN"/>
              </w:rPr>
              <w:t>2</w:t>
            </w:r>
            <w:r>
              <w:rPr>
                <w:rFonts w:hint="eastAsia" w:ascii="宋体" w:hAnsi="宋体" w:eastAsia="宋体" w:cs="宋体"/>
                <w:highlight w:val="none"/>
                <w:vertAlign w:val="baseline"/>
                <w:lang w:eastAsia="zh-CN"/>
              </w:rPr>
              <w:t>分，最高计</w:t>
            </w:r>
            <w:r>
              <w:rPr>
                <w:rFonts w:hint="eastAsia" w:ascii="宋体" w:hAnsi="宋体" w:eastAsia="宋体" w:cs="宋体"/>
                <w:highlight w:val="none"/>
                <w:vertAlign w:val="baseline"/>
                <w:lang w:val="en-US" w:eastAsia="zh-CN"/>
              </w:rPr>
              <w:t>10</w:t>
            </w:r>
            <w:r>
              <w:rPr>
                <w:rFonts w:hint="eastAsia" w:ascii="宋体" w:hAnsi="宋体" w:eastAsia="宋体" w:cs="宋体"/>
                <w:highlight w:val="none"/>
                <w:vertAlign w:val="baseline"/>
                <w:lang w:eastAsia="zh-CN"/>
              </w:rPr>
              <w:t>分。</w:t>
            </w:r>
          </w:p>
        </w:tc>
      </w:tr>
    </w:tbl>
    <w:p w14:paraId="2C330A66">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4．推荐中标候选人</w:t>
      </w:r>
    </w:p>
    <w:p w14:paraId="08260F4C">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126AE603">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1A11527C">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5．编写</w:t>
      </w:r>
      <w:r>
        <w:rPr>
          <w:rFonts w:hint="eastAsia" w:ascii="宋体" w:hAnsi="宋体" w:eastAsia="宋体" w:cs="宋体"/>
          <w:b/>
          <w:bCs/>
          <w:sz w:val="24"/>
          <w:szCs w:val="24"/>
          <w:highlight w:val="none"/>
          <w:lang w:eastAsia="zh-CN"/>
        </w:rPr>
        <w:t>评标报告</w:t>
      </w:r>
    </w:p>
    <w:p w14:paraId="4D34A997">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是评标委员会根据全体评标成员签字的原始评标记录和评标结果编写的报告，其主要内容包括：</w:t>
      </w:r>
    </w:p>
    <w:p w14:paraId="5D288C71">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（1）招标公告刊登的媒体名称、开标日期和地点；</w:t>
      </w:r>
    </w:p>
    <w:p w14:paraId="1F4B5745">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（2）投标供应商名单和评标委员会成员名单；</w:t>
      </w:r>
    </w:p>
    <w:p w14:paraId="535E655A">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（3）评标方法；</w:t>
      </w:r>
    </w:p>
    <w:p w14:paraId="6C6822B9">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（4）开标记录和评标情况及说明，包括投标无效供应商名单及原因；</w:t>
      </w:r>
    </w:p>
    <w:p w14:paraId="4325B72E">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（5）评标结果，确定的中标候选人名单或者经采购人委托直接确定的中标供应商；</w:t>
      </w:r>
    </w:p>
    <w:p w14:paraId="6FBD07B3">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（6）其他需要说明的情况，包括评标过程中投标供应商根据评标委员会要求进行的澄清、说明或者补正，评标委员会成员的更换等。</w:t>
      </w:r>
    </w:p>
    <w:p w14:paraId="27EF2888">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D1F8E0B">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（三）评标争议处理规则</w:t>
      </w:r>
    </w:p>
    <w:p w14:paraId="66B2548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2C3F9FA8">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（四）评审现场人员的保密责任</w:t>
      </w:r>
    </w:p>
    <w:p w14:paraId="140D37F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031EB903">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（五）视同供应商串通投标的情形，其投标无效：</w:t>
      </w:r>
    </w:p>
    <w:p w14:paraId="56D34FB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1．不同供应商的投标文件由同一单位或者个人编制；</w:t>
      </w:r>
    </w:p>
    <w:p w14:paraId="299D0622">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2．不同供应商委托同一单位或者个人办理投标事宜；</w:t>
      </w:r>
    </w:p>
    <w:p w14:paraId="4EEB5C4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3．不同供应商的投标文件载明的项目管理成员或者联系人员为同一人；</w:t>
      </w:r>
    </w:p>
    <w:p w14:paraId="3DCD2E28">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4．不同供应商的投标文件异常一致或者投标报价呈规律性差异。</w:t>
      </w:r>
    </w:p>
    <w:p w14:paraId="30796749">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八、中标</w:t>
      </w:r>
    </w:p>
    <w:p w14:paraId="6B4DE4D9">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1．采购代理机构在评标工作结束后2个工作日内将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送采购人。</w:t>
      </w:r>
    </w:p>
    <w:p w14:paraId="20EBF91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2．采购人应当自收到评标报告之日起</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11A45581">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3．采购代理机构将在中标供应商确定之日起2个工作日内，在【</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陕西省政府采购网</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Style w:val="35"/>
          <w:rFonts w:hint="eastAsia" w:ascii="宋体" w:hAnsi="宋体" w:eastAsia="宋体" w:cs="宋体"/>
          <w:color w:val="auto"/>
          <w:sz w:val="24"/>
          <w:szCs w:val="24"/>
          <w:highlight w:val="none"/>
          <w:u w:val="none"/>
        </w:rPr>
        <w:t>http://www.ccgp-shaanxi.gov.cn/</w:t>
      </w:r>
      <w:r>
        <w:rPr>
          <w:rStyle w:val="35"/>
          <w:rFonts w:hint="eastAsia" w:ascii="宋体" w:hAnsi="宋体" w:eastAsia="宋体" w:cs="宋体"/>
          <w:color w:val="auto"/>
          <w:sz w:val="24"/>
          <w:szCs w:val="24"/>
          <w:highlight w:val="none"/>
          <w:u w:val="none"/>
        </w:rPr>
        <w:fldChar w:fldCharType="end"/>
      </w:r>
      <w:r>
        <w:rPr>
          <w:rFonts w:hint="eastAsia" w:ascii="宋体" w:hAnsi="宋体" w:eastAsia="宋体" w:cs="宋体"/>
          <w:sz w:val="24"/>
          <w:szCs w:val="24"/>
          <w:highlight w:val="none"/>
        </w:rPr>
        <w:t>）上公布中标结果。中标公告期限为1个工作日。</w:t>
      </w:r>
    </w:p>
    <w:p w14:paraId="14B6C857">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4．在公告中标结果的同时，采购代理机构将向中标供应商发出中标通知书，中标供应</w:t>
      </w:r>
      <w:r>
        <w:rPr>
          <w:rFonts w:hint="eastAsia" w:ascii="宋体" w:hAnsi="宋体" w:eastAsia="宋体" w:cs="宋体"/>
          <w:color w:val="auto"/>
          <w:sz w:val="24"/>
          <w:szCs w:val="24"/>
          <w:highlight w:val="none"/>
        </w:rPr>
        <w:t>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5C956790">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2AF8647E">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6．采购代理机构按照相关规定将</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highlight w:val="none"/>
        </w:rPr>
        <w:t>送监管机构备案。</w:t>
      </w:r>
    </w:p>
    <w:p w14:paraId="0EC789CA">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九、合同签订、履行及验收</w:t>
      </w:r>
    </w:p>
    <w:p w14:paraId="1DFCD36F">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招标文件、投标文件、澄清、补充合同等为政府采购合同的组成部分，具有同等法律效力。</w:t>
      </w:r>
    </w:p>
    <w:p w14:paraId="788C0283">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（一）签订政府采购合同</w:t>
      </w:r>
    </w:p>
    <w:p w14:paraId="52B95D9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1．自中标通知书发出之日起</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日内，采购人与中标供应商应按招标文件和中标供应商投标文件的约定，签订书面合同。</w:t>
      </w:r>
    </w:p>
    <w:p w14:paraId="4E782E31">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2．中标供应商拒绝与采购人签订合同的，采购人可以按照《政府采购法实施条例》第四十九条规定，确定下一候选人为中标供应商，也可以重新开展政府采购活动。</w:t>
      </w:r>
    </w:p>
    <w:p w14:paraId="4D90E482">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76C47B7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4．质疑或者投诉事项可能影响中标、成交结果的，采购人应当暂停签订合同，已经签订合同的，应当中止履行合同。</w:t>
      </w:r>
    </w:p>
    <w:p w14:paraId="51FB973D">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（二）合同公告及备案</w:t>
      </w:r>
    </w:p>
    <w:p w14:paraId="700D1CFE">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1．采购人应当自政府采购合同签订之日起2个工作日内，在陕西省政府采购网对合同进行公示，但政府采购合同中涉及国家秘密、商业秘密的内容除外。</w:t>
      </w:r>
    </w:p>
    <w:p w14:paraId="7FEE18CD">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2．采购人应自合同签订之日起7个工作日内将政府采购合同报送监管机构备案。</w:t>
      </w:r>
    </w:p>
    <w:p w14:paraId="0B936B95">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（三）履行合同</w:t>
      </w:r>
    </w:p>
    <w:p w14:paraId="147E14E9">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1．合同一经签订，双方应严格履行合同规定的义务。</w:t>
      </w:r>
    </w:p>
    <w:p w14:paraId="25B2C859">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2．在合同履行过程中，如发生合同纠纷，合同双方应按照《中华人民共和国民法典》及合同条款的有关规定进行处理。</w:t>
      </w:r>
    </w:p>
    <w:p w14:paraId="65754DC7">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（四）验收或考核</w:t>
      </w:r>
    </w:p>
    <w:p w14:paraId="04E5BA1D">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1．采购人严格按照国家相关法律法规的要求及招标文件的要求组织验收或考核。</w:t>
      </w:r>
    </w:p>
    <w:p w14:paraId="68A67179">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2．采购人按《关于促进政府采购公平竞争优化营商环境的通知》（财库〔2019〕38号）、《保障中小企业款项支付条例》（国务院令第728号）等规定及采购合同的约定进行支付合同款项。</w:t>
      </w:r>
    </w:p>
    <w:p w14:paraId="28EDBD25">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十、废标及重新招标</w:t>
      </w:r>
    </w:p>
    <w:p w14:paraId="00924B17">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B8C80A5">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2．根据《政府采购法》第三十六条规定，在招标采购中，出现下列情形之一的，本项目按废标处理：</w:t>
      </w:r>
    </w:p>
    <w:p w14:paraId="6D41117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（1）出现影响采购公正的违法、违规行为的；</w:t>
      </w:r>
    </w:p>
    <w:p w14:paraId="1F87954B">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（2）供应商的报价均超过了采购预算，采购人不能支付的；</w:t>
      </w:r>
    </w:p>
    <w:p w14:paraId="7EFA2A03">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3E7A6D4F">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废标后，除采购任务取消外，本项目将重新组织招标。</w:t>
      </w:r>
    </w:p>
    <w:p w14:paraId="3A550AA3">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42463C76">
      <w:pPr>
        <w:keepLines w:val="0"/>
        <w:pageBreakBefore w:val="0"/>
        <w:widowControl/>
        <w:kinsoku/>
        <w:wordWrap/>
        <w:overflowPunct/>
        <w:topLinePunct w:val="0"/>
        <w:autoSpaceDE/>
        <w:autoSpaceDN/>
        <w:bidi w:val="0"/>
        <w:adjustRightInd/>
        <w:snapToGrid/>
        <w:spacing w:line="560" w:lineRule="exact"/>
        <w:ind w:firstLine="49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4．招标文件未明确的其他事项，按《政府采购法》及其相关法律法规执行。</w:t>
      </w:r>
    </w:p>
    <w:p w14:paraId="7B2F70A9">
      <w:pPr>
        <w:rPr>
          <w:rFonts w:hint="eastAsia" w:ascii="宋体" w:hAnsi="宋体" w:eastAsia="宋体" w:cs="宋体"/>
          <w:sz w:val="32"/>
          <w:szCs w:val="32"/>
          <w:highlight w:val="none"/>
        </w:rPr>
      </w:pPr>
      <w:bookmarkStart w:id="14" w:name="_Toc100219614"/>
      <w:r>
        <w:rPr>
          <w:rFonts w:hint="eastAsia" w:ascii="宋体" w:hAnsi="宋体" w:eastAsia="宋体" w:cs="宋体"/>
          <w:sz w:val="32"/>
          <w:szCs w:val="32"/>
          <w:highlight w:val="none"/>
        </w:rPr>
        <w:br w:type="page"/>
      </w:r>
    </w:p>
    <w:p w14:paraId="59E7232C">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4433692C">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12A01FAF">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7FF8EFB0">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1C0251D9">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43FA1A3D">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highlight w:val="none"/>
        </w:rPr>
        <w:t>功能。</w:t>
      </w:r>
    </w:p>
    <w:p w14:paraId="405DF1DB">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首页</w:t>
      </w:r>
    </w:p>
    <w:p w14:paraId="271B0C6B">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平台首页主要呈现陕西政府采购信用融资相关政策法规、基本操作流程及供应商帮助内容，供应商企业可由登录注册模块登录平台。</w:t>
      </w:r>
    </w:p>
    <w:p w14:paraId="3329A02A">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登录</w:t>
      </w:r>
    </w:p>
    <w:p w14:paraId="59472732">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lang w:eastAsia="zh-CN"/>
        </w:rPr>
      </w:pPr>
      <w:r>
        <w:rPr>
          <w:rFonts w:hint="eastAsia" w:ascii="宋体" w:hAnsi="宋体" w:eastAsia="宋体" w:cs="宋体"/>
          <w:color w:val="333333"/>
          <w:spacing w:val="-3"/>
          <w:sz w:val="24"/>
          <w:highlight w:val="none"/>
        </w:rPr>
        <w:t>陕西政府采购网的中标企业可用手机号注册用户，注册时需要填写企业名称及社会统一信用代码等信息，如下图：</w:t>
      </w:r>
    </w:p>
    <w:p w14:paraId="42CB7D48">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
                    <pic:cNvPicPr>
                      <a:picLocks noChangeAspect="1"/>
                    </pic:cNvPicPr>
                  </pic:nvPicPr>
                  <pic:blipFill>
                    <a:blip r:embed="rId14"/>
                    <a:stretch>
                      <a:fillRect/>
                    </a:stretch>
                  </pic:blipFill>
                  <pic:spPr>
                    <a:xfrm>
                      <a:off x="0" y="0"/>
                      <a:ext cx="6127750" cy="3615690"/>
                    </a:xfrm>
                    <a:prstGeom prst="rect">
                      <a:avLst/>
                    </a:prstGeom>
                    <a:noFill/>
                    <a:ln>
                      <a:noFill/>
                    </a:ln>
                  </pic:spPr>
                </pic:pic>
              </a:graphicData>
            </a:graphic>
          </wp:inline>
        </w:drawing>
      </w:r>
    </w:p>
    <w:p w14:paraId="4AD385E4">
      <w:pPr>
        <w:rPr>
          <w:rFonts w:hint="eastAsia" w:ascii="宋体" w:hAnsi="宋体"/>
          <w:b/>
          <w:sz w:val="24"/>
          <w:highlight w:val="none"/>
          <w:lang w:eastAsia="zh-CN"/>
        </w:rPr>
      </w:pPr>
      <w:r>
        <w:rPr>
          <w:rFonts w:hint="eastAsia" w:ascii="宋体" w:hAnsi="宋体"/>
          <w:b/>
          <w:sz w:val="24"/>
          <w:highlight w:val="none"/>
          <w:lang w:eastAsia="zh-CN"/>
        </w:rPr>
        <w:br w:type="page"/>
      </w:r>
    </w:p>
    <w:p w14:paraId="26458F44">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注册成功后，凭手机登录平台，如下图，点击首页：</w:t>
      </w:r>
    </w:p>
    <w:p w14:paraId="775B985B">
      <w:pPr>
        <w:rPr>
          <w:highlight w:val="none"/>
          <w:lang w:eastAsia="zh-CN"/>
        </w:rPr>
      </w:pPr>
      <w:r>
        <w:rPr>
          <w:highlight w:val="none"/>
          <w:lang w:eastAsia="zh-CN"/>
        </w:rPr>
        <w:drawing>
          <wp:inline distT="0" distB="0" distL="114300" distR="114300">
            <wp:extent cx="6071235" cy="3425190"/>
            <wp:effectExtent l="0" t="0" r="5715" b="3810"/>
            <wp:docPr id="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
                    <pic:cNvPicPr>
                      <a:picLocks noChangeAspect="1"/>
                    </pic:cNvPicPr>
                  </pic:nvPicPr>
                  <pic:blipFill>
                    <a:blip r:embed="rId15"/>
                    <a:stretch>
                      <a:fillRect/>
                    </a:stretch>
                  </pic:blipFill>
                  <pic:spPr>
                    <a:xfrm>
                      <a:off x="0" y="0"/>
                      <a:ext cx="6071235" cy="3425190"/>
                    </a:xfrm>
                    <a:prstGeom prst="rect">
                      <a:avLst/>
                    </a:prstGeom>
                    <a:noFill/>
                    <a:ln>
                      <a:noFill/>
                    </a:ln>
                  </pic:spPr>
                </pic:pic>
              </a:graphicData>
            </a:graphic>
          </wp:inline>
        </w:drawing>
      </w:r>
    </w:p>
    <w:p w14:paraId="346EC134">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3.点击“可融资项目/合同”，再点击申请贷款：</w:t>
      </w:r>
    </w:p>
    <w:p w14:paraId="6275AB88">
      <w:pPr>
        <w:rPr>
          <w:highlight w:val="none"/>
          <w:lang w:eastAsia="zh-CN"/>
        </w:rPr>
      </w:pPr>
      <w:r>
        <w:rPr>
          <w:highlight w:val="none"/>
          <w:lang w:eastAsia="zh-CN"/>
        </w:rPr>
        <w:drawing>
          <wp:inline distT="0" distB="0" distL="114300" distR="114300">
            <wp:extent cx="6101715" cy="3441065"/>
            <wp:effectExtent l="0" t="0" r="13335" b="6985"/>
            <wp:docPr id="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
                    <pic:cNvPicPr>
                      <a:picLocks noChangeAspect="1"/>
                    </pic:cNvPicPr>
                  </pic:nvPicPr>
                  <pic:blipFill>
                    <a:blip r:embed="rId16"/>
                    <a:stretch>
                      <a:fillRect/>
                    </a:stretch>
                  </pic:blipFill>
                  <pic:spPr>
                    <a:xfrm>
                      <a:off x="0" y="0"/>
                      <a:ext cx="6101715" cy="3441065"/>
                    </a:xfrm>
                    <a:prstGeom prst="rect">
                      <a:avLst/>
                    </a:prstGeom>
                    <a:noFill/>
                    <a:ln>
                      <a:noFill/>
                    </a:ln>
                  </pic:spPr>
                </pic:pic>
              </a:graphicData>
            </a:graphic>
          </wp:inline>
        </w:drawing>
      </w:r>
    </w:p>
    <w:p w14:paraId="6E542E16">
      <w:pPr>
        <w:rPr>
          <w:highlight w:val="none"/>
          <w:lang w:eastAsia="zh-CN"/>
        </w:rPr>
      </w:pPr>
      <w:r>
        <w:rPr>
          <w:highlight w:val="none"/>
          <w:lang w:eastAsia="zh-CN"/>
        </w:rPr>
        <w:br w:type="page"/>
      </w:r>
    </w:p>
    <w:p w14:paraId="479DD0D6">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4.勾选融资意向书：</w:t>
      </w:r>
    </w:p>
    <w:p w14:paraId="76AE3F4B">
      <w:pPr>
        <w:rPr>
          <w:highlight w:val="none"/>
          <w:lang w:eastAsia="zh-CN"/>
        </w:rPr>
      </w:pPr>
      <w:r>
        <w:rPr>
          <w:highlight w:val="none"/>
          <w:lang w:eastAsia="zh-CN"/>
        </w:rPr>
        <w:drawing>
          <wp:inline distT="0" distB="0" distL="114300" distR="114300">
            <wp:extent cx="6142990" cy="3464560"/>
            <wp:effectExtent l="0" t="0" r="10160" b="2540"/>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17"/>
                    <a:stretch>
                      <a:fillRect/>
                    </a:stretch>
                  </pic:blipFill>
                  <pic:spPr>
                    <a:xfrm>
                      <a:off x="0" y="0"/>
                      <a:ext cx="6142990" cy="3464560"/>
                    </a:xfrm>
                    <a:prstGeom prst="rect">
                      <a:avLst/>
                    </a:prstGeom>
                    <a:noFill/>
                    <a:ln>
                      <a:noFill/>
                    </a:ln>
                  </pic:spPr>
                </pic:pic>
              </a:graphicData>
            </a:graphic>
          </wp:inline>
        </w:drawing>
      </w:r>
    </w:p>
    <w:p w14:paraId="2F48BC8D">
      <w:pPr>
        <w:keepNext w:val="0"/>
        <w:keepLines w:val="0"/>
        <w:pageBreakBefore w:val="0"/>
        <w:widowControl w:val="0"/>
        <w:kinsoku/>
        <w:wordWrap/>
        <w:overflowPunct/>
        <w:topLinePunct w:val="0"/>
        <w:autoSpaceDE/>
        <w:autoSpaceDN/>
        <w:bidi w:val="0"/>
        <w:adjustRightInd/>
        <w:snapToGrid/>
        <w:spacing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5.页面下拉，输入贷款金额、预计用款周期、可接受利率、贷款资金用途，点击保存，选择办理贷款机构所在地，然后点击下一步。</w:t>
      </w:r>
    </w:p>
    <w:p w14:paraId="260CE40C">
      <w:pPr>
        <w:rPr>
          <w:highlight w:val="none"/>
          <w:lang w:eastAsia="zh-CN"/>
        </w:rPr>
      </w:pPr>
      <w:r>
        <w:rPr>
          <w:highlight w:val="none"/>
          <w:lang w:eastAsia="zh-CN"/>
        </w:rPr>
        <w:drawing>
          <wp:inline distT="0" distB="0" distL="114300" distR="114300">
            <wp:extent cx="6176645" cy="3484880"/>
            <wp:effectExtent l="0" t="0" r="14605" b="1270"/>
            <wp:docPr id="5"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
                    <pic:cNvPicPr>
                      <a:picLocks noChangeAspect="1"/>
                    </pic:cNvPicPr>
                  </pic:nvPicPr>
                  <pic:blipFill>
                    <a:blip r:embed="rId18"/>
                    <a:stretch>
                      <a:fillRect/>
                    </a:stretch>
                  </pic:blipFill>
                  <pic:spPr>
                    <a:xfrm>
                      <a:off x="0" y="0"/>
                      <a:ext cx="6176645" cy="3484880"/>
                    </a:xfrm>
                    <a:prstGeom prst="rect">
                      <a:avLst/>
                    </a:prstGeom>
                    <a:noFill/>
                    <a:ln>
                      <a:noFill/>
                    </a:ln>
                  </pic:spPr>
                </pic:pic>
              </a:graphicData>
            </a:graphic>
          </wp:inline>
        </w:drawing>
      </w:r>
      <w:r>
        <w:rPr>
          <w:highlight w:val="none"/>
          <w:lang w:eastAsia="zh-CN"/>
        </w:rPr>
        <w:br w:type="page"/>
      </w:r>
    </w:p>
    <w:p w14:paraId="71BFEAEC">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6.在意向银行列点击提交贷款意向并确定：</w:t>
      </w:r>
    </w:p>
    <w:p w14:paraId="73C58CA0">
      <w:pPr>
        <w:rPr>
          <w:highlight w:val="none"/>
          <w:lang w:eastAsia="zh-CN"/>
        </w:rPr>
      </w:pPr>
      <w:r>
        <w:rPr>
          <w:highlight w:val="none"/>
          <w:lang w:eastAsia="zh-CN"/>
        </w:rPr>
        <w:drawing>
          <wp:inline distT="0" distB="0" distL="114300" distR="114300">
            <wp:extent cx="6113780" cy="3449320"/>
            <wp:effectExtent l="0" t="0" r="1270" b="17780"/>
            <wp:docPr id="6"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6"/>
                    <pic:cNvPicPr>
                      <a:picLocks noChangeAspect="1"/>
                    </pic:cNvPicPr>
                  </pic:nvPicPr>
                  <pic:blipFill>
                    <a:blip r:embed="rId19"/>
                    <a:stretch>
                      <a:fillRect/>
                    </a:stretch>
                  </pic:blipFill>
                  <pic:spPr>
                    <a:xfrm>
                      <a:off x="0" y="0"/>
                      <a:ext cx="6113780" cy="3449320"/>
                    </a:xfrm>
                    <a:prstGeom prst="rect">
                      <a:avLst/>
                    </a:prstGeom>
                    <a:noFill/>
                    <a:ln>
                      <a:noFill/>
                    </a:ln>
                  </pic:spPr>
                </pic:pic>
              </a:graphicData>
            </a:graphic>
          </wp:inline>
        </w:drawing>
      </w:r>
    </w:p>
    <w:p w14:paraId="72A0A5B5">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7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7.在申请进度栏即可查看本笔融资进度：</w:t>
      </w:r>
    </w:p>
    <w:p w14:paraId="62BEBE31">
      <w:pPr>
        <w:rPr>
          <w:highlight w:val="none"/>
          <w:lang w:eastAsia="zh-CN"/>
        </w:rPr>
      </w:pPr>
      <w:r>
        <w:rPr>
          <w:highlight w:val="none"/>
          <w:lang w:eastAsia="zh-CN"/>
        </w:rPr>
        <w:drawing>
          <wp:inline distT="0" distB="0" distL="114300" distR="114300">
            <wp:extent cx="6142990" cy="3464560"/>
            <wp:effectExtent l="0" t="0" r="10160" b="2540"/>
            <wp:docPr id="7"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7"/>
                    <pic:cNvPicPr>
                      <a:picLocks noChangeAspect="1"/>
                    </pic:cNvPicPr>
                  </pic:nvPicPr>
                  <pic:blipFill>
                    <a:blip r:embed="rId20"/>
                    <a:stretch>
                      <a:fillRect/>
                    </a:stretch>
                  </pic:blipFill>
                  <pic:spPr>
                    <a:xfrm>
                      <a:off x="0" y="0"/>
                      <a:ext cx="6142990" cy="3464560"/>
                    </a:xfrm>
                    <a:prstGeom prst="rect">
                      <a:avLst/>
                    </a:prstGeom>
                    <a:noFill/>
                    <a:ln>
                      <a:noFill/>
                    </a:ln>
                  </pic:spPr>
                </pic:pic>
              </a:graphicData>
            </a:graphic>
          </wp:inline>
        </w:drawing>
      </w:r>
    </w:p>
    <w:p w14:paraId="55DBD2A1">
      <w:pPr>
        <w:rPr>
          <w:highlight w:val="none"/>
          <w:lang w:eastAsia="zh-CN"/>
        </w:rPr>
      </w:pPr>
      <w:r>
        <w:rPr>
          <w:highlight w:val="none"/>
          <w:lang w:eastAsia="zh-CN"/>
        </w:rPr>
        <w:br w:type="page"/>
      </w:r>
    </w:p>
    <w:p w14:paraId="655DE448">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4F9FBEBF">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21D92BC1">
      <w:pPr>
        <w:spacing w:before="165" w:after="0" w:line="360" w:lineRule="auto"/>
        <w:ind w:left="0" w:right="0" w:firstLine="0"/>
        <w:jc w:val="left"/>
        <w:rPr>
          <w:rFonts w:hint="eastAsia" w:ascii="宋体" w:hAnsi="宋体" w:eastAsia="宋体" w:cs="宋体"/>
          <w:color w:val="000000"/>
          <w:spacing w:val="0"/>
          <w:sz w:val="24"/>
          <w:highlight w:val="none"/>
        </w:rPr>
      </w:pPr>
    </w:p>
    <w:p w14:paraId="7B7A62E7">
      <w:pPr>
        <w:spacing w:before="165" w:after="0" w:line="360" w:lineRule="auto"/>
        <w:ind w:left="0" w:right="0" w:firstLine="49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07A4F6C3">
      <w:pPr>
        <w:rPr>
          <w:rFonts w:hint="eastAsia"/>
          <w:highlight w:val="none"/>
        </w:rPr>
      </w:pPr>
    </w:p>
    <w:p w14:paraId="4AD735D4">
      <w:pPr>
        <w:pStyle w:val="3"/>
        <w:jc w:val="center"/>
        <w:rPr>
          <w:rFonts w:hint="eastAsia" w:ascii="宋体" w:hAnsi="宋体" w:eastAsia="宋体" w:cs="宋体"/>
          <w:b/>
          <w:bCs/>
          <w:sz w:val="32"/>
          <w:szCs w:val="32"/>
          <w:highlight w:val="none"/>
        </w:rPr>
      </w:pPr>
      <w:r>
        <w:rPr>
          <w:rFonts w:hint="eastAsia" w:ascii="宋体" w:hAnsi="宋体"/>
          <w:sz w:val="24"/>
          <w:szCs w:val="24"/>
          <w:highlight w:val="none"/>
          <w:lang w:val="zh-CN"/>
        </w:rPr>
        <w:br w:type="page"/>
      </w:r>
      <w:bookmarkStart w:id="15" w:name="_Toc12670"/>
      <w:bookmarkStart w:id="16" w:name="_Toc26456"/>
      <w:r>
        <w:rPr>
          <w:rFonts w:hint="eastAsia" w:ascii="宋体" w:hAnsi="宋体" w:eastAsia="宋体" w:cs="宋体"/>
          <w:b/>
          <w:bCs/>
          <w:sz w:val="32"/>
          <w:szCs w:val="32"/>
          <w:highlight w:val="none"/>
        </w:rPr>
        <w:t>第三章  招标内容及要求</w:t>
      </w:r>
      <w:bookmarkEnd w:id="14"/>
      <w:bookmarkEnd w:id="15"/>
      <w:bookmarkEnd w:id="16"/>
    </w:p>
    <w:p w14:paraId="3DE15469">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bookmarkStart w:id="17" w:name="_Toc100219615"/>
      <w:r>
        <w:rPr>
          <w:rFonts w:hint="eastAsia" w:ascii="宋体" w:hAnsi="宋体" w:eastAsia="宋体" w:cs="宋体"/>
          <w:b/>
          <w:bCs/>
          <w:color w:val="auto"/>
          <w:sz w:val="24"/>
          <w:szCs w:val="24"/>
          <w:highlight w:val="none"/>
        </w:rPr>
        <w:t>一、项目概况</w:t>
      </w:r>
    </w:p>
    <w:p w14:paraId="3BB8E370">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spacing w:val="0"/>
          <w:position w:val="0"/>
          <w:sz w:val="24"/>
          <w:szCs w:val="24"/>
          <w:highlight w:val="none"/>
          <w:lang w:val="en-US" w:eastAsia="zh-CN"/>
        </w:rPr>
      </w:pPr>
      <w:r>
        <w:rPr>
          <w:rFonts w:hint="eastAsia" w:ascii="宋体" w:hAnsi="宋体" w:eastAsia="宋体" w:cs="宋体"/>
          <w:spacing w:val="0"/>
          <w:position w:val="0"/>
          <w:sz w:val="24"/>
          <w:szCs w:val="24"/>
          <w:highlight w:val="none"/>
          <w:lang w:val="en-US" w:eastAsia="zh-CN"/>
        </w:rPr>
        <w:t>2025-2027管委会机关餐饮服务第三批（金融商务产业园等部门食材配送）（总部创意产业园）（四包）。</w:t>
      </w:r>
    </w:p>
    <w:p w14:paraId="6D22ADA0">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二、服务内容</w:t>
      </w:r>
    </w:p>
    <w:p w14:paraId="5F1CAF2B">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lang w:val="en-US" w:eastAsia="zh-CN"/>
        </w:rPr>
      </w:pPr>
      <w:r>
        <w:rPr>
          <w:rFonts w:hint="eastAsia" w:ascii="宋体" w:hAnsi="宋体" w:eastAsia="宋体" w:cs="宋体"/>
          <w:spacing w:val="0"/>
          <w:position w:val="0"/>
          <w:sz w:val="24"/>
          <w:szCs w:val="24"/>
          <w:highlight w:val="none"/>
          <w:lang w:val="en-US" w:eastAsia="zh-CN"/>
        </w:rPr>
        <w:t>总部创意产业园</w:t>
      </w:r>
      <w:r>
        <w:rPr>
          <w:rFonts w:hint="eastAsia" w:ascii="宋体" w:hAnsi="宋体" w:eastAsia="宋体" w:cs="宋体"/>
          <w:color w:val="auto"/>
          <w:kern w:val="0"/>
          <w:sz w:val="24"/>
          <w:szCs w:val="24"/>
          <w:highlight w:val="none"/>
          <w:lang w:val="en-US" w:eastAsia="zh-CN"/>
        </w:rPr>
        <w:t>员工</w:t>
      </w:r>
      <w:r>
        <w:rPr>
          <w:rFonts w:hint="eastAsia" w:ascii="宋体" w:hAnsi="宋体" w:eastAsia="宋体" w:cs="宋体"/>
          <w:color w:val="auto"/>
          <w:kern w:val="0"/>
          <w:sz w:val="24"/>
          <w:szCs w:val="24"/>
          <w:highlight w:val="none"/>
        </w:rPr>
        <w:t>餐厅原材料配送服务，供应商负责</w:t>
      </w:r>
      <w:r>
        <w:rPr>
          <w:rFonts w:hint="eastAsia" w:ascii="宋体" w:hAnsi="宋体" w:eastAsia="宋体" w:cs="宋体"/>
          <w:spacing w:val="0"/>
          <w:position w:val="0"/>
          <w:sz w:val="24"/>
          <w:szCs w:val="24"/>
          <w:highlight w:val="none"/>
          <w:lang w:val="en-US" w:eastAsia="zh-CN"/>
        </w:rPr>
        <w:t>总部创意产业园</w:t>
      </w:r>
      <w:r>
        <w:rPr>
          <w:rFonts w:hint="eastAsia" w:ascii="宋体" w:hAnsi="宋体" w:eastAsia="宋体" w:cs="宋体"/>
          <w:color w:val="auto"/>
          <w:kern w:val="0"/>
          <w:sz w:val="24"/>
          <w:szCs w:val="24"/>
          <w:highlight w:val="none"/>
          <w:lang w:val="en-US" w:eastAsia="zh-CN"/>
        </w:rPr>
        <w:t>111名员工</w:t>
      </w:r>
      <w:r>
        <w:rPr>
          <w:rFonts w:hint="eastAsia" w:ascii="宋体" w:hAnsi="宋体" w:eastAsia="宋体" w:cs="宋体"/>
          <w:color w:val="auto"/>
          <w:kern w:val="0"/>
          <w:sz w:val="24"/>
          <w:szCs w:val="24"/>
          <w:highlight w:val="none"/>
        </w:rPr>
        <w:t>日常餐厅原材料的采购和配送，保证单位餐厅正常开餐，保障本单位应对突发事件和应急备勤时期的原材料供给。</w:t>
      </w:r>
      <w:r>
        <w:rPr>
          <w:rFonts w:hint="eastAsia" w:ascii="宋体" w:hAnsi="宋体" w:eastAsia="宋体" w:cs="宋体"/>
          <w:spacing w:val="0"/>
          <w:position w:val="0"/>
          <w:sz w:val="24"/>
          <w:szCs w:val="24"/>
          <w:highlight w:val="none"/>
          <w:lang w:val="en-US" w:eastAsia="zh-CN"/>
        </w:rPr>
        <w:t>合同执行过程中，因就餐人数增减需增减食堂工作人员的，由供应商与采购人协商解决。</w:t>
      </w:r>
    </w:p>
    <w:p w14:paraId="390173EE">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、配送</w:t>
      </w:r>
      <w:r>
        <w:rPr>
          <w:rFonts w:hint="eastAsia" w:ascii="宋体" w:hAnsi="宋体" w:eastAsia="宋体" w:cs="宋体"/>
          <w:b/>
          <w:bCs/>
          <w:color w:val="auto"/>
          <w:sz w:val="24"/>
          <w:szCs w:val="24"/>
          <w:highlight w:val="none"/>
          <w:lang w:val="en-US" w:eastAsia="zh-CN"/>
        </w:rPr>
        <w:t>内容及技术要求</w:t>
      </w:r>
    </w:p>
    <w:p w14:paraId="44D4CAF7">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配送食品的内容及标准</w:t>
      </w:r>
    </w:p>
    <w:p w14:paraId="4716862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1.大米应符合供应时间段粮食卫生国家现行有效标准规定GB/T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color w:val="auto"/>
          <w:sz w:val="24"/>
          <w:szCs w:val="24"/>
          <w:highlight w:val="none"/>
        </w:rPr>
        <w:t>。在保质期内，具有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SC</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标志</w:t>
      </w:r>
      <w:r>
        <w:rPr>
          <w:rStyle w:val="36"/>
          <w:rFonts w:hint="eastAsia" w:ascii="宋体" w:hAnsi="宋体" w:eastAsia="宋体" w:cs="宋体"/>
          <w:color w:val="auto"/>
          <w:sz w:val="24"/>
          <w:szCs w:val="24"/>
          <w:highlight w:val="none"/>
          <w:lang w:eastAsia="zh-CN"/>
        </w:rPr>
        <w:t>。</w:t>
      </w:r>
    </w:p>
    <w:p w14:paraId="620FC352">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2.食用油应符合供应时间段粮食卫生国家现行有效标准规定GB/T 1536-2021标准，在保质期内，具有“SC”标志。</w:t>
      </w:r>
    </w:p>
    <w:p w14:paraId="2B1DF49F">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3.面粉（一级以上（含一级）小麦粉）应符合供应时间段粮食卫生国家现行有效标准规定GB/T 1355-2021标准，在保质期内，具有“SC”标志。</w:t>
      </w:r>
    </w:p>
    <w:p w14:paraId="26F15F6F">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4.副食品、调味品（食盐、味精、酱油、醋等）送货当日时间不得超过保质期的1/3时长，具有最新国家标准，有“SC”标志。</w:t>
      </w:r>
    </w:p>
    <w:p w14:paraId="331ED1B8">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5.鸡蛋和饮用奶必须符合GB 2748-2003《鲜蛋卫生标准》、GB/T 39438-2020《包装鸡蛋》、GB/T 6914-1986《生鲜牛乳收购标准》规定的原奶生产，在保质期内，有“SC”标志；豆制品及其他半成品送货当日时间不得超过保质期的1/3时长，具有最新国家标准，预包装类食品原料应具有“SC”标志。</w:t>
      </w:r>
    </w:p>
    <w:p w14:paraId="725B2B5C">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6.配送的鲜肉类必须在定点屠宰场（或宰杀店）宰杀加工，并经动物卫生检疫机构检疫合格，加盖检疫合格印章和屠宰场印章，并附有《动物产品检疫合格证明》。</w:t>
      </w:r>
    </w:p>
    <w:p w14:paraId="360764D0">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7.蔬菜：</w:t>
      </w:r>
    </w:p>
    <w:p w14:paraId="4988DB2C">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（1）叶菜类：新鲜、色泽鲜亮、无腐烂、无干叶、捆把内部无杂乱夹塞，菜品粗细均匀，脆嫩不老，不抽苔。茎部不老化，个体均匀，未发芽、变色。</w:t>
      </w:r>
    </w:p>
    <w:p w14:paraId="78C191F8">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（2）根茎类：茎部不老化，个体均匀，未发芽、变色。</w:t>
      </w:r>
    </w:p>
    <w:p w14:paraId="4553049F">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（3）花果类：个体均匀，无腐烂、无变色，允许果型有轻微缺点，但不得变形、过熟。</w:t>
      </w:r>
    </w:p>
    <w:p w14:paraId="1E0B35BE">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（4）菇菌类：外形饱满，不发霉、变黑。</w:t>
      </w:r>
    </w:p>
    <w:p w14:paraId="73E39C14">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（5）果蔬必须符合食品中农药最大残留限量最新标准并具有农药残留检验记录。</w:t>
      </w:r>
    </w:p>
    <w:p w14:paraId="64FD0F8E">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配送要求</w:t>
      </w:r>
    </w:p>
    <w:p w14:paraId="0233BAE8">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配送单价</w:t>
      </w:r>
      <w:r>
        <w:rPr>
          <w:rFonts w:hint="eastAsia" w:ascii="宋体" w:hAnsi="宋体" w:eastAsia="宋体" w:cs="宋体"/>
          <w:color w:val="auto"/>
          <w:sz w:val="24"/>
          <w:szCs w:val="24"/>
          <w:highlight w:val="none"/>
        </w:rPr>
        <w:t>的执行过程中，根据蔬菜行业的各种特殊性，要采取随行就市的原则</w:t>
      </w:r>
      <w:r>
        <w:rPr>
          <w:rFonts w:hint="eastAsia" w:ascii="宋体" w:hAnsi="宋体" w:eastAsia="宋体" w:cs="宋体"/>
          <w:color w:val="auto"/>
          <w:sz w:val="24"/>
          <w:szCs w:val="24"/>
          <w:highlight w:val="none"/>
          <w:lang w:val="en-US" w:eastAsia="zh-CN"/>
        </w:rPr>
        <w:t>根据采购人要求</w:t>
      </w:r>
      <w:r>
        <w:rPr>
          <w:rFonts w:hint="eastAsia" w:ascii="宋体" w:hAnsi="宋体" w:eastAsia="宋体" w:cs="宋体"/>
          <w:color w:val="auto"/>
          <w:sz w:val="24"/>
          <w:szCs w:val="24"/>
          <w:highlight w:val="none"/>
        </w:rPr>
        <w:t>定期报价。配送单价以西安市发展和改革委员会网站最新发布的西安市“菜篮子”主要商品价格信息公开表为准、西安市成品粮油市场零售价格监测以全市平均价为准，配送单价不得高于以上价格，西安市发展和改革委员会网站没有的货物以西安市农业农村局网站最新发布的农业服务价格监测公布的批发市场价格（欣桥市场、方欣市场、朱雀批发市场）取平均值为准，上述网站均没有的货物以甲方所在地附近（华润万家、人人乐、永辉超市）的价格取平均值作为配送单价，供应商市场询价后首先经采购人审核确认市场价，再取平均值并经采购人确认后采购。</w:t>
      </w:r>
    </w:p>
    <w:p w14:paraId="6E3BFA96">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2.供应商要在规定的时间内把蔬菜食品运至指定食堂，以保障食堂的正常运行。</w:t>
      </w:r>
    </w:p>
    <w:p w14:paraId="29159F04">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3.供应商应针对本项目的采购人员、配送工作人员必须持健康证上岗。</w:t>
      </w:r>
    </w:p>
    <w:p w14:paraId="6BA586D5">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.注重农产品质量，通过配送使健康绿色蔬菜及时送到指定食堂，让职工能轻松体验健康蔬菜食品。</w:t>
      </w:r>
    </w:p>
    <w:p w14:paraId="5354C82B">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.供应商自备送货车（冷藏或恒温），安排专人及时</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，装卸费、送货费用及运输安全由供应商</w:t>
      </w:r>
      <w:r>
        <w:rPr>
          <w:rFonts w:hint="eastAsia" w:ascii="宋体" w:hAnsi="宋体" w:eastAsia="宋体" w:cs="宋体"/>
          <w:color w:val="auto"/>
          <w:sz w:val="24"/>
          <w:szCs w:val="24"/>
          <w:highlight w:val="none"/>
          <w:lang w:val="en-US" w:eastAsia="zh-CN"/>
        </w:rPr>
        <w:t>自行承担</w:t>
      </w:r>
      <w:r>
        <w:rPr>
          <w:rFonts w:hint="eastAsia" w:ascii="宋体" w:hAnsi="宋体" w:eastAsia="宋体" w:cs="宋体"/>
          <w:color w:val="auto"/>
          <w:sz w:val="24"/>
          <w:szCs w:val="24"/>
          <w:highlight w:val="none"/>
        </w:rPr>
        <w:t>。</w:t>
      </w:r>
    </w:p>
    <w:p w14:paraId="6301532A">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.米、面、油主食类、干货调味品、杂粮等食材根据食堂需求用量及库存条件，原则上按食堂要求时间送货。</w:t>
      </w:r>
    </w:p>
    <w:p w14:paraId="5C297D0C">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.蔬菜水果、肉类原则上要求每天送货3次，确保蔬菜新鲜。</w:t>
      </w:r>
    </w:p>
    <w:p w14:paraId="738944D1">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.乳制品根据职工食堂需求送货。</w:t>
      </w:r>
    </w:p>
    <w:p w14:paraId="5D02D709">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.特殊情况下，食堂需要的小批量的急用物资，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应在2小时以内予以满足解决。</w:t>
      </w:r>
    </w:p>
    <w:p w14:paraId="644D3877">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.所有食材供应商必须按照采购人要求的种类、规格进行</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，满足采购人使用需求。所有食材采购均以采购人通知为准，采购人有权根据实际需求量随时调整采购计划及</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时间段。</w:t>
      </w:r>
    </w:p>
    <w:p w14:paraId="7BAAE917">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.供应商每次随货送上一式三份的送货清单，供双方验货后签字确认，采购人两份、供应商一份作为送、收货的凭证。</w:t>
      </w:r>
    </w:p>
    <w:p w14:paraId="7B30A04C">
      <w:pPr>
        <w:keepNext w:val="0"/>
        <w:keepLines w:val="0"/>
        <w:pageBreakBefore w:val="0"/>
        <w:widowControl/>
        <w:kinsoku/>
        <w:wordWrap/>
        <w:overflowPunct/>
        <w:topLinePunct w:val="0"/>
        <w:autoSpaceDE/>
        <w:autoSpaceDN/>
        <w:bidi w:val="0"/>
        <w:adjustRightInd w:val="0"/>
        <w:snapToGrid w:val="0"/>
        <w:spacing w:line="360" w:lineRule="auto"/>
        <w:ind w:firstLine="490" w:firstLineChars="200"/>
        <w:jc w:val="left"/>
        <w:textAlignment w:val="baseline"/>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注：1、供应商所提供服务需满足或优于以上内容；</w:t>
      </w:r>
    </w:p>
    <w:p w14:paraId="139A14D1">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color w:val="auto"/>
          <w:kern w:val="0"/>
          <w:sz w:val="24"/>
          <w:szCs w:val="24"/>
          <w:highlight w:val="none"/>
        </w:rPr>
        <w:t>2、以上食材标准有更新的或其他未明确的原材料采购标准，按国家最新的相关标准执行。</w:t>
      </w:r>
    </w:p>
    <w:bookmarkEnd w:id="17"/>
    <w:p w14:paraId="5E4C2719">
      <w:pPr>
        <w:pStyle w:val="3"/>
        <w:jc w:val="center"/>
        <w:rPr>
          <w:rFonts w:hint="eastAsia" w:ascii="宋体" w:hAnsi="宋体" w:eastAsia="宋体" w:cs="宋体"/>
          <w:b/>
          <w:bCs/>
          <w:sz w:val="32"/>
          <w:szCs w:val="32"/>
          <w:highlight w:val="none"/>
        </w:rPr>
      </w:pPr>
      <w:bookmarkStart w:id="18" w:name="_Toc5471"/>
      <w:bookmarkStart w:id="19" w:name="_Toc5152"/>
      <w:bookmarkStart w:id="20" w:name="_Toc100219616"/>
      <w:bookmarkStart w:id="21" w:name="_Toc7322"/>
      <w:r>
        <w:rPr>
          <w:rFonts w:hint="eastAsia" w:ascii="宋体" w:hAnsi="宋体" w:eastAsia="宋体" w:cs="宋体"/>
          <w:b/>
          <w:bCs/>
          <w:sz w:val="32"/>
          <w:szCs w:val="32"/>
          <w:highlight w:val="none"/>
        </w:rPr>
        <w:br w:type="page"/>
      </w:r>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0FF4C416">
      <w:pPr>
        <w:keepNext w:val="0"/>
        <w:keepLines w:val="0"/>
        <w:pageBreakBefore w:val="0"/>
        <w:widowControl/>
        <w:kinsoku/>
        <w:wordWrap/>
        <w:overflowPunct/>
        <w:topLinePunct w:val="0"/>
        <w:autoSpaceDE/>
        <w:autoSpaceDN/>
        <w:bidi w:val="0"/>
        <w:adjustRightInd/>
        <w:snapToGrid/>
        <w:spacing w:after="0" w:line="360" w:lineRule="auto"/>
        <w:ind w:left="0" w:right="0" w:firstLine="57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309BCF20">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（一）服务期：3年（合同一年一签，若中标供应商上一年服务不能满足采购人要求，采购人可拒绝续签）。</w:t>
      </w:r>
    </w:p>
    <w:p w14:paraId="178CE7FC">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7C228467">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（三）质量要求：满足国家及行业现行技术标准、规范要求</w:t>
      </w:r>
    </w:p>
    <w:p w14:paraId="2551CE25">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（四）合同价款：合同为固定单价</w:t>
      </w:r>
    </w:p>
    <w:p w14:paraId="40E308CE">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b w:val="0"/>
          <w:bCs w:val="0"/>
          <w:kern w:val="0"/>
          <w:sz w:val="24"/>
          <w:szCs w:val="24"/>
          <w:highlight w:val="none"/>
          <w:u w:val="none"/>
          <w:lang w:val="en-US" w:eastAsia="zh-CN" w:bidi="ar-SA"/>
        </w:rPr>
        <w:t>（综合优惠率），结算金额=配送单价*供货数量*（1-</w:t>
      </w: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b w:val="0"/>
          <w:bCs w:val="0"/>
          <w:kern w:val="0"/>
          <w:sz w:val="24"/>
          <w:szCs w:val="24"/>
          <w:highlight w:val="none"/>
          <w:u w:val="none"/>
          <w:lang w:val="en-US" w:eastAsia="zh-CN" w:bidi="ar-SA"/>
        </w:rPr>
        <w:t>），配送服务费包含配送费、装卸费、包装费、储存费、服务费、货物价款、保险费、人工费、招标代理服务费、保险、利润、税金、风险、验收等所需的全部费用。</w:t>
      </w:r>
    </w:p>
    <w:p w14:paraId="09FA9317">
      <w:pPr>
        <w:keepNext w:val="0"/>
        <w:keepLines w:val="0"/>
        <w:pageBreakBefore w:val="0"/>
        <w:widowControl/>
        <w:kinsoku/>
        <w:wordWrap/>
        <w:overflowPunct/>
        <w:topLinePunct w:val="0"/>
        <w:autoSpaceDE/>
        <w:autoSpaceDN/>
        <w:bidi w:val="0"/>
        <w:adjustRightInd/>
        <w:snapToGrid/>
        <w:spacing w:after="0" w:line="360" w:lineRule="auto"/>
        <w:ind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232445A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3605074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1846BA4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按季度据实结算。</w:t>
      </w:r>
    </w:p>
    <w:p w14:paraId="7ED387B9">
      <w:pPr>
        <w:keepNext w:val="0"/>
        <w:keepLines w:val="0"/>
        <w:pageBreakBefore w:val="0"/>
        <w:widowControl/>
        <w:kinsoku/>
        <w:wordWrap/>
        <w:overflowPunct/>
        <w:topLinePunct w:val="0"/>
        <w:autoSpaceDE/>
        <w:autoSpaceDN/>
        <w:bidi w:val="0"/>
        <w:adjustRightInd/>
        <w:spacing w:line="360" w:lineRule="auto"/>
        <w:ind w:firstLine="490" w:firstLineChars="200"/>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注：付款依据为合同、招标文件、投标文件、发票。</w:t>
      </w:r>
    </w:p>
    <w:p w14:paraId="39FEFC9D">
      <w:pPr>
        <w:keepNext w:val="0"/>
        <w:keepLines w:val="0"/>
        <w:pageBreakBefore w:val="0"/>
        <w:widowControl/>
        <w:kinsoku/>
        <w:wordWrap/>
        <w:overflowPunct/>
        <w:topLinePunct w:val="0"/>
        <w:autoSpaceDE/>
        <w:autoSpaceDN/>
        <w:bidi w:val="0"/>
        <w:adjustRightInd/>
        <w:spacing w:line="360" w:lineRule="auto"/>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br w:type="page"/>
      </w:r>
    </w:p>
    <w:p w14:paraId="54694BE8">
      <w:pPr>
        <w:pageBreakBefore w:val="0"/>
        <w:kinsoku/>
        <w:wordWrap/>
        <w:topLinePunct w:val="0"/>
        <w:autoSpaceDE/>
        <w:autoSpaceDN/>
        <w:bidi w:val="0"/>
        <w:rPr>
          <w:rFonts w:hint="default"/>
          <w:highlight w:val="none"/>
          <w:lang w:val="en-US" w:eastAsia="zh-CN"/>
        </w:rPr>
      </w:pPr>
    </w:p>
    <w:p w14:paraId="091FC0D8">
      <w:pPr>
        <w:pageBreakBefore w:val="0"/>
        <w:shd w:val="clear" w:color="auto" w:fill="auto"/>
        <w:kinsoku/>
        <w:wordWrap/>
        <w:topLinePunct w:val="0"/>
        <w:autoSpaceDE/>
        <w:autoSpaceDN/>
        <w:bidi w:val="0"/>
        <w:spacing w:line="480" w:lineRule="auto"/>
        <w:jc w:val="center"/>
        <w:rPr>
          <w:rFonts w:hint="eastAsia" w:ascii="宋体" w:hAnsi="宋体" w:eastAsia="宋体" w:cs="宋体"/>
          <w:b/>
          <w:bCs w:val="0"/>
          <w:kern w:val="0"/>
          <w:sz w:val="48"/>
          <w:szCs w:val="48"/>
          <w:highlight w:val="none"/>
          <w:lang w:val="en-US" w:eastAsia="zh-CN"/>
        </w:rPr>
      </w:pPr>
      <w:r>
        <w:rPr>
          <w:rFonts w:hint="eastAsia" w:ascii="宋体" w:hAnsi="宋体" w:eastAsia="宋体" w:cs="宋体"/>
          <w:b/>
          <w:bCs w:val="0"/>
          <w:kern w:val="0"/>
          <w:sz w:val="48"/>
          <w:szCs w:val="48"/>
          <w:highlight w:val="none"/>
          <w:lang w:val="en-US" w:eastAsia="zh-CN"/>
        </w:rPr>
        <w:t>2025-2027管委会机关餐饮服务第三批（金融商务产业园等部门食材配送）（总部创意产业园）（四包）</w:t>
      </w:r>
    </w:p>
    <w:p w14:paraId="588C622A">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74C5E183">
      <w:pPr>
        <w:pageBreakBefore w:val="0"/>
        <w:shd w:val="clear" w:color="auto" w:fill="auto"/>
        <w:kinsoku/>
        <w:wordWrap/>
        <w:topLinePunct w:val="0"/>
        <w:autoSpaceDE/>
        <w:autoSpaceDN/>
        <w:bidi w:val="0"/>
        <w:rPr>
          <w:rFonts w:hint="eastAsia" w:ascii="宋体" w:hAnsi="宋体" w:eastAsia="宋体" w:cs="宋体"/>
          <w:highlight w:val="none"/>
        </w:rPr>
      </w:pPr>
    </w:p>
    <w:p w14:paraId="76761137">
      <w:pPr>
        <w:pageBreakBefore w:val="0"/>
        <w:shd w:val="clear" w:color="auto" w:fill="auto"/>
        <w:kinsoku/>
        <w:wordWrap/>
        <w:topLinePunct w:val="0"/>
        <w:autoSpaceDE/>
        <w:autoSpaceDN/>
        <w:bidi w:val="0"/>
        <w:jc w:val="center"/>
        <w:rPr>
          <w:rFonts w:hint="eastAsia" w:ascii="宋体" w:hAnsi="宋体" w:eastAsia="宋体" w:cs="宋体"/>
          <w:b/>
          <w:kern w:val="0"/>
          <w:szCs w:val="21"/>
          <w:highlight w:val="none"/>
        </w:rPr>
      </w:pPr>
    </w:p>
    <w:p w14:paraId="67A39B69">
      <w:pPr>
        <w:bidi w:val="0"/>
        <w:rPr>
          <w:rFonts w:hint="eastAsia"/>
          <w:highlight w:val="none"/>
        </w:rPr>
      </w:pPr>
    </w:p>
    <w:p w14:paraId="7E99394A">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rPr>
        <w:t>合 同 主 要 条 款</w:t>
      </w:r>
    </w:p>
    <w:p w14:paraId="696BEBEB">
      <w:pPr>
        <w:pageBreakBefore w:val="0"/>
        <w:shd w:val="clear" w:color="auto" w:fill="auto"/>
        <w:kinsoku/>
        <w:wordWrap/>
        <w:topLinePunct w:val="0"/>
        <w:autoSpaceDE/>
        <w:autoSpaceDN/>
        <w:bidi w:val="0"/>
        <w:spacing w:line="540" w:lineRule="exact"/>
        <w:jc w:val="center"/>
        <w:rPr>
          <w:rFonts w:hint="eastAsia" w:ascii="宋体" w:hAnsi="宋体" w:eastAsia="宋体" w:cs="宋体"/>
          <w:b/>
          <w:kern w:val="0"/>
          <w:sz w:val="52"/>
          <w:szCs w:val="52"/>
          <w:highlight w:val="none"/>
        </w:rPr>
      </w:pPr>
      <w:r>
        <w:rPr>
          <w:rFonts w:hint="eastAsia" w:ascii="宋体" w:hAnsi="宋体" w:eastAsia="宋体" w:cs="宋体"/>
          <w:b/>
          <w:kern w:val="0"/>
          <w:szCs w:val="21"/>
          <w:highlight w:val="none"/>
        </w:rPr>
        <w:t>（本格式条款供双方签订合同参考，采购人可根据项目的实际情况增加条款和内容）</w:t>
      </w:r>
    </w:p>
    <w:p w14:paraId="6573E092">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p>
    <w:p w14:paraId="707E7D66">
      <w:pPr>
        <w:pageBreakBefore w:val="0"/>
        <w:shd w:val="clear" w:color="auto" w:fill="auto"/>
        <w:kinsoku/>
        <w:wordWrap/>
        <w:topLinePunct w:val="0"/>
        <w:autoSpaceDE/>
        <w:autoSpaceDN/>
        <w:bidi w:val="0"/>
        <w:spacing w:line="560" w:lineRule="exact"/>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合同编号：XXXX</w:t>
      </w:r>
    </w:p>
    <w:p w14:paraId="1B6C3876">
      <w:pPr>
        <w:pageBreakBefore w:val="0"/>
        <w:shd w:val="clear" w:color="auto" w:fill="auto"/>
        <w:kinsoku/>
        <w:wordWrap/>
        <w:topLinePunct w:val="0"/>
        <w:autoSpaceDE/>
        <w:autoSpaceDN/>
        <w:bidi w:val="0"/>
        <w:rPr>
          <w:rFonts w:hint="eastAsia" w:ascii="宋体" w:hAnsi="宋体" w:eastAsia="宋体" w:cs="宋体"/>
          <w:b/>
          <w:sz w:val="48"/>
          <w:szCs w:val="48"/>
          <w:highlight w:val="none"/>
        </w:rPr>
      </w:pPr>
    </w:p>
    <w:p w14:paraId="67401853">
      <w:pPr>
        <w:pageBreakBefore w:val="0"/>
        <w:shd w:val="clear" w:color="auto" w:fill="auto"/>
        <w:kinsoku/>
        <w:wordWrap/>
        <w:topLinePunct w:val="0"/>
        <w:autoSpaceDE/>
        <w:autoSpaceDN/>
        <w:bidi w:val="0"/>
        <w:spacing w:line="240" w:lineRule="auto"/>
        <w:ind w:left="1469" w:hanging="1484" w:hangingChars="400"/>
        <w:rPr>
          <w:rFonts w:hint="eastAsia" w:ascii="宋体" w:hAnsi="宋体" w:eastAsia="宋体" w:cs="宋体"/>
          <w:b/>
          <w:spacing w:val="23"/>
          <w:sz w:val="32"/>
          <w:szCs w:val="32"/>
          <w:highlight w:val="none"/>
        </w:rPr>
      </w:pPr>
    </w:p>
    <w:p w14:paraId="66492A8C">
      <w:pPr>
        <w:pageBreakBefore w:val="0"/>
        <w:shd w:val="clear" w:color="auto" w:fill="auto"/>
        <w:kinsoku/>
        <w:wordWrap/>
        <w:topLinePunct w:val="0"/>
        <w:autoSpaceDE/>
        <w:autoSpaceDN/>
        <w:bidi w:val="0"/>
        <w:spacing w:line="240" w:lineRule="auto"/>
        <w:ind w:left="1469" w:hanging="1484"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lang w:val="en-US" w:eastAsia="zh-CN"/>
        </w:rPr>
        <w:t>本合同为第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包第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阶段合同</w:t>
      </w:r>
    </w:p>
    <w:p w14:paraId="2523121F">
      <w:pPr>
        <w:pageBreakBefore w:val="0"/>
        <w:kinsoku/>
        <w:wordWrap/>
        <w:topLinePunct w:val="0"/>
        <w:autoSpaceDE/>
        <w:autoSpaceDN/>
        <w:bidi w:val="0"/>
        <w:outlineLvl w:val="9"/>
        <w:rPr>
          <w:rFonts w:hint="eastAsia" w:ascii="宋体" w:hAnsi="宋体" w:eastAsia="宋体" w:cs="宋体"/>
          <w:highlight w:val="none"/>
        </w:rPr>
      </w:pPr>
    </w:p>
    <w:p w14:paraId="3A8D0902">
      <w:pPr>
        <w:pageBreakBefore w:val="0"/>
        <w:kinsoku/>
        <w:wordWrap/>
        <w:topLinePunct w:val="0"/>
        <w:autoSpaceDE/>
        <w:autoSpaceDN/>
        <w:bidi w:val="0"/>
        <w:rPr>
          <w:rFonts w:hint="eastAsia"/>
          <w:highlight w:val="none"/>
        </w:rPr>
      </w:pPr>
    </w:p>
    <w:p w14:paraId="49A9C4B3">
      <w:pPr>
        <w:pageBreakBefore w:val="0"/>
        <w:kinsoku/>
        <w:wordWrap/>
        <w:topLinePunct w:val="0"/>
        <w:autoSpaceDE/>
        <w:autoSpaceDN/>
        <w:bidi w:val="0"/>
        <w:rPr>
          <w:rFonts w:hint="eastAsia"/>
          <w:highlight w:val="none"/>
        </w:rPr>
      </w:pPr>
    </w:p>
    <w:p w14:paraId="66FB171B">
      <w:pPr>
        <w:pageBreakBefore w:val="0"/>
        <w:shd w:val="clear" w:color="auto" w:fill="auto"/>
        <w:kinsoku/>
        <w:wordWrap/>
        <w:topLinePunct w:val="0"/>
        <w:autoSpaceDE/>
        <w:autoSpaceDN/>
        <w:bidi w:val="0"/>
        <w:rPr>
          <w:rFonts w:hint="eastAsia" w:ascii="宋体" w:hAnsi="宋体" w:eastAsia="宋体" w:cs="宋体"/>
          <w:highlight w:val="none"/>
        </w:rPr>
      </w:pPr>
    </w:p>
    <w:p w14:paraId="7EBF40B5">
      <w:pPr>
        <w:bidi w:val="0"/>
        <w:rPr>
          <w:rFonts w:hint="eastAsia"/>
          <w:highlight w:val="none"/>
        </w:rPr>
      </w:pPr>
    </w:p>
    <w:p w14:paraId="21C09582">
      <w:pPr>
        <w:bidi w:val="0"/>
        <w:rPr>
          <w:rFonts w:hint="eastAsia"/>
          <w:highlight w:val="none"/>
        </w:rPr>
      </w:pPr>
    </w:p>
    <w:p w14:paraId="1134F6BD">
      <w:pPr>
        <w:bidi w:val="0"/>
        <w:rPr>
          <w:rFonts w:hint="eastAsia"/>
          <w:highlight w:val="none"/>
        </w:rPr>
      </w:pPr>
    </w:p>
    <w:p w14:paraId="688F3DC5">
      <w:pPr>
        <w:pageBreakBefore w:val="0"/>
        <w:kinsoku/>
        <w:wordWrap/>
        <w:topLinePunct w:val="0"/>
        <w:autoSpaceDE/>
        <w:autoSpaceDN/>
        <w:bidi w:val="0"/>
        <w:rPr>
          <w:rFonts w:hint="eastAsia"/>
          <w:highlight w:val="none"/>
        </w:rPr>
      </w:pPr>
    </w:p>
    <w:p w14:paraId="422B82F7">
      <w:pPr>
        <w:pageBreakBefore w:val="0"/>
        <w:shd w:val="clear" w:color="auto" w:fill="auto"/>
        <w:kinsoku/>
        <w:wordWrap/>
        <w:topLinePunct w:val="0"/>
        <w:autoSpaceDE/>
        <w:autoSpaceDN/>
        <w:bidi w:val="0"/>
        <w:spacing w:line="360" w:lineRule="auto"/>
        <w:ind w:left="1469" w:hanging="148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甲方(</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采购人</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b/>
          <w:spacing w:val="23"/>
          <w:sz w:val="32"/>
          <w:szCs w:val="32"/>
          <w:highlight w:val="none"/>
          <w:u w:val="single"/>
        </w:rPr>
        <w:t xml:space="preserve">          </w:t>
      </w:r>
    </w:p>
    <w:p w14:paraId="07E24871">
      <w:pPr>
        <w:pageBreakBefore w:val="0"/>
        <w:shd w:val="clear" w:color="auto" w:fill="auto"/>
        <w:kinsoku/>
        <w:wordWrap/>
        <w:topLinePunct w:val="0"/>
        <w:autoSpaceDE/>
        <w:autoSpaceDN/>
        <w:bidi w:val="0"/>
        <w:spacing w:line="360" w:lineRule="auto"/>
        <w:ind w:left="1469" w:hanging="148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"http://set2.mail.qq.com/cgi-bin/mail_spam?action=check_link&amp;spam=0&amp;url=http://www.baidu.com/s?wd=%E4%B9%99%E6%96%B9&amp;hl_tag=textlink&amp;tn=SE_hldp01350_v6v6zkg6"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乙方</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b/>
          <w:spacing w:val="23"/>
          <w:sz w:val="32"/>
          <w:szCs w:val="32"/>
          <w:highlight w:val="none"/>
          <w:u w:val="single"/>
        </w:rPr>
        <w:t xml:space="preserve">          </w:t>
      </w:r>
    </w:p>
    <w:p w14:paraId="29196A70">
      <w:pPr>
        <w:pStyle w:val="24"/>
        <w:pageBreakBefore w:val="0"/>
        <w:widowControl/>
        <w:shd w:val="clear" w:color="auto" w:fill="auto"/>
        <w:kinsoku/>
        <w:wordWrap/>
        <w:topLinePunct w:val="0"/>
        <w:autoSpaceDE/>
        <w:autoSpaceDN/>
        <w:bidi w:val="0"/>
        <w:adjustRightInd w:val="0"/>
        <w:spacing w:line="360" w:lineRule="auto"/>
        <w:rPr>
          <w:rFonts w:hint="eastAsia" w:ascii="宋体" w:hAnsi="宋体" w:eastAsia="宋体" w:cs="宋体"/>
          <w:b/>
          <w:spacing w:val="23"/>
          <w:kern w:val="0"/>
          <w:sz w:val="32"/>
          <w:szCs w:val="32"/>
          <w:highlight w:val="none"/>
        </w:rPr>
        <w:sectPr>
          <w:headerReference r:id="rId7" w:type="default"/>
          <w:footerReference r:id="rId8" w:type="default"/>
          <w:footerReference r:id="rId9" w:type="even"/>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720" w:num="1"/>
          <w:rtlGutter w:val="0"/>
          <w:docGrid w:type="linesAndChars" w:linePitch="333" w:charSpace="1024"/>
        </w:sectPr>
      </w:pPr>
      <w:r>
        <w:rPr>
          <w:rFonts w:hint="eastAsia" w:ascii="宋体" w:hAnsi="宋体" w:eastAsia="宋体" w:cs="宋体"/>
          <w:b/>
          <w:spacing w:val="23"/>
          <w:kern w:val="0"/>
          <w:sz w:val="32"/>
          <w:szCs w:val="32"/>
          <w:highlight w:val="none"/>
        </w:rPr>
        <w:t xml:space="preserve">          签订时间：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月</w:t>
      </w:r>
      <w:r>
        <w:rPr>
          <w:rFonts w:hint="eastAsia" w:ascii="宋体" w:hAnsi="宋体" w:eastAsia="宋体" w:cs="宋体"/>
          <w:b/>
          <w:spacing w:val="23"/>
          <w:kern w:val="0"/>
          <w:sz w:val="32"/>
          <w:szCs w:val="32"/>
          <w:highlight w:val="none"/>
          <w:u w:val="single"/>
        </w:rPr>
        <w:t xml:space="preserve">   </w:t>
      </w:r>
    </w:p>
    <w:p w14:paraId="6D9FE1F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采购人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p>
    <w:p w14:paraId="7D9E7430">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2329198F">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甲乙双方根据</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政府采购招标项目采购招标结果及相关</w:t>
      </w:r>
      <w:r>
        <w:rPr>
          <w:rFonts w:hint="eastAsia" w:ascii="宋体" w:hAnsi="宋体" w:eastAsia="宋体" w:cs="宋体"/>
          <w:kern w:val="0"/>
          <w:sz w:val="24"/>
          <w:szCs w:val="24"/>
          <w:highlight w:val="none"/>
          <w:lang w:eastAsia="zh-CN"/>
        </w:rPr>
        <w:t>招标文件</w:t>
      </w:r>
      <w:r>
        <w:rPr>
          <w:rFonts w:hint="eastAsia" w:ascii="宋体" w:hAnsi="宋体" w:eastAsia="宋体" w:cs="宋体"/>
          <w:kern w:val="0"/>
          <w:sz w:val="24"/>
          <w:szCs w:val="24"/>
          <w:highlight w:val="none"/>
        </w:rPr>
        <w:t>及</w:t>
      </w:r>
      <w:r>
        <w:rPr>
          <w:rFonts w:hint="eastAsia" w:ascii="宋体" w:hAnsi="宋体" w:eastAsia="宋体" w:cs="宋体"/>
          <w:kern w:val="0"/>
          <w:sz w:val="24"/>
          <w:szCs w:val="24"/>
          <w:highlight w:val="none"/>
          <w:lang w:eastAsia="zh-CN"/>
        </w:rPr>
        <w:t>投标文件</w:t>
      </w:r>
      <w:r>
        <w:rPr>
          <w:rFonts w:hint="eastAsia" w:ascii="宋体" w:hAnsi="宋体" w:eastAsia="宋体" w:cs="宋体"/>
          <w:kern w:val="0"/>
          <w:sz w:val="24"/>
          <w:szCs w:val="24"/>
          <w:highlight w:val="none"/>
        </w:rPr>
        <w:t>，本合同经双方友好协商平等、诚信、协作的原则，按照《中华人民共和国政府采购法》和《中华人民共和国民法典》，经协商一致，订立本合同，供双方共同遵守：</w:t>
      </w:r>
    </w:p>
    <w:p w14:paraId="22814926">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 xml:space="preserve">第一条  </w:t>
      </w:r>
      <w:r>
        <w:rPr>
          <w:rFonts w:hint="eastAsia" w:ascii="宋体" w:hAnsi="宋体" w:eastAsia="宋体" w:cs="宋体"/>
          <w:b/>
          <w:bCs/>
          <w:kern w:val="0"/>
          <w:sz w:val="24"/>
          <w:szCs w:val="24"/>
          <w:highlight w:val="none"/>
          <w:lang w:val="en-US" w:eastAsia="zh-CN"/>
        </w:rPr>
        <w:t>项目概况</w:t>
      </w:r>
    </w:p>
    <w:p w14:paraId="0FE83BB0">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1.项目名称：</w:t>
      </w:r>
      <w:r>
        <w:rPr>
          <w:rFonts w:hint="eastAsia" w:ascii="宋体" w:hAnsi="宋体" w:cs="宋体"/>
          <w:kern w:val="0"/>
          <w:sz w:val="24"/>
          <w:szCs w:val="24"/>
          <w:highlight w:val="none"/>
          <w:u w:val="single"/>
          <w:lang w:val="en-US" w:eastAsia="zh-CN"/>
        </w:rPr>
        <w:t>2025-2027管委会机关餐饮服务第三批（金融商务产业园等部门食材配送）（总部创意产业园）（四包）</w:t>
      </w:r>
    </w:p>
    <w:p w14:paraId="5B40C1DF">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2.项目编号：</w:t>
      </w:r>
      <w:r>
        <w:rPr>
          <w:rFonts w:hint="eastAsia" w:ascii="宋体" w:hAnsi="宋体" w:eastAsia="宋体" w:cs="宋体"/>
          <w:kern w:val="0"/>
          <w:sz w:val="24"/>
          <w:szCs w:val="24"/>
          <w:highlight w:val="none"/>
          <w:u w:val="single"/>
          <w:lang w:val="en-US" w:eastAsia="zh-CN"/>
        </w:rPr>
        <w:t xml:space="preserve">                                              </w:t>
      </w:r>
    </w:p>
    <w:p w14:paraId="5CEF0822">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3.项目地点：</w:t>
      </w:r>
      <w:r>
        <w:rPr>
          <w:rFonts w:hint="eastAsia" w:ascii="宋体" w:hAnsi="宋体" w:eastAsia="宋体" w:cs="宋体"/>
          <w:kern w:val="0"/>
          <w:sz w:val="24"/>
          <w:szCs w:val="24"/>
          <w:highlight w:val="none"/>
          <w:u w:val="single"/>
          <w:lang w:val="en-US" w:eastAsia="zh-CN"/>
        </w:rPr>
        <w:t xml:space="preserve">                                              </w:t>
      </w:r>
    </w:p>
    <w:p w14:paraId="20BAC86B">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4.服务期：</w:t>
      </w:r>
      <w:r>
        <w:rPr>
          <w:rFonts w:hint="eastAsia" w:ascii="宋体" w:hAnsi="宋体" w:eastAsia="宋体" w:cs="宋体"/>
          <w:b w:val="0"/>
          <w:bCs w:val="0"/>
          <w:kern w:val="0"/>
          <w:sz w:val="24"/>
          <w:szCs w:val="24"/>
          <w:highlight w:val="none"/>
          <w:lang w:val="en-US" w:eastAsia="zh-CN"/>
        </w:rPr>
        <w:t>本项目总服务期共三年，合同分为三个阶段签订。其中每一阶段合同服务期为一年。</w:t>
      </w:r>
    </w:p>
    <w:p w14:paraId="2511E2C5">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本次为第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阶段（第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年）合同，自（</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日起至</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日止）</w:t>
      </w:r>
      <w:r>
        <w:rPr>
          <w:rFonts w:hint="eastAsia" w:ascii="宋体" w:hAnsi="宋体" w:eastAsia="宋体" w:cs="宋体"/>
          <w:kern w:val="0"/>
          <w:sz w:val="24"/>
          <w:szCs w:val="24"/>
          <w:highlight w:val="none"/>
          <w:u w:val="none"/>
          <w:lang w:val="en-US" w:eastAsia="zh-CN"/>
        </w:rPr>
        <w:t>。</w:t>
      </w:r>
    </w:p>
    <w:p w14:paraId="3A408063">
      <w:pPr>
        <w:keepNext w:val="0"/>
        <w:keepLines w:val="0"/>
        <w:pageBreakBefore w:val="0"/>
        <w:widowControl/>
        <w:kinsoku/>
        <w:wordWrap/>
        <w:overflowPunct/>
        <w:topLinePunct w:val="0"/>
        <w:autoSpaceDE/>
        <w:autoSpaceDN/>
        <w:bidi w:val="0"/>
        <w:adjustRightInd w:val="0"/>
        <w:snapToGrid w:val="0"/>
        <w:spacing w:line="360" w:lineRule="auto"/>
        <w:ind w:firstLine="490" w:firstLineChars="200"/>
        <w:textAlignment w:val="baseline"/>
        <w:rPr>
          <w:rFonts w:hint="eastAsia" w:ascii="宋体" w:hAnsi="宋体" w:eastAsia="宋体" w:cs="宋体"/>
          <w:bCs/>
          <w:sz w:val="24"/>
          <w:szCs w:val="24"/>
          <w:highlight w:val="none"/>
        </w:rPr>
      </w:pPr>
      <w:r>
        <w:rPr>
          <w:rFonts w:hint="eastAsia" w:ascii="宋体" w:hAnsi="宋体" w:eastAsia="宋体" w:cs="宋体"/>
          <w:spacing w:val="0"/>
          <w:position w:val="0"/>
          <w:sz w:val="24"/>
          <w:szCs w:val="24"/>
          <w:highlight w:val="none"/>
          <w:lang w:val="en-US" w:eastAsia="zh-CN"/>
        </w:rPr>
        <w:t>合同执行过程中，因就餐人数增减需增减食堂工作人员的，由供应商与采购人协商解决。</w:t>
      </w:r>
      <w:r>
        <w:rPr>
          <w:rFonts w:hint="eastAsia" w:ascii="宋体" w:hAnsi="宋体" w:eastAsia="宋体" w:cs="宋体"/>
          <w:kern w:val="0"/>
          <w:sz w:val="24"/>
          <w:szCs w:val="24"/>
          <w:highlight w:val="none"/>
          <w:u w:val="none"/>
          <w:lang w:val="en-US" w:eastAsia="zh-CN"/>
        </w:rPr>
        <w:t>上一阶段合同期满后，双方均无异议，协商后续签下一阶段合同，续签时合同其他内容不予改变。若乙方上一阶段的服务不能满足甲方要求，甲方可拒绝同乙方续签。</w:t>
      </w:r>
    </w:p>
    <w:p w14:paraId="061DF048">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合同金额</w:t>
      </w:r>
    </w:p>
    <w:p w14:paraId="06FC4F34">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本合同为固定单价（综合优惠率），</w:t>
      </w:r>
      <w:r>
        <w:rPr>
          <w:rFonts w:hint="eastAsia" w:ascii="宋体" w:hAnsi="宋体" w:eastAsia="宋体" w:cs="宋体"/>
          <w:color w:val="auto"/>
          <w:sz w:val="24"/>
          <w:szCs w:val="24"/>
          <w:highlight w:val="none"/>
          <w:lang w:eastAsia="zh-CN"/>
        </w:rPr>
        <w:t>结算金额</w:t>
      </w:r>
      <w:r>
        <w:rPr>
          <w:rFonts w:hint="eastAsia" w:ascii="宋体" w:hAnsi="宋体" w:eastAsia="宋体" w:cs="宋体"/>
          <w:sz w:val="24"/>
          <w:szCs w:val="24"/>
          <w:highlight w:val="none"/>
          <w:lang w:eastAsia="zh-CN"/>
        </w:rPr>
        <w:t>=配送单价*供货数量*（1-</w:t>
      </w: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sz w:val="24"/>
          <w:szCs w:val="24"/>
          <w:highlight w:val="none"/>
          <w:lang w:eastAsia="zh-CN"/>
        </w:rPr>
        <w:t>），配送服务费包含配送费、装卸费、包装费、储存费、服务费、货物价款、保险费、人工费、招标代理服务费、保险、利润、税金、风险、验收等所需的全部费用。</w:t>
      </w:r>
    </w:p>
    <w:p w14:paraId="0B734E97">
      <w:pPr>
        <w:spacing w:line="520" w:lineRule="exact"/>
        <w:ind w:firstLine="49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送单价以西安市农业农村局网站农业服务价格监测公布的批发市场价格（欣桥市场、方欣市场、朱雀批发市场）取平均值为准，上述网站没有的货物以甲方所在地附近（华润万家、人人乐、永辉超市）的价格取平均值作为配送单价，乙方市场询价后首先经甲方审核确认市场价，再取平均值后经甲方确认后采购。</w:t>
      </w:r>
    </w:p>
    <w:p w14:paraId="7C206B5A">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合同</w:t>
      </w:r>
      <w:r>
        <w:rPr>
          <w:rFonts w:hint="eastAsia" w:ascii="宋体" w:hAnsi="宋体" w:eastAsia="宋体" w:cs="宋体"/>
          <w:sz w:val="24"/>
          <w:szCs w:val="24"/>
          <w:highlight w:val="none"/>
          <w:lang w:eastAsia="zh-CN"/>
        </w:rPr>
        <w:t>暂定总</w:t>
      </w:r>
      <w:r>
        <w:rPr>
          <w:rFonts w:hint="eastAsia" w:ascii="宋体" w:hAnsi="宋体" w:eastAsia="宋体" w:cs="宋体"/>
          <w:sz w:val="24"/>
          <w:szCs w:val="24"/>
          <w:highlight w:val="none"/>
        </w:rPr>
        <w:t>金额</w:t>
      </w:r>
      <w:r>
        <w:rPr>
          <w:rFonts w:hint="eastAsia" w:ascii="宋体" w:hAnsi="宋体" w:eastAsia="宋体" w:cs="宋体"/>
          <w:sz w:val="24"/>
          <w:szCs w:val="24"/>
          <w:highlight w:val="none"/>
          <w:lang w:eastAsia="zh-CN"/>
        </w:rPr>
        <w:t>：</w:t>
      </w:r>
      <w:r>
        <w:rPr>
          <w:rFonts w:hint="eastAsia" w:ascii="宋体" w:hAnsi="宋体" w:eastAsia="宋体" w:cs="宋体"/>
          <w:b w:val="0"/>
          <w:bCs w:val="0"/>
          <w:kern w:val="0"/>
          <w:sz w:val="24"/>
          <w:szCs w:val="24"/>
          <w:highlight w:val="none"/>
          <w:u w:val="none"/>
          <w:lang w:val="en-US" w:eastAsia="zh-CN" w:bidi="ar-SA"/>
        </w:rPr>
        <w:t>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6FA47797">
      <w:pPr>
        <w:keepLines w:val="0"/>
        <w:pageBreakBefore w:val="0"/>
        <w:kinsoku/>
        <w:wordWrap/>
        <w:overflowPunct/>
        <w:topLinePunct w:val="0"/>
        <w:autoSpaceDE/>
        <w:autoSpaceDN/>
        <w:bidi w:val="0"/>
        <w:snapToGrid/>
        <w:spacing w:line="360" w:lineRule="auto"/>
        <w:ind w:firstLine="49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sz w:val="24"/>
          <w:szCs w:val="24"/>
          <w:highlight w:val="none"/>
          <w:u w:val="single"/>
          <w:lang w:val="en-US" w:eastAsia="en-US"/>
        </w:rPr>
        <w:t xml:space="preserve">      </w:t>
      </w:r>
      <w:r>
        <w:rPr>
          <w:rFonts w:hint="eastAsia" w:ascii="宋体" w:hAnsi="宋体" w:eastAsia="宋体" w:cs="宋体"/>
          <w:sz w:val="24"/>
          <w:szCs w:val="24"/>
          <w:highlight w:val="none"/>
          <w:lang w:val="en-US" w:eastAsia="en-US"/>
        </w:rPr>
        <w:t>%</w:t>
      </w:r>
    </w:p>
    <w:p w14:paraId="7A06CE7A">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lang w:val="en-US" w:eastAsia="en-US"/>
        </w:rPr>
      </w:pPr>
      <w:r>
        <w:rPr>
          <w:rFonts w:hint="eastAsia" w:ascii="宋体" w:hAnsi="宋体" w:eastAsia="宋体" w:cs="宋体"/>
          <w:sz w:val="24"/>
          <w:szCs w:val="24"/>
          <w:highlight w:val="none"/>
          <w:lang w:val="en-US" w:eastAsia="en-US"/>
        </w:rPr>
        <w:t>服务期内，具体款项以实际发生费用为准，但不得超出本</w:t>
      </w:r>
      <w:r>
        <w:rPr>
          <w:rFonts w:hint="eastAsia" w:ascii="宋体" w:hAnsi="宋体" w:eastAsia="宋体" w:cs="宋体"/>
          <w:sz w:val="24"/>
          <w:szCs w:val="24"/>
          <w:highlight w:val="none"/>
          <w:lang w:val="en-US" w:eastAsia="zh-CN"/>
        </w:rPr>
        <w:t>项目</w:t>
      </w:r>
      <w:r>
        <w:rPr>
          <w:rFonts w:hint="eastAsia" w:ascii="宋体" w:hAnsi="宋体" w:eastAsia="宋体" w:cs="宋体"/>
          <w:sz w:val="24"/>
          <w:szCs w:val="24"/>
          <w:highlight w:val="none"/>
          <w:lang w:val="en-US" w:eastAsia="en-US"/>
        </w:rPr>
        <w:t>的采购预算。</w:t>
      </w:r>
    </w:p>
    <w:p w14:paraId="66F08E7E">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其中：</w:t>
      </w:r>
    </w:p>
    <w:p w14:paraId="3B91D9FC">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第一阶段（第一年）暂定合同价：人民币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7F3BF05C">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第二阶段（第二年）暂定合同价：人民币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6AE9E84F">
      <w:pPr>
        <w:keepNext w:val="0"/>
        <w:keepLines w:val="0"/>
        <w:pageBreakBefore w:val="0"/>
        <w:widowControl/>
        <w:shd w:val="clear" w:color="auto" w:fill="auto"/>
        <w:kinsoku/>
        <w:wordWrap/>
        <w:overflowPunct/>
        <w:topLinePunct w:val="0"/>
        <w:autoSpaceDE/>
        <w:autoSpaceDN/>
        <w:bidi w:val="0"/>
        <w:adjustRightInd/>
        <w:snapToGrid/>
        <w:spacing w:line="360" w:lineRule="auto"/>
        <w:ind w:right="-230" w:rightChars="-94" w:firstLine="49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第三阶段（第三年）暂定合同价：人民币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7B3CB365">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付款方式及依据</w:t>
      </w:r>
    </w:p>
    <w:p w14:paraId="40FFCB5D">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1.付款方式</w:t>
      </w:r>
    </w:p>
    <w:p w14:paraId="0748391B">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（1）预付款支付条款：无</w:t>
      </w:r>
    </w:p>
    <w:p w14:paraId="666C9519">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（2）剩余款项支付条款：</w:t>
      </w:r>
    </w:p>
    <w:p w14:paraId="1D24532D">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按季度据实结算。</w:t>
      </w:r>
    </w:p>
    <w:p w14:paraId="65DFA936">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9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付款依据：</w:t>
      </w:r>
      <w:r>
        <w:rPr>
          <w:rFonts w:hint="eastAsia" w:ascii="宋体" w:hAnsi="宋体" w:eastAsia="宋体" w:cs="宋体"/>
          <w:bCs/>
          <w:kern w:val="0"/>
          <w:sz w:val="24"/>
          <w:szCs w:val="24"/>
          <w:highlight w:val="none"/>
        </w:rPr>
        <w:t>合同、</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、发票</w:t>
      </w:r>
      <w:r>
        <w:rPr>
          <w:rFonts w:hint="eastAsia" w:ascii="宋体" w:hAnsi="宋体" w:eastAsia="宋体" w:cs="宋体"/>
          <w:bCs/>
          <w:kern w:val="0"/>
          <w:sz w:val="24"/>
          <w:szCs w:val="24"/>
          <w:highlight w:val="none"/>
        </w:rPr>
        <w:t>。</w:t>
      </w:r>
    </w:p>
    <w:p w14:paraId="272CD579">
      <w:pPr>
        <w:pStyle w:val="104"/>
        <w:pageBreakBefore w:val="0"/>
        <w:shd w:val="clear" w:color="auto" w:fill="auto"/>
        <w:tabs>
          <w:tab w:val="left" w:pos="7553"/>
        </w:tabs>
        <w:kinsoku/>
        <w:wordWrap/>
        <w:overflowPunct/>
        <w:topLinePunct w:val="0"/>
        <w:autoSpaceDE/>
        <w:autoSpaceDN/>
        <w:bidi w:val="0"/>
        <w:spacing w:line="360" w:lineRule="auto"/>
        <w:ind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第四条</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质量保证</w:t>
      </w:r>
    </w:p>
    <w:p w14:paraId="7C0EC68C">
      <w:pPr>
        <w:pageBreakBefore w:val="0"/>
        <w:widowControl/>
        <w:numPr>
          <w:ilvl w:val="0"/>
          <w:numId w:val="0"/>
        </w:numPr>
        <w:shd w:val="clear" w:color="auto" w:fill="auto"/>
        <w:tabs>
          <w:tab w:val="left" w:pos="4678"/>
        </w:tabs>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1.相关食品标准</w:t>
      </w:r>
    </w:p>
    <w:p w14:paraId="75A60804">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（1）大米必须符合</w:t>
      </w:r>
      <w:r>
        <w:rPr>
          <w:rFonts w:hint="eastAsia" w:ascii="宋体" w:hAnsi="宋体" w:eastAsia="宋体" w:cs="宋体"/>
          <w:color w:val="auto"/>
          <w:sz w:val="24"/>
          <w:szCs w:val="24"/>
          <w:highlight w:val="none"/>
        </w:rPr>
        <w:t>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sz w:val="24"/>
          <w:szCs w:val="24"/>
          <w:highlight w:val="none"/>
          <w:lang w:val="en-US" w:eastAsia="zh-CN"/>
        </w:rPr>
        <w:t xml:space="preserve">，在保质期内，有 SC 标志。 </w:t>
      </w:r>
    </w:p>
    <w:p w14:paraId="25075118">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（2）食用油必须符合 </w:t>
      </w:r>
      <w:r>
        <w:rPr>
          <w:rFonts w:hint="eastAsia" w:ascii="宋体" w:hAnsi="宋体" w:eastAsia="宋体" w:cs="宋体"/>
          <w:color w:val="auto"/>
          <w:sz w:val="24"/>
          <w:szCs w:val="24"/>
          <w:highlight w:val="none"/>
        </w:rPr>
        <w:t>GB/T 1536-2021</w:t>
      </w:r>
      <w:r>
        <w:rPr>
          <w:rFonts w:hint="eastAsia" w:ascii="宋体" w:hAnsi="宋体" w:eastAsia="宋体" w:cs="宋体"/>
          <w:sz w:val="24"/>
          <w:szCs w:val="24"/>
          <w:highlight w:val="none"/>
          <w:lang w:val="en-US" w:eastAsia="zh-CN"/>
        </w:rPr>
        <w:t xml:space="preserve">标准（菜籽油），在保质期内，有 SC 标志。 </w:t>
      </w:r>
    </w:p>
    <w:p w14:paraId="68C226A0">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（3）面粉必须符合</w:t>
      </w:r>
      <w:r>
        <w:rPr>
          <w:rFonts w:hint="eastAsia" w:ascii="宋体" w:hAnsi="宋体" w:eastAsia="宋体" w:cs="宋体"/>
          <w:color w:val="auto"/>
          <w:sz w:val="24"/>
          <w:szCs w:val="24"/>
          <w:highlight w:val="none"/>
        </w:rPr>
        <w:t>GB/T 1355-2021标准</w:t>
      </w:r>
      <w:r>
        <w:rPr>
          <w:rFonts w:hint="eastAsia" w:ascii="宋体" w:hAnsi="宋体" w:eastAsia="宋体" w:cs="宋体"/>
          <w:sz w:val="24"/>
          <w:szCs w:val="24"/>
          <w:highlight w:val="none"/>
          <w:lang w:val="en-US" w:eastAsia="zh-CN"/>
        </w:rPr>
        <w:t xml:space="preserve">，在保质期内，有 SC 标志。 </w:t>
      </w:r>
    </w:p>
    <w:p w14:paraId="355B9FBE">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（4）副食品、调味品（食盐、味精、酱油、醋等）在保质期内，有 SC 标志。 </w:t>
      </w:r>
    </w:p>
    <w:p w14:paraId="6D232800">
      <w:pPr>
        <w:keepNext w:val="0"/>
        <w:keepLines w:val="0"/>
        <w:pageBreakBefore w:val="0"/>
        <w:widowControl/>
        <w:shd w:val="clear" w:color="auto" w:fill="auto"/>
        <w:kinsoku/>
        <w:wordWrap/>
        <w:overflowPunct/>
        <w:topLinePunct w:val="0"/>
        <w:autoSpaceDE/>
        <w:autoSpaceDN/>
        <w:bidi w:val="0"/>
        <w:spacing w:line="360" w:lineRule="auto"/>
        <w:ind w:right="0" w:rightChars="0"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color w:val="auto"/>
          <w:sz w:val="24"/>
          <w:szCs w:val="24"/>
          <w:highlight w:val="none"/>
        </w:rPr>
        <w:t>鸡蛋和饮用奶必须符合GB 2748-2003《鲜蛋卫生标准》、GB/T 39438-2020《包装鸡蛋》、GB/T 6914-1986《生鲜牛乳收购标准》规定的原奶生产，在保质期内，有“SC”标志</w:t>
      </w:r>
      <w:r>
        <w:rPr>
          <w:rFonts w:hint="eastAsia" w:ascii="宋体" w:hAnsi="宋体" w:eastAsia="宋体" w:cs="宋体"/>
          <w:sz w:val="24"/>
          <w:szCs w:val="24"/>
          <w:highlight w:val="none"/>
          <w:lang w:val="en-US" w:eastAsia="zh-CN"/>
        </w:rPr>
        <w:t xml:space="preserve">。 </w:t>
      </w:r>
    </w:p>
    <w:p w14:paraId="00898920">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（6）配送的鲜肉类必须在定点屠宰场（或宰杀店）宰杀加工，并经动物卫生检疫机构检疫合格，加盖检疫合格印章和屠宰场印章，并附有《动物产品检疫合格证明》。 </w:t>
      </w:r>
    </w:p>
    <w:p w14:paraId="2E92D575">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（7）蔬菜： </w:t>
      </w:r>
    </w:p>
    <w:p w14:paraId="2D01469B">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①叶菜类：新鲜、色泽鲜亮、无腐烂、无干叶、捆把内部无杂乱夹塞，菜品粗细均匀，脆嫩不老，不抽苔。茎部不老化，个体均匀，未发芽、变色。</w:t>
      </w:r>
    </w:p>
    <w:p w14:paraId="5DA55B01">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②根茎类：茎部不老化，个体均匀，未发芽、变色。</w:t>
      </w:r>
    </w:p>
    <w:p w14:paraId="0A99438D">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③花果类：个体均匀，无腐烂、无变色，允许果型有轻微缺点，但不得变形、过熟。</w:t>
      </w:r>
    </w:p>
    <w:p w14:paraId="44FF5B37">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④菇菌类：外形饱满，不发霉、变黑</w:t>
      </w:r>
    </w:p>
    <w:p w14:paraId="0F99DCAB">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（8）保证不使用过期食品，一切原料、辅料须正规渠道供应。</w:t>
      </w:r>
    </w:p>
    <w:p w14:paraId="0405C347">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注：以上食材标准有更新的或其他未明确的原材料采购标准，按国家最新的相关标准执行</w:t>
      </w:r>
    </w:p>
    <w:p w14:paraId="42844E5E">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2.服务质量及要求</w:t>
      </w:r>
    </w:p>
    <w:p w14:paraId="0CF5CF21">
      <w:pPr>
        <w:pStyle w:val="76"/>
        <w:keepNext w:val="0"/>
        <w:keepLines w:val="0"/>
        <w:pageBreakBefore w:val="0"/>
        <w:tabs>
          <w:tab w:val="left" w:pos="1134"/>
          <w:tab w:val="left" w:pos="1418"/>
        </w:tabs>
        <w:kinsoku/>
        <w:wordWrap/>
        <w:overflowPunct/>
        <w:topLinePunct w:val="0"/>
        <w:autoSpaceDE/>
        <w:autoSpaceDN/>
        <w:bidi w:val="0"/>
        <w:adjustRightInd w:val="0"/>
        <w:snapToGrid/>
        <w:spacing w:line="360" w:lineRule="auto"/>
        <w:ind w:left="0" w:leftChars="0" w:firstLine="49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b w:val="0"/>
          <w:bCs/>
          <w:color w:val="auto"/>
          <w:sz w:val="24"/>
          <w:szCs w:val="24"/>
          <w:highlight w:val="none"/>
          <w:lang w:val="en-US" w:eastAsia="zh-CN"/>
        </w:rPr>
        <w:t>乙方提供的货物必须保证质量可靠，进货渠道正常，应全面满足招标文件的要求，招标文件未明确要求的内容，乙方须以甲方的补充要求为准，如发生质量问题由乙方承担全部责任</w:t>
      </w:r>
      <w:r>
        <w:rPr>
          <w:rFonts w:hint="eastAsia" w:ascii="宋体" w:hAnsi="宋体" w:eastAsia="宋体" w:cs="宋体"/>
          <w:sz w:val="24"/>
          <w:szCs w:val="24"/>
          <w:highlight w:val="none"/>
          <w:lang w:val="en-US" w:eastAsia="zh-CN"/>
        </w:rPr>
        <w:t xml:space="preserve">； </w:t>
      </w:r>
    </w:p>
    <w:p w14:paraId="2C30608A">
      <w:pPr>
        <w:pageBreakBefore w:val="0"/>
        <w:widowControl/>
        <w:shd w:val="clear" w:color="auto" w:fill="auto"/>
        <w:kinsoku/>
        <w:wordWrap/>
        <w:overflowPunct/>
        <w:topLinePunct w:val="0"/>
        <w:autoSpaceDE/>
        <w:autoSpaceDN/>
        <w:bidi w:val="0"/>
        <w:spacing w:line="360" w:lineRule="auto"/>
        <w:ind w:right="-230" w:rightChars="-94" w:firstLine="367"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（2）按照甲方年初设定的采购份额完成贫困地区农副产品采购任务；具体份额以甲方下发文件要求为准； </w:t>
      </w:r>
    </w:p>
    <w:p w14:paraId="00586974">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甲方的权利及义务</w:t>
      </w:r>
    </w:p>
    <w:p w14:paraId="4E974171">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乙方提供的产品不符合要求，甲方有权拒收产品且由此造成的直接损失均由乙方承担责任。</w:t>
      </w:r>
    </w:p>
    <w:p w14:paraId="6B18AA4D">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spacing w:val="5"/>
          <w:sz w:val="24"/>
          <w:szCs w:val="24"/>
          <w:highlight w:val="none"/>
        </w:rPr>
        <w:t>甲方有权监督乙方的原材料采购配送工作。</w:t>
      </w:r>
    </w:p>
    <w:p w14:paraId="54620EEB">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甲方应当按照合同约定，履行结算和支付货款义务。</w:t>
      </w:r>
    </w:p>
    <w:p w14:paraId="7F4D4852">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甲方在收到产品后，应进行核实，组织人员进行到货验收，如发现质量不符合要求或短缺，及时提出。</w:t>
      </w:r>
    </w:p>
    <w:p w14:paraId="234F1213">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对应急食品采购有自主权，</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有权直接采购，不受</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和本项目制约。</w:t>
      </w:r>
    </w:p>
    <w:p w14:paraId="2A1FA8FC">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有权随时抽查</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配送</w:t>
      </w:r>
      <w:r>
        <w:rPr>
          <w:rFonts w:hint="eastAsia" w:ascii="宋体" w:hAnsi="宋体" w:eastAsia="宋体" w:cs="宋体"/>
          <w:sz w:val="24"/>
          <w:szCs w:val="24"/>
          <w:highlight w:val="none"/>
        </w:rPr>
        <w:t>食品入货或进行市场调查，发现</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有虚报或隐瞒</w:t>
      </w:r>
      <w:r>
        <w:rPr>
          <w:rFonts w:hint="eastAsia" w:ascii="宋体" w:hAnsi="宋体" w:eastAsia="宋体" w:cs="宋体"/>
          <w:sz w:val="24"/>
          <w:szCs w:val="24"/>
          <w:highlight w:val="none"/>
          <w:lang w:eastAsia="zh-CN"/>
        </w:rPr>
        <w:t>配送</w:t>
      </w:r>
      <w:r>
        <w:rPr>
          <w:rFonts w:hint="eastAsia" w:ascii="宋体" w:hAnsi="宋体" w:eastAsia="宋体" w:cs="宋体"/>
          <w:sz w:val="24"/>
          <w:szCs w:val="24"/>
          <w:highlight w:val="none"/>
        </w:rPr>
        <w:t>食品市场价存在欺骗行为，</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有权取消其中标资格，终止合同。</w:t>
      </w:r>
    </w:p>
    <w:p w14:paraId="269BA343">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第六条   </w:t>
      </w:r>
      <w:r>
        <w:rPr>
          <w:rFonts w:hint="eastAsia" w:ascii="宋体" w:hAnsi="宋体" w:eastAsia="宋体" w:cs="宋体"/>
          <w:b/>
          <w:bCs/>
          <w:sz w:val="24"/>
          <w:szCs w:val="24"/>
          <w:highlight w:val="none"/>
          <w:lang w:val="en-US" w:eastAsia="zh-CN"/>
        </w:rPr>
        <w:t>乙</w:t>
      </w:r>
      <w:r>
        <w:rPr>
          <w:rFonts w:hint="eastAsia" w:ascii="宋体" w:hAnsi="宋体" w:eastAsia="宋体" w:cs="宋体"/>
          <w:b/>
          <w:bCs/>
          <w:sz w:val="24"/>
          <w:szCs w:val="24"/>
          <w:highlight w:val="none"/>
        </w:rPr>
        <w:t>方的权利及义务</w:t>
      </w:r>
    </w:p>
    <w:p w14:paraId="5BFCE739">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kern w:val="0"/>
          <w:sz w:val="24"/>
          <w:szCs w:val="24"/>
          <w:highlight w:val="none"/>
          <w:lang w:val="en-US" w:eastAsia="zh-CN"/>
        </w:rPr>
        <w:t>乙方需指派一名项目负责人，项目负责人负责与甲方的联系沟通。</w:t>
      </w:r>
    </w:p>
    <w:p w14:paraId="70DA9225">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kern w:val="0"/>
          <w:sz w:val="24"/>
          <w:szCs w:val="24"/>
          <w:highlight w:val="none"/>
          <w:lang w:val="en-US" w:eastAsia="zh-CN"/>
        </w:rPr>
        <w:t>乙方项目负责人：</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 xml:space="preserve"> 身份证号：</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none"/>
          <w:lang w:val="en-US" w:eastAsia="zh-CN"/>
        </w:rPr>
        <w:t xml:space="preserve"> </w:t>
      </w:r>
      <w:r>
        <w:rPr>
          <w:rFonts w:hint="eastAsia" w:ascii="宋体" w:hAnsi="宋体" w:eastAsia="宋体" w:cs="宋体"/>
          <w:kern w:val="0"/>
          <w:sz w:val="24"/>
          <w:szCs w:val="24"/>
          <w:highlight w:val="none"/>
          <w:lang w:val="en-US" w:eastAsia="zh-CN"/>
        </w:rPr>
        <w:t>联系电话：</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按甲方要求组织保质、保量、按期完成交货任务，解决由乙方负责的各项事宜。</w:t>
      </w:r>
    </w:p>
    <w:p w14:paraId="78E1D122">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乙方应按照《中华人民共和国食品安全法》、《农产品质量安全法》等相关法律法规规定，提供产品检验合格证等相关证明，负责食品安全。发生食品安全问题，由乙方自行承担与此相关的一切责任；若导致甲方承担责任的，甲方有权向乙方追偿。</w:t>
      </w:r>
    </w:p>
    <w:p w14:paraId="37DA2143">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3.乙方必须确保配送人员遵守甲方相关的规章制度，服从甲方的管理。</w:t>
      </w:r>
    </w:p>
    <w:p w14:paraId="33603683">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4.乙方必须建立配送、验收台账，注明时间、数量、规格、货源、送货人、验收人、验收情况等相关信息。</w:t>
      </w:r>
    </w:p>
    <w:p w14:paraId="1A08028D">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乙方应当按照甲方采购通知要求的时间、数量运送至甲方指定地点。乙方所提供的产品必须是采购需求产品，运输过程中安全由乙方负责。采购货物在运送到甲方指定地点过程中发生毁损、变质的风险由乙方承担。</w:t>
      </w:r>
    </w:p>
    <w:p w14:paraId="65DD23E8">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6.乙方负责产品的装卸工作，如有磕碰、污染、损坏等情况发生，由乙方承担。</w:t>
      </w:r>
    </w:p>
    <w:p w14:paraId="21D48140">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7.乙方提供的产品，必须符合合同约定的要求，并随货附带产品合格证、该批次检验报告等。</w:t>
      </w:r>
    </w:p>
    <w:p w14:paraId="5C61F9C5">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乙方依法与其人员建立劳动合同关系以及社会保险关系或劳务合同关系，该员工与甲方无任何劳动合同关系及社会保险关系或劳务合同关系，乙方人员工资、假期、福利、社保等均与甲方无关，若因前述关系发生纠纷的，由乙方承担所有责任，导致甲方承担责任的，甲方有权向乙方追偿。</w:t>
      </w:r>
    </w:p>
    <w:p w14:paraId="0375BF8E">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9.因乙方提供产品的品种、规格、包装等不符合采购要求，乙方负责及时退换并承担直接损失。</w:t>
      </w:r>
    </w:p>
    <w:p w14:paraId="6F8D42DE">
      <w:pPr>
        <w:keepNext w:val="0"/>
        <w:keepLines w:val="0"/>
        <w:pageBreakBefore w:val="0"/>
        <w:kinsoku/>
        <w:wordWrap/>
        <w:overflowPunct/>
        <w:topLinePunct w:val="0"/>
        <w:autoSpaceDE/>
        <w:autoSpaceDN/>
        <w:bidi w:val="0"/>
        <w:snapToGrid/>
        <w:spacing w:line="360" w:lineRule="auto"/>
        <w:ind w:firstLine="49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10.由于乙方原因，造成供货期延误的，甲方有权拒收并有权从他处采购产品，所产生的费用由乙方承担。</w:t>
      </w:r>
    </w:p>
    <w:p w14:paraId="2200A33F">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kern w:val="0"/>
          <w:sz w:val="24"/>
          <w:szCs w:val="24"/>
          <w:highlight w:val="none"/>
          <w:lang w:val="en-US" w:eastAsia="zh-CN"/>
        </w:rPr>
        <w:t xml:space="preserve">乙方应承担工作现场的责任和风险以及期间发生的一切费用，乙方若因工作现场而发生的人身伤亡、财产或其他损失，不论何种原因所造成，甲方均不承担责任。 </w:t>
      </w:r>
    </w:p>
    <w:p w14:paraId="225374F5">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12.接受甲方的管理、监督、检查和考核，对甲方发出的整改通知，应及时按甲方的要求进行整改。</w:t>
      </w:r>
    </w:p>
    <w:p w14:paraId="73214708">
      <w:pPr>
        <w:pStyle w:val="2"/>
        <w:pageBreakBefore w:val="0"/>
        <w:kinsoku/>
        <w:wordWrap/>
        <w:overflowPunct/>
        <w:topLinePunct w:val="0"/>
        <w:autoSpaceDE/>
        <w:autoSpaceDN/>
        <w:bidi w:val="0"/>
        <w:spacing w:line="360" w:lineRule="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13.</w:t>
      </w:r>
      <w:r>
        <w:rPr>
          <w:rFonts w:hint="eastAsia" w:ascii="宋体" w:hAnsi="宋体" w:eastAsia="宋体" w:cs="宋体"/>
          <w:kern w:val="0"/>
          <w:sz w:val="24"/>
          <w:szCs w:val="24"/>
          <w:highlight w:val="none"/>
          <w:lang w:val="en-US" w:eastAsia="zh-CN" w:bidi="ar-SA"/>
        </w:rPr>
        <w:t>乙方未经甲方书面同意，不得向任何第三方透露本合同内容。甲方未经乙方书面同意，不得将本合同的报价和折扣向任何第三方透露，亦不得将相关的资料和使用说明书提供给任何第三方。</w:t>
      </w:r>
    </w:p>
    <w:p w14:paraId="3F599B8A">
      <w:pPr>
        <w:pageBreakBefore w:val="0"/>
        <w:kinsoku/>
        <w:wordWrap/>
        <w:overflowPunct/>
        <w:topLinePunct w:val="0"/>
        <w:autoSpaceDE/>
        <w:autoSpaceDN/>
        <w:bidi w:val="0"/>
        <w:spacing w:line="360" w:lineRule="auto"/>
        <w:jc w:val="both"/>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第七条 包装、运输及保管</w:t>
      </w:r>
    </w:p>
    <w:p w14:paraId="1FCD09E6">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包装必须与运输方式相适应，包装方式的确定及包装费用均由</w:t>
      </w:r>
      <w:r>
        <w:rPr>
          <w:rFonts w:hint="eastAsia" w:ascii="宋体" w:hAnsi="宋体" w:eastAsia="宋体" w:cs="宋体"/>
          <w:b w:val="0"/>
          <w:bCs w:val="0"/>
          <w:sz w:val="24"/>
          <w:szCs w:val="24"/>
          <w:highlight w:val="none"/>
          <w:lang w:eastAsia="zh-CN"/>
        </w:rPr>
        <w:t>乙方</w:t>
      </w:r>
      <w:r>
        <w:rPr>
          <w:rFonts w:hint="eastAsia" w:ascii="宋体" w:hAnsi="宋体" w:eastAsia="宋体" w:cs="宋体"/>
          <w:b w:val="0"/>
          <w:bCs w:val="0"/>
          <w:sz w:val="24"/>
          <w:szCs w:val="24"/>
          <w:highlight w:val="none"/>
        </w:rPr>
        <w:t>负责；由于不适当的包装而造成货物在运输过程中有任何损坏、丢失由</w:t>
      </w:r>
      <w:r>
        <w:rPr>
          <w:rFonts w:hint="eastAsia" w:ascii="宋体" w:hAnsi="宋体" w:eastAsia="宋体" w:cs="宋体"/>
          <w:b w:val="0"/>
          <w:bCs w:val="0"/>
          <w:sz w:val="24"/>
          <w:szCs w:val="24"/>
          <w:highlight w:val="none"/>
          <w:lang w:eastAsia="zh-CN"/>
        </w:rPr>
        <w:t>乙方</w:t>
      </w:r>
      <w:r>
        <w:rPr>
          <w:rFonts w:hint="eastAsia" w:ascii="宋体" w:hAnsi="宋体" w:eastAsia="宋体" w:cs="宋体"/>
          <w:b w:val="0"/>
          <w:bCs w:val="0"/>
          <w:sz w:val="24"/>
          <w:szCs w:val="24"/>
          <w:highlight w:val="none"/>
        </w:rPr>
        <w:t>负责。</w:t>
      </w:r>
    </w:p>
    <w:p w14:paraId="4BADADED">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w:t>
      </w:r>
      <w:r>
        <w:rPr>
          <w:rFonts w:hint="eastAsia" w:ascii="宋体" w:hAnsi="宋体" w:eastAsia="宋体" w:cs="宋体"/>
          <w:b w:val="0"/>
          <w:bCs w:val="0"/>
          <w:sz w:val="24"/>
          <w:szCs w:val="24"/>
          <w:highlight w:val="none"/>
        </w:rPr>
        <w:t>包装应足以承受整个过程的运输、转运、装卸、存储等，充分考虑到运输途中的各种情况（如暴露于恶劣气候等），以及露天存放的需要。</w:t>
      </w:r>
    </w:p>
    <w:p w14:paraId="4FF7D6D1">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运输工具应清洁卫生无污染：食品运输必须采用符合卫生标准的外包装和运载工具，并且要保持清洁和定期消毒，配送工作人员必须持健康证上岗。运输车厢的内仓，包括地面、墙面和顶，应使用抗腐蚀、防潮，易清洁消毒的材料。车厢内无不良气味、异味；运输途中严防日晒、雨淋，注意通风散热。食品堆放科学合理，避免造成食品的交叉污染；如对温度有要求的食品应确定食品的温度。乙方按规定进入配送地点的配送人员及运输工具，必须接受甲方统一管理，否则发生问题，由乙方承担责任。</w:t>
      </w:r>
    </w:p>
    <w:p w14:paraId="13C1F58B">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送货时间要求：在规定的时间内按甲方的要求将货物送至甲方指定食堂，提供7×24免费上门配送服务，甲方下单后，乙方收到甲方下单确认后2小时内将食品配送到甲方指定地点。遇到特殊情况，乙方必须听从甲方的调度指挥。有临时需要增加配送，按约定时间内执行。</w:t>
      </w:r>
    </w:p>
    <w:p w14:paraId="4507B84B">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5.货物在现场的保管由乙方负责，直至验收完毕。</w:t>
      </w:r>
    </w:p>
    <w:p w14:paraId="757CF2C0">
      <w:pPr>
        <w:pageBreakBefore w:val="0"/>
        <w:kinsoku/>
        <w:wordWrap/>
        <w:overflowPunct/>
        <w:topLinePunct w:val="0"/>
        <w:autoSpaceDE/>
        <w:autoSpaceDN/>
        <w:bidi w:val="0"/>
        <w:spacing w:line="360" w:lineRule="auto"/>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 xml:space="preserve">条 </w:t>
      </w:r>
      <w:r>
        <w:rPr>
          <w:rFonts w:hint="eastAsia" w:ascii="宋体" w:hAnsi="宋体" w:eastAsia="宋体" w:cs="宋体"/>
          <w:b/>
          <w:bCs/>
          <w:sz w:val="24"/>
          <w:szCs w:val="24"/>
          <w:highlight w:val="none"/>
          <w:lang w:eastAsia="zh-CN"/>
        </w:rPr>
        <w:t>验收</w:t>
      </w:r>
    </w:p>
    <w:p w14:paraId="30BADE24">
      <w:pPr>
        <w:pStyle w:val="76"/>
        <w:keepNext w:val="0"/>
        <w:keepLines w:val="0"/>
        <w:pageBreakBefore w:val="0"/>
        <w:tabs>
          <w:tab w:val="left" w:pos="1134"/>
          <w:tab w:val="left" w:pos="1418"/>
        </w:tabs>
        <w:kinsoku/>
        <w:wordWrap/>
        <w:overflowPunct/>
        <w:topLinePunct w:val="0"/>
        <w:autoSpaceDE/>
        <w:autoSpaceDN/>
        <w:bidi w:val="0"/>
        <w:adjustRightInd w:val="0"/>
        <w:snapToGrid/>
        <w:spacing w:line="360" w:lineRule="auto"/>
        <w:ind w:left="0" w:leftChars="0" w:firstLine="49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验收由甲方组织，乙方配合，并按下列程序及标准进行，按照国家法律法规和招标文件、投标文件、采购合同及补充协议进行验收。由乙方、财务及厨师组成三方验收小组，严格按照数量、质量、品牌、规格、产品要求进行验收，验收标准如下：</w:t>
      </w:r>
    </w:p>
    <w:p w14:paraId="33CF8DA6">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验收标准如下：</w:t>
      </w:r>
    </w:p>
    <w:p w14:paraId="61850D24">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(1)定型包装食品，应检验包装标识或者产品说明书是否标出品名、产地、厂名、生产日期、批号或者代号、规格、配方或者</w:t>
      </w:r>
      <w:r>
        <w:rPr>
          <w:rFonts w:hint="eastAsia" w:ascii="宋体" w:hAnsi="宋体" w:eastAsia="宋体" w:cs="宋体"/>
          <w:sz w:val="24"/>
          <w:szCs w:val="24"/>
          <w:highlight w:val="none"/>
          <w:lang w:eastAsia="zh-CN"/>
        </w:rPr>
        <w:t>主要成分</w:t>
      </w:r>
      <w:r>
        <w:rPr>
          <w:rFonts w:hint="eastAsia" w:ascii="宋体" w:hAnsi="宋体" w:eastAsia="宋体" w:cs="宋体"/>
          <w:sz w:val="24"/>
          <w:szCs w:val="24"/>
          <w:highlight w:val="none"/>
        </w:rPr>
        <w:t>、保质期限、食用或者使用方法等，防止购进假冒伪劣产品，禁止“三无”产品进入食堂；</w:t>
      </w:r>
    </w:p>
    <w:p w14:paraId="24DCB5C0">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主要食材中的定型包装食品，如米面油类，供应商需要提供三证，即生产厂家的卫生许可证(若非从厂家直接采购的还需同时提供供货单位的卫生许可证)复印件；批次产品卫生主管部门的检验报告；送货人员的健康证明；</w:t>
      </w:r>
    </w:p>
    <w:p w14:paraId="2E245F44">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(3)包装污秽不洁、严重破损、运输工具不洁等造成污染的产品不得验收通过；</w:t>
      </w:r>
    </w:p>
    <w:p w14:paraId="7243BC6F">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(4)非定型包装的食材 (或原材料)需进行感官检查：若发现腐败变质、油脂酸度、霉变、生虫、不洁，混有异物或者其他感官性状异常现象，不得验收通过；未经卫生检验部门或者检验不合格的肉类及其制品不得验收通过；掺假、掺杂、伪造的食品不得验收通过。</w:t>
      </w:r>
    </w:p>
    <w:p w14:paraId="24A452ED">
      <w:pPr>
        <w:pageBreakBefore w:val="0"/>
        <w:kinsoku/>
        <w:wordWrap/>
        <w:overflowPunct/>
        <w:topLinePunct w:val="0"/>
        <w:autoSpaceDE/>
        <w:autoSpaceDN/>
        <w:bidi w:val="0"/>
        <w:spacing w:line="360" w:lineRule="auto"/>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每次随货送上一式三份的送货清单，供双方验货后签字确认，</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两份、</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一份作为送、收货的凭证。</w:t>
      </w:r>
    </w:p>
    <w:p w14:paraId="0B629C40">
      <w:pPr>
        <w:pageBreakBefore w:val="0"/>
        <w:widowControl/>
        <w:shd w:val="clear" w:color="auto" w:fill="auto"/>
        <w:kinsoku/>
        <w:wordWrap/>
        <w:overflowPunct/>
        <w:topLinePunct w:val="0"/>
        <w:autoSpaceDE/>
        <w:autoSpaceDN/>
        <w:bidi w:val="0"/>
        <w:spacing w:line="360" w:lineRule="auto"/>
        <w:ind w:right="-230" w:rightChars="-94"/>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第九条 </w:t>
      </w:r>
      <w:r>
        <w:rPr>
          <w:rFonts w:hint="eastAsia" w:ascii="宋体" w:hAnsi="宋体" w:eastAsia="宋体" w:cs="宋体"/>
          <w:b/>
          <w:bCs/>
          <w:sz w:val="24"/>
          <w:szCs w:val="24"/>
          <w:highlight w:val="none"/>
        </w:rPr>
        <w:t>违约责任</w:t>
      </w:r>
    </w:p>
    <w:p w14:paraId="448C5C55">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1.按《中华人民共和国民法典》中的相关条款执行。</w:t>
      </w:r>
    </w:p>
    <w:p w14:paraId="391F57C3">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2.乙方</w:t>
      </w:r>
      <w:r>
        <w:rPr>
          <w:rFonts w:hint="eastAsia" w:ascii="宋体" w:hAnsi="宋体" w:eastAsia="宋体" w:cs="宋体"/>
          <w:spacing w:val="0"/>
          <w:sz w:val="24"/>
          <w:szCs w:val="24"/>
          <w:highlight w:val="none"/>
          <w:lang w:val="en-US" w:eastAsia="zh-CN"/>
        </w:rPr>
        <w:t>所提供的食材</w:t>
      </w:r>
      <w:r>
        <w:rPr>
          <w:rFonts w:hint="eastAsia" w:ascii="宋体" w:hAnsi="宋体" w:eastAsia="宋体" w:cs="宋体"/>
          <w:spacing w:val="0"/>
          <w:sz w:val="24"/>
          <w:szCs w:val="24"/>
          <w:highlight w:val="none"/>
        </w:rPr>
        <w:t>质量不符合本合同的约定，甲方有权拒收并拒付相应货款或者要求乙方予以更换、补足，乙方应在甲方指定时间内自费向甲方补足或更换，由此导致迟延交货的，乙方应按第1款规定承担迟延交货的违约责任,由此造成的经济损失由乙方承担。逾期不能更换合格的货物，甲方有权终止本合同。</w:t>
      </w:r>
    </w:p>
    <w:p w14:paraId="4216278E">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3.</w:t>
      </w:r>
      <w:r>
        <w:rPr>
          <w:rFonts w:hint="eastAsia" w:ascii="宋体" w:hAnsi="宋体" w:eastAsia="宋体" w:cs="宋体"/>
          <w:spacing w:val="0"/>
          <w:sz w:val="24"/>
          <w:szCs w:val="24"/>
          <w:highlight w:val="none"/>
        </w:rPr>
        <w:t>由于乙方原因主动放弃与甲方合作，乙方除赔偿甲方全部经济损失外，还</w:t>
      </w:r>
      <w:r>
        <w:rPr>
          <w:rFonts w:hint="eastAsia" w:ascii="宋体" w:hAnsi="宋体" w:eastAsia="宋体" w:cs="宋体"/>
          <w:spacing w:val="0"/>
          <w:sz w:val="24"/>
          <w:szCs w:val="24"/>
          <w:highlight w:val="none"/>
          <w:lang w:val="en-US" w:eastAsia="zh-CN"/>
        </w:rPr>
        <w:t>应向甲方支付违约金，违约金金额为合同总额的5%。</w:t>
      </w:r>
    </w:p>
    <w:p w14:paraId="0DC591FC">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4.</w:t>
      </w:r>
      <w:r>
        <w:rPr>
          <w:rFonts w:hint="eastAsia" w:ascii="宋体" w:hAnsi="宋体" w:eastAsia="宋体" w:cs="宋体"/>
          <w:spacing w:val="0"/>
          <w:sz w:val="24"/>
          <w:szCs w:val="24"/>
          <w:highlight w:val="none"/>
        </w:rPr>
        <w:t>因乙方</w:t>
      </w:r>
      <w:r>
        <w:rPr>
          <w:rFonts w:hint="eastAsia" w:ascii="宋体" w:hAnsi="宋体" w:eastAsia="宋体" w:cs="宋体"/>
          <w:spacing w:val="0"/>
          <w:sz w:val="24"/>
          <w:szCs w:val="24"/>
          <w:highlight w:val="none"/>
          <w:lang w:val="en-US" w:eastAsia="zh-CN"/>
        </w:rPr>
        <w:t>服务</w:t>
      </w:r>
      <w:r>
        <w:rPr>
          <w:rFonts w:hint="eastAsia" w:ascii="宋体" w:hAnsi="宋体" w:eastAsia="宋体" w:cs="宋体"/>
          <w:spacing w:val="0"/>
          <w:sz w:val="24"/>
          <w:szCs w:val="24"/>
          <w:highlight w:val="none"/>
        </w:rPr>
        <w:t>质量问题造成的甲方经济损失及食品安全事故等，由乙方承担并负责赔偿。</w:t>
      </w:r>
    </w:p>
    <w:p w14:paraId="112A8F19">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5.乙方供货期内，提供的食材质量、配送时间明显达不到同类货物质量，经甲方协调后，仍不能达成一致的，甲方有权从别的供应商处进行采购。</w:t>
      </w:r>
    </w:p>
    <w:p w14:paraId="64754E29">
      <w:pPr>
        <w:pStyle w:val="106"/>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eastAsia" w:ascii="宋体" w:hAnsi="宋体" w:eastAsia="宋体" w:cs="宋体"/>
          <w:b/>
          <w:bCs/>
          <w:sz w:val="24"/>
          <w:szCs w:val="24"/>
          <w:highlight w:val="none"/>
        </w:rPr>
      </w:pPr>
      <w:r>
        <w:rPr>
          <w:rFonts w:hint="eastAsia" w:ascii="宋体" w:hAnsi="宋体" w:eastAsia="宋体" w:cs="宋体"/>
          <w:spacing w:val="0"/>
          <w:sz w:val="24"/>
          <w:szCs w:val="24"/>
          <w:highlight w:val="none"/>
          <w:lang w:val="en-US" w:eastAsia="zh-CN"/>
        </w:rPr>
        <w:t>6.本合同项下乙方应付的违约金、损害赔偿金及其它应付费用，甲方有权直接从货款中扣除。</w:t>
      </w:r>
    </w:p>
    <w:p w14:paraId="60837FAD">
      <w:pPr>
        <w:pStyle w:val="104"/>
        <w:pageBreakBefore w:val="0"/>
        <w:widowControl/>
        <w:shd w:val="clear" w:color="auto" w:fill="auto"/>
        <w:kinsoku/>
        <w:wordWrap/>
        <w:overflowPunct/>
        <w:topLinePunct w:val="0"/>
        <w:autoSpaceDE/>
        <w:autoSpaceDN/>
        <w:bidi w:val="0"/>
        <w:spacing w:line="360" w:lineRule="auto"/>
        <w:ind w:firstLine="245" w:firstLineChars="1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十</w:t>
      </w:r>
      <w:r>
        <w:rPr>
          <w:rFonts w:hint="eastAsia" w:ascii="宋体" w:hAnsi="宋体" w:eastAsia="宋体" w:cs="宋体"/>
          <w:b/>
          <w:bCs/>
          <w:sz w:val="24"/>
          <w:szCs w:val="24"/>
          <w:highlight w:val="none"/>
        </w:rPr>
        <w:t>条  合同终止</w:t>
      </w:r>
    </w:p>
    <w:p w14:paraId="063F7E4D">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1.合同期间任何一方不得随意终止合同。 </w:t>
      </w:r>
    </w:p>
    <w:p w14:paraId="795CAE5C">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2.本合同规定的履行期限届满，合同自动终止。 </w:t>
      </w:r>
    </w:p>
    <w:p w14:paraId="31156A97">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3.因双方机构撤并、职能调整等原因，确需终止合同的，双方可协商终止合同。 </w:t>
      </w:r>
    </w:p>
    <w:p w14:paraId="4E1B6B69">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4.乙方应自觉遵守甲方工作纪律、规章制度，服从甲方管理。因乙方原因给甲方造成严重后果，甲方可以单方面解除合同。</w:t>
      </w:r>
    </w:p>
    <w:p w14:paraId="33B7A95D">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十一</w:t>
      </w:r>
      <w:r>
        <w:rPr>
          <w:rFonts w:hint="eastAsia" w:ascii="宋体" w:hAnsi="宋体" w:eastAsia="宋体" w:cs="宋体"/>
          <w:b/>
          <w:bCs/>
          <w:kern w:val="0"/>
          <w:sz w:val="24"/>
          <w:szCs w:val="24"/>
          <w:highlight w:val="none"/>
        </w:rPr>
        <w:t xml:space="preserve">条  </w:t>
      </w:r>
      <w:r>
        <w:rPr>
          <w:rFonts w:hint="eastAsia" w:ascii="宋体" w:hAnsi="宋体" w:eastAsia="宋体" w:cs="宋体"/>
          <w:b/>
          <w:bCs/>
          <w:kern w:val="0"/>
          <w:sz w:val="24"/>
          <w:szCs w:val="24"/>
          <w:highlight w:val="none"/>
          <w:lang w:val="en-US" w:eastAsia="zh-CN"/>
        </w:rPr>
        <w:t>保密协议</w:t>
      </w:r>
    </w:p>
    <w:p w14:paraId="40125DD1">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对本合同的内容，以及在本合同履行过程中获得的对方的信息，均负有保密义务。除甲乙双方另有约定外，保密义务是指在未经对方书面同意前，一方不得将保密信息用于任何与履行本合同无关的情况；或以任何形式向任何第三方泄露。双方均有义务尽其一切努力防止任何第三方窃取秘密信息。由于任何一方违反以上保密义务给对方造成损失，违约方对受损失方负有停止侵害、消除影响、赔偿损失的责任。</w:t>
      </w:r>
    </w:p>
    <w:p w14:paraId="72B6FEC0">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 xml:space="preserve">第十二条 </w:t>
      </w:r>
      <w:r>
        <w:rPr>
          <w:rFonts w:hint="eastAsia" w:ascii="宋体" w:hAnsi="宋体" w:eastAsia="宋体" w:cs="宋体"/>
          <w:b/>
          <w:bCs/>
          <w:kern w:val="0"/>
          <w:sz w:val="24"/>
          <w:szCs w:val="24"/>
          <w:highlight w:val="none"/>
        </w:rPr>
        <w:fldChar w:fldCharType="begin"/>
      </w:r>
      <w:r>
        <w:rPr>
          <w:rFonts w:hint="eastAsia" w:ascii="宋体" w:hAnsi="宋体" w:eastAsia="宋体" w:cs="宋体"/>
          <w:b/>
          <w:bCs/>
          <w:kern w:val="0"/>
          <w:sz w:val="24"/>
          <w:szCs w:val="24"/>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bCs/>
          <w:kern w:val="0"/>
          <w:sz w:val="24"/>
          <w:szCs w:val="24"/>
          <w:highlight w:val="none"/>
        </w:rPr>
        <w:fldChar w:fldCharType="separate"/>
      </w:r>
      <w:r>
        <w:rPr>
          <w:rFonts w:hint="eastAsia" w:ascii="宋体" w:hAnsi="宋体" w:eastAsia="宋体" w:cs="宋体"/>
          <w:b/>
          <w:bCs/>
          <w:kern w:val="0"/>
          <w:sz w:val="24"/>
          <w:szCs w:val="24"/>
          <w:highlight w:val="none"/>
        </w:rPr>
        <w:t>不可抗力</w:t>
      </w:r>
      <w:r>
        <w:rPr>
          <w:rFonts w:hint="eastAsia" w:ascii="宋体" w:hAnsi="宋体" w:eastAsia="宋体" w:cs="宋体"/>
          <w:b/>
          <w:bCs/>
          <w:kern w:val="0"/>
          <w:sz w:val="24"/>
          <w:szCs w:val="24"/>
          <w:highlight w:val="none"/>
        </w:rPr>
        <w:fldChar w:fldCharType="end"/>
      </w:r>
    </w:p>
    <w:p w14:paraId="369C087A">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393FF954">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十三</w:t>
      </w:r>
      <w:r>
        <w:rPr>
          <w:rFonts w:hint="eastAsia" w:ascii="宋体" w:hAnsi="宋体" w:eastAsia="宋体" w:cs="宋体"/>
          <w:b/>
          <w:bCs/>
          <w:kern w:val="0"/>
          <w:sz w:val="24"/>
          <w:szCs w:val="24"/>
          <w:highlight w:val="none"/>
        </w:rPr>
        <w:t>条  争议解决</w:t>
      </w:r>
    </w:p>
    <w:p w14:paraId="4797BFF7">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双方本着友好合作的态度,对合同履行过程中发生的</w:t>
      </w:r>
      <w:r>
        <w:rPr>
          <w:rFonts w:hint="eastAsia" w:ascii="宋体" w:hAnsi="宋体" w:eastAsia="宋体" w:cs="宋体"/>
          <w:kern w:val="0"/>
          <w:sz w:val="24"/>
          <w:szCs w:val="24"/>
          <w:highlight w:val="none"/>
          <w:lang w:val="en-US" w:eastAsia="zh-CN"/>
        </w:rPr>
        <w:fldChar w:fldCharType="begin"/>
      </w:r>
      <w:r>
        <w:rPr>
          <w:rFonts w:hint="eastAsia" w:ascii="宋体" w:hAnsi="宋体" w:eastAsia="宋体" w:cs="宋体"/>
          <w:kern w:val="0"/>
          <w:sz w:val="24"/>
          <w:szCs w:val="24"/>
          <w:highlight w:val="none"/>
          <w:lang w:val="en-US" w:eastAsia="zh-CN"/>
        </w:rPr>
        <w:instrText xml:space="preserve"> HYPERLINK "http://set2.mail.qq.com/cgi-bin/mail_spam?action=check_link&amp;spam=0&amp;url=http%3A%2F%2Fbaike%2Ebaidu%2Ecom%2Fview%2F322875%2Ehtm" </w:instrText>
      </w:r>
      <w:r>
        <w:rPr>
          <w:rFonts w:hint="eastAsia" w:ascii="宋体" w:hAnsi="宋体" w:eastAsia="宋体" w:cs="宋体"/>
          <w:kern w:val="0"/>
          <w:sz w:val="24"/>
          <w:szCs w:val="24"/>
          <w:highlight w:val="none"/>
          <w:lang w:val="en-US" w:eastAsia="zh-CN"/>
        </w:rPr>
        <w:fldChar w:fldCharType="separate"/>
      </w:r>
      <w:r>
        <w:rPr>
          <w:rFonts w:hint="eastAsia" w:ascii="宋体" w:hAnsi="宋体" w:eastAsia="宋体" w:cs="宋体"/>
          <w:kern w:val="0"/>
          <w:sz w:val="24"/>
          <w:szCs w:val="24"/>
          <w:highlight w:val="none"/>
          <w:lang w:val="en-US" w:eastAsia="zh-CN"/>
        </w:rPr>
        <w:t>纠纷</w:t>
      </w:r>
      <w:r>
        <w:rPr>
          <w:rFonts w:hint="eastAsia" w:ascii="宋体" w:hAnsi="宋体" w:eastAsia="宋体" w:cs="宋体"/>
          <w:kern w:val="0"/>
          <w:sz w:val="24"/>
          <w:szCs w:val="24"/>
          <w:highlight w:val="none"/>
          <w:lang w:val="en-US" w:eastAsia="zh-CN"/>
        </w:rPr>
        <w:fldChar w:fldCharType="end"/>
      </w:r>
      <w:r>
        <w:rPr>
          <w:rFonts w:hint="eastAsia" w:ascii="宋体" w:hAnsi="宋体" w:eastAsia="宋体" w:cs="宋体"/>
          <w:kern w:val="0"/>
          <w:sz w:val="24"/>
          <w:szCs w:val="24"/>
          <w:highlight w:val="none"/>
          <w:lang w:val="en-US" w:eastAsia="zh-CN"/>
        </w:rPr>
        <w:t>应及时协商解决,协商不成，向甲方所在地人民法院诉讼解决。</w:t>
      </w:r>
    </w:p>
    <w:p w14:paraId="541F7641">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四</w:t>
      </w:r>
      <w:r>
        <w:rPr>
          <w:rFonts w:hint="eastAsia" w:ascii="宋体" w:hAnsi="宋体" w:eastAsia="宋体" w:cs="宋体"/>
          <w:b/>
          <w:bCs/>
          <w:kern w:val="0"/>
          <w:sz w:val="24"/>
          <w:szCs w:val="24"/>
          <w:highlight w:val="none"/>
        </w:rPr>
        <w:t>条  监督和管理</w:t>
      </w:r>
    </w:p>
    <w:p w14:paraId="2E4856D4">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27E1D71D">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2.甲乙双方均应自觉配合有关监督管理部门对合同履行情况的监督检查，如实反映情况，提供有关资料；否则，将对有关单位、当事人按照有关规定予以处罚。</w:t>
      </w:r>
    </w:p>
    <w:p w14:paraId="2069A2DE">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五</w:t>
      </w:r>
      <w:r>
        <w:rPr>
          <w:rFonts w:hint="eastAsia" w:ascii="宋体" w:hAnsi="宋体" w:eastAsia="宋体" w:cs="宋体"/>
          <w:b/>
          <w:bCs/>
          <w:kern w:val="0"/>
          <w:sz w:val="24"/>
          <w:szCs w:val="24"/>
          <w:highlight w:val="none"/>
        </w:rPr>
        <w:t xml:space="preserve">条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b/>
          <w:bCs/>
          <w:kern w:val="0"/>
          <w:sz w:val="24"/>
          <w:szCs w:val="24"/>
          <w:highlight w:val="none"/>
        </w:rPr>
        <w:t>无效合同</w:t>
      </w:r>
      <w:r>
        <w:rPr>
          <w:rFonts w:hint="eastAsia" w:ascii="宋体" w:hAnsi="宋体" w:eastAsia="宋体" w:cs="宋体"/>
          <w:b/>
          <w:bCs/>
          <w:kern w:val="0"/>
          <w:sz w:val="24"/>
          <w:szCs w:val="24"/>
          <w:highlight w:val="none"/>
        </w:rPr>
        <w:fldChar w:fldCharType="end"/>
      </w:r>
    </w:p>
    <w:p w14:paraId="0CE2D644">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kern w:val="0"/>
          <w:sz w:val="24"/>
          <w:szCs w:val="24"/>
          <w:highlight w:val="none"/>
        </w:rPr>
        <w:t>甲乙双方如因违反政府采购法及相关法律法规的规定，被宣告</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合同无效</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的，一切责任概由</w:t>
      </w:r>
      <w:r>
        <w:rPr>
          <w:rFonts w:hint="eastAsia" w:ascii="宋体" w:hAnsi="宋体" w:eastAsia="宋体" w:cs="宋体"/>
          <w:color w:val="000000"/>
          <w:kern w:val="0"/>
          <w:sz w:val="24"/>
          <w:szCs w:val="24"/>
          <w:highlight w:val="none"/>
        </w:rPr>
        <w:t>过错方自行承担。</w:t>
      </w:r>
    </w:p>
    <w:p w14:paraId="083E05C4">
      <w:pPr>
        <w:pStyle w:val="27"/>
        <w:pageBreakBefore w:val="0"/>
        <w:shd w:val="clear" w:color="auto" w:fill="auto"/>
        <w:tabs>
          <w:tab w:val="left" w:pos="567"/>
        </w:tabs>
        <w:kinsoku/>
        <w:wordWrap/>
        <w:overflowPunct/>
        <w:topLinePunct w:val="0"/>
        <w:autoSpaceDE/>
        <w:autoSpaceDN/>
        <w:bidi w:val="0"/>
        <w:spacing w:line="360" w:lineRule="auto"/>
        <w:ind w:firstLine="281"/>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第十</w:t>
      </w:r>
      <w:r>
        <w:rPr>
          <w:rFonts w:hint="eastAsia" w:ascii="宋体" w:hAnsi="宋体" w:eastAsia="宋体" w:cs="宋体"/>
          <w:b/>
          <w:bCs/>
          <w:color w:val="000000"/>
          <w:kern w:val="0"/>
          <w:sz w:val="24"/>
          <w:szCs w:val="24"/>
          <w:highlight w:val="none"/>
          <w:lang w:val="en-US" w:eastAsia="zh-CN"/>
        </w:rPr>
        <w:t>六</w:t>
      </w:r>
      <w:r>
        <w:rPr>
          <w:rFonts w:hint="eastAsia" w:ascii="宋体" w:hAnsi="宋体" w:eastAsia="宋体" w:cs="宋体"/>
          <w:b/>
          <w:bCs/>
          <w:color w:val="000000"/>
          <w:kern w:val="0"/>
          <w:sz w:val="24"/>
          <w:szCs w:val="24"/>
          <w:highlight w:val="none"/>
        </w:rPr>
        <w:t>条  信用融资（如有）</w:t>
      </w:r>
    </w:p>
    <w:p w14:paraId="2DF52698">
      <w:pPr>
        <w:pStyle w:val="27"/>
        <w:pageBreakBefore w:val="0"/>
        <w:shd w:val="clear" w:color="auto" w:fill="auto"/>
        <w:tabs>
          <w:tab w:val="left" w:pos="567"/>
        </w:tabs>
        <w:kinsoku/>
        <w:wordWrap/>
        <w:overflowPunct/>
        <w:topLinePunct w:val="0"/>
        <w:autoSpaceDE/>
        <w:autoSpaceDN/>
        <w:bidi w:val="0"/>
        <w:spacing w:line="360" w:lineRule="auto"/>
        <w:ind w:firstLine="28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银行名称：</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rPr>
        <w:t>，收款账号：</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32D99B70">
      <w:pPr>
        <w:pageBreakBefore w:val="0"/>
        <w:widowControl/>
        <w:shd w:val="clear" w:color="auto" w:fill="auto"/>
        <w:kinsoku/>
        <w:wordWrap/>
        <w:overflowPunct/>
        <w:topLinePunct w:val="0"/>
        <w:autoSpaceDE/>
        <w:autoSpaceDN/>
        <w:bidi w:val="0"/>
        <w:spacing w:line="360" w:lineRule="auto"/>
        <w:ind w:right="-230" w:rightChars="-94" w:firstLine="245"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七</w:t>
      </w:r>
      <w:r>
        <w:rPr>
          <w:rFonts w:hint="eastAsia" w:ascii="宋体" w:hAnsi="宋体" w:eastAsia="宋体" w:cs="宋体"/>
          <w:b/>
          <w:bCs/>
          <w:kern w:val="0"/>
          <w:sz w:val="24"/>
          <w:szCs w:val="24"/>
          <w:highlight w:val="none"/>
        </w:rPr>
        <w:t>条  附则</w:t>
      </w:r>
    </w:p>
    <w:p w14:paraId="27A4FEE4">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1.本次采购项目的招标文件、投标文件、中标通知书及澄清说明文件均为本合同的组成部分，甲、乙双方必须全面遵守，如有违反，应承担违约责任。</w:t>
      </w:r>
    </w:p>
    <w:p w14:paraId="26FF5833">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2.本合同一式陆份,甲乙双方各执两份,政府采购代理机构两份。</w:t>
      </w:r>
    </w:p>
    <w:p w14:paraId="6031DF70">
      <w:pPr>
        <w:pageBreakBefore w:val="0"/>
        <w:widowControl/>
        <w:shd w:val="clear" w:color="auto" w:fill="auto"/>
        <w:kinsoku/>
        <w:wordWrap/>
        <w:overflowPunct/>
        <w:topLinePunct w:val="0"/>
        <w:autoSpaceDE/>
        <w:autoSpaceDN/>
        <w:bidi w:val="0"/>
        <w:spacing w:line="360" w:lineRule="auto"/>
        <w:ind w:right="-230" w:rightChars="-94" w:firstLine="49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3.本合同自签订之日起生效。</w:t>
      </w:r>
    </w:p>
    <w:tbl>
      <w:tblPr>
        <w:tblStyle w:val="29"/>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59"/>
        <w:gridCol w:w="4649"/>
      </w:tblGrid>
      <w:tr w14:paraId="02F46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78100393">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w:t>
            </w:r>
          </w:p>
        </w:tc>
        <w:tc>
          <w:tcPr>
            <w:tcW w:w="4649" w:type="dxa"/>
            <w:tcBorders>
              <w:top w:val="nil"/>
              <w:left w:val="nil"/>
              <w:bottom w:val="nil"/>
              <w:right w:val="nil"/>
            </w:tcBorders>
            <w:noWrap w:val="0"/>
            <w:vAlign w:val="center"/>
          </w:tcPr>
          <w:p w14:paraId="777E2BAA">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w:t>
            </w:r>
          </w:p>
        </w:tc>
      </w:tr>
      <w:tr w14:paraId="4AC5E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exact"/>
          <w:jc w:val="center"/>
        </w:trPr>
        <w:tc>
          <w:tcPr>
            <w:tcW w:w="5059" w:type="dxa"/>
            <w:tcBorders>
              <w:top w:val="nil"/>
              <w:left w:val="nil"/>
              <w:bottom w:val="nil"/>
              <w:right w:val="nil"/>
            </w:tcBorders>
            <w:noWrap w:val="0"/>
            <w:vAlign w:val="center"/>
          </w:tcPr>
          <w:p w14:paraId="22983503">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c>
          <w:tcPr>
            <w:tcW w:w="4649" w:type="dxa"/>
            <w:tcBorders>
              <w:top w:val="nil"/>
              <w:left w:val="nil"/>
              <w:bottom w:val="nil"/>
              <w:right w:val="nil"/>
            </w:tcBorders>
            <w:noWrap w:val="0"/>
            <w:vAlign w:val="center"/>
          </w:tcPr>
          <w:p w14:paraId="702FCF44">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r>
      <w:tr w14:paraId="4C3EA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0EB13811">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c>
          <w:tcPr>
            <w:tcW w:w="4649" w:type="dxa"/>
            <w:tcBorders>
              <w:top w:val="nil"/>
              <w:left w:val="nil"/>
              <w:bottom w:val="nil"/>
              <w:right w:val="nil"/>
            </w:tcBorders>
            <w:noWrap w:val="0"/>
            <w:vAlign w:val="center"/>
          </w:tcPr>
          <w:p w14:paraId="4DB4DDE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r>
      <w:tr w14:paraId="3AC9D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exact"/>
          <w:jc w:val="center"/>
        </w:trPr>
        <w:tc>
          <w:tcPr>
            <w:tcW w:w="5059" w:type="dxa"/>
            <w:tcBorders>
              <w:top w:val="nil"/>
              <w:left w:val="nil"/>
              <w:bottom w:val="nil"/>
              <w:right w:val="nil"/>
            </w:tcBorders>
            <w:noWrap w:val="0"/>
            <w:vAlign w:val="center"/>
          </w:tcPr>
          <w:p w14:paraId="00493410">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p w14:paraId="7E117C52">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p w14:paraId="6A569329">
            <w:pPr>
              <w:keepNext/>
              <w:keepLines/>
              <w:pageBreakBefore w:val="0"/>
              <w:widowControl w:val="0"/>
              <w:kinsoku/>
              <w:wordWrap/>
              <w:overflowPunct/>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tc>
        <w:tc>
          <w:tcPr>
            <w:tcW w:w="4649" w:type="dxa"/>
            <w:tcBorders>
              <w:top w:val="nil"/>
              <w:left w:val="nil"/>
              <w:bottom w:val="nil"/>
              <w:right w:val="nil"/>
            </w:tcBorders>
            <w:noWrap w:val="0"/>
            <w:vAlign w:val="center"/>
          </w:tcPr>
          <w:p w14:paraId="26E73DF8">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tc>
      </w:tr>
      <w:tr w14:paraId="20FBD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711198B2">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c>
          <w:tcPr>
            <w:tcW w:w="4649" w:type="dxa"/>
            <w:tcBorders>
              <w:top w:val="nil"/>
              <w:left w:val="nil"/>
              <w:bottom w:val="nil"/>
              <w:right w:val="nil"/>
            </w:tcBorders>
            <w:noWrap w:val="0"/>
            <w:vAlign w:val="center"/>
          </w:tcPr>
          <w:p w14:paraId="4E504845">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r>
      <w:tr w14:paraId="6FE01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4B15E3FB">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c>
          <w:tcPr>
            <w:tcW w:w="4649" w:type="dxa"/>
            <w:tcBorders>
              <w:top w:val="nil"/>
              <w:left w:val="nil"/>
              <w:bottom w:val="nil"/>
              <w:right w:val="nil"/>
            </w:tcBorders>
            <w:noWrap w:val="0"/>
            <w:vAlign w:val="center"/>
          </w:tcPr>
          <w:p w14:paraId="314DF6CB">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r>
      <w:tr w14:paraId="0145D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51893696">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c>
          <w:tcPr>
            <w:tcW w:w="4649" w:type="dxa"/>
            <w:tcBorders>
              <w:top w:val="nil"/>
              <w:left w:val="nil"/>
              <w:bottom w:val="nil"/>
              <w:right w:val="nil"/>
            </w:tcBorders>
            <w:noWrap w:val="0"/>
            <w:vAlign w:val="center"/>
          </w:tcPr>
          <w:p w14:paraId="004C5D3B">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r>
      <w:tr w14:paraId="58CC1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7CAE3C8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c>
          <w:tcPr>
            <w:tcW w:w="4649" w:type="dxa"/>
            <w:tcBorders>
              <w:top w:val="nil"/>
              <w:left w:val="nil"/>
              <w:bottom w:val="nil"/>
              <w:right w:val="nil"/>
            </w:tcBorders>
            <w:noWrap w:val="0"/>
            <w:vAlign w:val="center"/>
          </w:tcPr>
          <w:p w14:paraId="50415C37">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r>
      <w:tr w14:paraId="32580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059" w:type="dxa"/>
            <w:tcBorders>
              <w:top w:val="nil"/>
              <w:left w:val="nil"/>
              <w:bottom w:val="nil"/>
              <w:right w:val="nil"/>
            </w:tcBorders>
            <w:noWrap w:val="0"/>
            <w:vAlign w:val="center"/>
          </w:tcPr>
          <w:p w14:paraId="52EE8B35">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c>
          <w:tcPr>
            <w:tcW w:w="4649" w:type="dxa"/>
            <w:tcBorders>
              <w:top w:val="nil"/>
              <w:left w:val="nil"/>
              <w:bottom w:val="nil"/>
              <w:right w:val="nil"/>
            </w:tcBorders>
            <w:noWrap w:val="0"/>
            <w:vAlign w:val="center"/>
          </w:tcPr>
          <w:p w14:paraId="25DE0C7D">
            <w:pPr>
              <w:pageBreakBefore w:val="0"/>
              <w:widowControl/>
              <w:kinsoku/>
              <w:wordWrap/>
              <w:overflowPunct/>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r>
    </w:tbl>
    <w:p w14:paraId="64718676">
      <w:pPr>
        <w:pageBreakBefore w:val="0"/>
        <w:kinsoku/>
        <w:wordWrap/>
        <w:topLinePunct w:val="0"/>
        <w:autoSpaceDE/>
        <w:autoSpaceDN/>
        <w:bidi w:val="0"/>
        <w:rPr>
          <w:rFonts w:hint="eastAsia" w:ascii="宋体" w:hAnsi="宋体" w:eastAsia="宋体" w:cs="宋体"/>
          <w:highlight w:val="none"/>
        </w:rPr>
      </w:pPr>
    </w:p>
    <w:p w14:paraId="32384CF4">
      <w:pPr>
        <w:pageBreakBefore w:val="0"/>
        <w:kinsoku/>
        <w:wordWrap/>
        <w:topLinePunct w:val="0"/>
        <w:autoSpaceDE/>
        <w:autoSpaceDN/>
        <w:bidi w:val="0"/>
        <w:outlineLvl w:val="9"/>
        <w:rPr>
          <w:rFonts w:hint="eastAsia" w:ascii="宋体" w:hAnsi="宋体" w:eastAsia="宋体" w:cs="宋体"/>
          <w:highlight w:val="none"/>
          <w:lang w:eastAsia="zh-CN"/>
        </w:rPr>
      </w:pPr>
      <w:r>
        <w:rPr>
          <w:rFonts w:ascii="Lucida Sans Unicode" w:hAnsi="Lucida Sans Unicode" w:eastAsia="Lucida Sans Unicode" w:cs="Lucida Sans Unicode"/>
          <w:sz w:val="19"/>
          <w:szCs w:val="19"/>
          <w:highlight w:val="none"/>
        </w:rPr>
        <w:br w:type="page"/>
      </w:r>
    </w:p>
    <w:p w14:paraId="6E0BBE09">
      <w:pPr>
        <w:spacing w:line="360" w:lineRule="auto"/>
        <w:rPr>
          <w:rFonts w:hint="eastAsia" w:ascii="宋体" w:hAnsi="宋体" w:eastAsia="宋体" w:cs="宋体"/>
          <w:sz w:val="24"/>
          <w:szCs w:val="24"/>
          <w:highlight w:val="none"/>
        </w:rPr>
      </w:pPr>
    </w:p>
    <w:p w14:paraId="3B1AC7DA">
      <w:pPr>
        <w:rPr>
          <w:rFonts w:hint="eastAsia"/>
          <w:highlight w:val="none"/>
        </w:rPr>
      </w:pPr>
    </w:p>
    <w:p w14:paraId="194255C4">
      <w:pPr>
        <w:pStyle w:val="3"/>
        <w:rPr>
          <w:rFonts w:hint="eastAsia" w:ascii="宋体" w:hAnsi="宋体" w:eastAsia="宋体" w:cs="宋体"/>
          <w:b/>
          <w:bCs/>
          <w:sz w:val="32"/>
          <w:szCs w:val="32"/>
          <w:highlight w:val="none"/>
        </w:rPr>
      </w:pPr>
      <w:bookmarkStart w:id="22" w:name="_Toc24544"/>
      <w:r>
        <w:rPr>
          <w:rFonts w:hint="eastAsia" w:ascii="宋体" w:hAnsi="宋体" w:eastAsia="宋体" w:cs="宋体"/>
          <w:b/>
          <w:bCs/>
          <w:sz w:val="32"/>
          <w:szCs w:val="32"/>
          <w:highlight w:val="none"/>
        </w:rPr>
        <w:t>第五章  投标文件构成及格式</w:t>
      </w:r>
      <w:bookmarkEnd w:id="20"/>
      <w:bookmarkEnd w:id="21"/>
      <w:bookmarkEnd w:id="22"/>
    </w:p>
    <w:p w14:paraId="648CD249">
      <w:pPr>
        <w:spacing w:line="560" w:lineRule="exact"/>
        <w:ind w:firstLine="650" w:firstLineChars="200"/>
        <w:jc w:val="both"/>
        <w:rPr>
          <w:rFonts w:hint="eastAsia" w:ascii="宋体" w:hAnsi="宋体" w:eastAsia="宋体" w:cs="宋体"/>
          <w:sz w:val="32"/>
          <w:szCs w:val="32"/>
          <w:highlight w:val="none"/>
        </w:rPr>
      </w:pPr>
    </w:p>
    <w:p w14:paraId="415EA34B">
      <w:pPr>
        <w:spacing w:line="560" w:lineRule="exact"/>
        <w:ind w:firstLine="650" w:firstLineChars="200"/>
        <w:jc w:val="both"/>
        <w:rPr>
          <w:rFonts w:hint="eastAsia" w:ascii="宋体" w:hAnsi="宋体" w:eastAsia="宋体" w:cs="宋体"/>
          <w:sz w:val="32"/>
          <w:szCs w:val="32"/>
          <w:highlight w:val="none"/>
        </w:rPr>
      </w:pPr>
    </w:p>
    <w:p w14:paraId="24BF485B">
      <w:pPr>
        <w:spacing w:line="560" w:lineRule="exact"/>
        <w:jc w:val="both"/>
        <w:rPr>
          <w:rFonts w:hint="eastAsia" w:ascii="宋体" w:hAnsi="宋体" w:eastAsia="宋体" w:cs="宋体"/>
          <w:sz w:val="32"/>
          <w:szCs w:val="32"/>
          <w:highlight w:val="none"/>
        </w:rPr>
      </w:pPr>
    </w:p>
    <w:p w14:paraId="06F1D0DD">
      <w:pPr>
        <w:pStyle w:val="19"/>
        <w:jc w:val="center"/>
        <w:rPr>
          <w:rFonts w:hint="eastAsia" w:ascii="宋体" w:hAnsi="宋体" w:eastAsia="宋体" w:cs="宋体"/>
          <w:b/>
          <w:color w:val="auto"/>
          <w:kern w:val="2"/>
          <w:sz w:val="52"/>
          <w:szCs w:val="52"/>
          <w:highlight w:val="none"/>
          <w:lang w:val="en-US" w:eastAsia="zh-CN" w:bidi="ar-SA"/>
        </w:rPr>
      </w:pPr>
      <w:r>
        <w:rPr>
          <w:rFonts w:hint="eastAsia" w:ascii="宋体" w:hAnsi="宋体" w:eastAsia="宋体" w:cs="宋体"/>
          <w:b/>
          <w:color w:val="auto"/>
          <w:kern w:val="2"/>
          <w:sz w:val="52"/>
          <w:szCs w:val="52"/>
          <w:highlight w:val="none"/>
          <w:lang w:val="en-US" w:eastAsia="zh-CN" w:bidi="ar-SA"/>
        </w:rPr>
        <w:t>2025-2027管委会机关餐饮服务第三批（金融商务产业园等部门食材配送）（总部创意产业园）（四包）</w:t>
      </w:r>
    </w:p>
    <w:p w14:paraId="3F021A90">
      <w:pPr>
        <w:bidi w:val="0"/>
        <w:rPr>
          <w:rFonts w:hint="eastAsia" w:ascii="宋体" w:hAnsi="宋体" w:eastAsia="宋体" w:cs="宋体"/>
          <w:highlight w:val="none"/>
        </w:rPr>
      </w:pPr>
    </w:p>
    <w:p w14:paraId="04EC27C6">
      <w:pPr>
        <w:bidi w:val="0"/>
        <w:rPr>
          <w:rFonts w:hint="eastAsia"/>
          <w:highlight w:val="none"/>
        </w:rPr>
      </w:pPr>
    </w:p>
    <w:p w14:paraId="76D6FECF">
      <w:pPr>
        <w:jc w:val="center"/>
        <w:outlineLvl w:val="9"/>
        <w:rPr>
          <w:rFonts w:hint="eastAsia" w:ascii="宋体" w:hAnsi="宋体" w:eastAsia="宋体" w:cs="宋体"/>
          <w:sz w:val="32"/>
          <w:szCs w:val="32"/>
          <w:highlight w:val="none"/>
        </w:rPr>
      </w:pPr>
      <w:r>
        <w:rPr>
          <w:rFonts w:hint="eastAsia" w:ascii="宋体" w:hAnsi="宋体" w:eastAsia="宋体" w:cs="宋体"/>
          <w:b/>
          <w:bCs/>
          <w:sz w:val="72"/>
          <w:szCs w:val="72"/>
          <w:highlight w:val="none"/>
        </w:rPr>
        <w:t>投标文件</w:t>
      </w:r>
    </w:p>
    <w:p w14:paraId="007E8906">
      <w:pPr>
        <w:rPr>
          <w:rFonts w:hint="eastAsia" w:ascii="宋体" w:hAnsi="宋体" w:eastAsia="宋体" w:cs="宋体"/>
          <w:highlight w:val="none"/>
        </w:rPr>
      </w:pPr>
    </w:p>
    <w:p w14:paraId="14549FEA">
      <w:pPr>
        <w:rPr>
          <w:rFonts w:hint="eastAsia" w:ascii="宋体" w:hAnsi="宋体" w:eastAsia="宋体" w:cs="宋体"/>
          <w:highlight w:val="none"/>
        </w:rPr>
      </w:pPr>
    </w:p>
    <w:p w14:paraId="0B52DE8B">
      <w:pPr>
        <w:rPr>
          <w:rFonts w:hint="eastAsia" w:ascii="宋体" w:hAnsi="宋体" w:eastAsia="宋体" w:cs="宋体"/>
          <w:highlight w:val="none"/>
        </w:rPr>
      </w:pPr>
    </w:p>
    <w:p w14:paraId="46CC40F9">
      <w:pPr>
        <w:ind w:left="0" w:leftChars="0" w:firstLine="0" w:firstLineChars="0"/>
        <w:jc w:val="center"/>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（项目编号：</w:t>
      </w:r>
      <w:r>
        <w:rPr>
          <w:rFonts w:hint="eastAsia" w:ascii="宋体" w:hAnsi="宋体" w:eastAsia="宋体" w:cs="宋体"/>
          <w:b/>
          <w:bCs/>
          <w:sz w:val="32"/>
          <w:szCs w:val="32"/>
          <w:highlight w:val="none"/>
          <w:lang w:eastAsia="zh-CN"/>
        </w:rPr>
        <w:t>CGZC-2025-113（HSGJ2025-170）</w:t>
      </w:r>
      <w:r>
        <w:rPr>
          <w:rFonts w:hint="eastAsia" w:ascii="宋体" w:hAnsi="宋体" w:eastAsia="宋体" w:cs="宋体"/>
          <w:b/>
          <w:bCs/>
          <w:sz w:val="32"/>
          <w:szCs w:val="32"/>
          <w:highlight w:val="none"/>
        </w:rPr>
        <w:t>）</w:t>
      </w:r>
    </w:p>
    <w:p w14:paraId="6E238C08">
      <w:pPr>
        <w:spacing w:line="560" w:lineRule="exact"/>
        <w:ind w:firstLine="650" w:firstLineChars="200"/>
        <w:jc w:val="both"/>
        <w:rPr>
          <w:rFonts w:hint="eastAsia" w:ascii="宋体" w:hAnsi="宋体" w:eastAsia="宋体" w:cs="宋体"/>
          <w:sz w:val="32"/>
          <w:szCs w:val="32"/>
          <w:highlight w:val="none"/>
        </w:rPr>
      </w:pPr>
    </w:p>
    <w:p w14:paraId="621EF38C">
      <w:pPr>
        <w:spacing w:line="560" w:lineRule="exact"/>
        <w:ind w:firstLine="650" w:firstLineChars="200"/>
        <w:jc w:val="both"/>
        <w:rPr>
          <w:rFonts w:hint="eastAsia" w:ascii="宋体" w:hAnsi="宋体" w:eastAsia="宋体" w:cs="宋体"/>
          <w:sz w:val="32"/>
          <w:szCs w:val="32"/>
          <w:highlight w:val="none"/>
        </w:rPr>
      </w:pPr>
    </w:p>
    <w:p w14:paraId="04491139">
      <w:pPr>
        <w:spacing w:line="560" w:lineRule="exact"/>
        <w:ind w:firstLine="650" w:firstLineChars="200"/>
        <w:jc w:val="both"/>
        <w:rPr>
          <w:rFonts w:hint="eastAsia" w:ascii="宋体" w:hAnsi="宋体" w:eastAsia="宋体" w:cs="宋体"/>
          <w:sz w:val="32"/>
          <w:szCs w:val="32"/>
          <w:highlight w:val="none"/>
        </w:rPr>
      </w:pPr>
    </w:p>
    <w:p w14:paraId="209B5845">
      <w:pPr>
        <w:spacing w:line="560" w:lineRule="exact"/>
        <w:ind w:firstLine="650" w:firstLineChars="200"/>
        <w:jc w:val="both"/>
        <w:rPr>
          <w:rFonts w:hint="eastAsia" w:ascii="宋体" w:hAnsi="宋体" w:eastAsia="宋体" w:cs="宋体"/>
          <w:sz w:val="32"/>
          <w:szCs w:val="32"/>
          <w:highlight w:val="none"/>
        </w:rPr>
      </w:pPr>
    </w:p>
    <w:p w14:paraId="66FC6D4F">
      <w:pPr>
        <w:spacing w:line="560" w:lineRule="exact"/>
        <w:ind w:firstLine="650" w:firstLineChars="200"/>
        <w:jc w:val="both"/>
        <w:rPr>
          <w:rFonts w:hint="eastAsia" w:ascii="宋体" w:hAnsi="宋体" w:eastAsia="宋体" w:cs="宋体"/>
          <w:sz w:val="32"/>
          <w:szCs w:val="32"/>
          <w:highlight w:val="none"/>
        </w:rPr>
      </w:pPr>
    </w:p>
    <w:p w14:paraId="191F5BA5">
      <w:pPr>
        <w:spacing w:line="360" w:lineRule="auto"/>
        <w:ind w:firstLine="183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30592552">
      <w:pPr>
        <w:spacing w:line="360" w:lineRule="auto"/>
        <w:ind w:firstLine="183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5B6B0EB7">
      <w:pPr>
        <w:spacing w:line="560" w:lineRule="exact"/>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14:paraId="77474546">
      <w:pPr>
        <w:spacing w:line="560" w:lineRule="exact"/>
        <w:ind w:firstLine="890" w:firstLineChars="200"/>
        <w:jc w:val="center"/>
        <w:rPr>
          <w:rFonts w:hint="eastAsia" w:ascii="宋体" w:hAnsi="宋体" w:eastAsia="宋体" w:cs="宋体"/>
          <w:sz w:val="44"/>
          <w:szCs w:val="44"/>
          <w:highlight w:val="none"/>
        </w:rPr>
      </w:pPr>
    </w:p>
    <w:p w14:paraId="1ADE9881">
      <w:pPr>
        <w:spacing w:line="560" w:lineRule="exact"/>
        <w:ind w:firstLine="890" w:firstLineChars="200"/>
        <w:jc w:val="center"/>
        <w:rPr>
          <w:rFonts w:hint="eastAsia" w:ascii="宋体" w:hAnsi="宋体" w:eastAsia="宋体" w:cs="宋体"/>
          <w:sz w:val="44"/>
          <w:szCs w:val="44"/>
          <w:highlight w:val="none"/>
        </w:rPr>
      </w:pPr>
      <w:r>
        <w:rPr>
          <w:rFonts w:hint="eastAsia" w:ascii="宋体" w:hAnsi="宋体" w:eastAsia="宋体" w:cs="宋体"/>
          <w:sz w:val="44"/>
          <w:szCs w:val="44"/>
          <w:highlight w:val="none"/>
        </w:rPr>
        <w:t>目    录</w:t>
      </w:r>
    </w:p>
    <w:p w14:paraId="2E118FFD">
      <w:pPr>
        <w:spacing w:line="560" w:lineRule="exact"/>
        <w:ind w:firstLine="650" w:firstLineChars="200"/>
        <w:jc w:val="both"/>
        <w:rPr>
          <w:rFonts w:hint="eastAsia" w:ascii="宋体" w:hAnsi="宋体" w:eastAsia="宋体" w:cs="宋体"/>
          <w:sz w:val="32"/>
          <w:szCs w:val="32"/>
          <w:highlight w:val="none"/>
        </w:rPr>
      </w:pPr>
    </w:p>
    <w:p w14:paraId="2194C9B4">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第一部分  投标函</w:t>
      </w:r>
    </w:p>
    <w:p w14:paraId="4FFC8A59">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第二部分  开标一览表</w:t>
      </w:r>
    </w:p>
    <w:p w14:paraId="7543922C">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第三部分  资格证明文件</w:t>
      </w:r>
    </w:p>
    <w:p w14:paraId="7743AC2D">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第四部分  供应商概况</w:t>
      </w:r>
    </w:p>
    <w:p w14:paraId="1605225D">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第五部分  供应商参加政府采购活动承诺书</w:t>
      </w:r>
    </w:p>
    <w:p w14:paraId="39BAF7A4">
      <w:pPr>
        <w:spacing w:line="480" w:lineRule="auto"/>
        <w:ind w:firstLine="650" w:firstLineChars="200"/>
        <w:jc w:val="both"/>
        <w:rPr>
          <w:rFonts w:hint="eastAsia" w:ascii="宋体" w:hAnsi="宋体" w:eastAsia="宋体" w:cs="宋体"/>
          <w:sz w:val="32"/>
          <w:szCs w:val="32"/>
          <w:highlight w:val="none"/>
        </w:rPr>
      </w:pPr>
      <w:r>
        <w:rPr>
          <w:rFonts w:hint="eastAsia" w:ascii="宋体" w:hAnsi="宋体" w:eastAsia="宋体" w:cs="宋体"/>
          <w:sz w:val="32"/>
          <w:szCs w:val="32"/>
          <w:highlight w:val="none"/>
        </w:rPr>
        <w:t>第六部分  投标方案</w:t>
      </w:r>
    </w:p>
    <w:p w14:paraId="06996B31">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第一部分  投标函</w:t>
      </w:r>
    </w:p>
    <w:p w14:paraId="04EE602F">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1DCEACAD">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我公司收到贵单位</w:t>
      </w:r>
      <w:r>
        <w:rPr>
          <w:rFonts w:hint="eastAsia" w:ascii="宋体" w:hAnsi="宋体" w:eastAsia="宋体" w:cs="宋体"/>
          <w:color w:val="000000"/>
          <w:highlight w:val="none"/>
          <w:u w:val="single"/>
        </w:rPr>
        <w:t>〈项目名称〉</w:t>
      </w:r>
      <w:r>
        <w:rPr>
          <w:rFonts w:hint="eastAsia" w:ascii="宋体" w:hAnsi="宋体" w:eastAsia="宋体" w:cs="宋体"/>
          <w:color w:val="000000"/>
          <w:highlight w:val="none"/>
        </w:rPr>
        <w:t>（项目编号：</w:t>
      </w:r>
      <w:r>
        <w:rPr>
          <w:rFonts w:hint="eastAsia" w:ascii="宋体" w:hAnsi="宋体" w:eastAsia="宋体" w:cs="宋体"/>
          <w:color w:val="000000"/>
          <w:highlight w:val="none"/>
          <w:u w:val="single"/>
        </w:rPr>
        <w:t>〈项目编号〉</w:t>
      </w:r>
      <w:r>
        <w:rPr>
          <w:rFonts w:hint="eastAsia" w:ascii="宋体" w:hAnsi="宋体" w:eastAsia="宋体" w:cs="宋体"/>
          <w:color w:val="000000"/>
          <w:highlight w:val="none"/>
        </w:rPr>
        <w:t>）招标文件，经详细研究，我方决定参加该项目</w:t>
      </w:r>
      <w:r>
        <w:rPr>
          <w:rFonts w:hint="eastAsia" w:ascii="宋体" w:hAnsi="宋体" w:eastAsia="宋体" w:cs="宋体"/>
          <w:highlight w:val="none"/>
        </w:rPr>
        <w:t>的</w:t>
      </w:r>
      <w:r>
        <w:rPr>
          <w:rFonts w:hint="eastAsia" w:ascii="宋体" w:hAnsi="宋体" w:eastAsia="宋体" w:cs="宋体"/>
          <w:color w:val="000000"/>
          <w:highlight w:val="none"/>
        </w:rPr>
        <w:t>招标活动。为此，我方郑重声明以下诸点，并负法律责任。</w:t>
      </w:r>
    </w:p>
    <w:p w14:paraId="6C478DC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1．我方已详细阅读了招标文件，完全理解并同意招标文件的所有事项及内容。</w:t>
      </w:r>
    </w:p>
    <w:p w14:paraId="3C66C88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706B1AF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3．我方同意向贵中心提供与本次招标有关的全部证明材料，并保证所提交的证明材料真实、合法、有效。</w:t>
      </w:r>
    </w:p>
    <w:p w14:paraId="2885FEA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4．我方理解最低价不是成交的唯一条件，并尊重评标委员会的评审结果。</w:t>
      </w:r>
    </w:p>
    <w:p w14:paraId="3784E7B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5．我方投标文件在开启之日起</w:t>
      </w:r>
      <w:r>
        <w:rPr>
          <w:rFonts w:hint="eastAsia" w:ascii="宋体" w:hAnsi="宋体" w:eastAsia="宋体" w:cs="宋体"/>
          <w:color w:val="000000"/>
          <w:highlight w:val="none"/>
          <w:u w:val="single"/>
          <w:lang w:val="en-US" w:eastAsia="zh-CN"/>
        </w:rPr>
        <w:t xml:space="preserve">     </w:t>
      </w:r>
      <w:r>
        <w:rPr>
          <w:rFonts w:hint="eastAsia" w:ascii="宋体" w:hAnsi="宋体" w:eastAsia="宋体" w:cs="宋体"/>
          <w:color w:val="000000"/>
          <w:highlight w:val="none"/>
        </w:rPr>
        <w:t>个日历日（应不少于90个日历日）内有效。</w:t>
      </w:r>
    </w:p>
    <w:p w14:paraId="06A40C06">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6．若我方成交，我方承诺：（1）将投标文件有效期延长至合同执行完毕；（2）收到</w:t>
      </w:r>
      <w:r>
        <w:rPr>
          <w:rFonts w:hint="eastAsia" w:ascii="宋体" w:hAnsi="宋体" w:eastAsia="宋体" w:cs="宋体"/>
          <w:color w:val="000000"/>
          <w:highlight w:val="none"/>
          <w:lang w:eastAsia="zh-CN"/>
        </w:rPr>
        <w:t>中标</w:t>
      </w:r>
      <w:r>
        <w:rPr>
          <w:rFonts w:hint="eastAsia" w:ascii="宋体" w:hAnsi="宋体" w:eastAsia="宋体" w:cs="宋体"/>
          <w:color w:val="000000"/>
          <w:highlight w:val="none"/>
        </w:rPr>
        <w:t>通知书后提交纸质投标文件一正两副；（3）遵照招标文件中的要求，完成本项目的合同责任和义务。</w:t>
      </w:r>
    </w:p>
    <w:p w14:paraId="0D67AF1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7．所有关于此次招标活动的函电，请按下列方式联系：</w:t>
      </w:r>
    </w:p>
    <w:p w14:paraId="54BA2E22">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spacing w:val="60"/>
          <w:kern w:val="0"/>
          <w:highlight w:val="none"/>
          <w:fitText w:val="960" w:id="1740457068"/>
        </w:rPr>
        <w:t>供应</w:t>
      </w:r>
      <w:r>
        <w:rPr>
          <w:rFonts w:hint="eastAsia" w:ascii="宋体" w:hAnsi="宋体" w:eastAsia="宋体" w:cs="宋体"/>
          <w:color w:val="000000"/>
          <w:spacing w:val="0"/>
          <w:kern w:val="0"/>
          <w:highlight w:val="none"/>
          <w:fitText w:val="960" w:id="1740457068"/>
        </w:rPr>
        <w:t>商</w:t>
      </w:r>
      <w:r>
        <w:rPr>
          <w:rFonts w:hint="eastAsia" w:ascii="宋体" w:hAnsi="宋体" w:eastAsia="宋体" w:cs="宋体"/>
          <w:color w:val="000000"/>
          <w:highlight w:val="none"/>
        </w:rPr>
        <w:t>：（供应商全称并加盖公章）</w:t>
      </w:r>
    </w:p>
    <w:p w14:paraId="4E7083BD">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法定代表人或委托代理人：（签字或盖章）</w:t>
      </w:r>
    </w:p>
    <w:p w14:paraId="0ED9045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联系电话：</w:t>
      </w:r>
    </w:p>
    <w:p w14:paraId="64B4500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通讯地址：</w:t>
      </w:r>
    </w:p>
    <w:p w14:paraId="2354BC8E">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highlight w:val="none"/>
        </w:rPr>
      </w:pPr>
      <w:r>
        <w:rPr>
          <w:rFonts w:hint="eastAsia" w:ascii="宋体" w:hAnsi="宋体" w:eastAsia="宋体" w:cs="宋体"/>
          <w:color w:val="000000"/>
          <w:highlight w:val="none"/>
        </w:rPr>
        <w:t>邮</w:t>
      </w:r>
      <w:r>
        <w:rPr>
          <w:rFonts w:hint="eastAsia" w:ascii="宋体" w:hAnsi="宋体" w:eastAsia="宋体" w:cs="宋体"/>
          <w:color w:val="000000"/>
          <w:highlight w:val="none"/>
          <w:lang w:val="en-US" w:eastAsia="zh-CN"/>
        </w:rPr>
        <w:t xml:space="preserve">    </w:t>
      </w:r>
      <w:r>
        <w:rPr>
          <w:rFonts w:hint="eastAsia" w:ascii="宋体" w:hAnsi="宋体" w:eastAsia="宋体" w:cs="宋体"/>
          <w:color w:val="000000"/>
          <w:highlight w:val="none"/>
        </w:rPr>
        <w:t>编：</w:t>
      </w:r>
    </w:p>
    <w:p w14:paraId="40408F6B">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电子邮箱：</w:t>
      </w:r>
    </w:p>
    <w:p w14:paraId="6876628F">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highlight w:val="none"/>
        </w:rPr>
      </w:pPr>
      <w:r>
        <w:rPr>
          <w:rFonts w:hint="eastAsia" w:ascii="宋体" w:hAnsi="宋体" w:eastAsia="宋体" w:cs="宋体"/>
          <w:highlight w:val="none"/>
        </w:rPr>
        <w:t>日</w:t>
      </w:r>
      <w:r>
        <w:rPr>
          <w:rFonts w:hint="eastAsia" w:ascii="宋体" w:hAnsi="宋体" w:eastAsia="宋体" w:cs="宋体"/>
          <w:highlight w:val="none"/>
          <w:lang w:val="en-US" w:eastAsia="zh-CN"/>
        </w:rPr>
        <w:t xml:space="preserve">    </w:t>
      </w:r>
      <w:r>
        <w:rPr>
          <w:rFonts w:hint="eastAsia" w:ascii="宋体" w:hAnsi="宋体" w:eastAsia="宋体" w:cs="宋体"/>
          <w:highlight w:val="none"/>
        </w:rPr>
        <w:t>期：</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日</w:t>
      </w:r>
    </w:p>
    <w:p w14:paraId="09B2AC4D">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r>
        <w:rPr>
          <w:rFonts w:hint="eastAsia" w:ascii="宋体" w:hAnsi="宋体" w:eastAsia="宋体" w:cs="宋体"/>
          <w:b/>
          <w:bCs/>
          <w:sz w:val="32"/>
          <w:szCs w:val="32"/>
          <w:highlight w:val="none"/>
          <w:lang w:val="en-US" w:eastAsia="zh-CN" w:bidi="ar-SA"/>
        </w:rPr>
        <w:t>第二部分  开标一览表</w:t>
      </w:r>
    </w:p>
    <w:p w14:paraId="133A8286">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74D0E751">
      <w:pPr>
        <w:numPr>
          <w:ilvl w:val="0"/>
          <w:numId w:val="0"/>
        </w:numPr>
        <w:rPr>
          <w:highlight w:val="none"/>
        </w:rPr>
      </w:pPr>
      <w:r>
        <w:rPr>
          <w:rFonts w:hint="eastAsia"/>
          <w:highlight w:val="none"/>
          <w:lang w:eastAsia="zh-CN"/>
        </w:rPr>
        <w:t>项目编号：</w:t>
      </w:r>
      <w:r>
        <w:rPr>
          <w:rFonts w:hint="eastAsia"/>
          <w:highlight w:val="none"/>
          <w:u w:val="single"/>
          <w:lang w:val="en-US" w:eastAsia="zh-CN"/>
        </w:rPr>
        <w:t xml:space="preserve">                        </w:t>
      </w:r>
    </w:p>
    <w:tbl>
      <w:tblPr>
        <w:tblStyle w:val="28"/>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679"/>
        <w:gridCol w:w="3600"/>
        <w:gridCol w:w="1841"/>
        <w:gridCol w:w="1733"/>
      </w:tblGrid>
      <w:tr w14:paraId="65BA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904" w:type="dxa"/>
            <w:noWrap w:val="0"/>
            <w:vAlign w:val="center"/>
          </w:tcPr>
          <w:p w14:paraId="2CD0D9AB">
            <w:pPr>
              <w:pStyle w:val="19"/>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序号</w:t>
            </w:r>
          </w:p>
        </w:tc>
        <w:tc>
          <w:tcPr>
            <w:tcW w:w="1679" w:type="dxa"/>
            <w:noWrap w:val="0"/>
            <w:vAlign w:val="center"/>
          </w:tcPr>
          <w:p w14:paraId="24030DB8">
            <w:pPr>
              <w:pStyle w:val="19"/>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3600" w:type="dxa"/>
            <w:noWrap w:val="0"/>
            <w:vAlign w:val="center"/>
          </w:tcPr>
          <w:p w14:paraId="482DC53C">
            <w:pPr>
              <w:spacing w:line="360" w:lineRule="auto"/>
              <w:jc w:val="center"/>
              <w:rPr>
                <w:rFonts w:hint="eastAsia" w:ascii="宋体" w:hAnsi="宋体" w:cs="宋体"/>
                <w:color w:val="000000"/>
                <w:sz w:val="24"/>
                <w:szCs w:val="24"/>
                <w:highlight w:val="none"/>
              </w:rPr>
            </w:pPr>
          </w:p>
        </w:tc>
        <w:tc>
          <w:tcPr>
            <w:tcW w:w="1841" w:type="dxa"/>
            <w:noWrap w:val="0"/>
            <w:vAlign w:val="center"/>
          </w:tcPr>
          <w:p w14:paraId="69C02CF4">
            <w:pPr>
              <w:spacing w:line="360" w:lineRule="auto"/>
              <w:jc w:val="center"/>
              <w:rPr>
                <w:rFonts w:hint="eastAsia" w:ascii="宋体" w:hAnsi="宋体" w:eastAsia="宋体" w:cs="宋体"/>
                <w:color w:val="000000"/>
                <w:sz w:val="24"/>
                <w:szCs w:val="24"/>
                <w:highlight w:val="none"/>
                <w:lang w:eastAsia="zh-CN"/>
              </w:rPr>
            </w:pPr>
            <w:r>
              <w:rPr>
                <w:rFonts w:hint="eastAsia" w:ascii="宋体" w:hAnsi="宋体" w:cs="宋体"/>
                <w:sz w:val="24"/>
                <w:szCs w:val="24"/>
                <w:highlight w:val="none"/>
              </w:rPr>
              <w:t>项目</w:t>
            </w:r>
            <w:r>
              <w:rPr>
                <w:rFonts w:hint="eastAsia" w:ascii="宋体" w:hAnsi="宋体" w:cs="宋体"/>
                <w:sz w:val="24"/>
                <w:szCs w:val="24"/>
                <w:highlight w:val="none"/>
                <w:lang w:eastAsia="zh-CN"/>
              </w:rPr>
              <w:t>编号</w:t>
            </w:r>
          </w:p>
        </w:tc>
        <w:tc>
          <w:tcPr>
            <w:tcW w:w="1733" w:type="dxa"/>
            <w:noWrap w:val="0"/>
            <w:vAlign w:val="center"/>
          </w:tcPr>
          <w:p w14:paraId="7514EDCF">
            <w:pPr>
              <w:spacing w:line="360" w:lineRule="auto"/>
              <w:jc w:val="center"/>
              <w:rPr>
                <w:rFonts w:hint="eastAsia" w:ascii="宋体" w:hAnsi="宋体" w:cs="宋体"/>
                <w:color w:val="000000"/>
                <w:sz w:val="24"/>
                <w:szCs w:val="24"/>
                <w:highlight w:val="none"/>
              </w:rPr>
            </w:pPr>
          </w:p>
        </w:tc>
      </w:tr>
      <w:tr w14:paraId="6C13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904" w:type="dxa"/>
            <w:noWrap w:val="0"/>
            <w:vAlign w:val="center"/>
          </w:tcPr>
          <w:p w14:paraId="509DB95A">
            <w:pPr>
              <w:pStyle w:val="19"/>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p>
        </w:tc>
        <w:tc>
          <w:tcPr>
            <w:tcW w:w="1679" w:type="dxa"/>
            <w:noWrap w:val="0"/>
            <w:vAlign w:val="center"/>
          </w:tcPr>
          <w:p w14:paraId="096A149E">
            <w:pPr>
              <w:pStyle w:val="19"/>
              <w:jc w:val="center"/>
              <w:rPr>
                <w:sz w:val="24"/>
                <w:szCs w:val="24"/>
                <w:highlight w:val="none"/>
              </w:rPr>
            </w:pPr>
            <w:r>
              <w:rPr>
                <w:rFonts w:hint="eastAsia" w:ascii="宋体" w:hAnsi="宋体" w:cs="宋体"/>
                <w:sz w:val="24"/>
                <w:szCs w:val="24"/>
                <w:highlight w:val="none"/>
              </w:rPr>
              <w:t>投标</w:t>
            </w:r>
            <w:r>
              <w:rPr>
                <w:rFonts w:hint="eastAsia" w:ascii="宋体" w:hAnsi="宋体" w:cs="宋体"/>
                <w:sz w:val="24"/>
                <w:szCs w:val="24"/>
                <w:highlight w:val="none"/>
                <w:lang w:val="en-US" w:eastAsia="zh-CN"/>
              </w:rPr>
              <w:t>报价</w:t>
            </w:r>
            <w:r>
              <w:rPr>
                <w:rFonts w:hint="eastAsia" w:ascii="宋体" w:hAnsi="宋体" w:cs="宋体"/>
                <w:sz w:val="24"/>
                <w:szCs w:val="24"/>
                <w:highlight w:val="none"/>
              </w:rPr>
              <w:t>（元）</w:t>
            </w:r>
          </w:p>
        </w:tc>
        <w:tc>
          <w:tcPr>
            <w:tcW w:w="7174" w:type="dxa"/>
            <w:gridSpan w:val="3"/>
            <w:noWrap w:val="0"/>
            <w:vAlign w:val="center"/>
          </w:tcPr>
          <w:p w14:paraId="454952A6">
            <w:pPr>
              <w:pStyle w:val="16"/>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p>
          <w:p w14:paraId="77B39328">
            <w:pPr>
              <w:keepNext w:val="0"/>
              <w:keepLines w:val="0"/>
              <w:pageBreakBefore w:val="0"/>
              <w:widowControl w:val="0"/>
              <w:kinsoku/>
              <w:wordWrap/>
              <w:overflowPunct/>
              <w:topLinePunct w:val="0"/>
              <w:autoSpaceDE/>
              <w:autoSpaceDN/>
              <w:bidi w:val="0"/>
              <w:adjustRightInd/>
              <w:snapToGrid/>
              <w:spacing w:line="360" w:lineRule="auto"/>
              <w:ind w:firstLine="980" w:firstLineChars="400"/>
              <w:textAlignment w:val="auto"/>
              <w:rPr>
                <w:rFonts w:ascii="宋体" w:hAnsi="宋体" w:cs="宋体"/>
                <w:sz w:val="24"/>
                <w:szCs w:val="24"/>
                <w:highlight w:val="non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p>
        </w:tc>
      </w:tr>
      <w:tr w14:paraId="726C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48155240">
            <w:pPr>
              <w:spacing w:line="360" w:lineRule="auto"/>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2</w:t>
            </w:r>
          </w:p>
        </w:tc>
        <w:tc>
          <w:tcPr>
            <w:tcW w:w="1679" w:type="dxa"/>
            <w:noWrap w:val="0"/>
            <w:vAlign w:val="center"/>
          </w:tcPr>
          <w:p w14:paraId="22ED7835">
            <w:pPr>
              <w:spacing w:line="360" w:lineRule="auto"/>
              <w:jc w:val="center"/>
              <w:rPr>
                <w:rFonts w:hint="eastAsia" w:ascii="宋体" w:hAnsi="宋体" w:eastAsia="宋体"/>
                <w:sz w:val="24"/>
                <w:szCs w:val="24"/>
                <w:highlight w:val="none"/>
                <w:lang w:eastAsia="zh-CN"/>
              </w:rPr>
            </w:pPr>
            <w:r>
              <w:rPr>
                <w:rFonts w:hint="eastAsia" w:ascii="宋体" w:hAnsi="宋体"/>
                <w:sz w:val="24"/>
                <w:szCs w:val="24"/>
                <w:highlight w:val="none"/>
                <w:lang w:val="zh-CN" w:eastAsia="zh-CN"/>
              </w:rPr>
              <w:t>综合</w:t>
            </w:r>
            <w:r>
              <w:rPr>
                <w:rFonts w:hint="eastAsia" w:ascii="宋体" w:hAnsi="宋体"/>
                <w:sz w:val="24"/>
                <w:szCs w:val="24"/>
                <w:highlight w:val="none"/>
                <w:lang w:val="en-US" w:eastAsia="zh-CN"/>
              </w:rPr>
              <w:t>优惠</w:t>
            </w:r>
            <w:r>
              <w:rPr>
                <w:rFonts w:hint="eastAsia" w:ascii="宋体" w:hAnsi="宋体"/>
                <w:sz w:val="24"/>
                <w:szCs w:val="24"/>
                <w:highlight w:val="none"/>
                <w:lang w:eastAsia="zh-CN"/>
              </w:rPr>
              <w:t>率（</w:t>
            </w:r>
            <w:r>
              <w:rPr>
                <w:rFonts w:hint="eastAsia" w:ascii="宋体" w:hAnsi="宋体"/>
                <w:sz w:val="24"/>
                <w:szCs w:val="24"/>
                <w:highlight w:val="none"/>
                <w:lang w:val="en-US" w:eastAsia="zh-CN"/>
              </w:rPr>
              <w:t>%</w:t>
            </w:r>
            <w:r>
              <w:rPr>
                <w:rFonts w:hint="eastAsia" w:ascii="宋体" w:hAnsi="宋体"/>
                <w:sz w:val="24"/>
                <w:szCs w:val="24"/>
                <w:highlight w:val="none"/>
                <w:lang w:eastAsia="zh-CN"/>
              </w:rPr>
              <w:t>）</w:t>
            </w:r>
          </w:p>
        </w:tc>
        <w:tc>
          <w:tcPr>
            <w:tcW w:w="7174" w:type="dxa"/>
            <w:gridSpan w:val="3"/>
            <w:noWrap w:val="0"/>
            <w:vAlign w:val="center"/>
          </w:tcPr>
          <w:p w14:paraId="236A7F36">
            <w:pPr>
              <w:spacing w:line="360" w:lineRule="auto"/>
              <w:jc w:val="center"/>
              <w:rPr>
                <w:rFonts w:ascii="宋体" w:hAnsi="宋体" w:cs="宋体"/>
                <w:b/>
                <w:color w:val="000000"/>
                <w:sz w:val="24"/>
                <w:szCs w:val="24"/>
                <w:highlight w:val="none"/>
                <w:u w:val="single"/>
              </w:rPr>
            </w:pPr>
          </w:p>
        </w:tc>
      </w:tr>
      <w:tr w14:paraId="2DEC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76B90357">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679" w:type="dxa"/>
            <w:noWrap w:val="0"/>
            <w:vAlign w:val="center"/>
          </w:tcPr>
          <w:p w14:paraId="7E33878B">
            <w:pPr>
              <w:pStyle w:val="16"/>
              <w:pageBreakBefore w:val="0"/>
              <w:kinsoku/>
              <w:wordWrap/>
              <w:topLinePunct w:val="0"/>
              <w:autoSpaceDE/>
              <w:autoSpaceDN/>
              <w:bidi w:val="0"/>
              <w:jc w:val="center"/>
              <w:rPr>
                <w:rFonts w:hint="eastAsia" w:ascii="宋体" w:hAnsi="宋体" w:eastAsia="宋体" w:cs="宋体"/>
                <w:sz w:val="24"/>
                <w:szCs w:val="24"/>
                <w:highlight w:val="none"/>
                <w:lang w:eastAsia="zh-CN"/>
              </w:rPr>
            </w:pPr>
            <w:r>
              <w:rPr>
                <w:rFonts w:hint="eastAsia" w:hAnsi="宋体" w:cs="宋体"/>
                <w:sz w:val="24"/>
                <w:szCs w:val="24"/>
                <w:highlight w:val="none"/>
                <w:lang w:eastAsia="zh-CN"/>
              </w:rPr>
              <w:t>服务</w:t>
            </w:r>
            <w:r>
              <w:rPr>
                <w:rFonts w:hint="eastAsia" w:ascii="宋体" w:hAnsi="宋体" w:eastAsia="宋体" w:cs="宋体"/>
                <w:sz w:val="24"/>
                <w:szCs w:val="24"/>
                <w:highlight w:val="none"/>
                <w:lang w:eastAsia="zh-CN"/>
              </w:rPr>
              <w:t>期</w:t>
            </w:r>
          </w:p>
          <w:p w14:paraId="54A731BE">
            <w:pPr>
              <w:spacing w:line="360" w:lineRule="auto"/>
              <w:jc w:val="center"/>
              <w:rPr>
                <w:rFonts w:hint="eastAsia" w:ascii="宋体" w:hAnsi="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rPr>
              <w:t>）</w:t>
            </w:r>
          </w:p>
        </w:tc>
        <w:tc>
          <w:tcPr>
            <w:tcW w:w="7174" w:type="dxa"/>
            <w:gridSpan w:val="3"/>
            <w:noWrap w:val="0"/>
            <w:vAlign w:val="center"/>
          </w:tcPr>
          <w:p w14:paraId="2AC91AB2">
            <w:pPr>
              <w:spacing w:line="360" w:lineRule="auto"/>
              <w:jc w:val="center"/>
              <w:rPr>
                <w:rFonts w:ascii="宋体" w:hAnsi="宋体" w:cs="宋体"/>
                <w:b/>
                <w:color w:val="000000"/>
                <w:sz w:val="24"/>
                <w:szCs w:val="24"/>
                <w:highlight w:val="none"/>
                <w:u w:val="single"/>
              </w:rPr>
            </w:pPr>
          </w:p>
        </w:tc>
      </w:tr>
      <w:tr w14:paraId="4AE6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2A9C0021">
            <w:pPr>
              <w:spacing w:line="360" w:lineRule="auto"/>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p>
        </w:tc>
        <w:tc>
          <w:tcPr>
            <w:tcW w:w="1679" w:type="dxa"/>
            <w:noWrap w:val="0"/>
            <w:vAlign w:val="center"/>
          </w:tcPr>
          <w:p w14:paraId="18A9085D">
            <w:pPr>
              <w:spacing w:line="360" w:lineRule="auto"/>
              <w:jc w:val="center"/>
              <w:rPr>
                <w:rFonts w:ascii="宋体" w:hAnsi="宋体" w:cs="宋体"/>
                <w:sz w:val="24"/>
                <w:szCs w:val="24"/>
                <w:highlight w:val="none"/>
              </w:rPr>
            </w:pPr>
            <w:r>
              <w:rPr>
                <w:rFonts w:hint="eastAsia" w:ascii="宋体" w:hAnsi="宋体" w:cs="宋体"/>
                <w:sz w:val="24"/>
                <w:szCs w:val="24"/>
                <w:highlight w:val="none"/>
              </w:rPr>
              <w:t>备注</w:t>
            </w:r>
          </w:p>
        </w:tc>
        <w:tc>
          <w:tcPr>
            <w:tcW w:w="7174" w:type="dxa"/>
            <w:gridSpan w:val="3"/>
            <w:noWrap w:val="0"/>
            <w:vAlign w:val="center"/>
          </w:tcPr>
          <w:p w14:paraId="3D64BB04">
            <w:pPr>
              <w:spacing w:line="360" w:lineRule="auto"/>
              <w:jc w:val="center"/>
              <w:rPr>
                <w:rFonts w:ascii="宋体" w:hAnsi="宋体" w:cs="宋体"/>
                <w:b/>
                <w:color w:val="000000"/>
                <w:sz w:val="24"/>
                <w:szCs w:val="24"/>
                <w:highlight w:val="none"/>
                <w:u w:val="single"/>
              </w:rPr>
            </w:pPr>
          </w:p>
        </w:tc>
      </w:tr>
    </w:tbl>
    <w:p w14:paraId="48BACA5D">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p w14:paraId="22BC111E">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1.供应商报价时，应先确定优惠率，根据优惠率计算投标报价，即投标报价=</w:t>
      </w:r>
      <w:r>
        <w:rPr>
          <w:rFonts w:hint="eastAsia" w:ascii="宋体" w:hAnsi="宋体" w:eastAsia="宋体" w:cs="宋体"/>
          <w:i w:val="0"/>
          <w:iCs w:val="0"/>
          <w:caps w:val="0"/>
          <w:color w:val="auto"/>
          <w:spacing w:val="0"/>
          <w:kern w:val="0"/>
          <w:sz w:val="24"/>
          <w:szCs w:val="24"/>
          <w:highlight w:val="none"/>
          <w:u w:val="none"/>
          <w:lang w:val="en-US" w:eastAsia="zh-CN" w:bidi="ar-SA"/>
        </w:rPr>
        <w:t>2730000.00</w:t>
      </w:r>
      <w:r>
        <w:rPr>
          <w:rFonts w:hint="eastAsia" w:ascii="宋体" w:hAnsi="宋体" w:eastAsia="宋体" w:cs="宋体"/>
          <w:color w:val="auto"/>
          <w:sz w:val="24"/>
          <w:szCs w:val="24"/>
          <w:highlight w:val="none"/>
          <w:lang w:val="en-US" w:eastAsia="zh-CN"/>
        </w:rPr>
        <w:t>*（1-综合优惠率）；</w:t>
      </w:r>
    </w:p>
    <w:p w14:paraId="463EEFE8">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2.投标报价只作为评审时计算投标报价得分使用。</w:t>
      </w:r>
    </w:p>
    <w:p w14:paraId="65BD5B40">
      <w:pPr>
        <w:pStyle w:val="15"/>
        <w:spacing w:line="540" w:lineRule="exact"/>
        <w:ind w:left="0" w:leftChars="0" w:firstLine="428"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3.结算金额=配送单价*供货数量*（1-综合优惠率）。</w:t>
      </w:r>
    </w:p>
    <w:p w14:paraId="284FA1B3">
      <w:pPr>
        <w:spacing w:line="360" w:lineRule="auto"/>
        <w:ind w:firstLine="735" w:firstLineChars="300"/>
        <w:rPr>
          <w:rFonts w:hint="eastAsia" w:ascii="宋体" w:hAnsi="宋体" w:cs="宋体"/>
          <w:sz w:val="24"/>
          <w:szCs w:val="24"/>
          <w:highlight w:val="none"/>
          <w:lang w:val="zh-CN"/>
        </w:rPr>
      </w:pPr>
    </w:p>
    <w:p w14:paraId="73A40C12">
      <w:pPr>
        <w:keepNext w:val="0"/>
        <w:keepLines w:val="0"/>
        <w:pageBreakBefore w:val="0"/>
        <w:widowControl w:val="0"/>
        <w:kinsoku/>
        <w:wordWrap/>
        <w:overflowPunct/>
        <w:topLinePunct w:val="0"/>
        <w:autoSpaceDE/>
        <w:autoSpaceDN/>
        <w:bidi w:val="0"/>
        <w:adjustRightInd/>
        <w:snapToGrid/>
        <w:spacing w:line="360" w:lineRule="auto"/>
        <w:ind w:firstLine="4165"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7CB8E6E5">
      <w:pPr>
        <w:keepNext w:val="0"/>
        <w:keepLines w:val="0"/>
        <w:pageBreakBefore w:val="0"/>
        <w:widowControl w:val="0"/>
        <w:kinsoku/>
        <w:wordWrap/>
        <w:overflowPunct/>
        <w:topLinePunct w:val="0"/>
        <w:autoSpaceDE/>
        <w:autoSpaceDN/>
        <w:bidi w:val="0"/>
        <w:adjustRightInd/>
        <w:snapToGrid/>
        <w:spacing w:line="360" w:lineRule="auto"/>
        <w:ind w:firstLine="4165"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281A2AA6">
      <w:pPr>
        <w:keepNext w:val="0"/>
        <w:keepLines w:val="0"/>
        <w:pageBreakBefore w:val="0"/>
        <w:widowControl/>
        <w:kinsoku/>
        <w:wordWrap/>
        <w:overflowPunct/>
        <w:topLinePunct w:val="0"/>
        <w:autoSpaceDE/>
        <w:autoSpaceDN/>
        <w:bidi w:val="0"/>
        <w:adjustRightInd/>
        <w:snapToGrid/>
        <w:spacing w:line="360" w:lineRule="auto"/>
        <w:ind w:firstLine="4165"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1B5078F1">
      <w:pPr>
        <w:rPr>
          <w:rFonts w:hint="eastAsia"/>
          <w:highlight w:val="none"/>
        </w:rPr>
      </w:pPr>
      <w:r>
        <w:rPr>
          <w:rFonts w:hint="eastAsia" w:ascii="宋体" w:hAnsi="宋体" w:eastAsia="宋体" w:cs="宋体"/>
          <w:sz w:val="32"/>
          <w:szCs w:val="32"/>
          <w:highlight w:val="none"/>
        </w:rPr>
        <w:br w:type="page"/>
      </w:r>
    </w:p>
    <w:p w14:paraId="352A1B7B">
      <w:pPr>
        <w:pStyle w:val="4"/>
        <w:jc w:val="center"/>
        <w:rPr>
          <w:rFonts w:hint="eastAsia" w:ascii="宋体" w:hAnsi="宋体" w:eastAsia="宋体" w:cs="宋体"/>
          <w:b/>
          <w:bCs/>
          <w:highlight w:val="none"/>
        </w:rPr>
      </w:pPr>
      <w:r>
        <w:rPr>
          <w:rFonts w:hint="eastAsia" w:ascii="宋体" w:hAnsi="宋体" w:eastAsia="宋体" w:cs="宋体"/>
          <w:b/>
          <w:bCs/>
          <w:highlight w:val="none"/>
        </w:rPr>
        <w:t>第三部分  资格证明文件</w:t>
      </w:r>
    </w:p>
    <w:p w14:paraId="78C001EF">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7940A8FE">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1ADFF95D">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13F9C350">
      <w:pPr>
        <w:keepNext w:val="0"/>
        <w:keepLines w:val="0"/>
        <w:pageBreakBefore w:val="0"/>
        <w:widowControl w:val="0"/>
        <w:kinsoku/>
        <w:wordWrap/>
        <w:overflowPunct/>
        <w:topLinePunct w:val="0"/>
        <w:autoSpaceDE/>
        <w:autoSpaceDN/>
        <w:bidi w:val="0"/>
        <w:adjustRightInd/>
        <w:snapToGrid/>
        <w:spacing w:line="360" w:lineRule="auto"/>
        <w:ind w:left="911" w:leftChars="172" w:hanging="49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41564ABF">
      <w:pPr>
        <w:keepNext w:val="0"/>
        <w:keepLines w:val="0"/>
        <w:pageBreakBefore w:val="0"/>
        <w:widowControl w:val="0"/>
        <w:kinsoku/>
        <w:wordWrap/>
        <w:overflowPunct/>
        <w:topLinePunct w:val="0"/>
        <w:autoSpaceDE/>
        <w:autoSpaceDN/>
        <w:bidi w:val="0"/>
        <w:adjustRightInd/>
        <w:snapToGrid/>
        <w:spacing w:line="360" w:lineRule="auto"/>
        <w:ind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2E051C56">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5A836FEF">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6E1CB406">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104A3C30">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5190C2DB">
      <w:pPr>
        <w:keepNext w:val="0"/>
        <w:keepLines w:val="0"/>
        <w:pageBreakBefore w:val="0"/>
        <w:widowControl w:val="0"/>
        <w:kinsoku/>
        <w:wordWrap/>
        <w:overflowPunct/>
        <w:topLinePunct w:val="0"/>
        <w:autoSpaceDE/>
        <w:autoSpaceDN/>
        <w:bidi w:val="0"/>
        <w:adjustRightInd/>
        <w:snapToGrid/>
        <w:spacing w:line="360" w:lineRule="auto"/>
        <w:ind w:left="558" w:leftChars="228" w:firstLine="245"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2B7B1EBC">
      <w:pPr>
        <w:keepNext w:val="0"/>
        <w:keepLines w:val="0"/>
        <w:pageBreakBefore w:val="0"/>
        <w:widowControl w:val="0"/>
        <w:kinsoku/>
        <w:wordWrap/>
        <w:overflowPunct/>
        <w:topLinePunct w:val="0"/>
        <w:autoSpaceDE/>
        <w:autoSpaceDN/>
        <w:bidi w:val="0"/>
        <w:adjustRightInd/>
        <w:snapToGrid/>
        <w:spacing w:line="480" w:lineRule="auto"/>
        <w:ind w:firstLine="4410" w:firstLineChars="18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4FF6467A">
      <w:pPr>
        <w:keepNext w:val="0"/>
        <w:keepLines w:val="0"/>
        <w:pageBreakBefore w:val="0"/>
        <w:widowControl w:val="0"/>
        <w:kinsoku/>
        <w:wordWrap/>
        <w:overflowPunct/>
        <w:topLinePunct w:val="0"/>
        <w:autoSpaceDE/>
        <w:autoSpaceDN/>
        <w:bidi w:val="0"/>
        <w:adjustRightInd/>
        <w:snapToGrid/>
        <w:spacing w:line="480" w:lineRule="auto"/>
        <w:ind w:left="1470" w:leftChars="600" w:firstLine="343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281DA4C1">
      <w:pPr>
        <w:keepNext w:val="0"/>
        <w:keepLines w:val="0"/>
        <w:pageBreakBefore w:val="0"/>
        <w:widowControl w:val="0"/>
        <w:kinsoku/>
        <w:wordWrap/>
        <w:overflowPunct/>
        <w:topLinePunct w:val="0"/>
        <w:autoSpaceDE/>
        <w:autoSpaceDN/>
        <w:bidi w:val="0"/>
        <w:adjustRightInd/>
        <w:snapToGrid/>
        <w:spacing w:line="480" w:lineRule="auto"/>
        <w:ind w:left="1470" w:leftChars="600" w:firstLine="343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273D3EFF">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3B070E41">
      <w:pPr>
        <w:rPr>
          <w:rFonts w:hint="eastAsia" w:ascii="宋体" w:hAnsi="宋体" w:cs="宋体"/>
          <w:color w:val="000000"/>
          <w:sz w:val="24"/>
          <w:highlight w:val="none"/>
          <w:lang w:val="en-US" w:eastAsia="zh-CN"/>
        </w:rPr>
      </w:pPr>
    </w:p>
    <w:p w14:paraId="49F58DAE">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1406B74">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999"/>
        <w:gridCol w:w="1995"/>
        <w:gridCol w:w="169"/>
        <w:gridCol w:w="1995"/>
        <w:gridCol w:w="2120"/>
      </w:tblGrid>
      <w:tr w14:paraId="4140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45B2287B">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6693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69D00F0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4283A0B5">
            <w:pPr>
              <w:tabs>
                <w:tab w:val="left" w:pos="210"/>
              </w:tabs>
              <w:spacing w:line="320" w:lineRule="exact"/>
              <w:jc w:val="center"/>
              <w:rPr>
                <w:rFonts w:hint="eastAsia" w:ascii="宋体" w:hAnsi="宋体" w:eastAsia="宋体" w:cs="宋体"/>
                <w:color w:val="auto"/>
                <w:kern w:val="0"/>
                <w:sz w:val="24"/>
                <w:highlight w:val="none"/>
              </w:rPr>
            </w:pPr>
          </w:p>
          <w:p w14:paraId="468CC38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BF1CCE1">
            <w:pPr>
              <w:tabs>
                <w:tab w:val="left" w:pos="210"/>
              </w:tabs>
              <w:spacing w:line="320" w:lineRule="exact"/>
              <w:jc w:val="center"/>
              <w:rPr>
                <w:rFonts w:hint="eastAsia" w:ascii="宋体" w:hAnsi="宋体" w:eastAsia="宋体" w:cs="宋体"/>
                <w:color w:val="auto"/>
                <w:kern w:val="0"/>
                <w:sz w:val="24"/>
                <w:highlight w:val="none"/>
              </w:rPr>
            </w:pPr>
          </w:p>
          <w:p w14:paraId="2DB531F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6738AC52">
            <w:pPr>
              <w:tabs>
                <w:tab w:val="left" w:pos="210"/>
              </w:tabs>
              <w:spacing w:line="320" w:lineRule="exact"/>
              <w:jc w:val="center"/>
              <w:rPr>
                <w:rFonts w:hint="eastAsia" w:ascii="宋体" w:hAnsi="宋体" w:eastAsia="宋体" w:cs="宋体"/>
                <w:color w:val="auto"/>
                <w:kern w:val="0"/>
                <w:sz w:val="24"/>
                <w:highlight w:val="none"/>
              </w:rPr>
            </w:pPr>
          </w:p>
          <w:p w14:paraId="00903D0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3C3F947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5B717180">
            <w:pPr>
              <w:tabs>
                <w:tab w:val="left" w:pos="210"/>
              </w:tabs>
              <w:spacing w:line="320" w:lineRule="exact"/>
              <w:jc w:val="center"/>
              <w:rPr>
                <w:rFonts w:hint="eastAsia" w:ascii="宋体" w:hAnsi="宋体" w:eastAsia="宋体" w:cs="宋体"/>
                <w:color w:val="auto"/>
                <w:kern w:val="0"/>
                <w:sz w:val="24"/>
                <w:highlight w:val="none"/>
              </w:rPr>
            </w:pPr>
          </w:p>
        </w:tc>
      </w:tr>
      <w:tr w14:paraId="3A17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70EED7EB">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C9D25C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29FEFC65">
            <w:pPr>
              <w:tabs>
                <w:tab w:val="left" w:pos="210"/>
              </w:tabs>
              <w:spacing w:line="320" w:lineRule="exact"/>
              <w:jc w:val="center"/>
              <w:rPr>
                <w:rFonts w:hint="eastAsia" w:ascii="宋体" w:hAnsi="宋体" w:eastAsia="宋体" w:cs="宋体"/>
                <w:color w:val="auto"/>
                <w:kern w:val="0"/>
                <w:sz w:val="24"/>
                <w:highlight w:val="none"/>
              </w:rPr>
            </w:pPr>
          </w:p>
        </w:tc>
      </w:tr>
      <w:tr w14:paraId="5F1E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4BA9B9E2">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FB9E74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319BCE9C">
            <w:pPr>
              <w:tabs>
                <w:tab w:val="left" w:pos="210"/>
              </w:tabs>
              <w:spacing w:line="320" w:lineRule="exact"/>
              <w:jc w:val="center"/>
              <w:rPr>
                <w:rFonts w:hint="eastAsia" w:ascii="宋体" w:hAnsi="宋体" w:eastAsia="宋体" w:cs="宋体"/>
                <w:color w:val="auto"/>
                <w:kern w:val="0"/>
                <w:sz w:val="24"/>
                <w:highlight w:val="none"/>
              </w:rPr>
            </w:pPr>
          </w:p>
        </w:tc>
      </w:tr>
      <w:tr w14:paraId="6423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211D43D5">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6EF842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1CB605C0">
            <w:pPr>
              <w:tabs>
                <w:tab w:val="left" w:pos="210"/>
              </w:tabs>
              <w:spacing w:line="320" w:lineRule="exact"/>
              <w:jc w:val="center"/>
              <w:rPr>
                <w:rFonts w:hint="eastAsia" w:ascii="宋体" w:hAnsi="宋体" w:eastAsia="宋体" w:cs="宋体"/>
                <w:color w:val="auto"/>
                <w:kern w:val="0"/>
                <w:sz w:val="24"/>
                <w:highlight w:val="none"/>
              </w:rPr>
            </w:pPr>
          </w:p>
        </w:tc>
      </w:tr>
      <w:tr w14:paraId="66D4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5FABEEB7">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406C8C1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447E65A0">
            <w:pPr>
              <w:tabs>
                <w:tab w:val="left" w:pos="210"/>
              </w:tabs>
              <w:spacing w:line="320" w:lineRule="exact"/>
              <w:rPr>
                <w:rFonts w:hint="eastAsia" w:ascii="宋体" w:hAnsi="宋体" w:eastAsia="宋体" w:cs="宋体"/>
                <w:color w:val="auto"/>
                <w:kern w:val="0"/>
                <w:sz w:val="24"/>
                <w:highlight w:val="none"/>
              </w:rPr>
            </w:pPr>
          </w:p>
        </w:tc>
      </w:tr>
      <w:tr w14:paraId="6B9C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59046911">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25B908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537B572C">
            <w:pPr>
              <w:tabs>
                <w:tab w:val="left" w:pos="210"/>
              </w:tabs>
              <w:spacing w:line="320" w:lineRule="exact"/>
              <w:jc w:val="center"/>
              <w:rPr>
                <w:rFonts w:hint="eastAsia" w:ascii="宋体" w:hAnsi="宋体" w:eastAsia="宋体" w:cs="宋体"/>
                <w:color w:val="auto"/>
                <w:kern w:val="0"/>
                <w:sz w:val="24"/>
                <w:highlight w:val="none"/>
              </w:rPr>
            </w:pPr>
          </w:p>
        </w:tc>
      </w:tr>
      <w:tr w14:paraId="022F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6BD079E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60F07FF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2C6AC8A8">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284A177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2B278985">
            <w:pPr>
              <w:tabs>
                <w:tab w:val="left" w:pos="210"/>
              </w:tabs>
              <w:spacing w:line="320" w:lineRule="exact"/>
              <w:jc w:val="center"/>
              <w:rPr>
                <w:rFonts w:hint="eastAsia" w:ascii="宋体" w:hAnsi="宋体" w:eastAsia="宋体" w:cs="宋体"/>
                <w:color w:val="auto"/>
                <w:kern w:val="0"/>
                <w:sz w:val="24"/>
                <w:highlight w:val="none"/>
              </w:rPr>
            </w:pPr>
          </w:p>
        </w:tc>
      </w:tr>
      <w:tr w14:paraId="6856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865FD7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208F65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06F2F9E8">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05DDE3C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0ADEE8DD">
            <w:pPr>
              <w:tabs>
                <w:tab w:val="left" w:pos="210"/>
              </w:tabs>
              <w:spacing w:line="320" w:lineRule="exact"/>
              <w:jc w:val="center"/>
              <w:rPr>
                <w:rFonts w:hint="eastAsia" w:ascii="宋体" w:hAnsi="宋体" w:eastAsia="宋体" w:cs="宋体"/>
                <w:color w:val="auto"/>
                <w:kern w:val="0"/>
                <w:sz w:val="24"/>
                <w:highlight w:val="none"/>
              </w:rPr>
            </w:pPr>
          </w:p>
        </w:tc>
      </w:tr>
      <w:tr w14:paraId="714A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68E01753">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33993B3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783B71C9">
            <w:pPr>
              <w:tabs>
                <w:tab w:val="left" w:pos="210"/>
              </w:tabs>
              <w:spacing w:line="320" w:lineRule="exact"/>
              <w:jc w:val="center"/>
              <w:rPr>
                <w:rFonts w:hint="eastAsia" w:ascii="宋体" w:hAnsi="宋体" w:eastAsia="宋体" w:cs="宋体"/>
                <w:color w:val="auto"/>
                <w:kern w:val="0"/>
                <w:sz w:val="24"/>
                <w:highlight w:val="none"/>
              </w:rPr>
            </w:pPr>
          </w:p>
        </w:tc>
      </w:tr>
      <w:tr w14:paraId="58C7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6C0917F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75F4FC4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4C5B864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1F6F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29A5DFD9">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1414354E">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36DF3CD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42AB6343">
            <w:pPr>
              <w:tabs>
                <w:tab w:val="left" w:pos="210"/>
              </w:tabs>
              <w:spacing w:line="320" w:lineRule="exact"/>
              <w:jc w:val="center"/>
              <w:rPr>
                <w:rFonts w:hint="eastAsia" w:ascii="宋体" w:hAnsi="宋体" w:eastAsia="宋体" w:cs="宋体"/>
                <w:color w:val="auto"/>
                <w:kern w:val="0"/>
                <w:sz w:val="24"/>
                <w:highlight w:val="none"/>
              </w:rPr>
            </w:pPr>
          </w:p>
          <w:p w14:paraId="40F29E2A">
            <w:pPr>
              <w:tabs>
                <w:tab w:val="left" w:pos="210"/>
              </w:tabs>
              <w:spacing w:line="320" w:lineRule="exact"/>
              <w:jc w:val="center"/>
              <w:rPr>
                <w:rFonts w:hint="eastAsia" w:ascii="宋体" w:hAnsi="宋体" w:eastAsia="宋体" w:cs="宋体"/>
                <w:color w:val="auto"/>
                <w:kern w:val="0"/>
                <w:sz w:val="24"/>
                <w:highlight w:val="none"/>
              </w:rPr>
            </w:pPr>
          </w:p>
          <w:p w14:paraId="1C36747B">
            <w:pPr>
              <w:tabs>
                <w:tab w:val="left" w:pos="210"/>
              </w:tabs>
              <w:spacing w:line="320" w:lineRule="exact"/>
              <w:jc w:val="center"/>
              <w:rPr>
                <w:rFonts w:hint="eastAsia" w:ascii="宋体" w:hAnsi="宋体" w:eastAsia="宋体" w:cs="宋体"/>
                <w:color w:val="auto"/>
                <w:kern w:val="0"/>
                <w:sz w:val="24"/>
                <w:highlight w:val="none"/>
              </w:rPr>
            </w:pPr>
          </w:p>
          <w:p w14:paraId="7670D404">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6E1D6711">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44346B20">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6B36AFDB">
      <w:pPr>
        <w:pStyle w:val="16"/>
        <w:spacing w:line="500" w:lineRule="exact"/>
        <w:ind w:firstLine="49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2F3E7DF0">
      <w:pPr>
        <w:pStyle w:val="16"/>
        <w:spacing w:line="500" w:lineRule="exact"/>
        <w:ind w:firstLine="49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49035B61">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1CAE8CB9">
      <w:pPr>
        <w:pStyle w:val="16"/>
        <w:spacing w:line="500" w:lineRule="exact"/>
        <w:ind w:firstLine="49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13DD170">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57D31CA6">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3730B65C">
      <w:pPr>
        <w:pStyle w:val="16"/>
        <w:spacing w:line="500" w:lineRule="exact"/>
        <w:ind w:firstLine="49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37E1E5DE">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4F63F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25457DF8">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7679F46A">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463C66B4">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6882CFA5">
      <w:pPr>
        <w:pStyle w:val="16"/>
        <w:spacing w:line="500" w:lineRule="exact"/>
        <w:ind w:firstLine="735"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2698440A">
      <w:pPr>
        <w:pStyle w:val="16"/>
        <w:spacing w:line="500" w:lineRule="exact"/>
        <w:ind w:firstLine="735" w:firstLineChars="300"/>
        <w:jc w:val="left"/>
        <w:rPr>
          <w:rFonts w:hint="eastAsia" w:ascii="宋体" w:hAnsi="宋体" w:cs="宋体"/>
          <w:b/>
          <w:bCs/>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26A0E441">
      <w:pPr>
        <w:rPr>
          <w:rFonts w:hint="eastAsia" w:ascii="宋体" w:hAnsi="宋体" w:eastAsia="宋体" w:cs="宋体"/>
          <w:color w:val="auto"/>
          <w:highlight w:val="none"/>
        </w:rPr>
      </w:pPr>
    </w:p>
    <w:p w14:paraId="7112491A">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3"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3E218872">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43E8FC5C">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14441DF6">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42F8B09E">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1941CE03">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320F6F03">
      <w:pPr>
        <w:spacing w:line="500" w:lineRule="exact"/>
        <w:ind w:firstLine="49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21253717">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103FB67F">
      <w:pPr>
        <w:spacing w:line="500" w:lineRule="exact"/>
        <w:ind w:firstLine="1102"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43441BEA">
      <w:pPr>
        <w:spacing w:line="500" w:lineRule="exact"/>
        <w:ind w:firstLine="49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176E0676">
      <w:pPr>
        <w:spacing w:line="500" w:lineRule="exact"/>
        <w:ind w:firstLine="1102"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2ADD2D3D">
      <w:pPr>
        <w:pStyle w:val="19"/>
        <w:keepNext w:val="0"/>
        <w:keepLines w:val="0"/>
        <w:pageBreakBefore w:val="0"/>
        <w:widowControl w:val="0"/>
        <w:kinsoku/>
        <w:wordWrap/>
        <w:overflowPunct/>
        <w:topLinePunct w:val="0"/>
        <w:autoSpaceDE/>
        <w:autoSpaceDN/>
        <w:bidi w:val="0"/>
        <w:adjustRightInd/>
        <w:snapToGrid w:val="0"/>
        <w:ind w:firstLine="490" w:firstLineChars="200"/>
        <w:textAlignment w:val="auto"/>
        <w:rPr>
          <w:rFonts w:hint="eastAsia" w:ascii="宋体" w:hAnsi="宋体" w:eastAsia="宋体" w:cs="宋体"/>
          <w:color w:val="auto"/>
          <w:sz w:val="24"/>
          <w:szCs w:val="24"/>
          <w:highlight w:val="none"/>
        </w:rPr>
      </w:pPr>
    </w:p>
    <w:p w14:paraId="683FDBA3">
      <w:pPr>
        <w:pStyle w:val="19"/>
        <w:keepNext w:val="0"/>
        <w:keepLines w:val="0"/>
        <w:pageBreakBefore w:val="0"/>
        <w:widowControl w:val="0"/>
        <w:kinsoku/>
        <w:wordWrap/>
        <w:overflowPunct/>
        <w:topLinePunct w:val="0"/>
        <w:autoSpaceDE/>
        <w:autoSpaceDN/>
        <w:bidi w:val="0"/>
        <w:adjustRightInd/>
        <w:snapToGrid w:val="0"/>
        <w:ind w:firstLine="49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46943147">
      <w:pPr>
        <w:pStyle w:val="19"/>
        <w:rPr>
          <w:rFonts w:hint="eastAsia" w:ascii="宋体" w:hAnsi="宋体" w:eastAsia="宋体" w:cs="宋体"/>
          <w:color w:val="auto"/>
          <w:highlight w:val="none"/>
        </w:rPr>
      </w:pPr>
    </w:p>
    <w:p w14:paraId="48187FFF">
      <w:pPr>
        <w:pStyle w:val="19"/>
        <w:rPr>
          <w:rFonts w:hint="eastAsia" w:ascii="宋体" w:hAnsi="宋体" w:eastAsia="宋体" w:cs="宋体"/>
          <w:color w:val="auto"/>
          <w:highlight w:val="none"/>
        </w:rPr>
      </w:pPr>
    </w:p>
    <w:p w14:paraId="3F2376BC">
      <w:pPr>
        <w:spacing w:before="480" w:beforeLines="200" w:line="360" w:lineRule="auto"/>
        <w:ind w:firstLine="3185"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471C1157">
      <w:pPr>
        <w:spacing w:before="480" w:beforeLines="200" w:line="360" w:lineRule="auto"/>
        <w:ind w:firstLine="3185"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6FB9A64E">
      <w:pPr>
        <w:spacing w:before="480" w:beforeLines="200" w:line="360" w:lineRule="auto"/>
        <w:ind w:firstLine="3185"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32D94433">
      <w:pPr>
        <w:bidi w:val="0"/>
        <w:rPr>
          <w:rFonts w:hint="eastAsia" w:ascii="宋体" w:hAnsi="宋体" w:eastAsia="宋体" w:cs="宋体"/>
          <w:color w:val="auto"/>
          <w:highlight w:val="none"/>
          <w:lang w:eastAsia="zh-CN"/>
        </w:rPr>
      </w:pPr>
    </w:p>
    <w:p w14:paraId="142E7B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3"/>
      <w:r>
        <w:rPr>
          <w:rFonts w:hint="eastAsia" w:ascii="宋体" w:hAnsi="宋体" w:eastAsia="宋体" w:cs="宋体"/>
          <w:b/>
          <w:bCs/>
          <w:sz w:val="24"/>
          <w:szCs w:val="24"/>
          <w:highlight w:val="none"/>
          <w:lang w:val="en-US" w:eastAsia="zh-CN"/>
        </w:rPr>
        <w:br w:type="page"/>
      </w:r>
      <w:r>
        <w:rPr>
          <w:rFonts w:hint="eastAsia" w:ascii="宋体" w:hAnsi="宋体" w:eastAsia="宋体" w:cs="宋体"/>
          <w:b/>
          <w:bCs/>
          <w:color w:val="auto"/>
          <w:sz w:val="24"/>
          <w:highlight w:val="none"/>
          <w:lang w:val="en-US" w:eastAsia="zh-CN"/>
        </w:rPr>
        <w:t>5.须提供有效的《食品经营许可证》；</w:t>
      </w:r>
    </w:p>
    <w:p w14:paraId="6FBA07F3">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br w:type="page"/>
      </w:r>
      <w:r>
        <w:rPr>
          <w:rFonts w:hint="eastAsia" w:ascii="宋体" w:hAnsi="宋体" w:eastAsia="宋体" w:cs="宋体"/>
          <w:b/>
          <w:bCs/>
          <w:color w:val="auto"/>
          <w:sz w:val="24"/>
          <w:highlight w:val="none"/>
          <w:lang w:val="en-US" w:eastAsia="zh-CN"/>
        </w:rPr>
        <w:t>本项目专门面向中小微企业采购，须符合《政府采购促进中小企业发展管理办法》（财库〔2020〕46号）规定的中小微企业参加，符合要求的监狱企业或残疾人福利单位视同小微企业，并按要求提供声明函。</w:t>
      </w:r>
    </w:p>
    <w:p w14:paraId="03E27478">
      <w:pPr>
        <w:pStyle w:val="2"/>
        <w:numPr>
          <w:ilvl w:val="0"/>
          <w:numId w:val="0"/>
        </w:numPr>
        <w:rPr>
          <w:rFonts w:hint="eastAsia"/>
          <w:highlight w:val="none"/>
          <w:lang w:val="en-US" w:eastAsia="zh-CN"/>
        </w:rPr>
      </w:pPr>
    </w:p>
    <w:p w14:paraId="4A7CDA89">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007C116B">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610C6AE6">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批发业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3D361B27">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批发业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76EA7089">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4C84AE22">
      <w:pPr>
        <w:keepNext w:val="0"/>
        <w:keepLines w:val="0"/>
        <w:pageBreakBefore w:val="0"/>
        <w:widowControl/>
        <w:kinsoku/>
        <w:wordWrap/>
        <w:overflowPunct/>
        <w:topLinePunct w:val="0"/>
        <w:autoSpaceDE/>
        <w:autoSpaceDN/>
        <w:bidi w:val="0"/>
        <w:adjustRightInd/>
        <w:snapToGrid/>
        <w:spacing w:line="288" w:lineRule="auto"/>
        <w:ind w:firstLine="49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62F194A5">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7DE79ADA">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76672C2E">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2979B14E">
      <w:pPr>
        <w:keepNext w:val="0"/>
        <w:keepLines w:val="0"/>
        <w:pageBreakBefore w:val="0"/>
        <w:widowControl/>
        <w:kinsoku/>
        <w:wordWrap/>
        <w:overflowPunct/>
        <w:topLinePunct w:val="0"/>
        <w:autoSpaceDE/>
        <w:autoSpaceDN/>
        <w:bidi w:val="0"/>
        <w:adjustRightInd/>
        <w:snapToGrid/>
        <w:spacing w:line="312" w:lineRule="auto"/>
        <w:ind w:firstLine="6125"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7877B262">
      <w:pPr>
        <w:keepNext w:val="0"/>
        <w:keepLines w:val="0"/>
        <w:pageBreakBefore w:val="0"/>
        <w:widowControl/>
        <w:kinsoku/>
        <w:wordWrap/>
        <w:overflowPunct/>
        <w:topLinePunct w:val="0"/>
        <w:autoSpaceDE/>
        <w:autoSpaceDN/>
        <w:bidi w:val="0"/>
        <w:adjustRightInd/>
        <w:snapToGrid/>
        <w:spacing w:line="312" w:lineRule="auto"/>
        <w:ind w:firstLine="6125"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779345CA">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附件2</w:t>
      </w:r>
    </w:p>
    <w:p w14:paraId="5ACB2FFD">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47FD0F82">
      <w:pPr>
        <w:widowControl/>
        <w:spacing w:before="100" w:beforeAutospacing="1" w:after="100" w:afterAutospacing="1" w:line="360" w:lineRule="auto"/>
        <w:ind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061437B9">
      <w:pPr>
        <w:pStyle w:val="24"/>
        <w:spacing w:line="360" w:lineRule="auto"/>
        <w:ind w:firstLine="490" w:firstLineChars="200"/>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注：非监狱企业不提供此证明文件</w:t>
      </w:r>
    </w:p>
    <w:p w14:paraId="0B86E57C">
      <w:pPr>
        <w:rPr>
          <w:rFonts w:hint="eastAsia" w:ascii="宋体" w:hAnsi="宋体" w:eastAsia="宋体" w:cs="宋体"/>
          <w:sz w:val="24"/>
          <w:szCs w:val="24"/>
          <w:highlight w:val="none"/>
        </w:rPr>
      </w:pPr>
    </w:p>
    <w:p w14:paraId="3F5C8362">
      <w:pPr>
        <w:rPr>
          <w:rFonts w:hint="eastAsia" w:ascii="宋体" w:hAnsi="宋体" w:eastAsia="宋体" w:cs="宋体"/>
          <w:sz w:val="24"/>
          <w:szCs w:val="24"/>
          <w:highlight w:val="none"/>
        </w:rPr>
      </w:pPr>
    </w:p>
    <w:p w14:paraId="5C0537C3">
      <w:pPr>
        <w:rPr>
          <w:rFonts w:hint="eastAsia" w:ascii="宋体" w:hAnsi="宋体" w:eastAsia="宋体" w:cs="宋体"/>
          <w:sz w:val="24"/>
          <w:szCs w:val="24"/>
          <w:highlight w:val="none"/>
        </w:rPr>
      </w:pPr>
    </w:p>
    <w:p w14:paraId="71D65B57">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附件3</w:t>
      </w:r>
    </w:p>
    <w:p w14:paraId="1638AF51">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31ABB456">
      <w:pPr>
        <w:widowControl/>
        <w:spacing w:before="100" w:beforeAutospacing="1" w:after="100" w:afterAutospacing="1" w:line="360" w:lineRule="auto"/>
        <w:ind w:firstLine="49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2F8B568C">
      <w:pPr>
        <w:pStyle w:val="24"/>
        <w:spacing w:line="360" w:lineRule="auto"/>
        <w:ind w:firstLine="49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1B456A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9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p>
    <w:p w14:paraId="74D9B81D">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4EA2232A">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096FE2DD">
      <w:pPr>
        <w:pStyle w:val="4"/>
        <w:numPr>
          <w:ilvl w:val="0"/>
          <w:numId w:val="0"/>
        </w:numPr>
        <w:ind w:firstLine="490" w:firstLineChars="200"/>
        <w:jc w:val="center"/>
        <w:rPr>
          <w:rFonts w:hint="eastAsia" w:ascii="宋体" w:hAnsi="宋体" w:eastAsia="宋体" w:cs="宋体"/>
          <w:b/>
          <w:bCs/>
          <w:sz w:val="32"/>
          <w:szCs w:val="32"/>
          <w:highlight w:val="none"/>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32"/>
          <w:szCs w:val="32"/>
          <w:highlight w:val="none"/>
          <w:lang w:val="en-US" w:eastAsia="zh-CN" w:bidi="ar-SA"/>
        </w:rPr>
        <w:t>第四部分  供应商概况</w:t>
      </w:r>
    </w:p>
    <w:p w14:paraId="06F24BA0">
      <w:pPr>
        <w:pStyle w:val="97"/>
        <w:spacing w:before="210" w:after="210"/>
        <w:ind w:left="0" w:leftChars="0" w:firstLine="0" w:firstLineChars="0"/>
        <w:jc w:val="center"/>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1036"/>
        <w:gridCol w:w="1492"/>
        <w:gridCol w:w="1477"/>
        <w:gridCol w:w="1533"/>
        <w:gridCol w:w="1540"/>
      </w:tblGrid>
      <w:tr w14:paraId="360A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44C867C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单位基本情况</w:t>
            </w:r>
          </w:p>
        </w:tc>
      </w:tr>
      <w:tr w14:paraId="1E6D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AB6BA8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供应商全称</w:t>
            </w:r>
          </w:p>
        </w:tc>
        <w:tc>
          <w:tcPr>
            <w:tcW w:w="3809" w:type="pct"/>
            <w:gridSpan w:val="5"/>
            <w:noWrap w:val="0"/>
            <w:vAlign w:val="top"/>
          </w:tcPr>
          <w:p w14:paraId="6DDD84B6">
            <w:pPr>
              <w:ind w:firstLine="0"/>
              <w:jc w:val="both"/>
              <w:rPr>
                <w:rFonts w:hint="eastAsia" w:ascii="宋体" w:hAnsi="宋体" w:eastAsia="宋体" w:cs="宋体"/>
                <w:kern w:val="2"/>
                <w:sz w:val="24"/>
                <w:szCs w:val="24"/>
                <w:highlight w:val="none"/>
              </w:rPr>
            </w:pPr>
          </w:p>
        </w:tc>
      </w:tr>
      <w:tr w14:paraId="0EE4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9BDFF0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注册地址</w:t>
            </w:r>
          </w:p>
        </w:tc>
        <w:tc>
          <w:tcPr>
            <w:tcW w:w="1361" w:type="pct"/>
            <w:gridSpan w:val="2"/>
            <w:noWrap w:val="0"/>
            <w:vAlign w:val="top"/>
          </w:tcPr>
          <w:p w14:paraId="6E2FA7FE">
            <w:pPr>
              <w:ind w:firstLine="0"/>
              <w:jc w:val="both"/>
              <w:rPr>
                <w:rFonts w:hint="eastAsia" w:ascii="宋体" w:hAnsi="宋体" w:eastAsia="宋体" w:cs="宋体"/>
                <w:kern w:val="2"/>
                <w:sz w:val="24"/>
                <w:szCs w:val="24"/>
                <w:highlight w:val="none"/>
              </w:rPr>
            </w:pPr>
          </w:p>
        </w:tc>
        <w:tc>
          <w:tcPr>
            <w:tcW w:w="795" w:type="pct"/>
            <w:noWrap w:val="0"/>
            <w:vAlign w:val="top"/>
          </w:tcPr>
          <w:p w14:paraId="5617883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成立时间</w:t>
            </w:r>
          </w:p>
        </w:tc>
        <w:tc>
          <w:tcPr>
            <w:tcW w:w="1651" w:type="pct"/>
            <w:gridSpan w:val="2"/>
            <w:noWrap w:val="0"/>
            <w:vAlign w:val="top"/>
          </w:tcPr>
          <w:p w14:paraId="2F91E42B">
            <w:pPr>
              <w:ind w:firstLine="0"/>
              <w:jc w:val="both"/>
              <w:rPr>
                <w:rFonts w:hint="eastAsia" w:ascii="宋体" w:hAnsi="宋体" w:eastAsia="宋体" w:cs="宋体"/>
                <w:kern w:val="2"/>
                <w:sz w:val="24"/>
                <w:szCs w:val="24"/>
                <w:highlight w:val="none"/>
              </w:rPr>
            </w:pPr>
          </w:p>
        </w:tc>
      </w:tr>
      <w:tr w14:paraId="63C2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0BD3D2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统一社会信用代码</w:t>
            </w:r>
          </w:p>
        </w:tc>
        <w:tc>
          <w:tcPr>
            <w:tcW w:w="1361" w:type="pct"/>
            <w:gridSpan w:val="2"/>
            <w:noWrap w:val="0"/>
            <w:vAlign w:val="top"/>
          </w:tcPr>
          <w:p w14:paraId="38BE9272">
            <w:pPr>
              <w:ind w:firstLine="0"/>
              <w:jc w:val="both"/>
              <w:rPr>
                <w:rFonts w:hint="eastAsia" w:ascii="宋体" w:hAnsi="宋体" w:eastAsia="宋体" w:cs="宋体"/>
                <w:kern w:val="2"/>
                <w:sz w:val="24"/>
                <w:szCs w:val="24"/>
                <w:highlight w:val="none"/>
              </w:rPr>
            </w:pPr>
          </w:p>
        </w:tc>
        <w:tc>
          <w:tcPr>
            <w:tcW w:w="795" w:type="pct"/>
            <w:noWrap w:val="0"/>
            <w:vAlign w:val="top"/>
          </w:tcPr>
          <w:p w14:paraId="462D615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单位性质</w:t>
            </w:r>
          </w:p>
        </w:tc>
        <w:tc>
          <w:tcPr>
            <w:tcW w:w="1651" w:type="pct"/>
            <w:gridSpan w:val="2"/>
            <w:noWrap w:val="0"/>
            <w:vAlign w:val="top"/>
          </w:tcPr>
          <w:p w14:paraId="50C678BD">
            <w:pPr>
              <w:ind w:firstLine="0"/>
              <w:jc w:val="both"/>
              <w:rPr>
                <w:rFonts w:hint="eastAsia" w:ascii="宋体" w:hAnsi="宋体" w:eastAsia="宋体" w:cs="宋体"/>
                <w:kern w:val="2"/>
                <w:sz w:val="24"/>
                <w:szCs w:val="24"/>
                <w:highlight w:val="none"/>
              </w:rPr>
            </w:pPr>
          </w:p>
        </w:tc>
      </w:tr>
      <w:tr w14:paraId="5A3E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2AE981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法定代表人</w:t>
            </w:r>
          </w:p>
        </w:tc>
        <w:tc>
          <w:tcPr>
            <w:tcW w:w="1361" w:type="pct"/>
            <w:gridSpan w:val="2"/>
            <w:noWrap w:val="0"/>
            <w:vAlign w:val="top"/>
          </w:tcPr>
          <w:p w14:paraId="6C8958D7">
            <w:pPr>
              <w:ind w:firstLine="0"/>
              <w:jc w:val="both"/>
              <w:rPr>
                <w:rFonts w:hint="eastAsia" w:ascii="宋体" w:hAnsi="宋体" w:eastAsia="宋体" w:cs="宋体"/>
                <w:kern w:val="2"/>
                <w:sz w:val="24"/>
                <w:szCs w:val="24"/>
                <w:highlight w:val="none"/>
              </w:rPr>
            </w:pPr>
          </w:p>
        </w:tc>
        <w:tc>
          <w:tcPr>
            <w:tcW w:w="795" w:type="pct"/>
            <w:noWrap w:val="0"/>
            <w:vAlign w:val="top"/>
          </w:tcPr>
          <w:p w14:paraId="1A96C77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所属行业</w:t>
            </w:r>
          </w:p>
        </w:tc>
        <w:tc>
          <w:tcPr>
            <w:tcW w:w="1651" w:type="pct"/>
            <w:gridSpan w:val="2"/>
            <w:noWrap w:val="0"/>
            <w:vAlign w:val="top"/>
          </w:tcPr>
          <w:p w14:paraId="67C0C1DA">
            <w:pPr>
              <w:ind w:firstLine="0"/>
              <w:jc w:val="both"/>
              <w:rPr>
                <w:rFonts w:hint="eastAsia" w:ascii="宋体" w:hAnsi="宋体" w:eastAsia="宋体" w:cs="宋体"/>
                <w:kern w:val="2"/>
                <w:sz w:val="24"/>
                <w:szCs w:val="24"/>
                <w:highlight w:val="none"/>
              </w:rPr>
            </w:pPr>
          </w:p>
        </w:tc>
      </w:tr>
      <w:tr w14:paraId="4DCB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20D1C3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基本存款账户开户银行</w:t>
            </w:r>
          </w:p>
        </w:tc>
        <w:tc>
          <w:tcPr>
            <w:tcW w:w="1361" w:type="pct"/>
            <w:gridSpan w:val="2"/>
            <w:noWrap w:val="0"/>
            <w:vAlign w:val="top"/>
          </w:tcPr>
          <w:p w14:paraId="7B87C931">
            <w:pPr>
              <w:ind w:firstLine="0"/>
              <w:jc w:val="both"/>
              <w:rPr>
                <w:rFonts w:hint="eastAsia" w:ascii="宋体" w:hAnsi="宋体" w:eastAsia="宋体" w:cs="宋体"/>
                <w:kern w:val="2"/>
                <w:sz w:val="24"/>
                <w:szCs w:val="24"/>
                <w:highlight w:val="none"/>
              </w:rPr>
            </w:pPr>
          </w:p>
        </w:tc>
        <w:tc>
          <w:tcPr>
            <w:tcW w:w="795" w:type="pct"/>
            <w:noWrap w:val="0"/>
            <w:vAlign w:val="top"/>
          </w:tcPr>
          <w:p w14:paraId="48FDA748">
            <w:pPr>
              <w:ind w:firstLine="0"/>
              <w:jc w:val="both"/>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基本存款</w:t>
            </w:r>
          </w:p>
          <w:p w14:paraId="5652CF35">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账户账号</w:t>
            </w:r>
          </w:p>
        </w:tc>
        <w:tc>
          <w:tcPr>
            <w:tcW w:w="1651" w:type="pct"/>
            <w:gridSpan w:val="2"/>
            <w:noWrap w:val="0"/>
            <w:vAlign w:val="top"/>
          </w:tcPr>
          <w:p w14:paraId="25A83D54">
            <w:pPr>
              <w:ind w:firstLine="0"/>
              <w:jc w:val="both"/>
              <w:rPr>
                <w:rFonts w:hint="eastAsia" w:ascii="宋体" w:hAnsi="宋体" w:eastAsia="宋体" w:cs="宋体"/>
                <w:kern w:val="2"/>
                <w:sz w:val="24"/>
                <w:szCs w:val="24"/>
                <w:highlight w:val="none"/>
              </w:rPr>
            </w:pPr>
          </w:p>
        </w:tc>
      </w:tr>
      <w:tr w14:paraId="1B31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255EF44">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上年度营业收入*</w:t>
            </w:r>
          </w:p>
        </w:tc>
        <w:tc>
          <w:tcPr>
            <w:tcW w:w="1361" w:type="pct"/>
            <w:gridSpan w:val="2"/>
            <w:noWrap w:val="0"/>
            <w:vAlign w:val="top"/>
          </w:tcPr>
          <w:p w14:paraId="2D315411">
            <w:pPr>
              <w:ind w:firstLine="0"/>
              <w:jc w:val="both"/>
              <w:rPr>
                <w:rFonts w:hint="eastAsia" w:ascii="宋体" w:hAnsi="宋体" w:eastAsia="宋体" w:cs="宋体"/>
                <w:kern w:val="2"/>
                <w:sz w:val="24"/>
                <w:szCs w:val="24"/>
                <w:highlight w:val="none"/>
              </w:rPr>
            </w:pPr>
          </w:p>
        </w:tc>
        <w:tc>
          <w:tcPr>
            <w:tcW w:w="795" w:type="pct"/>
            <w:noWrap w:val="0"/>
            <w:vAlign w:val="top"/>
          </w:tcPr>
          <w:p w14:paraId="64DE5E9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资产总额</w:t>
            </w:r>
          </w:p>
        </w:tc>
        <w:tc>
          <w:tcPr>
            <w:tcW w:w="1651" w:type="pct"/>
            <w:gridSpan w:val="2"/>
            <w:noWrap w:val="0"/>
            <w:vAlign w:val="top"/>
          </w:tcPr>
          <w:p w14:paraId="26EB297F">
            <w:pPr>
              <w:ind w:firstLine="0"/>
              <w:jc w:val="both"/>
              <w:rPr>
                <w:rFonts w:hint="eastAsia" w:ascii="宋体" w:hAnsi="宋体" w:eastAsia="宋体" w:cs="宋体"/>
                <w:kern w:val="2"/>
                <w:sz w:val="24"/>
                <w:szCs w:val="24"/>
                <w:highlight w:val="none"/>
              </w:rPr>
            </w:pPr>
          </w:p>
        </w:tc>
      </w:tr>
      <w:tr w14:paraId="68FF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F7F6EE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经营范围</w:t>
            </w:r>
          </w:p>
        </w:tc>
        <w:tc>
          <w:tcPr>
            <w:tcW w:w="3809" w:type="pct"/>
            <w:gridSpan w:val="5"/>
            <w:noWrap w:val="0"/>
            <w:vAlign w:val="top"/>
          </w:tcPr>
          <w:p w14:paraId="78CB1C74">
            <w:pPr>
              <w:ind w:firstLine="0"/>
              <w:jc w:val="both"/>
              <w:rPr>
                <w:rFonts w:hint="eastAsia" w:ascii="宋体" w:hAnsi="宋体" w:eastAsia="宋体" w:cs="宋体"/>
                <w:kern w:val="2"/>
                <w:sz w:val="24"/>
                <w:szCs w:val="24"/>
                <w:highlight w:val="none"/>
              </w:rPr>
            </w:pPr>
          </w:p>
        </w:tc>
      </w:tr>
      <w:tr w14:paraId="34C2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3DC1D8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资质证书名称</w:t>
            </w:r>
          </w:p>
        </w:tc>
        <w:tc>
          <w:tcPr>
            <w:tcW w:w="1361" w:type="pct"/>
            <w:gridSpan w:val="2"/>
            <w:noWrap w:val="0"/>
            <w:vAlign w:val="top"/>
          </w:tcPr>
          <w:p w14:paraId="5F564DC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证书号</w:t>
            </w:r>
          </w:p>
        </w:tc>
        <w:tc>
          <w:tcPr>
            <w:tcW w:w="795" w:type="pct"/>
            <w:noWrap w:val="0"/>
            <w:vAlign w:val="top"/>
          </w:tcPr>
          <w:p w14:paraId="2497BF02">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等级</w:t>
            </w:r>
          </w:p>
        </w:tc>
        <w:tc>
          <w:tcPr>
            <w:tcW w:w="1651" w:type="pct"/>
            <w:gridSpan w:val="2"/>
            <w:noWrap w:val="0"/>
            <w:vAlign w:val="top"/>
          </w:tcPr>
          <w:p w14:paraId="7F45B8B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类型</w:t>
            </w:r>
          </w:p>
        </w:tc>
      </w:tr>
      <w:tr w14:paraId="41B6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DB85297">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5F6A9AA7">
            <w:pPr>
              <w:ind w:firstLine="0"/>
              <w:jc w:val="both"/>
              <w:rPr>
                <w:rFonts w:hint="eastAsia" w:ascii="宋体" w:hAnsi="宋体" w:eastAsia="宋体" w:cs="宋体"/>
                <w:kern w:val="2"/>
                <w:sz w:val="24"/>
                <w:szCs w:val="24"/>
                <w:highlight w:val="none"/>
              </w:rPr>
            </w:pPr>
          </w:p>
        </w:tc>
        <w:tc>
          <w:tcPr>
            <w:tcW w:w="795" w:type="pct"/>
            <w:noWrap w:val="0"/>
            <w:vAlign w:val="top"/>
          </w:tcPr>
          <w:p w14:paraId="7C71A55D">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553D7224">
            <w:pPr>
              <w:ind w:firstLine="0"/>
              <w:jc w:val="both"/>
              <w:rPr>
                <w:rFonts w:hint="eastAsia" w:ascii="宋体" w:hAnsi="宋体" w:eastAsia="宋体" w:cs="宋体"/>
                <w:kern w:val="2"/>
                <w:sz w:val="24"/>
                <w:szCs w:val="24"/>
                <w:highlight w:val="none"/>
              </w:rPr>
            </w:pPr>
          </w:p>
        </w:tc>
      </w:tr>
      <w:tr w14:paraId="29A4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C58609F">
            <w:pPr>
              <w:ind w:firstLine="0"/>
              <w:jc w:val="both"/>
              <w:rPr>
                <w:rFonts w:hint="eastAsia" w:ascii="宋体" w:hAnsi="宋体" w:eastAsia="宋体" w:cs="宋体"/>
                <w:kern w:val="2"/>
                <w:sz w:val="24"/>
                <w:szCs w:val="24"/>
                <w:highlight w:val="none"/>
              </w:rPr>
            </w:pPr>
          </w:p>
        </w:tc>
        <w:tc>
          <w:tcPr>
            <w:tcW w:w="1361" w:type="pct"/>
            <w:gridSpan w:val="2"/>
            <w:noWrap w:val="0"/>
            <w:vAlign w:val="top"/>
          </w:tcPr>
          <w:p w14:paraId="60787AEF">
            <w:pPr>
              <w:ind w:firstLine="0"/>
              <w:jc w:val="both"/>
              <w:rPr>
                <w:rFonts w:hint="eastAsia" w:ascii="宋体" w:hAnsi="宋体" w:eastAsia="宋体" w:cs="宋体"/>
                <w:kern w:val="2"/>
                <w:sz w:val="24"/>
                <w:szCs w:val="24"/>
                <w:highlight w:val="none"/>
              </w:rPr>
            </w:pPr>
          </w:p>
        </w:tc>
        <w:tc>
          <w:tcPr>
            <w:tcW w:w="795" w:type="pct"/>
            <w:noWrap w:val="0"/>
            <w:vAlign w:val="top"/>
          </w:tcPr>
          <w:p w14:paraId="2BB48B3F">
            <w:pPr>
              <w:ind w:firstLine="0"/>
              <w:jc w:val="both"/>
              <w:rPr>
                <w:rFonts w:hint="eastAsia" w:ascii="宋体" w:hAnsi="宋体" w:eastAsia="宋体" w:cs="宋体"/>
                <w:kern w:val="2"/>
                <w:sz w:val="24"/>
                <w:szCs w:val="24"/>
                <w:highlight w:val="none"/>
              </w:rPr>
            </w:pPr>
          </w:p>
        </w:tc>
        <w:tc>
          <w:tcPr>
            <w:tcW w:w="1651" w:type="pct"/>
            <w:gridSpan w:val="2"/>
            <w:noWrap w:val="0"/>
            <w:vAlign w:val="top"/>
          </w:tcPr>
          <w:p w14:paraId="0A85221F">
            <w:pPr>
              <w:ind w:firstLine="0"/>
              <w:jc w:val="both"/>
              <w:rPr>
                <w:rFonts w:hint="eastAsia" w:ascii="宋体" w:hAnsi="宋体" w:eastAsia="宋体" w:cs="宋体"/>
                <w:kern w:val="2"/>
                <w:sz w:val="24"/>
                <w:szCs w:val="24"/>
                <w:highlight w:val="none"/>
              </w:rPr>
            </w:pPr>
          </w:p>
        </w:tc>
      </w:tr>
      <w:tr w14:paraId="756A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0883368D">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从业人员情况</w:t>
            </w:r>
          </w:p>
        </w:tc>
      </w:tr>
      <w:tr w14:paraId="7BBD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noWrap w:val="0"/>
            <w:vAlign w:val="top"/>
          </w:tcPr>
          <w:p w14:paraId="45E08D49">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从业人员总数</w:t>
            </w:r>
          </w:p>
        </w:tc>
        <w:tc>
          <w:tcPr>
            <w:tcW w:w="558" w:type="pct"/>
            <w:vMerge w:val="restart"/>
            <w:noWrap w:val="0"/>
            <w:vAlign w:val="top"/>
          </w:tcPr>
          <w:p w14:paraId="29963DDD">
            <w:pPr>
              <w:ind w:firstLine="0"/>
              <w:jc w:val="both"/>
              <w:rPr>
                <w:rFonts w:hint="eastAsia" w:ascii="宋体" w:hAnsi="宋体" w:eastAsia="宋体" w:cs="宋体"/>
                <w:kern w:val="2"/>
                <w:sz w:val="24"/>
                <w:szCs w:val="24"/>
                <w:highlight w:val="none"/>
              </w:rPr>
            </w:pPr>
          </w:p>
        </w:tc>
        <w:tc>
          <w:tcPr>
            <w:tcW w:w="803" w:type="pct"/>
            <w:noWrap w:val="0"/>
            <w:vAlign w:val="top"/>
          </w:tcPr>
          <w:p w14:paraId="0FE8B38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管理人员数量</w:t>
            </w:r>
          </w:p>
        </w:tc>
        <w:tc>
          <w:tcPr>
            <w:tcW w:w="795" w:type="pct"/>
            <w:noWrap w:val="0"/>
            <w:vAlign w:val="top"/>
          </w:tcPr>
          <w:p w14:paraId="40E65405">
            <w:pPr>
              <w:ind w:firstLine="0"/>
              <w:jc w:val="both"/>
              <w:rPr>
                <w:rFonts w:hint="eastAsia" w:ascii="宋体" w:hAnsi="宋体" w:eastAsia="宋体" w:cs="宋体"/>
                <w:kern w:val="2"/>
                <w:sz w:val="24"/>
                <w:szCs w:val="24"/>
                <w:highlight w:val="none"/>
              </w:rPr>
            </w:pPr>
          </w:p>
        </w:tc>
        <w:tc>
          <w:tcPr>
            <w:tcW w:w="825" w:type="pct"/>
            <w:noWrap w:val="0"/>
            <w:vAlign w:val="top"/>
          </w:tcPr>
          <w:p w14:paraId="0EABEA53">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专业技术人员数量</w:t>
            </w:r>
          </w:p>
        </w:tc>
        <w:tc>
          <w:tcPr>
            <w:tcW w:w="826" w:type="pct"/>
            <w:noWrap w:val="0"/>
            <w:vAlign w:val="top"/>
          </w:tcPr>
          <w:p w14:paraId="257552F6">
            <w:pPr>
              <w:ind w:firstLine="0"/>
              <w:jc w:val="both"/>
              <w:rPr>
                <w:rFonts w:hint="eastAsia" w:ascii="宋体" w:hAnsi="宋体" w:eastAsia="宋体" w:cs="宋体"/>
                <w:kern w:val="2"/>
                <w:sz w:val="24"/>
                <w:szCs w:val="24"/>
                <w:highlight w:val="none"/>
              </w:rPr>
            </w:pPr>
          </w:p>
        </w:tc>
      </w:tr>
      <w:tr w14:paraId="6C0B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noWrap w:val="0"/>
            <w:vAlign w:val="top"/>
          </w:tcPr>
          <w:p w14:paraId="2C473901">
            <w:pPr>
              <w:ind w:firstLine="0"/>
              <w:jc w:val="both"/>
              <w:rPr>
                <w:rFonts w:hint="eastAsia" w:ascii="宋体" w:hAnsi="宋体" w:eastAsia="宋体" w:cs="宋体"/>
                <w:kern w:val="2"/>
                <w:sz w:val="24"/>
                <w:szCs w:val="24"/>
                <w:highlight w:val="none"/>
              </w:rPr>
            </w:pPr>
          </w:p>
        </w:tc>
        <w:tc>
          <w:tcPr>
            <w:tcW w:w="558" w:type="pct"/>
            <w:vMerge w:val="continue"/>
            <w:noWrap w:val="0"/>
            <w:vAlign w:val="top"/>
          </w:tcPr>
          <w:p w14:paraId="28DB2812">
            <w:pPr>
              <w:ind w:firstLine="0"/>
              <w:jc w:val="both"/>
              <w:rPr>
                <w:rFonts w:hint="eastAsia" w:ascii="宋体" w:hAnsi="宋体" w:eastAsia="宋体" w:cs="宋体"/>
                <w:kern w:val="2"/>
                <w:sz w:val="24"/>
                <w:szCs w:val="24"/>
                <w:highlight w:val="none"/>
              </w:rPr>
            </w:pPr>
          </w:p>
        </w:tc>
        <w:tc>
          <w:tcPr>
            <w:tcW w:w="803" w:type="pct"/>
            <w:noWrap w:val="0"/>
            <w:vAlign w:val="top"/>
          </w:tcPr>
          <w:p w14:paraId="13A99C8F">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残疾人数量</w:t>
            </w:r>
          </w:p>
        </w:tc>
        <w:tc>
          <w:tcPr>
            <w:tcW w:w="795" w:type="pct"/>
            <w:noWrap w:val="0"/>
            <w:vAlign w:val="top"/>
          </w:tcPr>
          <w:p w14:paraId="6655E51F">
            <w:pPr>
              <w:ind w:firstLine="0"/>
              <w:jc w:val="both"/>
              <w:rPr>
                <w:rFonts w:hint="eastAsia" w:ascii="宋体" w:hAnsi="宋体" w:eastAsia="宋体" w:cs="宋体"/>
                <w:kern w:val="2"/>
                <w:sz w:val="24"/>
                <w:szCs w:val="24"/>
                <w:highlight w:val="none"/>
              </w:rPr>
            </w:pPr>
          </w:p>
        </w:tc>
        <w:tc>
          <w:tcPr>
            <w:tcW w:w="825" w:type="pct"/>
            <w:noWrap w:val="0"/>
            <w:vAlign w:val="top"/>
          </w:tcPr>
          <w:p w14:paraId="663FC0CB">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少数民族数量</w:t>
            </w:r>
          </w:p>
        </w:tc>
        <w:tc>
          <w:tcPr>
            <w:tcW w:w="826" w:type="pct"/>
            <w:noWrap w:val="0"/>
            <w:vAlign w:val="top"/>
          </w:tcPr>
          <w:p w14:paraId="7A570AD8">
            <w:pPr>
              <w:ind w:firstLine="0"/>
              <w:jc w:val="both"/>
              <w:rPr>
                <w:rFonts w:hint="eastAsia" w:ascii="宋体" w:hAnsi="宋体" w:eastAsia="宋体" w:cs="宋体"/>
                <w:kern w:val="2"/>
                <w:sz w:val="24"/>
                <w:szCs w:val="24"/>
                <w:highlight w:val="none"/>
              </w:rPr>
            </w:pPr>
          </w:p>
        </w:tc>
      </w:tr>
      <w:tr w14:paraId="186A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765F65DE">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存在直接控股、管理关系的相关供应商</w:t>
            </w:r>
          </w:p>
        </w:tc>
      </w:tr>
      <w:tr w14:paraId="0EF3B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89BA9B8">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关系</w:t>
            </w:r>
          </w:p>
        </w:tc>
        <w:tc>
          <w:tcPr>
            <w:tcW w:w="3809" w:type="pct"/>
            <w:gridSpan w:val="5"/>
            <w:noWrap w:val="0"/>
            <w:vAlign w:val="top"/>
          </w:tcPr>
          <w:p w14:paraId="4F859F17">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供应商名称</w:t>
            </w:r>
          </w:p>
        </w:tc>
      </w:tr>
      <w:tr w14:paraId="1C40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8DDFA3E">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6B5E4645">
            <w:pPr>
              <w:ind w:firstLine="0"/>
              <w:jc w:val="both"/>
              <w:rPr>
                <w:rFonts w:hint="eastAsia" w:ascii="宋体" w:hAnsi="宋体" w:eastAsia="宋体" w:cs="宋体"/>
                <w:kern w:val="2"/>
                <w:sz w:val="24"/>
                <w:szCs w:val="24"/>
                <w:highlight w:val="none"/>
              </w:rPr>
            </w:pPr>
          </w:p>
        </w:tc>
      </w:tr>
      <w:tr w14:paraId="5B9D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6128A39">
            <w:pPr>
              <w:ind w:firstLine="0"/>
              <w:jc w:val="both"/>
              <w:rPr>
                <w:rFonts w:hint="eastAsia" w:ascii="宋体" w:hAnsi="宋体" w:eastAsia="宋体" w:cs="宋体"/>
                <w:kern w:val="2"/>
                <w:sz w:val="24"/>
                <w:szCs w:val="24"/>
                <w:highlight w:val="none"/>
              </w:rPr>
            </w:pPr>
          </w:p>
        </w:tc>
        <w:tc>
          <w:tcPr>
            <w:tcW w:w="3809" w:type="pct"/>
            <w:gridSpan w:val="5"/>
            <w:noWrap w:val="0"/>
            <w:vAlign w:val="top"/>
          </w:tcPr>
          <w:p w14:paraId="3F52FE83">
            <w:pPr>
              <w:ind w:firstLine="0"/>
              <w:jc w:val="both"/>
              <w:rPr>
                <w:rFonts w:hint="eastAsia" w:ascii="宋体" w:hAnsi="宋体" w:eastAsia="宋体" w:cs="宋体"/>
                <w:kern w:val="2"/>
                <w:sz w:val="24"/>
                <w:szCs w:val="24"/>
                <w:highlight w:val="none"/>
              </w:rPr>
            </w:pPr>
          </w:p>
        </w:tc>
      </w:tr>
      <w:tr w14:paraId="6700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1A8B076">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说明</w:t>
            </w:r>
          </w:p>
        </w:tc>
        <w:tc>
          <w:tcPr>
            <w:tcW w:w="3809" w:type="pct"/>
            <w:gridSpan w:val="5"/>
            <w:noWrap w:val="0"/>
            <w:vAlign w:val="top"/>
          </w:tcPr>
          <w:p w14:paraId="2B8049DA">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1.成立时间至提交投标文件截止时间不足一年的可不填写“上年度营业收入”；</w:t>
            </w:r>
          </w:p>
          <w:p w14:paraId="45A6225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2.招标文件接受联合体的，联合体各方均应提供；</w:t>
            </w:r>
          </w:p>
          <w:p w14:paraId="667C80A0">
            <w:pPr>
              <w:ind w:firstLine="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3.表格空间不足时，请自行扩展。</w:t>
            </w:r>
          </w:p>
        </w:tc>
      </w:tr>
    </w:tbl>
    <w:p w14:paraId="459303B9">
      <w:pPr>
        <w:pStyle w:val="24"/>
        <w:spacing w:line="360" w:lineRule="auto"/>
        <w:jc w:val="center"/>
        <w:rPr>
          <w:rFonts w:hint="eastAsia" w:ascii="宋体" w:hAnsi="宋体" w:eastAsia="宋体" w:cs="宋体"/>
          <w:b/>
          <w:bCs/>
          <w:sz w:val="32"/>
          <w:szCs w:val="32"/>
          <w:highlight w:val="none"/>
          <w:lang w:val="en-US" w:eastAsia="zh-CN" w:bidi="ar-SA"/>
        </w:rPr>
      </w:pPr>
      <w:r>
        <w:rPr>
          <w:rFonts w:hint="eastAsia" w:ascii="宋体" w:hAnsi="宋体" w:eastAsia="宋体" w:cs="宋体"/>
          <w:b/>
          <w:bCs/>
          <w:sz w:val="32"/>
          <w:szCs w:val="32"/>
          <w:highlight w:val="none"/>
          <w:lang w:val="en-US" w:eastAsia="zh-CN"/>
        </w:rPr>
        <w:br w:type="page"/>
      </w:r>
      <w:r>
        <w:rPr>
          <w:rFonts w:hint="eastAsia" w:ascii="宋体" w:hAnsi="宋体" w:eastAsia="宋体" w:cs="宋体"/>
          <w:b/>
          <w:bCs/>
          <w:sz w:val="32"/>
          <w:szCs w:val="32"/>
          <w:highlight w:val="none"/>
          <w:lang w:val="en-US" w:eastAsia="zh-CN"/>
        </w:rPr>
        <w:t>第五部分  供应商参加政府采购活动承诺书</w:t>
      </w:r>
    </w:p>
    <w:p w14:paraId="65FDF081">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未签署下列承诺书的，将被视为无效投标，其责任由供应商自行承担。</w:t>
      </w:r>
    </w:p>
    <w:p w14:paraId="57F6B05E">
      <w:pPr>
        <w:pStyle w:val="5"/>
        <w:ind w:left="0" w:leftChars="0" w:right="0" w:rightChars="0" w:firstLine="0" w:firstLineChars="0"/>
        <w:jc w:val="center"/>
        <w:rPr>
          <w:rFonts w:hint="eastAsia" w:ascii="宋体" w:hAnsi="宋体" w:eastAsia="宋体" w:cs="宋体"/>
          <w:b/>
          <w:bCs/>
          <w:sz w:val="32"/>
          <w:szCs w:val="32"/>
          <w:highlight w:val="none"/>
        </w:rPr>
      </w:pPr>
      <w:r>
        <w:rPr>
          <w:rFonts w:hint="eastAsia" w:ascii="宋体" w:hAnsi="宋体" w:eastAsia="宋体" w:cs="宋体"/>
          <w:b/>
          <w:bCs/>
          <w:sz w:val="28"/>
          <w:szCs w:val="28"/>
          <w:highlight w:val="none"/>
        </w:rPr>
        <w:t>（一）质量安全责任承诺书</w:t>
      </w:r>
    </w:p>
    <w:p w14:paraId="004EAAEB">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为保证本采购项目顺利进行，作为投标供应商，现郑重承诺：</w:t>
      </w:r>
    </w:p>
    <w:p w14:paraId="04A0EEE4">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1．我方所投产品的生产（包括设计、制造、安装、改造、维修等）、投入使用的材料等均完全符合国家现行质量、安全、环保标准和要求。</w:t>
      </w:r>
    </w:p>
    <w:p w14:paraId="0976C22E">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3A74F8DD">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3．对于因产品生产质量以及储存、运输、安装调试、服务、施工等过程中产生的任何安全事故，我方承担全部责任。</w:t>
      </w:r>
    </w:p>
    <w:p w14:paraId="054AE40D">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163BCA33">
      <w:pPr>
        <w:spacing w:line="560" w:lineRule="exact"/>
        <w:ind w:firstLine="490" w:firstLineChars="200"/>
        <w:jc w:val="both"/>
        <w:rPr>
          <w:rFonts w:hint="eastAsia" w:ascii="宋体" w:hAnsi="宋体" w:eastAsia="宋体" w:cs="宋体"/>
          <w:sz w:val="24"/>
          <w:szCs w:val="24"/>
          <w:highlight w:val="none"/>
        </w:rPr>
      </w:pPr>
    </w:p>
    <w:p w14:paraId="1626FD3C">
      <w:pPr>
        <w:spacing w:line="560" w:lineRule="exact"/>
        <w:ind w:firstLine="2711"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1023C9AB">
      <w:pPr>
        <w:spacing w:line="560" w:lineRule="exact"/>
        <w:ind w:firstLine="2711" w:firstLineChars="110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638C181D">
      <w:pPr>
        <w:spacing w:line="560" w:lineRule="exact"/>
        <w:ind w:firstLine="490" w:firstLineChars="200"/>
        <w:jc w:val="both"/>
        <w:rPr>
          <w:rFonts w:hint="eastAsia" w:ascii="宋体" w:hAnsi="宋体" w:eastAsia="宋体" w:cs="宋体"/>
          <w:sz w:val="24"/>
          <w:szCs w:val="24"/>
          <w:highlight w:val="none"/>
        </w:rPr>
      </w:pPr>
    </w:p>
    <w:p w14:paraId="5DC27C05">
      <w:pPr>
        <w:jc w:val="center"/>
        <w:rPr>
          <w:rFonts w:hint="eastAsia" w:ascii="宋体" w:hAnsi="宋体" w:eastAsia="宋体" w:cs="宋体"/>
          <w:b/>
          <w:bCs/>
          <w:sz w:val="28"/>
          <w:szCs w:val="28"/>
          <w:highlight w:val="none"/>
        </w:rPr>
      </w:pPr>
      <w:r>
        <w:rPr>
          <w:rFonts w:hint="eastAsia" w:ascii="宋体" w:hAnsi="宋体" w:eastAsia="宋体" w:cs="宋体"/>
          <w:highlight w:val="none"/>
        </w:rPr>
        <w:br w:type="page"/>
      </w:r>
      <w:r>
        <w:rPr>
          <w:rFonts w:hint="eastAsia" w:ascii="宋体" w:hAnsi="宋体" w:eastAsia="宋体" w:cs="宋体"/>
          <w:b/>
          <w:bCs/>
          <w:sz w:val="28"/>
          <w:szCs w:val="28"/>
          <w:highlight w:val="none"/>
        </w:rPr>
        <w:t>（二）参加政府采购活动行为自律承诺书</w:t>
      </w:r>
    </w:p>
    <w:p w14:paraId="10CD08A0">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作为参加本次政府采购项目的供应商，我方郑重承诺在参与政府采购活动中遵纪守法、公平竞争、诚实守信，如有违反愿承担一切责任及后果：</w:t>
      </w:r>
    </w:p>
    <w:p w14:paraId="6ED0E96F">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1．不与采购人、采购代理机构、政府采购评审专家恶意串通，不向其行贿或提供其他不正当利益；</w:t>
      </w:r>
    </w:p>
    <w:p w14:paraId="55370377">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2．不与其他供应商恶意串通，采取“围标、串标、陪标”等商业欺诈手段谋取中标、成交；</w:t>
      </w:r>
    </w:p>
    <w:p w14:paraId="42296572">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2A509A11">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4．不采取不正当手段诋毁、排挤其他供应商；</w:t>
      </w:r>
    </w:p>
    <w:p w14:paraId="334DF74F">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5．不以不正当理由拒不与采购人签订政府采购合同，或逾期签订政府采购合同，或不按照采购文件确定的事项签订政府采购合同；</w:t>
      </w:r>
    </w:p>
    <w:p w14:paraId="3B77FEB2">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6．不以不正当理由拒绝履行合同义务，不会擅自变更、中止或者终止政府采购合同或将政府采购合同转包；</w:t>
      </w:r>
    </w:p>
    <w:p w14:paraId="529FE43F">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7．不在提供商品、服务或工程施工过程中提供假冒伪劣产品，损害采购人的合法权益或公共利益；</w:t>
      </w:r>
    </w:p>
    <w:p w14:paraId="544A1315">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8．不采取捏造事实、提供虚假材料或者以非法手段取得证明材料进行质疑和投诉；</w:t>
      </w:r>
    </w:p>
    <w:p w14:paraId="74CBBD31">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9．不发生其他有悖于政府采购公开、公平、公正和诚信原则的行为。</w:t>
      </w:r>
    </w:p>
    <w:p w14:paraId="1E5716AE">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10．尊重和接受政府采购监督管理部门的监督和采购人、采购代理机构的政府采购工作要求，愿意承担因违约行为给采购人造成的损失。</w:t>
      </w:r>
    </w:p>
    <w:p w14:paraId="3535CF27">
      <w:pPr>
        <w:spacing w:line="560" w:lineRule="exact"/>
        <w:ind w:firstLine="490" w:firstLineChars="200"/>
        <w:jc w:val="both"/>
        <w:rPr>
          <w:rFonts w:hint="eastAsia" w:ascii="宋体" w:hAnsi="宋体" w:eastAsia="宋体" w:cs="宋体"/>
          <w:sz w:val="24"/>
          <w:szCs w:val="24"/>
          <w:highlight w:val="none"/>
        </w:rPr>
      </w:pPr>
    </w:p>
    <w:p w14:paraId="73FF64A9">
      <w:pPr>
        <w:spacing w:line="560" w:lineRule="exact"/>
        <w:ind w:firstLine="2711"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9018A38">
      <w:pPr>
        <w:spacing w:line="560" w:lineRule="exact"/>
        <w:ind w:firstLine="2711" w:firstLineChars="110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0486E6DB">
      <w:pPr>
        <w:pStyle w:val="4"/>
        <w:numPr>
          <w:ilvl w:val="0"/>
          <w:numId w:val="0"/>
        </w:numPr>
        <w:ind w:firstLine="650" w:firstLineChars="200"/>
        <w:jc w:val="center"/>
        <w:rPr>
          <w:rFonts w:hint="eastAsia" w:ascii="宋体" w:hAnsi="宋体" w:eastAsia="宋体" w:cs="宋体"/>
          <w:b/>
          <w:bCs/>
          <w:highlight w:val="none"/>
        </w:rPr>
      </w:pPr>
      <w:r>
        <w:rPr>
          <w:rFonts w:hint="eastAsia" w:ascii="宋体" w:hAnsi="宋体" w:eastAsia="宋体" w:cs="宋体"/>
          <w:highlight w:val="none"/>
        </w:rPr>
        <w:br w:type="page"/>
      </w:r>
      <w:bookmarkStart w:id="24" w:name="_GoBack"/>
      <w:r>
        <w:rPr>
          <w:rFonts w:hint="eastAsia" w:ascii="宋体" w:hAnsi="宋体" w:eastAsia="宋体" w:cs="宋体"/>
          <w:b/>
          <w:bCs/>
          <w:sz w:val="32"/>
          <w:szCs w:val="32"/>
          <w:highlight w:val="none"/>
          <w:lang w:val="en-US" w:eastAsia="zh-CN"/>
        </w:rPr>
        <w:t>第六部分  投标方案</w:t>
      </w:r>
    </w:p>
    <w:p w14:paraId="71EC4029">
      <w:pPr>
        <w:pStyle w:val="97"/>
        <w:spacing w:before="210" w:after="210"/>
        <w:ind w:firstLine="640"/>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1"/>
        <w:gridCol w:w="1677"/>
        <w:gridCol w:w="2461"/>
        <w:gridCol w:w="2338"/>
        <w:gridCol w:w="994"/>
        <w:gridCol w:w="1153"/>
      </w:tblGrid>
      <w:tr w14:paraId="43E7D5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69A9DD12">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515BF5D2">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技术条款</w:t>
            </w:r>
          </w:p>
        </w:tc>
        <w:tc>
          <w:tcPr>
            <w:tcW w:w="1325" w:type="pct"/>
            <w:tcBorders>
              <w:top w:val="single" w:color="auto" w:sz="12" w:space="0"/>
              <w:bottom w:val="single" w:color="auto" w:sz="2" w:space="0"/>
            </w:tcBorders>
            <w:shd w:val="clear" w:color="auto" w:fill="F1F1F1"/>
            <w:noWrap w:val="0"/>
            <w:vAlign w:val="center"/>
          </w:tcPr>
          <w:p w14:paraId="0216216D">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noWrap w:val="0"/>
            <w:vAlign w:val="center"/>
          </w:tcPr>
          <w:p w14:paraId="08877531">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投标文件技术响应</w:t>
            </w:r>
          </w:p>
        </w:tc>
        <w:tc>
          <w:tcPr>
            <w:tcW w:w="535" w:type="pct"/>
            <w:tcBorders>
              <w:top w:val="single" w:color="auto" w:sz="12" w:space="0"/>
              <w:bottom w:val="single" w:color="auto" w:sz="2" w:space="0"/>
            </w:tcBorders>
            <w:shd w:val="clear" w:color="auto" w:fill="F1F1F1"/>
            <w:noWrap w:val="0"/>
            <w:vAlign w:val="center"/>
          </w:tcPr>
          <w:p w14:paraId="6A89C685">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2D47BC86">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52EBB1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38EE0EFD">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644EEB82">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6D9BA0DA">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25A8171B">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180B5761">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3BBF315C">
            <w:pPr>
              <w:spacing w:line="560" w:lineRule="exact"/>
              <w:jc w:val="center"/>
              <w:rPr>
                <w:rFonts w:hint="eastAsia" w:ascii="宋体" w:hAnsi="宋体" w:eastAsia="宋体" w:cs="宋体"/>
                <w:sz w:val="24"/>
                <w:szCs w:val="24"/>
                <w:highlight w:val="none"/>
              </w:rPr>
            </w:pPr>
          </w:p>
        </w:tc>
      </w:tr>
      <w:tr w14:paraId="254D15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1B88517">
            <w:pPr>
              <w:spacing w:line="560" w:lineRule="exact"/>
              <w:jc w:val="center"/>
              <w:rPr>
                <w:rFonts w:hint="eastAsia" w:ascii="宋体" w:hAnsi="宋体" w:eastAsia="宋体" w:cs="宋体"/>
                <w:sz w:val="24"/>
                <w:szCs w:val="24"/>
                <w:highlight w:val="none"/>
              </w:rPr>
            </w:pPr>
          </w:p>
        </w:tc>
        <w:tc>
          <w:tcPr>
            <w:tcW w:w="903" w:type="pct"/>
            <w:noWrap w:val="0"/>
            <w:vAlign w:val="center"/>
          </w:tcPr>
          <w:p w14:paraId="1AD99F84">
            <w:pPr>
              <w:spacing w:line="560" w:lineRule="exact"/>
              <w:jc w:val="center"/>
              <w:rPr>
                <w:rFonts w:hint="eastAsia" w:ascii="宋体" w:hAnsi="宋体" w:eastAsia="宋体" w:cs="宋体"/>
                <w:sz w:val="24"/>
                <w:szCs w:val="24"/>
                <w:highlight w:val="none"/>
              </w:rPr>
            </w:pPr>
          </w:p>
        </w:tc>
        <w:tc>
          <w:tcPr>
            <w:tcW w:w="1325" w:type="pct"/>
            <w:noWrap w:val="0"/>
            <w:vAlign w:val="center"/>
          </w:tcPr>
          <w:p w14:paraId="055456F8">
            <w:pPr>
              <w:spacing w:line="560" w:lineRule="exact"/>
              <w:jc w:val="center"/>
              <w:rPr>
                <w:rFonts w:hint="eastAsia" w:ascii="宋体" w:hAnsi="宋体" w:eastAsia="宋体" w:cs="宋体"/>
                <w:sz w:val="24"/>
                <w:szCs w:val="24"/>
                <w:highlight w:val="none"/>
              </w:rPr>
            </w:pPr>
          </w:p>
        </w:tc>
        <w:tc>
          <w:tcPr>
            <w:tcW w:w="1259" w:type="pct"/>
            <w:noWrap w:val="0"/>
            <w:vAlign w:val="center"/>
          </w:tcPr>
          <w:p w14:paraId="179BE7E6">
            <w:pPr>
              <w:spacing w:line="560" w:lineRule="exact"/>
              <w:jc w:val="center"/>
              <w:rPr>
                <w:rFonts w:hint="eastAsia" w:ascii="宋体" w:hAnsi="宋体" w:eastAsia="宋体" w:cs="宋体"/>
                <w:sz w:val="24"/>
                <w:szCs w:val="24"/>
                <w:highlight w:val="none"/>
              </w:rPr>
            </w:pPr>
          </w:p>
        </w:tc>
        <w:tc>
          <w:tcPr>
            <w:tcW w:w="535" w:type="pct"/>
            <w:noWrap w:val="0"/>
            <w:vAlign w:val="center"/>
          </w:tcPr>
          <w:p w14:paraId="69699207">
            <w:pPr>
              <w:spacing w:line="560" w:lineRule="exact"/>
              <w:jc w:val="center"/>
              <w:rPr>
                <w:rFonts w:hint="eastAsia" w:ascii="宋体" w:hAnsi="宋体" w:eastAsia="宋体" w:cs="宋体"/>
                <w:sz w:val="24"/>
                <w:szCs w:val="24"/>
                <w:highlight w:val="none"/>
              </w:rPr>
            </w:pPr>
          </w:p>
        </w:tc>
        <w:tc>
          <w:tcPr>
            <w:tcW w:w="620" w:type="pct"/>
            <w:noWrap w:val="0"/>
            <w:vAlign w:val="center"/>
          </w:tcPr>
          <w:p w14:paraId="2539D7A6">
            <w:pPr>
              <w:spacing w:line="560" w:lineRule="exact"/>
              <w:jc w:val="center"/>
              <w:rPr>
                <w:rFonts w:hint="eastAsia" w:ascii="宋体" w:hAnsi="宋体" w:eastAsia="宋体" w:cs="宋体"/>
                <w:sz w:val="24"/>
                <w:szCs w:val="24"/>
                <w:highlight w:val="none"/>
              </w:rPr>
            </w:pPr>
          </w:p>
        </w:tc>
      </w:tr>
      <w:tr w14:paraId="6284519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8DB3103">
            <w:pPr>
              <w:spacing w:line="560" w:lineRule="exact"/>
              <w:jc w:val="center"/>
              <w:rPr>
                <w:rFonts w:hint="eastAsia" w:ascii="宋体" w:hAnsi="宋体" w:eastAsia="宋体" w:cs="宋体"/>
                <w:sz w:val="24"/>
                <w:szCs w:val="24"/>
                <w:highlight w:val="none"/>
              </w:rPr>
            </w:pPr>
          </w:p>
        </w:tc>
        <w:tc>
          <w:tcPr>
            <w:tcW w:w="903" w:type="pct"/>
            <w:noWrap w:val="0"/>
            <w:vAlign w:val="center"/>
          </w:tcPr>
          <w:p w14:paraId="1EBEADFF">
            <w:pPr>
              <w:spacing w:line="560" w:lineRule="exact"/>
              <w:jc w:val="center"/>
              <w:rPr>
                <w:rFonts w:hint="eastAsia" w:ascii="宋体" w:hAnsi="宋体" w:eastAsia="宋体" w:cs="宋体"/>
                <w:sz w:val="24"/>
                <w:szCs w:val="24"/>
                <w:highlight w:val="none"/>
              </w:rPr>
            </w:pPr>
          </w:p>
        </w:tc>
        <w:tc>
          <w:tcPr>
            <w:tcW w:w="1325" w:type="pct"/>
            <w:noWrap w:val="0"/>
            <w:vAlign w:val="center"/>
          </w:tcPr>
          <w:p w14:paraId="6E3BFCFD">
            <w:pPr>
              <w:spacing w:line="560" w:lineRule="exact"/>
              <w:jc w:val="center"/>
              <w:rPr>
                <w:rFonts w:hint="eastAsia" w:ascii="宋体" w:hAnsi="宋体" w:eastAsia="宋体" w:cs="宋体"/>
                <w:sz w:val="24"/>
                <w:szCs w:val="24"/>
                <w:highlight w:val="none"/>
              </w:rPr>
            </w:pPr>
          </w:p>
        </w:tc>
        <w:tc>
          <w:tcPr>
            <w:tcW w:w="1259" w:type="pct"/>
            <w:noWrap w:val="0"/>
            <w:vAlign w:val="center"/>
          </w:tcPr>
          <w:p w14:paraId="49E9C088">
            <w:pPr>
              <w:spacing w:line="560" w:lineRule="exact"/>
              <w:jc w:val="center"/>
              <w:rPr>
                <w:rFonts w:hint="eastAsia" w:ascii="宋体" w:hAnsi="宋体" w:eastAsia="宋体" w:cs="宋体"/>
                <w:sz w:val="24"/>
                <w:szCs w:val="24"/>
                <w:highlight w:val="none"/>
              </w:rPr>
            </w:pPr>
          </w:p>
        </w:tc>
        <w:tc>
          <w:tcPr>
            <w:tcW w:w="535" w:type="pct"/>
            <w:noWrap w:val="0"/>
            <w:vAlign w:val="center"/>
          </w:tcPr>
          <w:p w14:paraId="02439C90">
            <w:pPr>
              <w:spacing w:line="560" w:lineRule="exact"/>
              <w:jc w:val="center"/>
              <w:rPr>
                <w:rFonts w:hint="eastAsia" w:ascii="宋体" w:hAnsi="宋体" w:eastAsia="宋体" w:cs="宋体"/>
                <w:sz w:val="24"/>
                <w:szCs w:val="24"/>
                <w:highlight w:val="none"/>
              </w:rPr>
            </w:pPr>
          </w:p>
        </w:tc>
        <w:tc>
          <w:tcPr>
            <w:tcW w:w="620" w:type="pct"/>
            <w:noWrap w:val="0"/>
            <w:vAlign w:val="center"/>
          </w:tcPr>
          <w:p w14:paraId="1B9C8B16">
            <w:pPr>
              <w:spacing w:line="560" w:lineRule="exact"/>
              <w:jc w:val="center"/>
              <w:rPr>
                <w:rFonts w:hint="eastAsia" w:ascii="宋体" w:hAnsi="宋体" w:eastAsia="宋体" w:cs="宋体"/>
                <w:sz w:val="24"/>
                <w:szCs w:val="24"/>
                <w:highlight w:val="none"/>
              </w:rPr>
            </w:pPr>
          </w:p>
        </w:tc>
      </w:tr>
      <w:tr w14:paraId="5C80AF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071A671">
            <w:pPr>
              <w:spacing w:line="560" w:lineRule="exact"/>
              <w:jc w:val="center"/>
              <w:rPr>
                <w:rFonts w:hint="eastAsia" w:ascii="宋体" w:hAnsi="宋体" w:eastAsia="宋体" w:cs="宋体"/>
                <w:sz w:val="24"/>
                <w:szCs w:val="24"/>
                <w:highlight w:val="none"/>
              </w:rPr>
            </w:pPr>
          </w:p>
        </w:tc>
        <w:tc>
          <w:tcPr>
            <w:tcW w:w="903" w:type="pct"/>
            <w:noWrap w:val="0"/>
            <w:vAlign w:val="center"/>
          </w:tcPr>
          <w:p w14:paraId="7225286C">
            <w:pPr>
              <w:spacing w:line="560" w:lineRule="exact"/>
              <w:jc w:val="center"/>
              <w:rPr>
                <w:rFonts w:hint="eastAsia" w:ascii="宋体" w:hAnsi="宋体" w:eastAsia="宋体" w:cs="宋体"/>
                <w:sz w:val="24"/>
                <w:szCs w:val="24"/>
                <w:highlight w:val="none"/>
              </w:rPr>
            </w:pPr>
          </w:p>
        </w:tc>
        <w:tc>
          <w:tcPr>
            <w:tcW w:w="1325" w:type="pct"/>
            <w:noWrap w:val="0"/>
            <w:vAlign w:val="center"/>
          </w:tcPr>
          <w:p w14:paraId="2E87DFC6">
            <w:pPr>
              <w:spacing w:line="560" w:lineRule="exact"/>
              <w:jc w:val="center"/>
              <w:rPr>
                <w:rFonts w:hint="eastAsia" w:ascii="宋体" w:hAnsi="宋体" w:eastAsia="宋体" w:cs="宋体"/>
                <w:sz w:val="24"/>
                <w:szCs w:val="24"/>
                <w:highlight w:val="none"/>
              </w:rPr>
            </w:pPr>
          </w:p>
        </w:tc>
        <w:tc>
          <w:tcPr>
            <w:tcW w:w="1259" w:type="pct"/>
            <w:noWrap w:val="0"/>
            <w:vAlign w:val="center"/>
          </w:tcPr>
          <w:p w14:paraId="4AEA9FAB">
            <w:pPr>
              <w:spacing w:line="560" w:lineRule="exact"/>
              <w:jc w:val="center"/>
              <w:rPr>
                <w:rFonts w:hint="eastAsia" w:ascii="宋体" w:hAnsi="宋体" w:eastAsia="宋体" w:cs="宋体"/>
                <w:sz w:val="24"/>
                <w:szCs w:val="24"/>
                <w:highlight w:val="none"/>
              </w:rPr>
            </w:pPr>
          </w:p>
        </w:tc>
        <w:tc>
          <w:tcPr>
            <w:tcW w:w="535" w:type="pct"/>
            <w:noWrap w:val="0"/>
            <w:vAlign w:val="center"/>
          </w:tcPr>
          <w:p w14:paraId="72F2DBEE">
            <w:pPr>
              <w:spacing w:line="560" w:lineRule="exact"/>
              <w:jc w:val="center"/>
              <w:rPr>
                <w:rFonts w:hint="eastAsia" w:ascii="宋体" w:hAnsi="宋体" w:eastAsia="宋体" w:cs="宋体"/>
                <w:sz w:val="24"/>
                <w:szCs w:val="24"/>
                <w:highlight w:val="none"/>
              </w:rPr>
            </w:pPr>
          </w:p>
        </w:tc>
        <w:tc>
          <w:tcPr>
            <w:tcW w:w="620" w:type="pct"/>
            <w:noWrap w:val="0"/>
            <w:vAlign w:val="center"/>
          </w:tcPr>
          <w:p w14:paraId="7E064299">
            <w:pPr>
              <w:spacing w:line="560" w:lineRule="exact"/>
              <w:jc w:val="center"/>
              <w:rPr>
                <w:rFonts w:hint="eastAsia" w:ascii="宋体" w:hAnsi="宋体" w:eastAsia="宋体" w:cs="宋体"/>
                <w:sz w:val="24"/>
                <w:szCs w:val="24"/>
                <w:highlight w:val="none"/>
              </w:rPr>
            </w:pPr>
          </w:p>
        </w:tc>
      </w:tr>
      <w:tr w14:paraId="1CC837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9CB2D79">
            <w:pPr>
              <w:spacing w:line="560" w:lineRule="exact"/>
              <w:jc w:val="center"/>
              <w:rPr>
                <w:rFonts w:hint="eastAsia" w:ascii="宋体" w:hAnsi="宋体" w:eastAsia="宋体" w:cs="宋体"/>
                <w:sz w:val="24"/>
                <w:szCs w:val="24"/>
                <w:highlight w:val="none"/>
              </w:rPr>
            </w:pPr>
          </w:p>
        </w:tc>
        <w:tc>
          <w:tcPr>
            <w:tcW w:w="903" w:type="pct"/>
            <w:noWrap w:val="0"/>
            <w:vAlign w:val="center"/>
          </w:tcPr>
          <w:p w14:paraId="5698C028">
            <w:pPr>
              <w:spacing w:line="560" w:lineRule="exact"/>
              <w:jc w:val="center"/>
              <w:rPr>
                <w:rFonts w:hint="eastAsia" w:ascii="宋体" w:hAnsi="宋体" w:eastAsia="宋体" w:cs="宋体"/>
                <w:sz w:val="24"/>
                <w:szCs w:val="24"/>
                <w:highlight w:val="none"/>
              </w:rPr>
            </w:pPr>
          </w:p>
        </w:tc>
        <w:tc>
          <w:tcPr>
            <w:tcW w:w="1325" w:type="pct"/>
            <w:noWrap w:val="0"/>
            <w:vAlign w:val="center"/>
          </w:tcPr>
          <w:p w14:paraId="3A5740A3">
            <w:pPr>
              <w:spacing w:line="560" w:lineRule="exact"/>
              <w:jc w:val="center"/>
              <w:rPr>
                <w:rFonts w:hint="eastAsia" w:ascii="宋体" w:hAnsi="宋体" w:eastAsia="宋体" w:cs="宋体"/>
                <w:sz w:val="24"/>
                <w:szCs w:val="24"/>
                <w:highlight w:val="none"/>
              </w:rPr>
            </w:pPr>
          </w:p>
        </w:tc>
        <w:tc>
          <w:tcPr>
            <w:tcW w:w="1259" w:type="pct"/>
            <w:noWrap w:val="0"/>
            <w:vAlign w:val="center"/>
          </w:tcPr>
          <w:p w14:paraId="0452419F">
            <w:pPr>
              <w:spacing w:line="560" w:lineRule="exact"/>
              <w:jc w:val="center"/>
              <w:rPr>
                <w:rFonts w:hint="eastAsia" w:ascii="宋体" w:hAnsi="宋体" w:eastAsia="宋体" w:cs="宋体"/>
                <w:sz w:val="24"/>
                <w:szCs w:val="24"/>
                <w:highlight w:val="none"/>
              </w:rPr>
            </w:pPr>
          </w:p>
        </w:tc>
        <w:tc>
          <w:tcPr>
            <w:tcW w:w="535" w:type="pct"/>
            <w:noWrap w:val="0"/>
            <w:vAlign w:val="center"/>
          </w:tcPr>
          <w:p w14:paraId="7DE5E7D0">
            <w:pPr>
              <w:spacing w:line="560" w:lineRule="exact"/>
              <w:jc w:val="center"/>
              <w:rPr>
                <w:rFonts w:hint="eastAsia" w:ascii="宋体" w:hAnsi="宋体" w:eastAsia="宋体" w:cs="宋体"/>
                <w:sz w:val="24"/>
                <w:szCs w:val="24"/>
                <w:highlight w:val="none"/>
              </w:rPr>
            </w:pPr>
          </w:p>
        </w:tc>
        <w:tc>
          <w:tcPr>
            <w:tcW w:w="620" w:type="pct"/>
            <w:noWrap w:val="0"/>
            <w:vAlign w:val="center"/>
          </w:tcPr>
          <w:p w14:paraId="7241009C">
            <w:pPr>
              <w:spacing w:line="560" w:lineRule="exact"/>
              <w:jc w:val="center"/>
              <w:rPr>
                <w:rFonts w:hint="eastAsia" w:ascii="宋体" w:hAnsi="宋体" w:eastAsia="宋体" w:cs="宋体"/>
                <w:sz w:val="24"/>
                <w:szCs w:val="24"/>
                <w:highlight w:val="none"/>
              </w:rPr>
            </w:pPr>
          </w:p>
        </w:tc>
      </w:tr>
      <w:tr w14:paraId="089578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4DAB4B8">
            <w:pPr>
              <w:spacing w:line="560" w:lineRule="exact"/>
              <w:jc w:val="center"/>
              <w:rPr>
                <w:rFonts w:hint="eastAsia" w:ascii="宋体" w:hAnsi="宋体" w:eastAsia="宋体" w:cs="宋体"/>
                <w:sz w:val="24"/>
                <w:szCs w:val="24"/>
                <w:highlight w:val="none"/>
              </w:rPr>
            </w:pPr>
          </w:p>
        </w:tc>
        <w:tc>
          <w:tcPr>
            <w:tcW w:w="903" w:type="pct"/>
            <w:noWrap w:val="0"/>
            <w:vAlign w:val="center"/>
          </w:tcPr>
          <w:p w14:paraId="39E356D4">
            <w:pPr>
              <w:spacing w:line="560" w:lineRule="exact"/>
              <w:jc w:val="center"/>
              <w:rPr>
                <w:rFonts w:hint="eastAsia" w:ascii="宋体" w:hAnsi="宋体" w:eastAsia="宋体" w:cs="宋体"/>
                <w:sz w:val="24"/>
                <w:szCs w:val="24"/>
                <w:highlight w:val="none"/>
              </w:rPr>
            </w:pPr>
          </w:p>
        </w:tc>
        <w:tc>
          <w:tcPr>
            <w:tcW w:w="1325" w:type="pct"/>
            <w:noWrap w:val="0"/>
            <w:vAlign w:val="center"/>
          </w:tcPr>
          <w:p w14:paraId="0BB160B9">
            <w:pPr>
              <w:spacing w:line="560" w:lineRule="exact"/>
              <w:jc w:val="center"/>
              <w:rPr>
                <w:rFonts w:hint="eastAsia" w:ascii="宋体" w:hAnsi="宋体" w:eastAsia="宋体" w:cs="宋体"/>
                <w:sz w:val="24"/>
                <w:szCs w:val="24"/>
                <w:highlight w:val="none"/>
              </w:rPr>
            </w:pPr>
          </w:p>
        </w:tc>
        <w:tc>
          <w:tcPr>
            <w:tcW w:w="1259" w:type="pct"/>
            <w:noWrap w:val="0"/>
            <w:vAlign w:val="center"/>
          </w:tcPr>
          <w:p w14:paraId="63E3CD3B">
            <w:pPr>
              <w:spacing w:line="560" w:lineRule="exact"/>
              <w:jc w:val="center"/>
              <w:rPr>
                <w:rFonts w:hint="eastAsia" w:ascii="宋体" w:hAnsi="宋体" w:eastAsia="宋体" w:cs="宋体"/>
                <w:sz w:val="24"/>
                <w:szCs w:val="24"/>
                <w:highlight w:val="none"/>
              </w:rPr>
            </w:pPr>
          </w:p>
        </w:tc>
        <w:tc>
          <w:tcPr>
            <w:tcW w:w="535" w:type="pct"/>
            <w:noWrap w:val="0"/>
            <w:vAlign w:val="center"/>
          </w:tcPr>
          <w:p w14:paraId="47C29DEC">
            <w:pPr>
              <w:spacing w:line="560" w:lineRule="exact"/>
              <w:jc w:val="center"/>
              <w:rPr>
                <w:rFonts w:hint="eastAsia" w:ascii="宋体" w:hAnsi="宋体" w:eastAsia="宋体" w:cs="宋体"/>
                <w:sz w:val="24"/>
                <w:szCs w:val="24"/>
                <w:highlight w:val="none"/>
              </w:rPr>
            </w:pPr>
          </w:p>
        </w:tc>
        <w:tc>
          <w:tcPr>
            <w:tcW w:w="620" w:type="pct"/>
            <w:noWrap w:val="0"/>
            <w:vAlign w:val="center"/>
          </w:tcPr>
          <w:p w14:paraId="36975A8A">
            <w:pPr>
              <w:spacing w:line="560" w:lineRule="exact"/>
              <w:jc w:val="center"/>
              <w:rPr>
                <w:rFonts w:hint="eastAsia" w:ascii="宋体" w:hAnsi="宋体" w:eastAsia="宋体" w:cs="宋体"/>
                <w:sz w:val="24"/>
                <w:szCs w:val="24"/>
                <w:highlight w:val="none"/>
              </w:rPr>
            </w:pPr>
          </w:p>
        </w:tc>
      </w:tr>
      <w:tr w14:paraId="1DAD8C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B351A26">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73B780EC">
            <w:pPr>
              <w:spacing w:line="560" w:lineRule="exact"/>
              <w:jc w:val="both"/>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1．</w:t>
            </w:r>
            <w:r>
              <w:rPr>
                <w:rFonts w:hint="eastAsia" w:ascii="宋体" w:hAnsi="宋体" w:eastAsia="宋体" w:cs="宋体"/>
                <w:color w:val="auto"/>
                <w:sz w:val="24"/>
                <w:szCs w:val="24"/>
                <w:highlight w:val="none"/>
              </w:rPr>
              <w:t>对第三章</w:t>
            </w:r>
            <w:r>
              <w:rPr>
                <w:rFonts w:hint="eastAsia" w:ascii="宋体" w:hAnsi="宋体" w:eastAsia="宋体" w:cs="宋体"/>
                <w:color w:val="auto"/>
                <w:sz w:val="24"/>
                <w:szCs w:val="24"/>
                <w:highlight w:val="none"/>
                <w:lang w:eastAsia="zh-CN"/>
              </w:rPr>
              <w:t>招标内容及</w:t>
            </w:r>
            <w:r>
              <w:rPr>
                <w:rFonts w:hint="eastAsia" w:ascii="宋体" w:hAnsi="宋体" w:eastAsia="宋体" w:cs="宋体"/>
                <w:color w:val="auto"/>
                <w:sz w:val="24"/>
                <w:szCs w:val="24"/>
                <w:highlight w:val="none"/>
              </w:rPr>
              <w:t>要求做出响应。</w:t>
            </w:r>
          </w:p>
          <w:p w14:paraId="0F1548E4">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45435737">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07BDAD25">
      <w:pPr>
        <w:spacing w:line="240" w:lineRule="auto"/>
        <w:ind w:firstLine="49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7DFD0BAB">
      <w:pPr>
        <w:spacing w:line="240" w:lineRule="auto"/>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0F9E717F">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46467775">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184418A4">
      <w:pPr>
        <w:spacing w:line="560" w:lineRule="exact"/>
        <w:ind w:firstLine="61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1BEF4DE5">
      <w:pPr>
        <w:pStyle w:val="15"/>
        <w:keepNext w:val="0"/>
        <w:keepLines w:val="0"/>
        <w:pageBreakBefore w:val="0"/>
        <w:widowControl/>
        <w:kinsoku/>
        <w:wordWrap/>
        <w:overflowPunct/>
        <w:topLinePunct w:val="0"/>
        <w:autoSpaceDE/>
        <w:autoSpaceDN/>
        <w:bidi w:val="0"/>
        <w:adjustRightInd/>
        <w:snapToGrid/>
        <w:ind w:firstLine="612" w:firstLineChars="250"/>
        <w:textAlignment w:val="auto"/>
        <w:rPr>
          <w:rFonts w:hint="eastAsia"/>
          <w:b/>
          <w:bCs/>
          <w:color w:val="auto"/>
          <w:highlight w:val="none"/>
          <w:lang w:eastAsia="zh-CN"/>
        </w:rPr>
      </w:pPr>
      <w:r>
        <w:rPr>
          <w:rFonts w:hint="eastAsia"/>
          <w:b/>
          <w:bCs/>
          <w:color w:val="auto"/>
          <w:highlight w:val="none"/>
          <w:lang w:eastAsia="zh-CN"/>
        </w:rPr>
        <w:t>根据本项目“第二章 供应商须知”中的〖评审要素及分值一览表〗提供。</w:t>
      </w:r>
    </w:p>
    <w:p w14:paraId="28EC0C10">
      <w:pPr>
        <w:bidi w:val="0"/>
        <w:spacing w:line="240" w:lineRule="auto"/>
        <w:rPr>
          <w:rFonts w:hint="eastAsia"/>
          <w:highlight w:val="none"/>
        </w:rPr>
      </w:pPr>
      <w:r>
        <w:rPr>
          <w:rFonts w:hint="eastAsia"/>
          <w:highlight w:val="none"/>
        </w:rPr>
        <w:br w:type="page"/>
      </w:r>
    </w:p>
    <w:p w14:paraId="6F7EBB5A">
      <w:pPr>
        <w:pStyle w:val="97"/>
        <w:spacing w:before="210" w:after="210"/>
        <w:ind w:left="0" w:leftChars="0" w:firstLine="0" w:firstLineChars="0"/>
        <w:outlineLvl w:val="2"/>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1"/>
        <w:gridCol w:w="1677"/>
        <w:gridCol w:w="2461"/>
        <w:gridCol w:w="2338"/>
        <w:gridCol w:w="994"/>
        <w:gridCol w:w="1153"/>
      </w:tblGrid>
      <w:tr w14:paraId="039A9B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723ADB86">
            <w:pPr>
              <w:spacing w:line="56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903" w:type="pct"/>
            <w:tcBorders>
              <w:top w:val="single" w:color="auto" w:sz="12" w:space="0"/>
              <w:bottom w:val="single" w:color="auto" w:sz="2" w:space="0"/>
            </w:tcBorders>
            <w:shd w:val="clear" w:color="auto" w:fill="F1F1F1"/>
            <w:noWrap w:val="0"/>
            <w:vAlign w:val="center"/>
          </w:tcPr>
          <w:p w14:paraId="08F31BF8">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商务条款</w:t>
            </w:r>
          </w:p>
        </w:tc>
        <w:tc>
          <w:tcPr>
            <w:tcW w:w="1325" w:type="pct"/>
            <w:tcBorders>
              <w:top w:val="single" w:color="auto" w:sz="12" w:space="0"/>
              <w:bottom w:val="single" w:color="auto" w:sz="2" w:space="0"/>
            </w:tcBorders>
            <w:shd w:val="clear" w:color="auto" w:fill="F1F1F1"/>
            <w:noWrap w:val="0"/>
            <w:vAlign w:val="center"/>
          </w:tcPr>
          <w:p w14:paraId="44CD6482">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noWrap w:val="0"/>
            <w:vAlign w:val="center"/>
          </w:tcPr>
          <w:p w14:paraId="1971AD47">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noWrap w:val="0"/>
            <w:vAlign w:val="center"/>
          </w:tcPr>
          <w:p w14:paraId="4E340798">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响应说明</w:t>
            </w:r>
          </w:p>
        </w:tc>
        <w:tc>
          <w:tcPr>
            <w:tcW w:w="620" w:type="pct"/>
            <w:tcBorders>
              <w:top w:val="single" w:color="auto" w:sz="12" w:space="0"/>
              <w:bottom w:val="single" w:color="auto" w:sz="2" w:space="0"/>
            </w:tcBorders>
            <w:shd w:val="clear" w:color="auto" w:fill="F1F1F1"/>
            <w:noWrap w:val="0"/>
            <w:vAlign w:val="center"/>
          </w:tcPr>
          <w:p w14:paraId="1A50946D">
            <w:pPr>
              <w:spacing w:line="560" w:lineRule="exact"/>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偏离</w:t>
            </w:r>
          </w:p>
        </w:tc>
      </w:tr>
      <w:tr w14:paraId="52BEA5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544CA561">
            <w:pPr>
              <w:spacing w:line="560" w:lineRule="exact"/>
              <w:jc w:val="center"/>
              <w:rPr>
                <w:rFonts w:hint="eastAsia" w:ascii="宋体" w:hAnsi="宋体" w:eastAsia="宋体" w:cs="宋体"/>
                <w:sz w:val="24"/>
                <w:szCs w:val="24"/>
                <w:highlight w:val="none"/>
              </w:rPr>
            </w:pPr>
          </w:p>
        </w:tc>
        <w:tc>
          <w:tcPr>
            <w:tcW w:w="903" w:type="pct"/>
            <w:tcBorders>
              <w:top w:val="single" w:color="auto" w:sz="2" w:space="0"/>
            </w:tcBorders>
            <w:noWrap w:val="0"/>
            <w:vAlign w:val="center"/>
          </w:tcPr>
          <w:p w14:paraId="67D98340">
            <w:pPr>
              <w:spacing w:line="560" w:lineRule="exact"/>
              <w:jc w:val="center"/>
              <w:rPr>
                <w:rFonts w:hint="eastAsia" w:ascii="宋体" w:hAnsi="宋体" w:eastAsia="宋体" w:cs="宋体"/>
                <w:sz w:val="24"/>
                <w:szCs w:val="24"/>
                <w:highlight w:val="none"/>
              </w:rPr>
            </w:pPr>
          </w:p>
        </w:tc>
        <w:tc>
          <w:tcPr>
            <w:tcW w:w="1325" w:type="pct"/>
            <w:tcBorders>
              <w:top w:val="single" w:color="auto" w:sz="2" w:space="0"/>
            </w:tcBorders>
            <w:noWrap w:val="0"/>
            <w:vAlign w:val="center"/>
          </w:tcPr>
          <w:p w14:paraId="71D4FA88">
            <w:pPr>
              <w:spacing w:line="560" w:lineRule="exact"/>
              <w:jc w:val="center"/>
              <w:rPr>
                <w:rFonts w:hint="eastAsia" w:ascii="宋体" w:hAnsi="宋体" w:eastAsia="宋体" w:cs="宋体"/>
                <w:sz w:val="24"/>
                <w:szCs w:val="24"/>
                <w:highlight w:val="none"/>
              </w:rPr>
            </w:pPr>
          </w:p>
        </w:tc>
        <w:tc>
          <w:tcPr>
            <w:tcW w:w="1259" w:type="pct"/>
            <w:tcBorders>
              <w:top w:val="single" w:color="auto" w:sz="2" w:space="0"/>
            </w:tcBorders>
            <w:noWrap w:val="0"/>
            <w:vAlign w:val="center"/>
          </w:tcPr>
          <w:p w14:paraId="24639E24">
            <w:pPr>
              <w:spacing w:line="560" w:lineRule="exact"/>
              <w:jc w:val="center"/>
              <w:rPr>
                <w:rFonts w:hint="eastAsia" w:ascii="宋体" w:hAnsi="宋体" w:eastAsia="宋体" w:cs="宋体"/>
                <w:sz w:val="24"/>
                <w:szCs w:val="24"/>
                <w:highlight w:val="none"/>
              </w:rPr>
            </w:pPr>
          </w:p>
        </w:tc>
        <w:tc>
          <w:tcPr>
            <w:tcW w:w="535" w:type="pct"/>
            <w:tcBorders>
              <w:top w:val="single" w:color="auto" w:sz="2" w:space="0"/>
            </w:tcBorders>
            <w:noWrap w:val="0"/>
            <w:vAlign w:val="center"/>
          </w:tcPr>
          <w:p w14:paraId="6867DAD9">
            <w:pPr>
              <w:spacing w:line="560" w:lineRule="exact"/>
              <w:jc w:val="center"/>
              <w:rPr>
                <w:rFonts w:hint="eastAsia" w:ascii="宋体" w:hAnsi="宋体" w:eastAsia="宋体" w:cs="宋体"/>
                <w:sz w:val="24"/>
                <w:szCs w:val="24"/>
                <w:highlight w:val="none"/>
              </w:rPr>
            </w:pPr>
          </w:p>
        </w:tc>
        <w:tc>
          <w:tcPr>
            <w:tcW w:w="620" w:type="pct"/>
            <w:tcBorders>
              <w:top w:val="single" w:color="auto" w:sz="2" w:space="0"/>
            </w:tcBorders>
            <w:noWrap w:val="0"/>
            <w:vAlign w:val="center"/>
          </w:tcPr>
          <w:p w14:paraId="648E1EAA">
            <w:pPr>
              <w:spacing w:line="560" w:lineRule="exact"/>
              <w:jc w:val="center"/>
              <w:rPr>
                <w:rFonts w:hint="eastAsia" w:ascii="宋体" w:hAnsi="宋体" w:eastAsia="宋体" w:cs="宋体"/>
                <w:sz w:val="24"/>
                <w:szCs w:val="24"/>
                <w:highlight w:val="none"/>
              </w:rPr>
            </w:pPr>
          </w:p>
        </w:tc>
      </w:tr>
      <w:tr w14:paraId="33A4E2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F392D4E">
            <w:pPr>
              <w:spacing w:line="560" w:lineRule="exact"/>
              <w:jc w:val="center"/>
              <w:rPr>
                <w:rFonts w:hint="eastAsia" w:ascii="宋体" w:hAnsi="宋体" w:eastAsia="宋体" w:cs="宋体"/>
                <w:sz w:val="24"/>
                <w:szCs w:val="24"/>
                <w:highlight w:val="none"/>
              </w:rPr>
            </w:pPr>
          </w:p>
        </w:tc>
        <w:tc>
          <w:tcPr>
            <w:tcW w:w="903" w:type="pct"/>
            <w:noWrap w:val="0"/>
            <w:vAlign w:val="center"/>
          </w:tcPr>
          <w:p w14:paraId="0733001B">
            <w:pPr>
              <w:spacing w:line="560" w:lineRule="exact"/>
              <w:jc w:val="center"/>
              <w:rPr>
                <w:rFonts w:hint="eastAsia" w:ascii="宋体" w:hAnsi="宋体" w:eastAsia="宋体" w:cs="宋体"/>
                <w:sz w:val="24"/>
                <w:szCs w:val="24"/>
                <w:highlight w:val="none"/>
              </w:rPr>
            </w:pPr>
          </w:p>
        </w:tc>
        <w:tc>
          <w:tcPr>
            <w:tcW w:w="1325" w:type="pct"/>
            <w:noWrap w:val="0"/>
            <w:vAlign w:val="center"/>
          </w:tcPr>
          <w:p w14:paraId="4D2015C9">
            <w:pPr>
              <w:spacing w:line="560" w:lineRule="exact"/>
              <w:jc w:val="center"/>
              <w:rPr>
                <w:rFonts w:hint="eastAsia" w:ascii="宋体" w:hAnsi="宋体" w:eastAsia="宋体" w:cs="宋体"/>
                <w:sz w:val="24"/>
                <w:szCs w:val="24"/>
                <w:highlight w:val="none"/>
              </w:rPr>
            </w:pPr>
          </w:p>
        </w:tc>
        <w:tc>
          <w:tcPr>
            <w:tcW w:w="1259" w:type="pct"/>
            <w:noWrap w:val="0"/>
            <w:vAlign w:val="center"/>
          </w:tcPr>
          <w:p w14:paraId="6E8C911B">
            <w:pPr>
              <w:spacing w:line="560" w:lineRule="exact"/>
              <w:jc w:val="center"/>
              <w:rPr>
                <w:rFonts w:hint="eastAsia" w:ascii="宋体" w:hAnsi="宋体" w:eastAsia="宋体" w:cs="宋体"/>
                <w:sz w:val="24"/>
                <w:szCs w:val="24"/>
                <w:highlight w:val="none"/>
              </w:rPr>
            </w:pPr>
          </w:p>
        </w:tc>
        <w:tc>
          <w:tcPr>
            <w:tcW w:w="535" w:type="pct"/>
            <w:noWrap w:val="0"/>
            <w:vAlign w:val="center"/>
          </w:tcPr>
          <w:p w14:paraId="4DA6E3F9">
            <w:pPr>
              <w:spacing w:line="560" w:lineRule="exact"/>
              <w:jc w:val="center"/>
              <w:rPr>
                <w:rFonts w:hint="eastAsia" w:ascii="宋体" w:hAnsi="宋体" w:eastAsia="宋体" w:cs="宋体"/>
                <w:sz w:val="24"/>
                <w:szCs w:val="24"/>
                <w:highlight w:val="none"/>
              </w:rPr>
            </w:pPr>
          </w:p>
        </w:tc>
        <w:tc>
          <w:tcPr>
            <w:tcW w:w="620" w:type="pct"/>
            <w:noWrap w:val="0"/>
            <w:vAlign w:val="center"/>
          </w:tcPr>
          <w:p w14:paraId="2C0E14D2">
            <w:pPr>
              <w:spacing w:line="560" w:lineRule="exact"/>
              <w:jc w:val="center"/>
              <w:rPr>
                <w:rFonts w:hint="eastAsia" w:ascii="宋体" w:hAnsi="宋体" w:eastAsia="宋体" w:cs="宋体"/>
                <w:sz w:val="24"/>
                <w:szCs w:val="24"/>
                <w:highlight w:val="none"/>
              </w:rPr>
            </w:pPr>
          </w:p>
        </w:tc>
      </w:tr>
      <w:tr w14:paraId="5992B9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0A130F4">
            <w:pPr>
              <w:spacing w:line="560" w:lineRule="exact"/>
              <w:jc w:val="center"/>
              <w:rPr>
                <w:rFonts w:hint="eastAsia" w:ascii="宋体" w:hAnsi="宋体" w:eastAsia="宋体" w:cs="宋体"/>
                <w:sz w:val="24"/>
                <w:szCs w:val="24"/>
                <w:highlight w:val="none"/>
              </w:rPr>
            </w:pPr>
          </w:p>
        </w:tc>
        <w:tc>
          <w:tcPr>
            <w:tcW w:w="903" w:type="pct"/>
            <w:noWrap w:val="0"/>
            <w:vAlign w:val="center"/>
          </w:tcPr>
          <w:p w14:paraId="68D72154">
            <w:pPr>
              <w:spacing w:line="560" w:lineRule="exact"/>
              <w:jc w:val="center"/>
              <w:rPr>
                <w:rFonts w:hint="eastAsia" w:ascii="宋体" w:hAnsi="宋体" w:eastAsia="宋体" w:cs="宋体"/>
                <w:sz w:val="24"/>
                <w:szCs w:val="24"/>
                <w:highlight w:val="none"/>
              </w:rPr>
            </w:pPr>
          </w:p>
        </w:tc>
        <w:tc>
          <w:tcPr>
            <w:tcW w:w="1325" w:type="pct"/>
            <w:noWrap w:val="0"/>
            <w:vAlign w:val="center"/>
          </w:tcPr>
          <w:p w14:paraId="10FA6719">
            <w:pPr>
              <w:spacing w:line="560" w:lineRule="exact"/>
              <w:jc w:val="center"/>
              <w:rPr>
                <w:rFonts w:hint="eastAsia" w:ascii="宋体" w:hAnsi="宋体" w:eastAsia="宋体" w:cs="宋体"/>
                <w:sz w:val="24"/>
                <w:szCs w:val="24"/>
                <w:highlight w:val="none"/>
              </w:rPr>
            </w:pPr>
          </w:p>
        </w:tc>
        <w:tc>
          <w:tcPr>
            <w:tcW w:w="1259" w:type="pct"/>
            <w:noWrap w:val="0"/>
            <w:vAlign w:val="center"/>
          </w:tcPr>
          <w:p w14:paraId="4D1D6944">
            <w:pPr>
              <w:spacing w:line="560" w:lineRule="exact"/>
              <w:jc w:val="center"/>
              <w:rPr>
                <w:rFonts w:hint="eastAsia" w:ascii="宋体" w:hAnsi="宋体" w:eastAsia="宋体" w:cs="宋体"/>
                <w:sz w:val="24"/>
                <w:szCs w:val="24"/>
                <w:highlight w:val="none"/>
              </w:rPr>
            </w:pPr>
          </w:p>
        </w:tc>
        <w:tc>
          <w:tcPr>
            <w:tcW w:w="535" w:type="pct"/>
            <w:noWrap w:val="0"/>
            <w:vAlign w:val="center"/>
          </w:tcPr>
          <w:p w14:paraId="0CB0952A">
            <w:pPr>
              <w:spacing w:line="560" w:lineRule="exact"/>
              <w:jc w:val="center"/>
              <w:rPr>
                <w:rFonts w:hint="eastAsia" w:ascii="宋体" w:hAnsi="宋体" w:eastAsia="宋体" w:cs="宋体"/>
                <w:sz w:val="24"/>
                <w:szCs w:val="24"/>
                <w:highlight w:val="none"/>
              </w:rPr>
            </w:pPr>
          </w:p>
        </w:tc>
        <w:tc>
          <w:tcPr>
            <w:tcW w:w="620" w:type="pct"/>
            <w:noWrap w:val="0"/>
            <w:vAlign w:val="center"/>
          </w:tcPr>
          <w:p w14:paraId="5AD2322B">
            <w:pPr>
              <w:spacing w:line="560" w:lineRule="exact"/>
              <w:jc w:val="center"/>
              <w:rPr>
                <w:rFonts w:hint="eastAsia" w:ascii="宋体" w:hAnsi="宋体" w:eastAsia="宋体" w:cs="宋体"/>
                <w:sz w:val="24"/>
                <w:szCs w:val="24"/>
                <w:highlight w:val="none"/>
              </w:rPr>
            </w:pPr>
          </w:p>
        </w:tc>
      </w:tr>
      <w:tr w14:paraId="05AC1C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22B035E">
            <w:pPr>
              <w:spacing w:line="560" w:lineRule="exact"/>
              <w:jc w:val="center"/>
              <w:rPr>
                <w:rFonts w:hint="eastAsia" w:ascii="宋体" w:hAnsi="宋体" w:eastAsia="宋体" w:cs="宋体"/>
                <w:sz w:val="24"/>
                <w:szCs w:val="24"/>
                <w:highlight w:val="none"/>
              </w:rPr>
            </w:pPr>
          </w:p>
        </w:tc>
        <w:tc>
          <w:tcPr>
            <w:tcW w:w="903" w:type="pct"/>
            <w:noWrap w:val="0"/>
            <w:vAlign w:val="center"/>
          </w:tcPr>
          <w:p w14:paraId="2803FB30">
            <w:pPr>
              <w:spacing w:line="560" w:lineRule="exact"/>
              <w:jc w:val="center"/>
              <w:rPr>
                <w:rFonts w:hint="eastAsia" w:ascii="宋体" w:hAnsi="宋体" w:eastAsia="宋体" w:cs="宋体"/>
                <w:sz w:val="24"/>
                <w:szCs w:val="24"/>
                <w:highlight w:val="none"/>
              </w:rPr>
            </w:pPr>
          </w:p>
        </w:tc>
        <w:tc>
          <w:tcPr>
            <w:tcW w:w="1325" w:type="pct"/>
            <w:noWrap w:val="0"/>
            <w:vAlign w:val="center"/>
          </w:tcPr>
          <w:p w14:paraId="0CFC8472">
            <w:pPr>
              <w:spacing w:line="560" w:lineRule="exact"/>
              <w:jc w:val="center"/>
              <w:rPr>
                <w:rFonts w:hint="eastAsia" w:ascii="宋体" w:hAnsi="宋体" w:eastAsia="宋体" w:cs="宋体"/>
                <w:sz w:val="24"/>
                <w:szCs w:val="24"/>
                <w:highlight w:val="none"/>
              </w:rPr>
            </w:pPr>
          </w:p>
        </w:tc>
        <w:tc>
          <w:tcPr>
            <w:tcW w:w="1259" w:type="pct"/>
            <w:noWrap w:val="0"/>
            <w:vAlign w:val="center"/>
          </w:tcPr>
          <w:p w14:paraId="28E89988">
            <w:pPr>
              <w:spacing w:line="560" w:lineRule="exact"/>
              <w:jc w:val="center"/>
              <w:rPr>
                <w:rFonts w:hint="eastAsia" w:ascii="宋体" w:hAnsi="宋体" w:eastAsia="宋体" w:cs="宋体"/>
                <w:sz w:val="24"/>
                <w:szCs w:val="24"/>
                <w:highlight w:val="none"/>
              </w:rPr>
            </w:pPr>
          </w:p>
        </w:tc>
        <w:tc>
          <w:tcPr>
            <w:tcW w:w="535" w:type="pct"/>
            <w:noWrap w:val="0"/>
            <w:vAlign w:val="center"/>
          </w:tcPr>
          <w:p w14:paraId="37BF4FFD">
            <w:pPr>
              <w:spacing w:line="560" w:lineRule="exact"/>
              <w:jc w:val="center"/>
              <w:rPr>
                <w:rFonts w:hint="eastAsia" w:ascii="宋体" w:hAnsi="宋体" w:eastAsia="宋体" w:cs="宋体"/>
                <w:sz w:val="24"/>
                <w:szCs w:val="24"/>
                <w:highlight w:val="none"/>
              </w:rPr>
            </w:pPr>
          </w:p>
        </w:tc>
        <w:tc>
          <w:tcPr>
            <w:tcW w:w="620" w:type="pct"/>
            <w:noWrap w:val="0"/>
            <w:vAlign w:val="center"/>
          </w:tcPr>
          <w:p w14:paraId="62DE64BC">
            <w:pPr>
              <w:spacing w:line="560" w:lineRule="exact"/>
              <w:jc w:val="center"/>
              <w:rPr>
                <w:rFonts w:hint="eastAsia" w:ascii="宋体" w:hAnsi="宋体" w:eastAsia="宋体" w:cs="宋体"/>
                <w:sz w:val="24"/>
                <w:szCs w:val="24"/>
                <w:highlight w:val="none"/>
              </w:rPr>
            </w:pPr>
          </w:p>
        </w:tc>
      </w:tr>
      <w:tr w14:paraId="31E256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1E2276AC">
            <w:pPr>
              <w:spacing w:line="560" w:lineRule="exact"/>
              <w:jc w:val="center"/>
              <w:rPr>
                <w:rFonts w:hint="eastAsia" w:ascii="宋体" w:hAnsi="宋体" w:eastAsia="宋体" w:cs="宋体"/>
                <w:sz w:val="24"/>
                <w:szCs w:val="24"/>
                <w:highlight w:val="none"/>
              </w:rPr>
            </w:pPr>
          </w:p>
        </w:tc>
        <w:tc>
          <w:tcPr>
            <w:tcW w:w="903" w:type="pct"/>
            <w:noWrap w:val="0"/>
            <w:vAlign w:val="center"/>
          </w:tcPr>
          <w:p w14:paraId="6E89A148">
            <w:pPr>
              <w:spacing w:line="560" w:lineRule="exact"/>
              <w:jc w:val="center"/>
              <w:rPr>
                <w:rFonts w:hint="eastAsia" w:ascii="宋体" w:hAnsi="宋体" w:eastAsia="宋体" w:cs="宋体"/>
                <w:sz w:val="24"/>
                <w:szCs w:val="24"/>
                <w:highlight w:val="none"/>
              </w:rPr>
            </w:pPr>
          </w:p>
        </w:tc>
        <w:tc>
          <w:tcPr>
            <w:tcW w:w="1325" w:type="pct"/>
            <w:noWrap w:val="0"/>
            <w:vAlign w:val="center"/>
          </w:tcPr>
          <w:p w14:paraId="325C798F">
            <w:pPr>
              <w:spacing w:line="560" w:lineRule="exact"/>
              <w:jc w:val="center"/>
              <w:rPr>
                <w:rFonts w:hint="eastAsia" w:ascii="宋体" w:hAnsi="宋体" w:eastAsia="宋体" w:cs="宋体"/>
                <w:sz w:val="24"/>
                <w:szCs w:val="24"/>
                <w:highlight w:val="none"/>
              </w:rPr>
            </w:pPr>
          </w:p>
        </w:tc>
        <w:tc>
          <w:tcPr>
            <w:tcW w:w="1259" w:type="pct"/>
            <w:noWrap w:val="0"/>
            <w:vAlign w:val="center"/>
          </w:tcPr>
          <w:p w14:paraId="0880D0A1">
            <w:pPr>
              <w:spacing w:line="560" w:lineRule="exact"/>
              <w:jc w:val="center"/>
              <w:rPr>
                <w:rFonts w:hint="eastAsia" w:ascii="宋体" w:hAnsi="宋体" w:eastAsia="宋体" w:cs="宋体"/>
                <w:sz w:val="24"/>
                <w:szCs w:val="24"/>
                <w:highlight w:val="none"/>
              </w:rPr>
            </w:pPr>
          </w:p>
        </w:tc>
        <w:tc>
          <w:tcPr>
            <w:tcW w:w="535" w:type="pct"/>
            <w:noWrap w:val="0"/>
            <w:vAlign w:val="center"/>
          </w:tcPr>
          <w:p w14:paraId="1552DBF8">
            <w:pPr>
              <w:spacing w:line="560" w:lineRule="exact"/>
              <w:jc w:val="center"/>
              <w:rPr>
                <w:rFonts w:hint="eastAsia" w:ascii="宋体" w:hAnsi="宋体" w:eastAsia="宋体" w:cs="宋体"/>
                <w:sz w:val="24"/>
                <w:szCs w:val="24"/>
                <w:highlight w:val="none"/>
              </w:rPr>
            </w:pPr>
          </w:p>
        </w:tc>
        <w:tc>
          <w:tcPr>
            <w:tcW w:w="620" w:type="pct"/>
            <w:noWrap w:val="0"/>
            <w:vAlign w:val="center"/>
          </w:tcPr>
          <w:p w14:paraId="64FBA532">
            <w:pPr>
              <w:spacing w:line="560" w:lineRule="exact"/>
              <w:jc w:val="center"/>
              <w:rPr>
                <w:rFonts w:hint="eastAsia" w:ascii="宋体" w:hAnsi="宋体" w:eastAsia="宋体" w:cs="宋体"/>
                <w:sz w:val="24"/>
                <w:szCs w:val="24"/>
                <w:highlight w:val="none"/>
              </w:rPr>
            </w:pPr>
          </w:p>
        </w:tc>
      </w:tr>
      <w:tr w14:paraId="13D782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3DDE2FDA">
            <w:pPr>
              <w:spacing w:line="560" w:lineRule="exact"/>
              <w:jc w:val="center"/>
              <w:rPr>
                <w:rFonts w:hint="eastAsia" w:ascii="宋体" w:hAnsi="宋体" w:eastAsia="宋体" w:cs="宋体"/>
                <w:sz w:val="24"/>
                <w:szCs w:val="24"/>
                <w:highlight w:val="none"/>
              </w:rPr>
            </w:pPr>
          </w:p>
        </w:tc>
        <w:tc>
          <w:tcPr>
            <w:tcW w:w="903" w:type="pct"/>
            <w:noWrap w:val="0"/>
            <w:vAlign w:val="center"/>
          </w:tcPr>
          <w:p w14:paraId="705515E5">
            <w:pPr>
              <w:spacing w:line="560" w:lineRule="exact"/>
              <w:jc w:val="center"/>
              <w:rPr>
                <w:rFonts w:hint="eastAsia" w:ascii="宋体" w:hAnsi="宋体" w:eastAsia="宋体" w:cs="宋体"/>
                <w:sz w:val="24"/>
                <w:szCs w:val="24"/>
                <w:highlight w:val="none"/>
              </w:rPr>
            </w:pPr>
          </w:p>
        </w:tc>
        <w:tc>
          <w:tcPr>
            <w:tcW w:w="1325" w:type="pct"/>
            <w:noWrap w:val="0"/>
            <w:vAlign w:val="center"/>
          </w:tcPr>
          <w:p w14:paraId="5C1F6C28">
            <w:pPr>
              <w:spacing w:line="560" w:lineRule="exact"/>
              <w:jc w:val="center"/>
              <w:rPr>
                <w:rFonts w:hint="eastAsia" w:ascii="宋体" w:hAnsi="宋体" w:eastAsia="宋体" w:cs="宋体"/>
                <w:sz w:val="24"/>
                <w:szCs w:val="24"/>
                <w:highlight w:val="none"/>
              </w:rPr>
            </w:pPr>
          </w:p>
        </w:tc>
        <w:tc>
          <w:tcPr>
            <w:tcW w:w="1259" w:type="pct"/>
            <w:noWrap w:val="0"/>
            <w:vAlign w:val="center"/>
          </w:tcPr>
          <w:p w14:paraId="7748683E">
            <w:pPr>
              <w:spacing w:line="560" w:lineRule="exact"/>
              <w:jc w:val="center"/>
              <w:rPr>
                <w:rFonts w:hint="eastAsia" w:ascii="宋体" w:hAnsi="宋体" w:eastAsia="宋体" w:cs="宋体"/>
                <w:sz w:val="24"/>
                <w:szCs w:val="24"/>
                <w:highlight w:val="none"/>
              </w:rPr>
            </w:pPr>
          </w:p>
        </w:tc>
        <w:tc>
          <w:tcPr>
            <w:tcW w:w="535" w:type="pct"/>
            <w:noWrap w:val="0"/>
            <w:vAlign w:val="center"/>
          </w:tcPr>
          <w:p w14:paraId="5599E073">
            <w:pPr>
              <w:spacing w:line="560" w:lineRule="exact"/>
              <w:jc w:val="center"/>
              <w:rPr>
                <w:rFonts w:hint="eastAsia" w:ascii="宋体" w:hAnsi="宋体" w:eastAsia="宋体" w:cs="宋体"/>
                <w:sz w:val="24"/>
                <w:szCs w:val="24"/>
                <w:highlight w:val="none"/>
              </w:rPr>
            </w:pPr>
          </w:p>
        </w:tc>
        <w:tc>
          <w:tcPr>
            <w:tcW w:w="620" w:type="pct"/>
            <w:noWrap w:val="0"/>
            <w:vAlign w:val="center"/>
          </w:tcPr>
          <w:p w14:paraId="482D684F">
            <w:pPr>
              <w:spacing w:line="560" w:lineRule="exact"/>
              <w:jc w:val="center"/>
              <w:rPr>
                <w:rFonts w:hint="eastAsia" w:ascii="宋体" w:hAnsi="宋体" w:eastAsia="宋体" w:cs="宋体"/>
                <w:sz w:val="24"/>
                <w:szCs w:val="24"/>
                <w:highlight w:val="none"/>
              </w:rPr>
            </w:pPr>
          </w:p>
        </w:tc>
      </w:tr>
      <w:tr w14:paraId="267472F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DBC73FF">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643" w:type="pct"/>
            <w:gridSpan w:val="5"/>
            <w:noWrap w:val="0"/>
            <w:vAlign w:val="center"/>
          </w:tcPr>
          <w:p w14:paraId="00A0D15D">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1．对</w:t>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rPr>
              <w:t>的商务要求</w:t>
            </w:r>
            <w:r>
              <w:rPr>
                <w:rFonts w:hint="eastAsia" w:ascii="宋体" w:hAnsi="宋体" w:eastAsia="宋体" w:cs="宋体"/>
                <w:sz w:val="24"/>
                <w:szCs w:val="24"/>
                <w:highlight w:val="none"/>
              </w:rPr>
              <w:t>做出响应。</w:t>
            </w:r>
          </w:p>
          <w:p w14:paraId="4C0B0ABD">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2．响应说明按实际响应情况填写“优于”、“响应”、“不响应”。</w:t>
            </w:r>
          </w:p>
        </w:tc>
      </w:tr>
    </w:tbl>
    <w:p w14:paraId="3045872E">
      <w:pPr>
        <w:pStyle w:val="23"/>
        <w:keepNext w:val="0"/>
        <w:keepLines w:val="0"/>
        <w:pageBreakBefore w:val="0"/>
        <w:widowControl w:val="0"/>
        <w:kinsoku/>
        <w:wordWrap/>
        <w:overflowPunct/>
        <w:topLinePunct w:val="0"/>
        <w:autoSpaceDE/>
        <w:autoSpaceDN/>
        <w:bidi w:val="0"/>
        <w:adjustRightInd/>
        <w:snapToGrid/>
        <w:spacing w:line="500" w:lineRule="exact"/>
        <w:ind w:left="-240" w:leftChars="-98" w:firstLine="735"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611F0592">
      <w:pPr>
        <w:pStyle w:val="23"/>
        <w:keepNext w:val="0"/>
        <w:keepLines w:val="0"/>
        <w:pageBreakBefore w:val="0"/>
        <w:widowControl w:val="0"/>
        <w:kinsoku/>
        <w:wordWrap/>
        <w:overflowPunct/>
        <w:topLinePunct w:val="0"/>
        <w:autoSpaceDE/>
        <w:autoSpaceDN/>
        <w:bidi w:val="0"/>
        <w:adjustRightInd/>
        <w:snapToGrid/>
        <w:spacing w:line="500" w:lineRule="exact"/>
        <w:ind w:left="-240" w:leftChars="-98" w:firstLine="735"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762DF3FF">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022E3B1C">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2CF11D1D">
      <w:pPr>
        <w:spacing w:line="560" w:lineRule="exact"/>
        <w:ind w:firstLine="490" w:firstLineChars="200"/>
        <w:jc w:val="both"/>
        <w:rPr>
          <w:rFonts w:hint="eastAsia" w:ascii="宋体" w:hAnsi="宋体" w:eastAsia="宋体" w:cs="宋体"/>
          <w:sz w:val="24"/>
          <w:szCs w:val="24"/>
          <w:highlight w:val="none"/>
        </w:rPr>
      </w:pPr>
    </w:p>
    <w:p w14:paraId="0CD634EE">
      <w:pPr>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14:paraId="27337DD8">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034"/>
        <w:gridCol w:w="1621"/>
        <w:gridCol w:w="2635"/>
        <w:gridCol w:w="2650"/>
        <w:gridCol w:w="1344"/>
      </w:tblGrid>
      <w:tr w14:paraId="02A7A0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noWrap w:val="0"/>
            <w:vAlign w:val="center"/>
          </w:tcPr>
          <w:p w14:paraId="026F102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873" w:type="pct"/>
            <w:tcBorders>
              <w:top w:val="single" w:color="auto" w:sz="12" w:space="0"/>
              <w:bottom w:val="single" w:color="auto" w:sz="2" w:space="0"/>
            </w:tcBorders>
            <w:shd w:val="clear" w:color="auto" w:fill="F1F1F1"/>
            <w:noWrap w:val="0"/>
            <w:vAlign w:val="center"/>
          </w:tcPr>
          <w:p w14:paraId="169A16F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条款名称</w:t>
            </w:r>
          </w:p>
        </w:tc>
        <w:tc>
          <w:tcPr>
            <w:tcW w:w="1419" w:type="pct"/>
            <w:tcBorders>
              <w:top w:val="single" w:color="auto" w:sz="12" w:space="0"/>
              <w:bottom w:val="single" w:color="auto" w:sz="2" w:space="0"/>
            </w:tcBorders>
            <w:shd w:val="clear" w:color="auto" w:fill="F1F1F1"/>
            <w:noWrap w:val="0"/>
            <w:vAlign w:val="center"/>
          </w:tcPr>
          <w:p w14:paraId="694584A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招标文件合同条款明细</w:t>
            </w:r>
          </w:p>
        </w:tc>
        <w:tc>
          <w:tcPr>
            <w:tcW w:w="1427" w:type="pct"/>
            <w:tcBorders>
              <w:top w:val="single" w:color="auto" w:sz="12" w:space="0"/>
              <w:bottom w:val="single" w:color="auto" w:sz="2" w:space="0"/>
            </w:tcBorders>
            <w:shd w:val="clear" w:color="auto" w:fill="F1F1F1"/>
            <w:noWrap w:val="0"/>
            <w:vAlign w:val="center"/>
          </w:tcPr>
          <w:p w14:paraId="668930F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投标文件合同条款响应</w:t>
            </w:r>
          </w:p>
        </w:tc>
        <w:tc>
          <w:tcPr>
            <w:tcW w:w="722" w:type="pct"/>
            <w:tcBorders>
              <w:top w:val="single" w:color="auto" w:sz="12" w:space="0"/>
              <w:bottom w:val="single" w:color="auto" w:sz="2" w:space="0"/>
            </w:tcBorders>
            <w:shd w:val="clear" w:color="auto" w:fill="F1F1F1"/>
            <w:noWrap w:val="0"/>
            <w:vAlign w:val="center"/>
          </w:tcPr>
          <w:p w14:paraId="1B22A5C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响应说明</w:t>
            </w:r>
          </w:p>
        </w:tc>
      </w:tr>
      <w:tr w14:paraId="4447E6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noWrap w:val="0"/>
            <w:vAlign w:val="center"/>
          </w:tcPr>
          <w:p w14:paraId="33FBA9EE">
            <w:pPr>
              <w:jc w:val="center"/>
              <w:rPr>
                <w:rFonts w:hint="eastAsia" w:ascii="宋体" w:hAnsi="宋体" w:eastAsia="宋体" w:cs="宋体"/>
                <w:sz w:val="24"/>
                <w:szCs w:val="24"/>
                <w:highlight w:val="none"/>
              </w:rPr>
            </w:pPr>
          </w:p>
        </w:tc>
        <w:tc>
          <w:tcPr>
            <w:tcW w:w="873" w:type="pct"/>
            <w:tcBorders>
              <w:top w:val="single" w:color="auto" w:sz="2" w:space="0"/>
            </w:tcBorders>
            <w:noWrap w:val="0"/>
            <w:vAlign w:val="center"/>
          </w:tcPr>
          <w:p w14:paraId="62CFE7D6">
            <w:pPr>
              <w:jc w:val="center"/>
              <w:rPr>
                <w:rFonts w:hint="eastAsia" w:ascii="宋体" w:hAnsi="宋体" w:eastAsia="宋体" w:cs="宋体"/>
                <w:sz w:val="24"/>
                <w:szCs w:val="24"/>
                <w:highlight w:val="none"/>
              </w:rPr>
            </w:pPr>
          </w:p>
        </w:tc>
        <w:tc>
          <w:tcPr>
            <w:tcW w:w="1419" w:type="pct"/>
            <w:tcBorders>
              <w:top w:val="single" w:color="auto" w:sz="2" w:space="0"/>
            </w:tcBorders>
            <w:noWrap w:val="0"/>
            <w:vAlign w:val="center"/>
          </w:tcPr>
          <w:p w14:paraId="488AEBF5">
            <w:pPr>
              <w:jc w:val="center"/>
              <w:rPr>
                <w:rFonts w:hint="eastAsia" w:ascii="宋体" w:hAnsi="宋体" w:eastAsia="宋体" w:cs="宋体"/>
                <w:sz w:val="24"/>
                <w:szCs w:val="24"/>
                <w:highlight w:val="none"/>
              </w:rPr>
            </w:pPr>
          </w:p>
        </w:tc>
        <w:tc>
          <w:tcPr>
            <w:tcW w:w="1427" w:type="pct"/>
            <w:tcBorders>
              <w:top w:val="single" w:color="auto" w:sz="2" w:space="0"/>
            </w:tcBorders>
            <w:noWrap w:val="0"/>
            <w:vAlign w:val="center"/>
          </w:tcPr>
          <w:p w14:paraId="3EA8C8FE">
            <w:pPr>
              <w:jc w:val="center"/>
              <w:rPr>
                <w:rFonts w:hint="eastAsia" w:ascii="宋体" w:hAnsi="宋体" w:eastAsia="宋体" w:cs="宋体"/>
                <w:sz w:val="24"/>
                <w:szCs w:val="24"/>
                <w:highlight w:val="none"/>
              </w:rPr>
            </w:pPr>
          </w:p>
        </w:tc>
        <w:tc>
          <w:tcPr>
            <w:tcW w:w="722" w:type="pct"/>
            <w:tcBorders>
              <w:top w:val="single" w:color="auto" w:sz="2" w:space="0"/>
            </w:tcBorders>
            <w:noWrap w:val="0"/>
            <w:vAlign w:val="center"/>
          </w:tcPr>
          <w:p w14:paraId="09F607E2">
            <w:pPr>
              <w:jc w:val="center"/>
              <w:rPr>
                <w:rFonts w:hint="eastAsia" w:ascii="宋体" w:hAnsi="宋体" w:eastAsia="宋体" w:cs="宋体"/>
                <w:sz w:val="24"/>
                <w:szCs w:val="24"/>
                <w:highlight w:val="none"/>
              </w:rPr>
            </w:pPr>
          </w:p>
        </w:tc>
      </w:tr>
      <w:tr w14:paraId="25D212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3834C3F5">
            <w:pPr>
              <w:jc w:val="center"/>
              <w:rPr>
                <w:rFonts w:hint="eastAsia" w:ascii="宋体" w:hAnsi="宋体" w:eastAsia="宋体" w:cs="宋体"/>
                <w:sz w:val="24"/>
                <w:szCs w:val="24"/>
                <w:highlight w:val="none"/>
              </w:rPr>
            </w:pPr>
          </w:p>
        </w:tc>
        <w:tc>
          <w:tcPr>
            <w:tcW w:w="873" w:type="pct"/>
            <w:noWrap w:val="0"/>
            <w:vAlign w:val="center"/>
          </w:tcPr>
          <w:p w14:paraId="391FB942">
            <w:pPr>
              <w:jc w:val="center"/>
              <w:rPr>
                <w:rFonts w:hint="eastAsia" w:ascii="宋体" w:hAnsi="宋体" w:eastAsia="宋体" w:cs="宋体"/>
                <w:sz w:val="24"/>
                <w:szCs w:val="24"/>
                <w:highlight w:val="none"/>
              </w:rPr>
            </w:pPr>
          </w:p>
        </w:tc>
        <w:tc>
          <w:tcPr>
            <w:tcW w:w="1419" w:type="pct"/>
            <w:noWrap w:val="0"/>
            <w:vAlign w:val="center"/>
          </w:tcPr>
          <w:p w14:paraId="5998B39D">
            <w:pPr>
              <w:jc w:val="center"/>
              <w:rPr>
                <w:rFonts w:hint="eastAsia" w:ascii="宋体" w:hAnsi="宋体" w:eastAsia="宋体" w:cs="宋体"/>
                <w:sz w:val="24"/>
                <w:szCs w:val="24"/>
                <w:highlight w:val="none"/>
              </w:rPr>
            </w:pPr>
          </w:p>
        </w:tc>
        <w:tc>
          <w:tcPr>
            <w:tcW w:w="1427" w:type="pct"/>
            <w:noWrap w:val="0"/>
            <w:vAlign w:val="center"/>
          </w:tcPr>
          <w:p w14:paraId="2381624E">
            <w:pPr>
              <w:jc w:val="center"/>
              <w:rPr>
                <w:rFonts w:hint="eastAsia" w:ascii="宋体" w:hAnsi="宋体" w:eastAsia="宋体" w:cs="宋体"/>
                <w:sz w:val="24"/>
                <w:szCs w:val="24"/>
                <w:highlight w:val="none"/>
              </w:rPr>
            </w:pPr>
          </w:p>
        </w:tc>
        <w:tc>
          <w:tcPr>
            <w:tcW w:w="722" w:type="pct"/>
            <w:noWrap w:val="0"/>
            <w:vAlign w:val="center"/>
          </w:tcPr>
          <w:p w14:paraId="338D4568">
            <w:pPr>
              <w:jc w:val="center"/>
              <w:rPr>
                <w:rFonts w:hint="eastAsia" w:ascii="宋体" w:hAnsi="宋体" w:eastAsia="宋体" w:cs="宋体"/>
                <w:sz w:val="24"/>
                <w:szCs w:val="24"/>
                <w:highlight w:val="none"/>
              </w:rPr>
            </w:pPr>
          </w:p>
        </w:tc>
      </w:tr>
      <w:tr w14:paraId="0934AF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303BB6A8">
            <w:pPr>
              <w:jc w:val="center"/>
              <w:rPr>
                <w:rFonts w:hint="eastAsia" w:ascii="宋体" w:hAnsi="宋体" w:eastAsia="宋体" w:cs="宋体"/>
                <w:sz w:val="24"/>
                <w:szCs w:val="24"/>
                <w:highlight w:val="none"/>
              </w:rPr>
            </w:pPr>
          </w:p>
        </w:tc>
        <w:tc>
          <w:tcPr>
            <w:tcW w:w="873" w:type="pct"/>
            <w:noWrap w:val="0"/>
            <w:vAlign w:val="center"/>
          </w:tcPr>
          <w:p w14:paraId="0E9CDD1E">
            <w:pPr>
              <w:jc w:val="center"/>
              <w:rPr>
                <w:rFonts w:hint="eastAsia" w:ascii="宋体" w:hAnsi="宋体" w:eastAsia="宋体" w:cs="宋体"/>
                <w:sz w:val="24"/>
                <w:szCs w:val="24"/>
                <w:highlight w:val="none"/>
              </w:rPr>
            </w:pPr>
          </w:p>
        </w:tc>
        <w:tc>
          <w:tcPr>
            <w:tcW w:w="1419" w:type="pct"/>
            <w:noWrap w:val="0"/>
            <w:vAlign w:val="center"/>
          </w:tcPr>
          <w:p w14:paraId="4D2B1CDD">
            <w:pPr>
              <w:jc w:val="center"/>
              <w:rPr>
                <w:rFonts w:hint="eastAsia" w:ascii="宋体" w:hAnsi="宋体" w:eastAsia="宋体" w:cs="宋体"/>
                <w:sz w:val="24"/>
                <w:szCs w:val="24"/>
                <w:highlight w:val="none"/>
              </w:rPr>
            </w:pPr>
          </w:p>
        </w:tc>
        <w:tc>
          <w:tcPr>
            <w:tcW w:w="1427" w:type="pct"/>
            <w:noWrap w:val="0"/>
            <w:vAlign w:val="center"/>
          </w:tcPr>
          <w:p w14:paraId="36FC5A88">
            <w:pPr>
              <w:jc w:val="center"/>
              <w:rPr>
                <w:rFonts w:hint="eastAsia" w:ascii="宋体" w:hAnsi="宋体" w:eastAsia="宋体" w:cs="宋体"/>
                <w:sz w:val="24"/>
                <w:szCs w:val="24"/>
                <w:highlight w:val="none"/>
              </w:rPr>
            </w:pPr>
          </w:p>
        </w:tc>
        <w:tc>
          <w:tcPr>
            <w:tcW w:w="722" w:type="pct"/>
            <w:noWrap w:val="0"/>
            <w:vAlign w:val="center"/>
          </w:tcPr>
          <w:p w14:paraId="7D420F6F">
            <w:pPr>
              <w:jc w:val="center"/>
              <w:rPr>
                <w:rFonts w:hint="eastAsia" w:ascii="宋体" w:hAnsi="宋体" w:eastAsia="宋体" w:cs="宋体"/>
                <w:sz w:val="24"/>
                <w:szCs w:val="24"/>
                <w:highlight w:val="none"/>
              </w:rPr>
            </w:pPr>
          </w:p>
        </w:tc>
      </w:tr>
      <w:tr w14:paraId="5C17EC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50FC8B4F">
            <w:pPr>
              <w:jc w:val="center"/>
              <w:rPr>
                <w:rFonts w:hint="eastAsia" w:ascii="宋体" w:hAnsi="宋体" w:eastAsia="宋体" w:cs="宋体"/>
                <w:sz w:val="24"/>
                <w:szCs w:val="24"/>
                <w:highlight w:val="none"/>
              </w:rPr>
            </w:pPr>
          </w:p>
        </w:tc>
        <w:tc>
          <w:tcPr>
            <w:tcW w:w="873" w:type="pct"/>
            <w:noWrap w:val="0"/>
            <w:vAlign w:val="center"/>
          </w:tcPr>
          <w:p w14:paraId="75A80EBD">
            <w:pPr>
              <w:jc w:val="center"/>
              <w:rPr>
                <w:rFonts w:hint="eastAsia" w:ascii="宋体" w:hAnsi="宋体" w:eastAsia="宋体" w:cs="宋体"/>
                <w:sz w:val="24"/>
                <w:szCs w:val="24"/>
                <w:highlight w:val="none"/>
              </w:rPr>
            </w:pPr>
          </w:p>
        </w:tc>
        <w:tc>
          <w:tcPr>
            <w:tcW w:w="1419" w:type="pct"/>
            <w:noWrap w:val="0"/>
            <w:vAlign w:val="center"/>
          </w:tcPr>
          <w:p w14:paraId="59F2154D">
            <w:pPr>
              <w:jc w:val="center"/>
              <w:rPr>
                <w:rFonts w:hint="eastAsia" w:ascii="宋体" w:hAnsi="宋体" w:eastAsia="宋体" w:cs="宋体"/>
                <w:sz w:val="24"/>
                <w:szCs w:val="24"/>
                <w:highlight w:val="none"/>
              </w:rPr>
            </w:pPr>
          </w:p>
        </w:tc>
        <w:tc>
          <w:tcPr>
            <w:tcW w:w="1427" w:type="pct"/>
            <w:noWrap w:val="0"/>
            <w:vAlign w:val="center"/>
          </w:tcPr>
          <w:p w14:paraId="2BD13282">
            <w:pPr>
              <w:jc w:val="center"/>
              <w:rPr>
                <w:rFonts w:hint="eastAsia" w:ascii="宋体" w:hAnsi="宋体" w:eastAsia="宋体" w:cs="宋体"/>
                <w:sz w:val="24"/>
                <w:szCs w:val="24"/>
                <w:highlight w:val="none"/>
              </w:rPr>
            </w:pPr>
          </w:p>
        </w:tc>
        <w:tc>
          <w:tcPr>
            <w:tcW w:w="722" w:type="pct"/>
            <w:noWrap w:val="0"/>
            <w:vAlign w:val="center"/>
          </w:tcPr>
          <w:p w14:paraId="0731420F">
            <w:pPr>
              <w:jc w:val="center"/>
              <w:rPr>
                <w:rFonts w:hint="eastAsia" w:ascii="宋体" w:hAnsi="宋体" w:eastAsia="宋体" w:cs="宋体"/>
                <w:sz w:val="24"/>
                <w:szCs w:val="24"/>
                <w:highlight w:val="none"/>
              </w:rPr>
            </w:pPr>
          </w:p>
        </w:tc>
      </w:tr>
      <w:tr w14:paraId="311A2A5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4DFA5F4C">
            <w:pPr>
              <w:jc w:val="center"/>
              <w:rPr>
                <w:rFonts w:hint="eastAsia" w:ascii="宋体" w:hAnsi="宋体" w:eastAsia="宋体" w:cs="宋体"/>
                <w:sz w:val="24"/>
                <w:szCs w:val="24"/>
                <w:highlight w:val="none"/>
              </w:rPr>
            </w:pPr>
          </w:p>
        </w:tc>
        <w:tc>
          <w:tcPr>
            <w:tcW w:w="873" w:type="pct"/>
            <w:noWrap w:val="0"/>
            <w:vAlign w:val="center"/>
          </w:tcPr>
          <w:p w14:paraId="3BCE1B3A">
            <w:pPr>
              <w:jc w:val="center"/>
              <w:rPr>
                <w:rFonts w:hint="eastAsia" w:ascii="宋体" w:hAnsi="宋体" w:eastAsia="宋体" w:cs="宋体"/>
                <w:sz w:val="24"/>
                <w:szCs w:val="24"/>
                <w:highlight w:val="none"/>
              </w:rPr>
            </w:pPr>
          </w:p>
        </w:tc>
        <w:tc>
          <w:tcPr>
            <w:tcW w:w="1419" w:type="pct"/>
            <w:noWrap w:val="0"/>
            <w:vAlign w:val="center"/>
          </w:tcPr>
          <w:p w14:paraId="11956428">
            <w:pPr>
              <w:jc w:val="center"/>
              <w:rPr>
                <w:rFonts w:hint="eastAsia" w:ascii="宋体" w:hAnsi="宋体" w:eastAsia="宋体" w:cs="宋体"/>
                <w:sz w:val="24"/>
                <w:szCs w:val="24"/>
                <w:highlight w:val="none"/>
              </w:rPr>
            </w:pPr>
          </w:p>
        </w:tc>
        <w:tc>
          <w:tcPr>
            <w:tcW w:w="1427" w:type="pct"/>
            <w:noWrap w:val="0"/>
            <w:vAlign w:val="center"/>
          </w:tcPr>
          <w:p w14:paraId="67772F5E">
            <w:pPr>
              <w:jc w:val="center"/>
              <w:rPr>
                <w:rFonts w:hint="eastAsia" w:ascii="宋体" w:hAnsi="宋体" w:eastAsia="宋体" w:cs="宋体"/>
                <w:sz w:val="24"/>
                <w:szCs w:val="24"/>
                <w:highlight w:val="none"/>
              </w:rPr>
            </w:pPr>
          </w:p>
        </w:tc>
        <w:tc>
          <w:tcPr>
            <w:tcW w:w="722" w:type="pct"/>
            <w:noWrap w:val="0"/>
            <w:vAlign w:val="center"/>
          </w:tcPr>
          <w:p w14:paraId="649CACE2">
            <w:pPr>
              <w:jc w:val="center"/>
              <w:rPr>
                <w:rFonts w:hint="eastAsia" w:ascii="宋体" w:hAnsi="宋体" w:eastAsia="宋体" w:cs="宋体"/>
                <w:sz w:val="24"/>
                <w:szCs w:val="24"/>
                <w:highlight w:val="none"/>
              </w:rPr>
            </w:pPr>
          </w:p>
        </w:tc>
      </w:tr>
      <w:tr w14:paraId="1E16834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7B748EDA">
            <w:pPr>
              <w:jc w:val="center"/>
              <w:rPr>
                <w:rFonts w:hint="eastAsia" w:ascii="宋体" w:hAnsi="宋体" w:eastAsia="宋体" w:cs="宋体"/>
                <w:sz w:val="24"/>
                <w:szCs w:val="24"/>
                <w:highlight w:val="none"/>
              </w:rPr>
            </w:pPr>
          </w:p>
        </w:tc>
        <w:tc>
          <w:tcPr>
            <w:tcW w:w="873" w:type="pct"/>
            <w:noWrap w:val="0"/>
            <w:vAlign w:val="center"/>
          </w:tcPr>
          <w:p w14:paraId="63AC7EA9">
            <w:pPr>
              <w:jc w:val="center"/>
              <w:rPr>
                <w:rFonts w:hint="eastAsia" w:ascii="宋体" w:hAnsi="宋体" w:eastAsia="宋体" w:cs="宋体"/>
                <w:sz w:val="24"/>
                <w:szCs w:val="24"/>
                <w:highlight w:val="none"/>
              </w:rPr>
            </w:pPr>
          </w:p>
        </w:tc>
        <w:tc>
          <w:tcPr>
            <w:tcW w:w="1419" w:type="pct"/>
            <w:noWrap w:val="0"/>
            <w:vAlign w:val="center"/>
          </w:tcPr>
          <w:p w14:paraId="763BF42A">
            <w:pPr>
              <w:jc w:val="center"/>
              <w:rPr>
                <w:rFonts w:hint="eastAsia" w:ascii="宋体" w:hAnsi="宋体" w:eastAsia="宋体" w:cs="宋体"/>
                <w:sz w:val="24"/>
                <w:szCs w:val="24"/>
                <w:highlight w:val="none"/>
              </w:rPr>
            </w:pPr>
          </w:p>
        </w:tc>
        <w:tc>
          <w:tcPr>
            <w:tcW w:w="1427" w:type="pct"/>
            <w:noWrap w:val="0"/>
            <w:vAlign w:val="center"/>
          </w:tcPr>
          <w:p w14:paraId="310C5E4E">
            <w:pPr>
              <w:jc w:val="center"/>
              <w:rPr>
                <w:rFonts w:hint="eastAsia" w:ascii="宋体" w:hAnsi="宋体" w:eastAsia="宋体" w:cs="宋体"/>
                <w:sz w:val="24"/>
                <w:szCs w:val="24"/>
                <w:highlight w:val="none"/>
              </w:rPr>
            </w:pPr>
          </w:p>
        </w:tc>
        <w:tc>
          <w:tcPr>
            <w:tcW w:w="722" w:type="pct"/>
            <w:noWrap w:val="0"/>
            <w:vAlign w:val="center"/>
          </w:tcPr>
          <w:p w14:paraId="1BFCBC94">
            <w:pPr>
              <w:jc w:val="center"/>
              <w:rPr>
                <w:rFonts w:hint="eastAsia" w:ascii="宋体" w:hAnsi="宋体" w:eastAsia="宋体" w:cs="宋体"/>
                <w:sz w:val="24"/>
                <w:szCs w:val="24"/>
                <w:highlight w:val="none"/>
              </w:rPr>
            </w:pPr>
          </w:p>
        </w:tc>
      </w:tr>
      <w:tr w14:paraId="3D6C15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87AA2DB">
            <w:pPr>
              <w:jc w:val="center"/>
              <w:rPr>
                <w:rFonts w:hint="eastAsia" w:ascii="宋体" w:hAnsi="宋体" w:eastAsia="宋体" w:cs="宋体"/>
                <w:sz w:val="24"/>
                <w:szCs w:val="24"/>
                <w:highlight w:val="none"/>
              </w:rPr>
            </w:pPr>
          </w:p>
        </w:tc>
        <w:tc>
          <w:tcPr>
            <w:tcW w:w="873" w:type="pct"/>
            <w:noWrap w:val="0"/>
            <w:vAlign w:val="center"/>
          </w:tcPr>
          <w:p w14:paraId="64BFEFEA">
            <w:pPr>
              <w:jc w:val="center"/>
              <w:rPr>
                <w:rFonts w:hint="eastAsia" w:ascii="宋体" w:hAnsi="宋体" w:eastAsia="宋体" w:cs="宋体"/>
                <w:sz w:val="24"/>
                <w:szCs w:val="24"/>
                <w:highlight w:val="none"/>
              </w:rPr>
            </w:pPr>
          </w:p>
        </w:tc>
        <w:tc>
          <w:tcPr>
            <w:tcW w:w="1419" w:type="pct"/>
            <w:noWrap w:val="0"/>
            <w:vAlign w:val="center"/>
          </w:tcPr>
          <w:p w14:paraId="3AFBCDE4">
            <w:pPr>
              <w:jc w:val="center"/>
              <w:rPr>
                <w:rFonts w:hint="eastAsia" w:ascii="宋体" w:hAnsi="宋体" w:eastAsia="宋体" w:cs="宋体"/>
                <w:sz w:val="24"/>
                <w:szCs w:val="24"/>
                <w:highlight w:val="none"/>
              </w:rPr>
            </w:pPr>
          </w:p>
        </w:tc>
        <w:tc>
          <w:tcPr>
            <w:tcW w:w="1427" w:type="pct"/>
            <w:noWrap w:val="0"/>
            <w:vAlign w:val="center"/>
          </w:tcPr>
          <w:p w14:paraId="45BAE18B">
            <w:pPr>
              <w:jc w:val="center"/>
              <w:rPr>
                <w:rFonts w:hint="eastAsia" w:ascii="宋体" w:hAnsi="宋体" w:eastAsia="宋体" w:cs="宋体"/>
                <w:sz w:val="24"/>
                <w:szCs w:val="24"/>
                <w:highlight w:val="none"/>
              </w:rPr>
            </w:pPr>
          </w:p>
        </w:tc>
        <w:tc>
          <w:tcPr>
            <w:tcW w:w="722" w:type="pct"/>
            <w:noWrap w:val="0"/>
            <w:vAlign w:val="center"/>
          </w:tcPr>
          <w:p w14:paraId="2D8D8E0D">
            <w:pPr>
              <w:jc w:val="center"/>
              <w:rPr>
                <w:rFonts w:hint="eastAsia" w:ascii="宋体" w:hAnsi="宋体" w:eastAsia="宋体" w:cs="宋体"/>
                <w:sz w:val="24"/>
                <w:szCs w:val="24"/>
                <w:highlight w:val="none"/>
              </w:rPr>
            </w:pPr>
          </w:p>
        </w:tc>
      </w:tr>
      <w:tr w14:paraId="0087EF3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2161961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442" w:type="pct"/>
            <w:gridSpan w:val="4"/>
            <w:noWrap w:val="0"/>
            <w:vAlign w:val="center"/>
          </w:tcPr>
          <w:p w14:paraId="52FA28D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完全接受”的条款无需在本表中列出，按表下方所做“声明”执行；对于需要供应商填报的内容，以及“不能接受”或“有条件接受”的条款，则应写明该条款名称及条款明细、以及供应商所能接受的条件。</w:t>
            </w:r>
          </w:p>
          <w:p w14:paraId="5DA1D8D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2．因表格空间因有限，不足以容纳响应内容时，允许在表后进行响应，但须在表中注明引用位置，如“见本表下方3.1.1”。</w:t>
            </w:r>
          </w:p>
        </w:tc>
      </w:tr>
    </w:tbl>
    <w:p w14:paraId="596C0EE0">
      <w:pPr>
        <w:spacing w:line="560" w:lineRule="exact"/>
        <w:ind w:firstLine="49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641E83F0">
      <w:pPr>
        <w:spacing w:line="560" w:lineRule="exact"/>
        <w:ind w:firstLine="490" w:firstLineChars="200"/>
        <w:jc w:val="both"/>
        <w:rPr>
          <w:rFonts w:hint="eastAsia"/>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5AAB1EE7">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1C7B392C">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0769DCAE">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highlight w:val="none"/>
        </w:rPr>
      </w:pPr>
      <w:r>
        <w:rPr>
          <w:rFonts w:hint="eastAsia" w:ascii="宋体" w:hAnsi="宋体" w:eastAsia="宋体" w:cs="宋体"/>
          <w:sz w:val="24"/>
          <w:szCs w:val="24"/>
          <w:highlight w:val="none"/>
        </w:rPr>
        <w:br w:type="page"/>
      </w:r>
      <w:r>
        <w:rPr>
          <w:rFonts w:hint="eastAsia" w:ascii="宋体" w:hAnsi="宋体" w:eastAsia="宋体" w:cs="宋体"/>
          <w:sz w:val="28"/>
          <w:szCs w:val="28"/>
          <w:highlight w:val="none"/>
        </w:rPr>
        <w:t>（四）其他需要供应商提供的材料</w:t>
      </w:r>
    </w:p>
    <w:p w14:paraId="51445BAE">
      <w:pPr>
        <w:spacing w:line="560" w:lineRule="exact"/>
        <w:ind w:firstLine="49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971"/>
        <w:gridCol w:w="1270"/>
        <w:gridCol w:w="24"/>
        <w:gridCol w:w="1368"/>
        <w:gridCol w:w="17"/>
        <w:gridCol w:w="7"/>
        <w:gridCol w:w="1583"/>
        <w:gridCol w:w="1748"/>
        <w:gridCol w:w="1139"/>
      </w:tblGrid>
      <w:tr w14:paraId="5E35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noWrap w:val="0"/>
            <w:vAlign w:val="center"/>
          </w:tcPr>
          <w:p w14:paraId="6BA19BD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项目负责人</w:t>
            </w:r>
          </w:p>
        </w:tc>
      </w:tr>
      <w:tr w14:paraId="34121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0CF805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7B8D1FB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5763D8F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51" w:type="pct"/>
            <w:gridSpan w:val="2"/>
            <w:noWrap w:val="0"/>
            <w:vAlign w:val="center"/>
          </w:tcPr>
          <w:p w14:paraId="671E30D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67" w:type="pct"/>
            <w:gridSpan w:val="3"/>
            <w:noWrap w:val="0"/>
            <w:vAlign w:val="center"/>
          </w:tcPr>
          <w:p w14:paraId="0410697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tcBorders>
              <w:right w:val="single" w:color="auto" w:sz="2" w:space="0"/>
            </w:tcBorders>
            <w:noWrap w:val="0"/>
            <w:vAlign w:val="center"/>
          </w:tcPr>
          <w:p w14:paraId="06E4F43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left w:val="single" w:color="auto" w:sz="2" w:space="0"/>
              <w:right w:val="single" w:color="auto" w:sz="12" w:space="0"/>
            </w:tcBorders>
            <w:noWrap w:val="0"/>
            <w:vAlign w:val="center"/>
          </w:tcPr>
          <w:p w14:paraId="046A790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758D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F6BA946">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2269604B">
            <w:pPr>
              <w:jc w:val="both"/>
              <w:rPr>
                <w:rFonts w:hint="eastAsia" w:ascii="宋体" w:hAnsi="宋体" w:eastAsia="宋体" w:cs="宋体"/>
                <w:sz w:val="24"/>
                <w:szCs w:val="24"/>
                <w:highlight w:val="none"/>
              </w:rPr>
            </w:pPr>
          </w:p>
        </w:tc>
        <w:tc>
          <w:tcPr>
            <w:tcW w:w="685" w:type="pct"/>
            <w:noWrap w:val="0"/>
            <w:vAlign w:val="center"/>
          </w:tcPr>
          <w:p w14:paraId="72FA49A3">
            <w:pPr>
              <w:jc w:val="both"/>
              <w:rPr>
                <w:rFonts w:hint="eastAsia" w:ascii="宋体" w:hAnsi="宋体" w:eastAsia="宋体" w:cs="宋体"/>
                <w:sz w:val="24"/>
                <w:szCs w:val="24"/>
                <w:highlight w:val="none"/>
              </w:rPr>
            </w:pPr>
          </w:p>
        </w:tc>
        <w:tc>
          <w:tcPr>
            <w:tcW w:w="751" w:type="pct"/>
            <w:gridSpan w:val="2"/>
            <w:noWrap w:val="0"/>
            <w:vAlign w:val="center"/>
          </w:tcPr>
          <w:p w14:paraId="0EC4A883">
            <w:pPr>
              <w:jc w:val="both"/>
              <w:rPr>
                <w:rFonts w:hint="eastAsia" w:ascii="宋体" w:hAnsi="宋体" w:eastAsia="宋体" w:cs="宋体"/>
                <w:sz w:val="24"/>
                <w:szCs w:val="24"/>
                <w:highlight w:val="none"/>
              </w:rPr>
            </w:pPr>
          </w:p>
        </w:tc>
        <w:tc>
          <w:tcPr>
            <w:tcW w:w="867" w:type="pct"/>
            <w:gridSpan w:val="3"/>
            <w:noWrap w:val="0"/>
            <w:vAlign w:val="center"/>
          </w:tcPr>
          <w:p w14:paraId="3F8D215F">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648C1033">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3DA5F04C">
            <w:pPr>
              <w:jc w:val="both"/>
              <w:rPr>
                <w:rFonts w:hint="eastAsia" w:ascii="宋体" w:hAnsi="宋体" w:eastAsia="宋体" w:cs="宋体"/>
                <w:sz w:val="24"/>
                <w:szCs w:val="24"/>
                <w:highlight w:val="none"/>
              </w:rPr>
            </w:pPr>
          </w:p>
        </w:tc>
      </w:tr>
      <w:tr w14:paraId="4A4D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6080C53">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E6116EB">
            <w:pPr>
              <w:jc w:val="both"/>
              <w:rPr>
                <w:rFonts w:hint="eastAsia" w:ascii="宋体" w:hAnsi="宋体" w:eastAsia="宋体" w:cs="宋体"/>
                <w:sz w:val="24"/>
                <w:szCs w:val="24"/>
                <w:highlight w:val="none"/>
              </w:rPr>
            </w:pPr>
          </w:p>
        </w:tc>
        <w:tc>
          <w:tcPr>
            <w:tcW w:w="685" w:type="pct"/>
            <w:noWrap w:val="0"/>
            <w:vAlign w:val="center"/>
          </w:tcPr>
          <w:p w14:paraId="2A35C7FC">
            <w:pPr>
              <w:jc w:val="both"/>
              <w:rPr>
                <w:rFonts w:hint="eastAsia" w:ascii="宋体" w:hAnsi="宋体" w:eastAsia="宋体" w:cs="宋体"/>
                <w:sz w:val="24"/>
                <w:szCs w:val="24"/>
                <w:highlight w:val="none"/>
              </w:rPr>
            </w:pPr>
          </w:p>
        </w:tc>
        <w:tc>
          <w:tcPr>
            <w:tcW w:w="751" w:type="pct"/>
            <w:gridSpan w:val="2"/>
            <w:noWrap w:val="0"/>
            <w:vAlign w:val="center"/>
          </w:tcPr>
          <w:p w14:paraId="4A7B5BBC">
            <w:pPr>
              <w:jc w:val="both"/>
              <w:rPr>
                <w:rFonts w:hint="eastAsia" w:ascii="宋体" w:hAnsi="宋体" w:eastAsia="宋体" w:cs="宋体"/>
                <w:sz w:val="24"/>
                <w:szCs w:val="24"/>
                <w:highlight w:val="none"/>
              </w:rPr>
            </w:pPr>
          </w:p>
        </w:tc>
        <w:tc>
          <w:tcPr>
            <w:tcW w:w="867" w:type="pct"/>
            <w:gridSpan w:val="3"/>
            <w:noWrap w:val="0"/>
            <w:vAlign w:val="center"/>
          </w:tcPr>
          <w:p w14:paraId="1BB37931">
            <w:pPr>
              <w:jc w:val="both"/>
              <w:rPr>
                <w:rFonts w:hint="eastAsia" w:ascii="宋体" w:hAnsi="宋体" w:eastAsia="宋体" w:cs="宋体"/>
                <w:sz w:val="24"/>
                <w:szCs w:val="24"/>
                <w:highlight w:val="none"/>
              </w:rPr>
            </w:pPr>
          </w:p>
        </w:tc>
        <w:tc>
          <w:tcPr>
            <w:tcW w:w="943" w:type="pct"/>
            <w:tcBorders>
              <w:right w:val="single" w:color="auto" w:sz="2" w:space="0"/>
            </w:tcBorders>
            <w:noWrap w:val="0"/>
            <w:vAlign w:val="center"/>
          </w:tcPr>
          <w:p w14:paraId="4BF133EF">
            <w:pPr>
              <w:jc w:val="both"/>
              <w:rPr>
                <w:rFonts w:hint="eastAsia" w:ascii="宋体" w:hAnsi="宋体" w:eastAsia="宋体" w:cs="宋体"/>
                <w:sz w:val="24"/>
                <w:szCs w:val="24"/>
                <w:highlight w:val="none"/>
              </w:rPr>
            </w:pPr>
          </w:p>
        </w:tc>
        <w:tc>
          <w:tcPr>
            <w:tcW w:w="610" w:type="pct"/>
            <w:tcBorders>
              <w:left w:val="single" w:color="auto" w:sz="2" w:space="0"/>
              <w:right w:val="single" w:color="auto" w:sz="12" w:space="0"/>
            </w:tcBorders>
            <w:noWrap w:val="0"/>
            <w:vAlign w:val="center"/>
          </w:tcPr>
          <w:p w14:paraId="34A97754">
            <w:pPr>
              <w:jc w:val="both"/>
              <w:rPr>
                <w:rFonts w:hint="eastAsia" w:ascii="宋体" w:hAnsi="宋体" w:eastAsia="宋体" w:cs="宋体"/>
                <w:sz w:val="24"/>
                <w:szCs w:val="24"/>
                <w:highlight w:val="none"/>
              </w:rPr>
            </w:pPr>
          </w:p>
        </w:tc>
      </w:tr>
      <w:tr w14:paraId="014A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07E9AB0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管理人员</w:t>
            </w:r>
          </w:p>
        </w:tc>
      </w:tr>
      <w:tr w14:paraId="4F62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0FBC3F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3A0AB87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85" w:type="pct"/>
            <w:noWrap w:val="0"/>
            <w:vAlign w:val="center"/>
          </w:tcPr>
          <w:p w14:paraId="088517D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资格</w:t>
            </w:r>
          </w:p>
        </w:tc>
        <w:tc>
          <w:tcPr>
            <w:tcW w:w="760" w:type="pct"/>
            <w:gridSpan w:val="3"/>
            <w:noWrap w:val="0"/>
            <w:vAlign w:val="center"/>
          </w:tcPr>
          <w:p w14:paraId="56DA924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8" w:type="pct"/>
            <w:gridSpan w:val="2"/>
            <w:noWrap w:val="0"/>
            <w:vAlign w:val="center"/>
          </w:tcPr>
          <w:p w14:paraId="1C8E9472">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在本行业从业工作年限</w:t>
            </w:r>
          </w:p>
        </w:tc>
        <w:tc>
          <w:tcPr>
            <w:tcW w:w="943" w:type="pct"/>
            <w:noWrap w:val="0"/>
            <w:vAlign w:val="center"/>
          </w:tcPr>
          <w:p w14:paraId="482C6E3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2768EFE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22F5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10CDD0C9">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21332E80">
            <w:pPr>
              <w:jc w:val="both"/>
              <w:rPr>
                <w:rFonts w:hint="eastAsia" w:ascii="宋体" w:hAnsi="宋体" w:eastAsia="宋体" w:cs="宋体"/>
                <w:sz w:val="24"/>
                <w:szCs w:val="24"/>
                <w:highlight w:val="none"/>
              </w:rPr>
            </w:pPr>
          </w:p>
        </w:tc>
        <w:tc>
          <w:tcPr>
            <w:tcW w:w="685" w:type="pct"/>
            <w:noWrap w:val="0"/>
            <w:vAlign w:val="center"/>
          </w:tcPr>
          <w:p w14:paraId="4BDA10B4">
            <w:pPr>
              <w:jc w:val="both"/>
              <w:rPr>
                <w:rFonts w:hint="eastAsia" w:ascii="宋体" w:hAnsi="宋体" w:eastAsia="宋体" w:cs="宋体"/>
                <w:sz w:val="24"/>
                <w:szCs w:val="24"/>
                <w:highlight w:val="none"/>
              </w:rPr>
            </w:pPr>
          </w:p>
        </w:tc>
        <w:tc>
          <w:tcPr>
            <w:tcW w:w="760" w:type="pct"/>
            <w:gridSpan w:val="3"/>
            <w:noWrap w:val="0"/>
            <w:vAlign w:val="center"/>
          </w:tcPr>
          <w:p w14:paraId="721385C5">
            <w:pPr>
              <w:jc w:val="both"/>
              <w:rPr>
                <w:rFonts w:hint="eastAsia" w:ascii="宋体" w:hAnsi="宋体" w:eastAsia="宋体" w:cs="宋体"/>
                <w:sz w:val="24"/>
                <w:szCs w:val="24"/>
                <w:highlight w:val="none"/>
              </w:rPr>
            </w:pPr>
          </w:p>
        </w:tc>
        <w:tc>
          <w:tcPr>
            <w:tcW w:w="858" w:type="pct"/>
            <w:gridSpan w:val="2"/>
            <w:noWrap w:val="0"/>
            <w:vAlign w:val="center"/>
          </w:tcPr>
          <w:p w14:paraId="32957888">
            <w:pPr>
              <w:jc w:val="both"/>
              <w:rPr>
                <w:rFonts w:hint="eastAsia" w:ascii="宋体" w:hAnsi="宋体" w:eastAsia="宋体" w:cs="宋体"/>
                <w:sz w:val="24"/>
                <w:szCs w:val="24"/>
                <w:highlight w:val="none"/>
              </w:rPr>
            </w:pPr>
          </w:p>
        </w:tc>
        <w:tc>
          <w:tcPr>
            <w:tcW w:w="943" w:type="pct"/>
            <w:noWrap w:val="0"/>
            <w:vAlign w:val="center"/>
          </w:tcPr>
          <w:p w14:paraId="674FE2CD">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2C088C18">
            <w:pPr>
              <w:jc w:val="both"/>
              <w:rPr>
                <w:rFonts w:hint="eastAsia" w:ascii="宋体" w:hAnsi="宋体" w:eastAsia="宋体" w:cs="宋体"/>
                <w:sz w:val="24"/>
                <w:szCs w:val="24"/>
                <w:highlight w:val="none"/>
              </w:rPr>
            </w:pPr>
          </w:p>
        </w:tc>
      </w:tr>
      <w:tr w14:paraId="559B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8A13AC5">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1B7ED830">
            <w:pPr>
              <w:jc w:val="both"/>
              <w:rPr>
                <w:rFonts w:hint="eastAsia" w:ascii="宋体" w:hAnsi="宋体" w:eastAsia="宋体" w:cs="宋体"/>
                <w:sz w:val="24"/>
                <w:szCs w:val="24"/>
                <w:highlight w:val="none"/>
              </w:rPr>
            </w:pPr>
          </w:p>
        </w:tc>
        <w:tc>
          <w:tcPr>
            <w:tcW w:w="685" w:type="pct"/>
            <w:noWrap w:val="0"/>
            <w:vAlign w:val="center"/>
          </w:tcPr>
          <w:p w14:paraId="763E1CE1">
            <w:pPr>
              <w:jc w:val="both"/>
              <w:rPr>
                <w:rFonts w:hint="eastAsia" w:ascii="宋体" w:hAnsi="宋体" w:eastAsia="宋体" w:cs="宋体"/>
                <w:sz w:val="24"/>
                <w:szCs w:val="24"/>
                <w:highlight w:val="none"/>
              </w:rPr>
            </w:pPr>
          </w:p>
        </w:tc>
        <w:tc>
          <w:tcPr>
            <w:tcW w:w="760" w:type="pct"/>
            <w:gridSpan w:val="3"/>
            <w:noWrap w:val="0"/>
            <w:vAlign w:val="center"/>
          </w:tcPr>
          <w:p w14:paraId="2882A3D3">
            <w:pPr>
              <w:jc w:val="both"/>
              <w:rPr>
                <w:rFonts w:hint="eastAsia" w:ascii="宋体" w:hAnsi="宋体" w:eastAsia="宋体" w:cs="宋体"/>
                <w:sz w:val="24"/>
                <w:szCs w:val="24"/>
                <w:highlight w:val="none"/>
              </w:rPr>
            </w:pPr>
          </w:p>
        </w:tc>
        <w:tc>
          <w:tcPr>
            <w:tcW w:w="858" w:type="pct"/>
            <w:gridSpan w:val="2"/>
            <w:noWrap w:val="0"/>
            <w:vAlign w:val="center"/>
          </w:tcPr>
          <w:p w14:paraId="6317C4BF">
            <w:pPr>
              <w:jc w:val="both"/>
              <w:rPr>
                <w:rFonts w:hint="eastAsia" w:ascii="宋体" w:hAnsi="宋体" w:eastAsia="宋体" w:cs="宋体"/>
                <w:sz w:val="24"/>
                <w:szCs w:val="24"/>
                <w:highlight w:val="none"/>
              </w:rPr>
            </w:pPr>
          </w:p>
        </w:tc>
        <w:tc>
          <w:tcPr>
            <w:tcW w:w="943" w:type="pct"/>
            <w:noWrap w:val="0"/>
            <w:vAlign w:val="center"/>
          </w:tcPr>
          <w:p w14:paraId="37350624">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59A8897C">
            <w:pPr>
              <w:jc w:val="both"/>
              <w:rPr>
                <w:rFonts w:hint="eastAsia" w:ascii="宋体" w:hAnsi="宋体" w:eastAsia="宋体" w:cs="宋体"/>
                <w:sz w:val="24"/>
                <w:szCs w:val="24"/>
                <w:highlight w:val="none"/>
              </w:rPr>
            </w:pPr>
          </w:p>
        </w:tc>
      </w:tr>
      <w:tr w14:paraId="3193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3551017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技术人员/服务人员</w:t>
            </w:r>
          </w:p>
        </w:tc>
      </w:tr>
      <w:tr w14:paraId="0A3A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14E2A9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54BF343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64C0B2DF">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3554CCC4">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5247010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03E9EDDC">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10FCB83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2F90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7F74D12">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5CA7EBF9">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366B3BB8">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4AC1BDD0">
            <w:pPr>
              <w:jc w:val="both"/>
              <w:rPr>
                <w:rFonts w:hint="eastAsia" w:ascii="宋体" w:hAnsi="宋体" w:eastAsia="宋体" w:cs="宋体"/>
                <w:sz w:val="24"/>
                <w:szCs w:val="24"/>
                <w:highlight w:val="none"/>
              </w:rPr>
            </w:pPr>
          </w:p>
        </w:tc>
        <w:tc>
          <w:tcPr>
            <w:tcW w:w="854" w:type="pct"/>
            <w:noWrap w:val="0"/>
            <w:vAlign w:val="center"/>
          </w:tcPr>
          <w:p w14:paraId="01741016">
            <w:pPr>
              <w:jc w:val="both"/>
              <w:rPr>
                <w:rFonts w:hint="eastAsia" w:ascii="宋体" w:hAnsi="宋体" w:eastAsia="宋体" w:cs="宋体"/>
                <w:sz w:val="24"/>
                <w:szCs w:val="24"/>
                <w:highlight w:val="none"/>
              </w:rPr>
            </w:pPr>
          </w:p>
        </w:tc>
        <w:tc>
          <w:tcPr>
            <w:tcW w:w="943" w:type="pct"/>
            <w:noWrap w:val="0"/>
            <w:vAlign w:val="center"/>
          </w:tcPr>
          <w:p w14:paraId="795F5C98">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35E24B9B">
            <w:pPr>
              <w:jc w:val="both"/>
              <w:rPr>
                <w:rFonts w:hint="eastAsia" w:ascii="宋体" w:hAnsi="宋体" w:eastAsia="宋体" w:cs="宋体"/>
                <w:sz w:val="24"/>
                <w:szCs w:val="24"/>
                <w:highlight w:val="none"/>
              </w:rPr>
            </w:pPr>
          </w:p>
        </w:tc>
      </w:tr>
      <w:tr w14:paraId="78DF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C5EEAD8">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0427CBF1">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7AD25D88">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30A76E7D">
            <w:pPr>
              <w:jc w:val="both"/>
              <w:rPr>
                <w:rFonts w:hint="eastAsia" w:ascii="宋体" w:hAnsi="宋体" w:eastAsia="宋体" w:cs="宋体"/>
                <w:sz w:val="24"/>
                <w:szCs w:val="24"/>
                <w:highlight w:val="none"/>
              </w:rPr>
            </w:pPr>
          </w:p>
        </w:tc>
        <w:tc>
          <w:tcPr>
            <w:tcW w:w="854" w:type="pct"/>
            <w:noWrap w:val="0"/>
            <w:vAlign w:val="center"/>
          </w:tcPr>
          <w:p w14:paraId="4CFB56BF">
            <w:pPr>
              <w:jc w:val="both"/>
              <w:rPr>
                <w:rFonts w:hint="eastAsia" w:ascii="宋体" w:hAnsi="宋体" w:eastAsia="宋体" w:cs="宋体"/>
                <w:sz w:val="24"/>
                <w:szCs w:val="24"/>
                <w:highlight w:val="none"/>
              </w:rPr>
            </w:pPr>
          </w:p>
        </w:tc>
        <w:tc>
          <w:tcPr>
            <w:tcW w:w="943" w:type="pct"/>
            <w:noWrap w:val="0"/>
            <w:vAlign w:val="center"/>
          </w:tcPr>
          <w:p w14:paraId="06319AF6">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3CF80458">
            <w:pPr>
              <w:jc w:val="both"/>
              <w:rPr>
                <w:rFonts w:hint="eastAsia" w:ascii="宋体" w:hAnsi="宋体" w:eastAsia="宋体" w:cs="宋体"/>
                <w:sz w:val="24"/>
                <w:szCs w:val="24"/>
                <w:highlight w:val="none"/>
              </w:rPr>
            </w:pPr>
          </w:p>
        </w:tc>
      </w:tr>
      <w:tr w14:paraId="5BEC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45A0E20D">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辅助人员</w:t>
            </w:r>
          </w:p>
        </w:tc>
      </w:tr>
      <w:tr w14:paraId="58FB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959538B">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524" w:type="pct"/>
            <w:tcBorders>
              <w:left w:val="single" w:color="auto" w:sz="6" w:space="0"/>
            </w:tcBorders>
            <w:noWrap w:val="0"/>
            <w:vAlign w:val="center"/>
          </w:tcPr>
          <w:p w14:paraId="274F81C9">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年龄</w:t>
            </w:r>
          </w:p>
        </w:tc>
        <w:tc>
          <w:tcPr>
            <w:tcW w:w="698" w:type="pct"/>
            <w:gridSpan w:val="2"/>
            <w:tcBorders>
              <w:right w:val="single" w:color="auto" w:sz="2" w:space="0"/>
            </w:tcBorders>
            <w:noWrap w:val="0"/>
            <w:vAlign w:val="center"/>
          </w:tcPr>
          <w:p w14:paraId="342EEB17">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学历</w:t>
            </w:r>
          </w:p>
        </w:tc>
        <w:tc>
          <w:tcPr>
            <w:tcW w:w="751" w:type="pct"/>
            <w:gridSpan w:val="3"/>
            <w:tcBorders>
              <w:left w:val="single" w:color="auto" w:sz="2" w:space="0"/>
            </w:tcBorders>
            <w:noWrap w:val="0"/>
            <w:vAlign w:val="center"/>
          </w:tcPr>
          <w:p w14:paraId="2CA1E31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854" w:type="pct"/>
            <w:noWrap w:val="0"/>
            <w:vAlign w:val="center"/>
          </w:tcPr>
          <w:p w14:paraId="22DE6A9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从事类似项目工作年限</w:t>
            </w:r>
          </w:p>
        </w:tc>
        <w:tc>
          <w:tcPr>
            <w:tcW w:w="943" w:type="pct"/>
            <w:noWrap w:val="0"/>
            <w:vAlign w:val="center"/>
          </w:tcPr>
          <w:p w14:paraId="73BECEC1">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主要工作业绩和经历</w:t>
            </w:r>
          </w:p>
        </w:tc>
        <w:tc>
          <w:tcPr>
            <w:tcW w:w="610" w:type="pct"/>
            <w:tcBorders>
              <w:right w:val="single" w:color="auto" w:sz="12" w:space="0"/>
            </w:tcBorders>
            <w:noWrap w:val="0"/>
            <w:vAlign w:val="center"/>
          </w:tcPr>
          <w:p w14:paraId="59A76E3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拟派分工</w:t>
            </w:r>
          </w:p>
        </w:tc>
      </w:tr>
      <w:tr w14:paraId="0F53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54445F9D">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45350E52">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1DD399CA">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45C6DFB6">
            <w:pPr>
              <w:jc w:val="both"/>
              <w:rPr>
                <w:rFonts w:hint="eastAsia" w:ascii="宋体" w:hAnsi="宋体" w:eastAsia="宋体" w:cs="宋体"/>
                <w:sz w:val="24"/>
                <w:szCs w:val="24"/>
                <w:highlight w:val="none"/>
              </w:rPr>
            </w:pPr>
          </w:p>
        </w:tc>
        <w:tc>
          <w:tcPr>
            <w:tcW w:w="854" w:type="pct"/>
            <w:noWrap w:val="0"/>
            <w:vAlign w:val="center"/>
          </w:tcPr>
          <w:p w14:paraId="28C225BB">
            <w:pPr>
              <w:jc w:val="both"/>
              <w:rPr>
                <w:rFonts w:hint="eastAsia" w:ascii="宋体" w:hAnsi="宋体" w:eastAsia="宋体" w:cs="宋体"/>
                <w:sz w:val="24"/>
                <w:szCs w:val="24"/>
                <w:highlight w:val="none"/>
              </w:rPr>
            </w:pPr>
          </w:p>
        </w:tc>
        <w:tc>
          <w:tcPr>
            <w:tcW w:w="943" w:type="pct"/>
            <w:noWrap w:val="0"/>
            <w:vAlign w:val="center"/>
          </w:tcPr>
          <w:p w14:paraId="78277EF8">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7677F1EF">
            <w:pPr>
              <w:jc w:val="both"/>
              <w:rPr>
                <w:rFonts w:hint="eastAsia" w:ascii="宋体" w:hAnsi="宋体" w:eastAsia="宋体" w:cs="宋体"/>
                <w:sz w:val="24"/>
                <w:szCs w:val="24"/>
                <w:highlight w:val="none"/>
              </w:rPr>
            </w:pPr>
          </w:p>
        </w:tc>
      </w:tr>
      <w:tr w14:paraId="7690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44F539D">
            <w:pPr>
              <w:jc w:val="both"/>
              <w:rPr>
                <w:rFonts w:hint="eastAsia" w:ascii="宋体" w:hAnsi="宋体" w:eastAsia="宋体" w:cs="宋体"/>
                <w:sz w:val="24"/>
                <w:szCs w:val="24"/>
                <w:highlight w:val="none"/>
              </w:rPr>
            </w:pPr>
          </w:p>
        </w:tc>
        <w:tc>
          <w:tcPr>
            <w:tcW w:w="524" w:type="pct"/>
            <w:tcBorders>
              <w:left w:val="single" w:color="auto" w:sz="6" w:space="0"/>
            </w:tcBorders>
            <w:noWrap w:val="0"/>
            <w:vAlign w:val="center"/>
          </w:tcPr>
          <w:p w14:paraId="7A45EF6F">
            <w:pPr>
              <w:jc w:val="both"/>
              <w:rPr>
                <w:rFonts w:hint="eastAsia" w:ascii="宋体" w:hAnsi="宋体" w:eastAsia="宋体" w:cs="宋体"/>
                <w:sz w:val="24"/>
                <w:szCs w:val="24"/>
                <w:highlight w:val="none"/>
              </w:rPr>
            </w:pPr>
          </w:p>
        </w:tc>
        <w:tc>
          <w:tcPr>
            <w:tcW w:w="698" w:type="pct"/>
            <w:gridSpan w:val="2"/>
            <w:tcBorders>
              <w:right w:val="single" w:color="auto" w:sz="2" w:space="0"/>
            </w:tcBorders>
            <w:noWrap w:val="0"/>
            <w:vAlign w:val="center"/>
          </w:tcPr>
          <w:p w14:paraId="52A2FF41">
            <w:pPr>
              <w:jc w:val="both"/>
              <w:rPr>
                <w:rFonts w:hint="eastAsia" w:ascii="宋体" w:hAnsi="宋体" w:eastAsia="宋体" w:cs="宋体"/>
                <w:sz w:val="24"/>
                <w:szCs w:val="24"/>
                <w:highlight w:val="none"/>
              </w:rPr>
            </w:pPr>
          </w:p>
        </w:tc>
        <w:tc>
          <w:tcPr>
            <w:tcW w:w="751" w:type="pct"/>
            <w:gridSpan w:val="3"/>
            <w:tcBorders>
              <w:left w:val="single" w:color="auto" w:sz="2" w:space="0"/>
            </w:tcBorders>
            <w:noWrap w:val="0"/>
            <w:vAlign w:val="center"/>
          </w:tcPr>
          <w:p w14:paraId="64F7C233">
            <w:pPr>
              <w:jc w:val="both"/>
              <w:rPr>
                <w:rFonts w:hint="eastAsia" w:ascii="宋体" w:hAnsi="宋体" w:eastAsia="宋体" w:cs="宋体"/>
                <w:sz w:val="24"/>
                <w:szCs w:val="24"/>
                <w:highlight w:val="none"/>
              </w:rPr>
            </w:pPr>
          </w:p>
        </w:tc>
        <w:tc>
          <w:tcPr>
            <w:tcW w:w="854" w:type="pct"/>
            <w:noWrap w:val="0"/>
            <w:vAlign w:val="center"/>
          </w:tcPr>
          <w:p w14:paraId="71E0C0D6">
            <w:pPr>
              <w:jc w:val="both"/>
              <w:rPr>
                <w:rFonts w:hint="eastAsia" w:ascii="宋体" w:hAnsi="宋体" w:eastAsia="宋体" w:cs="宋体"/>
                <w:sz w:val="24"/>
                <w:szCs w:val="24"/>
                <w:highlight w:val="none"/>
              </w:rPr>
            </w:pPr>
          </w:p>
        </w:tc>
        <w:tc>
          <w:tcPr>
            <w:tcW w:w="943" w:type="pct"/>
            <w:noWrap w:val="0"/>
            <w:vAlign w:val="center"/>
          </w:tcPr>
          <w:p w14:paraId="45995ECD">
            <w:pPr>
              <w:jc w:val="both"/>
              <w:rPr>
                <w:rFonts w:hint="eastAsia" w:ascii="宋体" w:hAnsi="宋体" w:eastAsia="宋体" w:cs="宋体"/>
                <w:sz w:val="24"/>
                <w:szCs w:val="24"/>
                <w:highlight w:val="none"/>
              </w:rPr>
            </w:pPr>
          </w:p>
        </w:tc>
        <w:tc>
          <w:tcPr>
            <w:tcW w:w="610" w:type="pct"/>
            <w:tcBorders>
              <w:right w:val="single" w:color="auto" w:sz="12" w:space="0"/>
            </w:tcBorders>
            <w:noWrap w:val="0"/>
            <w:vAlign w:val="center"/>
          </w:tcPr>
          <w:p w14:paraId="077CECEB">
            <w:pPr>
              <w:jc w:val="both"/>
              <w:rPr>
                <w:rFonts w:hint="eastAsia" w:ascii="宋体" w:hAnsi="宋体" w:eastAsia="宋体" w:cs="宋体"/>
                <w:sz w:val="24"/>
                <w:szCs w:val="24"/>
                <w:highlight w:val="none"/>
              </w:rPr>
            </w:pPr>
          </w:p>
        </w:tc>
      </w:tr>
      <w:tr w14:paraId="029F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noWrap w:val="0"/>
            <w:vAlign w:val="center"/>
          </w:tcPr>
          <w:p w14:paraId="592C28F0">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4383" w:type="pct"/>
            <w:gridSpan w:val="9"/>
            <w:tcBorders>
              <w:left w:val="single" w:color="auto" w:sz="6" w:space="0"/>
              <w:bottom w:val="single" w:color="auto" w:sz="12" w:space="0"/>
              <w:right w:val="single" w:color="auto" w:sz="12" w:space="0"/>
            </w:tcBorders>
            <w:noWrap w:val="0"/>
            <w:vAlign w:val="center"/>
          </w:tcPr>
          <w:p w14:paraId="02F52BD5">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1．表格行数不足时请自行扩展。</w:t>
            </w:r>
          </w:p>
          <w:p w14:paraId="30B7931E">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2．表中所列“项目负责人、管理人员、技术人员/服务人员、辅助人员”仅为示例，供应商可根据招标文件要求自行安排人员类别。</w:t>
            </w:r>
          </w:p>
          <w:p w14:paraId="2A3F2D46">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3．招标文件对人员“资格\学历\职称”提出要求的，应在本表下方附相应的“资格证\学历证\职称证”等证明文件。</w:t>
            </w:r>
          </w:p>
        </w:tc>
      </w:tr>
    </w:tbl>
    <w:p w14:paraId="282992D4">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供应商：（供应商全称并加盖公章）</w:t>
      </w:r>
    </w:p>
    <w:p w14:paraId="61AAF2BF">
      <w:pPr>
        <w:spacing w:line="560" w:lineRule="exact"/>
        <w:ind w:firstLine="2711" w:firstLineChars="1107"/>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  期：    年  月  日</w:t>
      </w:r>
    </w:p>
    <w:p w14:paraId="5E317658">
      <w:p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p>
    <w:p w14:paraId="60E7F8FF">
      <w:pPr>
        <w:spacing w:line="560" w:lineRule="exact"/>
        <w:ind w:firstLine="490" w:firstLineChars="20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．业绩</w:t>
      </w:r>
    </w:p>
    <w:p w14:paraId="1B6C78C8">
      <w:pPr>
        <w:spacing w:line="560" w:lineRule="exact"/>
        <w:ind w:firstLine="490" w:firstLineChars="200"/>
        <w:jc w:val="both"/>
        <w:rPr>
          <w:rFonts w:hint="eastAsia" w:ascii="宋体" w:hAnsi="宋体" w:eastAsia="宋体" w:cs="宋体"/>
          <w:sz w:val="24"/>
          <w:szCs w:val="24"/>
          <w:highlight w:val="none"/>
        </w:rPr>
      </w:pPr>
    </w:p>
    <w:p w14:paraId="7A02E6D5">
      <w:pPr>
        <w:spacing w:line="560" w:lineRule="exact"/>
        <w:ind w:firstLine="490" w:firstLineChars="200"/>
        <w:jc w:val="both"/>
        <w:rPr>
          <w:rFonts w:hint="eastAsia" w:ascii="宋体" w:hAnsi="宋体" w:eastAsia="宋体" w:cs="宋体"/>
          <w:sz w:val="24"/>
          <w:szCs w:val="24"/>
          <w:highlight w:val="none"/>
        </w:rPr>
      </w:pPr>
    </w:p>
    <w:p w14:paraId="2680348C">
      <w:pPr>
        <w:spacing w:line="560" w:lineRule="exact"/>
        <w:ind w:firstLine="490" w:firstLineChars="200"/>
        <w:jc w:val="both"/>
        <w:rPr>
          <w:rFonts w:hint="eastAsia" w:ascii="宋体" w:hAnsi="宋体" w:eastAsia="宋体" w:cs="宋体"/>
          <w:sz w:val="24"/>
          <w:szCs w:val="24"/>
          <w:highlight w:val="none"/>
        </w:rPr>
      </w:pPr>
    </w:p>
    <w:p w14:paraId="7A9F5315">
      <w:pPr>
        <w:spacing w:line="560" w:lineRule="exact"/>
        <w:ind w:firstLine="490" w:firstLineChars="200"/>
        <w:jc w:val="both"/>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.其他（根据招标文件要求自行补充）</w:t>
      </w:r>
    </w:p>
    <w:bookmarkEnd w:id="24"/>
    <w:p w14:paraId="2E1B02B7">
      <w:pPr>
        <w:rPr>
          <w:rFonts w:hint="eastAsia" w:ascii="宋体" w:hAnsi="宋体" w:eastAsia="宋体" w:cs="宋体"/>
          <w:highlight w:val="none"/>
        </w:rPr>
      </w:pPr>
    </w:p>
    <w:sectPr>
      <w:headerReference r:id="rId10" w:type="default"/>
      <w:footerReference r:id="rId11" w:type="default"/>
      <w:footerReference r:id="rId12" w:type="even"/>
      <w:pgSz w:w="11906" w:h="16838"/>
      <w:pgMar w:top="1417" w:right="1417" w:bottom="1417" w:left="1417" w:header="851" w:footer="992" w:gutter="0"/>
      <w:pgNumType w:fmt="decimal"/>
      <w:cols w:space="720" w:num="1"/>
      <w:rtlGutter w:val="0"/>
      <w:docGrid w:type="linesAndChars" w:linePitch="333" w:charSpace="10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C24B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707C4">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90024">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EC80E9">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C6w/DdAQAAwAMAAA4AAAAAAAAA&#10;AQAgAAAAHgEAAGRycy9lMm9Eb2MueG1sUEsFBgAAAAAGAAYAWQEAAG0FAAAAAA==&#10;">
              <v:fill on="f" focussize="0,0"/>
              <v:stroke on="f"/>
              <v:imagedata o:title=""/>
              <o:lock v:ext="edit" aspectratio="f"/>
              <v:textbox inset="0mm,0mm,0mm,0mm" style="mso-fit-shape-to-text:t;">
                <w:txbxContent>
                  <w:p w14:paraId="00EC80E9">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CBAF8">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4D4906">
                          <w:pPr>
                            <w:pStyle w:val="1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nUUU8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cROWlFhmcOLnnz/Ov/6cf38n&#10;yyoJ1HuoMe/RY2YcPrgBk2c/oDPxHmQw6YuMCMZR3tNFXjFEwtOjalVVJYY4xuYL4hdPz32A+FE4&#10;Q5LR0IDzy7Ky4z3EMXVOSdWsu1Na5xlq+48DMZOnSL2PPSYrDrthIrRz7Qn59Dj6hlrcdEr0J4vK&#10;pi2ZjTAbu9k4+KD2XV6jVA/87SFiE7m3VGGEnQrjzDK7ab/SUjy/56ynf2r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dRRTyQEAAJsDAAAOAAAAAAAAAAEAIAAAAB4BAABkcnMvZTJvRG9j&#10;LnhtbFBLBQYAAAAABgAGAFkBAABZBQAAAAA=&#10;">
              <v:fill on="f" focussize="0,0"/>
              <v:stroke on="f"/>
              <v:imagedata o:title=""/>
              <o:lock v:ext="edit" aspectratio="f"/>
              <v:textbox inset="0mm,0mm,0mm,0mm" style="mso-fit-shape-to-text:t;">
                <w:txbxContent>
                  <w:p w14:paraId="374D4906">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6011F">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964D176">
                          <w:pPr>
                            <w:pStyle w:val="19"/>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14:paraId="5964D176">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23821">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9E190CC">
                          <w:pPr>
                            <w:pStyle w:val="19"/>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AAEjco5gEAAMcD&#10;AAAOAAAAAAAAAAEAIAAAAB8BAABkcnMvZTJvRG9jLnhtbFBLBQYAAAAABgAGAFkBAAB3BQAAAAA=&#10;">
              <v:fill on="f" focussize="0,0"/>
              <v:stroke on="f" weight="0.5pt"/>
              <v:imagedata o:title=""/>
              <o:lock v:ext="edit" aspectratio="f"/>
              <v:textbox inset="0mm,0mm,0mm,0mm" style="mso-fit-shape-to-text:t;">
                <w:txbxContent>
                  <w:p w14:paraId="59E190CC">
                    <w:pPr>
                      <w:pStyle w:val="1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A60CA">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8EC9B">
    <w:pPr>
      <w:pStyle w:val="20"/>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0AB04">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C0A3E">
    <w:pPr>
      <w:pStyle w:val="20"/>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71FD10"/>
    <w:multiLevelType w:val="singleLevel"/>
    <w:tmpl w:val="6571FD10"/>
    <w:lvl w:ilvl="0" w:tentative="0">
      <w:start w:val="6"/>
      <w:numFmt w:val="decimal"/>
      <w:lvlText w:val="%1."/>
      <w:lvlJc w:val="left"/>
      <w:pPr>
        <w:tabs>
          <w:tab w:val="left" w:pos="312"/>
        </w:tabs>
      </w:pPr>
    </w:lvl>
  </w:abstractNum>
  <w:abstractNum w:abstractNumId="1">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6"/>
      <w:lvlText w:val="%1.%2.%3.%4"/>
      <w:lvlJc w:val="left"/>
      <w:pPr>
        <w:ind w:left="864" w:hanging="864"/>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evenAndOddHeaders w:val="1"/>
  <w:drawingGridHorizontalSpacing w:val="123"/>
  <w:drawingGridVerticalSpacing w:val="16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4C07"/>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8345E4"/>
    <w:rsid w:val="01852FBD"/>
    <w:rsid w:val="01A06D45"/>
    <w:rsid w:val="01A808A2"/>
    <w:rsid w:val="01BC0965"/>
    <w:rsid w:val="01DB1C83"/>
    <w:rsid w:val="01EA2131"/>
    <w:rsid w:val="01F42D45"/>
    <w:rsid w:val="01FD3B42"/>
    <w:rsid w:val="021D08C9"/>
    <w:rsid w:val="02380249"/>
    <w:rsid w:val="023E7FCC"/>
    <w:rsid w:val="024912E2"/>
    <w:rsid w:val="025A670A"/>
    <w:rsid w:val="02A15559"/>
    <w:rsid w:val="02B756B9"/>
    <w:rsid w:val="03211304"/>
    <w:rsid w:val="03640CC9"/>
    <w:rsid w:val="03797600"/>
    <w:rsid w:val="040C7CEC"/>
    <w:rsid w:val="04161DF0"/>
    <w:rsid w:val="04165EFB"/>
    <w:rsid w:val="04AB57AE"/>
    <w:rsid w:val="05104339"/>
    <w:rsid w:val="051412A1"/>
    <w:rsid w:val="051908A9"/>
    <w:rsid w:val="05365943"/>
    <w:rsid w:val="05441904"/>
    <w:rsid w:val="05481BC6"/>
    <w:rsid w:val="05886C0F"/>
    <w:rsid w:val="05EA1433"/>
    <w:rsid w:val="05F4071B"/>
    <w:rsid w:val="062F73CE"/>
    <w:rsid w:val="064C74E9"/>
    <w:rsid w:val="06724002"/>
    <w:rsid w:val="06B42EA7"/>
    <w:rsid w:val="06F22B07"/>
    <w:rsid w:val="070E664D"/>
    <w:rsid w:val="07382B49"/>
    <w:rsid w:val="076A3DAC"/>
    <w:rsid w:val="077961C6"/>
    <w:rsid w:val="07B22C04"/>
    <w:rsid w:val="07BB0737"/>
    <w:rsid w:val="07C46CC8"/>
    <w:rsid w:val="07EA1DFF"/>
    <w:rsid w:val="07F46244"/>
    <w:rsid w:val="080649A5"/>
    <w:rsid w:val="081952B3"/>
    <w:rsid w:val="08290A63"/>
    <w:rsid w:val="082C3238"/>
    <w:rsid w:val="08594641"/>
    <w:rsid w:val="08686B00"/>
    <w:rsid w:val="08994C82"/>
    <w:rsid w:val="08A31D4D"/>
    <w:rsid w:val="08F16230"/>
    <w:rsid w:val="09173BE2"/>
    <w:rsid w:val="095C4949"/>
    <w:rsid w:val="097924AD"/>
    <w:rsid w:val="098132AC"/>
    <w:rsid w:val="09C54786"/>
    <w:rsid w:val="09CB306A"/>
    <w:rsid w:val="09F2400E"/>
    <w:rsid w:val="0A0D1961"/>
    <w:rsid w:val="0A153978"/>
    <w:rsid w:val="0A5A419D"/>
    <w:rsid w:val="0A826F4F"/>
    <w:rsid w:val="0AB94A33"/>
    <w:rsid w:val="0AC413A1"/>
    <w:rsid w:val="0ACC7409"/>
    <w:rsid w:val="0AEC3153"/>
    <w:rsid w:val="0B147F71"/>
    <w:rsid w:val="0B1549D5"/>
    <w:rsid w:val="0B1A6380"/>
    <w:rsid w:val="0B4340AA"/>
    <w:rsid w:val="0B5E7C7B"/>
    <w:rsid w:val="0B5F4097"/>
    <w:rsid w:val="0B651BC6"/>
    <w:rsid w:val="0B6E5AC7"/>
    <w:rsid w:val="0BD555F6"/>
    <w:rsid w:val="0C6133EF"/>
    <w:rsid w:val="0C77413A"/>
    <w:rsid w:val="0CED3C2C"/>
    <w:rsid w:val="0D0335ED"/>
    <w:rsid w:val="0D4D0739"/>
    <w:rsid w:val="0DE85C35"/>
    <w:rsid w:val="0E4B1BB0"/>
    <w:rsid w:val="0E4B4EB3"/>
    <w:rsid w:val="0E7262FB"/>
    <w:rsid w:val="0EC3241C"/>
    <w:rsid w:val="0ED14613"/>
    <w:rsid w:val="0F052A35"/>
    <w:rsid w:val="0F1C22E2"/>
    <w:rsid w:val="0F2410E0"/>
    <w:rsid w:val="0F91589E"/>
    <w:rsid w:val="0F9359BF"/>
    <w:rsid w:val="0FB32534"/>
    <w:rsid w:val="10037741"/>
    <w:rsid w:val="10097201"/>
    <w:rsid w:val="10107176"/>
    <w:rsid w:val="10152312"/>
    <w:rsid w:val="104C057B"/>
    <w:rsid w:val="104E518D"/>
    <w:rsid w:val="104F742D"/>
    <w:rsid w:val="105A3F0A"/>
    <w:rsid w:val="107101A9"/>
    <w:rsid w:val="107960B1"/>
    <w:rsid w:val="10F0623A"/>
    <w:rsid w:val="10F54AC6"/>
    <w:rsid w:val="11354535"/>
    <w:rsid w:val="114A3B4D"/>
    <w:rsid w:val="11755C50"/>
    <w:rsid w:val="11E31E03"/>
    <w:rsid w:val="12020C04"/>
    <w:rsid w:val="12775458"/>
    <w:rsid w:val="127B5307"/>
    <w:rsid w:val="12BB485E"/>
    <w:rsid w:val="12E36E79"/>
    <w:rsid w:val="12EA2F3A"/>
    <w:rsid w:val="12FB3F33"/>
    <w:rsid w:val="1304734C"/>
    <w:rsid w:val="130958DF"/>
    <w:rsid w:val="131858BE"/>
    <w:rsid w:val="13257202"/>
    <w:rsid w:val="13734DAF"/>
    <w:rsid w:val="13E443CD"/>
    <w:rsid w:val="147E55D3"/>
    <w:rsid w:val="1499029D"/>
    <w:rsid w:val="14BF17D8"/>
    <w:rsid w:val="14D721DA"/>
    <w:rsid w:val="15126972"/>
    <w:rsid w:val="15173363"/>
    <w:rsid w:val="151A7746"/>
    <w:rsid w:val="15214089"/>
    <w:rsid w:val="15802E15"/>
    <w:rsid w:val="15E52C78"/>
    <w:rsid w:val="15ED7DB6"/>
    <w:rsid w:val="163730CA"/>
    <w:rsid w:val="16705666"/>
    <w:rsid w:val="16804BD0"/>
    <w:rsid w:val="16972934"/>
    <w:rsid w:val="16995DF6"/>
    <w:rsid w:val="16B0631F"/>
    <w:rsid w:val="16B26916"/>
    <w:rsid w:val="16B72867"/>
    <w:rsid w:val="16C50FB2"/>
    <w:rsid w:val="16EE51E3"/>
    <w:rsid w:val="17207642"/>
    <w:rsid w:val="17231A63"/>
    <w:rsid w:val="175E0C74"/>
    <w:rsid w:val="17766966"/>
    <w:rsid w:val="17914195"/>
    <w:rsid w:val="180D3552"/>
    <w:rsid w:val="182201B4"/>
    <w:rsid w:val="182855F1"/>
    <w:rsid w:val="1892298D"/>
    <w:rsid w:val="18F35D67"/>
    <w:rsid w:val="19183BAB"/>
    <w:rsid w:val="193C34F7"/>
    <w:rsid w:val="195938BF"/>
    <w:rsid w:val="195A7AFF"/>
    <w:rsid w:val="197B143D"/>
    <w:rsid w:val="1A2F4EE2"/>
    <w:rsid w:val="1A5A1D34"/>
    <w:rsid w:val="1A6F21FC"/>
    <w:rsid w:val="1A7F1D1C"/>
    <w:rsid w:val="1A8B01F5"/>
    <w:rsid w:val="1A980A99"/>
    <w:rsid w:val="1A9E5B80"/>
    <w:rsid w:val="1AC251EA"/>
    <w:rsid w:val="1ACB4B33"/>
    <w:rsid w:val="1AE24E9D"/>
    <w:rsid w:val="1BAA406A"/>
    <w:rsid w:val="1BB37B8D"/>
    <w:rsid w:val="1BD46B71"/>
    <w:rsid w:val="1BD81670"/>
    <w:rsid w:val="1BF14E41"/>
    <w:rsid w:val="1C1B23C7"/>
    <w:rsid w:val="1C4049E1"/>
    <w:rsid w:val="1C8D2AFB"/>
    <w:rsid w:val="1CB9601D"/>
    <w:rsid w:val="1D43465E"/>
    <w:rsid w:val="1D450848"/>
    <w:rsid w:val="1D640CB3"/>
    <w:rsid w:val="1DD2622D"/>
    <w:rsid w:val="1E083917"/>
    <w:rsid w:val="1E6278A6"/>
    <w:rsid w:val="1E687389"/>
    <w:rsid w:val="1ED75A6C"/>
    <w:rsid w:val="1EEF7FE2"/>
    <w:rsid w:val="1F3A18D1"/>
    <w:rsid w:val="1F4D72F0"/>
    <w:rsid w:val="1F7A0C65"/>
    <w:rsid w:val="201631A1"/>
    <w:rsid w:val="203A5E3A"/>
    <w:rsid w:val="205611AE"/>
    <w:rsid w:val="205848BD"/>
    <w:rsid w:val="205A5997"/>
    <w:rsid w:val="20C8006E"/>
    <w:rsid w:val="21052421"/>
    <w:rsid w:val="210D2D95"/>
    <w:rsid w:val="21232A10"/>
    <w:rsid w:val="216E1D66"/>
    <w:rsid w:val="21887344"/>
    <w:rsid w:val="21FD7450"/>
    <w:rsid w:val="220E0B27"/>
    <w:rsid w:val="22316C03"/>
    <w:rsid w:val="229C55F7"/>
    <w:rsid w:val="229C744B"/>
    <w:rsid w:val="22AA4043"/>
    <w:rsid w:val="22E0799A"/>
    <w:rsid w:val="231F7E58"/>
    <w:rsid w:val="23C019F6"/>
    <w:rsid w:val="24D21AAA"/>
    <w:rsid w:val="25164BFC"/>
    <w:rsid w:val="2535428B"/>
    <w:rsid w:val="25363A4E"/>
    <w:rsid w:val="254259F1"/>
    <w:rsid w:val="25695674"/>
    <w:rsid w:val="259971DA"/>
    <w:rsid w:val="25A07695"/>
    <w:rsid w:val="25A54C35"/>
    <w:rsid w:val="25B10E34"/>
    <w:rsid w:val="25B86A75"/>
    <w:rsid w:val="25BA7C7E"/>
    <w:rsid w:val="25C1582D"/>
    <w:rsid w:val="25C85ADE"/>
    <w:rsid w:val="25D03E3D"/>
    <w:rsid w:val="262416A4"/>
    <w:rsid w:val="264653D0"/>
    <w:rsid w:val="26572D4C"/>
    <w:rsid w:val="26711D11"/>
    <w:rsid w:val="26E0627B"/>
    <w:rsid w:val="26E47A85"/>
    <w:rsid w:val="26F33B35"/>
    <w:rsid w:val="271B0BF0"/>
    <w:rsid w:val="27384086"/>
    <w:rsid w:val="27452D6D"/>
    <w:rsid w:val="278B30CD"/>
    <w:rsid w:val="27BC3414"/>
    <w:rsid w:val="28173165"/>
    <w:rsid w:val="281F6A3D"/>
    <w:rsid w:val="287D7AF9"/>
    <w:rsid w:val="28BD138E"/>
    <w:rsid w:val="28D62AF2"/>
    <w:rsid w:val="290556B4"/>
    <w:rsid w:val="29257B04"/>
    <w:rsid w:val="29354DAB"/>
    <w:rsid w:val="299D21BC"/>
    <w:rsid w:val="29A547A1"/>
    <w:rsid w:val="29C430AC"/>
    <w:rsid w:val="29C50F13"/>
    <w:rsid w:val="29C64887"/>
    <w:rsid w:val="29CC115B"/>
    <w:rsid w:val="29E5070F"/>
    <w:rsid w:val="29EF4215"/>
    <w:rsid w:val="2A231CA8"/>
    <w:rsid w:val="2A273E6F"/>
    <w:rsid w:val="2AAE4D9D"/>
    <w:rsid w:val="2ACF55A8"/>
    <w:rsid w:val="2B164352"/>
    <w:rsid w:val="2B476EFC"/>
    <w:rsid w:val="2BBA1C2C"/>
    <w:rsid w:val="2BC03D34"/>
    <w:rsid w:val="2BC34EC4"/>
    <w:rsid w:val="2C260F85"/>
    <w:rsid w:val="2CE656A3"/>
    <w:rsid w:val="2CF512F3"/>
    <w:rsid w:val="2D067BEC"/>
    <w:rsid w:val="2D363880"/>
    <w:rsid w:val="2D6C3DB8"/>
    <w:rsid w:val="2E1B251B"/>
    <w:rsid w:val="2E23750C"/>
    <w:rsid w:val="2E613EE7"/>
    <w:rsid w:val="2EC76F67"/>
    <w:rsid w:val="2EC92CDF"/>
    <w:rsid w:val="2EF97E15"/>
    <w:rsid w:val="2F5C54B8"/>
    <w:rsid w:val="2F68739C"/>
    <w:rsid w:val="2FDB1217"/>
    <w:rsid w:val="2FE83EF8"/>
    <w:rsid w:val="2FF344B8"/>
    <w:rsid w:val="30040642"/>
    <w:rsid w:val="3029612C"/>
    <w:rsid w:val="3056529F"/>
    <w:rsid w:val="3082143F"/>
    <w:rsid w:val="309858E6"/>
    <w:rsid w:val="309A26ED"/>
    <w:rsid w:val="30CC19E5"/>
    <w:rsid w:val="30D35E4E"/>
    <w:rsid w:val="30E72BFB"/>
    <w:rsid w:val="30EE414A"/>
    <w:rsid w:val="31275097"/>
    <w:rsid w:val="313D63DB"/>
    <w:rsid w:val="319E0B3E"/>
    <w:rsid w:val="31CE7EC4"/>
    <w:rsid w:val="31E7004C"/>
    <w:rsid w:val="32134D79"/>
    <w:rsid w:val="322C54FD"/>
    <w:rsid w:val="327B2543"/>
    <w:rsid w:val="32C10A18"/>
    <w:rsid w:val="32D92BBC"/>
    <w:rsid w:val="331C20F3"/>
    <w:rsid w:val="332205C8"/>
    <w:rsid w:val="335039CF"/>
    <w:rsid w:val="33585F3A"/>
    <w:rsid w:val="33D53E1A"/>
    <w:rsid w:val="34034483"/>
    <w:rsid w:val="343C3F54"/>
    <w:rsid w:val="34A3014E"/>
    <w:rsid w:val="34AC1F61"/>
    <w:rsid w:val="34AC650B"/>
    <w:rsid w:val="34C401D1"/>
    <w:rsid w:val="350A3DDD"/>
    <w:rsid w:val="35317453"/>
    <w:rsid w:val="354E4E4E"/>
    <w:rsid w:val="355A4B75"/>
    <w:rsid w:val="355C0AD5"/>
    <w:rsid w:val="359E7435"/>
    <w:rsid w:val="35AB6E6E"/>
    <w:rsid w:val="35ED6E95"/>
    <w:rsid w:val="35FC7E3E"/>
    <w:rsid w:val="360A60B7"/>
    <w:rsid w:val="361508C3"/>
    <w:rsid w:val="36323189"/>
    <w:rsid w:val="36586B29"/>
    <w:rsid w:val="36612E47"/>
    <w:rsid w:val="3699568D"/>
    <w:rsid w:val="36DB5CA6"/>
    <w:rsid w:val="36F778E7"/>
    <w:rsid w:val="371E578B"/>
    <w:rsid w:val="375A27C9"/>
    <w:rsid w:val="375B2AA3"/>
    <w:rsid w:val="3765246A"/>
    <w:rsid w:val="377A66D7"/>
    <w:rsid w:val="377C2FE5"/>
    <w:rsid w:val="37E70466"/>
    <w:rsid w:val="381B7B07"/>
    <w:rsid w:val="38303DCF"/>
    <w:rsid w:val="38E86458"/>
    <w:rsid w:val="38F37552"/>
    <w:rsid w:val="393C05D6"/>
    <w:rsid w:val="39427F44"/>
    <w:rsid w:val="3945087F"/>
    <w:rsid w:val="394C69E7"/>
    <w:rsid w:val="394F0285"/>
    <w:rsid w:val="39505360"/>
    <w:rsid w:val="399432C0"/>
    <w:rsid w:val="39954FDB"/>
    <w:rsid w:val="399670D3"/>
    <w:rsid w:val="39CD186A"/>
    <w:rsid w:val="39D3395B"/>
    <w:rsid w:val="39D709A6"/>
    <w:rsid w:val="39DA2903"/>
    <w:rsid w:val="39DE1D35"/>
    <w:rsid w:val="3A461688"/>
    <w:rsid w:val="3A8C21FC"/>
    <w:rsid w:val="3AB46F3A"/>
    <w:rsid w:val="3AD82C28"/>
    <w:rsid w:val="3AD9074E"/>
    <w:rsid w:val="3B660234"/>
    <w:rsid w:val="3B7B4C27"/>
    <w:rsid w:val="3BA54E3E"/>
    <w:rsid w:val="3BB64C1C"/>
    <w:rsid w:val="3C342D9B"/>
    <w:rsid w:val="3CDF0ED3"/>
    <w:rsid w:val="3D2F59FB"/>
    <w:rsid w:val="3D347473"/>
    <w:rsid w:val="3D400FA1"/>
    <w:rsid w:val="3D4A1818"/>
    <w:rsid w:val="3D9559C0"/>
    <w:rsid w:val="3DA57E9B"/>
    <w:rsid w:val="3DEC17B9"/>
    <w:rsid w:val="3E88226F"/>
    <w:rsid w:val="3E9C5D1B"/>
    <w:rsid w:val="3F586BC5"/>
    <w:rsid w:val="3F5F4CCF"/>
    <w:rsid w:val="3F6F42A9"/>
    <w:rsid w:val="3F882370"/>
    <w:rsid w:val="3FA21D9D"/>
    <w:rsid w:val="3FDD483D"/>
    <w:rsid w:val="3FF86DBE"/>
    <w:rsid w:val="40141BC7"/>
    <w:rsid w:val="40450345"/>
    <w:rsid w:val="40A26D62"/>
    <w:rsid w:val="40B01F51"/>
    <w:rsid w:val="40EF444E"/>
    <w:rsid w:val="40F36398"/>
    <w:rsid w:val="40FE0F0E"/>
    <w:rsid w:val="41087DA2"/>
    <w:rsid w:val="41607EC4"/>
    <w:rsid w:val="416367FB"/>
    <w:rsid w:val="41BC5B41"/>
    <w:rsid w:val="41C62B9D"/>
    <w:rsid w:val="41C87C39"/>
    <w:rsid w:val="41E57FFA"/>
    <w:rsid w:val="4242307D"/>
    <w:rsid w:val="42710A18"/>
    <w:rsid w:val="427664C2"/>
    <w:rsid w:val="42AE7D3A"/>
    <w:rsid w:val="42C05DDB"/>
    <w:rsid w:val="42DE4B54"/>
    <w:rsid w:val="42E25FFF"/>
    <w:rsid w:val="42E94F7C"/>
    <w:rsid w:val="433F759A"/>
    <w:rsid w:val="4358220E"/>
    <w:rsid w:val="4366131B"/>
    <w:rsid w:val="43E45AF4"/>
    <w:rsid w:val="43F82ECA"/>
    <w:rsid w:val="44623DBC"/>
    <w:rsid w:val="44AB201A"/>
    <w:rsid w:val="44D107B7"/>
    <w:rsid w:val="451330CC"/>
    <w:rsid w:val="4518783B"/>
    <w:rsid w:val="453C5F9E"/>
    <w:rsid w:val="45817B4F"/>
    <w:rsid w:val="4642004E"/>
    <w:rsid w:val="4660675D"/>
    <w:rsid w:val="46674E60"/>
    <w:rsid w:val="46683089"/>
    <w:rsid w:val="46770F87"/>
    <w:rsid w:val="46B36752"/>
    <w:rsid w:val="46F45FAF"/>
    <w:rsid w:val="473E5925"/>
    <w:rsid w:val="47530CE0"/>
    <w:rsid w:val="476741EB"/>
    <w:rsid w:val="47985391"/>
    <w:rsid w:val="47F70466"/>
    <w:rsid w:val="48065DB2"/>
    <w:rsid w:val="48553607"/>
    <w:rsid w:val="48621A93"/>
    <w:rsid w:val="48C5709F"/>
    <w:rsid w:val="49105A7D"/>
    <w:rsid w:val="49514E3C"/>
    <w:rsid w:val="4972319F"/>
    <w:rsid w:val="498A37A7"/>
    <w:rsid w:val="498D150F"/>
    <w:rsid w:val="49F91A85"/>
    <w:rsid w:val="4A4E5109"/>
    <w:rsid w:val="4A4E6A63"/>
    <w:rsid w:val="4A8E048D"/>
    <w:rsid w:val="4AB1135A"/>
    <w:rsid w:val="4AB82869"/>
    <w:rsid w:val="4ACC65DF"/>
    <w:rsid w:val="4B207C5E"/>
    <w:rsid w:val="4B6176C0"/>
    <w:rsid w:val="4B6422B6"/>
    <w:rsid w:val="4B8025FD"/>
    <w:rsid w:val="4B9D1FFC"/>
    <w:rsid w:val="4BA14F5C"/>
    <w:rsid w:val="4BB26B7D"/>
    <w:rsid w:val="4BD0684C"/>
    <w:rsid w:val="4BE83DFC"/>
    <w:rsid w:val="4C625235"/>
    <w:rsid w:val="4C980790"/>
    <w:rsid w:val="4CA02E7A"/>
    <w:rsid w:val="4CB614C5"/>
    <w:rsid w:val="4CF626D0"/>
    <w:rsid w:val="4D2424A4"/>
    <w:rsid w:val="4D7E21EA"/>
    <w:rsid w:val="4D9E4CE9"/>
    <w:rsid w:val="4DF20539"/>
    <w:rsid w:val="4DFC4A28"/>
    <w:rsid w:val="4E0256F8"/>
    <w:rsid w:val="4E4F73B4"/>
    <w:rsid w:val="4E50267E"/>
    <w:rsid w:val="4E5D3049"/>
    <w:rsid w:val="4E6233D6"/>
    <w:rsid w:val="4E8B0864"/>
    <w:rsid w:val="4E8F31A6"/>
    <w:rsid w:val="4E9E4212"/>
    <w:rsid w:val="4ED85325"/>
    <w:rsid w:val="4EEA4880"/>
    <w:rsid w:val="4EEB70E8"/>
    <w:rsid w:val="4F2443CB"/>
    <w:rsid w:val="505B45BA"/>
    <w:rsid w:val="50642410"/>
    <w:rsid w:val="50810E9C"/>
    <w:rsid w:val="50B77F3A"/>
    <w:rsid w:val="50E74D02"/>
    <w:rsid w:val="50FB388D"/>
    <w:rsid w:val="5106188B"/>
    <w:rsid w:val="51110C17"/>
    <w:rsid w:val="512429D2"/>
    <w:rsid w:val="5144628D"/>
    <w:rsid w:val="51702591"/>
    <w:rsid w:val="517A799E"/>
    <w:rsid w:val="51D32AE5"/>
    <w:rsid w:val="52045C59"/>
    <w:rsid w:val="520A4D17"/>
    <w:rsid w:val="5217598C"/>
    <w:rsid w:val="52373E8F"/>
    <w:rsid w:val="525536BD"/>
    <w:rsid w:val="52E52FC3"/>
    <w:rsid w:val="52F047D2"/>
    <w:rsid w:val="52F14A71"/>
    <w:rsid w:val="534D2CEE"/>
    <w:rsid w:val="53887714"/>
    <w:rsid w:val="53BC772E"/>
    <w:rsid w:val="53C438F2"/>
    <w:rsid w:val="53FB2F47"/>
    <w:rsid w:val="54017EEF"/>
    <w:rsid w:val="540F7CC5"/>
    <w:rsid w:val="543D1653"/>
    <w:rsid w:val="54440BD0"/>
    <w:rsid w:val="54506385"/>
    <w:rsid w:val="54913993"/>
    <w:rsid w:val="54B46D2D"/>
    <w:rsid w:val="54EA346C"/>
    <w:rsid w:val="54F40207"/>
    <w:rsid w:val="55550950"/>
    <w:rsid w:val="5555290C"/>
    <w:rsid w:val="557C7B35"/>
    <w:rsid w:val="55DB3350"/>
    <w:rsid w:val="55E73FD5"/>
    <w:rsid w:val="5621502B"/>
    <w:rsid w:val="5653730A"/>
    <w:rsid w:val="569F0011"/>
    <w:rsid w:val="5705216A"/>
    <w:rsid w:val="570D3D70"/>
    <w:rsid w:val="574B719F"/>
    <w:rsid w:val="575625C6"/>
    <w:rsid w:val="575D053A"/>
    <w:rsid w:val="57753B29"/>
    <w:rsid w:val="57AA1051"/>
    <w:rsid w:val="57BC7823"/>
    <w:rsid w:val="58350A83"/>
    <w:rsid w:val="585B2F03"/>
    <w:rsid w:val="588C1E31"/>
    <w:rsid w:val="588D53BE"/>
    <w:rsid w:val="58BD6097"/>
    <w:rsid w:val="592E105D"/>
    <w:rsid w:val="593212FE"/>
    <w:rsid w:val="59481573"/>
    <w:rsid w:val="59743F1D"/>
    <w:rsid w:val="59867087"/>
    <w:rsid w:val="598915A6"/>
    <w:rsid w:val="59B651A6"/>
    <w:rsid w:val="59D9354F"/>
    <w:rsid w:val="59FE2A1F"/>
    <w:rsid w:val="5A235F34"/>
    <w:rsid w:val="5A387DC2"/>
    <w:rsid w:val="5A5C770E"/>
    <w:rsid w:val="5A957D82"/>
    <w:rsid w:val="5AA62968"/>
    <w:rsid w:val="5AD54636"/>
    <w:rsid w:val="5B0B1E06"/>
    <w:rsid w:val="5B4F313F"/>
    <w:rsid w:val="5B7656FA"/>
    <w:rsid w:val="5B7D45EA"/>
    <w:rsid w:val="5BD20B76"/>
    <w:rsid w:val="5BD65D63"/>
    <w:rsid w:val="5C2917C9"/>
    <w:rsid w:val="5CB3733F"/>
    <w:rsid w:val="5CBD4BB2"/>
    <w:rsid w:val="5CE90E9E"/>
    <w:rsid w:val="5D3B1851"/>
    <w:rsid w:val="5D860856"/>
    <w:rsid w:val="5D871691"/>
    <w:rsid w:val="5DB0107A"/>
    <w:rsid w:val="5DED7A48"/>
    <w:rsid w:val="5E6E536B"/>
    <w:rsid w:val="5EA31B38"/>
    <w:rsid w:val="5EEB4428"/>
    <w:rsid w:val="5F3C1128"/>
    <w:rsid w:val="5F5E1B86"/>
    <w:rsid w:val="5F816B3B"/>
    <w:rsid w:val="5F91367F"/>
    <w:rsid w:val="5FBA29C5"/>
    <w:rsid w:val="5FEC6D13"/>
    <w:rsid w:val="608F2EE2"/>
    <w:rsid w:val="60B84108"/>
    <w:rsid w:val="60C95589"/>
    <w:rsid w:val="610F6A67"/>
    <w:rsid w:val="612D4D53"/>
    <w:rsid w:val="615F317C"/>
    <w:rsid w:val="617050B9"/>
    <w:rsid w:val="61926DDD"/>
    <w:rsid w:val="620C3CD2"/>
    <w:rsid w:val="62175534"/>
    <w:rsid w:val="621F43E9"/>
    <w:rsid w:val="623507B5"/>
    <w:rsid w:val="623B46F0"/>
    <w:rsid w:val="62540044"/>
    <w:rsid w:val="625B223E"/>
    <w:rsid w:val="625C7814"/>
    <w:rsid w:val="62C76F5B"/>
    <w:rsid w:val="636968FC"/>
    <w:rsid w:val="63CD1056"/>
    <w:rsid w:val="63DC7EBB"/>
    <w:rsid w:val="63F10F9A"/>
    <w:rsid w:val="642E1C76"/>
    <w:rsid w:val="64542A70"/>
    <w:rsid w:val="64923598"/>
    <w:rsid w:val="64A31301"/>
    <w:rsid w:val="64BE79CE"/>
    <w:rsid w:val="64F27480"/>
    <w:rsid w:val="657C5222"/>
    <w:rsid w:val="65946D52"/>
    <w:rsid w:val="659C46CE"/>
    <w:rsid w:val="65F8635A"/>
    <w:rsid w:val="662B0ED6"/>
    <w:rsid w:val="66363A30"/>
    <w:rsid w:val="665477F1"/>
    <w:rsid w:val="666A0329"/>
    <w:rsid w:val="66967370"/>
    <w:rsid w:val="66BB1AFB"/>
    <w:rsid w:val="66E31E89"/>
    <w:rsid w:val="66EF6A80"/>
    <w:rsid w:val="674D3CE9"/>
    <w:rsid w:val="67582877"/>
    <w:rsid w:val="67797A29"/>
    <w:rsid w:val="6792167D"/>
    <w:rsid w:val="67BD350F"/>
    <w:rsid w:val="68154533"/>
    <w:rsid w:val="683C5CF5"/>
    <w:rsid w:val="68534DEC"/>
    <w:rsid w:val="68A74F49"/>
    <w:rsid w:val="68F3424F"/>
    <w:rsid w:val="692C0E45"/>
    <w:rsid w:val="69454812"/>
    <w:rsid w:val="6951757E"/>
    <w:rsid w:val="69601EB7"/>
    <w:rsid w:val="6967075D"/>
    <w:rsid w:val="69C550B4"/>
    <w:rsid w:val="69FA13E7"/>
    <w:rsid w:val="6A2B09DC"/>
    <w:rsid w:val="6A2D5A65"/>
    <w:rsid w:val="6A4B47ED"/>
    <w:rsid w:val="6A6376B8"/>
    <w:rsid w:val="6A7755A9"/>
    <w:rsid w:val="6AC84FD1"/>
    <w:rsid w:val="6B5B689E"/>
    <w:rsid w:val="6B8C3A28"/>
    <w:rsid w:val="6BED6C60"/>
    <w:rsid w:val="6BEE7306"/>
    <w:rsid w:val="6BFB42D8"/>
    <w:rsid w:val="6C1D7BEB"/>
    <w:rsid w:val="6C28157C"/>
    <w:rsid w:val="6C4611A4"/>
    <w:rsid w:val="6C4B6506"/>
    <w:rsid w:val="6C561B1F"/>
    <w:rsid w:val="6CF43042"/>
    <w:rsid w:val="6CFC73C8"/>
    <w:rsid w:val="6D1E4BE6"/>
    <w:rsid w:val="6D242654"/>
    <w:rsid w:val="6D4F725D"/>
    <w:rsid w:val="6D555865"/>
    <w:rsid w:val="6D70286F"/>
    <w:rsid w:val="6DB93944"/>
    <w:rsid w:val="6DBC675B"/>
    <w:rsid w:val="6DD61BC7"/>
    <w:rsid w:val="6DDC0427"/>
    <w:rsid w:val="6E283E10"/>
    <w:rsid w:val="6E3F4BB9"/>
    <w:rsid w:val="6E3F7887"/>
    <w:rsid w:val="6E525EE2"/>
    <w:rsid w:val="6E625D89"/>
    <w:rsid w:val="6E9F3C9F"/>
    <w:rsid w:val="6F101C89"/>
    <w:rsid w:val="6F2B6AD3"/>
    <w:rsid w:val="6F685621"/>
    <w:rsid w:val="6F9C2B61"/>
    <w:rsid w:val="6FEE07C1"/>
    <w:rsid w:val="700510C2"/>
    <w:rsid w:val="700649E3"/>
    <w:rsid w:val="702B672C"/>
    <w:rsid w:val="70765881"/>
    <w:rsid w:val="70D53633"/>
    <w:rsid w:val="70D73178"/>
    <w:rsid w:val="70DC7D22"/>
    <w:rsid w:val="710E3FA6"/>
    <w:rsid w:val="71294435"/>
    <w:rsid w:val="713779A1"/>
    <w:rsid w:val="71912C7F"/>
    <w:rsid w:val="71C650B7"/>
    <w:rsid w:val="71CF1988"/>
    <w:rsid w:val="72190E55"/>
    <w:rsid w:val="72214AB8"/>
    <w:rsid w:val="72503520"/>
    <w:rsid w:val="72777FE9"/>
    <w:rsid w:val="72E560B4"/>
    <w:rsid w:val="73335CBB"/>
    <w:rsid w:val="73821344"/>
    <w:rsid w:val="73EA5560"/>
    <w:rsid w:val="74161F51"/>
    <w:rsid w:val="74387574"/>
    <w:rsid w:val="744D3038"/>
    <w:rsid w:val="74516218"/>
    <w:rsid w:val="74644DBD"/>
    <w:rsid w:val="74C36260"/>
    <w:rsid w:val="756107BC"/>
    <w:rsid w:val="75834F63"/>
    <w:rsid w:val="75943FBB"/>
    <w:rsid w:val="759C7DD3"/>
    <w:rsid w:val="75DF0C59"/>
    <w:rsid w:val="75FD3BFF"/>
    <w:rsid w:val="763D7A3F"/>
    <w:rsid w:val="765A0D7E"/>
    <w:rsid w:val="765F74DF"/>
    <w:rsid w:val="766A4304"/>
    <w:rsid w:val="769A6A08"/>
    <w:rsid w:val="76A943A2"/>
    <w:rsid w:val="77493ED3"/>
    <w:rsid w:val="775B7CD8"/>
    <w:rsid w:val="77F65547"/>
    <w:rsid w:val="780D4FB8"/>
    <w:rsid w:val="785018A3"/>
    <w:rsid w:val="7855420A"/>
    <w:rsid w:val="786E0A50"/>
    <w:rsid w:val="787D49D6"/>
    <w:rsid w:val="78C97718"/>
    <w:rsid w:val="7945759A"/>
    <w:rsid w:val="795D123B"/>
    <w:rsid w:val="7987101F"/>
    <w:rsid w:val="79C93160"/>
    <w:rsid w:val="79CC5C0E"/>
    <w:rsid w:val="79D008FA"/>
    <w:rsid w:val="79E36920"/>
    <w:rsid w:val="7A101AB7"/>
    <w:rsid w:val="7A7E219D"/>
    <w:rsid w:val="7AE02DF1"/>
    <w:rsid w:val="7AEA49F9"/>
    <w:rsid w:val="7B0F54EB"/>
    <w:rsid w:val="7B252618"/>
    <w:rsid w:val="7B3E72C4"/>
    <w:rsid w:val="7B64029B"/>
    <w:rsid w:val="7BF0649A"/>
    <w:rsid w:val="7C163879"/>
    <w:rsid w:val="7C581C2C"/>
    <w:rsid w:val="7C921634"/>
    <w:rsid w:val="7CA1118F"/>
    <w:rsid w:val="7CA46A66"/>
    <w:rsid w:val="7CC04412"/>
    <w:rsid w:val="7CF4552D"/>
    <w:rsid w:val="7D07647A"/>
    <w:rsid w:val="7D2D1C58"/>
    <w:rsid w:val="7D43322A"/>
    <w:rsid w:val="7D6C22BD"/>
    <w:rsid w:val="7D6C452F"/>
    <w:rsid w:val="7D90323E"/>
    <w:rsid w:val="7DA74646"/>
    <w:rsid w:val="7DE01D7D"/>
    <w:rsid w:val="7E256D04"/>
    <w:rsid w:val="7E2C609E"/>
    <w:rsid w:val="7E6525AC"/>
    <w:rsid w:val="7ED74932"/>
    <w:rsid w:val="7EE37ECB"/>
    <w:rsid w:val="7EE477AF"/>
    <w:rsid w:val="7F0E3679"/>
    <w:rsid w:val="7F6320EC"/>
    <w:rsid w:val="7FAF1655"/>
    <w:rsid w:val="7FD525A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sz w:val="24"/>
      <w:szCs w:val="24"/>
      <w:lang w:val="en-US" w:eastAsia="zh-CN" w:bidi="ar-SA"/>
    </w:rPr>
  </w:style>
  <w:style w:type="paragraph" w:styleId="3">
    <w:name w:val="heading 1"/>
    <w:basedOn w:val="1"/>
    <w:next w:val="1"/>
    <w:link w:val="37"/>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38"/>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39"/>
    <w:unhideWhenUsed/>
    <w:qFormat/>
    <w:uiPriority w:val="9"/>
    <w:pPr>
      <w:spacing w:line="560" w:lineRule="exact"/>
      <w:jc w:val="center"/>
      <w:outlineLvl w:val="2"/>
    </w:pPr>
    <w:rPr>
      <w:rFonts w:ascii="方正小标宋_GBK" w:hAnsi="仿宋" w:eastAsia="方正小标宋_GBK"/>
      <w:sz w:val="36"/>
      <w:szCs w:val="36"/>
    </w:rPr>
  </w:style>
  <w:style w:type="paragraph" w:styleId="6">
    <w:name w:val="heading 4"/>
    <w:basedOn w:val="1"/>
    <w:next w:val="1"/>
    <w:link w:val="40"/>
    <w:unhideWhenUsed/>
    <w:qFormat/>
    <w:uiPriority w:val="9"/>
    <w:pPr>
      <w:keepNext/>
      <w:numPr>
        <w:ilvl w:val="3"/>
        <w:numId w:val="1"/>
      </w:numPr>
      <w:spacing w:before="240" w:after="60"/>
      <w:outlineLvl w:val="3"/>
    </w:pPr>
    <w:rPr>
      <w:rFonts w:cs="Times New Roman"/>
      <w:b/>
      <w:bCs/>
      <w:sz w:val="28"/>
      <w:szCs w:val="28"/>
    </w:rPr>
  </w:style>
  <w:style w:type="paragraph" w:styleId="7">
    <w:name w:val="heading 5"/>
    <w:basedOn w:val="1"/>
    <w:next w:val="1"/>
    <w:link w:val="41"/>
    <w:unhideWhenUsed/>
    <w:qFormat/>
    <w:uiPriority w:val="9"/>
    <w:pPr>
      <w:numPr>
        <w:ilvl w:val="4"/>
        <w:numId w:val="1"/>
      </w:numPr>
      <w:spacing w:before="240" w:after="60"/>
      <w:outlineLvl w:val="4"/>
    </w:pPr>
    <w:rPr>
      <w:b/>
      <w:bCs/>
      <w:i/>
      <w:iCs/>
      <w:sz w:val="26"/>
      <w:szCs w:val="26"/>
    </w:rPr>
  </w:style>
  <w:style w:type="paragraph" w:styleId="8">
    <w:name w:val="heading 6"/>
    <w:basedOn w:val="1"/>
    <w:next w:val="1"/>
    <w:link w:val="42"/>
    <w:unhideWhenUsed/>
    <w:qFormat/>
    <w:uiPriority w:val="9"/>
    <w:pPr>
      <w:numPr>
        <w:ilvl w:val="5"/>
        <w:numId w:val="1"/>
      </w:numPr>
      <w:spacing w:before="240" w:after="60"/>
      <w:outlineLvl w:val="5"/>
    </w:pPr>
    <w:rPr>
      <w:rFonts w:cs="Times New Roman"/>
      <w:b/>
      <w:bCs/>
      <w:sz w:val="22"/>
      <w:szCs w:val="22"/>
    </w:rPr>
  </w:style>
  <w:style w:type="paragraph" w:styleId="9">
    <w:name w:val="heading 7"/>
    <w:basedOn w:val="1"/>
    <w:next w:val="1"/>
    <w:link w:val="43"/>
    <w:unhideWhenUsed/>
    <w:qFormat/>
    <w:uiPriority w:val="9"/>
    <w:pPr>
      <w:numPr>
        <w:ilvl w:val="6"/>
        <w:numId w:val="1"/>
      </w:numPr>
      <w:spacing w:before="240" w:after="60"/>
      <w:outlineLvl w:val="6"/>
    </w:pPr>
  </w:style>
  <w:style w:type="paragraph" w:styleId="10">
    <w:name w:val="heading 8"/>
    <w:basedOn w:val="1"/>
    <w:next w:val="1"/>
    <w:link w:val="44"/>
    <w:unhideWhenUsed/>
    <w:qFormat/>
    <w:uiPriority w:val="9"/>
    <w:pPr>
      <w:numPr>
        <w:ilvl w:val="7"/>
        <w:numId w:val="1"/>
      </w:numPr>
      <w:spacing w:before="240" w:after="60"/>
      <w:outlineLvl w:val="7"/>
    </w:pPr>
    <w:rPr>
      <w:rFonts w:cs="Times New Roman"/>
      <w:i/>
      <w:iCs/>
    </w:rPr>
  </w:style>
  <w:style w:type="paragraph" w:styleId="11">
    <w:name w:val="heading 9"/>
    <w:basedOn w:val="1"/>
    <w:next w:val="1"/>
    <w:link w:val="45"/>
    <w:unhideWhenUsed/>
    <w:qFormat/>
    <w:uiPriority w:val="9"/>
    <w:pPr>
      <w:numPr>
        <w:ilvl w:val="8"/>
        <w:numId w:val="1"/>
      </w:numPr>
      <w:spacing w:before="240" w:after="60"/>
      <w:outlineLvl w:val="8"/>
    </w:pPr>
    <w:rPr>
      <w:rFonts w:ascii="Calibri Light" w:hAnsi="Calibri Light" w:eastAsia="宋体" w:cs="Times New Roman"/>
      <w:sz w:val="22"/>
      <w:szCs w:val="2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unhideWhenUsed/>
    <w:qFormat/>
    <w:uiPriority w:val="35"/>
    <w:rPr>
      <w:rFonts w:ascii="Calibri Light" w:hAnsi="Calibri Light" w:eastAsia="黑体" w:cs="Times New Roman"/>
      <w:sz w:val="20"/>
      <w:szCs w:val="20"/>
    </w:rPr>
  </w:style>
  <w:style w:type="paragraph" w:styleId="13">
    <w:name w:val="Document Map"/>
    <w:basedOn w:val="1"/>
    <w:link w:val="46"/>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47"/>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48"/>
    <w:unhideWhenUsed/>
    <w:qFormat/>
    <w:uiPriority w:val="99"/>
    <w:pPr>
      <w:ind w:left="100" w:leftChars="2500"/>
    </w:pPr>
  </w:style>
  <w:style w:type="paragraph" w:styleId="18">
    <w:name w:val="Balloon Text"/>
    <w:basedOn w:val="1"/>
    <w:link w:val="49"/>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52"/>
    <w:qFormat/>
    <w:uiPriority w:val="11"/>
    <w:pPr>
      <w:keepNext/>
      <w:spacing w:before="50" w:beforeLines="50" w:after="50" w:afterLines="50"/>
      <w:jc w:val="center"/>
      <w:outlineLvl w:val="1"/>
    </w:pPr>
    <w:rPr>
      <w:rFonts w:ascii="Calibri" w:hAnsi="Calibri" w:eastAsia="黑体" w:cs="Times New Roman"/>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53"/>
    <w:qFormat/>
    <w:uiPriority w:val="10"/>
    <w:pPr>
      <w:spacing w:before="240" w:after="60"/>
      <w:jc w:val="center"/>
      <w:outlineLvl w:val="0"/>
    </w:pPr>
    <w:rPr>
      <w:rFonts w:ascii="Calibri Light" w:hAnsi="Calibri Light" w:eastAsia="宋体" w:cs="Times New Roman"/>
      <w:b/>
      <w:bCs/>
      <w:kern w:val="28"/>
      <w:sz w:val="32"/>
      <w:szCs w:val="32"/>
    </w:rPr>
  </w:style>
  <w:style w:type="paragraph" w:styleId="26">
    <w:name w:val="annotation subject"/>
    <w:basedOn w:val="14"/>
    <w:next w:val="14"/>
    <w:link w:val="54"/>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unhideWhenUsed/>
    <w:qFormat/>
    <w:uiPriority w:val="99"/>
    <w:rPr>
      <w:color w:val="954F72"/>
      <w:u w:val="single"/>
    </w:rPr>
  </w:style>
  <w:style w:type="character" w:styleId="34">
    <w:name w:val="Emphasis"/>
    <w:basedOn w:val="30"/>
    <w:qFormat/>
    <w:uiPriority w:val="20"/>
    <w:rPr>
      <w:rFonts w:ascii="Calibri" w:hAnsi="Calibri"/>
      <w:b/>
      <w:i/>
      <w:iCs/>
    </w:rPr>
  </w:style>
  <w:style w:type="character" w:styleId="35">
    <w:name w:val="Hyperlink"/>
    <w:basedOn w:val="30"/>
    <w:unhideWhenUsed/>
    <w:qFormat/>
    <w:uiPriority w:val="99"/>
    <w:rPr>
      <w:color w:val="0563C1"/>
      <w:u w:val="single"/>
    </w:rPr>
  </w:style>
  <w:style w:type="character" w:styleId="36">
    <w:name w:val="annotation reference"/>
    <w:basedOn w:val="30"/>
    <w:unhideWhenUsed/>
    <w:qFormat/>
    <w:uiPriority w:val="99"/>
    <w:rPr>
      <w:sz w:val="21"/>
      <w:szCs w:val="21"/>
    </w:rPr>
  </w:style>
  <w:style w:type="character" w:customStyle="1" w:styleId="37">
    <w:name w:val="标题 1 字符"/>
    <w:basedOn w:val="30"/>
    <w:link w:val="3"/>
    <w:qFormat/>
    <w:uiPriority w:val="9"/>
    <w:rPr>
      <w:rFonts w:ascii="方正小标宋_GBK" w:hAnsi="仿宋" w:eastAsia="方正小标宋_GBK"/>
      <w:sz w:val="44"/>
      <w:szCs w:val="44"/>
    </w:rPr>
  </w:style>
  <w:style w:type="character" w:customStyle="1" w:styleId="38">
    <w:name w:val="标题 2 字符"/>
    <w:basedOn w:val="30"/>
    <w:link w:val="4"/>
    <w:qFormat/>
    <w:uiPriority w:val="9"/>
    <w:rPr>
      <w:rFonts w:ascii="楷体" w:hAnsi="楷体" w:eastAsia="黑体"/>
      <w:sz w:val="32"/>
      <w:szCs w:val="32"/>
    </w:rPr>
  </w:style>
  <w:style w:type="character" w:customStyle="1" w:styleId="39">
    <w:name w:val="标题 3 字符"/>
    <w:basedOn w:val="30"/>
    <w:link w:val="5"/>
    <w:qFormat/>
    <w:uiPriority w:val="9"/>
    <w:rPr>
      <w:rFonts w:ascii="方正小标宋_GBK" w:hAnsi="仿宋" w:eastAsia="方正小标宋_GBK"/>
      <w:sz w:val="36"/>
      <w:szCs w:val="36"/>
    </w:rPr>
  </w:style>
  <w:style w:type="character" w:customStyle="1" w:styleId="40">
    <w:name w:val="标题 4 字符"/>
    <w:basedOn w:val="30"/>
    <w:link w:val="6"/>
    <w:semiHidden/>
    <w:qFormat/>
    <w:uiPriority w:val="9"/>
    <w:rPr>
      <w:rFonts w:cs="Times New Roman"/>
      <w:b/>
      <w:bCs/>
      <w:sz w:val="28"/>
      <w:szCs w:val="28"/>
    </w:rPr>
  </w:style>
  <w:style w:type="character" w:customStyle="1" w:styleId="41">
    <w:name w:val="标题 5 字符"/>
    <w:basedOn w:val="30"/>
    <w:link w:val="7"/>
    <w:semiHidden/>
    <w:qFormat/>
    <w:uiPriority w:val="9"/>
    <w:rPr>
      <w:b/>
      <w:bCs/>
      <w:i/>
      <w:iCs/>
      <w:sz w:val="26"/>
      <w:szCs w:val="26"/>
    </w:rPr>
  </w:style>
  <w:style w:type="character" w:customStyle="1" w:styleId="42">
    <w:name w:val="标题 6 字符"/>
    <w:basedOn w:val="30"/>
    <w:link w:val="8"/>
    <w:semiHidden/>
    <w:qFormat/>
    <w:uiPriority w:val="9"/>
    <w:rPr>
      <w:rFonts w:cs="Times New Roman"/>
      <w:b/>
      <w:bCs/>
    </w:rPr>
  </w:style>
  <w:style w:type="character" w:customStyle="1" w:styleId="43">
    <w:name w:val="标题 7 字符"/>
    <w:basedOn w:val="30"/>
    <w:link w:val="9"/>
    <w:semiHidden/>
    <w:qFormat/>
    <w:uiPriority w:val="9"/>
    <w:rPr>
      <w:sz w:val="24"/>
      <w:szCs w:val="24"/>
    </w:rPr>
  </w:style>
  <w:style w:type="character" w:customStyle="1" w:styleId="44">
    <w:name w:val="标题 8 字符"/>
    <w:basedOn w:val="30"/>
    <w:link w:val="10"/>
    <w:semiHidden/>
    <w:qFormat/>
    <w:uiPriority w:val="9"/>
    <w:rPr>
      <w:rFonts w:cs="Times New Roman"/>
      <w:i/>
      <w:iCs/>
      <w:sz w:val="24"/>
      <w:szCs w:val="24"/>
    </w:rPr>
  </w:style>
  <w:style w:type="character" w:customStyle="1" w:styleId="45">
    <w:name w:val="标题 9 字符"/>
    <w:basedOn w:val="30"/>
    <w:link w:val="11"/>
    <w:semiHidden/>
    <w:qFormat/>
    <w:uiPriority w:val="9"/>
    <w:rPr>
      <w:rFonts w:ascii="Calibri Light" w:hAnsi="Calibri Light" w:eastAsia="宋体" w:cs="Times New Roman"/>
    </w:rPr>
  </w:style>
  <w:style w:type="character" w:customStyle="1" w:styleId="46">
    <w:name w:val="文档结构图 字符"/>
    <w:basedOn w:val="30"/>
    <w:link w:val="13"/>
    <w:semiHidden/>
    <w:qFormat/>
    <w:uiPriority w:val="99"/>
    <w:rPr>
      <w:rFonts w:ascii="宋体" w:hAnsi="Calibri Light" w:eastAsia="宋体" w:cs="Calibri Light"/>
      <w:kern w:val="2"/>
      <w:sz w:val="18"/>
      <w:szCs w:val="18"/>
    </w:rPr>
  </w:style>
  <w:style w:type="character" w:customStyle="1" w:styleId="47">
    <w:name w:val="批注文字 字符"/>
    <w:basedOn w:val="30"/>
    <w:link w:val="14"/>
    <w:qFormat/>
    <w:uiPriority w:val="99"/>
    <w:rPr>
      <w:rFonts w:ascii="Calibri Light" w:hAnsi="Calibri Light" w:eastAsia="华文仿宋" w:cs="Calibri Light"/>
      <w:kern w:val="2"/>
      <w:sz w:val="28"/>
      <w:szCs w:val="28"/>
    </w:rPr>
  </w:style>
  <w:style w:type="character" w:customStyle="1" w:styleId="48">
    <w:name w:val="日期 字符"/>
    <w:basedOn w:val="30"/>
    <w:link w:val="17"/>
    <w:semiHidden/>
    <w:qFormat/>
    <w:uiPriority w:val="99"/>
    <w:rPr>
      <w:rFonts w:ascii="华文仿宋" w:hAnsi="华文仿宋" w:eastAsia="华文仿宋"/>
      <w:sz w:val="28"/>
      <w:szCs w:val="28"/>
    </w:rPr>
  </w:style>
  <w:style w:type="character" w:customStyle="1" w:styleId="49">
    <w:name w:val="批注框文本 字符"/>
    <w:basedOn w:val="30"/>
    <w:link w:val="18"/>
    <w:semiHidden/>
    <w:qFormat/>
    <w:uiPriority w:val="99"/>
    <w:rPr>
      <w:sz w:val="18"/>
      <w:szCs w:val="18"/>
    </w:rPr>
  </w:style>
  <w:style w:type="character" w:customStyle="1" w:styleId="50">
    <w:name w:val="页脚 字符"/>
    <w:basedOn w:val="30"/>
    <w:link w:val="19"/>
    <w:qFormat/>
    <w:uiPriority w:val="99"/>
    <w:rPr>
      <w:rFonts w:ascii="华文仿宋" w:hAnsi="华文仿宋" w:eastAsia="华文仿宋"/>
      <w:sz w:val="18"/>
      <w:szCs w:val="18"/>
    </w:rPr>
  </w:style>
  <w:style w:type="character" w:customStyle="1" w:styleId="51">
    <w:name w:val="页眉 字符"/>
    <w:basedOn w:val="30"/>
    <w:link w:val="20"/>
    <w:qFormat/>
    <w:uiPriority w:val="0"/>
    <w:rPr>
      <w:rFonts w:ascii="华文仿宋" w:hAnsi="华文仿宋" w:eastAsia="华文仿宋"/>
      <w:sz w:val="18"/>
      <w:szCs w:val="18"/>
    </w:rPr>
  </w:style>
  <w:style w:type="character" w:customStyle="1" w:styleId="52">
    <w:name w:val="副标题 字符"/>
    <w:basedOn w:val="30"/>
    <w:link w:val="22"/>
    <w:qFormat/>
    <w:uiPriority w:val="11"/>
    <w:rPr>
      <w:rFonts w:ascii="Calibri" w:hAnsi="Calibri" w:eastAsia="黑体" w:cs="Times New Roman"/>
      <w:sz w:val="32"/>
      <w:szCs w:val="24"/>
    </w:rPr>
  </w:style>
  <w:style w:type="character" w:customStyle="1" w:styleId="53">
    <w:name w:val="标题 字符"/>
    <w:basedOn w:val="30"/>
    <w:link w:val="25"/>
    <w:qFormat/>
    <w:uiPriority w:val="10"/>
    <w:rPr>
      <w:rFonts w:ascii="Calibri Light" w:hAnsi="Calibri Light" w:eastAsia="宋体" w:cs="Times New Roman"/>
      <w:b/>
      <w:bCs/>
      <w:kern w:val="28"/>
      <w:sz w:val="32"/>
      <w:szCs w:val="32"/>
    </w:rPr>
  </w:style>
  <w:style w:type="character" w:customStyle="1" w:styleId="54">
    <w:name w:val="批注主题 字符"/>
    <w:basedOn w:val="47"/>
    <w:link w:val="26"/>
    <w:semiHidden/>
    <w:qFormat/>
    <w:uiPriority w:val="99"/>
    <w:rPr>
      <w:rFonts w:ascii="Calibri Light" w:hAnsi="Calibri Light" w:eastAsia="华文仿宋" w:cs="Calibri Light"/>
      <w:b/>
      <w:bCs/>
      <w:kern w:val="2"/>
      <w:sz w:val="28"/>
      <w:szCs w:val="28"/>
    </w:rPr>
  </w:style>
  <w:style w:type="paragraph" w:customStyle="1" w:styleId="55">
    <w:name w:val="※封面大标题"/>
    <w:basedOn w:val="1"/>
    <w:next w:val="1"/>
    <w:qFormat/>
    <w:uiPriority w:val="0"/>
    <w:pPr>
      <w:jc w:val="center"/>
    </w:pPr>
    <w:rPr>
      <w:rFonts w:ascii="华文中宋" w:hAnsi="华文中宋" w:eastAsia="华文中宋"/>
      <w:sz w:val="96"/>
      <w:szCs w:val="96"/>
    </w:rPr>
  </w:style>
  <w:style w:type="paragraph" w:customStyle="1" w:styleId="56">
    <w:name w:val="※封面题颌"/>
    <w:basedOn w:val="1"/>
    <w:next w:val="1"/>
    <w:qFormat/>
    <w:uiPriority w:val="0"/>
    <w:pPr>
      <w:jc w:val="center"/>
    </w:pPr>
    <w:rPr>
      <w:rFonts w:ascii="Calibri Light" w:hAnsi="Calibri Light" w:eastAsia="华文仿宋"/>
      <w:sz w:val="36"/>
      <w:szCs w:val="36"/>
    </w:rPr>
  </w:style>
  <w:style w:type="paragraph" w:customStyle="1" w:styleId="57">
    <w:name w:val="※封面题眉"/>
    <w:basedOn w:val="1"/>
    <w:next w:val="55"/>
    <w:qFormat/>
    <w:uiPriority w:val="0"/>
    <w:pPr>
      <w:jc w:val="center"/>
    </w:pPr>
    <w:rPr>
      <w:rFonts w:ascii="华文仿宋" w:hAnsi="华文仿宋" w:eastAsia="华文仿宋"/>
      <w:sz w:val="52"/>
      <w:szCs w:val="28"/>
    </w:rPr>
  </w:style>
  <w:style w:type="paragraph" w:customStyle="1" w:styleId="5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6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6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6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63">
    <w:name w:val="※小标题 一"/>
    <w:basedOn w:val="62"/>
    <w:next w:val="62"/>
    <w:qFormat/>
    <w:uiPriority w:val="0"/>
    <w:pPr>
      <w:spacing w:before="120" w:line="240" w:lineRule="auto"/>
      <w:outlineLvl w:val="2"/>
    </w:pPr>
    <w:rPr>
      <w:b/>
      <w:color w:val="1F3864"/>
      <w:sz w:val="32"/>
    </w:rPr>
  </w:style>
  <w:style w:type="paragraph" w:customStyle="1" w:styleId="64">
    <w:name w:val="※小标题（1）"/>
    <w:basedOn w:val="1"/>
    <w:next w:val="6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65">
    <w:name w:val="※小标题（一）"/>
    <w:basedOn w:val="1"/>
    <w:next w:val="6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6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8">
    <w:name w:val="※页眉"/>
    <w:basedOn w:val="62"/>
    <w:qFormat/>
    <w:uiPriority w:val="0"/>
    <w:pPr>
      <w:pBdr>
        <w:bottom w:val="single" w:color="auto" w:sz="4" w:space="1"/>
      </w:pBdr>
      <w:spacing w:line="240" w:lineRule="atLeast"/>
      <w:jc w:val="right"/>
    </w:pPr>
    <w:rPr>
      <w:rFonts w:ascii="宋体" w:hAnsi="宋体" w:eastAsia="宋体"/>
      <w:sz w:val="18"/>
    </w:rPr>
  </w:style>
  <w:style w:type="paragraph" w:customStyle="1" w:styleId="69">
    <w:name w:val="※章节标题（第X章）"/>
    <w:basedOn w:val="1"/>
    <w:qFormat/>
    <w:uiPriority w:val="0"/>
    <w:pPr>
      <w:jc w:val="center"/>
      <w:outlineLvl w:val="0"/>
    </w:pPr>
    <w:rPr>
      <w:rFonts w:ascii="Calibri Light" w:hAnsi="Calibri Light" w:eastAsia="黑体"/>
      <w:sz w:val="36"/>
      <w:szCs w:val="28"/>
    </w:rPr>
  </w:style>
  <w:style w:type="paragraph" w:customStyle="1" w:styleId="70">
    <w:name w:val="※章节标题（第Y部分）"/>
    <w:basedOn w:val="1"/>
    <w:next w:val="1"/>
    <w:qFormat/>
    <w:uiPriority w:val="0"/>
    <w:pPr>
      <w:jc w:val="center"/>
      <w:outlineLvl w:val="1"/>
    </w:pPr>
    <w:rPr>
      <w:rFonts w:ascii="Calibri Light" w:hAnsi="Calibri Light" w:eastAsia="黑体"/>
      <w:color w:val="1F4E79"/>
      <w:sz w:val="32"/>
      <w:szCs w:val="36"/>
    </w:rPr>
  </w:style>
  <w:style w:type="paragraph" w:customStyle="1" w:styleId="71">
    <w:name w:val="※章节标题（第Z部分分项）"/>
    <w:basedOn w:val="70"/>
    <w:qFormat/>
    <w:uiPriority w:val="0"/>
    <w:pPr>
      <w:outlineLvl w:val="2"/>
    </w:pPr>
  </w:style>
  <w:style w:type="paragraph" w:customStyle="1" w:styleId="7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73">
    <w:name w:val="※正文（缩进2）"/>
    <w:basedOn w:val="62"/>
    <w:qFormat/>
    <w:uiPriority w:val="0"/>
    <w:pPr>
      <w:ind w:firstLine="200" w:firstLineChars="200"/>
    </w:pPr>
  </w:style>
  <w:style w:type="paragraph" w:customStyle="1" w:styleId="74">
    <w:name w:val="※正文（缩进4）"/>
    <w:basedOn w:val="62"/>
    <w:qFormat/>
    <w:uiPriority w:val="0"/>
    <w:pPr>
      <w:ind w:firstLine="400" w:firstLineChars="400"/>
    </w:pPr>
  </w:style>
  <w:style w:type="paragraph" w:styleId="75">
    <w:name w:val="No Spacing"/>
    <w:basedOn w:val="1"/>
    <w:qFormat/>
    <w:uiPriority w:val="1"/>
    <w:rPr>
      <w:szCs w:val="32"/>
    </w:rPr>
  </w:style>
  <w:style w:type="paragraph" w:styleId="76">
    <w:name w:val="List Paragraph"/>
    <w:basedOn w:val="1"/>
    <w:qFormat/>
    <w:uiPriority w:val="0"/>
    <w:pPr>
      <w:ind w:left="720"/>
      <w:contextualSpacing/>
    </w:pPr>
  </w:style>
  <w:style w:type="paragraph" w:styleId="77">
    <w:name w:val="Quote"/>
    <w:basedOn w:val="1"/>
    <w:next w:val="1"/>
    <w:link w:val="78"/>
    <w:qFormat/>
    <w:uiPriority w:val="29"/>
    <w:rPr>
      <w:i/>
    </w:rPr>
  </w:style>
  <w:style w:type="character" w:customStyle="1" w:styleId="78">
    <w:name w:val="引用 字符"/>
    <w:basedOn w:val="30"/>
    <w:link w:val="77"/>
    <w:qFormat/>
    <w:uiPriority w:val="29"/>
    <w:rPr>
      <w:i/>
      <w:sz w:val="24"/>
      <w:szCs w:val="24"/>
    </w:rPr>
  </w:style>
  <w:style w:type="paragraph" w:styleId="79">
    <w:name w:val="Intense Quote"/>
    <w:basedOn w:val="1"/>
    <w:next w:val="1"/>
    <w:link w:val="80"/>
    <w:qFormat/>
    <w:uiPriority w:val="30"/>
    <w:pPr>
      <w:ind w:left="720" w:right="720"/>
    </w:pPr>
    <w:rPr>
      <w:b/>
      <w:i/>
      <w:szCs w:val="22"/>
    </w:rPr>
  </w:style>
  <w:style w:type="character" w:customStyle="1" w:styleId="80">
    <w:name w:val="明显引用 字符"/>
    <w:basedOn w:val="30"/>
    <w:link w:val="79"/>
    <w:qFormat/>
    <w:uiPriority w:val="30"/>
    <w:rPr>
      <w:b/>
      <w:i/>
      <w:sz w:val="24"/>
    </w:rPr>
  </w:style>
  <w:style w:type="character" w:customStyle="1" w:styleId="81">
    <w:name w:val="Subtle Emphasis"/>
    <w:qFormat/>
    <w:uiPriority w:val="19"/>
    <w:rPr>
      <w:i/>
      <w:color w:val="595959"/>
    </w:rPr>
  </w:style>
  <w:style w:type="character" w:customStyle="1" w:styleId="82">
    <w:name w:val="Intense Emphasis"/>
    <w:basedOn w:val="30"/>
    <w:qFormat/>
    <w:uiPriority w:val="21"/>
    <w:rPr>
      <w:b/>
      <w:i/>
      <w:sz w:val="24"/>
      <w:szCs w:val="24"/>
      <w:u w:val="single"/>
    </w:rPr>
  </w:style>
  <w:style w:type="character" w:customStyle="1" w:styleId="83">
    <w:name w:val="Subtle Reference"/>
    <w:basedOn w:val="30"/>
    <w:qFormat/>
    <w:uiPriority w:val="31"/>
    <w:rPr>
      <w:sz w:val="24"/>
      <w:szCs w:val="24"/>
      <w:u w:val="single"/>
    </w:rPr>
  </w:style>
  <w:style w:type="character" w:customStyle="1" w:styleId="84">
    <w:name w:val="Intense Reference"/>
    <w:basedOn w:val="30"/>
    <w:qFormat/>
    <w:uiPriority w:val="32"/>
    <w:rPr>
      <w:b/>
      <w:sz w:val="24"/>
      <w:u w:val="single"/>
    </w:rPr>
  </w:style>
  <w:style w:type="character" w:customStyle="1" w:styleId="85">
    <w:name w:val="Book Title"/>
    <w:basedOn w:val="30"/>
    <w:qFormat/>
    <w:uiPriority w:val="33"/>
    <w:rPr>
      <w:rFonts w:ascii="Calibri Light" w:hAnsi="Calibri Light" w:eastAsia="宋体"/>
      <w:b/>
      <w:i/>
      <w:sz w:val="24"/>
      <w:szCs w:val="24"/>
    </w:rPr>
  </w:style>
  <w:style w:type="paragraph" w:customStyle="1" w:styleId="86">
    <w:name w:val="TOC Heading"/>
    <w:basedOn w:val="3"/>
    <w:next w:val="1"/>
    <w:unhideWhenUsed/>
    <w:qFormat/>
    <w:uiPriority w:val="39"/>
    <w:pPr>
      <w:outlineLvl w:val="9"/>
    </w:pPr>
  </w:style>
  <w:style w:type="paragraph" w:customStyle="1" w:styleId="87">
    <w:name w:val="@正文"/>
    <w:basedOn w:val="62"/>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0"/>
    <w:semiHidden/>
    <w:qFormat/>
    <w:uiPriority w:val="99"/>
    <w:rPr>
      <w:rFonts w:cs="Calibri Light"/>
      <w:sz w:val="18"/>
      <w:szCs w:val="18"/>
    </w:rPr>
  </w:style>
  <w:style w:type="character" w:customStyle="1" w:styleId="92">
    <w:name w:val="页脚 Char1"/>
    <w:basedOn w:val="30"/>
    <w:semiHidden/>
    <w:qFormat/>
    <w:uiPriority w:val="99"/>
    <w:rPr>
      <w:rFonts w:cs="Calibri Light"/>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unhideWhenUsed/>
    <w:qFormat/>
    <w:uiPriority w:val="99"/>
    <w:rPr>
      <w:color w:val="605E5C"/>
      <w:shd w:val="clear" w:color="auto" w:fill="E1DFDD"/>
    </w:rPr>
  </w:style>
  <w:style w:type="paragraph" w:customStyle="1" w:styleId="95">
    <w:name w:val="样式1"/>
    <w:basedOn w:val="5"/>
    <w:link w:val="96"/>
    <w:qFormat/>
    <w:uiPriority w:val="0"/>
    <w:pPr>
      <w:jc w:val="left"/>
    </w:pPr>
    <w:rPr>
      <w:rFonts w:eastAsia="楷体"/>
      <w:sz w:val="32"/>
    </w:rPr>
  </w:style>
  <w:style w:type="character" w:customStyle="1" w:styleId="96">
    <w:name w:val="样式1 字符"/>
    <w:basedOn w:val="38"/>
    <w:link w:val="95"/>
    <w:qFormat/>
    <w:uiPriority w:val="0"/>
    <w:rPr>
      <w:rFonts w:ascii="方正小标宋_GBK" w:hAnsi="仿宋" w:eastAsia="楷体"/>
      <w:sz w:val="32"/>
      <w:szCs w:val="36"/>
    </w:rPr>
  </w:style>
  <w:style w:type="paragraph" w:customStyle="1" w:styleId="97">
    <w:name w:val="样式2"/>
    <w:basedOn w:val="89"/>
    <w:link w:val="98"/>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2 字符"/>
    <w:basedOn w:val="30"/>
    <w:link w:val="97"/>
    <w:qFormat/>
    <w:uiPriority w:val="0"/>
    <w:rPr>
      <w:rFonts w:ascii="仿宋_GB2312" w:hAnsi="仿宋" w:eastAsia="仿宋_GB2312"/>
      <w:b/>
      <w:bCs/>
      <w:kern w:val="32"/>
      <w:sz w:val="32"/>
      <w:szCs w:val="32"/>
    </w:rPr>
  </w:style>
  <w:style w:type="paragraph" w:customStyle="1" w:styleId="99">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100">
    <w:name w:val="样式3 字符"/>
    <w:basedOn w:val="30"/>
    <w:link w:val="99"/>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89</Pages>
  <Words>7864</Words>
  <Characters>8926</Characters>
  <Lines>1035</Lines>
  <Paragraphs>716</Paragraphs>
  <TotalTime>12</TotalTime>
  <ScaleCrop>false</ScaleCrop>
  <LinksUpToDate>false</LinksUpToDate>
  <CharactersWithSpaces>8957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2024-12-18T08:56:00Z</cp:lastPrinted>
  <dcterms:modified xsi:type="dcterms:W3CDTF">2025-07-30T03:27:31Z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F6ACBE97E9E243B7810CFDEA63D390FC_13</vt:lpwstr>
  </property>
  <property fmtid="{D5CDD505-2E9C-101B-9397-08002B2CF9AE}" pid="4" name="KSOTemplateDocerSaveRecord">
    <vt:lpwstr>eyJoZGlkIjoiZDU5ZmUxYTc5ZjVhNjc2ZjlmNjIwZDE5NzZjZGZkMmMiLCJ1c2VySWQiOiIzMjExNjMxODcifQ==</vt:lpwstr>
  </property>
</Properties>
</file>