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697C0">
      <w:pPr>
        <w:rPr>
          <w:rFonts w:hint="default" w:hAnsi="宋体" w:eastAsia="宋体" w:cs="宋体"/>
          <w:b/>
          <w:sz w:val="36"/>
          <w:highlight w:val="none"/>
          <w:lang w:val="en-US" w:eastAsia="zh-CN"/>
        </w:rPr>
      </w:pPr>
      <w:r>
        <w:rPr>
          <w:rFonts w:hint="eastAsia" w:hAnsi="宋体" w:cs="宋体"/>
          <w:b/>
          <w:bCs/>
          <w:sz w:val="24"/>
          <w:szCs w:val="24"/>
          <w:highlight w:val="none"/>
        </w:rPr>
        <w:t>项目编号：</w:t>
      </w:r>
      <w:r>
        <w:rPr>
          <w:rFonts w:hint="eastAsia" w:hAnsi="宋体" w:cs="宋体"/>
          <w:b/>
          <w:sz w:val="24"/>
          <w:szCs w:val="24"/>
          <w:highlight w:val="none"/>
          <w:lang w:eastAsia="zh-CN"/>
        </w:rPr>
        <w:t>SXZCZB202</w:t>
      </w:r>
      <w:r>
        <w:rPr>
          <w:rFonts w:hint="eastAsia" w:hAnsi="宋体" w:cs="宋体"/>
          <w:b/>
          <w:sz w:val="24"/>
          <w:szCs w:val="24"/>
          <w:highlight w:val="none"/>
          <w:lang w:val="en-US" w:eastAsia="zh-CN"/>
        </w:rPr>
        <w:t>5</w:t>
      </w:r>
      <w:r>
        <w:rPr>
          <w:rFonts w:hint="eastAsia" w:hAnsi="宋体" w:cs="宋体"/>
          <w:b/>
          <w:sz w:val="24"/>
          <w:szCs w:val="24"/>
          <w:highlight w:val="none"/>
          <w:lang w:eastAsia="zh-CN"/>
        </w:rPr>
        <w:t>-ZCCS-081</w:t>
      </w:r>
      <w:r>
        <w:rPr>
          <w:rFonts w:hint="eastAsia" w:hAnsi="宋体" w:cs="宋体"/>
          <w:b/>
          <w:sz w:val="24"/>
          <w:szCs w:val="24"/>
          <w:highlight w:val="none"/>
          <w:lang w:val="en-US" w:eastAsia="zh-CN"/>
        </w:rPr>
        <w:t>4</w:t>
      </w:r>
    </w:p>
    <w:p w14:paraId="08C4CECF">
      <w:pPr>
        <w:jc w:val="both"/>
        <w:rPr>
          <w:rFonts w:hAnsi="宋体" w:cs="宋体"/>
          <w:b/>
          <w:sz w:val="56"/>
          <w:szCs w:val="56"/>
          <w:highlight w:val="none"/>
        </w:rPr>
      </w:pPr>
    </w:p>
    <w:p w14:paraId="7F9D6556">
      <w:pPr>
        <w:jc w:val="center"/>
        <w:rPr>
          <w:rFonts w:hAnsi="宋体" w:cs="宋体"/>
          <w:b/>
          <w:sz w:val="56"/>
          <w:szCs w:val="56"/>
          <w:highlight w:val="none"/>
        </w:rPr>
      </w:pPr>
    </w:p>
    <w:p w14:paraId="76522DE7">
      <w:pPr>
        <w:spacing w:line="780" w:lineRule="auto"/>
        <w:jc w:val="center"/>
        <w:rPr>
          <w:rFonts w:hint="eastAsia" w:hAnsi="宋体" w:cs="宋体"/>
          <w:b/>
          <w:sz w:val="56"/>
          <w:szCs w:val="56"/>
          <w:highlight w:val="none"/>
        </w:rPr>
      </w:pPr>
      <w:r>
        <w:rPr>
          <w:rFonts w:hint="eastAsia" w:hAnsi="宋体" w:cs="宋体"/>
          <w:b/>
          <w:sz w:val="52"/>
          <w:szCs w:val="52"/>
          <w:highlight w:val="none"/>
          <w:lang w:eastAsia="zh-CN"/>
        </w:rPr>
        <w:t>柞水县污水处理厂2025年药剂采购项目</w:t>
      </w:r>
    </w:p>
    <w:p w14:paraId="24BE5B9E">
      <w:pPr>
        <w:spacing w:line="780" w:lineRule="auto"/>
        <w:jc w:val="center"/>
        <w:rPr>
          <w:rFonts w:hint="eastAsia" w:hAnsi="宋体" w:cs="宋体"/>
          <w:b/>
          <w:sz w:val="56"/>
          <w:szCs w:val="56"/>
          <w:highlight w:val="none"/>
        </w:rPr>
      </w:pPr>
    </w:p>
    <w:p w14:paraId="41DC3FCE">
      <w:pPr>
        <w:spacing w:line="780" w:lineRule="auto"/>
        <w:jc w:val="both"/>
        <w:rPr>
          <w:rFonts w:hint="eastAsia" w:hAnsi="宋体" w:cs="宋体"/>
          <w:b/>
          <w:sz w:val="56"/>
          <w:szCs w:val="56"/>
          <w:highlight w:val="none"/>
        </w:rPr>
      </w:pPr>
    </w:p>
    <w:p w14:paraId="27C6CD2C">
      <w:pPr>
        <w:spacing w:line="780" w:lineRule="auto"/>
        <w:jc w:val="center"/>
        <w:rPr>
          <w:rFonts w:hAnsi="宋体" w:cs="宋体"/>
          <w:b/>
          <w:sz w:val="56"/>
          <w:szCs w:val="56"/>
          <w:highlight w:val="none"/>
        </w:rPr>
      </w:pPr>
      <w:r>
        <w:rPr>
          <w:rFonts w:hint="eastAsia" w:hAnsi="宋体" w:cs="宋体"/>
          <w:b/>
          <w:sz w:val="56"/>
          <w:szCs w:val="56"/>
          <w:highlight w:val="none"/>
        </w:rPr>
        <w:t>竞争性磋商文件</w:t>
      </w:r>
    </w:p>
    <w:p w14:paraId="155FA07C">
      <w:pPr>
        <w:rPr>
          <w:rFonts w:hAnsi="宋体" w:cs="宋体"/>
          <w:highlight w:val="none"/>
        </w:rPr>
      </w:pPr>
      <w:bookmarkStart w:id="0" w:name="_Toc363463325"/>
    </w:p>
    <w:p w14:paraId="434E24B6">
      <w:pPr>
        <w:rPr>
          <w:rFonts w:hAnsi="宋体" w:cs="宋体"/>
          <w:highlight w:val="none"/>
        </w:rPr>
      </w:pPr>
    </w:p>
    <w:p w14:paraId="5C76BC1A">
      <w:pPr>
        <w:rPr>
          <w:rFonts w:hAnsi="宋体" w:cs="宋体"/>
          <w:highlight w:val="none"/>
        </w:rPr>
      </w:pPr>
    </w:p>
    <w:bookmarkEnd w:id="0"/>
    <w:p w14:paraId="35FEB08A">
      <w:pPr>
        <w:rPr>
          <w:rFonts w:hAnsi="宋体" w:cs="宋体"/>
          <w:sz w:val="18"/>
          <w:szCs w:val="18"/>
          <w:highlight w:val="none"/>
        </w:rPr>
      </w:pPr>
    </w:p>
    <w:p w14:paraId="0199A949">
      <w:pPr>
        <w:jc w:val="center"/>
        <w:rPr>
          <w:rFonts w:hAnsi="宋体" w:cs="宋体"/>
          <w:b/>
          <w:bCs/>
          <w:sz w:val="32"/>
          <w:szCs w:val="32"/>
          <w:highlight w:val="none"/>
        </w:rPr>
      </w:pPr>
    </w:p>
    <w:p w14:paraId="2B3FD6FD">
      <w:pPr>
        <w:jc w:val="center"/>
        <w:rPr>
          <w:rFonts w:hAnsi="宋体" w:cs="宋体"/>
          <w:b/>
          <w:bCs/>
          <w:sz w:val="32"/>
          <w:szCs w:val="32"/>
          <w:highlight w:val="none"/>
        </w:rPr>
      </w:pPr>
    </w:p>
    <w:p w14:paraId="0F417C04">
      <w:pPr>
        <w:jc w:val="both"/>
        <w:rPr>
          <w:rFonts w:hAnsi="宋体" w:cs="宋体"/>
          <w:b/>
          <w:bCs/>
          <w:sz w:val="32"/>
          <w:szCs w:val="32"/>
          <w:highlight w:val="none"/>
        </w:rPr>
      </w:pPr>
    </w:p>
    <w:p w14:paraId="3B3BFCD2">
      <w:pPr>
        <w:pStyle w:val="9"/>
        <w:rPr>
          <w:highlight w:val="none"/>
        </w:rPr>
      </w:pPr>
    </w:p>
    <w:p w14:paraId="2BAE8A38">
      <w:pPr>
        <w:jc w:val="center"/>
        <w:rPr>
          <w:rFonts w:hAnsi="宋体" w:cs="宋体"/>
          <w:b/>
          <w:bCs/>
          <w:sz w:val="32"/>
          <w:szCs w:val="32"/>
          <w:highlight w:val="none"/>
        </w:rPr>
      </w:pPr>
      <w:r>
        <w:rPr>
          <w:rFonts w:hint="eastAsia" w:hAnsi="宋体" w:cs="宋体"/>
          <w:b/>
          <w:bCs/>
          <w:sz w:val="32"/>
          <w:szCs w:val="32"/>
          <w:highlight w:val="none"/>
        </w:rPr>
        <w:t>陕西至诚项目管理集团有限公司</w:t>
      </w:r>
    </w:p>
    <w:p w14:paraId="246BFFBA">
      <w:pPr>
        <w:pStyle w:val="10"/>
        <w:jc w:val="center"/>
        <w:rPr>
          <w:rFonts w:ascii="宋体" w:hAnsi="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pgNumType w:fmt="decimal"/>
          <w:cols w:space="720" w:num="1"/>
          <w:titlePg/>
          <w:docGrid w:type="lines" w:linePitch="312" w:charSpace="0"/>
        </w:sectPr>
      </w:pPr>
      <w:r>
        <w:rPr>
          <w:rFonts w:hint="eastAsia" w:ascii="宋体" w:hAnsi="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八</w:t>
      </w:r>
      <w:r>
        <w:rPr>
          <w:rFonts w:hint="eastAsia" w:ascii="宋体" w:hAnsi="宋体" w:cs="宋体"/>
          <w:b/>
          <w:bCs/>
          <w:sz w:val="32"/>
          <w:szCs w:val="32"/>
          <w:highlight w:val="none"/>
        </w:rPr>
        <w:t>月</w:t>
      </w:r>
    </w:p>
    <w:p w14:paraId="092EF9BE">
      <w:pPr>
        <w:rPr>
          <w:rFonts w:hAnsi="宋体" w:cs="宋体"/>
          <w:highlight w:val="none"/>
        </w:rPr>
      </w:pPr>
    </w:p>
    <w:p w14:paraId="53B7C32F">
      <w:pPr>
        <w:jc w:val="center"/>
        <w:rPr>
          <w:rFonts w:hAnsi="宋体" w:cs="宋体"/>
          <w:b/>
          <w:sz w:val="44"/>
          <w:szCs w:val="44"/>
          <w:highlight w:val="none"/>
        </w:rPr>
      </w:pPr>
      <w:r>
        <w:rPr>
          <w:rFonts w:hint="eastAsia" w:hAnsi="宋体" w:cs="宋体"/>
          <w:b/>
          <w:sz w:val="44"/>
          <w:szCs w:val="44"/>
          <w:highlight w:val="none"/>
        </w:rPr>
        <w:t>目 录</w:t>
      </w:r>
    </w:p>
    <w:sdt>
      <w:sdtPr>
        <w:rPr>
          <w:rFonts w:hAnsi="宋体"/>
          <w:sz w:val="21"/>
          <w:highlight w:val="none"/>
        </w:rPr>
        <w:id w:val="147450925"/>
        <w15:color w:val="DBDBDB"/>
        <w:docPartObj>
          <w:docPartGallery w:val="Table of Contents"/>
          <w:docPartUnique/>
        </w:docPartObj>
      </w:sdtPr>
      <w:sdtEndPr>
        <w:rPr>
          <w:rFonts w:hint="eastAsia" w:hAnsi="宋体" w:cs="宋体"/>
          <w:bCs/>
          <w:sz w:val="24"/>
          <w:szCs w:val="36"/>
          <w:highlight w:val="none"/>
        </w:rPr>
      </w:sdtEndPr>
      <w:sdtContent>
        <w:p w14:paraId="16F6F899">
          <w:pPr>
            <w:jc w:val="center"/>
            <w:rPr>
              <w:highlight w:val="none"/>
            </w:rPr>
          </w:pPr>
          <w:bookmarkStart w:id="1" w:name="_Toc389582033"/>
          <w:bookmarkStart w:id="2" w:name="_Toc20858"/>
          <w:bookmarkStart w:id="3" w:name="_Toc16218"/>
          <w:bookmarkStart w:id="4" w:name="_Toc21518"/>
          <w:bookmarkStart w:id="5" w:name="_Toc20652"/>
          <w:bookmarkStart w:id="6" w:name="_Toc19886"/>
          <w:bookmarkStart w:id="7" w:name="_Toc5293"/>
          <w:bookmarkStart w:id="8" w:name="_Toc27420"/>
          <w:bookmarkStart w:id="9" w:name="_Toc363473971"/>
          <w:bookmarkStart w:id="10" w:name="_Toc363474016"/>
          <w:bookmarkStart w:id="11" w:name="_Toc403077638"/>
        </w:p>
        <w:p w14:paraId="63F9842C">
          <w:pPr>
            <w:pStyle w:val="16"/>
            <w:tabs>
              <w:tab w:val="right" w:leader="dot" w:pos="8787"/>
            </w:tabs>
            <w:spacing w:line="360" w:lineRule="auto"/>
            <w:rPr>
              <w:sz w:val="28"/>
              <w:szCs w:val="21"/>
              <w:highlight w:val="none"/>
            </w:rPr>
          </w:pPr>
          <w:r>
            <w:rPr>
              <w:rFonts w:hint="eastAsia" w:hAnsi="宋体" w:cs="宋体"/>
              <w:bCs/>
              <w:sz w:val="40"/>
              <w:szCs w:val="40"/>
              <w:highlight w:val="none"/>
            </w:rPr>
            <w:fldChar w:fldCharType="begin"/>
          </w:r>
          <w:r>
            <w:rPr>
              <w:rFonts w:hint="eastAsia" w:hAnsi="宋体" w:cs="宋体"/>
              <w:bCs/>
              <w:sz w:val="40"/>
              <w:szCs w:val="40"/>
              <w:highlight w:val="none"/>
            </w:rPr>
            <w:instrText xml:space="preserve">TOC \o "1-3" \h \u </w:instrText>
          </w:r>
          <w:r>
            <w:rPr>
              <w:rFonts w:hint="eastAsia" w:hAnsi="宋体" w:cs="宋体"/>
              <w:bCs/>
              <w:sz w:val="40"/>
              <w:szCs w:val="40"/>
              <w:highlight w:val="none"/>
            </w:rPr>
            <w:fldChar w:fldCharType="separate"/>
          </w:r>
          <w:r>
            <w:rPr>
              <w:highlight w:val="none"/>
            </w:rPr>
            <w:fldChar w:fldCharType="begin"/>
          </w:r>
          <w:r>
            <w:rPr>
              <w:highlight w:val="none"/>
            </w:rPr>
            <w:instrText xml:space="preserve"> HYPERLINK \l "_Toc30717" </w:instrText>
          </w:r>
          <w:r>
            <w:rPr>
              <w:highlight w:val="none"/>
            </w:rPr>
            <w:fldChar w:fldCharType="separate"/>
          </w:r>
          <w:r>
            <w:rPr>
              <w:rFonts w:hint="eastAsia" w:hAnsi="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_Toc30717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07AB24DC">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"_Toc4831" </w:instrText>
          </w:r>
          <w:r>
            <w:rPr>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_Toc4831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357092FA">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"_Toc22398" </w:instrText>
          </w:r>
          <w:r>
            <w:rPr>
              <w:highlight w:val="none"/>
            </w:rPr>
            <w:fldChar w:fldCharType="separate"/>
          </w:r>
          <w:r>
            <w:rPr>
              <w:rFonts w:hint="eastAsia" w:hAnsi="宋体" w:cs="宋体"/>
              <w:sz w:val="28"/>
              <w:szCs w:val="21"/>
              <w:highlight w:val="none"/>
            </w:rPr>
            <w:t xml:space="preserve">第三章  </w:t>
          </w:r>
          <w:r>
            <w:rPr>
              <w:rFonts w:hint="eastAsia" w:hAnsi="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_Toc22398 \h </w:instrText>
          </w:r>
          <w:r>
            <w:rPr>
              <w:sz w:val="28"/>
              <w:szCs w:val="21"/>
              <w:highlight w:val="none"/>
            </w:rPr>
            <w:fldChar w:fldCharType="separate"/>
          </w:r>
          <w:r>
            <w:rPr>
              <w:sz w:val="28"/>
              <w:szCs w:val="21"/>
              <w:highlight w:val="none"/>
            </w:rPr>
            <w:t>23</w:t>
          </w:r>
          <w:r>
            <w:rPr>
              <w:sz w:val="28"/>
              <w:szCs w:val="21"/>
              <w:highlight w:val="none"/>
            </w:rPr>
            <w:fldChar w:fldCharType="end"/>
          </w:r>
          <w:r>
            <w:rPr>
              <w:sz w:val="28"/>
              <w:szCs w:val="21"/>
              <w:highlight w:val="none"/>
            </w:rPr>
            <w:fldChar w:fldCharType="end"/>
          </w:r>
        </w:p>
        <w:p w14:paraId="28B8BDED">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"_Toc11680" </w:instrText>
          </w:r>
          <w:r>
            <w:rPr>
              <w:highlight w:val="none"/>
            </w:rPr>
            <w:fldChar w:fldCharType="separate"/>
          </w:r>
          <w:r>
            <w:rPr>
              <w:rFonts w:hint="eastAsia" w:hAnsi="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_Toc11680 \h </w:instrText>
          </w:r>
          <w:r>
            <w:rPr>
              <w:sz w:val="28"/>
              <w:szCs w:val="21"/>
              <w:highlight w:val="none"/>
            </w:rPr>
            <w:fldChar w:fldCharType="separate"/>
          </w:r>
          <w:r>
            <w:rPr>
              <w:sz w:val="28"/>
              <w:szCs w:val="21"/>
              <w:highlight w:val="none"/>
            </w:rPr>
            <w:t>30</w:t>
          </w:r>
          <w:r>
            <w:rPr>
              <w:sz w:val="28"/>
              <w:szCs w:val="21"/>
              <w:highlight w:val="none"/>
            </w:rPr>
            <w:fldChar w:fldCharType="end"/>
          </w:r>
          <w:r>
            <w:rPr>
              <w:sz w:val="28"/>
              <w:szCs w:val="21"/>
              <w:highlight w:val="none"/>
            </w:rPr>
            <w:fldChar w:fldCharType="end"/>
          </w:r>
        </w:p>
        <w:p w14:paraId="37220D20">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"_Toc24914" </w:instrText>
          </w:r>
          <w:r>
            <w:rPr>
              <w:highlight w:val="none"/>
            </w:rPr>
            <w:fldChar w:fldCharType="separate"/>
          </w:r>
          <w:r>
            <w:rPr>
              <w:rFonts w:hint="eastAsia" w:hAnsi="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_Toc24914 \h </w:instrText>
          </w:r>
          <w:r>
            <w:rPr>
              <w:sz w:val="28"/>
              <w:szCs w:val="21"/>
              <w:highlight w:val="none"/>
            </w:rPr>
            <w:fldChar w:fldCharType="separate"/>
          </w:r>
          <w:r>
            <w:rPr>
              <w:sz w:val="28"/>
              <w:szCs w:val="21"/>
              <w:highlight w:val="none"/>
            </w:rPr>
            <w:t>34</w:t>
          </w:r>
          <w:r>
            <w:rPr>
              <w:sz w:val="28"/>
              <w:szCs w:val="21"/>
              <w:highlight w:val="none"/>
            </w:rPr>
            <w:fldChar w:fldCharType="end"/>
          </w:r>
          <w:r>
            <w:rPr>
              <w:sz w:val="28"/>
              <w:szCs w:val="21"/>
              <w:highlight w:val="none"/>
            </w:rPr>
            <w:fldChar w:fldCharType="end"/>
          </w:r>
        </w:p>
        <w:p w14:paraId="1544228A">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"_Toc2750" </w:instrText>
          </w:r>
          <w:r>
            <w:rPr>
              <w:highlight w:val="none"/>
            </w:rPr>
            <w:fldChar w:fldCharType="separate"/>
          </w:r>
          <w:r>
            <w:rPr>
              <w:rFonts w:hint="eastAsia" w:hAnsi="宋体" w:cs="宋体"/>
              <w:sz w:val="28"/>
              <w:szCs w:val="22"/>
              <w:highlight w:val="none"/>
            </w:rPr>
            <w:t xml:space="preserve">第六章 </w:t>
          </w:r>
          <w:r>
            <w:rPr>
              <w:rFonts w:hint="eastAsia" w:cs="宋体"/>
              <w:sz w:val="28"/>
              <w:szCs w:val="22"/>
              <w:highlight w:val="none"/>
            </w:rPr>
            <w:t xml:space="preserve"> </w:t>
          </w:r>
          <w:r>
            <w:rPr>
              <w:rFonts w:hint="eastAsia" w:hAnsi="宋体" w:cs="宋体"/>
              <w:sz w:val="28"/>
              <w:szCs w:val="22"/>
              <w:highlight w:val="none"/>
            </w:rPr>
            <w:t>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_Toc2750 \h </w:instrText>
          </w:r>
          <w:r>
            <w:rPr>
              <w:sz w:val="28"/>
              <w:szCs w:val="21"/>
              <w:highlight w:val="none"/>
            </w:rPr>
            <w:fldChar w:fldCharType="separate"/>
          </w:r>
          <w:r>
            <w:rPr>
              <w:sz w:val="28"/>
              <w:szCs w:val="21"/>
              <w:highlight w:val="none"/>
            </w:rPr>
            <w:t>37</w:t>
          </w:r>
          <w:r>
            <w:rPr>
              <w:sz w:val="28"/>
              <w:szCs w:val="21"/>
              <w:highlight w:val="none"/>
            </w:rPr>
            <w:fldChar w:fldCharType="end"/>
          </w:r>
          <w:r>
            <w:rPr>
              <w:sz w:val="28"/>
              <w:szCs w:val="21"/>
              <w:highlight w:val="none"/>
            </w:rPr>
            <w:fldChar w:fldCharType="end"/>
          </w:r>
        </w:p>
        <w:p w14:paraId="39406AD5">
          <w:pPr>
            <w:pStyle w:val="16"/>
            <w:tabs>
              <w:tab w:val="right" w:leader="dot" w:pos="8302"/>
            </w:tabs>
            <w:spacing w:line="360" w:lineRule="auto"/>
            <w:rPr>
              <w:rFonts w:hAnsi="宋体" w:cs="宋体"/>
              <w:bCs/>
              <w:sz w:val="36"/>
              <w:szCs w:val="36"/>
              <w:highlight w:val="none"/>
            </w:rPr>
          </w:pPr>
          <w:r>
            <w:rPr>
              <w:rFonts w:hint="eastAsia" w:hAnsi="宋体" w:cs="宋体"/>
              <w:bCs/>
              <w:sz w:val="28"/>
              <w:szCs w:val="40"/>
              <w:highlight w:val="none"/>
            </w:rPr>
            <w:fldChar w:fldCharType="end"/>
          </w:r>
        </w:p>
      </w:sdtContent>
    </w:sdt>
    <w:p w14:paraId="497E14AA">
      <w:pPr>
        <w:pStyle w:val="2"/>
        <w:spacing w:before="312" w:beforeLines="100"/>
        <w:jc w:val="center"/>
        <w:rPr>
          <w:rFonts w:ascii="宋体" w:eastAsia="宋体" w:cs="宋体"/>
          <w:bCs/>
          <w:sz w:val="36"/>
          <w:szCs w:val="36"/>
          <w:highlight w:val="none"/>
        </w:rPr>
        <w:sectPr>
          <w:footerReference r:id="rId9" w:type="first"/>
          <w:footerReference r:id="rId8" w:type="default"/>
          <w:pgSz w:w="11906" w:h="16838"/>
          <w:pgMar w:top="1418" w:right="1418" w:bottom="1418" w:left="1701" w:header="851" w:footer="992" w:gutter="0"/>
          <w:pgNumType w:fmt="decimal" w:start="1"/>
          <w:cols w:space="720" w:num="1"/>
          <w:titlePg/>
          <w:docGrid w:type="lines" w:linePitch="312" w:charSpace="0"/>
        </w:sectPr>
      </w:pPr>
      <w:bookmarkStart w:id="180" w:name="_GoBack"/>
      <w:bookmarkEnd w:id="180"/>
    </w:p>
    <w:p w14:paraId="5D5FF1E0">
      <w:pPr>
        <w:pStyle w:val="2"/>
        <w:keepNext w:val="0"/>
        <w:keepLines/>
        <w:pageBreakBefore/>
        <w:spacing w:before="156" w:beforeLines="50" w:after="156" w:afterLines="50" w:line="360" w:lineRule="auto"/>
        <w:jc w:val="center"/>
        <w:rPr>
          <w:rFonts w:ascii="宋体" w:eastAsia="宋体" w:cs="宋体"/>
          <w:bCs/>
          <w:sz w:val="36"/>
          <w:szCs w:val="36"/>
          <w:highlight w:val="none"/>
        </w:rPr>
      </w:pPr>
      <w:bookmarkStart w:id="12" w:name="_Toc2705"/>
      <w:bookmarkStart w:id="13" w:name="_Toc25782"/>
      <w:bookmarkStart w:id="14" w:name="_Toc30717"/>
      <w:bookmarkStart w:id="15" w:name="_Toc423973071"/>
      <w:r>
        <w:rPr>
          <w:rFonts w:hint="eastAsia" w:asci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sz w:val="36"/>
          <w:szCs w:val="36"/>
          <w:highlight w:val="none"/>
        </w:rPr>
        <w:t>竞争性磋商公告</w:t>
      </w:r>
      <w:bookmarkEnd w:id="8"/>
      <w:bookmarkEnd w:id="12"/>
      <w:bookmarkEnd w:id="13"/>
      <w:bookmarkEnd w:id="14"/>
      <w:bookmarkEnd w:id="15"/>
    </w:p>
    <w:p w14:paraId="5CD73965">
      <w:pPr>
        <w:pStyle w:val="41"/>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bookmarkStart w:id="16" w:name="_Toc2929"/>
      <w:bookmarkStart w:id="17" w:name="_Toc389582035"/>
      <w:bookmarkStart w:id="18" w:name="_Toc423973072"/>
      <w:bookmarkStart w:id="19" w:name="_Toc3334"/>
      <w:bookmarkStart w:id="20" w:name="_Toc14793"/>
      <w:bookmarkStart w:id="21" w:name="_Toc29249"/>
      <w:bookmarkStart w:id="22" w:name="_Toc4831"/>
      <w:r>
        <w:rPr>
          <w:rFonts w:hint="eastAsia" w:ascii="宋体" w:hAnsi="宋体" w:eastAsia="宋体" w:cs="宋体"/>
          <w:b/>
          <w:sz w:val="24"/>
          <w:szCs w:val="24"/>
        </w:rPr>
        <w:t>项目概况</w:t>
      </w:r>
    </w:p>
    <w:p w14:paraId="5C2D8379">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柞水县污水处理厂2025年药剂采购项目采购项目的潜在供应商应在陕西省西安市经济技术开发区未央路171-1号银池道拉斯财富中心21楼03室获取采购文件，并于2025年08月21日14时00分（北京时间）前提交响应文件。</w:t>
      </w:r>
    </w:p>
    <w:p w14:paraId="6E1E91F4">
      <w:pPr>
        <w:pStyle w:val="41"/>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655ABD22">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项目编号：SXZCZB2025-ZCCS-0814</w:t>
      </w:r>
    </w:p>
    <w:p w14:paraId="2F8271CE">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项目名称：柞水县污水处理厂2025年药剂采购项目</w:t>
      </w:r>
    </w:p>
    <w:p w14:paraId="7FC6F48C">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6E865AB6">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预算金额：625,818.00元</w:t>
      </w:r>
    </w:p>
    <w:p w14:paraId="259A9508">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0ADE6C8B">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合同包1(柞水县污水处理厂2025年药剂采购项目):</w:t>
      </w:r>
    </w:p>
    <w:p w14:paraId="664479EA">
      <w:pPr>
        <w:pStyle w:val="41"/>
        <w:keepNext w:val="0"/>
        <w:keepLines w:val="0"/>
        <w:pageBreakBefore w:val="0"/>
        <w:widowControl/>
        <w:kinsoku/>
        <w:wordWrap/>
        <w:overflowPunct/>
        <w:topLinePunct w:val="0"/>
        <w:autoSpaceDE/>
        <w:autoSpaceDN/>
        <w:bidi w:val="0"/>
        <w:adjustRightInd/>
        <w:snapToGrid/>
        <w:spacing w:line="360" w:lineRule="auto"/>
        <w:ind w:firstLine="630"/>
        <w:textAlignment w:val="auto"/>
        <w:rPr>
          <w:rFonts w:hint="eastAsia" w:ascii="宋体" w:hAnsi="宋体" w:eastAsia="宋体" w:cs="宋体"/>
          <w:sz w:val="24"/>
          <w:szCs w:val="24"/>
        </w:rPr>
      </w:pPr>
      <w:r>
        <w:rPr>
          <w:rFonts w:hint="eastAsia" w:ascii="宋体" w:hAnsi="宋体" w:eastAsia="宋体" w:cs="宋体"/>
          <w:sz w:val="24"/>
          <w:szCs w:val="24"/>
        </w:rPr>
        <w:t>合同包预算金额：625,818.00元</w:t>
      </w:r>
    </w:p>
    <w:p w14:paraId="57514DA8">
      <w:pPr>
        <w:pStyle w:val="41"/>
        <w:keepNext w:val="0"/>
        <w:keepLines w:val="0"/>
        <w:pageBreakBefore w:val="0"/>
        <w:widowControl/>
        <w:kinsoku/>
        <w:wordWrap/>
        <w:overflowPunct/>
        <w:topLinePunct w:val="0"/>
        <w:autoSpaceDE/>
        <w:autoSpaceDN/>
        <w:bidi w:val="0"/>
        <w:adjustRightInd/>
        <w:snapToGrid/>
        <w:spacing w:line="360" w:lineRule="auto"/>
        <w:ind w:firstLine="630"/>
        <w:textAlignment w:val="auto"/>
        <w:rPr>
          <w:rFonts w:hint="eastAsia" w:ascii="宋体" w:hAnsi="宋体" w:eastAsia="宋体" w:cs="宋体"/>
          <w:sz w:val="24"/>
          <w:szCs w:val="24"/>
        </w:rPr>
      </w:pPr>
      <w:r>
        <w:rPr>
          <w:rFonts w:hint="eastAsia" w:ascii="宋体" w:hAnsi="宋体" w:eastAsia="宋体" w:cs="宋体"/>
          <w:sz w:val="24"/>
          <w:szCs w:val="24"/>
        </w:rPr>
        <w:t>合同包最高限价：625,818.00元</w:t>
      </w:r>
    </w:p>
    <w:tbl>
      <w:tblPr>
        <w:tblStyle w:val="21"/>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26"/>
        <w:gridCol w:w="1626"/>
        <w:gridCol w:w="1626"/>
        <w:gridCol w:w="1626"/>
        <w:gridCol w:w="1626"/>
        <w:gridCol w:w="1664"/>
      </w:tblGrid>
      <w:tr w14:paraId="33767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pct"/>
            <w:vAlign w:val="center"/>
          </w:tcPr>
          <w:p w14:paraId="22B7AE2A">
            <w:pPr>
              <w:pStyle w:val="4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830" w:type="pct"/>
            <w:vAlign w:val="center"/>
          </w:tcPr>
          <w:p w14:paraId="381AE4B0">
            <w:pPr>
              <w:pStyle w:val="4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830" w:type="pct"/>
            <w:vAlign w:val="center"/>
          </w:tcPr>
          <w:p w14:paraId="606EC6A7">
            <w:pPr>
              <w:pStyle w:val="4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830" w:type="pct"/>
            <w:vAlign w:val="center"/>
          </w:tcPr>
          <w:p w14:paraId="1BED42C8">
            <w:pPr>
              <w:pStyle w:val="4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830" w:type="pct"/>
            <w:vAlign w:val="center"/>
          </w:tcPr>
          <w:p w14:paraId="05C02F80">
            <w:pPr>
              <w:pStyle w:val="4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849" w:type="pct"/>
            <w:vAlign w:val="center"/>
          </w:tcPr>
          <w:p w14:paraId="29B59E93">
            <w:pPr>
              <w:pStyle w:val="4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r>
      <w:tr w14:paraId="0A16D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pct"/>
            <w:vAlign w:val="center"/>
          </w:tcPr>
          <w:p w14:paraId="7C9E9A19">
            <w:pPr>
              <w:pStyle w:val="4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830" w:type="pct"/>
            <w:vAlign w:val="center"/>
          </w:tcPr>
          <w:p w14:paraId="14C2127D">
            <w:pPr>
              <w:pStyle w:val="4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化学试剂和助剂</w:t>
            </w:r>
          </w:p>
        </w:tc>
        <w:tc>
          <w:tcPr>
            <w:tcW w:w="830" w:type="pct"/>
            <w:vAlign w:val="center"/>
          </w:tcPr>
          <w:p w14:paraId="0313CA87">
            <w:pPr>
              <w:pStyle w:val="4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药剂</w:t>
            </w:r>
          </w:p>
        </w:tc>
        <w:tc>
          <w:tcPr>
            <w:tcW w:w="830" w:type="pct"/>
            <w:vAlign w:val="center"/>
          </w:tcPr>
          <w:p w14:paraId="2B6AE70D">
            <w:pPr>
              <w:pStyle w:val="4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1(批)</w:t>
            </w:r>
          </w:p>
        </w:tc>
        <w:tc>
          <w:tcPr>
            <w:tcW w:w="830" w:type="pct"/>
            <w:vAlign w:val="center"/>
          </w:tcPr>
          <w:p w14:paraId="502B12F8">
            <w:pPr>
              <w:pStyle w:val="4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849" w:type="pct"/>
            <w:vAlign w:val="center"/>
          </w:tcPr>
          <w:p w14:paraId="63106310">
            <w:pPr>
              <w:pStyle w:val="4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625,818.00</w:t>
            </w:r>
          </w:p>
        </w:tc>
      </w:tr>
    </w:tbl>
    <w:p w14:paraId="7FD4A64F">
      <w:pPr>
        <w:pStyle w:val="4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0731321E">
      <w:pPr>
        <w:pStyle w:val="4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合同履行期限：详见采购文件</w:t>
      </w:r>
    </w:p>
    <w:p w14:paraId="74301908">
      <w:pPr>
        <w:pStyle w:val="41"/>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4848F914">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4398B448">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6EADB924">
      <w:pPr>
        <w:pStyle w:val="4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合同包1(柞水县污水处理厂2025年药剂采购项目)落实政府采购政策需满足的资格要求如下:</w:t>
      </w:r>
    </w:p>
    <w:p w14:paraId="43E3704C">
      <w:pPr>
        <w:pStyle w:val="41"/>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 xml:space="preserve">（1）《政府采购促进中小企业发展管理办法》（财库〔2020〕46号）； </w:t>
      </w:r>
      <w:r>
        <w:rPr>
          <w:rFonts w:hint="eastAsia" w:ascii="宋体" w:hAnsi="宋体" w:eastAsia="宋体" w:cs="宋体"/>
          <w:sz w:val="24"/>
          <w:szCs w:val="24"/>
        </w:rPr>
        <w:br w:type="textWrapping"/>
      </w:r>
      <w:r>
        <w:rPr>
          <w:rFonts w:hint="eastAsia" w:ascii="宋体" w:hAnsi="宋体" w:eastAsia="宋体" w:cs="宋体"/>
          <w:sz w:val="24"/>
          <w:szCs w:val="24"/>
        </w:rPr>
        <w:t xml:space="preserve">（2）《财政部司法部关于政府采购支持监狱企业发展有关问题的通知》（财库〔2014〕68号）； </w:t>
      </w:r>
      <w:r>
        <w:rPr>
          <w:rFonts w:hint="eastAsia" w:ascii="宋体" w:hAnsi="宋体" w:eastAsia="宋体" w:cs="宋体"/>
          <w:sz w:val="24"/>
          <w:szCs w:val="24"/>
        </w:rPr>
        <w:br w:type="textWrapping"/>
      </w:r>
      <w:r>
        <w:rPr>
          <w:rFonts w:hint="eastAsia" w:ascii="宋体" w:hAnsi="宋体" w:eastAsia="宋体" w:cs="宋体"/>
          <w:sz w:val="24"/>
          <w:szCs w:val="24"/>
        </w:rPr>
        <w:t>（3）《关于促进残疾人就业政府采购政策的通知》（财库〔2017〕141号）；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 xml:space="preserve">（5）《环境标志产品政府采购实施的意见》（财库〔2006〕90号）； </w:t>
      </w:r>
      <w:r>
        <w:rPr>
          <w:rFonts w:hint="eastAsia" w:ascii="宋体" w:hAnsi="宋体" w:eastAsia="宋体" w:cs="宋体"/>
          <w:sz w:val="24"/>
          <w:szCs w:val="24"/>
        </w:rPr>
        <w:br w:type="textWrapping"/>
      </w:r>
      <w:r>
        <w:rPr>
          <w:rFonts w:hint="eastAsia" w:ascii="宋体" w:hAnsi="宋体" w:eastAsia="宋体" w:cs="宋体"/>
          <w:sz w:val="24"/>
          <w:szCs w:val="24"/>
        </w:rPr>
        <w:t xml:space="preserve">（6）《国务院办公厅关于建立政府强制采购节能产品制度的通知》（国办发〔2007〕51号）； </w:t>
      </w:r>
      <w:r>
        <w:rPr>
          <w:rFonts w:hint="eastAsia" w:ascii="宋体" w:hAnsi="宋体" w:eastAsia="宋体" w:cs="宋体"/>
          <w:sz w:val="24"/>
          <w:szCs w:val="24"/>
        </w:rPr>
        <w:br w:type="textWrapping"/>
      </w:r>
      <w:r>
        <w:rPr>
          <w:rFonts w:hint="eastAsia" w:ascii="宋体" w:hAnsi="宋体" w:eastAsia="宋体" w:cs="宋体"/>
          <w:sz w:val="24"/>
          <w:szCs w:val="24"/>
        </w:rPr>
        <w:t xml:space="preserve">（7）财政部发展改革委生态环境部市场监管总局关于调整优化节能产品、环境标志产品政府采购执行机制的通知（财库〔2019〕9 号）； </w:t>
      </w:r>
      <w:r>
        <w:rPr>
          <w:rFonts w:hint="eastAsia" w:ascii="宋体" w:hAnsi="宋体" w:eastAsia="宋体" w:cs="宋体"/>
          <w:sz w:val="24"/>
          <w:szCs w:val="24"/>
        </w:rPr>
        <w:br w:type="textWrapping"/>
      </w:r>
      <w:r>
        <w:rPr>
          <w:rFonts w:hint="eastAsia" w:ascii="宋体" w:hAnsi="宋体" w:eastAsia="宋体" w:cs="宋体"/>
          <w:sz w:val="24"/>
          <w:szCs w:val="24"/>
        </w:rPr>
        <w:t xml:space="preserve">（8）《关于印发环境标志产品政府采购品目清单的通知》--（财库〔2019〕18号）； </w:t>
      </w:r>
      <w:r>
        <w:rPr>
          <w:rFonts w:hint="eastAsia" w:ascii="宋体" w:hAnsi="宋体" w:eastAsia="宋体" w:cs="宋体"/>
          <w:sz w:val="24"/>
          <w:szCs w:val="24"/>
        </w:rPr>
        <w:br w:type="textWrapping"/>
      </w:r>
      <w:r>
        <w:rPr>
          <w:rFonts w:hint="eastAsia" w:ascii="宋体" w:hAnsi="宋体" w:eastAsia="宋体" w:cs="宋体"/>
          <w:sz w:val="24"/>
          <w:szCs w:val="24"/>
        </w:rPr>
        <w:t xml:space="preserve">（9）《关于印发节能产品政府采购品目清单的通知》--（财库〔2019〕19号）； </w:t>
      </w:r>
      <w:r>
        <w:rPr>
          <w:rFonts w:hint="eastAsia" w:ascii="宋体" w:hAnsi="宋体" w:eastAsia="宋体" w:cs="宋体"/>
          <w:sz w:val="24"/>
          <w:szCs w:val="24"/>
        </w:rPr>
        <w:br w:type="textWrapping"/>
      </w:r>
      <w:r>
        <w:rPr>
          <w:rFonts w:hint="eastAsia" w:ascii="宋体" w:hAnsi="宋体" w:eastAsia="宋体" w:cs="宋体"/>
          <w:sz w:val="24"/>
          <w:szCs w:val="24"/>
        </w:rPr>
        <w:t xml:space="preserve">（10）《市场监管总局关于发布参与实施政府采购节能产品、环境标志产品认证机构名录的公告》—2019年第16号； </w:t>
      </w:r>
      <w:r>
        <w:rPr>
          <w:rFonts w:hint="eastAsia" w:ascii="宋体" w:hAnsi="宋体" w:eastAsia="宋体" w:cs="宋体"/>
          <w:sz w:val="24"/>
          <w:szCs w:val="24"/>
        </w:rPr>
        <w:br w:type="textWrapping"/>
      </w:r>
      <w:r>
        <w:rPr>
          <w:rFonts w:hint="eastAsia" w:ascii="宋体" w:hAnsi="宋体" w:eastAsia="宋体" w:cs="宋体"/>
          <w:sz w:val="24"/>
          <w:szCs w:val="24"/>
        </w:rPr>
        <w:t xml:space="preserve">（11）《关于运用政府采购政策支持乡村产业振兴的通知》（财库〔2021〕19号）； </w:t>
      </w:r>
      <w:r>
        <w:rPr>
          <w:rFonts w:hint="eastAsia" w:ascii="宋体" w:hAnsi="宋体" w:eastAsia="宋体" w:cs="宋体"/>
          <w:sz w:val="24"/>
          <w:szCs w:val="24"/>
        </w:rPr>
        <w:br w:type="textWrapping"/>
      </w:r>
      <w:r>
        <w:rPr>
          <w:rFonts w:hint="eastAsia" w:ascii="宋体" w:hAnsi="宋体" w:eastAsia="宋体" w:cs="宋体"/>
          <w:sz w:val="24"/>
          <w:szCs w:val="24"/>
        </w:rPr>
        <w:t>（12）陕西省财政厅关于印发《陕西省中小企业政府采购信用融资办法》（陕财办采〔2018〕23号），相关政策、业务流程、办理 平台（详见http://www.ccgp-shaanxi.gov.cn/zcd</w:t>
      </w:r>
      <w:r>
        <w:rPr>
          <w:rFonts w:hint="eastAsia" w:ascii="宋体" w:hAnsi="宋体" w:eastAsia="宋体" w:cs="宋体"/>
          <w:sz w:val="24"/>
          <w:szCs w:val="24"/>
        </w:rPr>
        <w:br w:type="textWrapping"/>
      </w:r>
      <w:r>
        <w:rPr>
          <w:rFonts w:hint="eastAsia" w:ascii="宋体" w:hAnsi="宋体" w:eastAsia="宋体" w:cs="宋体"/>
          <w:sz w:val="24"/>
          <w:szCs w:val="24"/>
        </w:rPr>
        <w:t xml:space="preserve">service/zcd/shanxi/）； </w:t>
      </w:r>
      <w:r>
        <w:rPr>
          <w:rFonts w:hint="eastAsia" w:ascii="宋体" w:hAnsi="宋体" w:eastAsia="宋体" w:cs="宋体"/>
          <w:sz w:val="24"/>
          <w:szCs w:val="24"/>
        </w:rPr>
        <w:br w:type="textWrapping"/>
      </w:r>
      <w:r>
        <w:rPr>
          <w:rFonts w:hint="eastAsia" w:ascii="宋体" w:hAnsi="宋体" w:eastAsia="宋体" w:cs="宋体"/>
          <w:sz w:val="24"/>
          <w:szCs w:val="24"/>
        </w:rPr>
        <w:t xml:space="preserve">（13）《陕西省财政厅关于加快推进我省中小企业政府采购信用融资工作的通知》（陕财办采〔2020〕15号）； </w:t>
      </w:r>
      <w:r>
        <w:rPr>
          <w:rFonts w:hint="eastAsia" w:ascii="宋体" w:hAnsi="宋体" w:eastAsia="宋体" w:cs="宋体"/>
          <w:sz w:val="24"/>
          <w:szCs w:val="24"/>
        </w:rPr>
        <w:br w:type="textWrapping"/>
      </w:r>
      <w:r>
        <w:rPr>
          <w:rFonts w:hint="eastAsia" w:ascii="宋体" w:hAnsi="宋体" w:eastAsia="宋体" w:cs="宋体"/>
          <w:sz w:val="24"/>
          <w:szCs w:val="24"/>
        </w:rPr>
        <w:t xml:space="preserve">（14）《关于进一步加强政府绿色采购有关问题的通知》（陕财办采〔2021〕29号）； </w:t>
      </w:r>
      <w:r>
        <w:rPr>
          <w:rFonts w:hint="eastAsia" w:ascii="宋体" w:hAnsi="宋体" w:eastAsia="宋体" w:cs="宋体"/>
          <w:sz w:val="24"/>
          <w:szCs w:val="24"/>
        </w:rPr>
        <w:br w:type="textWrapping"/>
      </w:r>
      <w:r>
        <w:rPr>
          <w:rFonts w:hint="eastAsia" w:ascii="宋体" w:hAnsi="宋体" w:eastAsia="宋体" w:cs="宋体"/>
          <w:sz w:val="24"/>
          <w:szCs w:val="24"/>
        </w:rPr>
        <w:t xml:space="preserve">（15）《陕西省财政厅陕西省工业和信息化厅关于运用政府采购政策支持首台（套）及创新产品有关事项的通知》（陕财办采〔2021〕17号）； </w:t>
      </w:r>
      <w:r>
        <w:rPr>
          <w:rFonts w:hint="eastAsia" w:ascii="宋体" w:hAnsi="宋体" w:eastAsia="宋体" w:cs="宋体"/>
          <w:sz w:val="24"/>
          <w:szCs w:val="24"/>
        </w:rPr>
        <w:br w:type="textWrapping"/>
      </w:r>
      <w:r>
        <w:rPr>
          <w:rFonts w:hint="eastAsia" w:ascii="宋体" w:hAnsi="宋体" w:eastAsia="宋体" w:cs="宋体"/>
          <w:sz w:val="24"/>
          <w:szCs w:val="24"/>
        </w:rPr>
        <w:t xml:space="preserve">（16）《关于进一步加大政府采购支持中小企业力度的通知》（财库〔2022〕19号）、《关于落实政府采购支持中小企业政策有关 事项的通知》（陕财办采函〔2022〕10号）； </w:t>
      </w:r>
      <w:r>
        <w:rPr>
          <w:rFonts w:hint="eastAsia" w:ascii="宋体" w:hAnsi="宋体" w:eastAsia="宋体" w:cs="宋体"/>
          <w:sz w:val="24"/>
          <w:szCs w:val="24"/>
        </w:rPr>
        <w:br w:type="textWrapping"/>
      </w:r>
      <w:r>
        <w:rPr>
          <w:rFonts w:hint="eastAsia" w:ascii="宋体" w:hAnsi="宋体" w:eastAsia="宋体" w:cs="宋体"/>
          <w:sz w:val="24"/>
          <w:szCs w:val="24"/>
        </w:rPr>
        <w:t>（17）其他需要落实的政府采购政策。</w:t>
      </w:r>
    </w:p>
    <w:p w14:paraId="2C1BA633">
      <w:pPr>
        <w:pStyle w:val="4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4B5875C4">
      <w:pPr>
        <w:pStyle w:val="4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合同包1(柞水县污水处理厂2025年药剂采购项目)特定资格要求如下:</w:t>
      </w:r>
    </w:p>
    <w:p w14:paraId="09A2AABB">
      <w:pPr>
        <w:pStyle w:val="41"/>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2、提供法定代表人授权书（附法定代表人、被授权人身份证复印件），（法定代表人直接参加磋商，须提供法定代表人身份证明）；</w:t>
      </w:r>
      <w:r>
        <w:rPr>
          <w:rFonts w:hint="eastAsia" w:ascii="宋体" w:hAnsi="宋体" w:eastAsia="宋体" w:cs="宋体"/>
          <w:sz w:val="24"/>
          <w:szCs w:val="24"/>
        </w:rPr>
        <w:br w:type="textWrapping"/>
      </w:r>
      <w:r>
        <w:rPr>
          <w:rFonts w:hint="eastAsia" w:ascii="宋体" w:hAnsi="宋体" w:eastAsia="宋体" w:cs="宋体"/>
          <w:sz w:val="24"/>
          <w:szCs w:val="24"/>
        </w:rPr>
        <w:t>3、财务状况报告：提供2024年度的财务审计报告（至少包括资产负债表和利润表，成立时间至提交磋商响应文件截止时间不足一年的可提供成立后任意时段的资产负债表），或开标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4、税收缴纳证明：提供磋商截止日前一年内已缴纳的至少一个月的纳税证明或完税证明（任意税种），依法免税的单位应提供相关证明材料；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5、社会保障资金缴纳证明：提供磋商截止日前一年内已缴存的至少一个月的社会保障资金缴存单据或社保机构开具的社会保险参保缴费情况证明，依法不需要缴纳社会保障资金的单位应提供相关证明材料；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6、提供具有履行本合同所必需的设备和专业技术能力的说明及承诺书；</w:t>
      </w:r>
      <w:r>
        <w:rPr>
          <w:rFonts w:hint="eastAsia" w:ascii="宋体" w:hAnsi="宋体" w:eastAsia="宋体" w:cs="宋体"/>
          <w:sz w:val="24"/>
          <w:szCs w:val="24"/>
        </w:rPr>
        <w:br w:type="textWrapping"/>
      </w:r>
      <w:r>
        <w:rPr>
          <w:rFonts w:hint="eastAsia" w:ascii="宋体" w:hAnsi="宋体" w:eastAsia="宋体" w:cs="宋体"/>
          <w:sz w:val="24"/>
          <w:szCs w:val="24"/>
        </w:rPr>
        <w:t>7、供应商应通过“信用中国”网站(www.creditchina.gov.cn)、中国政府采购网(www.ccgp.gov.cn)查询相关主体信用记录；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8、参加政府采购活动前3年内，在经营活动中没有重大违法记录的书面声明；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9、供应商须提供《危险化学品经营许可证》；</w:t>
      </w:r>
      <w:r>
        <w:rPr>
          <w:rFonts w:hint="eastAsia" w:ascii="宋体" w:hAnsi="宋体" w:eastAsia="宋体" w:cs="宋体"/>
          <w:sz w:val="24"/>
          <w:szCs w:val="24"/>
        </w:rPr>
        <w:br w:type="textWrapping"/>
      </w:r>
      <w:r>
        <w:rPr>
          <w:rFonts w:hint="eastAsia" w:ascii="宋体" w:hAnsi="宋体" w:eastAsia="宋体" w:cs="宋体"/>
          <w:sz w:val="24"/>
          <w:szCs w:val="24"/>
        </w:rPr>
        <w:t>10、供应商须提供中小企业声明函；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11、本项目不接受联合体磋商。</w:t>
      </w:r>
    </w:p>
    <w:p w14:paraId="3683B597">
      <w:pPr>
        <w:pStyle w:val="41"/>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282334C8">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时间：2025年08月11日至2025年08月15日，每天上午09:00:00至12:00:00，下午14:00:00至17:00:00（北京时间）</w:t>
      </w:r>
    </w:p>
    <w:p w14:paraId="13088774">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途径：陕西省西安市经济技术开发区未央路171-1号银池道拉斯财富中心21楼03室</w:t>
      </w:r>
    </w:p>
    <w:p w14:paraId="087951F4">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7BA6A7CF">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71BDEF14">
      <w:pPr>
        <w:pStyle w:val="41"/>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35D92402">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截止时间：2025年08月21日14时00分00秒 （北京时间）</w:t>
      </w:r>
    </w:p>
    <w:p w14:paraId="2F529396">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地点：陕西省西安市经济技术开发区未央路171-1号银池道拉斯财富中心21楼03室</w:t>
      </w:r>
    </w:p>
    <w:p w14:paraId="5266E773">
      <w:pPr>
        <w:pStyle w:val="41"/>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4DE0C86F">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时间：2025年08月21日14时00分00秒（北京时间）</w:t>
      </w:r>
    </w:p>
    <w:p w14:paraId="06532E05">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地点：陕西省西安市经济技术开发区未央路171-1号银池道拉斯财富中心21楼03室</w:t>
      </w:r>
    </w:p>
    <w:p w14:paraId="607B760C">
      <w:pPr>
        <w:pStyle w:val="41"/>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5FB111FF">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273AEB23">
      <w:pPr>
        <w:pStyle w:val="41"/>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5DADB04B">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（1）供应商领取采购文件时，请携带单位介绍信及经办人身份证原件及复印件加盖公章；</w:t>
      </w:r>
    </w:p>
    <w:p w14:paraId="2BD37D17">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（2）供应商按照《陕西省财政厅关于政府采购供应商注册登记有关事项的通知》中的要求，通过陕西省政府采购网（http://www.ccgp-shaanxi.gov.cn/）注册登记加入陕西省政府采购供应商库；</w:t>
      </w:r>
    </w:p>
    <w:p w14:paraId="2551C36E">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（3）本项目专门面向中小企业采购。</w:t>
      </w:r>
    </w:p>
    <w:p w14:paraId="2AEB3044">
      <w:pPr>
        <w:pStyle w:val="41"/>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63FE3646">
      <w:pPr>
        <w:pStyle w:val="41"/>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287BD3C1">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名称：柞水县城市管理局</w:t>
      </w:r>
    </w:p>
    <w:p w14:paraId="69A09931">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地址：柞水县乾佑镇石镇社区湾潭子</w:t>
      </w:r>
    </w:p>
    <w:p w14:paraId="666D3C2B">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联系方式：0914-4343091</w:t>
      </w:r>
    </w:p>
    <w:p w14:paraId="6B3697EE">
      <w:pPr>
        <w:pStyle w:val="41"/>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0DE1B431">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名称：陕西至诚项目管理集团有限公司</w:t>
      </w:r>
    </w:p>
    <w:p w14:paraId="62EDADA1">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地址：陕西省西安市经济技术开发区未央路171-1号银池道拉斯财富中心21楼03室</w:t>
      </w:r>
    </w:p>
    <w:p w14:paraId="6396EF25">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联系方式：029-88219779</w:t>
      </w:r>
    </w:p>
    <w:p w14:paraId="5268FBF1">
      <w:pPr>
        <w:pStyle w:val="41"/>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0D586310">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项目联系人：康乐、孙洋、常瑛</w:t>
      </w:r>
    </w:p>
    <w:p w14:paraId="53FC25A0">
      <w:pPr>
        <w:pStyle w:val="4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电话：029-88219779</w:t>
      </w:r>
    </w:p>
    <w:p w14:paraId="1B3E4ACD">
      <w:pPr>
        <w:pStyle w:val="4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44F4D85B">
      <w:pPr>
        <w:pStyle w:val="4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198D7A11">
      <w:pPr>
        <w:pStyle w:val="41"/>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陕西至诚项目管理集团有限公司</w:t>
      </w:r>
    </w:p>
    <w:p w14:paraId="47AD6F01">
      <w:pPr>
        <w:pStyle w:val="41"/>
        <w:keepNext w:val="0"/>
        <w:keepLines w:val="0"/>
        <w:pageBreakBefore w:val="0"/>
        <w:widowControl/>
        <w:kinsoku/>
        <w:wordWrap/>
        <w:overflowPunct/>
        <w:topLinePunct w:val="0"/>
        <w:autoSpaceDE/>
        <w:autoSpaceDN/>
        <w:bidi w:val="0"/>
        <w:adjustRightInd/>
        <w:snapToGrid/>
        <w:spacing w:line="360" w:lineRule="auto"/>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2025年08月08日</w:t>
      </w:r>
    </w:p>
    <w:p w14:paraId="21B53587">
      <w:pPr>
        <w:rPr>
          <w:rFonts w:hint="eastAsia" w:hAnsi="宋体" w:cs="宋体"/>
          <w:b/>
          <w:bCs/>
          <w:kern w:val="2"/>
          <w:sz w:val="36"/>
          <w:szCs w:val="36"/>
          <w:highlight w:val="none"/>
        </w:rPr>
      </w:pPr>
      <w:r>
        <w:rPr>
          <w:rFonts w:hint="eastAsia" w:hAnsi="宋体" w:cs="宋体"/>
          <w:b/>
          <w:bCs/>
          <w:kern w:val="2"/>
          <w:sz w:val="36"/>
          <w:szCs w:val="36"/>
          <w:highlight w:val="none"/>
        </w:rPr>
        <w:br w:type="page"/>
      </w:r>
    </w:p>
    <w:p w14:paraId="58FBDB3C">
      <w:pPr>
        <w:spacing w:line="348" w:lineRule="auto"/>
        <w:ind w:right="119"/>
        <w:jc w:val="center"/>
        <w:outlineLvl w:val="0"/>
        <w:rPr>
          <w:rFonts w:hAnsi="宋体" w:cs="宋体"/>
          <w:bCs/>
          <w:sz w:val="36"/>
          <w:szCs w:val="36"/>
          <w:highlight w:val="none"/>
        </w:rPr>
      </w:pPr>
      <w:r>
        <w:rPr>
          <w:rFonts w:hint="eastAsia" w:hAnsi="宋体" w:cs="宋体"/>
          <w:b/>
          <w:bCs/>
          <w:kern w:val="2"/>
          <w:sz w:val="36"/>
          <w:szCs w:val="36"/>
          <w:highlight w:val="none"/>
        </w:rPr>
        <w:t xml:space="preserve">第二章  </w:t>
      </w:r>
      <w:bookmarkEnd w:id="16"/>
      <w:bookmarkEnd w:id="17"/>
      <w:bookmarkStart w:id="23" w:name="OLE_LINK3"/>
      <w:r>
        <w:rPr>
          <w:rFonts w:hint="eastAsia" w:hAnsi="宋体" w:cs="宋体"/>
          <w:b/>
          <w:bCs/>
          <w:kern w:val="2"/>
          <w:sz w:val="36"/>
          <w:szCs w:val="36"/>
          <w:highlight w:val="none"/>
        </w:rPr>
        <w:t>供应商须知</w:t>
      </w:r>
      <w:bookmarkEnd w:id="18"/>
      <w:bookmarkEnd w:id="19"/>
      <w:bookmarkEnd w:id="20"/>
      <w:bookmarkEnd w:id="21"/>
      <w:bookmarkEnd w:id="22"/>
      <w:bookmarkEnd w:id="23"/>
    </w:p>
    <w:p w14:paraId="3D186FB5">
      <w:pPr>
        <w:spacing w:line="440" w:lineRule="exact"/>
        <w:ind w:firstLine="3534" w:firstLineChars="1100"/>
        <w:outlineLvl w:val="1"/>
        <w:rPr>
          <w:rFonts w:hAnsi="宋体" w:cs="宋体"/>
          <w:b/>
          <w:bCs/>
          <w:sz w:val="32"/>
          <w:szCs w:val="32"/>
          <w:highlight w:val="none"/>
        </w:rPr>
      </w:pPr>
      <w:bookmarkStart w:id="24" w:name="_Toc16830"/>
      <w:bookmarkStart w:id="25" w:name="_Toc18299"/>
      <w:bookmarkStart w:id="26" w:name="_Toc8846"/>
      <w:bookmarkStart w:id="27" w:name="_Toc23180"/>
      <w:r>
        <w:rPr>
          <w:rFonts w:hint="eastAsia" w:hAnsi="宋体" w:cs="宋体"/>
          <w:b/>
          <w:bCs/>
          <w:sz w:val="32"/>
          <w:szCs w:val="32"/>
          <w:highlight w:val="none"/>
        </w:rPr>
        <w:t>供应商须知前附表</w:t>
      </w:r>
      <w:bookmarkEnd w:id="24"/>
      <w:bookmarkEnd w:id="25"/>
      <w:bookmarkEnd w:id="26"/>
      <w:bookmarkEnd w:id="27"/>
    </w:p>
    <w:p w14:paraId="493438BE">
      <w:pPr>
        <w:spacing w:line="440" w:lineRule="exact"/>
        <w:ind w:firstLine="480" w:firstLineChars="200"/>
        <w:rPr>
          <w:rFonts w:hAnsi="宋体" w:cs="宋体"/>
          <w:szCs w:val="24"/>
          <w:highlight w:val="none"/>
        </w:rPr>
      </w:pPr>
      <w:r>
        <w:rPr>
          <w:rFonts w:hint="eastAsia" w:hAnsi="宋体" w:cs="宋体"/>
          <w:szCs w:val="24"/>
          <w:highlight w:val="none"/>
        </w:rPr>
        <w:t>本表是对供应商须知的具体补充和修改，如有矛盾，应以本资料表为准。</w:t>
      </w:r>
    </w:p>
    <w:tbl>
      <w:tblPr>
        <w:tblStyle w:val="2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566F3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1B638B85">
            <w:pPr>
              <w:spacing w:before="156" w:beforeLines="50" w:line="360" w:lineRule="auto"/>
              <w:jc w:val="center"/>
              <w:rPr>
                <w:rFonts w:hAnsi="宋体" w:cs="宋体"/>
                <w:b/>
                <w:szCs w:val="24"/>
                <w:highlight w:val="none"/>
              </w:rPr>
            </w:pPr>
            <w:r>
              <w:rPr>
                <w:rFonts w:hint="eastAsia" w:hAnsi="宋体" w:cs="宋体"/>
                <w:b/>
                <w:szCs w:val="24"/>
                <w:highlight w:val="none"/>
              </w:rPr>
              <w:t>序号</w:t>
            </w:r>
          </w:p>
        </w:tc>
        <w:tc>
          <w:tcPr>
            <w:tcW w:w="951" w:type="dxa"/>
            <w:vAlign w:val="center"/>
          </w:tcPr>
          <w:p w14:paraId="37B52F2F">
            <w:pPr>
              <w:spacing w:before="156" w:beforeLines="50" w:line="360" w:lineRule="auto"/>
              <w:jc w:val="center"/>
              <w:rPr>
                <w:rFonts w:hAnsi="宋体" w:cs="宋体"/>
                <w:b/>
                <w:szCs w:val="24"/>
                <w:highlight w:val="none"/>
              </w:rPr>
            </w:pPr>
            <w:r>
              <w:rPr>
                <w:rFonts w:hint="eastAsia" w:hAnsi="宋体" w:cs="宋体"/>
                <w:b/>
                <w:szCs w:val="24"/>
                <w:highlight w:val="none"/>
              </w:rPr>
              <w:t>条款号</w:t>
            </w:r>
          </w:p>
        </w:tc>
        <w:tc>
          <w:tcPr>
            <w:tcW w:w="7354" w:type="dxa"/>
          </w:tcPr>
          <w:p w14:paraId="66AA54B1">
            <w:pPr>
              <w:spacing w:before="156" w:beforeLines="50" w:line="360" w:lineRule="auto"/>
              <w:jc w:val="center"/>
              <w:rPr>
                <w:rFonts w:hAnsi="宋体" w:cs="宋体"/>
                <w:b/>
                <w:szCs w:val="24"/>
                <w:highlight w:val="none"/>
              </w:rPr>
            </w:pPr>
            <w:r>
              <w:rPr>
                <w:rFonts w:hint="eastAsia" w:hAnsi="宋体" w:cs="宋体"/>
                <w:b/>
                <w:szCs w:val="24"/>
                <w:highlight w:val="none"/>
              </w:rPr>
              <w:t xml:space="preserve">编 列 内 容 </w:t>
            </w:r>
          </w:p>
        </w:tc>
      </w:tr>
      <w:tr w14:paraId="4314E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13482C60">
            <w:pPr>
              <w:spacing w:line="360" w:lineRule="auto"/>
              <w:jc w:val="center"/>
              <w:rPr>
                <w:rFonts w:hAnsi="宋体" w:cs="宋体"/>
                <w:szCs w:val="24"/>
                <w:highlight w:val="none"/>
              </w:rPr>
            </w:pPr>
            <w:r>
              <w:rPr>
                <w:rFonts w:hint="eastAsia" w:hAnsi="宋体" w:cs="宋体"/>
                <w:szCs w:val="24"/>
                <w:highlight w:val="none"/>
              </w:rPr>
              <w:t>1</w:t>
            </w:r>
          </w:p>
        </w:tc>
        <w:tc>
          <w:tcPr>
            <w:tcW w:w="951" w:type="dxa"/>
            <w:vAlign w:val="center"/>
          </w:tcPr>
          <w:p w14:paraId="15A3DEDA">
            <w:pPr>
              <w:spacing w:line="360" w:lineRule="auto"/>
              <w:jc w:val="center"/>
              <w:rPr>
                <w:rFonts w:hAnsi="宋体" w:cs="宋体"/>
                <w:szCs w:val="24"/>
                <w:highlight w:val="none"/>
              </w:rPr>
            </w:pPr>
            <w:r>
              <w:rPr>
                <w:rFonts w:hint="eastAsia" w:hAnsi="宋体" w:cs="宋体"/>
                <w:szCs w:val="24"/>
                <w:highlight w:val="none"/>
              </w:rPr>
              <w:t>2.3</w:t>
            </w:r>
          </w:p>
        </w:tc>
        <w:tc>
          <w:tcPr>
            <w:tcW w:w="7354" w:type="dxa"/>
          </w:tcPr>
          <w:p w14:paraId="5C1B5E1A">
            <w:pPr>
              <w:spacing w:line="360" w:lineRule="auto"/>
              <w:rPr>
                <w:rFonts w:hAnsi="宋体" w:cs="宋体"/>
                <w:szCs w:val="24"/>
                <w:highlight w:val="none"/>
              </w:rPr>
            </w:pPr>
            <w:r>
              <w:rPr>
                <w:rFonts w:hint="eastAsia" w:hAnsi="宋体" w:cs="宋体"/>
                <w:szCs w:val="24"/>
                <w:highlight w:val="none"/>
              </w:rPr>
              <w:t>采购代理机构：陕西至诚项目管理集团有限公司</w:t>
            </w:r>
          </w:p>
          <w:p w14:paraId="6365E81A">
            <w:pPr>
              <w:pStyle w:val="19"/>
              <w:spacing w:before="0" w:beforeAutospacing="0" w:after="0" w:afterAutospacing="0" w:line="360" w:lineRule="auto"/>
              <w:jc w:val="both"/>
              <w:rPr>
                <w:rFonts w:hint="default" w:eastAsia="宋体" w:cs="宋体"/>
                <w:highlight w:val="none"/>
                <w:lang w:val="en-US" w:eastAsia="zh-CN"/>
              </w:rPr>
            </w:pPr>
            <w:r>
              <w:rPr>
                <w:rFonts w:hint="eastAsia" w:hAnsi="宋体" w:cs="宋体"/>
                <w:szCs w:val="24"/>
                <w:highlight w:val="none"/>
              </w:rPr>
              <w:t>地        址：</w:t>
            </w:r>
            <w:r>
              <w:rPr>
                <w:rFonts w:hint="eastAsia" w:cs="宋体"/>
                <w:highlight w:val="none"/>
                <w:shd w:val="clear" w:color="auto" w:fill="FFFFFF"/>
              </w:rPr>
              <w:t>陕西省西安市经济技术开发区未央路171-1号银池道拉斯财富中心21楼</w:t>
            </w:r>
            <w:r>
              <w:rPr>
                <w:rFonts w:hint="eastAsia" w:cs="宋体"/>
                <w:highlight w:val="none"/>
                <w:shd w:val="clear" w:color="auto" w:fill="FFFFFF"/>
                <w:lang w:val="en-US" w:eastAsia="zh-CN"/>
              </w:rPr>
              <w:t>03室</w:t>
            </w:r>
          </w:p>
          <w:p w14:paraId="40D74904">
            <w:pPr>
              <w:spacing w:line="360" w:lineRule="auto"/>
              <w:rPr>
                <w:rFonts w:hAnsi="宋体" w:cs="宋体"/>
                <w:szCs w:val="24"/>
                <w:highlight w:val="none"/>
              </w:rPr>
            </w:pPr>
            <w:r>
              <w:rPr>
                <w:rFonts w:hint="eastAsia" w:hAnsi="宋体" w:cs="宋体"/>
                <w:szCs w:val="24"/>
                <w:highlight w:val="none"/>
              </w:rPr>
              <w:t>邮        编：710021</w:t>
            </w:r>
          </w:p>
          <w:p w14:paraId="2F5725D2">
            <w:pPr>
              <w:spacing w:line="360" w:lineRule="auto"/>
              <w:rPr>
                <w:rFonts w:hAnsi="宋体" w:cs="宋体"/>
                <w:szCs w:val="24"/>
                <w:highlight w:val="none"/>
              </w:rPr>
            </w:pPr>
            <w:r>
              <w:rPr>
                <w:rFonts w:hint="eastAsia" w:hAnsi="宋体" w:cs="宋体"/>
                <w:szCs w:val="24"/>
                <w:highlight w:val="none"/>
              </w:rPr>
              <w:t>电        话：029-88219779</w:t>
            </w:r>
          </w:p>
          <w:p w14:paraId="4C9F690F">
            <w:pPr>
              <w:spacing w:line="360" w:lineRule="auto"/>
              <w:rPr>
                <w:rFonts w:hAnsi="宋体" w:cs="宋体"/>
                <w:szCs w:val="24"/>
                <w:highlight w:val="none"/>
              </w:rPr>
            </w:pPr>
            <w:r>
              <w:rPr>
                <w:rFonts w:hint="eastAsia" w:hAnsi="宋体" w:cs="宋体"/>
                <w:szCs w:val="24"/>
                <w:highlight w:val="none"/>
              </w:rPr>
              <w:t>传        真：/</w:t>
            </w:r>
          </w:p>
        </w:tc>
      </w:tr>
      <w:tr w14:paraId="777C7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73F9F082">
            <w:pPr>
              <w:spacing w:line="360" w:lineRule="auto"/>
              <w:jc w:val="center"/>
              <w:rPr>
                <w:rFonts w:hAnsi="宋体" w:cs="宋体"/>
                <w:szCs w:val="24"/>
                <w:highlight w:val="none"/>
              </w:rPr>
            </w:pPr>
            <w:r>
              <w:rPr>
                <w:rFonts w:hint="eastAsia" w:hAnsi="宋体" w:cs="宋体"/>
                <w:szCs w:val="24"/>
                <w:highlight w:val="none"/>
              </w:rPr>
              <w:t>2</w:t>
            </w:r>
          </w:p>
        </w:tc>
        <w:tc>
          <w:tcPr>
            <w:tcW w:w="951" w:type="dxa"/>
            <w:vAlign w:val="center"/>
          </w:tcPr>
          <w:p w14:paraId="3C810F87">
            <w:pPr>
              <w:spacing w:line="360" w:lineRule="auto"/>
              <w:jc w:val="center"/>
              <w:rPr>
                <w:rFonts w:hAnsi="宋体" w:cs="宋体"/>
                <w:szCs w:val="24"/>
                <w:highlight w:val="none"/>
              </w:rPr>
            </w:pPr>
            <w:r>
              <w:rPr>
                <w:rFonts w:hint="eastAsia" w:hAnsi="宋体" w:cs="宋体"/>
                <w:szCs w:val="24"/>
                <w:highlight w:val="none"/>
              </w:rPr>
              <w:t>3.6</w:t>
            </w:r>
          </w:p>
        </w:tc>
        <w:tc>
          <w:tcPr>
            <w:tcW w:w="7354" w:type="dxa"/>
            <w:vAlign w:val="center"/>
          </w:tcPr>
          <w:p w14:paraId="73A0330B">
            <w:pPr>
              <w:spacing w:line="360" w:lineRule="auto"/>
              <w:rPr>
                <w:rFonts w:hAnsi="宋体" w:cs="宋体"/>
                <w:szCs w:val="24"/>
                <w:highlight w:val="none"/>
              </w:rPr>
            </w:pPr>
            <w:r>
              <w:rPr>
                <w:rFonts w:hint="eastAsia" w:hAnsi="宋体" w:cs="宋体"/>
                <w:szCs w:val="24"/>
                <w:highlight w:val="none"/>
              </w:rPr>
              <w:t>本项目不接受联合体磋商。</w:t>
            </w:r>
          </w:p>
        </w:tc>
      </w:tr>
      <w:tr w14:paraId="65E0A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2F8460C7">
            <w:pPr>
              <w:spacing w:line="360" w:lineRule="auto"/>
              <w:jc w:val="center"/>
              <w:rPr>
                <w:rFonts w:hAnsi="宋体" w:cs="宋体"/>
                <w:szCs w:val="24"/>
                <w:highlight w:val="none"/>
              </w:rPr>
            </w:pPr>
            <w:r>
              <w:rPr>
                <w:rFonts w:hint="eastAsia" w:hAnsi="宋体" w:cs="宋体"/>
                <w:szCs w:val="24"/>
                <w:highlight w:val="none"/>
              </w:rPr>
              <w:t>3</w:t>
            </w:r>
          </w:p>
        </w:tc>
        <w:tc>
          <w:tcPr>
            <w:tcW w:w="951" w:type="dxa"/>
            <w:vAlign w:val="center"/>
          </w:tcPr>
          <w:p w14:paraId="607FC68E">
            <w:pPr>
              <w:spacing w:line="360" w:lineRule="auto"/>
              <w:jc w:val="center"/>
              <w:rPr>
                <w:rFonts w:hAnsi="宋体" w:cs="宋体"/>
                <w:szCs w:val="24"/>
                <w:highlight w:val="none"/>
              </w:rPr>
            </w:pPr>
            <w:r>
              <w:rPr>
                <w:rFonts w:hint="eastAsia" w:hAnsi="宋体" w:cs="宋体"/>
                <w:szCs w:val="24"/>
                <w:highlight w:val="none"/>
              </w:rPr>
              <w:t>9.2</w:t>
            </w:r>
          </w:p>
        </w:tc>
        <w:tc>
          <w:tcPr>
            <w:tcW w:w="7354" w:type="dxa"/>
            <w:vAlign w:val="center"/>
          </w:tcPr>
          <w:p w14:paraId="23E4402A">
            <w:pPr>
              <w:spacing w:line="360" w:lineRule="auto"/>
              <w:rPr>
                <w:rFonts w:hAnsi="宋体" w:cs="宋体"/>
                <w:szCs w:val="24"/>
                <w:highlight w:val="none"/>
              </w:rPr>
            </w:pPr>
            <w:r>
              <w:rPr>
                <w:rFonts w:hint="eastAsia" w:hAnsi="宋体" w:cs="宋体"/>
                <w:szCs w:val="24"/>
                <w:highlight w:val="none"/>
              </w:rPr>
              <w:t>不允许提供备选方案。</w:t>
            </w:r>
          </w:p>
        </w:tc>
      </w:tr>
      <w:tr w14:paraId="7E7BD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1DE70782">
            <w:pPr>
              <w:spacing w:line="360" w:lineRule="auto"/>
              <w:jc w:val="center"/>
              <w:rPr>
                <w:rFonts w:hAnsi="宋体" w:cs="宋体"/>
                <w:szCs w:val="24"/>
                <w:highlight w:val="none"/>
              </w:rPr>
            </w:pPr>
            <w:r>
              <w:rPr>
                <w:rFonts w:hint="eastAsia" w:hAnsi="宋体" w:cs="宋体"/>
                <w:szCs w:val="24"/>
                <w:highlight w:val="none"/>
              </w:rPr>
              <w:t>4</w:t>
            </w:r>
          </w:p>
        </w:tc>
        <w:tc>
          <w:tcPr>
            <w:tcW w:w="951" w:type="dxa"/>
            <w:vAlign w:val="center"/>
          </w:tcPr>
          <w:p w14:paraId="3FFFBC14">
            <w:pPr>
              <w:spacing w:line="360" w:lineRule="auto"/>
              <w:jc w:val="center"/>
              <w:rPr>
                <w:rFonts w:hAnsi="宋体" w:cs="宋体"/>
                <w:szCs w:val="24"/>
                <w:highlight w:val="none"/>
              </w:rPr>
            </w:pPr>
            <w:r>
              <w:rPr>
                <w:rFonts w:hint="eastAsia" w:hAnsi="宋体" w:cs="宋体"/>
                <w:szCs w:val="24"/>
                <w:highlight w:val="none"/>
              </w:rPr>
              <w:t>9.3</w:t>
            </w:r>
          </w:p>
        </w:tc>
        <w:tc>
          <w:tcPr>
            <w:tcW w:w="7354" w:type="dxa"/>
            <w:vAlign w:val="center"/>
          </w:tcPr>
          <w:p w14:paraId="62719E6B">
            <w:pPr>
              <w:spacing w:line="360" w:lineRule="auto"/>
              <w:ind w:firstLine="480" w:firstLineChars="200"/>
              <w:rPr>
                <w:rFonts w:hAnsi="宋体" w:cs="宋体"/>
                <w:szCs w:val="24"/>
                <w:highlight w:val="none"/>
              </w:rPr>
            </w:pPr>
            <w:r>
              <w:rPr>
                <w:rFonts w:hint="eastAsia" w:hAnsi="宋体" w:cs="宋体"/>
                <w:szCs w:val="24"/>
                <w:highlight w:val="none"/>
              </w:rPr>
              <w:t>本次磋商的最小单元为“</w:t>
            </w:r>
            <w:r>
              <w:rPr>
                <w:rFonts w:hint="eastAsia" w:hAnsi="宋体" w:cs="宋体"/>
                <w:szCs w:val="24"/>
                <w:highlight w:val="none"/>
                <w:lang w:val="en-US" w:eastAsia="zh-CN"/>
              </w:rPr>
              <w:t>项目</w:t>
            </w:r>
            <w:r>
              <w:rPr>
                <w:rFonts w:hint="eastAsia" w:hAnsi="宋体" w:cs="宋体"/>
                <w:szCs w:val="24"/>
                <w:highlight w:val="none"/>
              </w:rPr>
              <w:t>”，供应商可根据自身的资质情况和经营范围对本次项目进行磋商，不得将其子目再行分解或只对本次项目中的品目进行不完全磋商，任何不完全的响应将会被拒绝。</w:t>
            </w:r>
          </w:p>
        </w:tc>
      </w:tr>
      <w:tr w14:paraId="06B5C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7F2A32A0">
            <w:pPr>
              <w:spacing w:line="360" w:lineRule="auto"/>
              <w:jc w:val="center"/>
              <w:rPr>
                <w:rFonts w:hAnsi="宋体" w:cs="宋体"/>
                <w:szCs w:val="24"/>
                <w:highlight w:val="none"/>
              </w:rPr>
            </w:pPr>
            <w:r>
              <w:rPr>
                <w:rFonts w:hint="eastAsia" w:hAnsi="宋体" w:cs="宋体"/>
                <w:szCs w:val="24"/>
                <w:highlight w:val="none"/>
              </w:rPr>
              <w:t>5</w:t>
            </w:r>
          </w:p>
        </w:tc>
        <w:tc>
          <w:tcPr>
            <w:tcW w:w="951" w:type="dxa"/>
            <w:vAlign w:val="center"/>
          </w:tcPr>
          <w:p w14:paraId="2BE9876B">
            <w:pPr>
              <w:spacing w:line="360" w:lineRule="auto"/>
              <w:jc w:val="center"/>
              <w:rPr>
                <w:rFonts w:hAnsi="宋体" w:cs="宋体"/>
                <w:szCs w:val="24"/>
                <w:highlight w:val="none"/>
              </w:rPr>
            </w:pPr>
            <w:r>
              <w:rPr>
                <w:rFonts w:hint="eastAsia" w:hAnsi="宋体" w:cs="宋体"/>
                <w:szCs w:val="24"/>
                <w:highlight w:val="none"/>
              </w:rPr>
              <w:t>11.1</w:t>
            </w:r>
          </w:p>
        </w:tc>
        <w:tc>
          <w:tcPr>
            <w:tcW w:w="7354" w:type="dxa"/>
          </w:tcPr>
          <w:p w14:paraId="5AB2B477">
            <w:pPr>
              <w:spacing w:line="360" w:lineRule="auto"/>
              <w:ind w:firstLine="480"/>
              <w:rPr>
                <w:rFonts w:hint="eastAsia" w:hAnsi="宋体" w:eastAsia="宋体" w:cs="宋体"/>
                <w:szCs w:val="24"/>
                <w:highlight w:val="none"/>
                <w:lang w:eastAsia="zh-CN"/>
              </w:rPr>
            </w:pPr>
            <w:r>
              <w:rPr>
                <w:rFonts w:hint="eastAsia" w:hAnsi="宋体" w:cs="宋体"/>
                <w:szCs w:val="24"/>
                <w:highlight w:val="none"/>
              </w:rPr>
              <w:t>磋商报价：是供应商为完成本项目要求的全部服务内容最终价格的体现</w:t>
            </w:r>
            <w:r>
              <w:rPr>
                <w:rFonts w:hint="eastAsia" w:hAnsi="宋体" w:cs="宋体"/>
                <w:szCs w:val="24"/>
                <w:highlight w:val="none"/>
                <w:lang w:eastAsia="zh-CN"/>
              </w:rPr>
              <w:t>。</w:t>
            </w:r>
          </w:p>
          <w:p w14:paraId="02461B62">
            <w:pPr>
              <w:spacing w:line="360" w:lineRule="auto"/>
              <w:ind w:firstLine="48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供应商所报的价格应考虑到可能发生的所有与完成本项目相关服务及履行合同义务有关的一切费用，任何有选择的报价将不予接受，按无效磋商处理。</w:t>
            </w:r>
          </w:p>
        </w:tc>
      </w:tr>
      <w:tr w14:paraId="385E6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581DDA42">
            <w:pPr>
              <w:spacing w:line="360" w:lineRule="auto"/>
              <w:jc w:val="center"/>
              <w:rPr>
                <w:rFonts w:hAnsi="宋体" w:cs="宋体"/>
                <w:szCs w:val="24"/>
                <w:highlight w:val="none"/>
              </w:rPr>
            </w:pPr>
            <w:r>
              <w:rPr>
                <w:rFonts w:hint="eastAsia" w:hAnsi="宋体" w:cs="宋体"/>
                <w:szCs w:val="24"/>
                <w:highlight w:val="none"/>
              </w:rPr>
              <w:t>6</w:t>
            </w:r>
          </w:p>
        </w:tc>
        <w:tc>
          <w:tcPr>
            <w:tcW w:w="951" w:type="dxa"/>
            <w:vAlign w:val="center"/>
          </w:tcPr>
          <w:p w14:paraId="0A81B6E5">
            <w:pPr>
              <w:spacing w:line="360" w:lineRule="auto"/>
              <w:jc w:val="center"/>
              <w:rPr>
                <w:rFonts w:hAnsi="宋体" w:cs="宋体"/>
                <w:szCs w:val="24"/>
                <w:highlight w:val="none"/>
              </w:rPr>
            </w:pPr>
            <w:r>
              <w:rPr>
                <w:rFonts w:hint="eastAsia" w:hAnsi="宋体" w:cs="宋体"/>
                <w:szCs w:val="24"/>
                <w:highlight w:val="none"/>
              </w:rPr>
              <w:t>12.1</w:t>
            </w:r>
          </w:p>
        </w:tc>
        <w:tc>
          <w:tcPr>
            <w:tcW w:w="7354" w:type="dxa"/>
          </w:tcPr>
          <w:p w14:paraId="2E52CD03">
            <w:pPr>
              <w:spacing w:line="360" w:lineRule="auto"/>
              <w:rPr>
                <w:rFonts w:hAnsi="宋体" w:cs="宋体"/>
                <w:szCs w:val="24"/>
                <w:highlight w:val="none"/>
              </w:rPr>
            </w:pPr>
            <w:r>
              <w:rPr>
                <w:rFonts w:hint="eastAsia" w:hAnsi="宋体" w:cs="宋体"/>
                <w:szCs w:val="24"/>
                <w:highlight w:val="none"/>
              </w:rPr>
              <w:t>特定资格证明文件：</w:t>
            </w:r>
          </w:p>
          <w:p w14:paraId="68EF84AA">
            <w:pPr>
              <w:numPr>
                <w:ilvl w:val="0"/>
                <w:numId w:val="0"/>
              </w:numPr>
              <w:spacing w:line="360" w:lineRule="auto"/>
              <w:ind w:firstLine="480" w:firstLineChars="0"/>
              <w:rPr>
                <w:rFonts w:hint="eastAsia" w:hAnsi="宋体" w:cs="宋体"/>
                <w:szCs w:val="24"/>
                <w:highlight w:val="none"/>
              </w:rPr>
            </w:pPr>
            <w:r>
              <w:rPr>
                <w:rFonts w:hint="eastAsia" w:ascii="宋体" w:hAnsi="宋体" w:eastAsia="宋体" w:cs="宋体"/>
                <w:sz w:val="24"/>
                <w:szCs w:val="24"/>
                <w:lang w:val="en-US" w:eastAsia="zh-CN" w:bidi="ar-SA"/>
              </w:rPr>
              <w:t>（1）</w:t>
            </w:r>
            <w:r>
              <w:rPr>
                <w:rFonts w:hint="eastAsia" w:hAnsi="宋体" w:cs="宋体"/>
                <w:szCs w:val="24"/>
                <w:highlight w:val="none"/>
              </w:rPr>
              <w:t>提供合格有效的法人或者其他组织的营业执照等证明文件，自然人的身份证明。</w:t>
            </w:r>
          </w:p>
          <w:p w14:paraId="12E0BB54">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2</w:t>
            </w:r>
            <w:r>
              <w:rPr>
                <w:rFonts w:hint="eastAsia" w:hAnsi="宋体" w:cs="宋体"/>
                <w:szCs w:val="24"/>
                <w:highlight w:val="none"/>
                <w:lang w:eastAsia="zh-CN"/>
              </w:rPr>
              <w:t>）</w:t>
            </w:r>
            <w:r>
              <w:rPr>
                <w:rFonts w:hint="eastAsia" w:hAnsi="宋体" w:cs="宋体"/>
                <w:szCs w:val="24"/>
                <w:highlight w:val="none"/>
              </w:rPr>
              <w:t>提供法定代表人授权书（附法定代表人、被授权人身份证复</w:t>
            </w:r>
            <w:r>
              <w:rPr>
                <w:rFonts w:hint="eastAsia" w:hAnsi="宋体" w:cs="宋体"/>
                <w:szCs w:val="24"/>
                <w:highlight w:val="none"/>
                <w:lang w:val="en-US" w:eastAsia="zh-CN"/>
              </w:rPr>
              <w:t xml:space="preserve">  </w:t>
            </w:r>
            <w:r>
              <w:rPr>
                <w:rFonts w:hint="eastAsia" w:hAnsi="宋体" w:cs="宋体"/>
                <w:szCs w:val="24"/>
                <w:highlight w:val="none"/>
              </w:rPr>
              <w:t>印件），（法定代表人直接参加磋商，须提供法定代表人身份证明）；</w:t>
            </w:r>
          </w:p>
          <w:p w14:paraId="7ABA764C">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3</w:t>
            </w:r>
            <w:r>
              <w:rPr>
                <w:rFonts w:hint="eastAsia" w:hAnsi="宋体" w:cs="宋体"/>
                <w:szCs w:val="24"/>
                <w:highlight w:val="none"/>
                <w:lang w:eastAsia="zh-CN"/>
              </w:rPr>
              <w:t>）</w:t>
            </w:r>
            <w:r>
              <w:rPr>
                <w:rFonts w:hint="eastAsia" w:hAnsi="宋体" w:cs="宋体"/>
                <w:szCs w:val="24"/>
                <w:highlight w:val="none"/>
              </w:rPr>
              <w:t>财务状况报告：提供2024年度的财务审计报告（至少包括资产负债表和利润表，成立时间至提交磋商响应文件截止时间不足一年的可提供成立后任意时段的资产负债表），或开标时间前六个月内银行出具的资信证明；</w:t>
            </w:r>
          </w:p>
          <w:p w14:paraId="58045600">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4</w:t>
            </w:r>
            <w:r>
              <w:rPr>
                <w:rFonts w:hint="eastAsia" w:hAnsi="宋体" w:cs="宋体"/>
                <w:szCs w:val="24"/>
                <w:highlight w:val="none"/>
                <w:lang w:eastAsia="zh-CN"/>
              </w:rPr>
              <w:t>）</w:t>
            </w:r>
            <w:r>
              <w:rPr>
                <w:rFonts w:hint="eastAsia" w:hAnsi="宋体" w:cs="宋体"/>
                <w:szCs w:val="24"/>
                <w:highlight w:val="none"/>
              </w:rPr>
              <w:t>税收缴纳证明：提供磋商截止日前一年内已缴纳的至少一个月的纳税证明或完税证明（任意税种），依法免税的单位应提供相关证明材料；</w:t>
            </w:r>
          </w:p>
          <w:p w14:paraId="503662FB">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5</w:t>
            </w:r>
            <w:r>
              <w:rPr>
                <w:rFonts w:hint="eastAsia" w:hAnsi="宋体" w:cs="宋体"/>
                <w:szCs w:val="24"/>
                <w:highlight w:val="none"/>
                <w:lang w:eastAsia="zh-CN"/>
              </w:rPr>
              <w:t>）</w:t>
            </w:r>
            <w:r>
              <w:rPr>
                <w:rFonts w:hint="eastAsia" w:hAnsi="宋体" w:cs="宋体"/>
                <w:szCs w:val="24"/>
                <w:highlight w:val="none"/>
              </w:rPr>
              <w:t>社会保障资金缴纳证明：提供磋商截止日前一年内已缴存的至少一个月的社会保障资金缴存单据或社保机构开具的社会保险参保缴费情况证明，依法不需要缴纳社会保障资金的单位应提供相关证明材料；</w:t>
            </w:r>
          </w:p>
          <w:p w14:paraId="36BF0C81">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6</w:t>
            </w:r>
            <w:r>
              <w:rPr>
                <w:rFonts w:hint="eastAsia" w:hAnsi="宋体" w:cs="宋体"/>
                <w:szCs w:val="24"/>
                <w:highlight w:val="none"/>
                <w:lang w:eastAsia="zh-CN"/>
              </w:rPr>
              <w:t>）</w:t>
            </w:r>
            <w:r>
              <w:rPr>
                <w:rFonts w:hint="eastAsia" w:hAnsi="宋体" w:cs="宋体"/>
                <w:szCs w:val="24"/>
                <w:highlight w:val="none"/>
              </w:rPr>
              <w:t>提供具有履行本合同所必需的设备和专业技术能力的说明及承诺书；</w:t>
            </w:r>
          </w:p>
          <w:p w14:paraId="1EB5798F">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7</w:t>
            </w:r>
            <w:r>
              <w:rPr>
                <w:rFonts w:hint="eastAsia" w:hAnsi="宋体" w:cs="宋体"/>
                <w:szCs w:val="24"/>
                <w:highlight w:val="none"/>
                <w:lang w:eastAsia="zh-CN"/>
              </w:rPr>
              <w:t>）</w:t>
            </w:r>
            <w:r>
              <w:rPr>
                <w:rFonts w:hint="eastAsia" w:hAnsi="宋体" w:cs="宋体"/>
                <w:szCs w:val="24"/>
                <w:highlight w:val="none"/>
              </w:rPr>
              <w:t>供应商应通过“信用中国”网站(www.creditchina.gov.cn)、中国政府采购网(www.ccgp.gov.cn)查询相关主体信用记录；</w:t>
            </w:r>
          </w:p>
          <w:p w14:paraId="21E612CE">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8</w:t>
            </w:r>
            <w:r>
              <w:rPr>
                <w:rFonts w:hint="eastAsia" w:hAnsi="宋体" w:cs="宋体"/>
                <w:szCs w:val="24"/>
                <w:highlight w:val="none"/>
                <w:lang w:eastAsia="zh-CN"/>
              </w:rPr>
              <w:t>）</w:t>
            </w:r>
            <w:r>
              <w:rPr>
                <w:rFonts w:hint="eastAsia" w:hAnsi="宋体" w:cs="宋体"/>
                <w:szCs w:val="24"/>
                <w:highlight w:val="none"/>
              </w:rPr>
              <w:t>参加政府采购活动前3年内，在经营活动中没有重大违法记录的书面声明；</w:t>
            </w:r>
          </w:p>
          <w:p w14:paraId="0D43D470">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9</w:t>
            </w:r>
            <w:r>
              <w:rPr>
                <w:rFonts w:hint="eastAsia" w:hAnsi="宋体" w:cs="宋体"/>
                <w:szCs w:val="24"/>
                <w:highlight w:val="none"/>
                <w:lang w:eastAsia="zh-CN"/>
              </w:rPr>
              <w:t>）</w:t>
            </w:r>
            <w:r>
              <w:rPr>
                <w:rFonts w:hint="eastAsia" w:hAnsi="宋体" w:cs="宋体"/>
                <w:szCs w:val="24"/>
                <w:highlight w:val="none"/>
              </w:rPr>
              <w:t>供应商须提供《危险化学品经营许可证》；</w:t>
            </w:r>
          </w:p>
          <w:p w14:paraId="24320476">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10</w:t>
            </w:r>
            <w:r>
              <w:rPr>
                <w:rFonts w:hint="eastAsia" w:hAnsi="宋体" w:cs="宋体"/>
                <w:szCs w:val="24"/>
                <w:highlight w:val="none"/>
                <w:lang w:eastAsia="zh-CN"/>
              </w:rPr>
              <w:t>）</w:t>
            </w:r>
            <w:r>
              <w:rPr>
                <w:rFonts w:hint="eastAsia" w:hAnsi="宋体" w:cs="宋体"/>
                <w:szCs w:val="24"/>
                <w:highlight w:val="none"/>
              </w:rPr>
              <w:t>供应商须提供中小企业声明函；</w:t>
            </w:r>
          </w:p>
          <w:p w14:paraId="0B33F501">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11</w:t>
            </w:r>
            <w:r>
              <w:rPr>
                <w:rFonts w:hint="eastAsia" w:hAnsi="宋体" w:cs="宋体"/>
                <w:szCs w:val="24"/>
                <w:highlight w:val="none"/>
                <w:lang w:eastAsia="zh-CN"/>
              </w:rPr>
              <w:t>）</w:t>
            </w:r>
            <w:r>
              <w:rPr>
                <w:rFonts w:hint="eastAsia" w:hAnsi="宋体" w:cs="宋体"/>
                <w:szCs w:val="24"/>
                <w:highlight w:val="none"/>
              </w:rPr>
              <w:t>本项目不接受联合体磋商。</w:t>
            </w:r>
          </w:p>
          <w:p w14:paraId="1691B930">
            <w:pPr>
              <w:spacing w:line="360" w:lineRule="auto"/>
              <w:ind w:firstLine="482" w:firstLineChars="200"/>
              <w:rPr>
                <w:rFonts w:hAnsi="宋体" w:cs="宋体"/>
                <w:szCs w:val="24"/>
                <w:highlight w:val="none"/>
              </w:rPr>
            </w:pPr>
            <w:r>
              <w:rPr>
                <w:rFonts w:hint="eastAsia" w:hAnsi="宋体" w:cs="宋体"/>
                <w:b/>
                <w:bCs/>
                <w:szCs w:val="24"/>
                <w:highlight w:val="none"/>
              </w:rPr>
              <w:t>以上</w:t>
            </w:r>
            <w:r>
              <w:rPr>
                <w:rFonts w:hint="eastAsia" w:hAnsi="宋体" w:cs="宋体"/>
                <w:b/>
                <w:bCs/>
                <w:szCs w:val="24"/>
                <w:highlight w:val="none"/>
                <w:lang w:eastAsia="zh-CN"/>
              </w:rPr>
              <w:t>（</w:t>
            </w:r>
            <w:r>
              <w:rPr>
                <w:rFonts w:hint="eastAsia" w:hAnsi="宋体" w:cs="宋体"/>
                <w:b/>
                <w:bCs/>
                <w:szCs w:val="24"/>
                <w:highlight w:val="none"/>
                <w:lang w:val="en-US" w:eastAsia="zh-CN"/>
              </w:rPr>
              <w:t>1-11</w:t>
            </w:r>
            <w:r>
              <w:rPr>
                <w:rFonts w:hint="eastAsia" w:hAnsi="宋体" w:cs="宋体"/>
                <w:b/>
                <w:bCs/>
                <w:szCs w:val="24"/>
                <w:highlight w:val="none"/>
                <w:lang w:eastAsia="zh-CN"/>
              </w:rPr>
              <w:t>）</w:t>
            </w:r>
            <w:r>
              <w:rPr>
                <w:rFonts w:hint="eastAsia" w:hAnsi="宋体" w:cs="宋体"/>
                <w:b/>
                <w:bCs/>
                <w:szCs w:val="24"/>
                <w:highlight w:val="none"/>
              </w:rPr>
              <w:t>为必备资质，缺一项或某项达不到要求，按无效磋商处理。</w:t>
            </w:r>
          </w:p>
        </w:tc>
      </w:tr>
      <w:tr w14:paraId="3B9E2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04D08DFD">
            <w:pPr>
              <w:spacing w:line="360" w:lineRule="auto"/>
              <w:jc w:val="center"/>
              <w:rPr>
                <w:rFonts w:hAnsi="宋体" w:cs="宋体"/>
                <w:szCs w:val="24"/>
                <w:highlight w:val="none"/>
              </w:rPr>
            </w:pPr>
            <w:r>
              <w:rPr>
                <w:rFonts w:hint="eastAsia" w:hAnsi="宋体" w:cs="宋体"/>
                <w:szCs w:val="24"/>
                <w:highlight w:val="none"/>
              </w:rPr>
              <w:t>7</w:t>
            </w:r>
          </w:p>
        </w:tc>
        <w:tc>
          <w:tcPr>
            <w:tcW w:w="951" w:type="dxa"/>
            <w:vAlign w:val="center"/>
          </w:tcPr>
          <w:p w14:paraId="7E8EE7E5">
            <w:pPr>
              <w:spacing w:line="360" w:lineRule="auto"/>
              <w:jc w:val="center"/>
              <w:rPr>
                <w:rFonts w:hAnsi="宋体" w:cs="宋体"/>
                <w:szCs w:val="24"/>
                <w:highlight w:val="none"/>
              </w:rPr>
            </w:pPr>
            <w:r>
              <w:rPr>
                <w:rFonts w:hint="eastAsia" w:hAnsi="宋体" w:cs="宋体"/>
                <w:szCs w:val="24"/>
                <w:highlight w:val="none"/>
              </w:rPr>
              <w:t>14.4</w:t>
            </w:r>
          </w:p>
        </w:tc>
        <w:tc>
          <w:tcPr>
            <w:tcW w:w="7354" w:type="dxa"/>
          </w:tcPr>
          <w:p w14:paraId="481D1A21">
            <w:pPr>
              <w:spacing w:line="360" w:lineRule="auto"/>
              <w:rPr>
                <w:rFonts w:hAnsi="宋体" w:cs="宋体"/>
                <w:szCs w:val="24"/>
                <w:highlight w:val="none"/>
              </w:rPr>
            </w:pPr>
            <w:r>
              <w:rPr>
                <w:rFonts w:hint="eastAsia" w:hAnsi="宋体" w:cs="宋体"/>
                <w:b/>
                <w:bCs/>
                <w:szCs w:val="24"/>
                <w:highlight w:val="none"/>
              </w:rPr>
              <w:t>磋商保证金：无（本项目不收取保证金，本文件中涉及的保证金相关事项均不适用）</w:t>
            </w:r>
          </w:p>
        </w:tc>
      </w:tr>
      <w:tr w14:paraId="6CDD7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23CBBEA4">
            <w:pPr>
              <w:spacing w:line="360" w:lineRule="auto"/>
              <w:jc w:val="center"/>
              <w:rPr>
                <w:rFonts w:hAnsi="宋体" w:cs="宋体"/>
                <w:szCs w:val="24"/>
                <w:highlight w:val="none"/>
              </w:rPr>
            </w:pPr>
            <w:r>
              <w:rPr>
                <w:rFonts w:hint="eastAsia" w:hAnsi="宋体" w:cs="宋体"/>
                <w:szCs w:val="24"/>
                <w:highlight w:val="none"/>
              </w:rPr>
              <w:t>8</w:t>
            </w:r>
          </w:p>
        </w:tc>
        <w:tc>
          <w:tcPr>
            <w:tcW w:w="951" w:type="dxa"/>
            <w:vAlign w:val="center"/>
          </w:tcPr>
          <w:p w14:paraId="0AD771B7">
            <w:pPr>
              <w:spacing w:line="360" w:lineRule="auto"/>
              <w:jc w:val="center"/>
              <w:rPr>
                <w:rFonts w:hAnsi="宋体" w:cs="宋体"/>
                <w:szCs w:val="24"/>
                <w:highlight w:val="none"/>
              </w:rPr>
            </w:pPr>
            <w:r>
              <w:rPr>
                <w:rFonts w:hint="eastAsia" w:hAnsi="宋体" w:cs="宋体"/>
                <w:szCs w:val="24"/>
                <w:highlight w:val="none"/>
              </w:rPr>
              <w:t>15.1</w:t>
            </w:r>
          </w:p>
        </w:tc>
        <w:tc>
          <w:tcPr>
            <w:tcW w:w="7354" w:type="dxa"/>
            <w:vAlign w:val="center"/>
          </w:tcPr>
          <w:p w14:paraId="5BFEFC35">
            <w:pPr>
              <w:spacing w:line="360" w:lineRule="auto"/>
              <w:rPr>
                <w:rFonts w:hAnsi="宋体" w:cs="宋体"/>
                <w:highlight w:val="none"/>
              </w:rPr>
            </w:pPr>
            <w:r>
              <w:rPr>
                <w:rFonts w:hint="eastAsia" w:hAnsi="宋体" w:cs="宋体"/>
                <w:szCs w:val="24"/>
                <w:highlight w:val="none"/>
              </w:rPr>
              <w:t>磋商有效期:提交磋商响应文件的截止之日起90天。</w:t>
            </w:r>
          </w:p>
        </w:tc>
      </w:tr>
      <w:tr w14:paraId="6BD69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49395BBE">
            <w:pPr>
              <w:spacing w:line="360" w:lineRule="auto"/>
              <w:jc w:val="center"/>
              <w:rPr>
                <w:rFonts w:hAnsi="宋体" w:cs="宋体"/>
                <w:szCs w:val="24"/>
                <w:highlight w:val="none"/>
              </w:rPr>
            </w:pPr>
            <w:r>
              <w:rPr>
                <w:rFonts w:hint="eastAsia" w:hAnsi="宋体" w:cs="宋体"/>
                <w:szCs w:val="24"/>
                <w:highlight w:val="none"/>
              </w:rPr>
              <w:t>9</w:t>
            </w:r>
          </w:p>
        </w:tc>
        <w:tc>
          <w:tcPr>
            <w:tcW w:w="951" w:type="dxa"/>
            <w:vAlign w:val="center"/>
          </w:tcPr>
          <w:p w14:paraId="363A1DFD">
            <w:pPr>
              <w:spacing w:after="156" w:afterLines="50" w:line="360" w:lineRule="auto"/>
              <w:jc w:val="center"/>
              <w:rPr>
                <w:rFonts w:hAnsi="宋体" w:cs="宋体"/>
                <w:szCs w:val="24"/>
                <w:highlight w:val="none"/>
              </w:rPr>
            </w:pPr>
            <w:r>
              <w:rPr>
                <w:rFonts w:hint="eastAsia" w:hAnsi="宋体" w:cs="宋体"/>
                <w:szCs w:val="24"/>
                <w:highlight w:val="none"/>
              </w:rPr>
              <w:t>16.1</w:t>
            </w:r>
          </w:p>
        </w:tc>
        <w:tc>
          <w:tcPr>
            <w:tcW w:w="7354" w:type="dxa"/>
            <w:vAlign w:val="center"/>
          </w:tcPr>
          <w:p w14:paraId="0C102969">
            <w:pPr>
              <w:spacing w:line="360" w:lineRule="auto"/>
              <w:rPr>
                <w:rFonts w:hAnsi="宋体" w:cs="宋体"/>
                <w:szCs w:val="24"/>
                <w:highlight w:val="none"/>
              </w:rPr>
            </w:pPr>
            <w:r>
              <w:rPr>
                <w:rFonts w:hint="eastAsia" w:hAnsi="宋体" w:cs="宋体"/>
                <w:szCs w:val="24"/>
                <w:highlight w:val="none"/>
              </w:rPr>
              <w:t>正本的份数：壹份；副本的份数：贰份；报价一览表：壹份；电子版（U盘）：壹份（需在盘面上标注供应商全称、项目名称、编号）。</w:t>
            </w:r>
          </w:p>
        </w:tc>
      </w:tr>
      <w:tr w14:paraId="1EC1B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5D24C815">
            <w:pPr>
              <w:spacing w:line="360" w:lineRule="auto"/>
              <w:jc w:val="center"/>
              <w:rPr>
                <w:rFonts w:hAnsi="宋体" w:cs="宋体"/>
                <w:szCs w:val="24"/>
                <w:highlight w:val="none"/>
              </w:rPr>
            </w:pPr>
            <w:r>
              <w:rPr>
                <w:rFonts w:hint="eastAsia" w:hAnsi="宋体" w:cs="宋体"/>
                <w:szCs w:val="24"/>
                <w:highlight w:val="none"/>
              </w:rPr>
              <w:t>10</w:t>
            </w:r>
          </w:p>
        </w:tc>
        <w:tc>
          <w:tcPr>
            <w:tcW w:w="951" w:type="dxa"/>
            <w:vAlign w:val="center"/>
          </w:tcPr>
          <w:p w14:paraId="3936AFEA">
            <w:pPr>
              <w:spacing w:after="156" w:afterLines="50" w:line="360" w:lineRule="auto"/>
              <w:jc w:val="center"/>
              <w:rPr>
                <w:rFonts w:hAnsi="宋体" w:cs="宋体"/>
                <w:szCs w:val="24"/>
                <w:highlight w:val="none"/>
              </w:rPr>
            </w:pPr>
            <w:r>
              <w:rPr>
                <w:rFonts w:hint="eastAsia" w:hAnsi="宋体" w:cs="宋体"/>
                <w:szCs w:val="24"/>
                <w:highlight w:val="none"/>
              </w:rPr>
              <w:t>17.2</w:t>
            </w:r>
          </w:p>
        </w:tc>
        <w:tc>
          <w:tcPr>
            <w:tcW w:w="7354" w:type="dxa"/>
            <w:vAlign w:val="center"/>
          </w:tcPr>
          <w:p w14:paraId="2F7FC489">
            <w:pPr>
              <w:spacing w:line="360" w:lineRule="auto"/>
              <w:rPr>
                <w:rFonts w:hAnsi="宋体" w:cs="宋体"/>
                <w:szCs w:val="24"/>
                <w:highlight w:val="none"/>
              </w:rPr>
            </w:pPr>
            <w:r>
              <w:rPr>
                <w:rFonts w:hint="eastAsia" w:hAnsi="宋体" w:cs="宋体"/>
                <w:szCs w:val="24"/>
                <w:highlight w:val="none"/>
              </w:rPr>
              <w:t>竞争性磋商响应文件正本</w:t>
            </w:r>
            <w:r>
              <w:rPr>
                <w:rFonts w:hint="eastAsia" w:hAnsi="宋体" w:cs="宋体"/>
                <w:szCs w:val="24"/>
                <w:highlight w:val="none"/>
                <w:lang w:eastAsia="zh-CN"/>
              </w:rPr>
              <w:t>、</w:t>
            </w:r>
            <w:r>
              <w:rPr>
                <w:rFonts w:hint="eastAsia" w:hAnsi="宋体" w:cs="宋体"/>
                <w:szCs w:val="24"/>
                <w:highlight w:val="none"/>
              </w:rPr>
              <w:t>电子版本、报价一览表</w:t>
            </w:r>
            <w:r>
              <w:rPr>
                <w:rFonts w:hint="eastAsia" w:hAnsi="宋体" w:cs="宋体"/>
                <w:szCs w:val="24"/>
                <w:highlight w:val="none"/>
                <w:lang w:val="en-US" w:eastAsia="zh-CN"/>
              </w:rPr>
              <w:t>和</w:t>
            </w:r>
            <w:r>
              <w:rPr>
                <w:rFonts w:hint="eastAsia" w:hAnsi="宋体" w:cs="宋体"/>
                <w:szCs w:val="24"/>
                <w:highlight w:val="none"/>
              </w:rPr>
              <w:t>副本分开密封装在单独的封袋中（封袋不得有破损），且在封袋正面标明“正本</w:t>
            </w:r>
            <w:r>
              <w:rPr>
                <w:rFonts w:hint="eastAsia" w:hAnsi="宋体" w:cs="宋体"/>
                <w:szCs w:val="24"/>
                <w:highlight w:val="none"/>
                <w:lang w:eastAsia="zh-CN"/>
              </w:rPr>
              <w:t>、</w:t>
            </w:r>
            <w:r>
              <w:rPr>
                <w:rFonts w:hint="eastAsia" w:hAnsi="宋体" w:cs="宋体"/>
                <w:szCs w:val="24"/>
                <w:highlight w:val="none"/>
                <w:lang w:val="en-US" w:eastAsia="zh-CN"/>
              </w:rPr>
              <w:t>电子版、开标一览表</w:t>
            </w:r>
            <w:r>
              <w:rPr>
                <w:rFonts w:hint="eastAsia" w:hAnsi="宋体" w:cs="宋体"/>
                <w:szCs w:val="24"/>
                <w:highlight w:val="none"/>
              </w:rPr>
              <w:t>”“副本”字样。封袋应加贴封条，并在封线处加盖供应商公章，封袋正面要粘贴供应商全称、项目名称、编号等标识。</w:t>
            </w:r>
          </w:p>
        </w:tc>
      </w:tr>
      <w:tr w14:paraId="4F723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79A472CF">
            <w:pPr>
              <w:spacing w:after="156" w:afterLines="50" w:line="360" w:lineRule="auto"/>
              <w:jc w:val="center"/>
              <w:rPr>
                <w:rFonts w:hAnsi="宋体" w:cs="宋体"/>
                <w:szCs w:val="24"/>
                <w:highlight w:val="none"/>
              </w:rPr>
            </w:pPr>
            <w:r>
              <w:rPr>
                <w:rFonts w:hint="eastAsia" w:hAnsi="宋体" w:cs="宋体"/>
                <w:szCs w:val="24"/>
                <w:highlight w:val="none"/>
              </w:rPr>
              <w:t>11</w:t>
            </w:r>
          </w:p>
        </w:tc>
        <w:tc>
          <w:tcPr>
            <w:tcW w:w="951" w:type="dxa"/>
            <w:vAlign w:val="center"/>
          </w:tcPr>
          <w:p w14:paraId="546D3604">
            <w:pPr>
              <w:spacing w:after="156" w:afterLines="50" w:line="360" w:lineRule="auto"/>
              <w:jc w:val="center"/>
              <w:rPr>
                <w:rFonts w:hAnsi="宋体" w:cs="宋体"/>
                <w:szCs w:val="24"/>
                <w:highlight w:val="none"/>
              </w:rPr>
            </w:pPr>
            <w:r>
              <w:rPr>
                <w:rFonts w:hint="eastAsia" w:hAnsi="宋体" w:cs="宋体"/>
                <w:szCs w:val="24"/>
                <w:highlight w:val="none"/>
              </w:rPr>
              <w:t>18.1</w:t>
            </w:r>
          </w:p>
        </w:tc>
        <w:tc>
          <w:tcPr>
            <w:tcW w:w="7354" w:type="dxa"/>
          </w:tcPr>
          <w:p w14:paraId="7DF9EA14">
            <w:pPr>
              <w:spacing w:line="360" w:lineRule="auto"/>
              <w:rPr>
                <w:rFonts w:hAnsi="宋体" w:cs="宋体"/>
                <w:szCs w:val="24"/>
                <w:highlight w:val="none"/>
              </w:rPr>
            </w:pPr>
            <w:r>
              <w:rPr>
                <w:rFonts w:hint="eastAsia" w:hAnsi="宋体" w:cs="宋体"/>
                <w:szCs w:val="24"/>
                <w:highlight w:val="none"/>
              </w:rPr>
              <w:t>磋商响应文件递交截止时间：详见竞争性磋商公告</w:t>
            </w:r>
          </w:p>
          <w:p w14:paraId="2EEA3D69">
            <w:pPr>
              <w:spacing w:line="360" w:lineRule="auto"/>
              <w:jc w:val="left"/>
              <w:rPr>
                <w:rFonts w:hint="default" w:hAnsi="宋体" w:cs="宋体"/>
                <w:szCs w:val="24"/>
                <w:highlight w:val="none"/>
                <w:lang w:val="en-US"/>
              </w:rPr>
            </w:pPr>
            <w:r>
              <w:rPr>
                <w:rFonts w:hint="eastAsia" w:hAnsi="宋体" w:cs="宋体"/>
                <w:szCs w:val="24"/>
                <w:highlight w:val="none"/>
              </w:rPr>
              <w:t>磋商响应文件递交地址：</w:t>
            </w:r>
            <w:r>
              <w:rPr>
                <w:rFonts w:hint="eastAsia" w:cs="宋体"/>
                <w:i w:val="0"/>
                <w:iCs w:val="0"/>
                <w:caps w:val="0"/>
                <w:color w:val="333333"/>
                <w:spacing w:val="0"/>
                <w:sz w:val="24"/>
                <w:szCs w:val="24"/>
                <w:highlight w:val="none"/>
                <w:shd w:val="clear" w:fill="FFFFFF"/>
                <w:vertAlign w:val="baseline"/>
                <w:lang w:val="en-US" w:eastAsia="zh-CN"/>
              </w:rPr>
              <w:t>陕西省</w:t>
            </w:r>
            <w:r>
              <w:rPr>
                <w:rFonts w:hint="eastAsia" w:cs="宋体"/>
                <w:i w:val="0"/>
                <w:iCs w:val="0"/>
                <w:caps w:val="0"/>
                <w:color w:val="333333"/>
                <w:spacing w:val="0"/>
                <w:sz w:val="24"/>
                <w:szCs w:val="24"/>
                <w:highlight w:val="none"/>
                <w:shd w:val="clear" w:fill="FFFFFF"/>
                <w:vertAlign w:val="baseline"/>
                <w:lang w:eastAsia="zh-CN"/>
              </w:rPr>
              <w:t>西安市经济技术开发区未央路171-1号银池道拉斯财富中心21楼</w:t>
            </w:r>
            <w:r>
              <w:rPr>
                <w:rFonts w:hint="eastAsia" w:cs="宋体"/>
                <w:i w:val="0"/>
                <w:iCs w:val="0"/>
                <w:caps w:val="0"/>
                <w:color w:val="333333"/>
                <w:spacing w:val="0"/>
                <w:sz w:val="24"/>
                <w:szCs w:val="24"/>
                <w:highlight w:val="none"/>
                <w:shd w:val="clear" w:fill="FFFFFF"/>
                <w:vertAlign w:val="baseline"/>
                <w:lang w:val="en-US" w:eastAsia="zh-CN"/>
              </w:rPr>
              <w:t>03室</w:t>
            </w:r>
          </w:p>
          <w:p w14:paraId="6557E92D">
            <w:pPr>
              <w:spacing w:line="360" w:lineRule="auto"/>
              <w:rPr>
                <w:rFonts w:hAnsi="宋体" w:cs="宋体"/>
                <w:szCs w:val="24"/>
                <w:highlight w:val="none"/>
              </w:rPr>
            </w:pPr>
            <w:r>
              <w:rPr>
                <w:rFonts w:hint="eastAsia" w:hAnsi="宋体" w:cs="宋体"/>
                <w:szCs w:val="24"/>
                <w:highlight w:val="none"/>
              </w:rPr>
              <w:t>磋商响应文件接收人：陕西至诚项目管理集团有限公司</w:t>
            </w:r>
          </w:p>
        </w:tc>
      </w:tr>
      <w:tr w14:paraId="3A192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63F030CC">
            <w:pPr>
              <w:spacing w:after="156" w:afterLines="50" w:line="360" w:lineRule="auto"/>
              <w:jc w:val="center"/>
              <w:rPr>
                <w:rFonts w:hAnsi="宋体" w:cs="宋体"/>
                <w:szCs w:val="24"/>
                <w:highlight w:val="none"/>
              </w:rPr>
            </w:pPr>
            <w:r>
              <w:rPr>
                <w:rFonts w:hint="eastAsia" w:hAnsi="宋体" w:cs="宋体"/>
                <w:szCs w:val="24"/>
                <w:highlight w:val="none"/>
              </w:rPr>
              <w:t>12</w:t>
            </w:r>
          </w:p>
        </w:tc>
        <w:tc>
          <w:tcPr>
            <w:tcW w:w="951" w:type="dxa"/>
            <w:vAlign w:val="center"/>
          </w:tcPr>
          <w:p w14:paraId="0299F7B4">
            <w:pPr>
              <w:spacing w:after="156" w:afterLines="50" w:line="360" w:lineRule="auto"/>
              <w:jc w:val="center"/>
              <w:rPr>
                <w:rFonts w:hAnsi="宋体" w:cs="宋体"/>
                <w:szCs w:val="24"/>
                <w:highlight w:val="none"/>
              </w:rPr>
            </w:pPr>
            <w:r>
              <w:rPr>
                <w:rFonts w:hint="eastAsia" w:hAnsi="宋体" w:cs="宋体"/>
                <w:szCs w:val="24"/>
                <w:highlight w:val="none"/>
              </w:rPr>
              <w:t>21.1</w:t>
            </w:r>
          </w:p>
        </w:tc>
        <w:tc>
          <w:tcPr>
            <w:tcW w:w="7354" w:type="dxa"/>
            <w:vAlign w:val="center"/>
          </w:tcPr>
          <w:p w14:paraId="0EA462AE">
            <w:pPr>
              <w:spacing w:line="360" w:lineRule="auto"/>
              <w:rPr>
                <w:rFonts w:hAnsi="宋体" w:cs="宋体"/>
                <w:szCs w:val="24"/>
                <w:highlight w:val="none"/>
              </w:rPr>
            </w:pPr>
            <w:r>
              <w:rPr>
                <w:rFonts w:hint="eastAsia" w:hAnsi="宋体" w:cs="宋体"/>
                <w:szCs w:val="24"/>
                <w:highlight w:val="none"/>
              </w:rPr>
              <w:t>磋商时间：详见竞争性磋商公告</w:t>
            </w:r>
          </w:p>
          <w:p w14:paraId="5FE7B392">
            <w:pPr>
              <w:spacing w:line="360" w:lineRule="auto"/>
              <w:jc w:val="left"/>
              <w:rPr>
                <w:rFonts w:hint="default" w:hAnsi="宋体" w:cs="宋体"/>
                <w:szCs w:val="24"/>
                <w:highlight w:val="none"/>
                <w:lang w:val="en-US"/>
              </w:rPr>
            </w:pPr>
            <w:r>
              <w:rPr>
                <w:rFonts w:hint="eastAsia" w:hAnsi="宋体" w:cs="宋体"/>
                <w:szCs w:val="24"/>
                <w:highlight w:val="none"/>
              </w:rPr>
              <w:t>磋商地点：</w:t>
            </w:r>
            <w:r>
              <w:rPr>
                <w:rFonts w:hint="eastAsia" w:cs="宋体"/>
                <w:i w:val="0"/>
                <w:iCs w:val="0"/>
                <w:caps w:val="0"/>
                <w:color w:val="333333"/>
                <w:spacing w:val="0"/>
                <w:sz w:val="24"/>
                <w:szCs w:val="24"/>
                <w:highlight w:val="none"/>
                <w:shd w:val="clear" w:fill="FFFFFF"/>
                <w:vertAlign w:val="baseline"/>
                <w:lang w:val="en-US" w:eastAsia="zh-CN"/>
              </w:rPr>
              <w:t>陕西省</w:t>
            </w:r>
            <w:r>
              <w:rPr>
                <w:rFonts w:hint="eastAsia" w:cs="宋体"/>
                <w:i w:val="0"/>
                <w:iCs w:val="0"/>
                <w:caps w:val="0"/>
                <w:color w:val="333333"/>
                <w:spacing w:val="0"/>
                <w:sz w:val="24"/>
                <w:szCs w:val="24"/>
                <w:highlight w:val="none"/>
                <w:shd w:val="clear" w:fill="FFFFFF"/>
                <w:vertAlign w:val="baseline"/>
                <w:lang w:eastAsia="zh-CN"/>
              </w:rPr>
              <w:t>西安市经济技术开发区未央路171-1号银池道拉斯财富中心21楼</w:t>
            </w:r>
            <w:r>
              <w:rPr>
                <w:rFonts w:hint="eastAsia" w:hAnsi="宋体" w:cs="宋体"/>
                <w:szCs w:val="24"/>
                <w:highlight w:val="none"/>
                <w:lang w:val="en-US" w:eastAsia="zh-CN"/>
              </w:rPr>
              <w:t>03室</w:t>
            </w:r>
          </w:p>
        </w:tc>
      </w:tr>
      <w:tr w14:paraId="7F7D0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7" w:hRule="atLeast"/>
          <w:jc w:val="center"/>
        </w:trPr>
        <w:tc>
          <w:tcPr>
            <w:tcW w:w="592" w:type="dxa"/>
            <w:vAlign w:val="center"/>
          </w:tcPr>
          <w:p w14:paraId="3BE501B8">
            <w:pPr>
              <w:spacing w:after="156" w:afterLines="50" w:line="360" w:lineRule="auto"/>
              <w:jc w:val="center"/>
              <w:rPr>
                <w:rFonts w:hAnsi="宋体" w:cs="宋体"/>
                <w:szCs w:val="24"/>
                <w:highlight w:val="none"/>
              </w:rPr>
            </w:pPr>
            <w:r>
              <w:rPr>
                <w:rFonts w:hint="eastAsia" w:hAnsi="宋体" w:cs="宋体"/>
                <w:szCs w:val="24"/>
                <w:highlight w:val="none"/>
              </w:rPr>
              <w:t>13</w:t>
            </w:r>
          </w:p>
        </w:tc>
        <w:tc>
          <w:tcPr>
            <w:tcW w:w="951" w:type="dxa"/>
            <w:vAlign w:val="center"/>
          </w:tcPr>
          <w:p w14:paraId="5BFF77E1">
            <w:pPr>
              <w:spacing w:after="156" w:afterLines="50" w:line="360" w:lineRule="auto"/>
              <w:jc w:val="center"/>
              <w:rPr>
                <w:rFonts w:hAnsi="宋体" w:cs="宋体"/>
                <w:szCs w:val="24"/>
                <w:highlight w:val="none"/>
              </w:rPr>
            </w:pPr>
            <w:r>
              <w:rPr>
                <w:rFonts w:hint="eastAsia" w:hAnsi="宋体" w:cs="宋体"/>
                <w:szCs w:val="24"/>
                <w:highlight w:val="none"/>
              </w:rPr>
              <w:t>24.1</w:t>
            </w:r>
          </w:p>
        </w:tc>
        <w:tc>
          <w:tcPr>
            <w:tcW w:w="7354" w:type="dxa"/>
            <w:vAlign w:val="center"/>
          </w:tcPr>
          <w:p w14:paraId="7C037AD9">
            <w:pPr>
              <w:spacing w:after="156" w:afterLines="50" w:line="360" w:lineRule="auto"/>
              <w:jc w:val="left"/>
              <w:rPr>
                <w:rFonts w:hAnsi="宋体" w:cs="宋体"/>
                <w:szCs w:val="24"/>
                <w:highlight w:val="none"/>
              </w:rPr>
            </w:pPr>
            <w:r>
              <w:rPr>
                <w:rFonts w:hint="eastAsia" w:hAnsi="宋体" w:cs="宋体"/>
                <w:b/>
                <w:bCs/>
                <w:szCs w:val="24"/>
                <w:highlight w:val="none"/>
              </w:rPr>
              <w:t>评审方法：综合评分法（详见第三章）</w:t>
            </w:r>
          </w:p>
        </w:tc>
      </w:tr>
      <w:tr w14:paraId="589D9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78D2D499">
            <w:pPr>
              <w:spacing w:after="156" w:afterLines="50" w:line="360" w:lineRule="auto"/>
              <w:jc w:val="center"/>
              <w:rPr>
                <w:rFonts w:hAnsi="宋体" w:cs="宋体"/>
                <w:szCs w:val="24"/>
                <w:highlight w:val="none"/>
              </w:rPr>
            </w:pPr>
            <w:r>
              <w:rPr>
                <w:rFonts w:hint="eastAsia" w:hAnsi="宋体" w:cs="宋体"/>
                <w:szCs w:val="24"/>
                <w:highlight w:val="none"/>
              </w:rPr>
              <w:t>14</w:t>
            </w:r>
          </w:p>
        </w:tc>
        <w:tc>
          <w:tcPr>
            <w:tcW w:w="951" w:type="dxa"/>
            <w:vAlign w:val="center"/>
          </w:tcPr>
          <w:p w14:paraId="05421BE5">
            <w:pPr>
              <w:spacing w:after="156" w:afterLines="50" w:line="360" w:lineRule="auto"/>
              <w:jc w:val="center"/>
              <w:rPr>
                <w:rFonts w:hAnsi="宋体" w:cs="宋体"/>
                <w:szCs w:val="24"/>
                <w:highlight w:val="none"/>
              </w:rPr>
            </w:pPr>
            <w:r>
              <w:rPr>
                <w:rFonts w:hint="eastAsia" w:hAnsi="宋体" w:cs="宋体"/>
                <w:szCs w:val="24"/>
                <w:highlight w:val="none"/>
              </w:rPr>
              <w:t>29</w:t>
            </w:r>
          </w:p>
        </w:tc>
        <w:tc>
          <w:tcPr>
            <w:tcW w:w="7354" w:type="dxa"/>
            <w:vAlign w:val="center"/>
          </w:tcPr>
          <w:p w14:paraId="2C4C0C01">
            <w:pPr>
              <w:spacing w:line="360" w:lineRule="auto"/>
              <w:rPr>
                <w:rFonts w:hAnsi="宋体" w:cs="宋体"/>
                <w:szCs w:val="24"/>
                <w:highlight w:val="none"/>
              </w:rPr>
            </w:pPr>
            <w:r>
              <w:rPr>
                <w:rFonts w:hint="eastAsia" w:hAnsi="宋体" w:cs="宋体"/>
                <w:szCs w:val="24"/>
                <w:highlight w:val="none"/>
              </w:rPr>
              <w:t>磋商代理服务费：</w:t>
            </w:r>
          </w:p>
          <w:p w14:paraId="5E196B08">
            <w:pPr>
              <w:spacing w:line="560" w:lineRule="exact"/>
              <w:ind w:firstLine="480" w:firstLineChars="200"/>
              <w:rPr>
                <w:rFonts w:hAnsi="宋体" w:cs="宋体"/>
                <w:szCs w:val="24"/>
                <w:highlight w:val="none"/>
              </w:rPr>
            </w:pPr>
            <w:r>
              <w:rPr>
                <w:rFonts w:hint="eastAsia" w:hAnsi="宋体" w:cs="宋体"/>
                <w:szCs w:val="24"/>
                <w:highlight w:val="none"/>
              </w:rPr>
              <w:t>29.1按</w:t>
            </w:r>
            <w:bookmarkStart w:id="28" w:name="OLE_LINK10"/>
            <w:bookmarkStart w:id="29" w:name="OLE_LINK9"/>
            <w:r>
              <w:rPr>
                <w:rFonts w:hint="eastAsia" w:hAnsi="宋体" w:cs="宋体"/>
                <w:szCs w:val="24"/>
                <w:highlight w:val="none"/>
              </w:rPr>
              <w:t>国家计委颁发的《招标代理服务收费管理暂行办法》（计价格[2002]1980号）</w:t>
            </w:r>
            <w:r>
              <w:rPr>
                <w:rFonts w:hint="eastAsia" w:hAnsi="宋体" w:cs="宋体"/>
                <w:szCs w:val="24"/>
                <w:highlight w:val="none"/>
                <w:lang w:val="en-US" w:eastAsia="zh-CN"/>
              </w:rPr>
              <w:t>及</w:t>
            </w:r>
            <w:r>
              <w:rPr>
                <w:rFonts w:hint="eastAsia" w:hAnsi="宋体" w:cs="宋体"/>
                <w:szCs w:val="24"/>
                <w:highlight w:val="none"/>
              </w:rPr>
              <w:t>国家发展</w:t>
            </w:r>
            <w:r>
              <w:rPr>
                <w:rFonts w:hint="eastAsia" w:hAnsi="宋体" w:cs="宋体"/>
                <w:szCs w:val="24"/>
                <w:highlight w:val="none"/>
                <w:lang w:val="en-US" w:eastAsia="zh-CN"/>
              </w:rPr>
              <w:t>和</w:t>
            </w:r>
            <w:r>
              <w:rPr>
                <w:rFonts w:hint="eastAsia" w:hAnsi="宋体" w:cs="宋体"/>
                <w:szCs w:val="24"/>
                <w:highlight w:val="none"/>
              </w:rPr>
              <w:t>改革委员会办公厅颁发的《关于招标代理服务收费有关问题的通知》（发改办价格[2003]857号）的有关规定执行。</w:t>
            </w:r>
            <w:bookmarkEnd w:id="28"/>
            <w:bookmarkEnd w:id="29"/>
          </w:p>
          <w:p w14:paraId="29B087F7">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tc>
      </w:tr>
      <w:tr w14:paraId="0BF66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37D1EE69">
            <w:pPr>
              <w:spacing w:after="156" w:afterLines="50" w:line="360" w:lineRule="auto"/>
              <w:jc w:val="center"/>
              <w:rPr>
                <w:rFonts w:hAnsi="宋体" w:cs="宋体"/>
                <w:szCs w:val="24"/>
                <w:highlight w:val="none"/>
              </w:rPr>
            </w:pPr>
            <w:r>
              <w:rPr>
                <w:rFonts w:hint="eastAsia" w:hAnsi="宋体" w:cs="宋体"/>
                <w:szCs w:val="24"/>
                <w:highlight w:val="none"/>
              </w:rPr>
              <w:t>15</w:t>
            </w:r>
          </w:p>
        </w:tc>
        <w:tc>
          <w:tcPr>
            <w:tcW w:w="951" w:type="dxa"/>
            <w:vAlign w:val="center"/>
          </w:tcPr>
          <w:p w14:paraId="0D9CE55C">
            <w:pPr>
              <w:spacing w:line="360" w:lineRule="auto"/>
              <w:jc w:val="center"/>
              <w:rPr>
                <w:rFonts w:hAnsi="宋体" w:cs="宋体"/>
                <w:szCs w:val="24"/>
                <w:highlight w:val="none"/>
              </w:rPr>
            </w:pPr>
            <w:r>
              <w:rPr>
                <w:rFonts w:hint="eastAsia" w:hAnsi="宋体" w:cs="宋体"/>
                <w:szCs w:val="24"/>
                <w:highlight w:val="none"/>
              </w:rPr>
              <w:t>踏勘</w:t>
            </w:r>
          </w:p>
          <w:p w14:paraId="279A4871">
            <w:pPr>
              <w:spacing w:line="360" w:lineRule="auto"/>
              <w:jc w:val="center"/>
              <w:rPr>
                <w:rFonts w:hAnsi="宋体" w:cs="宋体"/>
                <w:szCs w:val="24"/>
                <w:highlight w:val="none"/>
              </w:rPr>
            </w:pPr>
            <w:r>
              <w:rPr>
                <w:rFonts w:hint="eastAsia" w:hAnsi="宋体" w:cs="宋体"/>
                <w:szCs w:val="24"/>
                <w:highlight w:val="none"/>
              </w:rPr>
              <w:t>现场</w:t>
            </w:r>
          </w:p>
        </w:tc>
        <w:tc>
          <w:tcPr>
            <w:tcW w:w="7354" w:type="dxa"/>
            <w:vAlign w:val="center"/>
          </w:tcPr>
          <w:p w14:paraId="09BF4E16">
            <w:pPr>
              <w:spacing w:line="360" w:lineRule="auto"/>
              <w:rPr>
                <w:rFonts w:hAnsi="宋体" w:cs="宋体"/>
                <w:szCs w:val="24"/>
                <w:highlight w:val="none"/>
              </w:rPr>
            </w:pPr>
            <w:r>
              <w:rPr>
                <w:rFonts w:hint="eastAsia" w:hAnsi="宋体" w:cs="宋体"/>
                <w:szCs w:val="24"/>
                <w:highlight w:val="none"/>
              </w:rPr>
              <w:t>1）招标代理机构不组织统一踏勘，各投标人自行踏勘，相关费用及安全由投标人自行承担，踏勘时遵守相关规定，不得扰民。</w:t>
            </w:r>
          </w:p>
          <w:p w14:paraId="207E7F3E">
            <w:pPr>
              <w:spacing w:line="360" w:lineRule="auto"/>
              <w:rPr>
                <w:rFonts w:hAnsi="宋体" w:cs="宋体"/>
                <w:szCs w:val="24"/>
                <w:highlight w:val="none"/>
              </w:rPr>
            </w:pPr>
            <w:r>
              <w:rPr>
                <w:rFonts w:hint="eastAsia" w:hAnsi="宋体" w:cs="宋体"/>
                <w:szCs w:val="24"/>
                <w:highlight w:val="none"/>
              </w:rPr>
              <w:t>2）踏勘内容包含：完成本次招标所需要的现场情况及周围环境等资料。</w:t>
            </w:r>
          </w:p>
        </w:tc>
      </w:tr>
      <w:tr w14:paraId="665F7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0124311">
            <w:pPr>
              <w:spacing w:after="156" w:afterLines="50" w:line="360" w:lineRule="auto"/>
              <w:jc w:val="center"/>
              <w:rPr>
                <w:rFonts w:hAnsi="宋体" w:cs="宋体"/>
                <w:szCs w:val="24"/>
                <w:highlight w:val="none"/>
              </w:rPr>
            </w:pPr>
            <w:r>
              <w:rPr>
                <w:rFonts w:hint="eastAsia" w:hAnsi="宋体" w:cs="宋体"/>
                <w:szCs w:val="24"/>
                <w:highlight w:val="none"/>
              </w:rPr>
              <w:t>16</w:t>
            </w:r>
          </w:p>
        </w:tc>
        <w:tc>
          <w:tcPr>
            <w:tcW w:w="951" w:type="dxa"/>
            <w:vAlign w:val="center"/>
          </w:tcPr>
          <w:p w14:paraId="140C115D">
            <w:pPr>
              <w:jc w:val="center"/>
              <w:rPr>
                <w:rFonts w:hAnsi="宋体" w:cs="宋体"/>
                <w:b/>
                <w:bCs/>
                <w:szCs w:val="24"/>
                <w:highlight w:val="none"/>
              </w:rPr>
            </w:pPr>
            <w:r>
              <w:rPr>
                <w:rFonts w:hint="eastAsia" w:hAnsi="宋体" w:cs="宋体"/>
                <w:b/>
                <w:bCs/>
                <w:szCs w:val="24"/>
                <w:highlight w:val="none"/>
              </w:rPr>
              <w:t>银行</w:t>
            </w:r>
          </w:p>
          <w:p w14:paraId="5E5F74D5">
            <w:pPr>
              <w:jc w:val="center"/>
              <w:rPr>
                <w:rFonts w:hAnsi="宋体" w:cs="宋体"/>
                <w:b/>
                <w:bCs/>
                <w:szCs w:val="24"/>
                <w:highlight w:val="none"/>
              </w:rPr>
            </w:pPr>
            <w:r>
              <w:rPr>
                <w:rFonts w:hint="eastAsia" w:hAnsi="宋体" w:cs="宋体"/>
                <w:b/>
                <w:bCs/>
                <w:szCs w:val="24"/>
                <w:highlight w:val="none"/>
              </w:rPr>
              <w:t>账户</w:t>
            </w:r>
          </w:p>
          <w:p w14:paraId="47FAA0A3">
            <w:pPr>
              <w:jc w:val="center"/>
              <w:rPr>
                <w:rFonts w:hAnsi="宋体" w:cs="宋体"/>
                <w:szCs w:val="24"/>
                <w:highlight w:val="none"/>
              </w:rPr>
            </w:pPr>
            <w:r>
              <w:rPr>
                <w:rFonts w:hint="eastAsia" w:hAnsi="宋体" w:cs="宋体"/>
                <w:b/>
                <w:bCs/>
                <w:szCs w:val="24"/>
                <w:highlight w:val="none"/>
              </w:rPr>
              <w:t>信息</w:t>
            </w:r>
          </w:p>
        </w:tc>
        <w:tc>
          <w:tcPr>
            <w:tcW w:w="7354" w:type="dxa"/>
            <w:vAlign w:val="center"/>
          </w:tcPr>
          <w:p w14:paraId="066DE6F3">
            <w:pPr>
              <w:spacing w:line="520" w:lineRule="exact"/>
              <w:rPr>
                <w:rFonts w:hAnsi="宋体" w:cs="宋体"/>
                <w:b/>
                <w:bCs/>
                <w:szCs w:val="24"/>
                <w:highlight w:val="none"/>
              </w:rPr>
            </w:pPr>
            <w:r>
              <w:rPr>
                <w:rFonts w:hint="eastAsia" w:hAnsi="宋体" w:cs="宋体"/>
                <w:b/>
                <w:bCs/>
                <w:szCs w:val="24"/>
                <w:highlight w:val="none"/>
              </w:rPr>
              <w:t>1、保证金及代理服务费账户：</w:t>
            </w:r>
          </w:p>
          <w:p w14:paraId="194C8EAE">
            <w:pPr>
              <w:spacing w:line="360" w:lineRule="auto"/>
              <w:ind w:firstLine="482" w:firstLineChars="200"/>
              <w:rPr>
                <w:rFonts w:hAnsi="宋体" w:cs="宋体"/>
                <w:b/>
                <w:bCs/>
                <w:szCs w:val="24"/>
                <w:highlight w:val="none"/>
              </w:rPr>
            </w:pPr>
            <w:r>
              <w:rPr>
                <w:rFonts w:hint="eastAsia" w:hAnsi="宋体" w:cs="宋体"/>
                <w:b/>
                <w:bCs/>
                <w:szCs w:val="24"/>
                <w:highlight w:val="none"/>
              </w:rPr>
              <w:t>①采购代理机构开户名称: 陕西至诚项目管理集团有限公司</w:t>
            </w:r>
          </w:p>
          <w:p w14:paraId="6019189D">
            <w:pPr>
              <w:spacing w:line="360" w:lineRule="auto"/>
              <w:ind w:firstLine="482" w:firstLineChars="200"/>
              <w:rPr>
                <w:rFonts w:hAnsi="宋体" w:cs="宋体"/>
                <w:b/>
                <w:bCs/>
                <w:szCs w:val="24"/>
                <w:highlight w:val="none"/>
              </w:rPr>
            </w:pPr>
            <w:r>
              <w:rPr>
                <w:rFonts w:hint="eastAsia" w:hAnsi="宋体" w:cs="宋体"/>
                <w:b/>
                <w:bCs/>
                <w:szCs w:val="24"/>
                <w:highlight w:val="none"/>
              </w:rPr>
              <w:t>②开户行名称：中国建设银行股份有限公司西安高新技术产业开发区支行</w:t>
            </w:r>
          </w:p>
          <w:p w14:paraId="126037B9">
            <w:pPr>
              <w:pStyle w:val="10"/>
              <w:rPr>
                <w:rFonts w:ascii="宋体" w:hAnsi="宋体" w:cs="宋体"/>
                <w:szCs w:val="24"/>
                <w:highlight w:val="none"/>
              </w:rPr>
            </w:pPr>
            <w:r>
              <w:rPr>
                <w:rFonts w:hint="eastAsia" w:ascii="宋体" w:hAnsi="宋体" w:cs="宋体"/>
                <w:b/>
                <w:bCs/>
                <w:sz w:val="24"/>
                <w:szCs w:val="24"/>
                <w:highlight w:val="none"/>
              </w:rPr>
              <w:t>2、账号：61050192090000002152</w:t>
            </w:r>
          </w:p>
        </w:tc>
      </w:tr>
      <w:tr w14:paraId="2EA0D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1B701B4">
            <w:pPr>
              <w:spacing w:after="156" w:afterLines="50" w:line="360" w:lineRule="auto"/>
              <w:jc w:val="center"/>
              <w:rPr>
                <w:rFonts w:hAnsi="宋体" w:cs="宋体"/>
                <w:szCs w:val="24"/>
                <w:highlight w:val="none"/>
              </w:rPr>
            </w:pPr>
            <w:r>
              <w:rPr>
                <w:rFonts w:hint="eastAsia" w:hAnsi="宋体" w:cs="宋体"/>
                <w:szCs w:val="24"/>
                <w:highlight w:val="none"/>
              </w:rPr>
              <w:t>17</w:t>
            </w:r>
          </w:p>
        </w:tc>
        <w:tc>
          <w:tcPr>
            <w:tcW w:w="951" w:type="dxa"/>
            <w:vAlign w:val="center"/>
          </w:tcPr>
          <w:p w14:paraId="7DDFA86E">
            <w:pPr>
              <w:widowControl/>
              <w:spacing w:line="360" w:lineRule="auto"/>
              <w:jc w:val="center"/>
              <w:rPr>
                <w:rFonts w:hAnsi="宋体" w:cs="宋体"/>
                <w:b/>
                <w:bCs/>
                <w:szCs w:val="24"/>
                <w:highlight w:val="none"/>
              </w:rPr>
            </w:pPr>
            <w:r>
              <w:rPr>
                <w:rFonts w:hint="eastAsia" w:hAnsi="宋体" w:cs="宋体"/>
                <w:b/>
                <w:bCs/>
                <w:szCs w:val="24"/>
                <w:highlight w:val="none"/>
              </w:rPr>
              <w:t>项目</w:t>
            </w:r>
          </w:p>
          <w:p w14:paraId="6B0235E1">
            <w:pPr>
              <w:widowControl/>
              <w:spacing w:line="360" w:lineRule="auto"/>
              <w:jc w:val="center"/>
              <w:rPr>
                <w:rFonts w:hAnsi="宋体" w:cs="宋体"/>
                <w:b/>
                <w:bCs/>
                <w:szCs w:val="24"/>
                <w:highlight w:val="none"/>
              </w:rPr>
            </w:pPr>
            <w:r>
              <w:rPr>
                <w:rFonts w:hint="eastAsia" w:hAnsi="宋体" w:cs="宋体"/>
                <w:b/>
                <w:bCs/>
                <w:szCs w:val="24"/>
                <w:highlight w:val="none"/>
              </w:rPr>
              <w:t>性质</w:t>
            </w:r>
          </w:p>
        </w:tc>
        <w:tc>
          <w:tcPr>
            <w:tcW w:w="7354" w:type="dxa"/>
            <w:vAlign w:val="center"/>
          </w:tcPr>
          <w:p w14:paraId="1D7B84FC">
            <w:pPr>
              <w:spacing w:line="500" w:lineRule="exact"/>
              <w:rPr>
                <w:rFonts w:hAnsi="宋体" w:cs="宋体"/>
                <w:b/>
                <w:bCs/>
                <w:szCs w:val="24"/>
                <w:highlight w:val="none"/>
              </w:rPr>
            </w:pPr>
            <w:r>
              <w:rPr>
                <w:rFonts w:hint="eastAsia" w:hAnsi="宋体" w:cs="宋体"/>
                <w:b/>
                <w:bCs/>
                <w:szCs w:val="24"/>
                <w:highlight w:val="none"/>
              </w:rPr>
              <w:t>本项目专门面向中小企业；</w:t>
            </w:r>
          </w:p>
        </w:tc>
      </w:tr>
      <w:tr w14:paraId="343E5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596FDBD">
            <w:pPr>
              <w:spacing w:after="156" w:afterLines="50" w:line="360" w:lineRule="auto"/>
              <w:jc w:val="center"/>
              <w:rPr>
                <w:rFonts w:hAnsi="宋体" w:cs="宋体"/>
                <w:szCs w:val="24"/>
                <w:highlight w:val="none"/>
              </w:rPr>
            </w:pPr>
            <w:r>
              <w:rPr>
                <w:rFonts w:hint="eastAsia" w:hAnsi="宋体" w:cs="宋体"/>
                <w:szCs w:val="24"/>
                <w:highlight w:val="none"/>
              </w:rPr>
              <w:t>18</w:t>
            </w:r>
          </w:p>
        </w:tc>
        <w:tc>
          <w:tcPr>
            <w:tcW w:w="951" w:type="dxa"/>
            <w:vAlign w:val="center"/>
          </w:tcPr>
          <w:p w14:paraId="707C8DB1">
            <w:pPr>
              <w:widowControl/>
              <w:spacing w:line="360" w:lineRule="auto"/>
              <w:jc w:val="center"/>
              <w:rPr>
                <w:rFonts w:hAnsi="宋体" w:cs="宋体"/>
                <w:b/>
                <w:bCs/>
                <w:szCs w:val="24"/>
                <w:highlight w:val="none"/>
              </w:rPr>
            </w:pPr>
            <w:r>
              <w:rPr>
                <w:rFonts w:hint="eastAsia" w:hAnsi="宋体" w:cs="宋体"/>
                <w:b/>
                <w:bCs/>
                <w:szCs w:val="24"/>
                <w:highlight w:val="none"/>
              </w:rPr>
              <w:t>项目所属行业</w:t>
            </w:r>
          </w:p>
        </w:tc>
        <w:tc>
          <w:tcPr>
            <w:tcW w:w="7354" w:type="dxa"/>
            <w:vAlign w:val="center"/>
          </w:tcPr>
          <w:p w14:paraId="2232DEEA">
            <w:pPr>
              <w:spacing w:line="500" w:lineRule="exact"/>
              <w:rPr>
                <w:rFonts w:hint="eastAsia" w:hAnsi="宋体" w:eastAsia="宋体" w:cs="宋体"/>
                <w:b/>
                <w:bCs/>
                <w:szCs w:val="24"/>
                <w:highlight w:val="none"/>
                <w:lang w:eastAsia="zh-CN"/>
              </w:rPr>
            </w:pPr>
            <w:r>
              <w:rPr>
                <w:rFonts w:hint="eastAsia" w:hAnsi="宋体" w:cs="宋体"/>
                <w:b/>
                <w:bCs/>
                <w:szCs w:val="24"/>
                <w:highlight w:val="none"/>
                <w:lang w:val="en-US" w:eastAsia="zh-CN"/>
              </w:rPr>
              <w:t>工业</w:t>
            </w:r>
          </w:p>
        </w:tc>
      </w:tr>
      <w:tr w14:paraId="4D907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502BF013">
            <w:pPr>
              <w:spacing w:after="156" w:afterLines="50"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19</w:t>
            </w:r>
          </w:p>
        </w:tc>
        <w:tc>
          <w:tcPr>
            <w:tcW w:w="951" w:type="dxa"/>
            <w:vAlign w:val="center"/>
          </w:tcPr>
          <w:p w14:paraId="3FAFB7B3">
            <w:pPr>
              <w:widowControl/>
              <w:spacing w:line="360" w:lineRule="auto"/>
              <w:jc w:val="center"/>
              <w:rPr>
                <w:rFonts w:hint="eastAsia" w:hAnsi="宋体" w:eastAsia="宋体" w:cs="宋体"/>
                <w:b/>
                <w:bCs/>
                <w:color w:val="auto"/>
                <w:szCs w:val="24"/>
                <w:highlight w:val="none"/>
                <w:lang w:val="en-US" w:eastAsia="zh-CN"/>
              </w:rPr>
            </w:pPr>
            <w:r>
              <w:rPr>
                <w:rFonts w:hint="eastAsia" w:hAnsi="宋体" w:cs="宋体"/>
                <w:b/>
                <w:bCs/>
                <w:color w:val="auto"/>
                <w:szCs w:val="24"/>
                <w:highlight w:val="none"/>
                <w:lang w:val="en-US" w:eastAsia="zh-CN"/>
              </w:rPr>
              <w:t>核心产品</w:t>
            </w:r>
          </w:p>
        </w:tc>
        <w:tc>
          <w:tcPr>
            <w:tcW w:w="7354" w:type="dxa"/>
            <w:vAlign w:val="center"/>
          </w:tcPr>
          <w:p w14:paraId="151C0179">
            <w:pPr>
              <w:spacing w:line="500" w:lineRule="exact"/>
              <w:rPr>
                <w:rFonts w:hint="eastAsia" w:hAnsi="宋体" w:cs="宋体"/>
                <w:b/>
                <w:bCs/>
                <w:color w:val="auto"/>
                <w:szCs w:val="24"/>
                <w:highlight w:val="none"/>
                <w:lang w:val="en-US" w:eastAsia="zh-CN"/>
              </w:rPr>
            </w:pPr>
            <w:r>
              <w:rPr>
                <w:rFonts w:hint="eastAsia" w:hAnsi="宋体" w:cs="宋体"/>
                <w:b/>
                <w:bCs/>
                <w:color w:val="auto"/>
                <w:szCs w:val="24"/>
                <w:highlight w:val="none"/>
                <w:lang w:val="en-US" w:eastAsia="zh-CN"/>
              </w:rPr>
              <w:t>PAM（阳离子）</w:t>
            </w:r>
          </w:p>
        </w:tc>
      </w:tr>
      <w:tr w14:paraId="3C986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5FA12DC5">
            <w:pPr>
              <w:spacing w:after="156" w:afterLines="50" w:line="360" w:lineRule="auto"/>
              <w:jc w:val="center"/>
              <w:rPr>
                <w:rFonts w:hAnsi="宋体" w:cs="宋体"/>
                <w:szCs w:val="24"/>
                <w:highlight w:val="none"/>
              </w:rPr>
            </w:pPr>
            <w:r>
              <w:rPr>
                <w:rFonts w:hint="eastAsia" w:hAnsi="宋体" w:cs="宋体"/>
                <w:szCs w:val="24"/>
                <w:highlight w:val="none"/>
              </w:rPr>
              <w:t>19</w:t>
            </w:r>
          </w:p>
        </w:tc>
        <w:tc>
          <w:tcPr>
            <w:tcW w:w="951" w:type="dxa"/>
            <w:vAlign w:val="center"/>
          </w:tcPr>
          <w:p w14:paraId="440B67E1">
            <w:pPr>
              <w:widowControl/>
              <w:spacing w:line="360" w:lineRule="auto"/>
              <w:jc w:val="center"/>
              <w:rPr>
                <w:rFonts w:hAnsi="宋体" w:cs="宋体"/>
                <w:b/>
                <w:bCs/>
                <w:szCs w:val="24"/>
                <w:highlight w:val="none"/>
              </w:rPr>
            </w:pPr>
            <w:r>
              <w:rPr>
                <w:rFonts w:hint="eastAsia" w:hAnsi="宋体" w:cs="宋体"/>
                <w:kern w:val="2"/>
                <w:szCs w:val="24"/>
                <w:highlight w:val="none"/>
              </w:rPr>
              <w:t>其他</w:t>
            </w:r>
          </w:p>
        </w:tc>
        <w:tc>
          <w:tcPr>
            <w:tcW w:w="7354" w:type="dxa"/>
            <w:vAlign w:val="center"/>
          </w:tcPr>
          <w:p w14:paraId="6F7888EA">
            <w:pPr>
              <w:spacing w:line="360" w:lineRule="auto"/>
              <w:ind w:firstLine="480" w:firstLineChars="200"/>
              <w:rPr>
                <w:rFonts w:hAnsi="宋体" w:cs="宋体"/>
                <w:szCs w:val="32"/>
                <w:highlight w:val="none"/>
              </w:rPr>
            </w:pPr>
            <w:r>
              <w:rPr>
                <w:rFonts w:hint="eastAsia" w:hAnsi="宋体" w:cs="宋体"/>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6D01B3F0">
            <w:pPr>
              <w:spacing w:line="360" w:lineRule="auto"/>
              <w:rPr>
                <w:rFonts w:hAnsi="宋体" w:cs="宋体"/>
                <w:szCs w:val="32"/>
                <w:highlight w:val="none"/>
              </w:rPr>
            </w:pPr>
            <w:r>
              <w:rPr>
                <w:rFonts w:hint="eastAsia" w:hAnsi="宋体" w:cs="宋体"/>
                <w:szCs w:val="32"/>
                <w:highlight w:val="none"/>
              </w:rPr>
              <w:t>(http://www.ccgp-shaanxi.gov.cn/zcdservice/zcd/shan xi/）在线申请，依法参加政府采购信用融资活动。</w:t>
            </w:r>
          </w:p>
          <w:p w14:paraId="13EF785D">
            <w:pPr>
              <w:spacing w:line="500" w:lineRule="exact"/>
              <w:ind w:firstLine="480" w:firstLineChars="200"/>
              <w:rPr>
                <w:rFonts w:hAnsi="宋体" w:cs="宋体"/>
                <w:b/>
                <w:bCs/>
                <w:szCs w:val="24"/>
                <w:highlight w:val="none"/>
              </w:rPr>
            </w:pPr>
            <w:r>
              <w:rPr>
                <w:rFonts w:hint="eastAsia" w:hAnsi="宋体" w:cs="宋体"/>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6314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F99C4B2">
            <w:pPr>
              <w:widowControl/>
              <w:spacing w:line="360" w:lineRule="auto"/>
              <w:jc w:val="center"/>
              <w:rPr>
                <w:rFonts w:hint="default" w:hAnsi="宋体" w:eastAsia="宋体" w:cs="宋体"/>
                <w:b/>
                <w:bCs/>
                <w:szCs w:val="24"/>
                <w:highlight w:val="none"/>
                <w:lang w:val="en-US" w:eastAsia="zh-CN"/>
              </w:rPr>
            </w:pPr>
            <w:r>
              <w:rPr>
                <w:rFonts w:hint="eastAsia" w:hAnsi="宋体" w:cs="宋体"/>
                <w:b/>
                <w:bCs/>
                <w:szCs w:val="24"/>
                <w:highlight w:val="none"/>
                <w:lang w:val="en-US" w:eastAsia="zh-CN"/>
              </w:rPr>
              <w:t>20</w:t>
            </w:r>
          </w:p>
        </w:tc>
        <w:tc>
          <w:tcPr>
            <w:tcW w:w="951" w:type="dxa"/>
            <w:vAlign w:val="center"/>
          </w:tcPr>
          <w:p w14:paraId="2651DA46">
            <w:pPr>
              <w:widowControl/>
              <w:spacing w:line="360" w:lineRule="auto"/>
              <w:jc w:val="center"/>
              <w:rPr>
                <w:rFonts w:hAnsi="宋体" w:cs="宋体"/>
                <w:b/>
                <w:bCs/>
                <w:szCs w:val="24"/>
                <w:highlight w:val="none"/>
              </w:rPr>
            </w:pPr>
            <w:r>
              <w:rPr>
                <w:rFonts w:hint="eastAsia" w:hAnsi="宋体" w:cs="宋体"/>
                <w:b/>
                <w:bCs/>
                <w:szCs w:val="24"/>
                <w:highlight w:val="none"/>
              </w:rPr>
              <w:t>备注</w:t>
            </w:r>
          </w:p>
        </w:tc>
        <w:tc>
          <w:tcPr>
            <w:tcW w:w="7354" w:type="dxa"/>
            <w:vAlign w:val="center"/>
          </w:tcPr>
          <w:p w14:paraId="32F24D70">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18C36329">
            <w:pPr>
              <w:spacing w:line="500" w:lineRule="exact"/>
              <w:ind w:firstLine="482" w:firstLineChars="200"/>
              <w:rPr>
                <w:rFonts w:hAnsi="宋体" w:cs="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bookmarkEnd w:id="9"/>
      <w:bookmarkEnd w:id="10"/>
      <w:bookmarkEnd w:id="11"/>
    </w:tbl>
    <w:p w14:paraId="7D9F91F9">
      <w:pPr>
        <w:spacing w:before="156" w:beforeLines="50" w:after="156" w:afterLines="50"/>
        <w:jc w:val="center"/>
        <w:outlineLvl w:val="2"/>
        <w:rPr>
          <w:rFonts w:hAnsi="宋体" w:cs="宋体"/>
          <w:sz w:val="32"/>
          <w:szCs w:val="32"/>
          <w:highlight w:val="none"/>
        </w:rPr>
      </w:pPr>
      <w:bookmarkStart w:id="30" w:name="_Toc363474017"/>
      <w:bookmarkStart w:id="31" w:name="_Toc363473972"/>
      <w:bookmarkStart w:id="32" w:name="_Toc403077639"/>
      <w:r>
        <w:rPr>
          <w:rFonts w:hint="eastAsia" w:hAnsi="宋体" w:cs="宋体"/>
          <w:b/>
          <w:sz w:val="32"/>
          <w:szCs w:val="32"/>
          <w:highlight w:val="none"/>
        </w:rPr>
        <w:br w:type="page"/>
      </w:r>
      <w:bookmarkStart w:id="33" w:name="_Toc4670"/>
      <w:bookmarkStart w:id="34" w:name="_Toc27537"/>
      <w:bookmarkStart w:id="35" w:name="_Toc3623"/>
      <w:r>
        <w:rPr>
          <w:rFonts w:hint="eastAsia" w:hAnsi="宋体" w:cs="宋体"/>
          <w:b/>
          <w:sz w:val="32"/>
          <w:szCs w:val="32"/>
          <w:highlight w:val="none"/>
        </w:rPr>
        <w:t>一.总  则</w:t>
      </w:r>
      <w:bookmarkEnd w:id="30"/>
      <w:bookmarkEnd w:id="31"/>
      <w:bookmarkEnd w:id="32"/>
      <w:bookmarkEnd w:id="33"/>
      <w:bookmarkEnd w:id="34"/>
      <w:bookmarkEnd w:id="35"/>
    </w:p>
    <w:p w14:paraId="4B04B103">
      <w:pPr>
        <w:spacing w:line="360" w:lineRule="auto"/>
        <w:rPr>
          <w:rFonts w:hAnsi="宋体" w:cs="宋体"/>
          <w:b/>
          <w:szCs w:val="24"/>
          <w:highlight w:val="none"/>
        </w:rPr>
      </w:pPr>
      <w:r>
        <w:rPr>
          <w:rFonts w:hint="eastAsia" w:hAnsi="宋体" w:cs="宋体"/>
          <w:b/>
          <w:szCs w:val="24"/>
          <w:highlight w:val="none"/>
        </w:rPr>
        <w:t>1.资金来源</w:t>
      </w:r>
    </w:p>
    <w:p w14:paraId="3E3ED9BE">
      <w:pPr>
        <w:spacing w:line="360" w:lineRule="auto"/>
        <w:ind w:firstLine="480" w:firstLineChars="200"/>
        <w:rPr>
          <w:rFonts w:hAnsi="宋体" w:cs="宋体"/>
          <w:szCs w:val="24"/>
          <w:highlight w:val="none"/>
        </w:rPr>
      </w:pPr>
      <w:r>
        <w:rPr>
          <w:rFonts w:hint="eastAsia" w:hAnsi="宋体" w:cs="宋体"/>
          <w:szCs w:val="24"/>
          <w:highlight w:val="none"/>
        </w:rPr>
        <w:t>1.1本次竞争性磋商所签合同使用财政拨款支付，资金已落实到位。</w:t>
      </w:r>
    </w:p>
    <w:p w14:paraId="4A8C302B">
      <w:pPr>
        <w:numPr>
          <w:ilvl w:val="0"/>
          <w:numId w:val="1"/>
        </w:numPr>
        <w:spacing w:line="500" w:lineRule="exact"/>
        <w:rPr>
          <w:rFonts w:hAnsi="宋体" w:cs="宋体"/>
          <w:b/>
          <w:szCs w:val="24"/>
          <w:highlight w:val="none"/>
        </w:rPr>
      </w:pPr>
      <w:bookmarkStart w:id="36" w:name="_Toc403077640"/>
      <w:bookmarkStart w:id="37" w:name="_Toc363473973"/>
      <w:bookmarkStart w:id="38" w:name="_Toc363474018"/>
      <w:r>
        <w:rPr>
          <w:rFonts w:hint="eastAsia" w:hAnsi="宋体" w:cs="宋体"/>
          <w:b/>
          <w:szCs w:val="24"/>
          <w:highlight w:val="none"/>
        </w:rPr>
        <w:t>名词解释</w:t>
      </w:r>
    </w:p>
    <w:p w14:paraId="67A0D12C">
      <w:pPr>
        <w:tabs>
          <w:tab w:val="left" w:pos="7665"/>
        </w:tabs>
        <w:spacing w:line="360" w:lineRule="auto"/>
        <w:ind w:firstLine="480" w:firstLineChars="200"/>
        <w:rPr>
          <w:rFonts w:hint="eastAsia" w:hAnsi="宋体" w:cs="宋体"/>
          <w:szCs w:val="22"/>
          <w:highlight w:val="none"/>
          <w:lang w:eastAsia="zh-CN"/>
        </w:rPr>
      </w:pPr>
      <w:r>
        <w:rPr>
          <w:rFonts w:hint="eastAsia" w:hAnsi="宋体" w:cs="宋体"/>
          <w:szCs w:val="22"/>
          <w:highlight w:val="none"/>
        </w:rPr>
        <w:t>2.1采购人：</w:t>
      </w:r>
      <w:r>
        <w:rPr>
          <w:rFonts w:hint="eastAsia" w:hAnsi="宋体" w:cs="宋体"/>
          <w:szCs w:val="22"/>
          <w:highlight w:val="none"/>
          <w:lang w:eastAsia="zh-CN"/>
        </w:rPr>
        <w:t>柞水县城市管理局</w:t>
      </w:r>
    </w:p>
    <w:p w14:paraId="43D94D44">
      <w:pPr>
        <w:tabs>
          <w:tab w:val="left" w:pos="7665"/>
        </w:tabs>
        <w:spacing w:line="360" w:lineRule="auto"/>
        <w:ind w:firstLine="480" w:firstLineChars="200"/>
        <w:rPr>
          <w:rFonts w:hAnsi="宋体" w:cs="宋体"/>
          <w:szCs w:val="22"/>
          <w:highlight w:val="none"/>
        </w:rPr>
      </w:pPr>
      <w:r>
        <w:rPr>
          <w:rFonts w:hint="eastAsia" w:hAnsi="宋体" w:cs="宋体"/>
          <w:szCs w:val="22"/>
          <w:highlight w:val="none"/>
        </w:rPr>
        <w:t>2.2监督机构：同级人民政府财政部门</w:t>
      </w:r>
    </w:p>
    <w:p w14:paraId="1044F9FD">
      <w:pPr>
        <w:tabs>
          <w:tab w:val="left" w:pos="7665"/>
        </w:tabs>
        <w:spacing w:line="360" w:lineRule="auto"/>
        <w:ind w:firstLine="480" w:firstLineChars="200"/>
        <w:rPr>
          <w:rFonts w:hAnsi="宋体" w:cs="宋体"/>
          <w:highlight w:val="none"/>
        </w:rPr>
      </w:pPr>
      <w:r>
        <w:rPr>
          <w:rFonts w:hint="eastAsia" w:hAnsi="宋体" w:cs="宋体"/>
          <w:szCs w:val="22"/>
          <w:highlight w:val="none"/>
        </w:rPr>
        <w:t>2.3采购代理机构：陕西至诚项目管理集团有限公司</w:t>
      </w:r>
    </w:p>
    <w:p w14:paraId="4A17C7C8">
      <w:pPr>
        <w:tabs>
          <w:tab w:val="left" w:pos="7665"/>
        </w:tabs>
        <w:spacing w:line="360" w:lineRule="auto"/>
        <w:ind w:firstLine="480" w:firstLineChars="200"/>
        <w:rPr>
          <w:rFonts w:hAnsi="宋体" w:cs="宋体"/>
          <w:highlight w:val="none"/>
        </w:rPr>
      </w:pPr>
      <w:r>
        <w:rPr>
          <w:rFonts w:hint="eastAsia" w:hAnsi="宋体" w:cs="宋体"/>
          <w:highlight w:val="none"/>
        </w:rPr>
        <w:t>2.4供应商：是指响应和符合竞争性磋商文件规定资格条件且参与竞争性磋商的法人、其他组织或者自然人。</w:t>
      </w:r>
    </w:p>
    <w:p w14:paraId="53B23D77">
      <w:pPr>
        <w:adjustRightInd w:val="0"/>
        <w:snapToGrid w:val="0"/>
        <w:spacing w:line="360" w:lineRule="auto"/>
        <w:ind w:firstLine="480" w:firstLineChars="200"/>
        <w:rPr>
          <w:rFonts w:hAnsi="宋体" w:cs="宋体"/>
          <w:highlight w:val="none"/>
        </w:rPr>
      </w:pPr>
      <w:r>
        <w:rPr>
          <w:rFonts w:hint="eastAsia" w:hAnsi="宋体" w:cs="宋体"/>
          <w:highlight w:val="none"/>
        </w:rPr>
        <w:t>2.5产品是指本竞争性磋商文件中第四章所述所有产品。</w:t>
      </w:r>
    </w:p>
    <w:p w14:paraId="3FD04C76">
      <w:pPr>
        <w:adjustRightInd w:val="0"/>
        <w:snapToGrid w:val="0"/>
        <w:spacing w:line="360" w:lineRule="auto"/>
        <w:ind w:firstLine="480" w:firstLineChars="200"/>
        <w:rPr>
          <w:rFonts w:hAnsi="宋体" w:cs="宋体"/>
          <w:highlight w:val="none"/>
        </w:rPr>
      </w:pPr>
      <w:r>
        <w:rPr>
          <w:rFonts w:hint="eastAsia" w:hAnsi="宋体" w:cs="宋体"/>
          <w:highlight w:val="none"/>
        </w:rPr>
        <w:t>2.6服务是指供应商为满足竞争性磋商文件要求而提供的服务。</w:t>
      </w:r>
    </w:p>
    <w:p w14:paraId="53F43E4D">
      <w:pPr>
        <w:adjustRightInd w:val="0"/>
        <w:snapToGrid w:val="0"/>
        <w:spacing w:line="360" w:lineRule="auto"/>
        <w:ind w:firstLine="480" w:firstLineChars="200"/>
        <w:rPr>
          <w:rFonts w:hAnsi="宋体" w:cs="宋体"/>
          <w:highlight w:val="none"/>
        </w:rPr>
      </w:pPr>
      <w:r>
        <w:rPr>
          <w:rFonts w:hint="eastAsia" w:hAnsi="宋体" w:cs="宋体"/>
          <w:highlight w:val="none"/>
        </w:rPr>
        <w:t>2.7节能产品或者环保产品是指依据国家确定的认证机构出具的、处于有效期之内的具有节能产品、环境标志产品认证证书的产品。</w:t>
      </w:r>
    </w:p>
    <w:p w14:paraId="7943085B">
      <w:pPr>
        <w:adjustRightInd w:val="0"/>
        <w:snapToGrid w:val="0"/>
        <w:spacing w:line="360" w:lineRule="auto"/>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52B1C888">
      <w:pPr>
        <w:adjustRightInd w:val="0"/>
        <w:snapToGrid w:val="0"/>
        <w:spacing w:line="360" w:lineRule="auto"/>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5F61F527">
      <w:pPr>
        <w:adjustRightInd w:val="0"/>
        <w:snapToGrid w:val="0"/>
        <w:spacing w:line="360" w:lineRule="auto"/>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175FB0">
      <w:pPr>
        <w:adjustRightInd w:val="0"/>
        <w:snapToGrid w:val="0"/>
        <w:spacing w:line="360" w:lineRule="auto"/>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652FFC10">
      <w:pPr>
        <w:spacing w:line="500" w:lineRule="exact"/>
        <w:rPr>
          <w:rFonts w:hAnsi="宋体" w:cs="宋体"/>
          <w:b/>
          <w:szCs w:val="24"/>
          <w:highlight w:val="none"/>
        </w:rPr>
      </w:pPr>
      <w:r>
        <w:rPr>
          <w:rFonts w:hint="eastAsia" w:hAnsi="宋体" w:cs="宋体"/>
          <w:b/>
          <w:szCs w:val="24"/>
          <w:highlight w:val="none"/>
        </w:rPr>
        <w:t>3.合格的供应商</w:t>
      </w:r>
    </w:p>
    <w:p w14:paraId="59CD9D0B">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w:t>
      </w:r>
      <w:r>
        <w:rPr>
          <w:rFonts w:hint="eastAsia" w:hAnsi="宋体" w:cs="宋体"/>
          <w:szCs w:val="24"/>
          <w:highlight w:val="none"/>
          <w:lang w:val="en-US" w:eastAsia="zh-CN"/>
        </w:rPr>
        <w:t>中华人民共和国</w:t>
      </w:r>
      <w:r>
        <w:rPr>
          <w:rFonts w:hint="eastAsia" w:hAnsi="宋体" w:cs="宋体"/>
          <w:szCs w:val="24"/>
          <w:highlight w:val="none"/>
        </w:rPr>
        <w:t>政府采购法》第二十二条第一款规定的供应商基本资格条件:</w:t>
      </w:r>
    </w:p>
    <w:p w14:paraId="7095AF5C">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7243FEF6">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66709432">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726354CB">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34A1D28D">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572AC1FB">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5D4A4DB1">
      <w:pPr>
        <w:spacing w:line="500" w:lineRule="exact"/>
        <w:ind w:firstLine="482" w:firstLineChars="200"/>
        <w:rPr>
          <w:rFonts w:hAnsi="宋体" w:cs="宋体"/>
          <w:b/>
          <w:bCs/>
          <w:szCs w:val="24"/>
          <w:highlight w:val="none"/>
        </w:rPr>
      </w:pPr>
      <w:r>
        <w:rPr>
          <w:rFonts w:hint="eastAsia" w:hAnsi="宋体" w:cs="宋体"/>
          <w:b/>
          <w:bCs/>
          <w:szCs w:val="24"/>
          <w:highlight w:val="none"/>
        </w:rPr>
        <w:t>3.2根据本次采购项目的特殊要求，规定的供应商特殊条件（见供应商须知前附表）。</w:t>
      </w:r>
    </w:p>
    <w:p w14:paraId="2F606A2E">
      <w:pPr>
        <w:spacing w:line="500" w:lineRule="exact"/>
        <w:ind w:firstLine="482" w:firstLineChars="200"/>
        <w:rPr>
          <w:rFonts w:hAnsi="宋体" w:cs="宋体"/>
          <w:szCs w:val="24"/>
          <w:highlight w:val="none"/>
        </w:rPr>
      </w:pPr>
      <w:r>
        <w:rPr>
          <w:rFonts w:hint="eastAsia" w:hAnsi="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6D474F9D">
      <w:pPr>
        <w:spacing w:line="500" w:lineRule="exact"/>
        <w:ind w:firstLine="480" w:firstLineChars="200"/>
        <w:rPr>
          <w:rFonts w:hAnsi="宋体" w:cs="宋体"/>
          <w:szCs w:val="24"/>
          <w:highlight w:val="none"/>
        </w:rPr>
      </w:pPr>
      <w:r>
        <w:rPr>
          <w:rFonts w:hint="eastAsia" w:hAnsi="宋体" w:cs="宋体"/>
          <w:szCs w:val="24"/>
          <w:highlight w:val="none"/>
        </w:rPr>
        <w:t>3.4供应商必须在陕西至诚项目管理集团有限公司购买</w:t>
      </w:r>
      <w:r>
        <w:rPr>
          <w:rFonts w:hint="eastAsia" w:hAnsi="宋体" w:cs="宋体"/>
          <w:highlight w:val="none"/>
        </w:rPr>
        <w:t>竞争性磋商文件</w:t>
      </w:r>
      <w:r>
        <w:rPr>
          <w:rFonts w:hint="eastAsia" w:hAnsi="宋体" w:cs="宋体"/>
          <w:szCs w:val="24"/>
          <w:highlight w:val="none"/>
        </w:rPr>
        <w:t>，方可参加磋商。</w:t>
      </w:r>
      <w:r>
        <w:rPr>
          <w:rFonts w:hint="eastAsia" w:hAnsi="宋体" w:cs="宋体"/>
          <w:highlight w:val="none"/>
        </w:rPr>
        <w:t>竞争性</w:t>
      </w:r>
      <w:r>
        <w:rPr>
          <w:rFonts w:hint="eastAsia" w:hAnsi="宋体" w:cs="宋体"/>
          <w:szCs w:val="24"/>
          <w:highlight w:val="none"/>
        </w:rPr>
        <w:t>磋商文件售后不退。</w:t>
      </w:r>
    </w:p>
    <w:p w14:paraId="4BA0F200">
      <w:pPr>
        <w:spacing w:line="500" w:lineRule="exact"/>
        <w:ind w:firstLine="480" w:firstLineChars="200"/>
        <w:rPr>
          <w:rFonts w:hAnsi="宋体" w:cs="宋体"/>
          <w:szCs w:val="24"/>
          <w:highlight w:val="none"/>
        </w:rPr>
      </w:pPr>
      <w:r>
        <w:rPr>
          <w:rFonts w:hint="eastAsia" w:hAnsi="宋体" w:cs="宋体"/>
          <w:szCs w:val="24"/>
          <w:highlight w:val="none"/>
        </w:rPr>
        <w:t>3.5本项目不接受联合体磋商。</w:t>
      </w:r>
    </w:p>
    <w:p w14:paraId="4DA7C832">
      <w:pPr>
        <w:spacing w:line="500" w:lineRule="exact"/>
        <w:ind w:firstLine="480" w:firstLineChars="200"/>
        <w:rPr>
          <w:rFonts w:hAnsi="宋体" w:cs="宋体"/>
          <w:szCs w:val="24"/>
          <w:highlight w:val="none"/>
        </w:rPr>
      </w:pPr>
      <w:r>
        <w:rPr>
          <w:rFonts w:hint="eastAsia" w:hAnsi="宋体" w:cs="宋体"/>
          <w:szCs w:val="24"/>
          <w:highlight w:val="none"/>
        </w:rPr>
        <w:t>3.6磋商费用自理。不论磋商的结果如何，供应商均应自行承担所有与参加磋商有关的费用。</w:t>
      </w:r>
    </w:p>
    <w:p w14:paraId="14532E0B">
      <w:pPr>
        <w:tabs>
          <w:tab w:val="left" w:pos="747"/>
        </w:tabs>
        <w:snapToGrid w:val="0"/>
        <w:spacing w:line="500" w:lineRule="exact"/>
        <w:rPr>
          <w:rFonts w:hAnsi="宋体" w:cs="宋体"/>
          <w:b/>
          <w:bCs/>
          <w:highlight w:val="none"/>
        </w:rPr>
      </w:pPr>
      <w:r>
        <w:rPr>
          <w:rFonts w:hint="eastAsia" w:hAnsi="宋体" w:cs="宋体"/>
          <w:b/>
          <w:bCs/>
          <w:highlight w:val="none"/>
        </w:rPr>
        <w:t>4.</w:t>
      </w:r>
      <w:r>
        <w:rPr>
          <w:rFonts w:hint="eastAsia" w:hAnsi="宋体" w:cs="宋体"/>
          <w:b/>
          <w:szCs w:val="24"/>
          <w:highlight w:val="none"/>
        </w:rPr>
        <w:t>.竞争性磋商产品（含服务）的合格性和合法性</w:t>
      </w:r>
    </w:p>
    <w:p w14:paraId="001C8964">
      <w:pPr>
        <w:tabs>
          <w:tab w:val="left" w:pos="747"/>
        </w:tabs>
        <w:snapToGrid w:val="0"/>
        <w:spacing w:line="500" w:lineRule="exact"/>
        <w:ind w:firstLine="480" w:firstLineChars="200"/>
        <w:rPr>
          <w:rFonts w:hAnsi="宋体" w:cs="宋体"/>
          <w:highlight w:val="none"/>
        </w:rPr>
      </w:pPr>
      <w:r>
        <w:rPr>
          <w:rFonts w:hint="eastAsia" w:hAnsi="宋体" w:cs="宋体"/>
          <w:szCs w:val="24"/>
          <w:highlight w:val="none"/>
        </w:rPr>
        <w:t>4.1竞争性磋商产品（含服务）应满足竞争性磋商文件的要求并应符合国家法律法规、行业管理部门要求的其他强制性标准。</w:t>
      </w:r>
      <w:r>
        <w:rPr>
          <w:rFonts w:hint="eastAsia" w:hAnsi="宋体" w:cs="宋体"/>
          <w:highlight w:val="none"/>
        </w:rPr>
        <w:t>并满足竞争性磋商文件规定的质量、价格、有效期、售后服务及供应商须承担的运输、配送、技术支持和竞争性磋商文件规定的其他伴随服务等要求。</w:t>
      </w:r>
    </w:p>
    <w:p w14:paraId="7E50D2BD">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4.2采购人有权拒绝接受任何不合格的产品和服务，由此产生的费用及相关后果均由供应商自行承担。</w:t>
      </w:r>
    </w:p>
    <w:p w14:paraId="44A01C3A">
      <w:pPr>
        <w:spacing w:line="360" w:lineRule="auto"/>
        <w:rPr>
          <w:rFonts w:hAnsi="宋体" w:cs="宋体"/>
          <w:b/>
          <w:szCs w:val="24"/>
          <w:highlight w:val="none"/>
        </w:rPr>
      </w:pPr>
      <w:r>
        <w:rPr>
          <w:rFonts w:hint="eastAsia" w:hAnsi="宋体" w:cs="宋体"/>
          <w:b/>
          <w:szCs w:val="24"/>
          <w:highlight w:val="none"/>
        </w:rPr>
        <w:t>5.竞争性磋商响应文件内容的真实性</w:t>
      </w:r>
    </w:p>
    <w:p w14:paraId="1C223304">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064CE895">
      <w:pPr>
        <w:keepNext/>
        <w:keepLines/>
        <w:spacing w:before="312" w:beforeLines="100" w:after="156" w:afterLines="50" w:line="360" w:lineRule="auto"/>
        <w:jc w:val="center"/>
        <w:outlineLvl w:val="2"/>
        <w:rPr>
          <w:rFonts w:hAnsi="宋体" w:cs="宋体"/>
          <w:b/>
          <w:sz w:val="32"/>
          <w:szCs w:val="32"/>
          <w:highlight w:val="none"/>
        </w:rPr>
      </w:pPr>
      <w:bookmarkStart w:id="39" w:name="_Toc31742"/>
      <w:bookmarkStart w:id="40" w:name="_Toc27903"/>
      <w:bookmarkStart w:id="41" w:name="_Toc30698"/>
      <w:r>
        <w:rPr>
          <w:rFonts w:hint="eastAsia" w:hAnsi="宋体" w:cs="宋体"/>
          <w:b/>
          <w:sz w:val="32"/>
          <w:szCs w:val="32"/>
          <w:highlight w:val="none"/>
        </w:rPr>
        <w:t>二.竞争性磋商文件</w:t>
      </w:r>
      <w:bookmarkEnd w:id="36"/>
      <w:bookmarkEnd w:id="37"/>
      <w:bookmarkEnd w:id="38"/>
      <w:bookmarkEnd w:id="39"/>
      <w:bookmarkEnd w:id="40"/>
      <w:bookmarkEnd w:id="41"/>
    </w:p>
    <w:p w14:paraId="4DD7BAB4">
      <w:pPr>
        <w:spacing w:line="360" w:lineRule="auto"/>
        <w:rPr>
          <w:rFonts w:hAnsi="宋体" w:cs="宋体"/>
          <w:b/>
          <w:szCs w:val="24"/>
          <w:highlight w:val="none"/>
        </w:rPr>
      </w:pPr>
      <w:r>
        <w:rPr>
          <w:rFonts w:hint="eastAsia" w:hAnsi="宋体" w:cs="宋体"/>
          <w:b/>
          <w:szCs w:val="24"/>
          <w:highlight w:val="none"/>
        </w:rPr>
        <w:t>6.竞争性磋商文件构成</w:t>
      </w:r>
    </w:p>
    <w:p w14:paraId="32CC702A">
      <w:pPr>
        <w:spacing w:line="360" w:lineRule="auto"/>
        <w:ind w:firstLine="480" w:firstLineChars="200"/>
        <w:rPr>
          <w:rFonts w:hAnsi="宋体" w:cs="宋体"/>
          <w:szCs w:val="24"/>
          <w:highlight w:val="none"/>
        </w:rPr>
      </w:pPr>
      <w:r>
        <w:rPr>
          <w:rFonts w:hint="eastAsia" w:hAnsi="宋体" w:cs="宋体"/>
          <w:szCs w:val="24"/>
          <w:highlight w:val="none"/>
        </w:rPr>
        <w:t>6.1 竞争性磋商文件规定了要求提供的产品和服务，磋商程序和合同条件在竞争性磋商文件中均有说明。竞争性磋商文件共六章，内容如下：</w:t>
      </w:r>
    </w:p>
    <w:p w14:paraId="71FC3EB8">
      <w:pPr>
        <w:spacing w:line="360" w:lineRule="auto"/>
        <w:ind w:firstLine="480" w:firstLineChars="200"/>
        <w:rPr>
          <w:rFonts w:hAnsi="宋体" w:cs="宋体"/>
          <w:szCs w:val="24"/>
          <w:highlight w:val="none"/>
        </w:rPr>
      </w:pPr>
      <w:r>
        <w:rPr>
          <w:rFonts w:hint="eastAsia" w:hAnsi="宋体" w:cs="宋体"/>
          <w:szCs w:val="24"/>
          <w:highlight w:val="none"/>
        </w:rPr>
        <w:t>第一章 竞争性磋商公告</w:t>
      </w:r>
    </w:p>
    <w:p w14:paraId="6F489C42">
      <w:pPr>
        <w:spacing w:line="360" w:lineRule="auto"/>
        <w:ind w:firstLine="480" w:firstLineChars="200"/>
        <w:rPr>
          <w:rFonts w:hAnsi="宋体" w:cs="宋体"/>
          <w:szCs w:val="24"/>
          <w:highlight w:val="none"/>
        </w:rPr>
      </w:pPr>
      <w:r>
        <w:rPr>
          <w:rFonts w:hint="eastAsia" w:hAnsi="宋体" w:cs="宋体"/>
          <w:szCs w:val="24"/>
          <w:highlight w:val="none"/>
        </w:rPr>
        <w:t>第二章 供应商须知</w:t>
      </w:r>
    </w:p>
    <w:p w14:paraId="49A3CB36">
      <w:pPr>
        <w:spacing w:line="360" w:lineRule="auto"/>
        <w:ind w:firstLine="480" w:firstLineChars="200"/>
        <w:rPr>
          <w:rFonts w:hAnsi="宋体" w:cs="宋体"/>
          <w:szCs w:val="24"/>
          <w:highlight w:val="none"/>
        </w:rPr>
      </w:pPr>
      <w:r>
        <w:rPr>
          <w:rFonts w:hint="eastAsia" w:hAnsi="宋体" w:cs="宋体"/>
          <w:szCs w:val="24"/>
          <w:highlight w:val="none"/>
        </w:rPr>
        <w:t xml:space="preserve">第三章 评审方法    </w:t>
      </w:r>
    </w:p>
    <w:p w14:paraId="46CB5BF3">
      <w:pPr>
        <w:spacing w:line="360" w:lineRule="auto"/>
        <w:ind w:firstLine="480" w:firstLineChars="200"/>
        <w:rPr>
          <w:rFonts w:hAnsi="宋体" w:cs="宋体"/>
          <w:szCs w:val="24"/>
          <w:highlight w:val="none"/>
        </w:rPr>
      </w:pPr>
      <w:r>
        <w:rPr>
          <w:rFonts w:hint="eastAsia" w:hAnsi="宋体" w:cs="宋体"/>
          <w:szCs w:val="24"/>
          <w:highlight w:val="none"/>
        </w:rPr>
        <w:t>第四章 合同条款及格式</w:t>
      </w:r>
    </w:p>
    <w:p w14:paraId="69C4603D">
      <w:pPr>
        <w:spacing w:line="360" w:lineRule="auto"/>
        <w:ind w:firstLine="480" w:firstLineChars="200"/>
        <w:rPr>
          <w:rFonts w:hAnsi="宋体" w:cs="宋体"/>
          <w:szCs w:val="24"/>
          <w:highlight w:val="none"/>
        </w:rPr>
      </w:pPr>
      <w:r>
        <w:rPr>
          <w:rFonts w:hint="eastAsia" w:hAnsi="宋体" w:cs="宋体"/>
          <w:szCs w:val="24"/>
          <w:highlight w:val="none"/>
        </w:rPr>
        <w:t>第五章 磋商内容及技术要求</w:t>
      </w:r>
    </w:p>
    <w:p w14:paraId="1AF6A032">
      <w:pPr>
        <w:spacing w:line="360" w:lineRule="auto"/>
        <w:ind w:firstLine="480" w:firstLineChars="200"/>
        <w:rPr>
          <w:rFonts w:hAnsi="宋体" w:cs="宋体"/>
          <w:szCs w:val="24"/>
          <w:highlight w:val="none"/>
        </w:rPr>
      </w:pPr>
      <w:r>
        <w:rPr>
          <w:rFonts w:hint="eastAsia" w:hAnsi="宋体" w:cs="宋体"/>
          <w:szCs w:val="24"/>
          <w:highlight w:val="none"/>
        </w:rPr>
        <w:t xml:space="preserve">第六章 竞争性磋商响应文件构成及格式  </w:t>
      </w:r>
    </w:p>
    <w:p w14:paraId="3A30AEAD">
      <w:pPr>
        <w:spacing w:line="360" w:lineRule="auto"/>
        <w:ind w:firstLine="480" w:firstLineChars="200"/>
        <w:rPr>
          <w:rFonts w:hAnsi="宋体" w:cs="宋体"/>
          <w:szCs w:val="24"/>
          <w:highlight w:val="none"/>
        </w:rPr>
      </w:pPr>
      <w:r>
        <w:rPr>
          <w:rFonts w:hint="eastAsia" w:hAnsi="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11DC43C3">
      <w:pPr>
        <w:spacing w:line="500" w:lineRule="exact"/>
        <w:ind w:firstLine="480" w:firstLineChars="200"/>
        <w:rPr>
          <w:rFonts w:hAnsi="宋体" w:cs="宋体"/>
          <w:szCs w:val="24"/>
          <w:highlight w:val="none"/>
        </w:rPr>
      </w:pPr>
      <w:r>
        <w:rPr>
          <w:rFonts w:hint="eastAsia" w:hAnsi="宋体" w:cs="宋体"/>
          <w:szCs w:val="24"/>
          <w:highlight w:val="none"/>
        </w:rPr>
        <w:t>6.3本竞争性磋商文件的解释权归陕西至诚项目管理集团有限公司，如发现竞争性磋商响应文件内容与现行法律法规不相符的情况，以现行法律法规为准。</w:t>
      </w:r>
    </w:p>
    <w:p w14:paraId="56AB967E">
      <w:pPr>
        <w:spacing w:line="360" w:lineRule="auto"/>
        <w:rPr>
          <w:rFonts w:hAnsi="宋体" w:cs="宋体"/>
          <w:b/>
          <w:szCs w:val="24"/>
          <w:highlight w:val="none"/>
        </w:rPr>
      </w:pPr>
      <w:r>
        <w:rPr>
          <w:rFonts w:hint="eastAsia" w:hAnsi="宋体" w:cs="宋体"/>
          <w:b/>
          <w:szCs w:val="24"/>
          <w:highlight w:val="none"/>
        </w:rPr>
        <w:t>7.竞争性磋商文件的修改和澄清</w:t>
      </w:r>
    </w:p>
    <w:p w14:paraId="5061523B">
      <w:pPr>
        <w:spacing w:line="360" w:lineRule="auto"/>
        <w:ind w:firstLine="480" w:firstLineChars="200"/>
        <w:rPr>
          <w:rFonts w:hAnsi="宋体" w:cs="宋体"/>
          <w:szCs w:val="24"/>
          <w:highlight w:val="none"/>
        </w:rPr>
      </w:pPr>
      <w:r>
        <w:rPr>
          <w:rFonts w:hint="eastAsia" w:hAnsi="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38DC2A43">
      <w:pPr>
        <w:spacing w:line="360" w:lineRule="auto"/>
        <w:ind w:firstLine="480" w:firstLineChars="200"/>
        <w:rPr>
          <w:rFonts w:hAnsi="宋体" w:cs="宋体"/>
          <w:szCs w:val="24"/>
          <w:highlight w:val="none"/>
        </w:rPr>
      </w:pPr>
      <w:r>
        <w:rPr>
          <w:rFonts w:hint="eastAsia" w:hAnsi="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2014FB60">
      <w:pPr>
        <w:spacing w:line="360" w:lineRule="auto"/>
        <w:ind w:firstLine="480" w:firstLineChars="200"/>
        <w:rPr>
          <w:rFonts w:hAnsi="宋体" w:cs="宋体"/>
          <w:szCs w:val="24"/>
          <w:highlight w:val="none"/>
        </w:rPr>
      </w:pPr>
      <w:r>
        <w:rPr>
          <w:rFonts w:hint="eastAsia" w:hAnsi="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1B8CC615">
      <w:pPr>
        <w:spacing w:line="360" w:lineRule="auto"/>
        <w:ind w:firstLine="480" w:firstLineChars="200"/>
        <w:rPr>
          <w:rFonts w:hAnsi="宋体" w:cs="宋体"/>
          <w:szCs w:val="24"/>
          <w:highlight w:val="none"/>
        </w:rPr>
      </w:pPr>
      <w:r>
        <w:rPr>
          <w:rFonts w:hint="eastAsia" w:hAnsi="宋体" w:cs="宋体"/>
          <w:szCs w:val="24"/>
          <w:highlight w:val="none"/>
        </w:rPr>
        <w:t>7.4供应商在收到上述通知后，应立即向采购代理机构回函确认。</w:t>
      </w:r>
    </w:p>
    <w:p w14:paraId="6C609D76">
      <w:pPr>
        <w:keepNext/>
        <w:keepLines/>
        <w:spacing w:before="312" w:beforeLines="100" w:after="156" w:afterLines="50" w:line="360" w:lineRule="auto"/>
        <w:jc w:val="center"/>
        <w:outlineLvl w:val="2"/>
        <w:rPr>
          <w:rFonts w:hAnsi="宋体" w:cs="宋体"/>
          <w:b/>
          <w:sz w:val="32"/>
          <w:szCs w:val="32"/>
          <w:highlight w:val="none"/>
        </w:rPr>
      </w:pPr>
      <w:bookmarkStart w:id="42" w:name="_Toc363473974"/>
      <w:bookmarkStart w:id="43" w:name="_Toc403077641"/>
      <w:bookmarkStart w:id="44" w:name="_Toc363474019"/>
      <w:bookmarkStart w:id="45" w:name="_Toc28227"/>
      <w:bookmarkStart w:id="46" w:name="_Toc13771"/>
      <w:bookmarkStart w:id="47" w:name="_Toc26653"/>
      <w:r>
        <w:rPr>
          <w:rFonts w:hint="eastAsia" w:hAnsi="宋体" w:cs="宋体"/>
          <w:b/>
          <w:sz w:val="32"/>
          <w:szCs w:val="32"/>
          <w:highlight w:val="none"/>
        </w:rPr>
        <w:t>三.磋商响应文件的编制</w:t>
      </w:r>
      <w:bookmarkEnd w:id="42"/>
      <w:bookmarkEnd w:id="43"/>
      <w:bookmarkEnd w:id="44"/>
      <w:bookmarkEnd w:id="45"/>
      <w:bookmarkEnd w:id="46"/>
      <w:bookmarkEnd w:id="47"/>
    </w:p>
    <w:p w14:paraId="1B1B259C">
      <w:pPr>
        <w:spacing w:line="360" w:lineRule="auto"/>
        <w:rPr>
          <w:rFonts w:hAnsi="宋体" w:cs="宋体"/>
          <w:b/>
          <w:szCs w:val="24"/>
          <w:highlight w:val="none"/>
        </w:rPr>
      </w:pPr>
      <w:r>
        <w:rPr>
          <w:rFonts w:hint="eastAsia" w:hAnsi="宋体" w:cs="宋体"/>
          <w:b/>
          <w:szCs w:val="24"/>
          <w:highlight w:val="none"/>
        </w:rPr>
        <w:t>8. 磋商语言和磋商货币</w:t>
      </w:r>
    </w:p>
    <w:p w14:paraId="43C65149">
      <w:pPr>
        <w:spacing w:line="360" w:lineRule="auto"/>
        <w:ind w:firstLine="480" w:firstLineChars="200"/>
        <w:rPr>
          <w:rFonts w:hAnsi="宋体" w:cs="宋体"/>
          <w:b/>
          <w:szCs w:val="24"/>
          <w:highlight w:val="none"/>
        </w:rPr>
      </w:pPr>
      <w:r>
        <w:rPr>
          <w:rFonts w:hint="eastAsia" w:hAnsi="宋体" w:cs="宋体"/>
          <w:szCs w:val="24"/>
          <w:highlight w:val="none"/>
        </w:rPr>
        <w:t>8.1供应商提交的竞争性磋商响应文件以及供应商与采购代理机构就有关磋商的所有来往函电均应使用中文。</w:t>
      </w:r>
    </w:p>
    <w:p w14:paraId="390E1F9E">
      <w:pPr>
        <w:spacing w:line="360" w:lineRule="auto"/>
        <w:ind w:firstLine="480" w:firstLineChars="200"/>
        <w:rPr>
          <w:rFonts w:hAnsi="宋体" w:cs="宋体"/>
          <w:szCs w:val="24"/>
          <w:highlight w:val="none"/>
        </w:rPr>
      </w:pPr>
      <w:r>
        <w:rPr>
          <w:rFonts w:hint="eastAsia" w:hAnsi="宋体" w:cs="宋体"/>
          <w:szCs w:val="24"/>
          <w:highlight w:val="none"/>
        </w:rPr>
        <w:t>8.2磋商应以人民币报价。任何包含非人民币报价的磋商将按无效磋商处理。</w:t>
      </w:r>
    </w:p>
    <w:p w14:paraId="6FDD4F93">
      <w:pPr>
        <w:spacing w:line="360" w:lineRule="auto"/>
        <w:rPr>
          <w:rFonts w:hAnsi="宋体" w:cs="宋体"/>
          <w:b/>
          <w:szCs w:val="24"/>
          <w:highlight w:val="none"/>
        </w:rPr>
      </w:pPr>
      <w:r>
        <w:rPr>
          <w:rFonts w:hint="eastAsia" w:hAnsi="宋体" w:cs="宋体"/>
          <w:b/>
          <w:szCs w:val="24"/>
          <w:highlight w:val="none"/>
        </w:rPr>
        <w:t>9.竞争性磋商响应文件的构成</w:t>
      </w:r>
    </w:p>
    <w:p w14:paraId="5E087568">
      <w:pPr>
        <w:spacing w:line="360" w:lineRule="auto"/>
        <w:ind w:firstLine="480" w:firstLineChars="200"/>
        <w:rPr>
          <w:rFonts w:hAnsi="宋体" w:cs="宋体"/>
          <w:szCs w:val="24"/>
          <w:highlight w:val="none"/>
        </w:rPr>
      </w:pPr>
      <w:r>
        <w:rPr>
          <w:rFonts w:hint="eastAsia" w:hAnsi="宋体" w:cs="宋体"/>
          <w:szCs w:val="24"/>
          <w:highlight w:val="none"/>
        </w:rPr>
        <w:t>9.1 供应商提交的竞争性磋商响应文件应包含下列部分的内容：</w:t>
      </w:r>
    </w:p>
    <w:p w14:paraId="38EE201B">
      <w:pPr>
        <w:spacing w:line="360" w:lineRule="auto"/>
        <w:ind w:firstLine="480" w:firstLineChars="200"/>
        <w:rPr>
          <w:rFonts w:hAnsi="宋体" w:cs="宋体"/>
          <w:szCs w:val="24"/>
          <w:highlight w:val="none"/>
        </w:rPr>
      </w:pPr>
      <w:r>
        <w:rPr>
          <w:rFonts w:hint="eastAsia" w:hAnsi="宋体" w:cs="宋体"/>
          <w:szCs w:val="24"/>
          <w:highlight w:val="none"/>
        </w:rPr>
        <w:t>（1）按照供应商须知的要求和竞争性磋商文件规定格式填写的竞争性磋商响应函、磋商报价表、法定代表人授权委托书。</w:t>
      </w:r>
    </w:p>
    <w:p w14:paraId="30C48D8F">
      <w:pPr>
        <w:spacing w:line="360" w:lineRule="auto"/>
        <w:ind w:firstLine="480" w:firstLineChars="200"/>
        <w:rPr>
          <w:rFonts w:hAnsi="宋体" w:cs="宋体"/>
          <w:szCs w:val="24"/>
          <w:highlight w:val="none"/>
        </w:rPr>
      </w:pPr>
      <w:r>
        <w:rPr>
          <w:rFonts w:hint="eastAsia" w:hAnsi="宋体" w:cs="宋体"/>
          <w:szCs w:val="24"/>
          <w:highlight w:val="none"/>
        </w:rPr>
        <w:t>（2）按照竞争性磋商文件的要求编制的磋商方案说明。</w:t>
      </w:r>
    </w:p>
    <w:p w14:paraId="49DDEE72">
      <w:pPr>
        <w:spacing w:line="360" w:lineRule="auto"/>
        <w:ind w:firstLine="480" w:firstLineChars="200"/>
        <w:rPr>
          <w:rFonts w:hAnsi="宋体" w:cs="宋体"/>
          <w:szCs w:val="24"/>
          <w:highlight w:val="none"/>
        </w:rPr>
      </w:pPr>
      <w:r>
        <w:rPr>
          <w:rFonts w:hint="eastAsia" w:hAnsi="宋体" w:cs="宋体"/>
          <w:szCs w:val="24"/>
          <w:highlight w:val="none"/>
        </w:rPr>
        <w:t>（3）按照竞争性磋商文件供应商须知前附表的要求提交的资格证明文件；</w:t>
      </w:r>
    </w:p>
    <w:p w14:paraId="07D556EB">
      <w:pPr>
        <w:spacing w:line="360" w:lineRule="auto"/>
        <w:ind w:firstLine="480" w:firstLineChars="200"/>
        <w:rPr>
          <w:rFonts w:hAnsi="宋体" w:cs="宋体"/>
          <w:szCs w:val="24"/>
          <w:highlight w:val="none"/>
        </w:rPr>
      </w:pPr>
      <w:r>
        <w:rPr>
          <w:rFonts w:hint="eastAsia" w:hAnsi="宋体" w:cs="宋体"/>
          <w:szCs w:val="24"/>
          <w:highlight w:val="none"/>
        </w:rPr>
        <w:t>（4）按照本须知第14条要求提交的磋商保证金。</w:t>
      </w:r>
    </w:p>
    <w:p w14:paraId="1D7DF1E8">
      <w:pPr>
        <w:spacing w:line="360" w:lineRule="auto"/>
        <w:ind w:firstLine="480" w:firstLineChars="200"/>
        <w:rPr>
          <w:rFonts w:hAnsi="宋体" w:cs="宋体"/>
          <w:szCs w:val="24"/>
          <w:highlight w:val="none"/>
        </w:rPr>
      </w:pPr>
      <w:r>
        <w:rPr>
          <w:rFonts w:hint="eastAsia" w:hAnsi="宋体" w:cs="宋体"/>
          <w:szCs w:val="24"/>
          <w:highlight w:val="none"/>
        </w:rPr>
        <w:t>（5）竞争磋商文件中要求的其他证明文件。</w:t>
      </w:r>
    </w:p>
    <w:p w14:paraId="32A4455A">
      <w:pPr>
        <w:spacing w:line="360" w:lineRule="auto"/>
        <w:ind w:firstLine="480" w:firstLineChars="200"/>
        <w:rPr>
          <w:rFonts w:hAnsi="宋体" w:cs="宋体"/>
          <w:szCs w:val="24"/>
          <w:highlight w:val="none"/>
        </w:rPr>
      </w:pPr>
      <w:r>
        <w:rPr>
          <w:rFonts w:hint="eastAsia" w:hAnsi="宋体" w:cs="宋体"/>
          <w:szCs w:val="24"/>
          <w:highlight w:val="none"/>
        </w:rPr>
        <w:t>9.2 如果在竞争性磋商文件中没有允许提供备选方案，则每个供应商只允许提交一个磋商方案，否则，其磋商将按照无效磋商处理。</w:t>
      </w:r>
    </w:p>
    <w:p w14:paraId="23E02C16">
      <w:pPr>
        <w:spacing w:line="360" w:lineRule="auto"/>
        <w:ind w:firstLine="480" w:firstLineChars="200"/>
        <w:rPr>
          <w:rFonts w:hAnsi="宋体" w:cs="宋体"/>
          <w:szCs w:val="24"/>
          <w:highlight w:val="none"/>
        </w:rPr>
      </w:pPr>
      <w:r>
        <w:rPr>
          <w:rFonts w:hint="eastAsia" w:hAnsi="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5940B6F7">
      <w:pPr>
        <w:spacing w:line="360" w:lineRule="auto"/>
        <w:rPr>
          <w:rFonts w:hAnsi="宋体" w:cs="宋体"/>
          <w:b/>
          <w:szCs w:val="24"/>
          <w:highlight w:val="none"/>
        </w:rPr>
      </w:pPr>
      <w:r>
        <w:rPr>
          <w:rFonts w:hint="eastAsia" w:hAnsi="宋体" w:cs="宋体"/>
          <w:b/>
          <w:szCs w:val="24"/>
          <w:highlight w:val="none"/>
        </w:rPr>
        <w:t xml:space="preserve">10.竞争性磋商响应文件格式 </w:t>
      </w:r>
    </w:p>
    <w:p w14:paraId="292D293B">
      <w:pPr>
        <w:spacing w:line="360" w:lineRule="auto"/>
        <w:ind w:firstLine="480" w:firstLineChars="200"/>
        <w:rPr>
          <w:rFonts w:hAnsi="宋体" w:cs="宋体"/>
          <w:szCs w:val="24"/>
          <w:highlight w:val="none"/>
        </w:rPr>
      </w:pPr>
      <w:r>
        <w:rPr>
          <w:rFonts w:hint="eastAsia" w:hAnsi="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1426E9D8">
      <w:pPr>
        <w:spacing w:line="360" w:lineRule="auto"/>
        <w:ind w:firstLine="480" w:firstLineChars="200"/>
        <w:rPr>
          <w:rFonts w:hAnsi="宋体" w:cs="宋体"/>
          <w:b/>
          <w:bCs/>
          <w:szCs w:val="24"/>
          <w:highlight w:val="none"/>
        </w:rPr>
      </w:pPr>
      <w:r>
        <w:rPr>
          <w:rFonts w:hint="eastAsia" w:hAnsi="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1E10A73C">
      <w:pPr>
        <w:spacing w:line="360" w:lineRule="auto"/>
        <w:rPr>
          <w:rFonts w:hAnsi="宋体" w:cs="宋体"/>
          <w:b/>
          <w:szCs w:val="24"/>
          <w:highlight w:val="none"/>
        </w:rPr>
      </w:pPr>
      <w:r>
        <w:rPr>
          <w:rFonts w:hint="eastAsia" w:hAnsi="宋体" w:cs="宋体"/>
          <w:b/>
          <w:szCs w:val="24"/>
          <w:highlight w:val="none"/>
        </w:rPr>
        <w:t>11.磋商报价</w:t>
      </w:r>
    </w:p>
    <w:p w14:paraId="19F39E94">
      <w:pPr>
        <w:spacing w:line="360" w:lineRule="auto"/>
        <w:ind w:firstLine="480" w:firstLineChars="200"/>
        <w:rPr>
          <w:rFonts w:hAnsi="宋体" w:cs="宋体"/>
          <w:highlight w:val="none"/>
        </w:rPr>
      </w:pPr>
      <w:r>
        <w:rPr>
          <w:rFonts w:hint="eastAsia" w:hAnsi="宋体" w:cs="宋体"/>
          <w:highlight w:val="none"/>
        </w:rPr>
        <w:t>11.1</w:t>
      </w:r>
      <w:r>
        <w:rPr>
          <w:rFonts w:hint="eastAsia" w:hAnsi="宋体" w:cs="宋体"/>
          <w:szCs w:val="24"/>
          <w:highlight w:val="none"/>
        </w:rPr>
        <w:t>磋商</w:t>
      </w:r>
      <w:r>
        <w:rPr>
          <w:rFonts w:hint="eastAsia" w:hAnsi="宋体" w:cs="宋体"/>
          <w:highlight w:val="none"/>
        </w:rPr>
        <w:t>报价：按清单单价报价，包括完成采购内容所需的直接费、间接费、利润、税金及其它相关的一切费用。</w:t>
      </w:r>
    </w:p>
    <w:p w14:paraId="0A07482F">
      <w:pPr>
        <w:spacing w:line="360" w:lineRule="auto"/>
        <w:ind w:firstLine="480" w:firstLineChars="200"/>
        <w:rPr>
          <w:rFonts w:hAnsi="宋体" w:cs="宋体"/>
          <w:szCs w:val="24"/>
          <w:highlight w:val="none"/>
        </w:rPr>
      </w:pPr>
      <w:r>
        <w:rPr>
          <w:rFonts w:hint="eastAsia" w:hAnsi="宋体" w:cs="宋体"/>
          <w:szCs w:val="24"/>
          <w:highlight w:val="none"/>
        </w:rPr>
        <w:t>磋商报价为投标人充分考虑磋商文件的各项条款和所掌握的市场情况及本工程的实际，依据企业自身情况自主报价、风险自负。所有磋商报价中的单价和合价均以人民币表示。投标人在计算报价时必须考虑相应的风险；</w:t>
      </w:r>
    </w:p>
    <w:p w14:paraId="731288FE">
      <w:pPr>
        <w:spacing w:line="360" w:lineRule="auto"/>
        <w:ind w:firstLine="480" w:firstLineChars="200"/>
        <w:rPr>
          <w:rFonts w:hAnsi="宋体" w:cs="宋体"/>
          <w:szCs w:val="24"/>
          <w:highlight w:val="none"/>
        </w:rPr>
      </w:pPr>
      <w:r>
        <w:rPr>
          <w:rFonts w:hint="eastAsia" w:hAnsi="宋体" w:cs="宋体"/>
          <w:szCs w:val="24"/>
          <w:highlight w:val="none"/>
        </w:rPr>
        <w:t>11.2磋商报价表中标明本次服务的价格，任何有选择的报价将不予接受，按无效文件处理。所有价格均以人民币报价。</w:t>
      </w:r>
    </w:p>
    <w:p w14:paraId="1765869C">
      <w:pPr>
        <w:spacing w:line="360" w:lineRule="auto"/>
        <w:ind w:firstLine="480" w:firstLineChars="200"/>
        <w:rPr>
          <w:rFonts w:hAnsi="宋体" w:cs="宋体"/>
          <w:szCs w:val="24"/>
          <w:highlight w:val="none"/>
        </w:rPr>
      </w:pPr>
      <w:r>
        <w:rPr>
          <w:rFonts w:hint="eastAsia" w:hAnsi="宋体" w:cs="宋体"/>
          <w:szCs w:val="24"/>
          <w:highlight w:val="none"/>
        </w:rPr>
        <w:t>11.3磋商报价表中标明的价格应为履行合同的总报价，不得以任何理由予以变更。以可调整的价格提交的竞争性磋商响应文件将按无效磋商处理。</w:t>
      </w:r>
    </w:p>
    <w:p w14:paraId="7D9BAEE2">
      <w:pPr>
        <w:spacing w:line="360" w:lineRule="auto"/>
        <w:rPr>
          <w:rFonts w:hAnsi="宋体" w:cs="宋体"/>
          <w:b/>
          <w:szCs w:val="24"/>
          <w:highlight w:val="none"/>
        </w:rPr>
      </w:pPr>
      <w:r>
        <w:rPr>
          <w:rFonts w:hint="eastAsia" w:hAnsi="宋体" w:cs="宋体"/>
          <w:b/>
          <w:szCs w:val="24"/>
          <w:highlight w:val="none"/>
        </w:rPr>
        <w:t>12.证明供应商合格的资格证明文件</w:t>
      </w:r>
    </w:p>
    <w:p w14:paraId="4E881C40">
      <w:pPr>
        <w:spacing w:line="360" w:lineRule="auto"/>
        <w:ind w:firstLine="480" w:firstLineChars="200"/>
        <w:rPr>
          <w:rFonts w:hAnsi="宋体" w:cs="宋体"/>
          <w:szCs w:val="24"/>
          <w:highlight w:val="none"/>
        </w:rPr>
      </w:pPr>
      <w:r>
        <w:rPr>
          <w:rFonts w:hint="eastAsia" w:hAnsi="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5CD17F2C">
      <w:pPr>
        <w:spacing w:line="360" w:lineRule="auto"/>
        <w:rPr>
          <w:rFonts w:hAnsi="宋体" w:cs="宋体"/>
          <w:b/>
          <w:szCs w:val="24"/>
          <w:highlight w:val="none"/>
        </w:rPr>
      </w:pPr>
      <w:r>
        <w:rPr>
          <w:rFonts w:hint="eastAsia" w:hAnsi="宋体" w:cs="宋体"/>
          <w:b/>
          <w:szCs w:val="24"/>
          <w:highlight w:val="none"/>
        </w:rPr>
        <w:t>13.证明服务符合竞争性磋商文件规定的文件</w:t>
      </w:r>
    </w:p>
    <w:p w14:paraId="500832A5">
      <w:pPr>
        <w:spacing w:line="360" w:lineRule="auto"/>
        <w:ind w:firstLine="480" w:firstLineChars="200"/>
        <w:rPr>
          <w:rFonts w:hAnsi="宋体"/>
          <w:szCs w:val="24"/>
          <w:highlight w:val="none"/>
        </w:rPr>
      </w:pPr>
      <w:r>
        <w:rPr>
          <w:rFonts w:hAnsi="宋体"/>
          <w:szCs w:val="24"/>
          <w:highlight w:val="none"/>
        </w:rPr>
        <w:t>13.1</w:t>
      </w:r>
      <w:r>
        <w:rPr>
          <w:rFonts w:hint="eastAsia" w:hAnsi="宋体"/>
          <w:szCs w:val="24"/>
          <w:highlight w:val="none"/>
        </w:rPr>
        <w:t>供应商</w:t>
      </w:r>
      <w:r>
        <w:rPr>
          <w:rFonts w:hAnsi="宋体"/>
          <w:szCs w:val="24"/>
          <w:highlight w:val="none"/>
        </w:rPr>
        <w:t>应在</w:t>
      </w:r>
      <w:r>
        <w:rPr>
          <w:rFonts w:hint="eastAsia" w:hAnsi="宋体"/>
          <w:szCs w:val="24"/>
          <w:highlight w:val="none"/>
        </w:rPr>
        <w:t>竞争性磋商响应文件</w:t>
      </w:r>
      <w:r>
        <w:rPr>
          <w:rFonts w:hAnsi="宋体"/>
          <w:szCs w:val="24"/>
          <w:highlight w:val="none"/>
        </w:rPr>
        <w:t>中提交服务满足</w:t>
      </w:r>
      <w:r>
        <w:rPr>
          <w:rFonts w:hint="eastAsia" w:hAnsi="宋体"/>
          <w:szCs w:val="24"/>
          <w:highlight w:val="none"/>
        </w:rPr>
        <w:t>竞争性磋商</w:t>
      </w:r>
      <w:r>
        <w:rPr>
          <w:rFonts w:hAnsi="宋体"/>
          <w:szCs w:val="24"/>
          <w:highlight w:val="none"/>
        </w:rPr>
        <w:t>文件要求并符合国家法律法规、行业管理部门要求的其他强制性标准的证明文件。缺少证明文件或证明文件不合格的</w:t>
      </w:r>
      <w:r>
        <w:rPr>
          <w:rFonts w:hint="eastAsia" w:hAnsi="宋体"/>
          <w:szCs w:val="24"/>
          <w:highlight w:val="none"/>
        </w:rPr>
        <w:t>磋商响应文件</w:t>
      </w:r>
      <w:r>
        <w:rPr>
          <w:rFonts w:hAnsi="宋体"/>
          <w:szCs w:val="24"/>
          <w:highlight w:val="none"/>
        </w:rPr>
        <w:t>，与</w:t>
      </w:r>
      <w:r>
        <w:rPr>
          <w:rFonts w:hint="eastAsia" w:hAnsi="宋体"/>
          <w:szCs w:val="24"/>
          <w:highlight w:val="none"/>
        </w:rPr>
        <w:t>竞争性磋商</w:t>
      </w:r>
      <w:r>
        <w:rPr>
          <w:rFonts w:hAnsi="宋体"/>
          <w:szCs w:val="24"/>
          <w:highlight w:val="none"/>
        </w:rPr>
        <w:t>文件要求有重大偏离的</w:t>
      </w:r>
      <w:r>
        <w:rPr>
          <w:rFonts w:hint="eastAsia" w:hAnsi="宋体"/>
          <w:szCs w:val="24"/>
          <w:highlight w:val="none"/>
        </w:rPr>
        <w:t>磋商响应文件</w:t>
      </w:r>
      <w:r>
        <w:rPr>
          <w:rFonts w:hAnsi="宋体"/>
          <w:szCs w:val="24"/>
          <w:highlight w:val="none"/>
        </w:rPr>
        <w:t>，不符合国家法律法规、行业管理部门要求的其他强制性标准的</w:t>
      </w:r>
      <w:r>
        <w:rPr>
          <w:rFonts w:hint="eastAsia" w:hAnsi="宋体"/>
          <w:szCs w:val="24"/>
          <w:highlight w:val="none"/>
        </w:rPr>
        <w:t>磋商响应文件</w:t>
      </w:r>
      <w:r>
        <w:rPr>
          <w:rFonts w:hAnsi="宋体"/>
          <w:szCs w:val="24"/>
          <w:highlight w:val="none"/>
        </w:rPr>
        <w:t>将</w:t>
      </w:r>
      <w:r>
        <w:rPr>
          <w:rFonts w:hint="eastAsia" w:hAnsi="宋体"/>
          <w:szCs w:val="24"/>
          <w:highlight w:val="none"/>
        </w:rPr>
        <w:t>按无效磋商处理</w:t>
      </w:r>
      <w:r>
        <w:rPr>
          <w:rFonts w:hAnsi="宋体"/>
          <w:szCs w:val="24"/>
          <w:highlight w:val="none"/>
        </w:rPr>
        <w:t>。</w:t>
      </w:r>
    </w:p>
    <w:p w14:paraId="0D61C5FF">
      <w:pPr>
        <w:spacing w:line="360" w:lineRule="auto"/>
        <w:ind w:firstLine="480" w:firstLineChars="200"/>
        <w:rPr>
          <w:rFonts w:hAnsi="宋体"/>
          <w:szCs w:val="24"/>
          <w:highlight w:val="none"/>
        </w:rPr>
      </w:pPr>
      <w:r>
        <w:rPr>
          <w:rFonts w:hAnsi="宋体"/>
          <w:szCs w:val="24"/>
          <w:highlight w:val="none"/>
        </w:rPr>
        <w:t>13.2上述证明文件可以是文字资料、图纸、图片</w:t>
      </w:r>
      <w:r>
        <w:rPr>
          <w:rFonts w:hint="eastAsia" w:hAnsi="宋体"/>
          <w:szCs w:val="24"/>
          <w:highlight w:val="none"/>
        </w:rPr>
        <w:t>、</w:t>
      </w:r>
      <w:r>
        <w:rPr>
          <w:rFonts w:hAnsi="宋体"/>
          <w:szCs w:val="24"/>
          <w:highlight w:val="none"/>
        </w:rPr>
        <w:t>数据</w:t>
      </w:r>
      <w:r>
        <w:rPr>
          <w:rFonts w:hint="eastAsia" w:hAnsi="宋体"/>
          <w:szCs w:val="24"/>
          <w:highlight w:val="none"/>
        </w:rPr>
        <w:t>、</w:t>
      </w:r>
      <w:r>
        <w:rPr>
          <w:rFonts w:hAnsi="宋体"/>
          <w:szCs w:val="24"/>
          <w:highlight w:val="none"/>
        </w:rPr>
        <w:t>宣传彩页等，所有证明文件表达意思必须统一。</w:t>
      </w:r>
    </w:p>
    <w:p w14:paraId="2B042FBB">
      <w:pPr>
        <w:spacing w:line="360" w:lineRule="auto"/>
        <w:rPr>
          <w:rFonts w:hAnsi="宋体" w:cs="宋体"/>
          <w:b/>
          <w:szCs w:val="24"/>
          <w:highlight w:val="none"/>
        </w:rPr>
      </w:pPr>
      <w:r>
        <w:rPr>
          <w:rFonts w:hint="eastAsia" w:ascii="宋体" w:hAnsi="宋体" w:eastAsia="宋体" w:cs="宋体"/>
          <w:b/>
          <w:sz w:val="24"/>
          <w:szCs w:val="24"/>
          <w:lang w:val="en-US" w:eastAsia="zh-CN" w:bidi="ar-SA"/>
        </w:rPr>
        <w:t>14.</w:t>
      </w:r>
      <w:r>
        <w:rPr>
          <w:rFonts w:hint="eastAsia" w:hAnsi="宋体" w:cs="宋体"/>
          <w:b/>
          <w:szCs w:val="24"/>
          <w:highlight w:val="none"/>
        </w:rPr>
        <w:t>磋商保证金（本项目不缴纳磋商保证金）</w:t>
      </w:r>
    </w:p>
    <w:p w14:paraId="172B405C">
      <w:pPr>
        <w:spacing w:line="360" w:lineRule="auto"/>
        <w:ind w:firstLine="480" w:firstLineChars="200"/>
        <w:rPr>
          <w:rFonts w:hAnsi="宋体" w:cs="宋体"/>
          <w:szCs w:val="24"/>
          <w:highlight w:val="none"/>
        </w:rPr>
      </w:pPr>
      <w:r>
        <w:rPr>
          <w:rFonts w:hint="eastAsia" w:hAnsi="宋体" w:cs="宋体"/>
          <w:szCs w:val="24"/>
          <w:highlight w:val="none"/>
        </w:rPr>
        <w:t>14.1供应商在磋商时应向</w:t>
      </w:r>
      <w:r>
        <w:rPr>
          <w:rFonts w:hint="eastAsia" w:hAnsi="宋体" w:cs="宋体"/>
          <w:szCs w:val="24"/>
          <w:highlight w:val="none"/>
          <w:lang w:eastAsia="zh-CN"/>
        </w:rPr>
        <w:t>陕西至诚项目管理集团有限公司</w:t>
      </w:r>
      <w:r>
        <w:rPr>
          <w:rFonts w:hint="eastAsia" w:hAnsi="宋体" w:cs="宋体"/>
          <w:szCs w:val="24"/>
          <w:highlight w:val="none"/>
        </w:rPr>
        <w:t>提交“供应商须知前附表”规定数额的磋商保证金,并作为其磋商的一部分。</w:t>
      </w:r>
    </w:p>
    <w:p w14:paraId="65839651">
      <w:pPr>
        <w:spacing w:line="360" w:lineRule="auto"/>
        <w:ind w:firstLine="480" w:firstLineChars="200"/>
        <w:rPr>
          <w:rFonts w:hAnsi="宋体" w:cs="宋体"/>
          <w:szCs w:val="24"/>
          <w:highlight w:val="none"/>
        </w:rPr>
      </w:pPr>
      <w:r>
        <w:rPr>
          <w:rFonts w:hint="eastAsia" w:hAnsi="宋体" w:cs="宋体"/>
          <w:szCs w:val="24"/>
          <w:highlight w:val="none"/>
        </w:rPr>
        <w:t>14.2磋商保证金是为了保护采购单位（包括</w:t>
      </w:r>
      <w:r>
        <w:rPr>
          <w:rFonts w:hint="eastAsia" w:hAnsi="宋体" w:cs="宋体"/>
          <w:szCs w:val="24"/>
          <w:highlight w:val="none"/>
          <w:lang w:eastAsia="zh-CN"/>
        </w:rPr>
        <w:t>陕西至诚项目管理集团有限公司</w:t>
      </w:r>
      <w:r>
        <w:rPr>
          <w:rFonts w:hint="eastAsia" w:hAnsi="宋体" w:cs="宋体"/>
          <w:szCs w:val="24"/>
          <w:highlight w:val="none"/>
        </w:rPr>
        <w:t>及采购人）免遭因供应商的行为而蒙受损失。采购单位在因供应商的行为受到损害时可根据本须知的规定没收供应商的磋商保证金。</w:t>
      </w:r>
    </w:p>
    <w:p w14:paraId="4C9D90B8">
      <w:pPr>
        <w:spacing w:line="360" w:lineRule="auto"/>
        <w:ind w:firstLine="480" w:firstLineChars="200"/>
        <w:rPr>
          <w:rFonts w:hAnsi="宋体" w:cs="宋体"/>
          <w:szCs w:val="24"/>
          <w:highlight w:val="none"/>
        </w:rPr>
      </w:pPr>
      <w:r>
        <w:rPr>
          <w:rFonts w:hint="eastAsia" w:hAnsi="宋体" w:cs="宋体"/>
          <w:szCs w:val="24"/>
          <w:highlight w:val="none"/>
        </w:rPr>
        <w:t>14.3磋商保证金可采取“供应商须知前附表”规定的任何一种形式。</w:t>
      </w:r>
    </w:p>
    <w:p w14:paraId="7DC4E5CD">
      <w:pPr>
        <w:spacing w:line="360" w:lineRule="auto"/>
        <w:ind w:firstLine="480" w:firstLineChars="200"/>
        <w:rPr>
          <w:rFonts w:hAnsi="宋体" w:cs="宋体"/>
          <w:szCs w:val="24"/>
          <w:highlight w:val="none"/>
        </w:rPr>
      </w:pPr>
      <w:r>
        <w:rPr>
          <w:rFonts w:hint="eastAsia" w:hAnsi="宋体" w:cs="宋体"/>
          <w:szCs w:val="24"/>
          <w:highlight w:val="none"/>
        </w:rPr>
        <w:t>14.4磋商保证金必须按照竞争性磋商文件“供应商须知前附表”中规定的缴纳金额及方式办理。</w:t>
      </w:r>
    </w:p>
    <w:p w14:paraId="0976BEBE">
      <w:pPr>
        <w:spacing w:line="360" w:lineRule="auto"/>
        <w:ind w:firstLine="480" w:firstLineChars="200"/>
        <w:rPr>
          <w:rFonts w:hAnsi="宋体" w:cs="宋体"/>
          <w:szCs w:val="24"/>
          <w:highlight w:val="none"/>
        </w:rPr>
      </w:pPr>
      <w:r>
        <w:rPr>
          <w:rFonts w:hint="eastAsia" w:hAnsi="宋体" w:cs="宋体"/>
          <w:szCs w:val="24"/>
          <w:highlight w:val="none"/>
        </w:rPr>
        <w:t>14.5磋商后经审查，未提交磋商保证金、未按竞争性磋商文件规定时间提交磋商保证金</w:t>
      </w:r>
      <w:r>
        <w:rPr>
          <w:rFonts w:hint="eastAsia" w:hAnsi="宋体" w:cs="宋体"/>
          <w:highlight w:val="none"/>
        </w:rPr>
        <w:t>或担保机构出具的保函正本未在采购代理机构备案的</w:t>
      </w:r>
      <w:r>
        <w:rPr>
          <w:rFonts w:hint="eastAsia" w:hAnsi="宋体" w:cs="宋体"/>
          <w:szCs w:val="24"/>
          <w:highlight w:val="none"/>
        </w:rPr>
        <w:t>、磋商保证金金额不足或磋商保证金转账凭证复印件/担保机构出具的保函正本复印件未附在磋商响应文件内的磋商将按无效磋商处理。</w:t>
      </w:r>
    </w:p>
    <w:p w14:paraId="02006F1D">
      <w:pPr>
        <w:spacing w:line="360" w:lineRule="auto"/>
        <w:rPr>
          <w:rFonts w:hAnsi="宋体" w:cs="宋体"/>
          <w:szCs w:val="24"/>
          <w:highlight w:val="none"/>
        </w:rPr>
      </w:pPr>
      <w:r>
        <w:rPr>
          <w:rFonts w:hint="eastAsia" w:hAnsi="宋体" w:cs="宋体"/>
          <w:szCs w:val="24"/>
          <w:highlight w:val="none"/>
        </w:rPr>
        <w:t xml:space="preserve">   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szCs w:val="24"/>
          <w:highlight w:val="none"/>
        </w:rPr>
        <w:t>（退还时，须向采购代理机构提供采购合同原件、开户许可证及转账凭证复印件壹份）</w:t>
      </w:r>
      <w:r>
        <w:rPr>
          <w:rFonts w:hint="eastAsia" w:hAnsi="宋体" w:cs="宋体"/>
          <w:szCs w:val="24"/>
          <w:highlight w:val="none"/>
        </w:rPr>
        <w:t>。</w:t>
      </w:r>
    </w:p>
    <w:p w14:paraId="5F7D63FE">
      <w:pPr>
        <w:spacing w:line="360" w:lineRule="auto"/>
        <w:ind w:firstLine="480" w:firstLineChars="200"/>
        <w:rPr>
          <w:rFonts w:hAnsi="宋体" w:cs="宋体"/>
          <w:szCs w:val="24"/>
          <w:highlight w:val="none"/>
        </w:rPr>
      </w:pPr>
      <w:r>
        <w:rPr>
          <w:rFonts w:hint="eastAsia" w:hAnsi="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7CB44AD5">
      <w:pPr>
        <w:spacing w:line="360" w:lineRule="auto"/>
        <w:ind w:firstLine="482" w:firstLineChars="200"/>
        <w:rPr>
          <w:rFonts w:hAnsi="宋体" w:cs="宋体"/>
          <w:szCs w:val="24"/>
          <w:highlight w:val="none"/>
        </w:rPr>
      </w:pPr>
      <w:r>
        <w:rPr>
          <w:rFonts w:hint="eastAsia" w:hAnsi="宋体" w:cs="宋体"/>
          <w:b/>
          <w:bCs/>
          <w:szCs w:val="24"/>
          <w:highlight w:val="none"/>
        </w:rPr>
        <w:t>14.8 下列任何情况发生时，视为供应商违约，其磋商保证金将被没收：</w:t>
      </w:r>
    </w:p>
    <w:p w14:paraId="4E56B848">
      <w:pPr>
        <w:spacing w:line="360" w:lineRule="auto"/>
        <w:ind w:firstLine="480" w:firstLineChars="200"/>
        <w:rPr>
          <w:rFonts w:hAnsi="宋体" w:cs="宋体"/>
          <w:szCs w:val="24"/>
          <w:highlight w:val="none"/>
        </w:rPr>
      </w:pPr>
      <w:r>
        <w:rPr>
          <w:rFonts w:hint="eastAsia" w:hAnsi="宋体" w:cs="宋体"/>
          <w:szCs w:val="24"/>
          <w:highlight w:val="none"/>
        </w:rPr>
        <w:t>1) 供应商在磋商有效期内撤回其磋商响应文件；</w:t>
      </w:r>
    </w:p>
    <w:p w14:paraId="566F9E17">
      <w:pPr>
        <w:spacing w:line="360" w:lineRule="auto"/>
        <w:ind w:firstLine="480" w:firstLineChars="200"/>
        <w:rPr>
          <w:rFonts w:hAnsi="宋体" w:cs="宋体"/>
          <w:szCs w:val="24"/>
          <w:highlight w:val="none"/>
        </w:rPr>
      </w:pPr>
      <w:r>
        <w:rPr>
          <w:rFonts w:hint="eastAsia" w:hAnsi="宋体" w:cs="宋体"/>
          <w:szCs w:val="24"/>
          <w:highlight w:val="none"/>
        </w:rPr>
        <w:t>2）供应商在响应文件中提供伪造、套改、虚假资料参加磋商的。</w:t>
      </w:r>
    </w:p>
    <w:p w14:paraId="15C18E44">
      <w:pPr>
        <w:spacing w:line="360" w:lineRule="auto"/>
        <w:ind w:firstLine="480" w:firstLineChars="200"/>
        <w:rPr>
          <w:rFonts w:hAnsi="宋体" w:cs="宋体"/>
          <w:szCs w:val="24"/>
          <w:highlight w:val="none"/>
        </w:rPr>
      </w:pPr>
      <w:r>
        <w:rPr>
          <w:rFonts w:hint="eastAsia" w:hAnsi="宋体" w:cs="宋体"/>
          <w:szCs w:val="24"/>
          <w:highlight w:val="none"/>
        </w:rPr>
        <w:t>3) 供应商成交后放弃成交或未能按规定签订合同；或未能按规定交纳成交代理服务费。</w:t>
      </w:r>
    </w:p>
    <w:p w14:paraId="40EBE352">
      <w:pPr>
        <w:spacing w:line="360" w:lineRule="auto"/>
        <w:ind w:firstLine="480" w:firstLineChars="200"/>
        <w:rPr>
          <w:rFonts w:hAnsi="宋体" w:cs="宋体"/>
          <w:szCs w:val="24"/>
          <w:highlight w:val="none"/>
        </w:rPr>
      </w:pPr>
      <w:r>
        <w:rPr>
          <w:rFonts w:hint="eastAsia" w:hAnsi="宋体" w:cs="宋体"/>
          <w:szCs w:val="24"/>
          <w:highlight w:val="none"/>
        </w:rPr>
        <w:t>4）供应商成交后将成交项目转让给他人，或者在响应文件中未说明，且未经采购人同意，将成交项目分包给他人的。</w:t>
      </w:r>
    </w:p>
    <w:p w14:paraId="728BA511">
      <w:pPr>
        <w:spacing w:line="360" w:lineRule="auto"/>
        <w:ind w:firstLine="480" w:firstLineChars="200"/>
        <w:rPr>
          <w:rFonts w:hAnsi="宋体" w:cs="宋体"/>
          <w:szCs w:val="24"/>
          <w:highlight w:val="none"/>
        </w:rPr>
      </w:pPr>
      <w:r>
        <w:rPr>
          <w:rFonts w:hint="eastAsia" w:hAnsi="宋体" w:cs="宋体"/>
          <w:szCs w:val="24"/>
          <w:highlight w:val="none"/>
        </w:rPr>
        <w:t>5）供应商事先未通告无故不参加磋商活动的。</w:t>
      </w:r>
    </w:p>
    <w:p w14:paraId="3F1A65B4">
      <w:pPr>
        <w:spacing w:line="360" w:lineRule="auto"/>
        <w:ind w:firstLine="480" w:firstLineChars="200"/>
        <w:rPr>
          <w:rFonts w:hAnsi="宋体" w:cs="宋体"/>
          <w:szCs w:val="24"/>
          <w:highlight w:val="none"/>
        </w:rPr>
      </w:pPr>
      <w:r>
        <w:rPr>
          <w:rFonts w:hint="eastAsia" w:hAnsi="宋体" w:cs="宋体"/>
          <w:szCs w:val="24"/>
          <w:highlight w:val="none"/>
        </w:rPr>
        <w:t>6）供应商不按法定程序进行质疑和投诉，捏造事实，查无实据，造成恶劣影响，导致采购活动无法正常进行的。</w:t>
      </w:r>
    </w:p>
    <w:p w14:paraId="5787E0FF">
      <w:pPr>
        <w:spacing w:line="360" w:lineRule="auto"/>
        <w:rPr>
          <w:rFonts w:hAnsi="宋体" w:cs="宋体"/>
          <w:b/>
          <w:szCs w:val="24"/>
          <w:highlight w:val="none"/>
        </w:rPr>
      </w:pPr>
      <w:r>
        <w:rPr>
          <w:rFonts w:hint="eastAsia" w:hAnsi="宋体" w:cs="宋体"/>
          <w:b/>
          <w:szCs w:val="24"/>
          <w:highlight w:val="none"/>
        </w:rPr>
        <w:t>15.磋商有效期</w:t>
      </w:r>
    </w:p>
    <w:p w14:paraId="5FAB9D99">
      <w:pPr>
        <w:spacing w:line="360" w:lineRule="auto"/>
        <w:ind w:firstLine="480" w:firstLineChars="200"/>
        <w:rPr>
          <w:rFonts w:hAnsi="宋体" w:cs="宋体"/>
          <w:szCs w:val="24"/>
          <w:highlight w:val="none"/>
        </w:rPr>
      </w:pPr>
      <w:bookmarkStart w:id="48" w:name="OLE_LINK4"/>
      <w:r>
        <w:rPr>
          <w:rFonts w:hint="eastAsia" w:hAnsi="宋体" w:cs="宋体"/>
          <w:szCs w:val="24"/>
          <w:highlight w:val="none"/>
        </w:rPr>
        <w:t>15.1磋商响应文件应在“供应商须知前附表”中规定的期限内保持有效。磋商有效期不满足规定有效期的磋商响应文件将被视为非响应性磋商而予以拒绝。</w:t>
      </w:r>
      <w:bookmarkEnd w:id="48"/>
    </w:p>
    <w:p w14:paraId="3D783B60">
      <w:pPr>
        <w:spacing w:line="360" w:lineRule="auto"/>
        <w:ind w:firstLine="480" w:firstLineChars="200"/>
        <w:rPr>
          <w:rFonts w:hAnsi="宋体" w:cs="宋体"/>
          <w:szCs w:val="24"/>
          <w:highlight w:val="none"/>
        </w:rPr>
      </w:pPr>
      <w:r>
        <w:rPr>
          <w:rFonts w:hint="eastAsia" w:hAnsi="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6EE3DFBB">
      <w:pPr>
        <w:spacing w:line="360" w:lineRule="auto"/>
        <w:rPr>
          <w:rFonts w:hAnsi="宋体" w:cs="宋体"/>
          <w:b/>
          <w:szCs w:val="24"/>
          <w:highlight w:val="none"/>
        </w:rPr>
      </w:pPr>
      <w:r>
        <w:rPr>
          <w:rFonts w:hint="eastAsia" w:hAnsi="宋体" w:cs="宋体"/>
          <w:b/>
          <w:szCs w:val="24"/>
          <w:highlight w:val="none"/>
        </w:rPr>
        <w:t>16.竞争性磋商响应文件的式样和签署</w:t>
      </w:r>
    </w:p>
    <w:p w14:paraId="3A4DD388">
      <w:pPr>
        <w:spacing w:line="360" w:lineRule="auto"/>
        <w:ind w:firstLine="480" w:firstLineChars="200"/>
        <w:rPr>
          <w:rFonts w:hAnsi="宋体" w:cs="宋体"/>
          <w:szCs w:val="24"/>
          <w:highlight w:val="none"/>
        </w:rPr>
      </w:pPr>
      <w:r>
        <w:rPr>
          <w:rFonts w:hint="eastAsia" w:hAnsi="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spacing w:val="4"/>
          <w:highlight w:val="none"/>
        </w:rPr>
        <w:t>电子版（U盘）</w:t>
      </w:r>
      <w:r>
        <w:rPr>
          <w:rFonts w:hint="eastAsia" w:hAnsi="宋体" w:cs="宋体"/>
          <w:szCs w:val="24"/>
          <w:highlight w:val="none"/>
        </w:rPr>
        <w:t>并在盘面标注供应商全称、项目名称、项目编号，并与竞争性磋商响应文件同时递交。</w:t>
      </w:r>
    </w:p>
    <w:p w14:paraId="3CBC7447">
      <w:pPr>
        <w:spacing w:line="500" w:lineRule="exact"/>
        <w:ind w:firstLine="480" w:firstLineChars="200"/>
        <w:rPr>
          <w:rFonts w:hAnsi="宋体" w:cs="宋体"/>
          <w:b/>
          <w:bCs/>
          <w:highlight w:val="none"/>
        </w:rPr>
      </w:pPr>
      <w:r>
        <w:rPr>
          <w:rFonts w:hint="eastAsia" w:hAnsi="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highlight w:val="none"/>
        </w:rPr>
        <w:t>所有竞争性磋商响应文件正本和副本须按第六章规定的顺序编排、并应编制目录、逐页标注连续页码，并</w:t>
      </w:r>
      <w:r>
        <w:rPr>
          <w:rFonts w:hint="eastAsia" w:hAnsi="宋体" w:cs="宋体"/>
          <w:b/>
          <w:bCs/>
          <w:highlight w:val="none"/>
        </w:rPr>
        <w:t>分别胶装成册。</w:t>
      </w:r>
    </w:p>
    <w:p w14:paraId="3C5C0D8C">
      <w:pPr>
        <w:spacing w:line="360" w:lineRule="auto"/>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16.3任何行间插字、涂改和增删，必须由供应商的法定代表人或其授权代表在旁边签字才有效。</w:t>
      </w:r>
    </w:p>
    <w:p w14:paraId="14137ED1">
      <w:pPr>
        <w:spacing w:line="360" w:lineRule="auto"/>
        <w:ind w:firstLine="482" w:firstLineChars="200"/>
        <w:rPr>
          <w:rFonts w:hAnsi="宋体" w:cs="宋体"/>
          <w:b/>
          <w:bCs/>
          <w:szCs w:val="24"/>
          <w:highlight w:val="none"/>
        </w:rPr>
      </w:pPr>
      <w:r>
        <w:rPr>
          <w:rFonts w:hint="eastAsia" w:hAnsi="宋体" w:cs="宋体"/>
          <w:b/>
          <w:bCs/>
          <w:szCs w:val="24"/>
          <w:highlight w:val="none"/>
        </w:rPr>
        <w:t>16.4供应商名称应填写全称。磋商响应文件</w:t>
      </w:r>
      <w:r>
        <w:rPr>
          <w:rFonts w:hint="eastAsia" w:hAnsi="宋体" w:cs="宋体"/>
          <w:b/>
          <w:bCs/>
          <w:szCs w:val="24"/>
          <w:highlight w:val="none"/>
          <w:lang w:val="en-US" w:eastAsia="zh-CN"/>
        </w:rPr>
        <w:t>副本可以是正本的复印件</w:t>
      </w:r>
      <w:r>
        <w:rPr>
          <w:rFonts w:hint="eastAsia" w:hAnsi="宋体" w:cs="宋体"/>
          <w:b/>
          <w:bCs/>
          <w:szCs w:val="24"/>
          <w:highlight w:val="none"/>
        </w:rPr>
        <w:t>。</w:t>
      </w:r>
    </w:p>
    <w:p w14:paraId="0AAFB164">
      <w:pPr>
        <w:spacing w:line="360" w:lineRule="auto"/>
        <w:ind w:firstLine="480" w:firstLineChars="200"/>
        <w:rPr>
          <w:rFonts w:hAnsi="宋体" w:cs="宋体"/>
          <w:szCs w:val="24"/>
          <w:highlight w:val="none"/>
        </w:rPr>
      </w:pPr>
      <w:r>
        <w:rPr>
          <w:rFonts w:hint="eastAsia" w:hAnsi="宋体" w:cs="宋体"/>
          <w:szCs w:val="24"/>
          <w:highlight w:val="none"/>
        </w:rPr>
        <w:t>16.5因字迹潦草、表述不清或不按竞争性磋商文件格式编制的竞争性磋商响应文件，所引起的对供应商不利的后果，由供应商自行负责。</w:t>
      </w:r>
    </w:p>
    <w:p w14:paraId="57629977">
      <w:pPr>
        <w:spacing w:line="500" w:lineRule="exact"/>
        <w:ind w:firstLine="480" w:firstLineChars="200"/>
        <w:rPr>
          <w:rFonts w:hAnsi="宋体" w:cs="宋体"/>
          <w:highlight w:val="none"/>
        </w:rPr>
      </w:pPr>
      <w:r>
        <w:rPr>
          <w:rFonts w:hint="eastAsia" w:hAnsi="宋体" w:cs="宋体"/>
          <w:szCs w:val="24"/>
          <w:highlight w:val="none"/>
        </w:rPr>
        <w:t>16.6竞争性磋商文件的副本、电子版须和正本保持一致。</w:t>
      </w:r>
      <w:r>
        <w:rPr>
          <w:rFonts w:hint="eastAsia" w:hAnsi="宋体" w:cs="宋体"/>
          <w:highlight w:val="none"/>
        </w:rPr>
        <w:t>若正本、副本和电子版有不一致的内容，以正本为准。</w:t>
      </w:r>
    </w:p>
    <w:p w14:paraId="3695DC73">
      <w:pPr>
        <w:keepNext/>
        <w:keepLines/>
        <w:spacing w:before="312" w:beforeLines="100" w:after="156" w:afterLines="50" w:line="360" w:lineRule="auto"/>
        <w:jc w:val="center"/>
        <w:outlineLvl w:val="2"/>
        <w:rPr>
          <w:rFonts w:hAnsi="宋体" w:cs="宋体"/>
          <w:b/>
          <w:sz w:val="32"/>
          <w:szCs w:val="32"/>
          <w:highlight w:val="none"/>
        </w:rPr>
      </w:pPr>
      <w:bookmarkStart w:id="49" w:name="_Toc18686"/>
      <w:bookmarkStart w:id="50" w:name="_Toc20799"/>
      <w:bookmarkStart w:id="51" w:name="_Toc12266"/>
      <w:r>
        <w:rPr>
          <w:rFonts w:hint="eastAsia" w:hAnsi="宋体" w:cs="宋体"/>
          <w:b/>
          <w:sz w:val="32"/>
          <w:szCs w:val="32"/>
          <w:highlight w:val="none"/>
        </w:rPr>
        <w:t>四.竞争性磋商响应文件的递交</w:t>
      </w:r>
      <w:bookmarkEnd w:id="49"/>
      <w:bookmarkEnd w:id="50"/>
      <w:bookmarkEnd w:id="51"/>
    </w:p>
    <w:p w14:paraId="3D730B6E">
      <w:pPr>
        <w:spacing w:line="360" w:lineRule="auto"/>
        <w:rPr>
          <w:rFonts w:hAnsi="宋体" w:cs="宋体"/>
          <w:b/>
          <w:szCs w:val="24"/>
          <w:highlight w:val="none"/>
        </w:rPr>
      </w:pPr>
      <w:r>
        <w:rPr>
          <w:rFonts w:hint="eastAsia" w:hAnsi="宋体" w:cs="宋体"/>
          <w:b/>
          <w:szCs w:val="24"/>
          <w:highlight w:val="none"/>
        </w:rPr>
        <w:t>17.竞争性磋商响应文件的密封和标记</w:t>
      </w:r>
    </w:p>
    <w:p w14:paraId="113AC194">
      <w:pPr>
        <w:spacing w:line="360" w:lineRule="auto"/>
        <w:ind w:firstLine="480" w:firstLineChars="200"/>
        <w:rPr>
          <w:rFonts w:hAnsi="宋体" w:cs="宋体"/>
          <w:szCs w:val="24"/>
          <w:highlight w:val="none"/>
        </w:rPr>
      </w:pPr>
      <w:r>
        <w:rPr>
          <w:rFonts w:hint="eastAsia" w:hAnsi="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7264369F">
      <w:pPr>
        <w:spacing w:line="360" w:lineRule="auto"/>
        <w:ind w:firstLine="480" w:firstLineChars="200"/>
        <w:rPr>
          <w:rFonts w:hAnsi="宋体" w:cs="宋体"/>
          <w:szCs w:val="24"/>
          <w:highlight w:val="none"/>
        </w:rPr>
      </w:pPr>
      <w:r>
        <w:rPr>
          <w:rFonts w:hint="eastAsia" w:hAnsi="宋体" w:cs="宋体"/>
          <w:highlight w:val="none"/>
        </w:rPr>
        <w:t>17.2供应商应将竞争性磋商响应文件正本、</w:t>
      </w:r>
      <w:r>
        <w:rPr>
          <w:rFonts w:hint="eastAsia" w:hAnsi="宋体" w:cs="宋体"/>
          <w:szCs w:val="24"/>
          <w:highlight w:val="none"/>
        </w:rPr>
        <w:t>所有的副本、</w:t>
      </w:r>
      <w:r>
        <w:rPr>
          <w:rFonts w:hint="eastAsia" w:hAnsi="宋体" w:cs="宋体"/>
          <w:highlight w:val="none"/>
        </w:rPr>
        <w:t>电子版本、报价一览表单独密封装在封袋中（封袋不得有破损），且在封袋正面标明</w:t>
      </w:r>
      <w:r>
        <w:rPr>
          <w:rFonts w:hint="eastAsia" w:hAnsi="宋体" w:cs="宋体"/>
          <w:szCs w:val="24"/>
          <w:highlight w:val="none"/>
        </w:rPr>
        <w:t>“正本”“副本”</w:t>
      </w:r>
      <w:r>
        <w:rPr>
          <w:rFonts w:hint="eastAsia" w:hAnsi="宋体" w:cs="宋体"/>
          <w:highlight w:val="none"/>
        </w:rPr>
        <w:t>“电子版本”“报价一览表”字样。封袋应加贴封条，并在封线处加盖供应商公章，封袋正面要粘贴供应商全称、项目名称、编号等标识。</w:t>
      </w:r>
    </w:p>
    <w:p w14:paraId="67AE1A99">
      <w:pPr>
        <w:spacing w:line="360" w:lineRule="auto"/>
        <w:ind w:firstLine="482" w:firstLineChars="200"/>
        <w:rPr>
          <w:rFonts w:hAnsi="宋体" w:cs="宋体"/>
          <w:b/>
          <w:bCs/>
          <w:szCs w:val="24"/>
          <w:highlight w:val="none"/>
        </w:rPr>
      </w:pPr>
      <w:r>
        <w:rPr>
          <w:rFonts w:hint="eastAsia" w:hAnsi="宋体" w:cs="宋体"/>
          <w:b/>
          <w:bCs/>
          <w:szCs w:val="24"/>
          <w:highlight w:val="none"/>
        </w:rPr>
        <w:t>外层包装请按以下要求标记：</w:t>
      </w:r>
    </w:p>
    <w:p w14:paraId="004AB1E6">
      <w:pPr>
        <w:spacing w:line="360" w:lineRule="auto"/>
        <w:ind w:firstLine="720" w:firstLineChars="300"/>
        <w:rPr>
          <w:rFonts w:hAnsi="宋体" w:cs="宋体"/>
          <w:szCs w:val="24"/>
          <w:highlight w:val="none"/>
        </w:rPr>
      </w:pPr>
      <w:r>
        <w:rPr>
          <w:rFonts w:hint="eastAsia" w:hAnsi="宋体" w:cs="宋体"/>
          <w:szCs w:val="24"/>
          <w:highlight w:val="none"/>
        </w:rPr>
        <w:t>1) 磋商响应单位的全称；</w:t>
      </w:r>
    </w:p>
    <w:p w14:paraId="68E52289">
      <w:pPr>
        <w:spacing w:line="360" w:lineRule="auto"/>
        <w:ind w:firstLine="720" w:firstLineChars="300"/>
        <w:rPr>
          <w:rFonts w:hAnsi="宋体" w:cs="宋体"/>
          <w:szCs w:val="24"/>
          <w:highlight w:val="none"/>
        </w:rPr>
      </w:pPr>
      <w:r>
        <w:rPr>
          <w:rFonts w:hint="eastAsia" w:hAnsi="宋体" w:cs="宋体"/>
          <w:szCs w:val="24"/>
          <w:highlight w:val="none"/>
        </w:rPr>
        <w:t>2) 磋商项目名称、项目编号；</w:t>
      </w:r>
    </w:p>
    <w:p w14:paraId="12AC2289">
      <w:pPr>
        <w:spacing w:line="360" w:lineRule="auto"/>
        <w:ind w:firstLine="720" w:firstLineChars="300"/>
        <w:rPr>
          <w:rFonts w:hAnsi="宋体" w:cs="宋体"/>
          <w:szCs w:val="24"/>
          <w:highlight w:val="none"/>
        </w:rPr>
      </w:pPr>
      <w:r>
        <w:rPr>
          <w:rFonts w:hint="eastAsia" w:hAnsi="宋体" w:cs="宋体"/>
          <w:szCs w:val="24"/>
          <w:highlight w:val="none"/>
        </w:rPr>
        <w:t>3）正本或副本、电子版、报价一览表“请勿在＿＿＿＿＿(磋商时间)之前启封”。</w:t>
      </w:r>
    </w:p>
    <w:p w14:paraId="1B7B646E">
      <w:pPr>
        <w:spacing w:line="360" w:lineRule="auto"/>
        <w:ind w:firstLine="480" w:firstLineChars="200"/>
        <w:rPr>
          <w:rFonts w:hAnsi="宋体" w:cs="宋体"/>
          <w:szCs w:val="24"/>
          <w:highlight w:val="none"/>
        </w:rPr>
      </w:pPr>
      <w:r>
        <w:rPr>
          <w:rFonts w:hint="eastAsia" w:hAnsi="宋体" w:cs="宋体"/>
          <w:szCs w:val="24"/>
          <w:highlight w:val="none"/>
        </w:rPr>
        <w:t>17.4如果供应商未对竞争性磋商响应文件按上述要求进行完好密封，由此产生的不利后果由供应商自行承担。</w:t>
      </w:r>
    </w:p>
    <w:p w14:paraId="61B5C163">
      <w:pPr>
        <w:spacing w:line="360" w:lineRule="auto"/>
        <w:rPr>
          <w:rFonts w:hAnsi="宋体" w:cs="宋体"/>
          <w:b/>
          <w:szCs w:val="24"/>
          <w:highlight w:val="none"/>
        </w:rPr>
      </w:pPr>
      <w:r>
        <w:rPr>
          <w:rFonts w:hint="eastAsia" w:hAnsi="宋体" w:cs="宋体"/>
          <w:b/>
          <w:szCs w:val="24"/>
          <w:highlight w:val="none"/>
        </w:rPr>
        <w:t>18．竞争性磋商响应文件的递交</w:t>
      </w:r>
    </w:p>
    <w:p w14:paraId="0605AC6D">
      <w:pPr>
        <w:spacing w:line="360" w:lineRule="auto"/>
        <w:ind w:firstLine="480" w:firstLineChars="200"/>
        <w:rPr>
          <w:rFonts w:hAnsi="宋体" w:cs="宋体"/>
          <w:szCs w:val="24"/>
          <w:highlight w:val="none"/>
        </w:rPr>
      </w:pPr>
      <w:r>
        <w:rPr>
          <w:rFonts w:hint="eastAsia" w:hAnsi="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4CDC6F54">
      <w:pPr>
        <w:spacing w:line="360" w:lineRule="auto"/>
        <w:ind w:firstLine="480" w:firstLineChars="200"/>
        <w:rPr>
          <w:rFonts w:hAnsi="宋体" w:cs="宋体"/>
          <w:szCs w:val="24"/>
          <w:highlight w:val="none"/>
        </w:rPr>
      </w:pPr>
      <w:r>
        <w:rPr>
          <w:rFonts w:hint="eastAsia" w:hAnsi="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18A686F3">
      <w:pPr>
        <w:spacing w:line="360" w:lineRule="auto"/>
        <w:ind w:firstLine="480" w:firstLineChars="200"/>
        <w:rPr>
          <w:rFonts w:hAnsi="宋体" w:cs="宋体"/>
          <w:szCs w:val="24"/>
          <w:highlight w:val="none"/>
        </w:rPr>
      </w:pPr>
      <w:r>
        <w:rPr>
          <w:rFonts w:hint="eastAsia" w:hAnsi="宋体" w:cs="宋体"/>
          <w:szCs w:val="24"/>
          <w:highlight w:val="none"/>
        </w:rPr>
        <w:t>18.3无论供应商成交与否，其竞争性磋商响应文件恕不退还。</w:t>
      </w:r>
    </w:p>
    <w:p w14:paraId="3AFB5F06">
      <w:pPr>
        <w:spacing w:line="360" w:lineRule="auto"/>
        <w:rPr>
          <w:rFonts w:hAnsi="宋体" w:cs="宋体"/>
          <w:b/>
          <w:szCs w:val="24"/>
          <w:highlight w:val="none"/>
        </w:rPr>
      </w:pPr>
      <w:r>
        <w:rPr>
          <w:rFonts w:hint="eastAsia" w:hAnsi="宋体" w:cs="宋体"/>
          <w:b/>
          <w:szCs w:val="24"/>
          <w:highlight w:val="none"/>
        </w:rPr>
        <w:t>19．递交的竞争性磋商响应文件</w:t>
      </w:r>
    </w:p>
    <w:p w14:paraId="2504BF76">
      <w:pPr>
        <w:spacing w:line="360" w:lineRule="auto"/>
        <w:ind w:firstLine="480" w:firstLineChars="200"/>
        <w:rPr>
          <w:rFonts w:hAnsi="宋体" w:cs="宋体"/>
          <w:szCs w:val="24"/>
          <w:highlight w:val="none"/>
        </w:rPr>
      </w:pPr>
      <w:r>
        <w:rPr>
          <w:rFonts w:hint="eastAsia" w:hAnsi="宋体" w:cs="宋体"/>
          <w:szCs w:val="24"/>
          <w:highlight w:val="none"/>
        </w:rPr>
        <w:t>19.1按照供应商须知的规定，采购代理机构将拒绝接受在规定的磋商截止时间后递交的任何竞争性磋商响应文件。</w:t>
      </w:r>
    </w:p>
    <w:p w14:paraId="4D55A090">
      <w:pPr>
        <w:spacing w:line="360" w:lineRule="auto"/>
        <w:rPr>
          <w:rFonts w:hAnsi="宋体" w:cs="宋体"/>
          <w:b/>
          <w:szCs w:val="24"/>
          <w:highlight w:val="none"/>
        </w:rPr>
      </w:pPr>
      <w:r>
        <w:rPr>
          <w:rFonts w:hint="eastAsia" w:hAnsi="宋体" w:cs="宋体"/>
          <w:b/>
          <w:szCs w:val="24"/>
          <w:highlight w:val="none"/>
        </w:rPr>
        <w:t>20．磋商的修改与撤回</w:t>
      </w:r>
    </w:p>
    <w:p w14:paraId="433888B1">
      <w:pPr>
        <w:spacing w:line="360" w:lineRule="auto"/>
        <w:ind w:firstLine="480" w:firstLineChars="200"/>
        <w:rPr>
          <w:rFonts w:hAnsi="宋体" w:cs="宋体"/>
          <w:szCs w:val="24"/>
          <w:highlight w:val="none"/>
        </w:rPr>
      </w:pPr>
      <w:r>
        <w:rPr>
          <w:rFonts w:hint="eastAsia" w:hAnsi="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117B890D">
      <w:pPr>
        <w:spacing w:line="360" w:lineRule="auto"/>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2BDABF3D">
      <w:pPr>
        <w:spacing w:line="360" w:lineRule="auto"/>
        <w:ind w:firstLine="480" w:firstLineChars="200"/>
        <w:rPr>
          <w:rFonts w:hAnsi="宋体" w:cs="宋体"/>
          <w:szCs w:val="24"/>
          <w:highlight w:val="none"/>
        </w:rPr>
      </w:pPr>
      <w:r>
        <w:rPr>
          <w:rFonts w:hint="eastAsia" w:hAnsi="宋体" w:cs="宋体"/>
          <w:szCs w:val="24"/>
          <w:highlight w:val="none"/>
        </w:rPr>
        <w:t>20.3 在磋商截止时间之后，供应商不得对其磋商响应文件做任何修改或撤回。</w:t>
      </w:r>
    </w:p>
    <w:p w14:paraId="1378D2DD">
      <w:pPr>
        <w:keepNext/>
        <w:keepLines/>
        <w:spacing w:before="312" w:beforeLines="100" w:after="156" w:afterLines="50" w:line="360" w:lineRule="auto"/>
        <w:jc w:val="center"/>
        <w:outlineLvl w:val="2"/>
        <w:rPr>
          <w:rFonts w:hAnsi="宋体" w:cs="宋体"/>
          <w:b/>
          <w:sz w:val="32"/>
          <w:szCs w:val="32"/>
          <w:highlight w:val="none"/>
        </w:rPr>
      </w:pPr>
      <w:bookmarkStart w:id="52" w:name="_Toc403077643"/>
      <w:bookmarkStart w:id="53" w:name="_Toc13669"/>
      <w:bookmarkStart w:id="54" w:name="_Toc363474021"/>
      <w:bookmarkStart w:id="55" w:name="_Toc363473976"/>
      <w:bookmarkStart w:id="56" w:name="_Toc25852"/>
      <w:bookmarkStart w:id="57" w:name="_Toc15436"/>
      <w:r>
        <w:rPr>
          <w:rFonts w:hint="eastAsia" w:hAnsi="宋体" w:cs="宋体"/>
          <w:b/>
          <w:sz w:val="32"/>
          <w:szCs w:val="32"/>
          <w:highlight w:val="none"/>
        </w:rPr>
        <w:t>五.磋商与评标</w:t>
      </w:r>
      <w:bookmarkEnd w:id="52"/>
      <w:bookmarkEnd w:id="53"/>
      <w:bookmarkEnd w:id="54"/>
      <w:bookmarkEnd w:id="55"/>
      <w:bookmarkEnd w:id="56"/>
      <w:bookmarkEnd w:id="57"/>
    </w:p>
    <w:p w14:paraId="558D9FE9">
      <w:pPr>
        <w:spacing w:line="360" w:lineRule="auto"/>
        <w:rPr>
          <w:rFonts w:hAnsi="宋体" w:cs="宋体"/>
          <w:b/>
          <w:szCs w:val="24"/>
          <w:highlight w:val="none"/>
        </w:rPr>
      </w:pPr>
      <w:r>
        <w:rPr>
          <w:rFonts w:hint="eastAsia" w:hAnsi="宋体" w:cs="宋体"/>
          <w:b/>
          <w:szCs w:val="24"/>
          <w:highlight w:val="none"/>
        </w:rPr>
        <w:t>21.磋商大会</w:t>
      </w:r>
    </w:p>
    <w:p w14:paraId="57125435">
      <w:pPr>
        <w:spacing w:line="360" w:lineRule="auto"/>
        <w:ind w:firstLine="480" w:firstLineChars="200"/>
        <w:rPr>
          <w:rFonts w:hAnsi="宋体" w:cs="宋体"/>
          <w:szCs w:val="24"/>
          <w:highlight w:val="none"/>
        </w:rPr>
      </w:pPr>
      <w:r>
        <w:rPr>
          <w:rFonts w:hint="eastAsia" w:hAnsi="宋体" w:cs="宋体"/>
          <w:szCs w:val="24"/>
          <w:highlight w:val="none"/>
        </w:rPr>
        <w:t>21.1 采购代理机构在规定的时间和地点组织竞争性磋商。磋商时所有供应商代表自愿参加，参加磋商的代表应签名报到以证明其出席。</w:t>
      </w:r>
    </w:p>
    <w:p w14:paraId="24B4FBCF">
      <w:pPr>
        <w:spacing w:line="360" w:lineRule="auto"/>
        <w:ind w:firstLine="480" w:firstLineChars="200"/>
        <w:rPr>
          <w:rFonts w:hAnsi="宋体" w:cs="宋体"/>
          <w:b/>
          <w:szCs w:val="24"/>
          <w:highlight w:val="none"/>
        </w:rPr>
      </w:pPr>
      <w:r>
        <w:rPr>
          <w:rFonts w:hint="eastAsia" w:hAnsi="宋体" w:cs="宋体"/>
          <w:szCs w:val="24"/>
          <w:highlight w:val="none"/>
        </w:rPr>
        <w:t>21.2采购代理机构将做磋商记录，存档备查。</w:t>
      </w:r>
    </w:p>
    <w:p w14:paraId="63AD3E28">
      <w:pPr>
        <w:spacing w:line="360" w:lineRule="auto"/>
        <w:rPr>
          <w:rFonts w:hAnsi="宋体" w:cs="宋体"/>
          <w:b/>
          <w:szCs w:val="24"/>
          <w:highlight w:val="none"/>
        </w:rPr>
      </w:pPr>
      <w:r>
        <w:rPr>
          <w:rFonts w:hint="eastAsia" w:hAnsi="宋体" w:cs="宋体"/>
          <w:b/>
          <w:szCs w:val="24"/>
          <w:highlight w:val="none"/>
        </w:rPr>
        <w:t>22．评审程序</w:t>
      </w:r>
    </w:p>
    <w:p w14:paraId="799D7D4B">
      <w:pPr>
        <w:spacing w:line="360" w:lineRule="auto"/>
        <w:ind w:firstLine="480" w:firstLineChars="200"/>
        <w:rPr>
          <w:rFonts w:hAnsi="宋体" w:cs="宋体"/>
          <w:szCs w:val="24"/>
          <w:highlight w:val="none"/>
        </w:rPr>
      </w:pPr>
      <w:r>
        <w:rPr>
          <w:rFonts w:hint="eastAsia" w:hAnsi="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727C2BCB">
      <w:pPr>
        <w:spacing w:line="360" w:lineRule="auto"/>
        <w:rPr>
          <w:rFonts w:hAnsi="宋体" w:cs="宋体"/>
          <w:b/>
          <w:szCs w:val="24"/>
          <w:highlight w:val="none"/>
        </w:rPr>
      </w:pPr>
      <w:r>
        <w:rPr>
          <w:rFonts w:hint="eastAsia" w:hAnsi="宋体" w:cs="宋体"/>
          <w:b/>
          <w:szCs w:val="24"/>
          <w:highlight w:val="none"/>
        </w:rPr>
        <w:t>23．评审组织及评审原则</w:t>
      </w:r>
    </w:p>
    <w:p w14:paraId="6296DBE2">
      <w:pPr>
        <w:spacing w:line="500" w:lineRule="exact"/>
        <w:ind w:firstLine="480" w:firstLineChars="200"/>
        <w:rPr>
          <w:rFonts w:hAnsi="宋体" w:cs="宋体"/>
          <w:szCs w:val="24"/>
          <w:highlight w:val="none"/>
        </w:rPr>
      </w:pPr>
      <w:r>
        <w:rPr>
          <w:rFonts w:hint="eastAsia" w:hAnsi="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505B5DDC">
      <w:pPr>
        <w:spacing w:line="360" w:lineRule="auto"/>
        <w:ind w:firstLine="480" w:firstLineChars="200"/>
        <w:rPr>
          <w:rFonts w:hAnsi="宋体" w:cs="宋体"/>
          <w:szCs w:val="24"/>
          <w:highlight w:val="none"/>
        </w:rPr>
      </w:pPr>
      <w:r>
        <w:rPr>
          <w:rFonts w:hint="eastAsia" w:hAnsi="宋体" w:cs="宋体"/>
          <w:szCs w:val="24"/>
          <w:highlight w:val="none"/>
        </w:rPr>
        <w:t>23.2竞争性磋商文件和竞争性磋商响应文件是评审的依据。在评审中，不得改变竞争性磋商文件中规定的评审标准、方法和成交条件。</w:t>
      </w:r>
    </w:p>
    <w:p w14:paraId="2291AB93">
      <w:pPr>
        <w:spacing w:line="360" w:lineRule="auto"/>
        <w:ind w:firstLine="480" w:firstLineChars="200"/>
        <w:rPr>
          <w:rFonts w:hAnsi="宋体" w:cs="宋体"/>
          <w:szCs w:val="24"/>
          <w:highlight w:val="none"/>
        </w:rPr>
      </w:pPr>
      <w:r>
        <w:rPr>
          <w:rFonts w:hint="eastAsia" w:hAnsi="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C1D69DA">
      <w:pPr>
        <w:spacing w:line="360" w:lineRule="auto"/>
        <w:ind w:firstLine="480" w:firstLineChars="200"/>
        <w:rPr>
          <w:rFonts w:hAnsi="宋体" w:cs="宋体"/>
          <w:szCs w:val="24"/>
          <w:highlight w:val="none"/>
        </w:rPr>
      </w:pPr>
      <w:r>
        <w:rPr>
          <w:rFonts w:hint="eastAsia" w:hAnsi="宋体" w:cs="宋体"/>
          <w:szCs w:val="24"/>
          <w:highlight w:val="none"/>
        </w:rPr>
        <w:t>23.4如果供应商在澄清规定期限内，未能答复或拒绝答复磋商小组提出的澄清要求，将由磋商小组根据其竞争性磋商响应文件按最大风险进行评审。</w:t>
      </w:r>
    </w:p>
    <w:p w14:paraId="3D565840">
      <w:pPr>
        <w:spacing w:line="360" w:lineRule="auto"/>
        <w:ind w:firstLine="480" w:firstLineChars="200"/>
        <w:rPr>
          <w:rFonts w:hAnsi="宋体" w:cs="宋体"/>
          <w:szCs w:val="24"/>
          <w:highlight w:val="none"/>
        </w:rPr>
      </w:pPr>
      <w:r>
        <w:rPr>
          <w:rFonts w:hint="eastAsia" w:hAnsi="宋体" w:cs="宋体"/>
          <w:szCs w:val="24"/>
          <w:highlight w:val="none"/>
        </w:rPr>
        <w:t>23.5磋商过程中的实质性变动：</w:t>
      </w:r>
    </w:p>
    <w:p w14:paraId="40B8E3BF">
      <w:pPr>
        <w:spacing w:line="360" w:lineRule="auto"/>
        <w:ind w:firstLine="480" w:firstLineChars="200"/>
        <w:rPr>
          <w:rFonts w:hAnsi="宋体" w:cs="宋体"/>
          <w:szCs w:val="24"/>
          <w:highlight w:val="none"/>
        </w:rPr>
      </w:pPr>
      <w:r>
        <w:rPr>
          <w:rFonts w:hint="eastAsia" w:hAnsi="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6D791F00">
      <w:pPr>
        <w:spacing w:line="360" w:lineRule="auto"/>
        <w:ind w:firstLine="480" w:firstLineChars="200"/>
        <w:rPr>
          <w:rFonts w:hAnsi="宋体" w:cs="宋体"/>
          <w:szCs w:val="24"/>
          <w:highlight w:val="none"/>
        </w:rPr>
      </w:pPr>
      <w:r>
        <w:rPr>
          <w:rFonts w:hint="eastAsia" w:hAnsi="宋体" w:cs="宋体"/>
          <w:szCs w:val="24"/>
          <w:highlight w:val="none"/>
        </w:rPr>
        <w:t>23.5.2对竞争性磋商文件做出的实质性变动是磋商文件的有效组成部分，磋商小组应当及时以书面形式通知所有参加磋商的供应商。</w:t>
      </w:r>
    </w:p>
    <w:p w14:paraId="102C4CFA">
      <w:pPr>
        <w:spacing w:line="360" w:lineRule="auto"/>
        <w:ind w:firstLine="480" w:firstLineChars="200"/>
        <w:rPr>
          <w:rFonts w:hAnsi="宋体" w:cs="宋体"/>
          <w:szCs w:val="24"/>
          <w:highlight w:val="none"/>
        </w:rPr>
      </w:pPr>
      <w:r>
        <w:rPr>
          <w:rFonts w:hint="eastAsia" w:hAnsi="宋体" w:cs="宋体"/>
          <w:szCs w:val="24"/>
          <w:highlight w:val="none"/>
        </w:rPr>
        <w:t>23.6竞争性磋商响应文件的初审（含资格性检查和符合性检查）</w:t>
      </w:r>
    </w:p>
    <w:p w14:paraId="6CCA26B9">
      <w:pPr>
        <w:spacing w:line="360" w:lineRule="auto"/>
        <w:ind w:firstLine="480" w:firstLineChars="200"/>
        <w:rPr>
          <w:rFonts w:hAnsi="宋体" w:cs="宋体"/>
          <w:szCs w:val="24"/>
          <w:highlight w:val="none"/>
        </w:rPr>
      </w:pPr>
      <w:r>
        <w:rPr>
          <w:rFonts w:hint="eastAsia" w:hAnsi="宋体" w:cs="宋体"/>
          <w:szCs w:val="24"/>
          <w:highlight w:val="none"/>
        </w:rPr>
        <w:t>23.6.1磋商小组将审查竞争性磋商响应文件是否完整、资格证明文件是否齐全，磋商保证金是否合格、有无计算上的错误等。</w:t>
      </w:r>
    </w:p>
    <w:p w14:paraId="4C5B0621">
      <w:pPr>
        <w:spacing w:line="500" w:lineRule="exact"/>
        <w:ind w:firstLine="482" w:firstLineChars="200"/>
        <w:rPr>
          <w:rFonts w:hAnsi="宋体" w:cs="宋体"/>
          <w:szCs w:val="24"/>
          <w:highlight w:val="none"/>
        </w:rPr>
      </w:pPr>
      <w:r>
        <w:rPr>
          <w:rFonts w:hint="eastAsia" w:hAnsi="宋体" w:cs="宋体"/>
          <w:b/>
          <w:bCs/>
          <w:szCs w:val="24"/>
          <w:highlight w:val="none"/>
        </w:rPr>
        <w:t>23.6.2计算错误将按以下方法更正：</w:t>
      </w:r>
    </w:p>
    <w:p w14:paraId="721B67D6">
      <w:pPr>
        <w:spacing w:line="500" w:lineRule="exact"/>
        <w:ind w:firstLine="480" w:firstLineChars="200"/>
        <w:rPr>
          <w:rFonts w:hAnsi="宋体" w:cs="宋体"/>
          <w:szCs w:val="24"/>
          <w:highlight w:val="none"/>
        </w:rPr>
      </w:pPr>
      <w:r>
        <w:rPr>
          <w:rFonts w:hint="eastAsia" w:hAnsi="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16C73C8">
      <w:pPr>
        <w:spacing w:line="500" w:lineRule="exact"/>
        <w:ind w:firstLine="480" w:firstLineChars="200"/>
        <w:rPr>
          <w:rFonts w:hAnsi="宋体" w:cs="宋体"/>
          <w:szCs w:val="24"/>
          <w:highlight w:val="none"/>
        </w:rPr>
      </w:pPr>
      <w:r>
        <w:rPr>
          <w:rFonts w:hint="eastAsia" w:hAnsi="宋体" w:cs="宋体"/>
          <w:szCs w:val="24"/>
          <w:highlight w:val="none"/>
        </w:rPr>
        <w:t>（2）磋商响应文件的大写金额和小写金额不一致的，以大写金额为准；</w:t>
      </w:r>
    </w:p>
    <w:p w14:paraId="015C13DC">
      <w:pPr>
        <w:spacing w:line="500" w:lineRule="exact"/>
        <w:ind w:firstLine="480" w:firstLineChars="200"/>
        <w:rPr>
          <w:rFonts w:hAnsi="宋体" w:cs="宋体"/>
          <w:szCs w:val="24"/>
          <w:highlight w:val="none"/>
        </w:rPr>
      </w:pPr>
      <w:r>
        <w:rPr>
          <w:rFonts w:hint="eastAsia" w:hAnsi="宋体" w:cs="宋体"/>
          <w:szCs w:val="24"/>
          <w:highlight w:val="none"/>
        </w:rPr>
        <w:t>（3）单价金额小数点或者百分比有明显错位的，以单独密封的报价一览表的总价为准，并修改单价；</w:t>
      </w:r>
    </w:p>
    <w:p w14:paraId="38260395">
      <w:pPr>
        <w:spacing w:line="500" w:lineRule="exact"/>
        <w:ind w:firstLine="480" w:firstLineChars="200"/>
        <w:rPr>
          <w:rFonts w:hAnsi="宋体" w:cs="宋体"/>
          <w:szCs w:val="24"/>
          <w:highlight w:val="none"/>
        </w:rPr>
      </w:pPr>
      <w:r>
        <w:rPr>
          <w:rFonts w:hint="eastAsia" w:hAnsi="宋体" w:cs="宋体"/>
          <w:szCs w:val="24"/>
          <w:highlight w:val="none"/>
        </w:rPr>
        <w:t>（4）总价金额与按单价汇总金额不一致的，以单价金额计算结果为准。</w:t>
      </w:r>
    </w:p>
    <w:p w14:paraId="671DBB11">
      <w:pPr>
        <w:spacing w:line="500" w:lineRule="exact"/>
        <w:ind w:firstLine="480" w:firstLineChars="200"/>
        <w:rPr>
          <w:rFonts w:hAnsi="宋体" w:cs="宋体"/>
          <w:szCs w:val="24"/>
          <w:highlight w:val="none"/>
        </w:rPr>
      </w:pPr>
      <w:r>
        <w:rPr>
          <w:rFonts w:hint="eastAsia" w:hAnsi="宋体" w:cs="宋体"/>
          <w:szCs w:val="24"/>
          <w:highlight w:val="none"/>
        </w:rPr>
        <w:t>按上述修正的顺序和方法调整的报价应对供应商具有约束力。如果供应商不接受修正后的价格，其响应文件将按无效响应处理。</w:t>
      </w:r>
    </w:p>
    <w:p w14:paraId="6BF323C7">
      <w:pPr>
        <w:spacing w:line="360" w:lineRule="auto"/>
        <w:ind w:firstLine="480" w:firstLineChars="200"/>
        <w:rPr>
          <w:rFonts w:hAnsi="宋体" w:cs="宋体"/>
          <w:szCs w:val="24"/>
          <w:highlight w:val="none"/>
        </w:rPr>
      </w:pPr>
      <w:r>
        <w:rPr>
          <w:rFonts w:hint="eastAsia" w:hAnsi="宋体" w:cs="宋体"/>
          <w:szCs w:val="24"/>
          <w:highlight w:val="none"/>
        </w:rPr>
        <w:t>23.6.3对于竞争性磋商响应文件中明显的标点符号错误或不构成实质性偏差的不正规、不一致或不规则，采购人可以接受。</w:t>
      </w:r>
    </w:p>
    <w:p w14:paraId="7735183E">
      <w:pPr>
        <w:spacing w:line="360" w:lineRule="auto"/>
        <w:ind w:firstLine="480" w:firstLineChars="200"/>
        <w:rPr>
          <w:rFonts w:hAnsi="宋体" w:cs="宋体"/>
          <w:szCs w:val="24"/>
          <w:highlight w:val="none"/>
        </w:rPr>
      </w:pPr>
      <w:r>
        <w:rPr>
          <w:rFonts w:hint="eastAsia" w:hAnsi="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75E1806">
      <w:pPr>
        <w:spacing w:line="360" w:lineRule="auto"/>
        <w:ind w:firstLine="480" w:firstLineChars="200"/>
        <w:rPr>
          <w:rFonts w:hAnsi="宋体" w:cs="宋体"/>
          <w:szCs w:val="24"/>
          <w:highlight w:val="none"/>
        </w:rPr>
      </w:pPr>
      <w:r>
        <w:rPr>
          <w:rFonts w:hint="eastAsia" w:hAnsi="宋体" w:cs="宋体"/>
          <w:szCs w:val="24"/>
          <w:highlight w:val="none"/>
        </w:rPr>
        <w:t>23.6.5实质上没有响应竞争性磋商文件要求的磋商将被拒绝。供应商不得通过修正或撤销不</w:t>
      </w:r>
      <w:r>
        <w:rPr>
          <w:rFonts w:hint="eastAsia" w:hAnsi="宋体" w:cs="宋体"/>
          <w:szCs w:val="24"/>
          <w:highlight w:val="none"/>
          <w:lang w:val="en-US" w:eastAsia="zh-CN"/>
        </w:rPr>
        <w:t>符</w:t>
      </w:r>
      <w:r>
        <w:rPr>
          <w:rFonts w:hint="eastAsia" w:hAnsi="宋体" w:cs="宋体"/>
          <w:szCs w:val="24"/>
          <w:highlight w:val="none"/>
        </w:rPr>
        <w:t>合要求的偏离从而使其磋商成为实质性响应的磋商。</w:t>
      </w:r>
      <w:r>
        <w:rPr>
          <w:rFonts w:hint="eastAsia" w:hAnsi="宋体" w:cs="宋体"/>
          <w:b/>
          <w:bCs/>
          <w:szCs w:val="24"/>
          <w:highlight w:val="none"/>
        </w:rPr>
        <w:t>如发现下列情况之一的，其磋商将构成非实质性响应，按无效磋商处理：</w:t>
      </w:r>
    </w:p>
    <w:p w14:paraId="292EE682">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14:paraId="24BF302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2）竞争性磋商响应文件未按竞争性磋商文件要求密封、签署、盖章的；</w:t>
      </w:r>
    </w:p>
    <w:p w14:paraId="5DC94263">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3）供应商未提交有效的磋商保证金或金额不足的、磋商保证金形式不符合竞争性磋商文件要求的；</w:t>
      </w:r>
    </w:p>
    <w:p w14:paraId="532B50F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4）资格证明文件不全的或无效的，或不符合国家规定的；</w:t>
      </w:r>
    </w:p>
    <w:p w14:paraId="017C22A2">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5）竞争性磋商响应文件无供应商公章、无法定代表人签字或签字人无法定代表人有效委托书的；</w:t>
      </w:r>
    </w:p>
    <w:p w14:paraId="6741C4F2">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6）</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14:paraId="750308FC">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7）供应商在同一份竞争性磋商响应文件中，有两个或多个报价的；</w:t>
      </w:r>
    </w:p>
    <w:p w14:paraId="58DABEA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8）存在有重大缺漏项和重大偏离的；</w:t>
      </w:r>
    </w:p>
    <w:p w14:paraId="72DB6ED0">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27E09DAB">
      <w:pPr>
        <w:spacing w:line="360" w:lineRule="auto"/>
        <w:ind w:firstLine="482" w:firstLineChars="200"/>
        <w:rPr>
          <w:rFonts w:hAnsi="宋体" w:cs="宋体"/>
          <w:b/>
          <w:bCs/>
          <w:szCs w:val="24"/>
          <w:highlight w:val="none"/>
        </w:rPr>
      </w:pPr>
      <w:r>
        <w:rPr>
          <w:rFonts w:hint="eastAsia" w:hAnsi="宋体" w:cs="宋体"/>
          <w:b/>
          <w:bCs/>
          <w:szCs w:val="24"/>
          <w:highlight w:val="none"/>
        </w:rPr>
        <w:t>10）磋商总报价低于成本或者高于竞争性磋商文件公布的采购预算的。</w:t>
      </w:r>
    </w:p>
    <w:p w14:paraId="4C862608">
      <w:pPr>
        <w:pStyle w:val="19"/>
        <w:spacing w:before="0" w:beforeAutospacing="0" w:after="0" w:afterAutospacing="0" w:line="500" w:lineRule="exact"/>
        <w:ind w:firstLine="482" w:firstLineChars="200"/>
        <w:jc w:val="both"/>
        <w:rPr>
          <w:rFonts w:cs="宋体"/>
          <w:b/>
          <w:bCs/>
          <w:highlight w:val="none"/>
        </w:rPr>
      </w:pPr>
      <w:r>
        <w:rPr>
          <w:rFonts w:hint="eastAsia" w:cs="宋体"/>
          <w:b/>
          <w:bCs/>
          <w:highlight w:val="none"/>
        </w:rPr>
        <w:t>11）竞争性磋商响应文件含有采购人不能接受的附加条件的；</w:t>
      </w:r>
    </w:p>
    <w:p w14:paraId="2F7A39E2">
      <w:pPr>
        <w:spacing w:line="500" w:lineRule="exact"/>
        <w:ind w:firstLine="482" w:firstLineChars="200"/>
        <w:rPr>
          <w:rFonts w:hAnsi="宋体" w:cs="宋体"/>
          <w:b/>
          <w:bCs/>
          <w:szCs w:val="24"/>
          <w:highlight w:val="none"/>
        </w:rPr>
      </w:pPr>
      <w:r>
        <w:rPr>
          <w:rFonts w:hint="eastAsia" w:hAnsi="宋体" w:cs="宋体"/>
          <w:b/>
          <w:bCs/>
          <w:szCs w:val="24"/>
          <w:highlight w:val="none"/>
        </w:rPr>
        <w:t>12）竞争性磋商响应文件不符合法律法规要求的；</w:t>
      </w:r>
    </w:p>
    <w:p w14:paraId="298B462A">
      <w:pPr>
        <w:pStyle w:val="19"/>
        <w:spacing w:before="0" w:beforeAutospacing="0" w:after="0" w:afterAutospacing="0" w:line="500" w:lineRule="exact"/>
        <w:ind w:firstLine="482" w:firstLineChars="200"/>
        <w:jc w:val="both"/>
        <w:rPr>
          <w:rFonts w:cs="宋体"/>
          <w:highlight w:val="none"/>
        </w:rPr>
      </w:pPr>
      <w:r>
        <w:rPr>
          <w:rFonts w:hint="eastAsia" w:cs="宋体"/>
          <w:b/>
          <w:bCs/>
          <w:highlight w:val="none"/>
        </w:rPr>
        <w:t>13）供应商被列入失信被执行人、重大税收违法案件当事人名单、政府采购严重违法失信行为记录名单及其他不符合《中华人民共和国政府采购法》第二十二条规定条件。</w:t>
      </w:r>
    </w:p>
    <w:p w14:paraId="65F83DFC">
      <w:pPr>
        <w:spacing w:line="360" w:lineRule="auto"/>
        <w:ind w:firstLine="480" w:firstLineChars="200"/>
        <w:rPr>
          <w:rFonts w:hAnsi="宋体" w:cs="宋体"/>
          <w:szCs w:val="24"/>
          <w:highlight w:val="none"/>
        </w:rPr>
      </w:pPr>
      <w:r>
        <w:rPr>
          <w:rFonts w:hint="eastAsia" w:hAnsi="宋体" w:cs="宋体"/>
          <w:szCs w:val="24"/>
          <w:highlight w:val="none"/>
        </w:rPr>
        <w:t>23.7竞争性磋商响应文件的详细评审</w:t>
      </w:r>
    </w:p>
    <w:p w14:paraId="6FC34A11">
      <w:pPr>
        <w:spacing w:line="360" w:lineRule="auto"/>
        <w:ind w:firstLine="480" w:firstLineChars="200"/>
        <w:rPr>
          <w:rFonts w:hAnsi="宋体" w:cs="宋体"/>
          <w:szCs w:val="24"/>
          <w:highlight w:val="none"/>
        </w:rPr>
      </w:pPr>
      <w:r>
        <w:rPr>
          <w:rFonts w:hint="eastAsia" w:hAnsi="宋体" w:cs="宋体"/>
          <w:szCs w:val="24"/>
          <w:highlight w:val="none"/>
        </w:rPr>
        <w:t>23.7.1磋商小组将按照本须知第22.6.4条规定，只对确定为实质性响应竞争性磋商文件要求的磋商响应文件进行详细评审。</w:t>
      </w:r>
    </w:p>
    <w:p w14:paraId="29603702">
      <w:pPr>
        <w:spacing w:line="360" w:lineRule="auto"/>
        <w:ind w:firstLine="480" w:firstLineChars="200"/>
        <w:rPr>
          <w:rFonts w:hAnsi="宋体" w:cs="宋体"/>
          <w:szCs w:val="24"/>
          <w:highlight w:val="none"/>
        </w:rPr>
      </w:pPr>
      <w:r>
        <w:rPr>
          <w:rFonts w:hint="eastAsia" w:hAnsi="宋体" w:cs="宋体"/>
          <w:szCs w:val="24"/>
          <w:highlight w:val="none"/>
        </w:rPr>
        <w:t>23.7.2详细评审按照“供应商须知前附表”的评审方法进行。</w:t>
      </w:r>
    </w:p>
    <w:p w14:paraId="606CD9AE">
      <w:pPr>
        <w:spacing w:line="360" w:lineRule="auto"/>
        <w:ind w:firstLine="480" w:firstLineChars="200"/>
        <w:rPr>
          <w:rFonts w:hAnsi="宋体" w:cs="宋体"/>
          <w:szCs w:val="24"/>
          <w:highlight w:val="none"/>
        </w:rPr>
      </w:pPr>
      <w:r>
        <w:rPr>
          <w:rFonts w:hint="eastAsia" w:hAnsi="宋体" w:cs="宋体"/>
          <w:szCs w:val="24"/>
          <w:highlight w:val="none"/>
        </w:rPr>
        <w:t>23.8成交候选人的确定</w:t>
      </w:r>
    </w:p>
    <w:p w14:paraId="14AF79B1">
      <w:pPr>
        <w:spacing w:line="360" w:lineRule="auto"/>
        <w:ind w:firstLine="480" w:firstLineChars="200"/>
        <w:rPr>
          <w:rFonts w:hAnsi="宋体" w:cs="宋体"/>
          <w:szCs w:val="24"/>
          <w:highlight w:val="none"/>
        </w:rPr>
      </w:pPr>
      <w:r>
        <w:rPr>
          <w:rFonts w:hint="eastAsia" w:hAnsi="宋体" w:cs="宋体"/>
          <w:szCs w:val="24"/>
          <w:highlight w:val="none"/>
        </w:rPr>
        <w:t>磋商小组完成评审后，向采购人提出书面评审，并推荐1-3名成交候选人，标明排列顺序。</w:t>
      </w:r>
    </w:p>
    <w:p w14:paraId="3B617ECA">
      <w:pPr>
        <w:spacing w:line="360" w:lineRule="auto"/>
        <w:rPr>
          <w:rFonts w:hAnsi="宋体" w:cs="宋体"/>
          <w:b/>
          <w:szCs w:val="24"/>
          <w:highlight w:val="none"/>
        </w:rPr>
      </w:pPr>
      <w:r>
        <w:rPr>
          <w:rFonts w:hint="eastAsia" w:hAnsi="宋体" w:cs="宋体"/>
          <w:b/>
          <w:szCs w:val="24"/>
          <w:highlight w:val="none"/>
        </w:rPr>
        <w:t>24．评审过程的保密</w:t>
      </w:r>
    </w:p>
    <w:p w14:paraId="6B458EA6">
      <w:pPr>
        <w:spacing w:line="360" w:lineRule="auto"/>
        <w:ind w:firstLine="480" w:firstLineChars="200"/>
        <w:rPr>
          <w:rFonts w:hAnsi="宋体" w:cs="宋体"/>
          <w:szCs w:val="24"/>
          <w:highlight w:val="none"/>
        </w:rPr>
      </w:pPr>
      <w:r>
        <w:rPr>
          <w:rFonts w:hint="eastAsia" w:hAnsi="宋体" w:cs="宋体"/>
          <w:szCs w:val="24"/>
          <w:highlight w:val="none"/>
        </w:rPr>
        <w:t>磋商小组成员和与评审活动有关的工作人员不得泄露有关竞争性磋商响应文件的评审和比较、成交候选人的推荐以及与评审有关的其他情况。</w:t>
      </w:r>
    </w:p>
    <w:p w14:paraId="08692DA6">
      <w:pPr>
        <w:jc w:val="left"/>
        <w:rPr>
          <w:rFonts w:hAnsi="宋体" w:cs="宋体"/>
          <w:b/>
          <w:szCs w:val="24"/>
          <w:highlight w:val="none"/>
        </w:rPr>
      </w:pPr>
      <w:r>
        <w:rPr>
          <w:rFonts w:hint="eastAsia" w:hAnsi="宋体" w:cs="宋体"/>
          <w:b/>
          <w:szCs w:val="24"/>
          <w:highlight w:val="none"/>
        </w:rPr>
        <w:t>25．评审方法</w:t>
      </w:r>
    </w:p>
    <w:p w14:paraId="3B564AE9">
      <w:pPr>
        <w:spacing w:line="360" w:lineRule="auto"/>
        <w:ind w:firstLine="480" w:firstLineChars="200"/>
        <w:rPr>
          <w:rFonts w:hAnsi="宋体" w:cs="宋体"/>
          <w:szCs w:val="24"/>
          <w:highlight w:val="none"/>
        </w:rPr>
      </w:pPr>
      <w:r>
        <w:rPr>
          <w:rFonts w:hint="eastAsia" w:hAnsi="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hAnsi="宋体" w:cs="宋体"/>
          <w:szCs w:val="24"/>
          <w:highlight w:val="none"/>
          <w:lang w:val="en-US" w:eastAsia="zh-CN"/>
        </w:rPr>
        <w:t>推荐</w:t>
      </w:r>
      <w:r>
        <w:rPr>
          <w:rFonts w:hint="eastAsia" w:hAnsi="宋体" w:cs="宋体"/>
          <w:szCs w:val="24"/>
          <w:highlight w:val="none"/>
        </w:rPr>
        <w:t>1-3名成交候选人。</w:t>
      </w:r>
    </w:p>
    <w:p w14:paraId="79439FE3">
      <w:pPr>
        <w:rPr>
          <w:rFonts w:hint="eastAsia" w:hAnsi="宋体" w:cs="宋体"/>
          <w:b/>
          <w:sz w:val="32"/>
          <w:szCs w:val="32"/>
          <w:highlight w:val="none"/>
        </w:rPr>
      </w:pPr>
      <w:bookmarkStart w:id="58" w:name="_Toc29146"/>
      <w:bookmarkStart w:id="59" w:name="_Toc15100"/>
      <w:bookmarkStart w:id="60" w:name="_Toc24420"/>
      <w:r>
        <w:rPr>
          <w:rFonts w:hint="eastAsia" w:hAnsi="宋体" w:cs="宋体"/>
          <w:b/>
          <w:sz w:val="32"/>
          <w:szCs w:val="32"/>
          <w:highlight w:val="none"/>
        </w:rPr>
        <w:br w:type="page"/>
      </w:r>
    </w:p>
    <w:p w14:paraId="7A0A4AB2">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六.成交、通知与签约</w:t>
      </w:r>
      <w:bookmarkEnd w:id="58"/>
      <w:bookmarkEnd w:id="59"/>
      <w:bookmarkEnd w:id="60"/>
    </w:p>
    <w:p w14:paraId="6418DFA1">
      <w:pPr>
        <w:spacing w:line="360" w:lineRule="auto"/>
        <w:rPr>
          <w:rFonts w:hAnsi="宋体" w:cs="宋体"/>
          <w:b/>
          <w:szCs w:val="24"/>
          <w:highlight w:val="none"/>
        </w:rPr>
      </w:pPr>
      <w:r>
        <w:rPr>
          <w:rFonts w:hint="eastAsia" w:hAnsi="宋体" w:cs="宋体"/>
          <w:b/>
          <w:szCs w:val="24"/>
          <w:highlight w:val="none"/>
        </w:rPr>
        <w:t>26．成交程序</w:t>
      </w:r>
    </w:p>
    <w:p w14:paraId="192FD533">
      <w:pPr>
        <w:spacing w:line="360" w:lineRule="auto"/>
        <w:ind w:firstLine="480" w:firstLineChars="200"/>
        <w:rPr>
          <w:rFonts w:hAnsi="宋体" w:cs="宋体"/>
          <w:szCs w:val="24"/>
          <w:highlight w:val="none"/>
        </w:rPr>
      </w:pPr>
      <w:r>
        <w:rPr>
          <w:rFonts w:hint="eastAsia" w:hAnsi="宋体" w:cs="宋体"/>
          <w:szCs w:val="24"/>
          <w:highlight w:val="none"/>
        </w:rPr>
        <w:t>26.1磋商小组根据评审方法的规定对供应商进行评审排序，推荐1-3名成交候选人，作为评审结果。评审结果由全体磋商小组成员签字确认。</w:t>
      </w:r>
    </w:p>
    <w:p w14:paraId="599FFD83">
      <w:pPr>
        <w:spacing w:line="360" w:lineRule="auto"/>
        <w:ind w:firstLine="480" w:firstLineChars="200"/>
        <w:rPr>
          <w:rFonts w:hAnsi="宋体" w:cs="宋体"/>
          <w:szCs w:val="24"/>
          <w:highlight w:val="none"/>
        </w:rPr>
      </w:pPr>
      <w:r>
        <w:rPr>
          <w:rFonts w:hint="eastAsia" w:hAnsi="宋体" w:cs="宋体"/>
          <w:szCs w:val="24"/>
          <w:highlight w:val="none"/>
        </w:rPr>
        <w:t>26.2采购人根据磋商报告中推荐的成交候选人排列顺序，确定排名第一的为成交供应商。</w:t>
      </w:r>
    </w:p>
    <w:p w14:paraId="6DA49377">
      <w:pPr>
        <w:spacing w:line="360" w:lineRule="auto"/>
        <w:ind w:firstLine="480" w:firstLineChars="200"/>
        <w:rPr>
          <w:rFonts w:hAnsi="宋体" w:cs="宋体"/>
          <w:szCs w:val="24"/>
          <w:highlight w:val="none"/>
        </w:rPr>
      </w:pPr>
      <w:r>
        <w:rPr>
          <w:rFonts w:hint="eastAsia" w:hAnsi="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379EBD7F">
      <w:pPr>
        <w:spacing w:line="360" w:lineRule="auto"/>
        <w:ind w:firstLine="480" w:firstLineChars="200"/>
        <w:rPr>
          <w:rFonts w:hAnsi="宋体" w:cs="宋体"/>
          <w:szCs w:val="24"/>
          <w:highlight w:val="none"/>
        </w:rPr>
      </w:pPr>
      <w:r>
        <w:rPr>
          <w:rFonts w:hint="eastAsia" w:hAnsi="宋体" w:cs="宋体"/>
          <w:szCs w:val="24"/>
          <w:highlight w:val="none"/>
        </w:rPr>
        <w:t>26.4采购人也可以授权磋商小组评审后直接确定成交供应商。</w:t>
      </w:r>
    </w:p>
    <w:p w14:paraId="7D972425">
      <w:pPr>
        <w:spacing w:line="360" w:lineRule="auto"/>
        <w:ind w:firstLine="480" w:firstLineChars="200"/>
        <w:rPr>
          <w:rFonts w:hAnsi="宋体" w:cs="宋体"/>
          <w:szCs w:val="24"/>
          <w:highlight w:val="none"/>
        </w:rPr>
      </w:pPr>
      <w:r>
        <w:rPr>
          <w:rFonts w:hint="eastAsia" w:hAnsi="宋体" w:cs="宋体"/>
          <w:szCs w:val="24"/>
          <w:highlight w:val="none"/>
        </w:rPr>
        <w:t>26.5成交供应商确定之后，成交结果将在财政部门指定的政府采购信息发布媒体上公告。</w:t>
      </w:r>
    </w:p>
    <w:p w14:paraId="19B449B4">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26.6供应商或者其他利害关系人对评审结果有异议的，应当在法律规定的时间内提出。</w:t>
      </w:r>
    </w:p>
    <w:p w14:paraId="6CBB3D14">
      <w:pPr>
        <w:spacing w:line="360" w:lineRule="auto"/>
        <w:rPr>
          <w:rFonts w:hAnsi="宋体" w:cs="宋体"/>
          <w:b/>
          <w:szCs w:val="24"/>
          <w:highlight w:val="none"/>
        </w:rPr>
      </w:pPr>
      <w:r>
        <w:rPr>
          <w:rFonts w:hint="eastAsia" w:hAnsi="宋体" w:cs="宋体"/>
          <w:b/>
          <w:szCs w:val="24"/>
          <w:highlight w:val="none"/>
        </w:rPr>
        <w:t>27．成交通知</w:t>
      </w:r>
    </w:p>
    <w:p w14:paraId="07CBB860">
      <w:pPr>
        <w:spacing w:line="360" w:lineRule="auto"/>
        <w:ind w:firstLine="480" w:firstLineChars="200"/>
        <w:rPr>
          <w:rFonts w:hAnsi="宋体" w:cs="宋体"/>
          <w:szCs w:val="24"/>
          <w:highlight w:val="none"/>
        </w:rPr>
      </w:pPr>
      <w:r>
        <w:rPr>
          <w:rFonts w:hint="eastAsia" w:hAnsi="宋体" w:cs="宋体"/>
          <w:szCs w:val="24"/>
          <w:highlight w:val="none"/>
        </w:rPr>
        <w:t>27.1采购代理机构向成交供应商发出《成交通知书》。</w:t>
      </w:r>
      <w:r>
        <w:rPr>
          <w:rFonts w:hint="eastAsia" w:hAnsi="宋体" w:cs="宋体"/>
          <w:b/>
          <w:bCs/>
          <w:szCs w:val="24"/>
          <w:highlight w:val="none"/>
        </w:rPr>
        <w:t>成交供应商领取成交通知书时须携带法定代表人授权书及加盖单位公章的被授权人身份证复印件。</w:t>
      </w:r>
    </w:p>
    <w:p w14:paraId="65441B75">
      <w:pPr>
        <w:spacing w:line="360" w:lineRule="auto"/>
        <w:ind w:firstLine="480" w:firstLineChars="200"/>
        <w:rPr>
          <w:rFonts w:hAnsi="宋体" w:cs="宋体"/>
          <w:szCs w:val="24"/>
          <w:highlight w:val="none"/>
        </w:rPr>
      </w:pPr>
      <w:r>
        <w:rPr>
          <w:rFonts w:hint="eastAsia" w:hAnsi="宋体" w:cs="宋体"/>
          <w:szCs w:val="24"/>
          <w:highlight w:val="none"/>
        </w:rPr>
        <w:t>27.2成交通知书对采购人和成交供应商具有同等法律效力。成交通知书发出之后，采购人改变成交结果，或者成交供应商放弃成交，应当承担相应的法律责任。</w:t>
      </w:r>
    </w:p>
    <w:p w14:paraId="486D194C">
      <w:pPr>
        <w:spacing w:line="360" w:lineRule="auto"/>
        <w:rPr>
          <w:rFonts w:hAnsi="宋体" w:cs="宋体"/>
          <w:b/>
          <w:szCs w:val="24"/>
          <w:highlight w:val="none"/>
        </w:rPr>
      </w:pPr>
      <w:r>
        <w:rPr>
          <w:rFonts w:hint="eastAsia" w:hAnsi="宋体" w:cs="宋体"/>
          <w:b/>
          <w:szCs w:val="24"/>
          <w:highlight w:val="none"/>
        </w:rPr>
        <w:t>28. 采购合同的签订</w:t>
      </w:r>
    </w:p>
    <w:p w14:paraId="6E27F188">
      <w:pPr>
        <w:spacing w:line="360" w:lineRule="auto"/>
        <w:ind w:firstLine="480" w:firstLineChars="200"/>
        <w:rPr>
          <w:rFonts w:hAnsi="宋体" w:cs="宋体"/>
          <w:szCs w:val="24"/>
          <w:highlight w:val="none"/>
        </w:rPr>
      </w:pPr>
      <w:r>
        <w:rPr>
          <w:rFonts w:hint="eastAsia" w:hAnsi="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7D057769">
      <w:pPr>
        <w:spacing w:line="360" w:lineRule="auto"/>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3C297852">
      <w:pPr>
        <w:spacing w:line="360" w:lineRule="auto"/>
        <w:rPr>
          <w:rFonts w:hAnsi="宋体" w:cs="宋体"/>
          <w:b/>
          <w:szCs w:val="24"/>
          <w:highlight w:val="none"/>
        </w:rPr>
      </w:pPr>
      <w:r>
        <w:rPr>
          <w:rFonts w:hint="eastAsia" w:hAnsi="宋体" w:cs="宋体"/>
          <w:b/>
          <w:szCs w:val="24"/>
          <w:highlight w:val="none"/>
        </w:rPr>
        <w:t>29．成交代理服务费</w:t>
      </w:r>
      <w:r>
        <w:rPr>
          <w:rFonts w:hint="eastAsia" w:hAnsi="宋体" w:cs="宋体"/>
          <w:szCs w:val="24"/>
          <w:highlight w:val="none"/>
        </w:rPr>
        <w:t xml:space="preserve"> </w:t>
      </w:r>
    </w:p>
    <w:p w14:paraId="4E506910">
      <w:pPr>
        <w:spacing w:line="560" w:lineRule="exact"/>
        <w:ind w:firstLine="480" w:firstLineChars="200"/>
        <w:rPr>
          <w:rFonts w:hAnsi="宋体" w:cs="宋体"/>
          <w:szCs w:val="24"/>
          <w:highlight w:val="none"/>
        </w:rPr>
      </w:pPr>
      <w:r>
        <w:rPr>
          <w:rFonts w:hint="eastAsia" w:hAnsi="宋体" w:cs="宋体"/>
          <w:szCs w:val="24"/>
          <w:highlight w:val="none"/>
        </w:rPr>
        <w:t>29.1按国家计委颁发的《招标代理服务收费管理暂行办法》（计价格[2002]1980号）</w:t>
      </w:r>
      <w:r>
        <w:rPr>
          <w:rFonts w:hint="eastAsia" w:hAnsi="宋体" w:cs="宋体"/>
          <w:szCs w:val="24"/>
          <w:highlight w:val="none"/>
          <w:lang w:val="en-US" w:eastAsia="zh-CN"/>
        </w:rPr>
        <w:t>及</w:t>
      </w:r>
      <w:r>
        <w:rPr>
          <w:rFonts w:hint="eastAsia" w:hAnsi="宋体" w:cs="宋体"/>
          <w:szCs w:val="24"/>
          <w:highlight w:val="none"/>
        </w:rPr>
        <w:t>国家发展</w:t>
      </w:r>
      <w:r>
        <w:rPr>
          <w:rFonts w:hint="eastAsia" w:hAnsi="宋体" w:cs="宋体"/>
          <w:szCs w:val="24"/>
          <w:highlight w:val="none"/>
          <w:lang w:val="en-US" w:eastAsia="zh-CN"/>
        </w:rPr>
        <w:t>和</w:t>
      </w:r>
      <w:r>
        <w:rPr>
          <w:rFonts w:hint="eastAsia" w:hAnsi="宋体" w:cs="宋体"/>
          <w:szCs w:val="24"/>
          <w:highlight w:val="none"/>
        </w:rPr>
        <w:t>改革委员会办公厅颁发的《关于招标代理服务收费有关问题的通知》（发改办价格[2003]857号）的有关规定执行。</w:t>
      </w:r>
    </w:p>
    <w:p w14:paraId="7D8D1E06">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p w14:paraId="1E04A02F">
      <w:pPr>
        <w:spacing w:line="360" w:lineRule="auto"/>
        <w:ind w:firstLine="482" w:firstLineChars="200"/>
        <w:rPr>
          <w:rFonts w:hAnsi="宋体" w:cs="宋体"/>
          <w:b/>
          <w:bCs/>
          <w:szCs w:val="24"/>
          <w:highlight w:val="none"/>
        </w:rPr>
      </w:pPr>
      <w:r>
        <w:rPr>
          <w:rFonts w:hint="eastAsia" w:hAnsi="宋体" w:cs="宋体"/>
          <w:b/>
          <w:bCs/>
          <w:szCs w:val="24"/>
          <w:highlight w:val="none"/>
        </w:rPr>
        <w:t>代理服务费转账账户：</w:t>
      </w:r>
    </w:p>
    <w:p w14:paraId="39A1B4D4">
      <w:pPr>
        <w:spacing w:line="360" w:lineRule="auto"/>
        <w:ind w:firstLine="482" w:firstLineChars="200"/>
        <w:rPr>
          <w:rFonts w:hAnsi="宋体" w:cs="宋体"/>
          <w:b/>
          <w:bCs/>
          <w:szCs w:val="24"/>
          <w:highlight w:val="none"/>
        </w:rPr>
      </w:pPr>
      <w:r>
        <w:rPr>
          <w:rFonts w:hint="eastAsia" w:hAnsi="宋体" w:cs="宋体"/>
          <w:b/>
          <w:bCs/>
          <w:szCs w:val="24"/>
          <w:highlight w:val="none"/>
        </w:rPr>
        <w:t>1、采购代理机构开户名称: 陕西至诚项目管理集团有限公司</w:t>
      </w:r>
    </w:p>
    <w:p w14:paraId="61229801">
      <w:pPr>
        <w:spacing w:line="360" w:lineRule="auto"/>
        <w:ind w:firstLine="482" w:firstLineChars="200"/>
        <w:rPr>
          <w:rFonts w:hAnsi="宋体" w:cs="宋体"/>
          <w:b/>
          <w:bCs/>
          <w:szCs w:val="24"/>
          <w:highlight w:val="none"/>
        </w:rPr>
      </w:pPr>
      <w:r>
        <w:rPr>
          <w:rFonts w:hint="eastAsia" w:hAnsi="宋体" w:cs="宋体"/>
          <w:b/>
          <w:bCs/>
          <w:szCs w:val="24"/>
          <w:highlight w:val="none"/>
        </w:rPr>
        <w:t>2、开户行名称：中国建设银行股份有限公司西安高新技术产业开发区支行</w:t>
      </w:r>
    </w:p>
    <w:p w14:paraId="2EFC3A57">
      <w:pPr>
        <w:pStyle w:val="10"/>
        <w:ind w:firstLine="482" w:firstLineChars="200"/>
        <w:rPr>
          <w:rFonts w:ascii="宋体" w:hAnsi="宋体" w:cs="宋体"/>
          <w:sz w:val="24"/>
          <w:szCs w:val="24"/>
          <w:highlight w:val="none"/>
        </w:rPr>
      </w:pPr>
      <w:r>
        <w:rPr>
          <w:rFonts w:hint="eastAsia" w:ascii="宋体" w:hAnsi="宋体" w:cs="宋体"/>
          <w:b/>
          <w:bCs/>
          <w:sz w:val="24"/>
          <w:szCs w:val="24"/>
          <w:highlight w:val="none"/>
        </w:rPr>
        <w:t>3、账号：61050192090000002152。</w:t>
      </w:r>
    </w:p>
    <w:p w14:paraId="18A9AFCA">
      <w:pPr>
        <w:numPr>
          <w:ilvl w:val="0"/>
          <w:numId w:val="2"/>
        </w:numPr>
        <w:spacing w:line="600" w:lineRule="exact"/>
        <w:rPr>
          <w:rFonts w:hAnsi="宋体" w:cs="宋体"/>
          <w:b/>
          <w:bCs/>
          <w:szCs w:val="24"/>
          <w:highlight w:val="none"/>
        </w:rPr>
      </w:pPr>
      <w:r>
        <w:rPr>
          <w:rFonts w:hint="eastAsia" w:hAnsi="宋体" w:cs="宋体"/>
          <w:b/>
          <w:bCs/>
          <w:szCs w:val="24"/>
          <w:highlight w:val="none"/>
        </w:rPr>
        <w:t>质疑</w:t>
      </w:r>
    </w:p>
    <w:p w14:paraId="54EDDDE2">
      <w:pPr>
        <w:spacing w:line="500" w:lineRule="exact"/>
        <w:ind w:right="12" w:firstLine="480"/>
        <w:rPr>
          <w:rFonts w:hAnsi="宋体" w:cs="宋体"/>
          <w:szCs w:val="24"/>
          <w:highlight w:val="none"/>
        </w:rPr>
      </w:pPr>
      <w:r>
        <w:rPr>
          <w:rFonts w:hint="eastAsia" w:hAnsi="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78272E29">
      <w:pPr>
        <w:spacing w:line="500" w:lineRule="exact"/>
        <w:ind w:right="12" w:firstLine="480"/>
        <w:rPr>
          <w:rStyle w:val="24"/>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0E06A40F">
      <w:pPr>
        <w:spacing w:line="500" w:lineRule="exact"/>
        <w:ind w:left="3" w:firstLine="518" w:firstLineChars="216"/>
        <w:rPr>
          <w:rStyle w:val="24"/>
          <w:rFonts w:hAnsi="宋体" w:cs="宋体"/>
          <w:b w:val="0"/>
          <w:szCs w:val="24"/>
          <w:highlight w:val="none"/>
          <w:shd w:val="clear" w:color="auto" w:fill="FFFFFF"/>
        </w:rPr>
      </w:pPr>
      <w:r>
        <w:rPr>
          <w:rStyle w:val="24"/>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B4795FC">
      <w:pPr>
        <w:spacing w:line="500" w:lineRule="exact"/>
        <w:ind w:left="3" w:firstLine="518" w:firstLineChars="216"/>
        <w:rPr>
          <w:rStyle w:val="24"/>
          <w:rFonts w:hAnsi="宋体" w:cs="宋体"/>
          <w:b w:val="0"/>
          <w:szCs w:val="24"/>
          <w:highlight w:val="none"/>
          <w:shd w:val="clear" w:color="auto" w:fill="FFFFFF"/>
        </w:rPr>
      </w:pPr>
      <w:r>
        <w:rPr>
          <w:rStyle w:val="24"/>
          <w:rFonts w:hint="eastAsia" w:hAnsi="宋体" w:cs="宋体"/>
          <w:b w:val="0"/>
          <w:szCs w:val="24"/>
          <w:highlight w:val="none"/>
          <w:shd w:val="clear" w:color="auto" w:fill="FFFFFF"/>
        </w:rPr>
        <w:t>30.4以联合体形式参加政府采购活动的，其质疑应当由组成联合体的所有供应商共同提出。</w:t>
      </w:r>
    </w:p>
    <w:p w14:paraId="63F5293F">
      <w:pPr>
        <w:spacing w:line="500" w:lineRule="exact"/>
        <w:ind w:right="12" w:firstLine="480" w:firstLineChars="20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07852221">
      <w:pPr>
        <w:spacing w:line="500" w:lineRule="exact"/>
        <w:ind w:right="12" w:firstLine="480" w:firstLineChars="200"/>
        <w:rPr>
          <w:rFonts w:hAnsi="宋体" w:cs="宋体"/>
          <w:szCs w:val="24"/>
          <w:highlight w:val="none"/>
        </w:rPr>
      </w:pPr>
      <w:r>
        <w:rPr>
          <w:rFonts w:hint="eastAsia" w:hAnsi="宋体" w:cs="宋体"/>
          <w:szCs w:val="24"/>
          <w:highlight w:val="none"/>
        </w:rPr>
        <w:t>30.5.1供应商的姓名或者名称、地址、邮编、联系人及联系电话；</w:t>
      </w:r>
    </w:p>
    <w:p w14:paraId="3F7A03C8">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14:paraId="030AC283">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14:paraId="4CE2C6D5">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14:paraId="19C8D848">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14:paraId="53CE7D33">
      <w:pPr>
        <w:spacing w:line="500" w:lineRule="exact"/>
        <w:ind w:right="12" w:firstLine="480" w:firstLineChars="200"/>
        <w:rPr>
          <w:rStyle w:val="24"/>
          <w:rFonts w:hAnsi="宋体" w:cs="宋体"/>
          <w:b w:val="0"/>
          <w:szCs w:val="24"/>
          <w:highlight w:val="none"/>
          <w:shd w:val="clear" w:color="auto" w:fill="FFFFFF"/>
        </w:rPr>
      </w:pPr>
      <w:r>
        <w:rPr>
          <w:rFonts w:hint="eastAsia" w:hAnsi="宋体" w:cs="宋体"/>
          <w:szCs w:val="24"/>
          <w:highlight w:val="none"/>
        </w:rPr>
        <w:t>30.5.6提出质疑的日期。</w:t>
      </w:r>
    </w:p>
    <w:p w14:paraId="792B8207">
      <w:pPr>
        <w:widowControl/>
        <w:spacing w:line="360" w:lineRule="auto"/>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14:paraId="1CF1288E">
      <w:pPr>
        <w:widowControl/>
        <w:spacing w:line="360" w:lineRule="auto"/>
        <w:ind w:firstLine="480" w:firstLineChars="200"/>
        <w:rPr>
          <w:rFonts w:hAnsi="宋体" w:cs="宋体"/>
          <w:highlight w:val="none"/>
        </w:rPr>
      </w:pPr>
      <w:r>
        <w:rPr>
          <w:rFonts w:hint="eastAsia" w:hAnsi="宋体" w:cs="宋体"/>
          <w:highlight w:val="none"/>
        </w:rPr>
        <w:t>30.6.1质疑供应商不是参与本次政府采购项目的供应商；</w:t>
      </w:r>
    </w:p>
    <w:p w14:paraId="52CE35DB">
      <w:pPr>
        <w:widowControl/>
        <w:spacing w:line="360" w:lineRule="auto"/>
        <w:ind w:firstLine="480" w:firstLineChars="200"/>
        <w:rPr>
          <w:rFonts w:hAnsi="宋体" w:cs="宋体"/>
          <w:highlight w:val="none"/>
        </w:rPr>
      </w:pPr>
      <w:r>
        <w:rPr>
          <w:rFonts w:hint="eastAsia" w:hAnsi="宋体" w:cs="宋体"/>
          <w:highlight w:val="none"/>
        </w:rPr>
        <w:t>30.6.2质疑供应商与质疑事项不存在利害关系的；</w:t>
      </w:r>
    </w:p>
    <w:p w14:paraId="7632680A">
      <w:pPr>
        <w:widowControl/>
        <w:spacing w:line="360" w:lineRule="auto"/>
        <w:ind w:firstLine="480" w:firstLineChars="200"/>
        <w:rPr>
          <w:rFonts w:hAnsi="宋体" w:cs="宋体"/>
          <w:highlight w:val="none"/>
        </w:rPr>
      </w:pPr>
      <w:r>
        <w:rPr>
          <w:rFonts w:hint="eastAsia" w:hAnsi="宋体" w:cs="宋体"/>
          <w:highlight w:val="none"/>
        </w:rPr>
        <w:t>30.6.3未在法定期限内提出质疑的；</w:t>
      </w:r>
    </w:p>
    <w:p w14:paraId="23C3119A">
      <w:pPr>
        <w:widowControl/>
        <w:spacing w:line="360" w:lineRule="auto"/>
        <w:ind w:firstLine="480" w:firstLineChars="200"/>
        <w:rPr>
          <w:rFonts w:hAnsi="宋体" w:cs="宋体"/>
          <w:highlight w:val="none"/>
        </w:rPr>
      </w:pPr>
      <w:r>
        <w:rPr>
          <w:rFonts w:hint="eastAsia" w:hAnsi="宋体" w:cs="宋体"/>
          <w:highlight w:val="none"/>
        </w:rPr>
        <w:t>30.6.4质疑未以书面形式提出，或质疑函主要内容构成不完整的；</w:t>
      </w:r>
    </w:p>
    <w:p w14:paraId="038749D9">
      <w:pPr>
        <w:widowControl/>
        <w:spacing w:line="360" w:lineRule="auto"/>
        <w:ind w:firstLine="480" w:firstLineChars="200"/>
        <w:rPr>
          <w:rFonts w:hAnsi="宋体" w:cs="宋体"/>
          <w:highlight w:val="none"/>
        </w:rPr>
      </w:pPr>
      <w:r>
        <w:rPr>
          <w:rFonts w:hint="eastAsia" w:hAnsi="宋体" w:cs="宋体"/>
          <w:highlight w:val="none"/>
        </w:rPr>
        <w:t>30.6.5应当提交授权书而未提交的；</w:t>
      </w:r>
    </w:p>
    <w:p w14:paraId="45F67A70">
      <w:pPr>
        <w:widowControl/>
        <w:spacing w:line="360" w:lineRule="auto"/>
        <w:ind w:firstLine="480" w:firstLineChars="200"/>
        <w:rPr>
          <w:rFonts w:hAnsi="宋体" w:cs="宋体"/>
          <w:highlight w:val="none"/>
        </w:rPr>
      </w:pPr>
      <w:r>
        <w:rPr>
          <w:rFonts w:hint="eastAsia" w:hAnsi="宋体" w:cs="宋体"/>
          <w:highlight w:val="none"/>
        </w:rPr>
        <w:t>30.6.6以非法手段取得证据、材料的；</w:t>
      </w:r>
    </w:p>
    <w:p w14:paraId="7FE61560">
      <w:pPr>
        <w:widowControl/>
        <w:spacing w:line="360" w:lineRule="auto"/>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14:paraId="0D230CE2">
      <w:pPr>
        <w:widowControl/>
        <w:spacing w:line="360" w:lineRule="auto"/>
        <w:ind w:firstLine="480" w:firstLineChars="200"/>
        <w:rPr>
          <w:rFonts w:hAnsi="宋体" w:cs="宋体"/>
          <w:highlight w:val="none"/>
        </w:rPr>
      </w:pPr>
      <w:r>
        <w:rPr>
          <w:rFonts w:hint="eastAsia" w:hAnsi="宋体" w:cs="宋体"/>
          <w:highlight w:val="none"/>
        </w:rPr>
        <w:t>30.6.8不符合法律、法规、规章和政府采购监管机构规定的其他条件的。</w:t>
      </w:r>
    </w:p>
    <w:p w14:paraId="4CE070EF">
      <w:pPr>
        <w:widowControl/>
        <w:spacing w:line="360" w:lineRule="auto"/>
        <w:ind w:firstLine="480" w:firstLineChars="200"/>
        <w:rPr>
          <w:rFonts w:hAnsi="宋体" w:cs="宋体"/>
          <w:highlight w:val="none"/>
        </w:rPr>
      </w:pPr>
      <w:r>
        <w:rPr>
          <w:rFonts w:hint="eastAsia" w:hAnsi="宋体" w:cs="宋体"/>
          <w:highlight w:val="none"/>
        </w:rPr>
        <w:t>30.7质疑答复</w:t>
      </w:r>
    </w:p>
    <w:p w14:paraId="5C462BA3">
      <w:pPr>
        <w:widowControl/>
        <w:spacing w:line="360" w:lineRule="auto"/>
        <w:ind w:firstLine="480" w:firstLineChars="200"/>
        <w:rPr>
          <w:rFonts w:hAnsi="宋体" w:cs="宋体"/>
          <w:highlight w:val="none"/>
        </w:rPr>
      </w:pPr>
      <w:r>
        <w:rPr>
          <w:rFonts w:hint="eastAsia" w:hAnsi="宋体" w:cs="宋体"/>
          <w:highlight w:val="none"/>
        </w:rPr>
        <w:t>30.7.1采购人或采购代理机构在收到质疑函后7个工作日内作出答复，并以书面形式通知质疑供应商和其他有关供应商。</w:t>
      </w:r>
    </w:p>
    <w:p w14:paraId="0D8236EA">
      <w:pPr>
        <w:spacing w:line="360" w:lineRule="auto"/>
        <w:rPr>
          <w:rFonts w:hAnsi="宋体" w:cs="宋体"/>
          <w:b/>
          <w:szCs w:val="24"/>
          <w:highlight w:val="none"/>
        </w:rPr>
      </w:pPr>
      <w:r>
        <w:rPr>
          <w:rFonts w:hint="eastAsia" w:hAnsi="宋体" w:cs="宋体"/>
          <w:b/>
          <w:szCs w:val="24"/>
          <w:highlight w:val="none"/>
        </w:rPr>
        <w:t>31.其他</w:t>
      </w:r>
    </w:p>
    <w:p w14:paraId="3BEB693E">
      <w:pPr>
        <w:spacing w:line="360" w:lineRule="auto"/>
        <w:ind w:firstLine="480" w:firstLineChars="200"/>
        <w:rPr>
          <w:rFonts w:hAnsi="宋体" w:cs="宋体"/>
          <w:szCs w:val="24"/>
          <w:highlight w:val="none"/>
        </w:rPr>
      </w:pPr>
      <w:r>
        <w:rPr>
          <w:rFonts w:hint="eastAsia" w:hAnsi="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1ECF1B10">
      <w:pPr>
        <w:spacing w:line="360" w:lineRule="auto"/>
        <w:ind w:firstLine="480" w:firstLineChars="200"/>
        <w:rPr>
          <w:rFonts w:hAnsi="宋体" w:cs="宋体"/>
          <w:szCs w:val="24"/>
          <w:highlight w:val="none"/>
        </w:rPr>
      </w:pPr>
      <w:r>
        <w:rPr>
          <w:rFonts w:hint="eastAsia" w:hAnsi="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66525883">
      <w:pPr>
        <w:spacing w:line="360" w:lineRule="auto"/>
        <w:ind w:firstLine="480" w:firstLineChars="200"/>
        <w:jc w:val="left"/>
        <w:rPr>
          <w:rFonts w:hAnsi="宋体" w:cs="宋体"/>
          <w:szCs w:val="24"/>
          <w:highlight w:val="none"/>
        </w:rPr>
      </w:pPr>
      <w:r>
        <w:rPr>
          <w:rFonts w:hint="eastAsia" w:hAnsi="宋体" w:cs="宋体"/>
          <w:szCs w:val="24"/>
          <w:highlight w:val="none"/>
        </w:rPr>
        <w:t>31.3采用竞争性磋商采购方式采购的政府购买服务项目（含政府和社会资本合作项目），</w:t>
      </w:r>
      <w:r>
        <w:rPr>
          <w:rFonts w:hint="eastAsia" w:hAnsi="宋体" w:cs="宋体"/>
          <w:highlight w:val="none"/>
        </w:rPr>
        <w:t>采购过程中符合要求的供应商</w:t>
      </w:r>
      <w:r>
        <w:rPr>
          <w:rFonts w:hint="eastAsia" w:hAnsi="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2D96C902">
      <w:pPr>
        <w:spacing w:line="360" w:lineRule="auto"/>
        <w:ind w:firstLine="480" w:firstLineChars="200"/>
        <w:rPr>
          <w:rFonts w:hAnsi="宋体" w:cs="宋体"/>
          <w:highlight w:val="none"/>
        </w:rPr>
      </w:pPr>
      <w:r>
        <w:rPr>
          <w:rFonts w:hint="eastAsia" w:hAnsi="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61" w:name="_Toc363474023"/>
    </w:p>
    <w:p w14:paraId="4E247F67">
      <w:pPr>
        <w:pStyle w:val="2"/>
        <w:numPr>
          <w:ilvl w:val="0"/>
          <w:numId w:val="0"/>
        </w:numPr>
        <w:jc w:val="center"/>
        <w:rPr>
          <w:rFonts w:ascii="宋体" w:eastAsia="宋体" w:cs="宋体"/>
          <w:highlight w:val="none"/>
        </w:rPr>
      </w:pPr>
      <w:bookmarkStart w:id="62" w:name="_Toc403077645"/>
      <w:bookmarkStart w:id="63" w:name="_Toc25783"/>
      <w:bookmarkStart w:id="64" w:name="_Toc423973074"/>
      <w:r>
        <w:rPr>
          <w:rFonts w:hint="eastAsia" w:ascii="宋体" w:eastAsia="宋体" w:cs="宋体"/>
          <w:bCs/>
          <w:sz w:val="36"/>
          <w:szCs w:val="36"/>
          <w:highlight w:val="none"/>
        </w:rPr>
        <w:br w:type="page"/>
      </w:r>
      <w:bookmarkStart w:id="65" w:name="_Toc22973"/>
      <w:r>
        <w:rPr>
          <w:rFonts w:hint="eastAsia" w:ascii="宋体" w:hAnsi="宋体" w:eastAsia="宋体" w:cs="宋体"/>
          <w:b/>
          <w:kern w:val="2"/>
          <w:sz w:val="32"/>
          <w:lang w:val="en-US" w:eastAsia="zh-CN" w:bidi="ar-SA"/>
        </w:rPr>
        <w:t>第三章</w:t>
      </w:r>
      <w:r>
        <w:rPr>
          <w:rFonts w:hint="eastAsia" w:ascii="宋体" w:eastAsia="宋体" w:cs="宋体"/>
          <w:bCs/>
          <w:sz w:val="36"/>
          <w:szCs w:val="36"/>
          <w:highlight w:val="none"/>
        </w:rPr>
        <w:t xml:space="preserve">  </w:t>
      </w:r>
      <w:bookmarkStart w:id="66" w:name="_Toc9687"/>
      <w:bookmarkStart w:id="67" w:name="_Toc22398"/>
      <w:r>
        <w:rPr>
          <w:rFonts w:hint="eastAsia" w:ascii="宋体" w:eastAsia="宋体" w:cs="宋体"/>
          <w:bCs/>
          <w:sz w:val="36"/>
          <w:szCs w:val="36"/>
          <w:highlight w:val="none"/>
        </w:rPr>
        <w:t>评审方法</w:t>
      </w:r>
      <w:bookmarkEnd w:id="65"/>
      <w:bookmarkEnd w:id="66"/>
      <w:bookmarkEnd w:id="67"/>
    </w:p>
    <w:p w14:paraId="75B8D7DA">
      <w:pPr>
        <w:spacing w:line="360" w:lineRule="auto"/>
        <w:outlineLvl w:val="1"/>
        <w:rPr>
          <w:rFonts w:hAnsi="宋体" w:cs="宋体"/>
          <w:b/>
          <w:szCs w:val="24"/>
          <w:highlight w:val="none"/>
        </w:rPr>
      </w:pPr>
      <w:bookmarkStart w:id="68" w:name="_Toc23722"/>
      <w:bookmarkStart w:id="69" w:name="_Toc28665"/>
      <w:bookmarkStart w:id="70" w:name="_Toc32051"/>
      <w:bookmarkStart w:id="71" w:name="_Toc26649"/>
      <w:r>
        <w:rPr>
          <w:rFonts w:hint="eastAsia" w:hAnsi="宋体" w:cs="宋体"/>
          <w:b/>
          <w:szCs w:val="24"/>
          <w:highlight w:val="none"/>
        </w:rPr>
        <w:t>一、评审方法</w:t>
      </w:r>
      <w:bookmarkEnd w:id="68"/>
      <w:bookmarkEnd w:id="69"/>
      <w:bookmarkEnd w:id="70"/>
      <w:bookmarkEnd w:id="71"/>
    </w:p>
    <w:p w14:paraId="224939A8">
      <w:pPr>
        <w:spacing w:line="500" w:lineRule="exact"/>
        <w:ind w:firstLine="520" w:firstLineChars="217"/>
        <w:rPr>
          <w:rFonts w:hAnsi="宋体" w:cs="宋体"/>
          <w:spacing w:val="4"/>
          <w:szCs w:val="24"/>
          <w:highlight w:val="none"/>
        </w:rPr>
      </w:pPr>
      <w:r>
        <w:rPr>
          <w:rFonts w:hint="eastAsia" w:hAnsi="宋体" w:cs="宋体"/>
          <w:szCs w:val="24"/>
          <w:highlight w:val="none"/>
        </w:rPr>
        <w:t>按照《中华人民共和国政府采购法》及实施条例和关于印发《政府采购竞争性磋商采购方式管理暂行办法》的通知（财库【2014】214号）</w:t>
      </w:r>
      <w:r>
        <w:rPr>
          <w:rFonts w:hint="eastAsia" w:hAnsi="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8937D22">
      <w:pPr>
        <w:spacing w:line="500" w:lineRule="exact"/>
        <w:outlineLvl w:val="1"/>
        <w:rPr>
          <w:rFonts w:hAnsi="宋体" w:cs="宋体"/>
          <w:b/>
          <w:spacing w:val="4"/>
          <w:szCs w:val="24"/>
          <w:highlight w:val="none"/>
        </w:rPr>
      </w:pPr>
      <w:bookmarkStart w:id="72" w:name="_Toc27615"/>
      <w:bookmarkStart w:id="73" w:name="_Toc2374"/>
      <w:bookmarkStart w:id="74" w:name="_Toc20625"/>
      <w:bookmarkStart w:id="75" w:name="_Toc23145"/>
      <w:r>
        <w:rPr>
          <w:rFonts w:hint="eastAsia" w:hAnsi="宋体" w:cs="宋体"/>
          <w:b/>
          <w:spacing w:val="4"/>
          <w:szCs w:val="24"/>
          <w:highlight w:val="none"/>
        </w:rPr>
        <w:t>二、评审程序</w:t>
      </w:r>
      <w:bookmarkEnd w:id="72"/>
      <w:bookmarkEnd w:id="73"/>
      <w:bookmarkEnd w:id="74"/>
      <w:bookmarkEnd w:id="75"/>
    </w:p>
    <w:p w14:paraId="11596303">
      <w:pPr>
        <w:tabs>
          <w:tab w:val="left" w:pos="0"/>
        </w:tabs>
        <w:adjustRightInd w:val="0"/>
        <w:snapToGrid w:val="0"/>
        <w:spacing w:line="500" w:lineRule="exact"/>
        <w:ind w:firstLine="470" w:firstLineChars="196"/>
        <w:rPr>
          <w:rFonts w:hAnsi="宋体" w:cs="宋体"/>
          <w:highlight w:val="none"/>
        </w:rPr>
      </w:pPr>
      <w:r>
        <w:rPr>
          <w:rFonts w:hint="eastAsia" w:hAnsi="宋体" w:cs="宋体"/>
          <w:szCs w:val="24"/>
          <w:highlight w:val="none"/>
        </w:rPr>
        <w:t>按照竞争性磋商响应文件初审、澄清有关问题、分别磋商、二次报价、比较与评审、推荐成交候选人名单。在上一步评审中被认定为无效磋商者，不进入下一步的评审。</w:t>
      </w:r>
    </w:p>
    <w:p w14:paraId="44A535B0">
      <w:pPr>
        <w:numPr>
          <w:ilvl w:val="0"/>
          <w:numId w:val="3"/>
        </w:numPr>
        <w:spacing w:line="500" w:lineRule="exact"/>
        <w:ind w:firstLine="498" w:firstLineChars="200"/>
        <w:rPr>
          <w:rFonts w:hAnsi="宋体" w:cs="宋体"/>
          <w:b/>
          <w:bCs/>
          <w:spacing w:val="4"/>
          <w:szCs w:val="24"/>
          <w:highlight w:val="none"/>
        </w:rPr>
      </w:pPr>
      <w:r>
        <w:rPr>
          <w:rFonts w:hint="eastAsia" w:hAnsi="宋体" w:cs="宋体"/>
          <w:b/>
          <w:bCs/>
          <w:spacing w:val="4"/>
          <w:szCs w:val="24"/>
          <w:highlight w:val="none"/>
        </w:rPr>
        <w:t>对磋商响应文件的初审：</w:t>
      </w:r>
    </w:p>
    <w:p w14:paraId="395C0A98">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1.1资格性审查。</w:t>
      </w:r>
      <w:r>
        <w:rPr>
          <w:rFonts w:ascii="宋体" w:hAnsi="宋体" w:eastAsia="宋体" w:cs="宋体"/>
          <w:spacing w:val="-2"/>
          <w:sz w:val="24"/>
          <w:szCs w:val="24"/>
          <w:highlight w:val="none"/>
        </w:rPr>
        <w:t>采购人及采购代理机构将依据磋商响应文件</w:t>
      </w:r>
      <w:r>
        <w:rPr>
          <w:rFonts w:hint="eastAsia" w:hAnsi="宋体" w:cs="宋体"/>
          <w:highlight w:val="none"/>
        </w:rPr>
        <w:t>，按照磋商文件第二章供应商须知前附表12.1条所述资格要求进行资格性审查，如果供应商不满足磋商文件所规定的资格要求或提供资格证明文件不全,将被视为未实质性响应磋商文件。</w:t>
      </w:r>
    </w:p>
    <w:p w14:paraId="6860FCEA">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1.2符合性审查。</w:t>
      </w:r>
      <w:r>
        <w:rPr>
          <w:rFonts w:hint="eastAsia" w:hAnsi="宋体" w:cs="宋体"/>
          <w:highlight w:val="none"/>
        </w:rPr>
        <w:t>磋商小组从磋商响应文件的完整性、有效性和对磋商文件的响应程度进行审查，以确定其是否对磋商文件实质性内容作出响应。</w:t>
      </w:r>
    </w:p>
    <w:p w14:paraId="603D923B">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14:paraId="0CFF3D01">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14:paraId="61597BA1">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7800AF98">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14:paraId="11F95E74">
      <w:pPr>
        <w:spacing w:line="500" w:lineRule="exact"/>
        <w:ind w:firstLine="480" w:firstLineChars="200"/>
        <w:rPr>
          <w:rFonts w:hAnsi="宋体" w:cs="宋体"/>
          <w:szCs w:val="24"/>
          <w:highlight w:val="none"/>
        </w:rPr>
      </w:pPr>
      <w:r>
        <w:rPr>
          <w:rFonts w:hint="eastAsia" w:hAnsi="宋体" w:cs="宋体"/>
          <w:szCs w:val="24"/>
          <w:highlight w:val="none"/>
        </w:rPr>
        <w:t>1.2.5 磋商保证金是否按竞争性磋商文件规定时间提交磋商保证金或担保机构出具的保函。</w:t>
      </w:r>
    </w:p>
    <w:p w14:paraId="50FE98FE">
      <w:pPr>
        <w:spacing w:after="156" w:afterLines="50" w:line="500" w:lineRule="exact"/>
        <w:ind w:firstLine="482" w:firstLineChars="200"/>
        <w:rPr>
          <w:rFonts w:hAnsi="宋体" w:cs="宋体"/>
          <w:b/>
          <w:highlight w:val="none"/>
        </w:rPr>
      </w:pPr>
      <w:r>
        <w:rPr>
          <w:rFonts w:hint="eastAsia" w:hAnsi="宋体" w:cs="宋体"/>
          <w:b/>
          <w:highlight w:val="none"/>
        </w:rPr>
        <w:t>2、磋商响应文件的澄清</w:t>
      </w:r>
    </w:p>
    <w:p w14:paraId="598D46AE">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31683DBA">
      <w:pPr>
        <w:spacing w:line="500" w:lineRule="exact"/>
        <w:ind w:firstLine="480" w:firstLineChars="200"/>
        <w:rPr>
          <w:rFonts w:hAnsi="宋体" w:cs="宋体"/>
          <w:bCs/>
          <w:spacing w:val="4"/>
          <w:szCs w:val="24"/>
          <w:highlight w:val="none"/>
        </w:rPr>
      </w:pPr>
      <w:r>
        <w:rPr>
          <w:rFonts w:hint="eastAsia" w:hAnsi="宋体" w:cs="宋体"/>
          <w:szCs w:val="24"/>
          <w:highlight w:val="none"/>
        </w:rPr>
        <w:t>1.3.2有效的书面澄清材料，是磋商响应文件的补充材料，成为磋商响应文件的组成部分。</w:t>
      </w:r>
    </w:p>
    <w:p w14:paraId="67F0E1A0">
      <w:pPr>
        <w:spacing w:line="500" w:lineRule="exact"/>
        <w:ind w:firstLine="482" w:firstLineChars="200"/>
        <w:rPr>
          <w:rFonts w:hAnsi="宋体" w:cs="宋体"/>
          <w:szCs w:val="24"/>
          <w:highlight w:val="none"/>
        </w:rPr>
      </w:pPr>
      <w:r>
        <w:rPr>
          <w:rFonts w:hint="eastAsia" w:hAnsi="宋体" w:cs="宋体"/>
          <w:b/>
          <w:bCs/>
          <w:szCs w:val="24"/>
          <w:highlight w:val="none"/>
        </w:rPr>
        <w:t>3、磋商：</w:t>
      </w:r>
      <w:r>
        <w:rPr>
          <w:rFonts w:hint="eastAsia" w:hAnsi="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6AFC0710">
      <w:pPr>
        <w:pStyle w:val="10"/>
        <w:spacing w:line="500" w:lineRule="exact"/>
        <w:ind w:firstLine="482" w:firstLineChars="200"/>
        <w:rPr>
          <w:rFonts w:ascii="宋体" w:hAnsi="宋体" w:cs="宋体"/>
          <w:kern w:val="0"/>
          <w:sz w:val="24"/>
          <w:szCs w:val="24"/>
          <w:highlight w:val="none"/>
        </w:rPr>
      </w:pPr>
      <w:r>
        <w:rPr>
          <w:rFonts w:hint="eastAsia" w:ascii="宋体" w:hAnsi="宋体" w:cs="宋体"/>
          <w:b/>
          <w:bCs/>
          <w:sz w:val="24"/>
          <w:szCs w:val="24"/>
          <w:highlight w:val="none"/>
        </w:rPr>
        <w:t>4、综合评审：</w:t>
      </w:r>
      <w:r>
        <w:rPr>
          <w:rFonts w:hint="eastAsia" w:ascii="宋体" w:hAnsi="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7C03EF54">
      <w:pPr>
        <w:spacing w:line="500" w:lineRule="exact"/>
        <w:jc w:val="left"/>
        <w:outlineLvl w:val="1"/>
        <w:rPr>
          <w:rFonts w:hAnsi="宋体" w:cs="宋体"/>
          <w:b/>
          <w:szCs w:val="24"/>
          <w:highlight w:val="none"/>
        </w:rPr>
      </w:pPr>
      <w:bookmarkStart w:id="76" w:name="_Toc24776"/>
      <w:bookmarkStart w:id="77" w:name="_Toc4428"/>
      <w:bookmarkStart w:id="78" w:name="_Toc30804"/>
      <w:bookmarkStart w:id="79" w:name="_Toc19221"/>
      <w:r>
        <w:rPr>
          <w:rFonts w:hint="eastAsia" w:hAnsi="宋体" w:cs="宋体"/>
          <w:b/>
          <w:szCs w:val="24"/>
          <w:highlight w:val="none"/>
        </w:rPr>
        <w:t>三、政策性扣减</w:t>
      </w:r>
      <w:bookmarkEnd w:id="76"/>
      <w:bookmarkEnd w:id="77"/>
      <w:bookmarkEnd w:id="78"/>
      <w:bookmarkEnd w:id="79"/>
    </w:p>
    <w:p w14:paraId="741B6CC7">
      <w:pPr>
        <w:spacing w:line="500" w:lineRule="exact"/>
        <w:ind w:firstLine="482" w:firstLineChars="200"/>
        <w:jc w:val="left"/>
        <w:rPr>
          <w:rFonts w:hAnsi="宋体" w:cs="宋体"/>
          <w:b/>
          <w:bCs/>
          <w:szCs w:val="24"/>
          <w:highlight w:val="none"/>
        </w:rPr>
      </w:pPr>
      <w:r>
        <w:rPr>
          <w:rFonts w:hint="eastAsia" w:hAnsi="宋体" w:cs="宋体"/>
          <w:b/>
          <w:bCs/>
          <w:szCs w:val="24"/>
          <w:highlight w:val="none"/>
        </w:rPr>
        <w:t>1政策性扣减范围</w:t>
      </w:r>
    </w:p>
    <w:p w14:paraId="0424A914">
      <w:pPr>
        <w:spacing w:line="500" w:lineRule="exact"/>
        <w:ind w:firstLine="480" w:firstLineChars="200"/>
        <w:jc w:val="left"/>
        <w:rPr>
          <w:rFonts w:hAnsi="宋体" w:cs="宋体"/>
          <w:szCs w:val="24"/>
          <w:highlight w:val="none"/>
        </w:rPr>
      </w:pPr>
      <w:r>
        <w:rPr>
          <w:rFonts w:hint="eastAsia" w:hAnsi="宋体" w:cs="宋体"/>
          <w:szCs w:val="24"/>
          <w:highlight w:val="none"/>
        </w:rPr>
        <w:t>1.1供应商符合小型、微型企业或监狱企业、残疾人福利性单位条件的，其磋商报价价格评审时将按相应比例进行扣减。</w:t>
      </w:r>
    </w:p>
    <w:p w14:paraId="14DC3E3E">
      <w:pPr>
        <w:spacing w:line="500" w:lineRule="exact"/>
        <w:ind w:firstLine="480" w:firstLineChars="200"/>
        <w:jc w:val="left"/>
        <w:rPr>
          <w:rFonts w:hAnsi="宋体" w:cs="宋体"/>
          <w:szCs w:val="24"/>
          <w:highlight w:val="none"/>
        </w:rPr>
      </w:pPr>
      <w:r>
        <w:rPr>
          <w:rFonts w:hint="eastAsia" w:hAnsi="宋体" w:cs="宋体"/>
          <w:szCs w:val="24"/>
          <w:highlight w:val="none"/>
        </w:rPr>
        <w:t>1.2依照《政府采购促进中小企业发展管理办法》（财库〔2020〕46号）的规定，小型、微型企业应当同时符合以下条件：</w:t>
      </w:r>
    </w:p>
    <w:p w14:paraId="0A681BE7">
      <w:pPr>
        <w:spacing w:line="500" w:lineRule="exact"/>
        <w:ind w:firstLine="480" w:firstLineChars="200"/>
        <w:jc w:val="left"/>
        <w:rPr>
          <w:rFonts w:hAnsi="宋体" w:cs="宋体"/>
          <w:szCs w:val="24"/>
          <w:highlight w:val="none"/>
        </w:rPr>
      </w:pPr>
      <w:r>
        <w:rPr>
          <w:rFonts w:hint="eastAsia" w:hAnsi="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5CB89DBB">
      <w:pPr>
        <w:spacing w:line="500" w:lineRule="exact"/>
        <w:ind w:firstLine="480" w:firstLineChars="200"/>
        <w:jc w:val="left"/>
        <w:rPr>
          <w:rFonts w:hAnsi="宋体" w:cs="宋体"/>
          <w:szCs w:val="24"/>
          <w:highlight w:val="none"/>
        </w:rPr>
      </w:pPr>
      <w:r>
        <w:rPr>
          <w:rFonts w:hint="eastAsia" w:hAnsi="宋体" w:cs="宋体"/>
          <w:szCs w:val="24"/>
          <w:highlight w:val="none"/>
        </w:rPr>
        <w:t>1.2.2提供本企业制造的货物、承担的工程或者服务，或者提供其他中小企业制造的货物，不包括提供或使用大型企业注册商标的货物。</w:t>
      </w:r>
    </w:p>
    <w:p w14:paraId="4708DC3B">
      <w:pPr>
        <w:spacing w:line="500" w:lineRule="exact"/>
        <w:ind w:firstLine="480" w:firstLineChars="200"/>
        <w:jc w:val="left"/>
        <w:rPr>
          <w:rFonts w:hAnsi="宋体" w:cs="宋体"/>
          <w:szCs w:val="24"/>
          <w:highlight w:val="none"/>
        </w:rPr>
      </w:pPr>
      <w:r>
        <w:rPr>
          <w:rFonts w:hint="eastAsia" w:hAnsi="宋体" w:cs="宋体"/>
          <w:szCs w:val="24"/>
          <w:highlight w:val="none"/>
        </w:rPr>
        <w:t>1.2.3小型、微型企业提供中型企业制造的货物的，视同为中型企业；小型、微型、中型企业提供大型企业制造的货物的，视同为大型企业。</w:t>
      </w:r>
    </w:p>
    <w:p w14:paraId="747338A0">
      <w:pPr>
        <w:spacing w:line="500" w:lineRule="exact"/>
        <w:ind w:firstLine="480" w:firstLineChars="200"/>
        <w:jc w:val="left"/>
        <w:rPr>
          <w:rFonts w:hAnsi="宋体" w:cs="宋体"/>
          <w:szCs w:val="24"/>
          <w:highlight w:val="none"/>
        </w:rPr>
      </w:pPr>
      <w:r>
        <w:rPr>
          <w:rFonts w:hint="eastAsia" w:hAnsi="宋体" w:cs="宋体"/>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3D524A3E">
      <w:pPr>
        <w:spacing w:line="500" w:lineRule="exact"/>
        <w:ind w:firstLine="480" w:firstLineChars="200"/>
        <w:jc w:val="left"/>
        <w:rPr>
          <w:rFonts w:hAnsi="宋体" w:cs="宋体"/>
          <w:szCs w:val="24"/>
          <w:highlight w:val="none"/>
        </w:rPr>
      </w:pPr>
      <w:r>
        <w:rPr>
          <w:rFonts w:hint="eastAsia" w:hAnsi="宋体" w:cs="宋体"/>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62F85284">
      <w:pPr>
        <w:spacing w:line="500" w:lineRule="exact"/>
        <w:ind w:firstLine="480" w:firstLineChars="200"/>
        <w:jc w:val="left"/>
        <w:rPr>
          <w:rFonts w:hAnsi="宋体" w:cs="宋体"/>
          <w:szCs w:val="24"/>
          <w:highlight w:val="none"/>
        </w:rPr>
      </w:pPr>
      <w:r>
        <w:rPr>
          <w:rFonts w:hint="eastAsia" w:hAnsi="宋体" w:cs="宋体"/>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70BEA522">
      <w:pPr>
        <w:spacing w:line="500" w:lineRule="exact"/>
        <w:ind w:firstLine="480" w:firstLineChars="200"/>
        <w:jc w:val="left"/>
        <w:rPr>
          <w:rFonts w:hAnsi="宋体" w:cs="宋体"/>
          <w:szCs w:val="24"/>
          <w:highlight w:val="none"/>
        </w:rPr>
      </w:pPr>
      <w:r>
        <w:rPr>
          <w:rFonts w:hint="eastAsia" w:hAnsi="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C7B2717">
      <w:pPr>
        <w:spacing w:line="500" w:lineRule="exact"/>
        <w:ind w:firstLine="600" w:firstLineChars="250"/>
        <w:rPr>
          <w:rFonts w:hAnsi="宋体" w:cs="宋体"/>
          <w:szCs w:val="24"/>
          <w:highlight w:val="none"/>
        </w:rPr>
      </w:pPr>
      <w:r>
        <w:rPr>
          <w:rFonts w:hint="eastAsia" w:hAnsi="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1E0ED8BA">
      <w:pPr>
        <w:spacing w:line="500" w:lineRule="exact"/>
        <w:ind w:firstLine="482" w:firstLineChars="200"/>
        <w:jc w:val="left"/>
        <w:rPr>
          <w:rFonts w:hAnsi="宋体" w:cs="宋体"/>
          <w:b/>
          <w:bCs/>
          <w:szCs w:val="24"/>
          <w:highlight w:val="none"/>
        </w:rPr>
      </w:pPr>
      <w:r>
        <w:rPr>
          <w:rFonts w:hint="eastAsia" w:hAnsi="宋体" w:cs="宋体"/>
          <w:b/>
          <w:bCs/>
          <w:szCs w:val="24"/>
          <w:highlight w:val="none"/>
        </w:rPr>
        <w:t>2、政策性扣减方式：</w:t>
      </w:r>
    </w:p>
    <w:p w14:paraId="5276655F">
      <w:pPr>
        <w:spacing w:line="500" w:lineRule="exact"/>
        <w:ind w:firstLine="480" w:firstLineChars="200"/>
        <w:jc w:val="left"/>
        <w:rPr>
          <w:rFonts w:hAnsi="宋体" w:cs="宋体"/>
          <w:szCs w:val="24"/>
          <w:highlight w:val="none"/>
        </w:rPr>
      </w:pPr>
      <w:r>
        <w:rPr>
          <w:rFonts w:hint="eastAsia" w:hAnsi="宋体" w:cs="宋体"/>
          <w:szCs w:val="24"/>
          <w:highlight w:val="none"/>
        </w:rPr>
        <w:t>2.1供应商为非联合体参与磋商的情况：</w:t>
      </w:r>
    </w:p>
    <w:p w14:paraId="3B0882DD">
      <w:pPr>
        <w:spacing w:line="500" w:lineRule="exact"/>
        <w:ind w:firstLine="480" w:firstLineChars="200"/>
        <w:jc w:val="left"/>
        <w:rPr>
          <w:rFonts w:hAnsi="宋体" w:cs="宋体"/>
          <w:szCs w:val="24"/>
          <w:highlight w:val="none"/>
        </w:rPr>
      </w:pPr>
      <w:r>
        <w:rPr>
          <w:rFonts w:hint="eastAsia" w:hAnsi="宋体" w:cs="宋体"/>
          <w:szCs w:val="24"/>
          <w:highlight w:val="none"/>
        </w:rPr>
        <w:t>2.1.1在磋商最终报价的基础上，小型企业或达到小型企业划分标准的监狱企业（或残疾人福利性单位），按“磋商最终报价×</w:t>
      </w:r>
      <w:r>
        <w:rPr>
          <w:rFonts w:hint="eastAsia" w:hAnsi="宋体" w:cs="宋体"/>
          <w:szCs w:val="24"/>
          <w:highlight w:val="none"/>
          <w:lang w:val="en-US" w:eastAsia="zh-CN"/>
        </w:rPr>
        <w:t>10</w:t>
      </w:r>
      <w:r>
        <w:rPr>
          <w:rFonts w:hint="eastAsia" w:hAnsi="宋体" w:cs="宋体"/>
          <w:szCs w:val="24"/>
          <w:highlight w:val="none"/>
        </w:rPr>
        <w:t>%”进行扣减；</w:t>
      </w:r>
    </w:p>
    <w:p w14:paraId="5A405A3D">
      <w:pPr>
        <w:spacing w:line="500" w:lineRule="exact"/>
        <w:ind w:firstLine="480" w:firstLineChars="200"/>
        <w:jc w:val="left"/>
        <w:rPr>
          <w:rFonts w:hAnsi="宋体" w:cs="宋体"/>
          <w:szCs w:val="24"/>
          <w:highlight w:val="none"/>
        </w:rPr>
      </w:pPr>
      <w:r>
        <w:rPr>
          <w:rFonts w:hint="eastAsia" w:hAnsi="宋体" w:cs="宋体"/>
          <w:szCs w:val="24"/>
          <w:highlight w:val="none"/>
        </w:rPr>
        <w:t>2.1.2在磋商最终报价的基础上，注册资金在十五万元以上的微型企业或注册资金在十五万元以上达到微型企业划分标准的监狱企业（或残疾人福利性单位），按“磋商最终报价×8%”进行扣减；</w:t>
      </w:r>
    </w:p>
    <w:p w14:paraId="1633B0FC">
      <w:pPr>
        <w:spacing w:line="500" w:lineRule="exact"/>
        <w:ind w:firstLine="480" w:firstLineChars="200"/>
        <w:jc w:val="left"/>
        <w:rPr>
          <w:rFonts w:hAnsi="宋体" w:cs="宋体"/>
          <w:szCs w:val="24"/>
          <w:highlight w:val="none"/>
        </w:rPr>
      </w:pPr>
      <w:r>
        <w:rPr>
          <w:rFonts w:hint="eastAsia" w:hAnsi="宋体" w:cs="宋体"/>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235190AC">
      <w:pPr>
        <w:spacing w:line="500" w:lineRule="exact"/>
        <w:ind w:firstLine="480" w:firstLineChars="200"/>
        <w:jc w:val="left"/>
        <w:rPr>
          <w:rFonts w:hAnsi="宋体" w:cs="宋体"/>
          <w:szCs w:val="24"/>
          <w:highlight w:val="none"/>
        </w:rPr>
      </w:pPr>
      <w:r>
        <w:rPr>
          <w:rFonts w:hint="eastAsia" w:hAnsi="宋体" w:cs="宋体"/>
          <w:szCs w:val="24"/>
          <w:highlight w:val="none"/>
        </w:rPr>
        <w:t>2.2供应商为联合体参与磋商且联合协议中约定小型或微型企业的协议合同金额占到联合体协议合同总金额30％以上的情况：</w:t>
      </w:r>
    </w:p>
    <w:p w14:paraId="0684817E">
      <w:pPr>
        <w:spacing w:line="500" w:lineRule="exact"/>
        <w:ind w:firstLine="480" w:firstLineChars="200"/>
        <w:jc w:val="left"/>
        <w:rPr>
          <w:rFonts w:hAnsi="宋体" w:cs="宋体"/>
          <w:szCs w:val="24"/>
          <w:highlight w:val="none"/>
        </w:rPr>
      </w:pPr>
      <w:r>
        <w:rPr>
          <w:rFonts w:hint="eastAsia" w:hAnsi="宋体" w:cs="宋体"/>
          <w:szCs w:val="24"/>
          <w:highlight w:val="none"/>
        </w:rPr>
        <w:t>2.2.1在磋商最终报价的基础上，与小型企业或达到小型企业划分标准的监狱企业（或残疾人福利性单位）联合的，按“磋商最终报价×2%”进行扣减；</w:t>
      </w:r>
    </w:p>
    <w:p w14:paraId="0B062039">
      <w:pPr>
        <w:spacing w:line="500" w:lineRule="exact"/>
        <w:ind w:firstLine="480" w:firstLineChars="200"/>
        <w:jc w:val="left"/>
        <w:rPr>
          <w:rFonts w:hAnsi="宋体" w:cs="宋体"/>
          <w:szCs w:val="24"/>
          <w:highlight w:val="none"/>
        </w:rPr>
      </w:pPr>
      <w:r>
        <w:rPr>
          <w:rFonts w:hint="eastAsia" w:hAnsi="宋体" w:cs="宋体"/>
          <w:szCs w:val="24"/>
          <w:highlight w:val="none"/>
        </w:rPr>
        <w:t>2.2.2在磋商最终报价的基础上，与微型企业或达到微型企业划分标准的监狱企业（或残疾人福利性单位）联合的，按“磋商最终报价×3%”进行扣减。</w:t>
      </w:r>
    </w:p>
    <w:p w14:paraId="4F62DEA3">
      <w:pPr>
        <w:spacing w:line="500" w:lineRule="exact"/>
        <w:ind w:firstLine="480" w:firstLineChars="200"/>
        <w:jc w:val="left"/>
        <w:rPr>
          <w:rFonts w:hAnsi="宋体" w:cs="宋体"/>
          <w:szCs w:val="24"/>
          <w:highlight w:val="none"/>
        </w:rPr>
      </w:pPr>
      <w:r>
        <w:rPr>
          <w:rFonts w:hint="eastAsia" w:hAnsi="宋体" w:cs="宋体"/>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6E7D7D16">
      <w:pPr>
        <w:spacing w:line="500" w:lineRule="exact"/>
        <w:ind w:firstLine="480" w:firstLineChars="200"/>
        <w:jc w:val="left"/>
        <w:rPr>
          <w:rFonts w:hAnsi="宋体" w:cs="宋体"/>
          <w:szCs w:val="24"/>
          <w:highlight w:val="none"/>
        </w:rPr>
      </w:pPr>
      <w:r>
        <w:rPr>
          <w:rFonts w:hint="eastAsia" w:hAnsi="宋体" w:cs="宋体"/>
          <w:szCs w:val="24"/>
          <w:highlight w:val="none"/>
        </w:rPr>
        <w:t>2.3供应商享受支持中小型企业发展政策优惠的，可以同时享受节能、环境标志产品优先采购政策。</w:t>
      </w:r>
    </w:p>
    <w:p w14:paraId="616F314A">
      <w:pPr>
        <w:spacing w:line="500" w:lineRule="exact"/>
        <w:ind w:firstLine="480" w:firstLineChars="200"/>
        <w:jc w:val="left"/>
        <w:rPr>
          <w:rFonts w:hAnsi="宋体" w:cs="宋体"/>
          <w:szCs w:val="24"/>
          <w:highlight w:val="none"/>
        </w:rPr>
      </w:pPr>
      <w:r>
        <w:rPr>
          <w:rFonts w:hint="eastAsia" w:hAnsi="宋体" w:cs="宋体"/>
          <w:szCs w:val="24"/>
          <w:highlight w:val="none"/>
        </w:rPr>
        <w:t>2.3.1单个合同项为单一产品的，所投产品为节能、环境标志产品的在磋商最终报价的基础上，按“磋商最终报价×6%”进行扣减；</w:t>
      </w:r>
    </w:p>
    <w:p w14:paraId="083A1E7C">
      <w:pPr>
        <w:spacing w:line="500" w:lineRule="exact"/>
        <w:ind w:firstLine="480" w:firstLineChars="200"/>
        <w:jc w:val="left"/>
        <w:rPr>
          <w:rFonts w:hAnsi="宋体" w:cs="宋体"/>
          <w:szCs w:val="24"/>
          <w:highlight w:val="none"/>
        </w:rPr>
      </w:pPr>
      <w:r>
        <w:rPr>
          <w:rFonts w:hint="eastAsia" w:hAnsi="宋体" w:cs="宋体"/>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29EFCEA1">
      <w:pPr>
        <w:spacing w:line="500" w:lineRule="exact"/>
        <w:ind w:firstLine="480" w:firstLineChars="200"/>
        <w:jc w:val="left"/>
        <w:rPr>
          <w:rFonts w:hAnsi="宋体" w:cs="宋体"/>
          <w:szCs w:val="24"/>
          <w:highlight w:val="none"/>
        </w:rPr>
      </w:pPr>
      <w:r>
        <w:rPr>
          <w:rFonts w:hint="eastAsia" w:hAnsi="宋体" w:cs="宋体"/>
          <w:szCs w:val="24"/>
          <w:highlight w:val="none"/>
        </w:rPr>
        <w:t>3、成交价格=成交供应商的有效磋商报价。</w:t>
      </w:r>
    </w:p>
    <w:p w14:paraId="248A46B8">
      <w:pPr>
        <w:pStyle w:val="10"/>
        <w:rPr>
          <w:rFonts w:ascii="宋体" w:hAnsi="宋体" w:cs="宋体"/>
          <w:highlight w:val="none"/>
        </w:rPr>
      </w:pPr>
    </w:p>
    <w:p w14:paraId="34388FC9">
      <w:pPr>
        <w:numPr>
          <w:ilvl w:val="0"/>
          <w:numId w:val="4"/>
        </w:numPr>
        <w:spacing w:line="360" w:lineRule="auto"/>
        <w:ind w:firstLine="498" w:firstLineChars="200"/>
        <w:jc w:val="center"/>
        <w:outlineLvl w:val="1"/>
        <w:rPr>
          <w:rFonts w:hint="eastAsia" w:hAnsi="宋体" w:cs="宋体"/>
          <w:b/>
          <w:szCs w:val="24"/>
          <w:highlight w:val="none"/>
        </w:rPr>
      </w:pPr>
      <w:r>
        <w:rPr>
          <w:rFonts w:hint="eastAsia" w:hAnsi="宋体" w:cs="宋体"/>
          <w:b/>
          <w:spacing w:val="4"/>
          <w:szCs w:val="24"/>
          <w:highlight w:val="none"/>
        </w:rPr>
        <w:br w:type="page"/>
      </w:r>
      <w:bookmarkStart w:id="80" w:name="_Toc13330"/>
      <w:bookmarkStart w:id="81" w:name="_Toc28532"/>
      <w:bookmarkStart w:id="82" w:name="_Toc23630"/>
      <w:bookmarkStart w:id="83" w:name="_Toc4223"/>
      <w:r>
        <w:rPr>
          <w:rFonts w:hint="eastAsia" w:hAnsi="宋体" w:cs="宋体"/>
          <w:b/>
          <w:szCs w:val="24"/>
          <w:highlight w:val="none"/>
        </w:rPr>
        <w:t>评审要素和分值分解表</w:t>
      </w:r>
      <w:bookmarkEnd w:id="80"/>
      <w:bookmarkEnd w:id="81"/>
      <w:bookmarkEnd w:id="82"/>
      <w:bookmarkEnd w:id="83"/>
    </w:p>
    <w:tbl>
      <w:tblPr>
        <w:tblStyle w:val="38"/>
        <w:tblW w:w="94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5"/>
        <w:gridCol w:w="965"/>
        <w:gridCol w:w="6567"/>
        <w:gridCol w:w="830"/>
      </w:tblGrid>
      <w:tr w14:paraId="44A6C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060" w:type="dxa"/>
            <w:gridSpan w:val="2"/>
            <w:vAlign w:val="top"/>
          </w:tcPr>
          <w:p w14:paraId="3FAAEC73">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t>评审内容</w:t>
            </w:r>
          </w:p>
        </w:tc>
        <w:tc>
          <w:tcPr>
            <w:tcW w:w="6567" w:type="dxa"/>
            <w:vAlign w:val="top"/>
          </w:tcPr>
          <w:p w14:paraId="7649D383">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t>评审原则与标准</w:t>
            </w:r>
          </w:p>
        </w:tc>
        <w:tc>
          <w:tcPr>
            <w:tcW w:w="830" w:type="dxa"/>
            <w:vAlign w:val="center"/>
          </w:tcPr>
          <w:p w14:paraId="05BC25D9">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t>分值</w:t>
            </w:r>
          </w:p>
        </w:tc>
      </w:tr>
      <w:tr w14:paraId="611EC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trPr>
        <w:tc>
          <w:tcPr>
            <w:tcW w:w="2060" w:type="dxa"/>
            <w:gridSpan w:val="2"/>
            <w:vAlign w:val="center"/>
          </w:tcPr>
          <w:p w14:paraId="1CF32294">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t>价格评审 （30 分）</w:t>
            </w:r>
          </w:p>
        </w:tc>
        <w:tc>
          <w:tcPr>
            <w:tcW w:w="6567" w:type="dxa"/>
            <w:vAlign w:val="top"/>
          </w:tcPr>
          <w:p w14:paraId="69B0C4A8">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hint="eastAsia"/>
                <w:lang w:val="en-US" w:eastAsia="zh-CN"/>
              </w:rPr>
              <w:t>满</w:t>
            </w:r>
            <w:r>
              <w:rPr>
                <w:rFonts w:hint="eastAsia"/>
              </w:rPr>
              <w:t>足磋商文件要求且最后报价最低的供应商的价格为磋商基准价得</w:t>
            </w:r>
            <w:r>
              <w:rPr>
                <w:rFonts w:hint="eastAsia"/>
                <w:lang w:val="en-US" w:eastAsia="zh-CN"/>
              </w:rPr>
              <w:t>30</w:t>
            </w:r>
            <w:r>
              <w:rPr>
                <w:rFonts w:hint="eastAsia"/>
              </w:rPr>
              <w:t>分，其他各供应商的最后磋商报价得分按下列公式计算：（磋商基准价/最后磋商报价）×</w:t>
            </w:r>
            <w:r>
              <w:rPr>
                <w:rFonts w:hint="eastAsia"/>
                <w:lang w:val="en-US" w:eastAsia="zh-CN"/>
              </w:rPr>
              <w:t>30</w:t>
            </w:r>
            <w:r>
              <w:rPr>
                <w:rFonts w:hint="eastAsia"/>
              </w:rPr>
              <w:t>%×100。</w:t>
            </w:r>
          </w:p>
        </w:tc>
        <w:tc>
          <w:tcPr>
            <w:tcW w:w="830" w:type="dxa"/>
            <w:vAlign w:val="center"/>
          </w:tcPr>
          <w:p w14:paraId="70CF1B53">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t>30分</w:t>
            </w:r>
          </w:p>
        </w:tc>
      </w:tr>
      <w:tr w14:paraId="1E446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1" w:hRule="atLeast"/>
        </w:trPr>
        <w:tc>
          <w:tcPr>
            <w:tcW w:w="1095" w:type="dxa"/>
            <w:vMerge w:val="restart"/>
            <w:tcBorders>
              <w:left w:val="single" w:color="auto" w:sz="4" w:space="0"/>
              <w:bottom w:val="nil"/>
            </w:tcBorders>
            <w:vAlign w:val="center"/>
          </w:tcPr>
          <w:p w14:paraId="14DA911F">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t>技术方案   （</w:t>
            </w:r>
            <w:r>
              <w:rPr>
                <w:rFonts w:hint="eastAsia"/>
                <w:lang w:val="en-US" w:eastAsia="zh-CN"/>
              </w:rPr>
              <w:t>56</w:t>
            </w:r>
            <w:r>
              <w:t>分）</w:t>
            </w:r>
          </w:p>
        </w:tc>
        <w:tc>
          <w:tcPr>
            <w:tcW w:w="965" w:type="dxa"/>
            <w:vAlign w:val="center"/>
          </w:tcPr>
          <w:p w14:paraId="34C0F21C">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t>技术</w:t>
            </w:r>
            <w:r>
              <w:rPr>
                <w:rFonts w:hint="eastAsia"/>
                <w:lang w:val="en-US" w:eastAsia="zh-CN"/>
              </w:rPr>
              <w:t>响</w:t>
            </w:r>
            <w:r>
              <w:t>应</w:t>
            </w:r>
          </w:p>
        </w:tc>
        <w:tc>
          <w:tcPr>
            <w:tcW w:w="6567" w:type="dxa"/>
            <w:vAlign w:val="top"/>
          </w:tcPr>
          <w:p w14:paraId="188899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rPr>
            </w:pPr>
            <w:r>
              <w:rPr>
                <w:rFonts w:hint="eastAsia"/>
              </w:rPr>
              <w:t>所投</w:t>
            </w:r>
            <w:r>
              <w:rPr>
                <w:rFonts w:hint="eastAsia"/>
                <w:lang w:val="en-US" w:eastAsia="zh-CN"/>
              </w:rPr>
              <w:t>产品</w:t>
            </w:r>
            <w:r>
              <w:rPr>
                <w:rFonts w:hint="eastAsia"/>
              </w:rPr>
              <w:t>选型明确，技术指标清晰，符合国家的标准和有关规定，技术资料齐全，技术参数响应符合招标文件要求计</w:t>
            </w:r>
            <w:r>
              <w:rPr>
                <w:rFonts w:hint="eastAsia"/>
                <w:lang w:val="en-US" w:eastAsia="zh-CN"/>
              </w:rPr>
              <w:t>10</w:t>
            </w:r>
            <w:r>
              <w:rPr>
                <w:rFonts w:hint="eastAsia"/>
              </w:rPr>
              <w:t>分，技术指标负偏离1项扣</w:t>
            </w:r>
            <w:r>
              <w:rPr>
                <w:rFonts w:hint="eastAsia"/>
                <w:lang w:val="en-US" w:eastAsia="zh-CN"/>
              </w:rPr>
              <w:t>2</w:t>
            </w:r>
            <w:r>
              <w:rPr>
                <w:rFonts w:hint="eastAsia"/>
              </w:rPr>
              <w:t>分，扣完为止；</w:t>
            </w:r>
          </w:p>
        </w:tc>
        <w:tc>
          <w:tcPr>
            <w:tcW w:w="830" w:type="dxa"/>
            <w:vAlign w:val="center"/>
          </w:tcPr>
          <w:p w14:paraId="36617294">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lang w:val="en-US" w:eastAsia="zh-CN"/>
              </w:rPr>
              <w:t>10</w:t>
            </w:r>
            <w:r>
              <w:t>分</w:t>
            </w:r>
          </w:p>
        </w:tc>
      </w:tr>
      <w:tr w14:paraId="23390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095" w:type="dxa"/>
            <w:vMerge w:val="continue"/>
            <w:tcBorders>
              <w:left w:val="single" w:color="auto" w:sz="4" w:space="0"/>
            </w:tcBorders>
            <w:vAlign w:val="center"/>
          </w:tcPr>
          <w:p w14:paraId="532DF723">
            <w:pPr>
              <w:keepNext w:val="0"/>
              <w:keepLines w:val="0"/>
              <w:pageBreakBefore w:val="0"/>
              <w:widowControl w:val="0"/>
              <w:kinsoku/>
              <w:wordWrap/>
              <w:overflowPunct/>
              <w:topLinePunct w:val="0"/>
              <w:autoSpaceDE/>
              <w:autoSpaceDN/>
              <w:bidi w:val="0"/>
              <w:adjustRightInd/>
              <w:snapToGrid/>
              <w:spacing w:line="360" w:lineRule="auto"/>
              <w:jc w:val="center"/>
              <w:textAlignment w:val="auto"/>
            </w:pPr>
          </w:p>
        </w:tc>
        <w:tc>
          <w:tcPr>
            <w:tcW w:w="965" w:type="dxa"/>
            <w:vAlign w:val="center"/>
          </w:tcPr>
          <w:p w14:paraId="5CF28B90">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rPr>
              <w:t>实施方案</w:t>
            </w:r>
          </w:p>
        </w:tc>
        <w:tc>
          <w:tcPr>
            <w:tcW w:w="6567" w:type="dxa"/>
            <w:vAlign w:val="top"/>
          </w:tcPr>
          <w:p w14:paraId="46FEC8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一、评审内容</w:t>
            </w:r>
          </w:p>
          <w:p w14:paraId="4A96E5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提供项目实施方案包含但不限于①</w:t>
            </w:r>
            <w:r>
              <w:rPr>
                <w:spacing w:val="4"/>
                <w:highlight w:val="none"/>
              </w:rPr>
              <w:t>实施方案</w:t>
            </w:r>
            <w:r>
              <w:rPr>
                <w:rFonts w:hint="eastAsia"/>
                <w:lang w:val="en-US" w:eastAsia="zh-CN"/>
              </w:rPr>
              <w:t>②</w:t>
            </w:r>
            <w:r>
              <w:rPr>
                <w:spacing w:val="4"/>
                <w:highlight w:val="none"/>
              </w:rPr>
              <w:t>配送方案</w:t>
            </w:r>
            <w:r>
              <w:rPr>
                <w:rFonts w:hint="eastAsia"/>
                <w:lang w:val="en-US" w:eastAsia="zh-CN"/>
              </w:rPr>
              <w:t>③</w:t>
            </w:r>
            <w:r>
              <w:rPr>
                <w:spacing w:val="3"/>
                <w:highlight w:val="none"/>
              </w:rPr>
              <w:t>供货能力及备</w:t>
            </w:r>
            <w:r>
              <w:rPr>
                <w:spacing w:val="-2"/>
                <w:highlight w:val="none"/>
              </w:rPr>
              <w:t>品</w:t>
            </w:r>
            <w:r>
              <w:rPr>
                <w:rFonts w:hint="eastAsia"/>
                <w:spacing w:val="-2"/>
                <w:highlight w:val="none"/>
                <w:lang w:eastAsia="zh-CN"/>
              </w:rPr>
              <w:t>、</w:t>
            </w:r>
            <w:r>
              <w:rPr>
                <w:rFonts w:hint="eastAsia"/>
                <w:spacing w:val="-2"/>
                <w:highlight w:val="none"/>
                <w:lang w:val="en-US" w:eastAsia="zh-CN"/>
              </w:rPr>
              <w:t>配件等</w:t>
            </w:r>
            <w:r>
              <w:rPr>
                <w:spacing w:val="-2"/>
                <w:highlight w:val="none"/>
              </w:rPr>
              <w:t>整体服务方案</w:t>
            </w:r>
          </w:p>
          <w:p w14:paraId="60A8E6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二、评审标准</w:t>
            </w:r>
          </w:p>
          <w:p w14:paraId="21847C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1、完整性：方案必须全面，对评审内容中的各项要求有详细描述；</w:t>
            </w:r>
          </w:p>
          <w:p w14:paraId="38286E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2、可实施性：切合本项目实际情况，提出步骤清晰、合理的方案；</w:t>
            </w:r>
          </w:p>
          <w:p w14:paraId="140A81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3、针对性：方案能够紧扣项目实际情况，内容科学合理。</w:t>
            </w:r>
          </w:p>
          <w:p w14:paraId="3C96DC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三、赋分标准（满分15分）</w:t>
            </w:r>
          </w:p>
          <w:p w14:paraId="09AA4D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①</w:t>
            </w:r>
            <w:r>
              <w:rPr>
                <w:spacing w:val="4"/>
                <w:highlight w:val="none"/>
              </w:rPr>
              <w:t>实施方案</w:t>
            </w:r>
            <w:r>
              <w:rPr>
                <w:rFonts w:hint="eastAsia"/>
                <w:lang w:val="en-US" w:eastAsia="zh-CN"/>
              </w:rPr>
              <w:t>：每完全满足一个评审标准得2分，满分6分；</w:t>
            </w:r>
          </w:p>
          <w:p w14:paraId="25AFC3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②</w:t>
            </w:r>
            <w:r>
              <w:rPr>
                <w:spacing w:val="4"/>
                <w:highlight w:val="none"/>
              </w:rPr>
              <w:t>配送方案</w:t>
            </w:r>
            <w:r>
              <w:rPr>
                <w:rFonts w:hint="eastAsia"/>
                <w:lang w:val="en-US" w:eastAsia="zh-CN"/>
              </w:rPr>
              <w:t>：每完全满足一个评审标准得1.5分，满分4.5分；</w:t>
            </w:r>
          </w:p>
          <w:p w14:paraId="63878D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rPr>
            </w:pPr>
            <w:r>
              <w:rPr>
                <w:rFonts w:hint="eastAsia"/>
                <w:lang w:val="en-US" w:eastAsia="zh-CN"/>
              </w:rPr>
              <w:t>③供货能力及备品、配件等整体服务方案：每完全满足一个评审标准得1.5分，满分4.5分。</w:t>
            </w:r>
          </w:p>
        </w:tc>
        <w:tc>
          <w:tcPr>
            <w:tcW w:w="830" w:type="dxa"/>
            <w:vAlign w:val="center"/>
          </w:tcPr>
          <w:p w14:paraId="398D3B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15分</w:t>
            </w:r>
          </w:p>
        </w:tc>
      </w:tr>
      <w:tr w14:paraId="28BB8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1" w:hRule="atLeast"/>
        </w:trPr>
        <w:tc>
          <w:tcPr>
            <w:tcW w:w="1095" w:type="dxa"/>
            <w:vMerge w:val="continue"/>
            <w:tcBorders>
              <w:top w:val="nil"/>
              <w:left w:val="single" w:color="auto" w:sz="4" w:space="0"/>
              <w:bottom w:val="nil"/>
            </w:tcBorders>
            <w:vAlign w:val="top"/>
          </w:tcPr>
          <w:p w14:paraId="3BFE02F5">
            <w:pPr>
              <w:keepNext w:val="0"/>
              <w:keepLines w:val="0"/>
              <w:pageBreakBefore w:val="0"/>
              <w:widowControl w:val="0"/>
              <w:kinsoku/>
              <w:wordWrap/>
              <w:overflowPunct/>
              <w:topLinePunct w:val="0"/>
              <w:autoSpaceDE/>
              <w:autoSpaceDN/>
              <w:bidi w:val="0"/>
              <w:adjustRightInd/>
              <w:snapToGrid/>
              <w:spacing w:line="360" w:lineRule="auto"/>
              <w:jc w:val="left"/>
              <w:textAlignment w:val="auto"/>
            </w:pPr>
          </w:p>
        </w:tc>
        <w:tc>
          <w:tcPr>
            <w:tcW w:w="965" w:type="dxa"/>
            <w:vAlign w:val="center"/>
          </w:tcPr>
          <w:p w14:paraId="569FA689">
            <w:pPr>
              <w:pStyle w:val="40"/>
              <w:spacing w:before="216" w:line="360" w:lineRule="auto"/>
              <w:ind w:left="127"/>
              <w:rPr>
                <w:highlight w:val="none"/>
              </w:rPr>
            </w:pPr>
            <w:r>
              <w:rPr>
                <w:spacing w:val="-4"/>
                <w:highlight w:val="none"/>
              </w:rPr>
              <w:t>应急突</w:t>
            </w:r>
          </w:p>
          <w:p w14:paraId="7563CAB5">
            <w:pPr>
              <w:pStyle w:val="40"/>
              <w:spacing w:before="24" w:line="360" w:lineRule="auto"/>
              <w:ind w:left="131"/>
              <w:rPr>
                <w:highlight w:val="none"/>
              </w:rPr>
            </w:pPr>
            <w:r>
              <w:rPr>
                <w:spacing w:val="-5"/>
                <w:highlight w:val="none"/>
              </w:rPr>
              <w:t>发事件</w:t>
            </w:r>
          </w:p>
          <w:p w14:paraId="3FCB3A5A">
            <w:pPr>
              <w:pStyle w:val="40"/>
              <w:spacing w:before="26" w:line="360" w:lineRule="auto"/>
              <w:ind w:left="132"/>
              <w:rPr>
                <w:highlight w:val="none"/>
              </w:rPr>
            </w:pPr>
            <w:r>
              <w:rPr>
                <w:spacing w:val="-5"/>
                <w:highlight w:val="none"/>
              </w:rPr>
              <w:t>处理措</w:t>
            </w:r>
          </w:p>
          <w:p w14:paraId="1650AB7A">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highlight w:val="none"/>
              </w:rPr>
              <w:t>施</w:t>
            </w:r>
          </w:p>
        </w:tc>
        <w:tc>
          <w:tcPr>
            <w:tcW w:w="6567" w:type="dxa"/>
            <w:vAlign w:val="top"/>
          </w:tcPr>
          <w:p w14:paraId="65FD63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b/>
                <w:bCs/>
                <w:lang w:val="en-US" w:eastAsia="zh-CN"/>
              </w:rPr>
              <w:t>一、评审内容</w:t>
            </w:r>
          </w:p>
          <w:p w14:paraId="7E054E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lang w:val="en-US" w:eastAsia="zh-CN"/>
              </w:rPr>
            </w:pPr>
            <w:r>
              <w:rPr>
                <w:rFonts w:hint="eastAsia"/>
                <w:lang w:val="en-US" w:eastAsia="zh-CN"/>
              </w:rPr>
              <w:t>提供项目应急预案包含但不限于①应急预案②</w:t>
            </w:r>
            <w:r>
              <w:rPr>
                <w:spacing w:val="-1"/>
                <w:highlight w:val="none"/>
              </w:rPr>
              <w:t>突发事件的处理措施方案</w:t>
            </w:r>
          </w:p>
          <w:p w14:paraId="2C616CC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b/>
                <w:bCs/>
                <w:lang w:val="en-US" w:eastAsia="zh-CN"/>
              </w:rPr>
              <w:t>二、评审标准</w:t>
            </w:r>
          </w:p>
          <w:p w14:paraId="5E15F11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1、完整性：方案必须全面，对评审内容中的各项要求有详细描述；</w:t>
            </w:r>
          </w:p>
          <w:p w14:paraId="32D847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2、可实施性：切合本项目实际情况，提出步骤清晰、合理的方案；</w:t>
            </w:r>
          </w:p>
          <w:p w14:paraId="4846D0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3、针对性：方案能够紧扣项目实际情况，内容科学合理。</w:t>
            </w:r>
          </w:p>
          <w:p w14:paraId="20F19D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b/>
                <w:bCs/>
                <w:lang w:val="en-US" w:eastAsia="zh-CN"/>
              </w:rPr>
              <w:t>三、赋分标准（满分9分）</w:t>
            </w:r>
          </w:p>
          <w:p w14:paraId="399CCB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①应急预案：每完全满足一个评审标准得2分，满分6分；</w:t>
            </w:r>
          </w:p>
          <w:p w14:paraId="715669B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②</w:t>
            </w:r>
            <w:r>
              <w:rPr>
                <w:spacing w:val="-1"/>
                <w:highlight w:val="none"/>
              </w:rPr>
              <w:t>突发事件的处理措施方案</w:t>
            </w:r>
            <w:r>
              <w:rPr>
                <w:rFonts w:hint="eastAsia"/>
                <w:lang w:val="en-US" w:eastAsia="zh-CN"/>
              </w:rPr>
              <w:t>：每完全满足一个评审标准得1分，满分3分。</w:t>
            </w:r>
          </w:p>
        </w:tc>
        <w:tc>
          <w:tcPr>
            <w:tcW w:w="830" w:type="dxa"/>
            <w:vAlign w:val="center"/>
          </w:tcPr>
          <w:p w14:paraId="4B546677">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lang w:val="en-US" w:eastAsia="zh-CN"/>
              </w:rPr>
              <w:t>9</w:t>
            </w:r>
            <w:r>
              <w:t>分</w:t>
            </w:r>
          </w:p>
        </w:tc>
      </w:tr>
      <w:tr w14:paraId="02E6D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1095" w:type="dxa"/>
            <w:vMerge w:val="continue"/>
            <w:tcBorders>
              <w:top w:val="nil"/>
              <w:left w:val="single" w:color="auto" w:sz="4" w:space="0"/>
              <w:bottom w:val="nil"/>
            </w:tcBorders>
            <w:vAlign w:val="top"/>
          </w:tcPr>
          <w:p w14:paraId="0092A19B">
            <w:pPr>
              <w:keepNext w:val="0"/>
              <w:keepLines w:val="0"/>
              <w:pageBreakBefore w:val="0"/>
              <w:widowControl w:val="0"/>
              <w:kinsoku/>
              <w:wordWrap/>
              <w:overflowPunct/>
              <w:topLinePunct w:val="0"/>
              <w:autoSpaceDE/>
              <w:autoSpaceDN/>
              <w:bidi w:val="0"/>
              <w:adjustRightInd/>
              <w:snapToGrid/>
              <w:spacing w:line="360" w:lineRule="auto"/>
              <w:jc w:val="left"/>
              <w:textAlignment w:val="auto"/>
            </w:pPr>
          </w:p>
        </w:tc>
        <w:tc>
          <w:tcPr>
            <w:tcW w:w="965" w:type="dxa"/>
            <w:vAlign w:val="top"/>
          </w:tcPr>
          <w:p w14:paraId="5FCD39A9">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hint="eastAsia"/>
              </w:rPr>
              <w:t>进度保 证措施</w:t>
            </w:r>
          </w:p>
        </w:tc>
        <w:tc>
          <w:tcPr>
            <w:tcW w:w="6567" w:type="dxa"/>
            <w:vAlign w:val="top"/>
          </w:tcPr>
          <w:p w14:paraId="6E87AF4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b/>
                <w:bCs/>
                <w:lang w:val="en-US" w:eastAsia="zh-CN"/>
              </w:rPr>
              <w:t>一、评审内容</w:t>
            </w:r>
          </w:p>
          <w:p w14:paraId="566FED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pacing w:val="-1"/>
                <w:highlight w:val="none"/>
                <w:lang w:val="en-US" w:eastAsia="zh-CN"/>
              </w:rPr>
            </w:pPr>
            <w:r>
              <w:rPr>
                <w:rFonts w:hint="eastAsia"/>
                <w:lang w:val="en-US" w:eastAsia="zh-CN"/>
              </w:rPr>
              <w:t>提供项目进度保证措施包含但不限于①</w:t>
            </w:r>
            <w:r>
              <w:rPr>
                <w:rFonts w:hint="eastAsia"/>
                <w:spacing w:val="4"/>
                <w:highlight w:val="none"/>
                <w:lang w:val="en-US" w:eastAsia="zh-CN"/>
              </w:rPr>
              <w:t>供货、配送进度</w:t>
            </w:r>
            <w:r>
              <w:rPr>
                <w:spacing w:val="4"/>
                <w:highlight w:val="none"/>
              </w:rPr>
              <w:t>计划</w:t>
            </w:r>
            <w:r>
              <w:rPr>
                <w:rFonts w:hint="eastAsia"/>
                <w:lang w:val="en-US" w:eastAsia="zh-CN"/>
              </w:rPr>
              <w:t>②极端环境</w:t>
            </w:r>
            <w:r>
              <w:rPr>
                <w:rFonts w:hint="eastAsia"/>
                <w:spacing w:val="-1"/>
                <w:highlight w:val="none"/>
                <w:lang w:val="en-US" w:eastAsia="zh-CN"/>
              </w:rPr>
              <w:t>进度保证措施</w:t>
            </w:r>
          </w:p>
          <w:p w14:paraId="08CA91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b/>
                <w:bCs/>
                <w:lang w:val="en-US" w:eastAsia="zh-CN"/>
              </w:rPr>
              <w:t>二、评审标准</w:t>
            </w:r>
          </w:p>
          <w:p w14:paraId="2F884E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1、完整性：方案必须全面，对评审内容中的各项要求有详细描述；</w:t>
            </w:r>
          </w:p>
          <w:p w14:paraId="426EE8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2、可实施性：切合本项目实际情况，提出步骤清晰、合理的方案；</w:t>
            </w:r>
          </w:p>
          <w:p w14:paraId="3A2DB6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3、针对性：方案能够紧扣项目实际情况，内容科学合理。</w:t>
            </w:r>
          </w:p>
          <w:p w14:paraId="3E830E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b/>
                <w:bCs/>
                <w:lang w:val="en-US" w:eastAsia="zh-CN"/>
              </w:rPr>
              <w:t>三、赋分标准（满分9分）</w:t>
            </w:r>
          </w:p>
          <w:p w14:paraId="6AB0AC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①</w:t>
            </w:r>
            <w:r>
              <w:rPr>
                <w:rFonts w:hint="eastAsia"/>
                <w:spacing w:val="4"/>
                <w:highlight w:val="none"/>
                <w:lang w:val="en-US" w:eastAsia="zh-CN"/>
              </w:rPr>
              <w:t>供货、配送进度</w:t>
            </w:r>
            <w:r>
              <w:rPr>
                <w:spacing w:val="4"/>
                <w:highlight w:val="none"/>
              </w:rPr>
              <w:t>计划</w:t>
            </w:r>
            <w:r>
              <w:rPr>
                <w:rFonts w:hint="eastAsia"/>
                <w:lang w:val="en-US" w:eastAsia="zh-CN"/>
              </w:rPr>
              <w:t>：每完全满足一个评审标准得2分，满分6分；</w:t>
            </w:r>
          </w:p>
          <w:p w14:paraId="275FDE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val="en-US" w:eastAsia="zh-CN"/>
              </w:rPr>
              <w:t>②极端环境</w:t>
            </w:r>
            <w:r>
              <w:rPr>
                <w:rFonts w:hint="eastAsia"/>
                <w:spacing w:val="-1"/>
                <w:highlight w:val="none"/>
                <w:lang w:val="en-US" w:eastAsia="zh-CN"/>
              </w:rPr>
              <w:t>进度保证措施</w:t>
            </w:r>
            <w:r>
              <w:rPr>
                <w:rFonts w:hint="eastAsia"/>
                <w:lang w:val="en-US" w:eastAsia="zh-CN"/>
              </w:rPr>
              <w:t>：每完全满足一个评审标准得1分，满分3分。</w:t>
            </w:r>
          </w:p>
        </w:tc>
        <w:tc>
          <w:tcPr>
            <w:tcW w:w="830" w:type="dxa"/>
            <w:vAlign w:val="center"/>
          </w:tcPr>
          <w:p w14:paraId="31AAEE03">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lang w:val="en-US" w:eastAsia="zh-CN"/>
              </w:rPr>
              <w:t>9</w:t>
            </w:r>
            <w:r>
              <w:t>分</w:t>
            </w:r>
          </w:p>
        </w:tc>
      </w:tr>
      <w:tr w14:paraId="0AFC3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1095" w:type="dxa"/>
            <w:vMerge w:val="continue"/>
            <w:tcBorders>
              <w:top w:val="nil"/>
              <w:left w:val="single" w:color="auto" w:sz="4" w:space="0"/>
              <w:bottom w:val="single" w:color="auto" w:sz="4" w:space="0"/>
            </w:tcBorders>
            <w:vAlign w:val="top"/>
          </w:tcPr>
          <w:p w14:paraId="74AB7E79">
            <w:pPr>
              <w:keepNext w:val="0"/>
              <w:keepLines w:val="0"/>
              <w:pageBreakBefore w:val="0"/>
              <w:widowControl w:val="0"/>
              <w:kinsoku/>
              <w:wordWrap/>
              <w:overflowPunct/>
              <w:topLinePunct w:val="0"/>
              <w:autoSpaceDE/>
              <w:autoSpaceDN/>
              <w:bidi w:val="0"/>
              <w:adjustRightInd/>
              <w:snapToGrid/>
              <w:spacing w:line="360" w:lineRule="auto"/>
              <w:jc w:val="left"/>
              <w:textAlignment w:val="auto"/>
            </w:pPr>
          </w:p>
        </w:tc>
        <w:tc>
          <w:tcPr>
            <w:tcW w:w="965" w:type="dxa"/>
            <w:tcBorders>
              <w:bottom w:val="single" w:color="auto" w:sz="4" w:space="0"/>
            </w:tcBorders>
            <w:vAlign w:val="top"/>
          </w:tcPr>
          <w:p w14:paraId="32E09AB0">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hint="eastAsia"/>
              </w:rPr>
              <w:t>渠道证明</w:t>
            </w:r>
          </w:p>
        </w:tc>
        <w:tc>
          <w:tcPr>
            <w:tcW w:w="6567" w:type="dxa"/>
            <w:vAlign w:val="top"/>
          </w:tcPr>
          <w:p w14:paraId="6B7EAFC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hAnsi="宋体" w:cs="宋体"/>
                <w:b w:val="0"/>
                <w:bCs w:val="0"/>
                <w:szCs w:val="24"/>
                <w:highlight w:val="none"/>
                <w:lang w:val="en-US" w:eastAsia="zh-CN"/>
              </w:rPr>
              <w:t>根据投标人提供</w:t>
            </w:r>
            <w:r>
              <w:rPr>
                <w:rFonts w:hint="default" w:hAnsi="宋体" w:cs="宋体"/>
                <w:b w:val="0"/>
                <w:bCs w:val="0"/>
                <w:szCs w:val="24"/>
                <w:highlight w:val="none"/>
                <w:lang w:val="en-US" w:eastAsia="zh-CN"/>
              </w:rPr>
              <w:t>所投</w:t>
            </w:r>
            <w:r>
              <w:rPr>
                <w:rFonts w:hint="eastAsia" w:hAnsi="宋体" w:cs="宋体"/>
                <w:b w:val="0"/>
                <w:bCs w:val="0"/>
                <w:szCs w:val="24"/>
                <w:highlight w:val="none"/>
                <w:lang w:val="en-US" w:eastAsia="zh-CN"/>
              </w:rPr>
              <w:t>产品</w:t>
            </w:r>
            <w:r>
              <w:rPr>
                <w:rFonts w:hint="default" w:hAnsi="宋体" w:cs="宋体"/>
                <w:b w:val="0"/>
                <w:bCs w:val="0"/>
                <w:szCs w:val="24"/>
                <w:highlight w:val="none"/>
                <w:lang w:val="en-US" w:eastAsia="zh-CN"/>
              </w:rPr>
              <w:t>的合法来源渠道证明文件或情况说明</w:t>
            </w:r>
            <w:r>
              <w:rPr>
                <w:rFonts w:hint="eastAsia" w:hAnsi="宋体" w:cs="宋体"/>
                <w:b w:val="0"/>
                <w:bCs w:val="0"/>
                <w:szCs w:val="24"/>
                <w:highlight w:val="none"/>
                <w:lang w:val="en-US" w:eastAsia="zh-CN"/>
              </w:rPr>
              <w:t>的数量综合赋分，</w:t>
            </w:r>
            <w:r>
              <w:rPr>
                <w:rFonts w:hint="eastAsia" w:ascii="宋体" w:hAnsi="宋体" w:eastAsia="宋体" w:cs="宋体"/>
                <w:color w:val="000000"/>
                <w:kern w:val="0"/>
                <w:sz w:val="24"/>
                <w:szCs w:val="24"/>
                <w:highlight w:val="none"/>
                <w:lang w:val="en-US" w:eastAsia="zh-CN" w:bidi="ar"/>
              </w:rPr>
              <w:t>计</w:t>
            </w:r>
            <w:r>
              <w:rPr>
                <w:rFonts w:hint="eastAsia" w:hAnsi="宋体" w:cs="宋体"/>
                <w:color w:val="000000"/>
                <w:kern w:val="0"/>
                <w:sz w:val="24"/>
                <w:szCs w:val="24"/>
                <w:highlight w:val="none"/>
                <w:lang w:val="en-US" w:eastAsia="zh-CN" w:bidi="ar"/>
              </w:rPr>
              <w:t>0</w:t>
            </w:r>
            <w:r>
              <w:rPr>
                <w:rFonts w:hint="eastAsia"/>
                <w:color w:val="auto"/>
                <w:highlight w:val="none"/>
              </w:rPr>
              <w:t>～</w:t>
            </w:r>
            <w:r>
              <w:rPr>
                <w:rFonts w:hint="eastAsia"/>
                <w:color w:val="auto"/>
                <w:highlight w:val="none"/>
                <w:lang w:val="en-US" w:eastAsia="zh-CN"/>
              </w:rPr>
              <w:t>6</w:t>
            </w:r>
            <w:r>
              <w:rPr>
                <w:rFonts w:hint="eastAsia"/>
                <w:color w:val="auto"/>
                <w:highlight w:val="none"/>
              </w:rPr>
              <w:t>分</w:t>
            </w:r>
            <w:r>
              <w:rPr>
                <w:rFonts w:hint="eastAsia"/>
                <w:color w:val="auto"/>
                <w:highlight w:val="none"/>
                <w:lang w:eastAsia="zh-CN"/>
              </w:rPr>
              <w:t>，</w:t>
            </w:r>
            <w:r>
              <w:rPr>
                <w:rFonts w:hint="eastAsia" w:hAnsi="宋体" w:cs="宋体"/>
                <w:b w:val="0"/>
                <w:bCs w:val="0"/>
                <w:szCs w:val="24"/>
                <w:highlight w:val="none"/>
                <w:lang w:val="en-US" w:eastAsia="zh-CN"/>
              </w:rPr>
              <w:t>不提供不得分。</w:t>
            </w:r>
            <w:r>
              <w:rPr>
                <w:rFonts w:hint="default" w:hAnsi="宋体" w:cs="宋体"/>
                <w:b w:val="0"/>
                <w:bCs w:val="0"/>
                <w:szCs w:val="24"/>
                <w:highlight w:val="none"/>
                <w:lang w:val="en-US" w:eastAsia="zh-CN"/>
              </w:rPr>
              <w:t>（</w:t>
            </w:r>
            <w:r>
              <w:rPr>
                <w:rFonts w:hint="eastAsia" w:hAnsi="宋体" w:cs="宋体"/>
                <w:b w:val="0"/>
                <w:bCs w:val="0"/>
                <w:szCs w:val="24"/>
                <w:highlight w:val="none"/>
                <w:lang w:val="en-US" w:eastAsia="zh-CN"/>
              </w:rPr>
              <w:t>需提供证明材料，包括但不限于：</w:t>
            </w:r>
            <w:r>
              <w:rPr>
                <w:rFonts w:hint="default" w:hAnsi="宋体" w:cs="宋体"/>
                <w:b w:val="0"/>
                <w:bCs w:val="0"/>
                <w:szCs w:val="24"/>
                <w:highlight w:val="none"/>
                <w:lang w:val="en-US" w:eastAsia="zh-CN"/>
              </w:rPr>
              <w:t>产品制造商授权、销售协议、代理协议等证明文件）</w:t>
            </w:r>
            <w:r>
              <w:rPr>
                <w:rFonts w:hint="eastAsia" w:hAnsi="宋体" w:cs="宋体"/>
                <w:b w:val="0"/>
                <w:bCs w:val="0"/>
                <w:szCs w:val="24"/>
                <w:highlight w:val="none"/>
                <w:lang w:val="en-US" w:eastAsia="zh-CN"/>
              </w:rPr>
              <w:t>，并且加盖公章</w:t>
            </w:r>
            <w:r>
              <w:rPr>
                <w:rFonts w:hint="default" w:hAnsi="宋体" w:cs="宋体"/>
                <w:b w:val="0"/>
                <w:bCs w:val="0"/>
                <w:szCs w:val="24"/>
                <w:highlight w:val="none"/>
                <w:lang w:val="en-US" w:eastAsia="zh-CN"/>
              </w:rPr>
              <w:t>。</w:t>
            </w:r>
          </w:p>
        </w:tc>
        <w:tc>
          <w:tcPr>
            <w:tcW w:w="830" w:type="dxa"/>
            <w:vAlign w:val="center"/>
          </w:tcPr>
          <w:p w14:paraId="3F1EA345">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lang w:val="en-US" w:eastAsia="zh-CN"/>
              </w:rPr>
              <w:t>6</w:t>
            </w:r>
            <w:r>
              <w:t>分</w:t>
            </w:r>
          </w:p>
        </w:tc>
      </w:tr>
      <w:tr w14:paraId="20920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095" w:type="dxa"/>
            <w:vMerge w:val="restart"/>
            <w:tcBorders>
              <w:top w:val="single" w:color="auto" w:sz="4" w:space="0"/>
              <w:left w:val="single" w:color="auto" w:sz="4" w:space="0"/>
              <w:bottom w:val="single" w:color="auto" w:sz="4" w:space="0"/>
              <w:right w:val="single" w:color="auto" w:sz="4" w:space="0"/>
            </w:tcBorders>
            <w:vAlign w:val="center"/>
          </w:tcPr>
          <w:p w14:paraId="0A7EADB5">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t>履约能力</w:t>
            </w:r>
          </w:p>
          <w:p w14:paraId="1E240B5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t>（</w:t>
            </w:r>
            <w:r>
              <w:rPr>
                <w:rFonts w:hint="eastAsia"/>
                <w:lang w:val="en-US" w:eastAsia="zh-CN"/>
              </w:rPr>
              <w:t>14</w:t>
            </w:r>
            <w:r>
              <w:t>分</w:t>
            </w:r>
            <w:r>
              <w:rPr>
                <w:rFonts w:hint="eastAsia"/>
                <w:lang w:eastAsia="zh-CN"/>
              </w:rPr>
              <w:t>）</w:t>
            </w:r>
          </w:p>
        </w:tc>
        <w:tc>
          <w:tcPr>
            <w:tcW w:w="965" w:type="dxa"/>
            <w:tcBorders>
              <w:top w:val="single" w:color="auto" w:sz="4" w:space="0"/>
              <w:left w:val="single" w:color="auto" w:sz="4" w:space="0"/>
              <w:bottom w:val="single" w:color="auto" w:sz="4" w:space="0"/>
              <w:right w:val="single" w:color="auto" w:sz="4" w:space="0"/>
            </w:tcBorders>
            <w:vAlign w:val="center"/>
          </w:tcPr>
          <w:p w14:paraId="391213BF">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t>人员配备计划</w:t>
            </w:r>
          </w:p>
        </w:tc>
        <w:tc>
          <w:tcPr>
            <w:tcW w:w="6567" w:type="dxa"/>
            <w:tcBorders>
              <w:left w:val="single" w:color="auto" w:sz="4" w:space="0"/>
            </w:tcBorders>
            <w:vAlign w:val="center"/>
          </w:tcPr>
          <w:p w14:paraId="1E459D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b/>
                <w:bCs/>
                <w:lang w:val="en-US" w:eastAsia="zh-CN"/>
              </w:rPr>
              <w:t>一、评审内容</w:t>
            </w:r>
          </w:p>
          <w:p w14:paraId="526CCD70">
            <w:pPr>
              <w:keepNext w:val="0"/>
              <w:keepLines w:val="0"/>
              <w:pageBreakBefore w:val="0"/>
              <w:widowControl w:val="0"/>
              <w:kinsoku/>
              <w:wordWrap/>
              <w:overflowPunct/>
              <w:topLinePunct w:val="0"/>
              <w:autoSpaceDE/>
              <w:autoSpaceDN/>
              <w:bidi w:val="0"/>
              <w:adjustRightInd/>
              <w:snapToGrid/>
              <w:spacing w:line="360" w:lineRule="auto"/>
              <w:jc w:val="left"/>
              <w:textAlignment w:val="auto"/>
              <w:rPr>
                <w:spacing w:val="-3"/>
                <w:highlight w:val="none"/>
              </w:rPr>
            </w:pPr>
            <w:r>
              <w:rPr>
                <w:rFonts w:hint="eastAsia"/>
                <w:lang w:val="en-US" w:eastAsia="zh-CN"/>
              </w:rPr>
              <w:t>提供项目人员配备计划包含但不限于①</w:t>
            </w:r>
            <w:r>
              <w:rPr>
                <w:spacing w:val="-3"/>
                <w:highlight w:val="none"/>
              </w:rPr>
              <w:t>人员配备计划</w:t>
            </w:r>
            <w:r>
              <w:rPr>
                <w:rFonts w:hint="eastAsia"/>
                <w:lang w:val="en-US" w:eastAsia="zh-CN"/>
              </w:rPr>
              <w:t>②</w:t>
            </w:r>
            <w:r>
              <w:rPr>
                <w:spacing w:val="-3"/>
                <w:highlight w:val="none"/>
              </w:rPr>
              <w:t>运输派送等措施</w:t>
            </w:r>
          </w:p>
          <w:p w14:paraId="1D4D66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b/>
                <w:bCs/>
                <w:lang w:val="en-US" w:eastAsia="zh-CN"/>
              </w:rPr>
              <w:t>二、评审标准</w:t>
            </w:r>
          </w:p>
          <w:p w14:paraId="3769FA5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1、完整性：方案必须全面，对评审内容中的各项要求有详细描述；</w:t>
            </w:r>
          </w:p>
          <w:p w14:paraId="6B8B470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2、可实施性：切合本项目实际情况，提出步骤清晰、合理的方案；</w:t>
            </w:r>
          </w:p>
          <w:p w14:paraId="591029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3、针对性：方案能够紧扣项目实际情况，内容科学合理。</w:t>
            </w:r>
          </w:p>
          <w:p w14:paraId="36C423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b/>
                <w:bCs/>
                <w:lang w:val="en-US" w:eastAsia="zh-CN"/>
              </w:rPr>
              <w:t>三、赋分标准（满分9分）</w:t>
            </w:r>
          </w:p>
          <w:p w14:paraId="71BB608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①</w:t>
            </w:r>
            <w:r>
              <w:rPr>
                <w:spacing w:val="-3"/>
                <w:highlight w:val="none"/>
              </w:rPr>
              <w:t>人员配备计划</w:t>
            </w:r>
            <w:r>
              <w:rPr>
                <w:rFonts w:hint="eastAsia"/>
                <w:lang w:val="en-US" w:eastAsia="zh-CN"/>
              </w:rPr>
              <w:t>：每完全满足一个评审标准得2分，满分6分；</w:t>
            </w:r>
          </w:p>
          <w:p w14:paraId="103DBD02">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hint="eastAsia"/>
                <w:lang w:val="en-US" w:eastAsia="zh-CN"/>
              </w:rPr>
              <w:t>②</w:t>
            </w:r>
            <w:r>
              <w:rPr>
                <w:spacing w:val="-3"/>
                <w:highlight w:val="none"/>
              </w:rPr>
              <w:t>运输派送等措施</w:t>
            </w:r>
            <w:r>
              <w:rPr>
                <w:rFonts w:hint="eastAsia"/>
                <w:lang w:val="en-US" w:eastAsia="zh-CN"/>
              </w:rPr>
              <w:t>：每完全满足一个评审标准得1分，满分3分。</w:t>
            </w:r>
          </w:p>
        </w:tc>
        <w:tc>
          <w:tcPr>
            <w:tcW w:w="830" w:type="dxa"/>
            <w:vAlign w:val="center"/>
          </w:tcPr>
          <w:p w14:paraId="2797A9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9分</w:t>
            </w:r>
          </w:p>
        </w:tc>
      </w:tr>
      <w:tr w14:paraId="4BB89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1095" w:type="dxa"/>
            <w:vMerge w:val="continue"/>
            <w:tcBorders>
              <w:top w:val="single" w:color="auto" w:sz="4" w:space="0"/>
              <w:left w:val="single" w:color="auto" w:sz="4" w:space="0"/>
            </w:tcBorders>
            <w:vAlign w:val="top"/>
          </w:tcPr>
          <w:p w14:paraId="4D6DFC5F">
            <w:pPr>
              <w:keepNext w:val="0"/>
              <w:keepLines w:val="0"/>
              <w:pageBreakBefore w:val="0"/>
              <w:widowControl w:val="0"/>
              <w:kinsoku/>
              <w:wordWrap/>
              <w:overflowPunct/>
              <w:topLinePunct w:val="0"/>
              <w:autoSpaceDE/>
              <w:autoSpaceDN/>
              <w:bidi w:val="0"/>
              <w:adjustRightInd/>
              <w:snapToGrid/>
              <w:spacing w:line="360" w:lineRule="auto"/>
              <w:jc w:val="left"/>
              <w:textAlignment w:val="auto"/>
            </w:pPr>
          </w:p>
        </w:tc>
        <w:tc>
          <w:tcPr>
            <w:tcW w:w="965" w:type="dxa"/>
            <w:tcBorders>
              <w:top w:val="single" w:color="auto" w:sz="4" w:space="0"/>
            </w:tcBorders>
            <w:vAlign w:val="center"/>
          </w:tcPr>
          <w:p w14:paraId="6A324694">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hint="eastAsia"/>
                <w:lang w:eastAsia="zh-CN"/>
              </w:rPr>
              <w:t>售后服务</w:t>
            </w:r>
          </w:p>
        </w:tc>
        <w:tc>
          <w:tcPr>
            <w:tcW w:w="6567" w:type="dxa"/>
            <w:vAlign w:val="center"/>
          </w:tcPr>
          <w:p w14:paraId="367ADA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bCs/>
                <w:lang w:eastAsia="zh-CN"/>
              </w:rPr>
            </w:pPr>
            <w:r>
              <w:rPr>
                <w:rFonts w:hint="eastAsia" w:ascii="宋体" w:hAnsi="Times New Roman" w:eastAsia="宋体" w:cs="Times New Roman"/>
                <w:b/>
                <w:bCs/>
                <w:sz w:val="24"/>
                <w:lang w:val="en-US" w:eastAsia="zh-CN" w:bidi="ar-SA"/>
              </w:rPr>
              <w:t>一、</w:t>
            </w:r>
            <w:r>
              <w:rPr>
                <w:rFonts w:hint="eastAsia"/>
                <w:b/>
                <w:bCs/>
                <w:lang w:eastAsia="zh-CN"/>
              </w:rPr>
              <w:t>评审内容</w:t>
            </w:r>
          </w:p>
          <w:p w14:paraId="291CB7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lang w:eastAsia="zh-CN"/>
              </w:rPr>
            </w:pPr>
            <w:r>
              <w:rPr>
                <w:rFonts w:hint="eastAsia"/>
                <w:lang w:eastAsia="zh-CN"/>
              </w:rPr>
              <w:t>根据项目实际需求，提供针对本项目的售后服务方案，方案内容包含①</w:t>
            </w:r>
            <w:r>
              <w:rPr>
                <w:rFonts w:hint="eastAsia"/>
                <w:color w:val="auto"/>
                <w:highlight w:val="none"/>
              </w:rPr>
              <w:t>售后服务机构</w:t>
            </w:r>
            <w:r>
              <w:rPr>
                <w:rFonts w:hint="eastAsia"/>
                <w:lang w:eastAsia="zh-CN"/>
              </w:rPr>
              <w:t>②</w:t>
            </w:r>
            <w:r>
              <w:rPr>
                <w:rFonts w:hint="eastAsia"/>
                <w:color w:val="auto"/>
                <w:highlight w:val="none"/>
              </w:rPr>
              <w:t>售后服务方案</w:t>
            </w:r>
          </w:p>
          <w:p w14:paraId="2295525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bCs/>
                <w:lang w:eastAsia="zh-CN"/>
              </w:rPr>
            </w:pPr>
            <w:r>
              <w:rPr>
                <w:rFonts w:hint="eastAsia" w:ascii="宋体" w:hAnsi="Times New Roman" w:eastAsia="宋体" w:cs="Times New Roman"/>
                <w:b/>
                <w:bCs/>
                <w:sz w:val="24"/>
                <w:lang w:val="en-US" w:eastAsia="zh-CN" w:bidi="ar-SA"/>
              </w:rPr>
              <w:t>二、</w:t>
            </w:r>
            <w:r>
              <w:rPr>
                <w:rFonts w:hint="eastAsia"/>
                <w:b/>
                <w:bCs/>
                <w:lang w:eastAsia="zh-CN"/>
              </w:rPr>
              <w:t>评审标准</w:t>
            </w:r>
          </w:p>
          <w:p w14:paraId="0A15A0F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t>1、完整性：方案必须全面，对评审内容中的各项要求有详细描述；</w:t>
            </w:r>
          </w:p>
          <w:p w14:paraId="382148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t>2、可实施性：切合本项目实际情况，提出步骤清晰、合理的方案；</w:t>
            </w:r>
          </w:p>
          <w:p w14:paraId="517F94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t>3、针对性：方案能够紧扣项目实际情况，内容科学合理。</w:t>
            </w:r>
          </w:p>
          <w:p w14:paraId="51B0BA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bCs/>
                <w:lang w:eastAsia="zh-CN"/>
              </w:rPr>
            </w:pPr>
            <w:r>
              <w:rPr>
                <w:rFonts w:hint="eastAsia"/>
                <w:b/>
                <w:bCs/>
                <w:lang w:eastAsia="zh-CN"/>
              </w:rPr>
              <w:t>三、赋分标准（满分6分）</w:t>
            </w:r>
          </w:p>
          <w:p w14:paraId="4B36AE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t>①</w:t>
            </w:r>
            <w:r>
              <w:rPr>
                <w:rFonts w:hint="eastAsia"/>
                <w:color w:val="auto"/>
                <w:highlight w:val="none"/>
              </w:rPr>
              <w:t>售后服务机构</w:t>
            </w:r>
            <w:r>
              <w:rPr>
                <w:rFonts w:hint="eastAsia"/>
                <w:lang w:eastAsia="zh-CN"/>
              </w:rPr>
              <w:t>； 每完全满足一个评审标准得</w:t>
            </w:r>
            <w:r>
              <w:rPr>
                <w:rFonts w:hint="eastAsia"/>
                <w:lang w:val="en-US" w:eastAsia="zh-CN"/>
              </w:rPr>
              <w:t>1</w:t>
            </w:r>
            <w:r>
              <w:rPr>
                <w:rFonts w:hint="eastAsia"/>
                <w:lang w:eastAsia="zh-CN"/>
              </w:rPr>
              <w:t>分，满分</w:t>
            </w:r>
            <w:r>
              <w:rPr>
                <w:rFonts w:hint="eastAsia"/>
                <w:lang w:val="en-US" w:eastAsia="zh-CN"/>
              </w:rPr>
              <w:t>3</w:t>
            </w:r>
            <w:r>
              <w:rPr>
                <w:rFonts w:hint="eastAsia"/>
                <w:lang w:eastAsia="zh-CN"/>
              </w:rPr>
              <w:t>分；</w:t>
            </w:r>
          </w:p>
          <w:p w14:paraId="0BDB1B9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t>②</w:t>
            </w:r>
            <w:r>
              <w:rPr>
                <w:rFonts w:hint="eastAsia"/>
                <w:color w:val="auto"/>
                <w:highlight w:val="none"/>
              </w:rPr>
              <w:t>售后服务方案</w:t>
            </w:r>
            <w:r>
              <w:rPr>
                <w:rFonts w:hint="eastAsia"/>
                <w:lang w:eastAsia="zh-CN"/>
              </w:rPr>
              <w:t>：每完全满足一个评审标准得</w:t>
            </w:r>
            <w:r>
              <w:rPr>
                <w:rFonts w:hint="eastAsia"/>
                <w:lang w:val="en-US" w:eastAsia="zh-CN"/>
              </w:rPr>
              <w:t>1</w:t>
            </w:r>
            <w:r>
              <w:rPr>
                <w:rFonts w:hint="eastAsia"/>
                <w:lang w:eastAsia="zh-CN"/>
              </w:rPr>
              <w:t>分，满分</w:t>
            </w:r>
            <w:r>
              <w:rPr>
                <w:rFonts w:hint="eastAsia"/>
                <w:lang w:val="en-US" w:eastAsia="zh-CN"/>
              </w:rPr>
              <w:t>3</w:t>
            </w:r>
            <w:r>
              <w:rPr>
                <w:rFonts w:hint="eastAsia"/>
                <w:lang w:eastAsia="zh-CN"/>
              </w:rPr>
              <w:t>分；</w:t>
            </w:r>
          </w:p>
        </w:tc>
        <w:tc>
          <w:tcPr>
            <w:tcW w:w="830" w:type="dxa"/>
            <w:vAlign w:val="center"/>
          </w:tcPr>
          <w:p w14:paraId="59491C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6分</w:t>
            </w:r>
          </w:p>
        </w:tc>
      </w:tr>
      <w:tr w14:paraId="51B90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1095" w:type="dxa"/>
            <w:vMerge w:val="continue"/>
            <w:tcBorders>
              <w:left w:val="single" w:color="auto" w:sz="4" w:space="0"/>
            </w:tcBorders>
            <w:vAlign w:val="top"/>
          </w:tcPr>
          <w:p w14:paraId="578A9CD5">
            <w:pPr>
              <w:keepNext w:val="0"/>
              <w:keepLines w:val="0"/>
              <w:pageBreakBefore w:val="0"/>
              <w:widowControl w:val="0"/>
              <w:kinsoku/>
              <w:wordWrap/>
              <w:overflowPunct/>
              <w:topLinePunct w:val="0"/>
              <w:autoSpaceDE/>
              <w:autoSpaceDN/>
              <w:bidi w:val="0"/>
              <w:adjustRightInd/>
              <w:snapToGrid/>
              <w:spacing w:line="360" w:lineRule="auto"/>
              <w:jc w:val="left"/>
              <w:textAlignment w:val="auto"/>
            </w:pPr>
          </w:p>
        </w:tc>
        <w:tc>
          <w:tcPr>
            <w:tcW w:w="965" w:type="dxa"/>
            <w:vAlign w:val="center"/>
          </w:tcPr>
          <w:p w14:paraId="33BA35F0">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t>业绩</w:t>
            </w:r>
          </w:p>
        </w:tc>
        <w:tc>
          <w:tcPr>
            <w:tcW w:w="6567" w:type="dxa"/>
            <w:vAlign w:val="center"/>
          </w:tcPr>
          <w:p w14:paraId="7F3421B9">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t>提供20</w:t>
            </w:r>
            <w:r>
              <w:rPr>
                <w:rFonts w:hint="eastAsia"/>
                <w:lang w:val="en-US" w:eastAsia="zh-CN"/>
              </w:rPr>
              <w:t>22</w:t>
            </w:r>
            <w:r>
              <w:t>年以后的类似项目业绩，每提供一份计</w:t>
            </w:r>
            <w:r>
              <w:rPr>
                <w:rFonts w:hint="eastAsia"/>
                <w:lang w:val="en-US" w:eastAsia="zh-CN"/>
              </w:rPr>
              <w:t>3</w:t>
            </w:r>
            <w:r>
              <w:t>分，满分</w:t>
            </w:r>
            <w:r>
              <w:rPr>
                <w:rFonts w:hint="eastAsia"/>
                <w:lang w:val="en-US" w:eastAsia="zh-CN"/>
              </w:rPr>
              <w:t>6</w:t>
            </w:r>
            <w:r>
              <w:t>分（业绩以</w:t>
            </w:r>
            <w:r>
              <w:rPr>
                <w:rFonts w:hint="eastAsia"/>
                <w:lang w:val="en-US" w:eastAsia="zh-CN"/>
              </w:rPr>
              <w:t>中标通知书或</w:t>
            </w:r>
            <w:r>
              <w:t>合同复印件为依据）。</w:t>
            </w:r>
          </w:p>
        </w:tc>
        <w:tc>
          <w:tcPr>
            <w:tcW w:w="830" w:type="dxa"/>
            <w:vAlign w:val="center"/>
          </w:tcPr>
          <w:p w14:paraId="179188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6分</w:t>
            </w:r>
          </w:p>
        </w:tc>
      </w:tr>
    </w:tbl>
    <w:p w14:paraId="201C0CF9">
      <w:pPr>
        <w:spacing w:line="460" w:lineRule="exact"/>
        <w:rPr>
          <w:rFonts w:hint="eastAsia" w:hAnsi="宋体" w:cs="宋体"/>
          <w:b/>
          <w:spacing w:val="4"/>
          <w:sz w:val="28"/>
          <w:szCs w:val="24"/>
          <w:highlight w:val="none"/>
        </w:rPr>
      </w:pPr>
    </w:p>
    <w:p w14:paraId="2C0BA381">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297B3D1A">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2A5C0F0E">
      <w:pPr>
        <w:spacing w:line="460" w:lineRule="exact"/>
        <w:ind w:firstLine="496" w:firstLineChars="200"/>
        <w:rPr>
          <w:rFonts w:hAnsi="宋体" w:cs="宋体"/>
          <w:spacing w:val="4"/>
          <w:szCs w:val="24"/>
          <w:highlight w:val="none"/>
        </w:rPr>
      </w:pPr>
      <w:r>
        <w:rPr>
          <w:rFonts w:hint="eastAsia" w:hAnsi="宋体" w:cs="宋体"/>
          <w:spacing w:val="4"/>
          <w:szCs w:val="24"/>
          <w:highlight w:val="none"/>
        </w:rPr>
        <w:t>2、采购人根据评标报告中推荐的成交候选人排列顺序确定供应商，以复函通知招标代理机构。</w:t>
      </w:r>
    </w:p>
    <w:p w14:paraId="1B948ACB">
      <w:pPr>
        <w:rPr>
          <w:rFonts w:hAnsi="宋体" w:cs="宋体"/>
          <w:highlight w:val="none"/>
        </w:rPr>
      </w:pPr>
    </w:p>
    <w:p w14:paraId="70290A71">
      <w:pPr>
        <w:pStyle w:val="17"/>
        <w:spacing w:line="360" w:lineRule="auto"/>
        <w:ind w:left="0" w:leftChars="0" w:firstLine="0" w:firstLineChars="0"/>
        <w:rPr>
          <w:rFonts w:cs="宋体"/>
          <w:b/>
          <w:sz w:val="24"/>
          <w:szCs w:val="24"/>
          <w:highlight w:val="none"/>
        </w:rPr>
      </w:pPr>
      <w:r>
        <w:rPr>
          <w:rFonts w:hint="eastAsia" w:cs="宋体"/>
          <w:b/>
          <w:sz w:val="24"/>
          <w:szCs w:val="24"/>
          <w:highlight w:val="none"/>
        </w:rPr>
        <w:br w:type="page"/>
      </w:r>
    </w:p>
    <w:p w14:paraId="319AA112">
      <w:pPr>
        <w:pStyle w:val="2"/>
        <w:jc w:val="center"/>
        <w:rPr>
          <w:rFonts w:ascii="宋体" w:eastAsia="宋体" w:cs="宋体"/>
          <w:bCs/>
          <w:sz w:val="36"/>
          <w:szCs w:val="36"/>
          <w:highlight w:val="none"/>
        </w:rPr>
      </w:pPr>
      <w:bookmarkStart w:id="84" w:name="_Toc8788"/>
      <w:bookmarkStart w:id="85" w:name="_Toc11680"/>
      <w:bookmarkStart w:id="86" w:name="_Toc10029"/>
      <w:r>
        <w:rPr>
          <w:rFonts w:hint="eastAsia" w:ascii="宋体" w:eastAsia="宋体" w:cs="宋体"/>
          <w:bCs/>
          <w:sz w:val="36"/>
          <w:szCs w:val="36"/>
          <w:highlight w:val="none"/>
        </w:rPr>
        <w:t>第四章  合同条款及格式</w:t>
      </w:r>
      <w:bookmarkEnd w:id="62"/>
      <w:bookmarkEnd w:id="63"/>
      <w:bookmarkEnd w:id="64"/>
      <w:bookmarkEnd w:id="84"/>
      <w:bookmarkEnd w:id="85"/>
      <w:bookmarkEnd w:id="86"/>
    </w:p>
    <w:p w14:paraId="28B1A324">
      <w:pPr>
        <w:tabs>
          <w:tab w:val="left" w:pos="210"/>
          <w:tab w:val="left" w:pos="525"/>
        </w:tabs>
        <w:spacing w:line="360" w:lineRule="auto"/>
        <w:jc w:val="center"/>
        <w:outlineLvl w:val="1"/>
        <w:rPr>
          <w:rFonts w:hAnsi="宋体" w:cs="宋体"/>
          <w:sz w:val="32"/>
          <w:szCs w:val="32"/>
          <w:highlight w:val="none"/>
        </w:rPr>
      </w:pPr>
      <w:bookmarkStart w:id="87" w:name="_Toc23705"/>
      <w:bookmarkStart w:id="88" w:name="_Toc32476"/>
      <w:bookmarkStart w:id="89" w:name="_Toc3424"/>
      <w:bookmarkStart w:id="90" w:name="_Toc24218"/>
      <w:r>
        <w:rPr>
          <w:rFonts w:hint="eastAsia" w:hAnsi="宋体" w:cs="宋体"/>
          <w:b/>
          <w:bCs/>
          <w:sz w:val="32"/>
          <w:szCs w:val="32"/>
          <w:highlight w:val="none"/>
        </w:rPr>
        <w:t>合同前附表</w:t>
      </w:r>
      <w:bookmarkEnd w:id="87"/>
      <w:bookmarkEnd w:id="88"/>
      <w:bookmarkEnd w:id="89"/>
      <w:bookmarkEnd w:id="90"/>
    </w:p>
    <w:p w14:paraId="64238831">
      <w:pPr>
        <w:rPr>
          <w:rFonts w:hAnsi="宋体" w:cs="宋体"/>
          <w:highlight w:val="none"/>
        </w:rPr>
      </w:pPr>
    </w:p>
    <w:p w14:paraId="45A4CFF0">
      <w:pPr>
        <w:rPr>
          <w:rFonts w:hAnsi="宋体" w:cs="宋体"/>
          <w:szCs w:val="24"/>
          <w:highlight w:val="none"/>
        </w:rPr>
      </w:pPr>
      <w:r>
        <w:rPr>
          <w:rFonts w:hint="eastAsia" w:hAnsi="宋体" w:cs="宋体"/>
          <w:szCs w:val="24"/>
          <w:highlight w:val="none"/>
        </w:rPr>
        <w:t>本表是对合同条款的具体补充和修改，如有矛盾，应以本资料表为准。</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09730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171" w:type="dxa"/>
            <w:vAlign w:val="center"/>
          </w:tcPr>
          <w:p w14:paraId="4C82360C">
            <w:pPr>
              <w:spacing w:line="360" w:lineRule="auto"/>
              <w:jc w:val="center"/>
              <w:rPr>
                <w:rFonts w:hAnsi="宋体" w:cs="宋体"/>
                <w:szCs w:val="24"/>
                <w:highlight w:val="none"/>
              </w:rPr>
            </w:pPr>
            <w:r>
              <w:rPr>
                <w:rFonts w:hint="eastAsia" w:hAnsi="宋体" w:cs="宋体"/>
                <w:szCs w:val="24"/>
                <w:highlight w:val="none"/>
              </w:rPr>
              <w:t>条款号</w:t>
            </w:r>
          </w:p>
        </w:tc>
        <w:tc>
          <w:tcPr>
            <w:tcW w:w="8181" w:type="dxa"/>
            <w:vAlign w:val="center"/>
          </w:tcPr>
          <w:p w14:paraId="17E22192">
            <w:pPr>
              <w:spacing w:line="360" w:lineRule="auto"/>
              <w:jc w:val="center"/>
              <w:rPr>
                <w:rFonts w:hAnsi="宋体" w:cs="宋体"/>
                <w:szCs w:val="24"/>
                <w:highlight w:val="none"/>
              </w:rPr>
            </w:pPr>
            <w:r>
              <w:rPr>
                <w:rFonts w:hint="eastAsia" w:hAnsi="宋体" w:cs="宋体"/>
                <w:szCs w:val="24"/>
                <w:highlight w:val="none"/>
              </w:rPr>
              <w:t>内      容</w:t>
            </w:r>
          </w:p>
        </w:tc>
      </w:tr>
      <w:tr w14:paraId="47927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3" w:hRule="exact"/>
        </w:trPr>
        <w:tc>
          <w:tcPr>
            <w:tcW w:w="1171" w:type="dxa"/>
            <w:vAlign w:val="center"/>
          </w:tcPr>
          <w:p w14:paraId="2179EF2B">
            <w:pPr>
              <w:spacing w:line="360" w:lineRule="auto"/>
              <w:jc w:val="center"/>
              <w:rPr>
                <w:rFonts w:hAnsi="宋体" w:cs="宋体"/>
                <w:szCs w:val="24"/>
                <w:highlight w:val="none"/>
              </w:rPr>
            </w:pPr>
            <w:r>
              <w:rPr>
                <w:rFonts w:hint="eastAsia" w:hAnsi="宋体" w:cs="宋体"/>
                <w:szCs w:val="24"/>
                <w:highlight w:val="none"/>
              </w:rPr>
              <w:t>1</w:t>
            </w:r>
          </w:p>
        </w:tc>
        <w:tc>
          <w:tcPr>
            <w:tcW w:w="8181" w:type="dxa"/>
            <w:vAlign w:val="center"/>
          </w:tcPr>
          <w:p w14:paraId="6A4F3C6D">
            <w:pPr>
              <w:spacing w:line="360" w:lineRule="auto"/>
              <w:rPr>
                <w:rFonts w:hint="eastAsia" w:hAnsi="宋体" w:cs="宋体"/>
                <w:szCs w:val="24"/>
                <w:highlight w:val="none"/>
                <w:lang w:eastAsia="zh-CN"/>
              </w:rPr>
            </w:pPr>
            <w:r>
              <w:rPr>
                <w:rFonts w:hint="eastAsia" w:hAnsi="宋体" w:cs="宋体"/>
                <w:szCs w:val="24"/>
                <w:highlight w:val="none"/>
              </w:rPr>
              <w:t>采购人名称：</w:t>
            </w:r>
            <w:r>
              <w:rPr>
                <w:rFonts w:hint="eastAsia" w:hAnsi="宋体" w:cs="宋体"/>
                <w:szCs w:val="24"/>
                <w:highlight w:val="none"/>
                <w:lang w:eastAsia="zh-CN"/>
              </w:rPr>
              <w:t>柞水县城市管理局</w:t>
            </w:r>
          </w:p>
          <w:p w14:paraId="56598D4D">
            <w:pPr>
              <w:tabs>
                <w:tab w:val="left" w:pos="1440"/>
                <w:tab w:val="left" w:pos="1680"/>
              </w:tabs>
              <w:spacing w:line="360" w:lineRule="auto"/>
              <w:jc w:val="left"/>
              <w:rPr>
                <w:rFonts w:hint="eastAsia" w:hAnsi="宋体" w:cs="宋体"/>
                <w:szCs w:val="24"/>
                <w:highlight w:val="none"/>
              </w:rPr>
            </w:pPr>
            <w:r>
              <w:rPr>
                <w:rFonts w:hint="eastAsia" w:hAnsi="宋体" w:cs="宋体"/>
                <w:szCs w:val="24"/>
                <w:highlight w:val="none"/>
              </w:rPr>
              <w:t>地      址：柞水县乾佑镇石镇社区湾潭子</w:t>
            </w:r>
          </w:p>
          <w:p w14:paraId="52D33A89">
            <w:pPr>
              <w:tabs>
                <w:tab w:val="left" w:pos="1440"/>
                <w:tab w:val="left" w:pos="1680"/>
              </w:tabs>
              <w:spacing w:line="360" w:lineRule="auto"/>
              <w:jc w:val="left"/>
              <w:rPr>
                <w:rFonts w:hint="eastAsia" w:hAnsi="宋体" w:cs="宋体"/>
                <w:szCs w:val="24"/>
                <w:highlight w:val="none"/>
                <w:lang w:eastAsia="zh-CN"/>
              </w:rPr>
            </w:pPr>
            <w:r>
              <w:rPr>
                <w:rFonts w:hint="eastAsia" w:hAnsi="宋体" w:cs="宋体"/>
                <w:szCs w:val="24"/>
                <w:highlight w:val="none"/>
              </w:rPr>
              <w:t>项目名称</w:t>
            </w:r>
            <w:r>
              <w:rPr>
                <w:rFonts w:hint="eastAsia" w:hAnsi="宋体" w:cs="宋体"/>
                <w:szCs w:val="24"/>
                <w:highlight w:val="none"/>
                <w:lang w:eastAsia="zh-CN"/>
              </w:rPr>
              <w:t>：柞水县污水处理厂2025年药剂采购项目</w:t>
            </w:r>
          </w:p>
          <w:p w14:paraId="697A97DC">
            <w:pPr>
              <w:tabs>
                <w:tab w:val="left" w:pos="1440"/>
                <w:tab w:val="left" w:pos="1680"/>
              </w:tabs>
              <w:spacing w:line="360" w:lineRule="auto"/>
              <w:jc w:val="left"/>
              <w:rPr>
                <w:rFonts w:hAnsi="宋体" w:cs="宋体"/>
                <w:szCs w:val="24"/>
                <w:highlight w:val="none"/>
              </w:rPr>
            </w:pPr>
            <w:r>
              <w:rPr>
                <w:rFonts w:hint="eastAsia" w:hAnsi="宋体" w:cs="宋体"/>
                <w:szCs w:val="24"/>
                <w:highlight w:val="none"/>
              </w:rPr>
              <w:t>资金来源：</w:t>
            </w:r>
            <w:r>
              <w:rPr>
                <w:rFonts w:hint="eastAsia" w:hAnsi="宋体" w:cs="宋体"/>
                <w:szCs w:val="24"/>
                <w:highlight w:val="none"/>
                <w:lang w:val="en-US" w:eastAsia="zh-CN"/>
              </w:rPr>
              <w:t>其他财政资金</w:t>
            </w:r>
            <w:r>
              <w:rPr>
                <w:rFonts w:hint="eastAsia" w:hAnsi="宋体" w:cs="宋体"/>
                <w:szCs w:val="24"/>
                <w:highlight w:val="none"/>
              </w:rPr>
              <w:t>，资金已落实</w:t>
            </w:r>
          </w:p>
        </w:tc>
      </w:tr>
      <w:tr w14:paraId="56B86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1171" w:type="dxa"/>
            <w:vAlign w:val="center"/>
          </w:tcPr>
          <w:p w14:paraId="056CBE72">
            <w:pPr>
              <w:spacing w:line="360" w:lineRule="auto"/>
              <w:jc w:val="center"/>
              <w:rPr>
                <w:rFonts w:hAnsi="宋体" w:cs="宋体"/>
                <w:szCs w:val="24"/>
                <w:highlight w:val="none"/>
              </w:rPr>
            </w:pPr>
            <w:r>
              <w:rPr>
                <w:rFonts w:hint="eastAsia" w:hAnsi="宋体" w:cs="宋体"/>
                <w:szCs w:val="24"/>
                <w:highlight w:val="none"/>
              </w:rPr>
              <w:t>2</w:t>
            </w:r>
          </w:p>
        </w:tc>
        <w:tc>
          <w:tcPr>
            <w:tcW w:w="8181" w:type="dxa"/>
            <w:vAlign w:val="center"/>
          </w:tcPr>
          <w:p w14:paraId="00DB8728">
            <w:pPr>
              <w:spacing w:line="360" w:lineRule="auto"/>
              <w:rPr>
                <w:rFonts w:hint="default" w:hAnsi="宋体" w:eastAsia="宋体" w:cs="宋体"/>
                <w:szCs w:val="24"/>
                <w:highlight w:val="none"/>
                <w:lang w:val="en-US" w:eastAsia="zh-CN"/>
              </w:rPr>
            </w:pPr>
            <w:r>
              <w:rPr>
                <w:rFonts w:hint="eastAsia" w:hAnsi="宋体" w:cs="宋体"/>
                <w:szCs w:val="24"/>
                <w:highlight w:val="none"/>
              </w:rPr>
              <w:t>项目实施地点：</w:t>
            </w:r>
            <w:r>
              <w:rPr>
                <w:rFonts w:hint="eastAsia" w:hAnsi="宋体" w:cs="宋体"/>
                <w:szCs w:val="24"/>
                <w:highlight w:val="none"/>
                <w:lang w:val="en-US" w:eastAsia="zh-CN"/>
              </w:rPr>
              <w:t>柞水县</w:t>
            </w:r>
          </w:p>
        </w:tc>
      </w:tr>
      <w:tr w14:paraId="5DBEB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93" w:hRule="exact"/>
        </w:trPr>
        <w:tc>
          <w:tcPr>
            <w:tcW w:w="1171" w:type="dxa"/>
            <w:vAlign w:val="center"/>
          </w:tcPr>
          <w:p w14:paraId="65A71889">
            <w:pPr>
              <w:spacing w:line="360" w:lineRule="auto"/>
              <w:jc w:val="center"/>
              <w:rPr>
                <w:rFonts w:hAnsi="宋体" w:cs="宋体"/>
                <w:szCs w:val="24"/>
                <w:highlight w:val="none"/>
              </w:rPr>
            </w:pPr>
            <w:r>
              <w:rPr>
                <w:rFonts w:hint="eastAsia" w:hAnsi="宋体" w:cs="宋体"/>
                <w:szCs w:val="24"/>
                <w:highlight w:val="none"/>
              </w:rPr>
              <w:t>3</w:t>
            </w:r>
          </w:p>
        </w:tc>
        <w:tc>
          <w:tcPr>
            <w:tcW w:w="8181" w:type="dxa"/>
            <w:vAlign w:val="center"/>
          </w:tcPr>
          <w:p w14:paraId="66C277C9">
            <w:pPr>
              <w:pStyle w:val="40"/>
              <w:spacing w:before="120" w:line="360" w:lineRule="auto"/>
              <w:ind w:left="27"/>
              <w:rPr>
                <w:b/>
                <w:bCs/>
                <w:highlight w:val="none"/>
              </w:rPr>
            </w:pPr>
            <w:r>
              <w:rPr>
                <w:b/>
                <w:bCs/>
                <w:spacing w:val="-3"/>
                <w:highlight w:val="none"/>
              </w:rPr>
              <w:t>交货期：</w:t>
            </w:r>
            <w:r>
              <w:rPr>
                <w:b/>
                <w:bCs/>
                <w:spacing w:val="-70"/>
                <w:highlight w:val="none"/>
              </w:rPr>
              <w:t xml:space="preserve"> </w:t>
            </w:r>
            <w:r>
              <w:rPr>
                <w:b/>
                <w:bCs/>
                <w:spacing w:val="-3"/>
                <w:highlight w:val="none"/>
              </w:rPr>
              <w:t>自合同签订后按照甲方要求分期分批供货</w:t>
            </w:r>
          </w:p>
          <w:p w14:paraId="791D585D">
            <w:pPr>
              <w:spacing w:line="360" w:lineRule="auto"/>
              <w:rPr>
                <w:rFonts w:hint="eastAsia" w:hAnsi="宋体" w:cs="宋体"/>
                <w:szCs w:val="24"/>
                <w:highlight w:val="none"/>
              </w:rPr>
            </w:pPr>
            <w:r>
              <w:rPr>
                <w:b/>
                <w:bCs/>
                <w:spacing w:val="-2"/>
                <w:highlight w:val="none"/>
              </w:rPr>
              <w:t>质保期：质保期为终验合格后不少于</w:t>
            </w:r>
            <w:r>
              <w:rPr>
                <w:b/>
                <w:bCs/>
                <w:spacing w:val="-49"/>
                <w:highlight w:val="none"/>
              </w:rPr>
              <w:t xml:space="preserve"> </w:t>
            </w:r>
            <w:r>
              <w:rPr>
                <w:b/>
                <w:bCs/>
                <w:spacing w:val="-2"/>
                <w:highlight w:val="none"/>
              </w:rPr>
              <w:t>6</w:t>
            </w:r>
            <w:r>
              <w:rPr>
                <w:b/>
                <w:bCs/>
                <w:spacing w:val="-51"/>
                <w:highlight w:val="none"/>
              </w:rPr>
              <w:t xml:space="preserve"> </w:t>
            </w:r>
            <w:r>
              <w:rPr>
                <w:b/>
                <w:bCs/>
                <w:spacing w:val="-2"/>
                <w:highlight w:val="none"/>
              </w:rPr>
              <w:t>个月（参数中有具体要求的，按参数要求提供质保）</w:t>
            </w:r>
          </w:p>
        </w:tc>
      </w:tr>
      <w:tr w14:paraId="15447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7" w:hRule="atLeast"/>
        </w:trPr>
        <w:tc>
          <w:tcPr>
            <w:tcW w:w="1171" w:type="dxa"/>
            <w:vAlign w:val="center"/>
          </w:tcPr>
          <w:p w14:paraId="4F4BB04A">
            <w:pPr>
              <w:spacing w:line="360" w:lineRule="auto"/>
              <w:jc w:val="center"/>
              <w:rPr>
                <w:rFonts w:hAnsi="宋体" w:cs="宋体"/>
                <w:szCs w:val="24"/>
                <w:highlight w:val="none"/>
              </w:rPr>
            </w:pPr>
            <w:r>
              <w:rPr>
                <w:rFonts w:hint="eastAsia" w:hAnsi="宋体" w:cs="宋体"/>
                <w:szCs w:val="24"/>
                <w:highlight w:val="none"/>
              </w:rPr>
              <w:t>4</w:t>
            </w:r>
          </w:p>
        </w:tc>
        <w:tc>
          <w:tcPr>
            <w:tcW w:w="8181" w:type="dxa"/>
            <w:vAlign w:val="center"/>
          </w:tcPr>
          <w:p w14:paraId="1C6BCDCA">
            <w:pPr>
              <w:spacing w:line="360" w:lineRule="auto"/>
              <w:rPr>
                <w:rFonts w:hAnsi="宋体" w:cs="宋体"/>
                <w:b/>
                <w:sz w:val="24"/>
                <w:szCs w:val="24"/>
                <w:highlight w:val="none"/>
              </w:rPr>
            </w:pPr>
            <w:r>
              <w:rPr>
                <w:rFonts w:hint="eastAsia" w:hAnsi="宋体" w:cs="宋体"/>
                <w:b/>
                <w:sz w:val="24"/>
                <w:szCs w:val="24"/>
                <w:highlight w:val="none"/>
              </w:rPr>
              <w:t>付款：</w:t>
            </w:r>
          </w:p>
          <w:p w14:paraId="6CE1BFF4">
            <w:pPr>
              <w:spacing w:line="360" w:lineRule="auto"/>
              <w:ind w:firstLine="480" w:firstLineChars="200"/>
              <w:rPr>
                <w:rFonts w:hAnsi="宋体" w:cs="宋体"/>
                <w:szCs w:val="24"/>
                <w:highlight w:val="none"/>
              </w:rPr>
            </w:pPr>
            <w:r>
              <w:rPr>
                <w:rFonts w:hint="eastAsia" w:hAnsi="宋体" w:cs="宋体"/>
                <w:szCs w:val="24"/>
                <w:highlight w:val="none"/>
              </w:rPr>
              <w:t>1.合同总价即成交价，不受市场价变化或实际工作量变化的影响。供应商应在磋商报价表中标明完成本次磋商所要求的全部服务的所有费用。</w:t>
            </w:r>
          </w:p>
          <w:p w14:paraId="2D018021">
            <w:pPr>
              <w:spacing w:line="360" w:lineRule="auto"/>
              <w:ind w:firstLine="480" w:firstLineChars="200"/>
              <w:rPr>
                <w:rFonts w:hAnsi="宋体" w:cs="宋体"/>
                <w:szCs w:val="24"/>
                <w:highlight w:val="none"/>
              </w:rPr>
            </w:pPr>
            <w:r>
              <w:rPr>
                <w:rFonts w:hint="eastAsia" w:hAnsi="宋体" w:cs="宋体"/>
                <w:szCs w:val="24"/>
                <w:highlight w:val="none"/>
              </w:rPr>
              <w:t>2.付款方式和程序：</w:t>
            </w:r>
          </w:p>
          <w:p w14:paraId="709F22DC">
            <w:pPr>
              <w:spacing w:line="360" w:lineRule="auto"/>
              <w:ind w:firstLine="480" w:firstLineChars="200"/>
              <w:rPr>
                <w:rFonts w:hAnsi="宋体" w:cs="宋体"/>
                <w:szCs w:val="24"/>
                <w:highlight w:val="none"/>
              </w:rPr>
            </w:pPr>
            <w:r>
              <w:rPr>
                <w:rFonts w:hint="eastAsia" w:hAnsi="宋体" w:cs="宋体"/>
                <w:szCs w:val="24"/>
                <w:highlight w:val="none"/>
              </w:rPr>
              <w:t>2.1由采购人负责结算，在付款前，供应商必须开具全额发票给采购人（附详细清单）。</w:t>
            </w:r>
          </w:p>
          <w:p w14:paraId="058B3EEF">
            <w:pPr>
              <w:spacing w:line="360" w:lineRule="auto"/>
              <w:ind w:firstLine="480" w:firstLineChars="200"/>
              <w:rPr>
                <w:rFonts w:hAnsi="宋体" w:cs="宋体"/>
                <w:szCs w:val="24"/>
                <w:highlight w:val="none"/>
              </w:rPr>
            </w:pPr>
            <w:r>
              <w:rPr>
                <w:rFonts w:hint="eastAsia" w:hAnsi="宋体" w:cs="宋体"/>
                <w:szCs w:val="24"/>
                <w:highlight w:val="none"/>
              </w:rPr>
              <w:t>2.2付款方式：</w:t>
            </w:r>
          </w:p>
          <w:p w14:paraId="2E8B1B88">
            <w:pPr>
              <w:pStyle w:val="40"/>
              <w:spacing w:before="182" w:line="352" w:lineRule="auto"/>
              <w:ind w:left="22" w:right="18" w:firstLine="481"/>
              <w:jc w:val="both"/>
              <w:rPr>
                <w:highlight w:val="none"/>
              </w:rPr>
            </w:pPr>
            <w:r>
              <w:rPr>
                <w:b/>
                <w:bCs/>
                <w:spacing w:val="-4"/>
                <w:highlight w:val="none"/>
              </w:rPr>
              <w:t>按照甲方要求分期分批供货，经验收合格交付使用后，在无索赔争议的情况下，卖方在下一批货物供货时，在买方处办理上一批货物的支付手续。（具</w:t>
            </w:r>
            <w:r>
              <w:rPr>
                <w:b/>
                <w:bCs/>
                <w:spacing w:val="-3"/>
                <w:highlight w:val="none"/>
              </w:rPr>
              <w:t>体以签订合同为准）。</w:t>
            </w:r>
          </w:p>
          <w:p w14:paraId="7C9BD37F">
            <w:pPr>
              <w:spacing w:line="360" w:lineRule="auto"/>
              <w:ind w:firstLine="482" w:firstLineChars="200"/>
              <w:rPr>
                <w:rFonts w:hAnsi="宋体" w:cs="宋体"/>
                <w:szCs w:val="24"/>
                <w:highlight w:val="none"/>
              </w:rPr>
            </w:pPr>
            <w:r>
              <w:rPr>
                <w:rFonts w:hint="eastAsia" w:hAnsi="宋体" w:cs="宋体"/>
                <w:b/>
                <w:szCs w:val="24"/>
                <w:highlight w:val="none"/>
              </w:rPr>
              <w:t>2.3支付方式：银行转账</w:t>
            </w:r>
          </w:p>
        </w:tc>
      </w:tr>
      <w:tr w14:paraId="46E8B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5153BCBE">
            <w:pPr>
              <w:spacing w:line="360" w:lineRule="auto"/>
              <w:jc w:val="center"/>
              <w:rPr>
                <w:rFonts w:hAnsi="宋体" w:cs="宋体"/>
                <w:szCs w:val="24"/>
                <w:highlight w:val="none"/>
              </w:rPr>
            </w:pPr>
            <w:r>
              <w:rPr>
                <w:rFonts w:hint="eastAsia" w:hAnsi="宋体" w:cs="宋体"/>
                <w:szCs w:val="24"/>
                <w:highlight w:val="none"/>
              </w:rPr>
              <w:t>5</w:t>
            </w:r>
          </w:p>
        </w:tc>
        <w:tc>
          <w:tcPr>
            <w:tcW w:w="8181" w:type="dxa"/>
            <w:vAlign w:val="center"/>
          </w:tcPr>
          <w:p w14:paraId="3E6DC437">
            <w:pPr>
              <w:pStyle w:val="40"/>
              <w:spacing w:before="168" w:line="220" w:lineRule="auto"/>
              <w:ind w:left="23"/>
              <w:rPr>
                <w:highlight w:val="none"/>
              </w:rPr>
            </w:pPr>
            <w:r>
              <w:rPr>
                <w:spacing w:val="-3"/>
                <w:highlight w:val="none"/>
              </w:rPr>
              <w:t>质量保证：</w:t>
            </w:r>
          </w:p>
          <w:p w14:paraId="51773B55">
            <w:pPr>
              <w:pStyle w:val="40"/>
              <w:spacing w:before="155" w:line="279" w:lineRule="auto"/>
              <w:ind w:left="46" w:right="18" w:firstLine="474"/>
              <w:rPr>
                <w:highlight w:val="none"/>
              </w:rPr>
            </w:pPr>
            <w:r>
              <w:rPr>
                <w:spacing w:val="2"/>
                <w:highlight w:val="none"/>
              </w:rPr>
              <w:t>1、所供化学试剂必须是经过国家法定质检机构检测</w:t>
            </w:r>
            <w:r>
              <w:rPr>
                <w:spacing w:val="1"/>
                <w:highlight w:val="none"/>
              </w:rPr>
              <w:t>的合格货物。并符合</w:t>
            </w:r>
            <w:r>
              <w:rPr>
                <w:highlight w:val="none"/>
              </w:rPr>
              <w:t xml:space="preserve"> </w:t>
            </w:r>
            <w:r>
              <w:rPr>
                <w:spacing w:val="-5"/>
                <w:highlight w:val="none"/>
              </w:rPr>
              <w:t>国家相关标准。</w:t>
            </w:r>
          </w:p>
          <w:p w14:paraId="76EB573C">
            <w:pPr>
              <w:pStyle w:val="40"/>
              <w:spacing w:before="153" w:line="220" w:lineRule="auto"/>
              <w:ind w:left="505"/>
              <w:rPr>
                <w:highlight w:val="none"/>
              </w:rPr>
            </w:pPr>
            <w:r>
              <w:rPr>
                <w:spacing w:val="-3"/>
                <w:highlight w:val="none"/>
              </w:rPr>
              <w:t>2、包装要求</w:t>
            </w:r>
          </w:p>
          <w:p w14:paraId="19FCF4C0">
            <w:pPr>
              <w:pStyle w:val="40"/>
              <w:spacing w:before="156" w:line="360" w:lineRule="auto"/>
              <w:ind w:left="20" w:right="18" w:firstLine="484"/>
              <w:rPr>
                <w:highlight w:val="none"/>
              </w:rPr>
            </w:pPr>
            <w:r>
              <w:rPr>
                <w:spacing w:val="2"/>
                <w:highlight w:val="none"/>
              </w:rPr>
              <w:t>2-1、除合同另有规定外，投标人提供的全部货物，均应按标准保护措施</w:t>
            </w:r>
            <w:r>
              <w:rPr>
                <w:spacing w:val="4"/>
                <w:highlight w:val="none"/>
              </w:rPr>
              <w:t xml:space="preserve"> </w:t>
            </w:r>
            <w:r>
              <w:rPr>
                <w:spacing w:val="-1"/>
                <w:highlight w:val="none"/>
              </w:rPr>
              <w:t>进行包装，并确保货物安全无损运抵采购人指定的地点。</w:t>
            </w:r>
          </w:p>
          <w:p w14:paraId="44D188AA">
            <w:pPr>
              <w:pStyle w:val="40"/>
              <w:spacing w:before="34" w:line="360" w:lineRule="auto"/>
              <w:ind w:left="505"/>
              <w:rPr>
                <w:highlight w:val="none"/>
              </w:rPr>
            </w:pPr>
            <w:r>
              <w:rPr>
                <w:spacing w:val="-1"/>
                <w:highlight w:val="none"/>
              </w:rPr>
              <w:t>2-2、每一个包装箱/袋应附一份详细装箱/袋单和质量合格证。</w:t>
            </w:r>
          </w:p>
          <w:p w14:paraId="78FF25EF">
            <w:pPr>
              <w:spacing w:line="360" w:lineRule="auto"/>
              <w:ind w:firstLine="488" w:firstLineChars="200"/>
              <w:jc w:val="left"/>
              <w:rPr>
                <w:rFonts w:hAnsi="宋体" w:cs="宋体"/>
                <w:szCs w:val="24"/>
                <w:highlight w:val="none"/>
              </w:rPr>
            </w:pPr>
            <w:r>
              <w:rPr>
                <w:spacing w:val="2"/>
                <w:highlight w:val="none"/>
              </w:rPr>
              <w:t>3、投标人提供的货物必须保证质量可靠，为市场最新或主流货物，进货</w:t>
            </w:r>
            <w:r>
              <w:rPr>
                <w:spacing w:val="4"/>
                <w:highlight w:val="none"/>
              </w:rPr>
              <w:t xml:space="preserve"> </w:t>
            </w:r>
            <w:r>
              <w:rPr>
                <w:spacing w:val="-1"/>
                <w:highlight w:val="none"/>
              </w:rPr>
              <w:t>渠道正常，货源合理齐全，应全面满足招标文件的</w:t>
            </w:r>
            <w:r>
              <w:rPr>
                <w:spacing w:val="-2"/>
                <w:highlight w:val="none"/>
              </w:rPr>
              <w:t>要求。所供货物工艺质量应</w:t>
            </w:r>
            <w:r>
              <w:rPr>
                <w:highlight w:val="none"/>
              </w:rPr>
              <w:t xml:space="preserve"> </w:t>
            </w:r>
            <w:r>
              <w:rPr>
                <w:spacing w:val="6"/>
                <w:highlight w:val="none"/>
              </w:rPr>
              <w:t>严格按国家最新发布的规范标准执行，如发生质量问题由投标人承</w:t>
            </w:r>
            <w:r>
              <w:rPr>
                <w:spacing w:val="5"/>
                <w:highlight w:val="none"/>
              </w:rPr>
              <w:t>担全部责</w:t>
            </w:r>
            <w:r>
              <w:rPr>
                <w:highlight w:val="none"/>
              </w:rPr>
              <w:t xml:space="preserve"> </w:t>
            </w:r>
            <w:r>
              <w:rPr>
                <w:spacing w:val="-5"/>
                <w:highlight w:val="none"/>
              </w:rPr>
              <w:t>任。</w:t>
            </w:r>
          </w:p>
        </w:tc>
      </w:tr>
      <w:tr w14:paraId="74C5F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02B27C16">
            <w:pPr>
              <w:spacing w:line="360" w:lineRule="auto"/>
              <w:jc w:val="center"/>
              <w:rPr>
                <w:rFonts w:hint="default" w:hAnsi="宋体" w:eastAsia="宋体" w:cs="宋体"/>
                <w:szCs w:val="24"/>
                <w:highlight w:val="none"/>
                <w:lang w:val="en-US" w:eastAsia="zh-CN"/>
              </w:rPr>
            </w:pPr>
            <w:r>
              <w:rPr>
                <w:rFonts w:hint="eastAsia" w:hAnsi="宋体" w:cs="宋体"/>
                <w:szCs w:val="24"/>
                <w:highlight w:val="none"/>
                <w:lang w:val="en-US" w:eastAsia="zh-CN"/>
              </w:rPr>
              <w:t>6</w:t>
            </w:r>
          </w:p>
        </w:tc>
        <w:tc>
          <w:tcPr>
            <w:tcW w:w="8181" w:type="dxa"/>
            <w:vAlign w:val="center"/>
          </w:tcPr>
          <w:p w14:paraId="737FCE73">
            <w:pPr>
              <w:pStyle w:val="40"/>
              <w:spacing w:before="153" w:line="219" w:lineRule="auto"/>
              <w:ind w:left="21"/>
              <w:rPr>
                <w:highlight w:val="none"/>
              </w:rPr>
            </w:pPr>
            <w:r>
              <w:rPr>
                <w:spacing w:val="-3"/>
                <w:highlight w:val="none"/>
              </w:rPr>
              <w:t>验收：</w:t>
            </w:r>
          </w:p>
          <w:p w14:paraId="2A1337D6">
            <w:pPr>
              <w:pStyle w:val="40"/>
              <w:spacing w:before="155" w:line="219" w:lineRule="auto"/>
              <w:ind w:left="22"/>
              <w:rPr>
                <w:highlight w:val="none"/>
              </w:rPr>
            </w:pPr>
            <w:r>
              <w:rPr>
                <w:spacing w:val="-1"/>
                <w:highlight w:val="none"/>
              </w:rPr>
              <w:t>供货完成后，供应商提出验收申请，采购人组织验收程序。</w:t>
            </w:r>
          </w:p>
          <w:p w14:paraId="79C667BC">
            <w:pPr>
              <w:pStyle w:val="40"/>
              <w:spacing w:before="154" w:line="330" w:lineRule="auto"/>
              <w:ind w:left="20" w:right="15" w:firstLine="19"/>
              <w:rPr>
                <w:highlight w:val="none"/>
              </w:rPr>
            </w:pPr>
            <w:r>
              <w:rPr>
                <w:spacing w:val="-2"/>
                <w:highlight w:val="none"/>
              </w:rPr>
              <w:t>1.所验服务成果，以及附属的设备(货物)的指标、功能参数等通过验收达不到</w:t>
            </w:r>
            <w:r>
              <w:rPr>
                <w:spacing w:val="10"/>
                <w:highlight w:val="none"/>
              </w:rPr>
              <w:t xml:space="preserve"> </w:t>
            </w:r>
            <w:r>
              <w:rPr>
                <w:spacing w:val="-1"/>
                <w:highlight w:val="none"/>
              </w:rPr>
              <w:t>招标文件要求和投标文件承诺的，或在使用中发现采购人</w:t>
            </w:r>
            <w:r>
              <w:rPr>
                <w:spacing w:val="-2"/>
                <w:highlight w:val="none"/>
              </w:rPr>
              <w:t>不能容忍的缺陷等，</w:t>
            </w:r>
            <w:r>
              <w:rPr>
                <w:highlight w:val="none"/>
              </w:rPr>
              <w:t xml:space="preserve"> </w:t>
            </w:r>
            <w:r>
              <w:rPr>
                <w:spacing w:val="-1"/>
                <w:highlight w:val="none"/>
              </w:rPr>
              <w:t>将视为验收不合格，投标人应无条件免费整改。</w:t>
            </w:r>
          </w:p>
          <w:p w14:paraId="2BEA27FA">
            <w:pPr>
              <w:pStyle w:val="40"/>
              <w:spacing w:before="33" w:line="324" w:lineRule="auto"/>
              <w:ind w:left="22" w:right="15" w:firstLine="2"/>
              <w:rPr>
                <w:highlight w:val="none"/>
              </w:rPr>
            </w:pPr>
            <w:r>
              <w:rPr>
                <w:spacing w:val="-1"/>
                <w:highlight w:val="none"/>
              </w:rPr>
              <w:t>2.若发现投标人有弄虚作假的，在投标阶段故意或</w:t>
            </w:r>
            <w:r>
              <w:rPr>
                <w:spacing w:val="-2"/>
                <w:highlight w:val="none"/>
              </w:rPr>
              <w:t>随意夸大技术性能，投标人</w:t>
            </w:r>
            <w:r>
              <w:rPr>
                <w:highlight w:val="none"/>
              </w:rPr>
              <w:t xml:space="preserve"> </w:t>
            </w:r>
            <w:r>
              <w:rPr>
                <w:spacing w:val="-1"/>
                <w:highlight w:val="none"/>
              </w:rPr>
              <w:t>应无条件承担相关责任，并赔偿采购人相应的损失。</w:t>
            </w:r>
          </w:p>
          <w:p w14:paraId="57D176D3">
            <w:pPr>
              <w:pStyle w:val="40"/>
              <w:spacing w:before="37" w:line="325" w:lineRule="auto"/>
              <w:ind w:left="23" w:right="18" w:firstLine="3"/>
              <w:rPr>
                <w:highlight w:val="none"/>
              </w:rPr>
            </w:pPr>
            <w:r>
              <w:rPr>
                <w:spacing w:val="-2"/>
                <w:highlight w:val="none"/>
              </w:rPr>
              <w:t>3.验收标准：按招标文件、投标文件及澄清函等技术指标进行验收。各项指标</w:t>
            </w:r>
            <w:r>
              <w:rPr>
                <w:spacing w:val="18"/>
                <w:highlight w:val="none"/>
              </w:rPr>
              <w:t xml:space="preserve"> </w:t>
            </w:r>
            <w:r>
              <w:rPr>
                <w:spacing w:val="-1"/>
                <w:highlight w:val="none"/>
              </w:rPr>
              <w:t>均应符合验收标准及要求。</w:t>
            </w:r>
          </w:p>
          <w:p w14:paraId="5B111455">
            <w:pPr>
              <w:pStyle w:val="40"/>
              <w:spacing w:before="35" w:line="326" w:lineRule="auto"/>
              <w:ind w:left="26" w:right="3381" w:hanging="5"/>
              <w:rPr>
                <w:spacing w:val="13"/>
                <w:highlight w:val="none"/>
              </w:rPr>
            </w:pPr>
            <w:r>
              <w:rPr>
                <w:spacing w:val="-3"/>
                <w:highlight w:val="none"/>
              </w:rPr>
              <w:t>4.验收合格后，填写验收单，双方签字生效。</w:t>
            </w:r>
            <w:r>
              <w:rPr>
                <w:spacing w:val="13"/>
                <w:highlight w:val="none"/>
              </w:rPr>
              <w:t xml:space="preserve"> </w:t>
            </w:r>
          </w:p>
          <w:p w14:paraId="10640687">
            <w:pPr>
              <w:pStyle w:val="40"/>
              <w:spacing w:before="35" w:line="326" w:lineRule="auto"/>
              <w:ind w:left="26" w:right="3381" w:hanging="5"/>
              <w:rPr>
                <w:highlight w:val="none"/>
              </w:rPr>
            </w:pPr>
            <w:r>
              <w:rPr>
                <w:spacing w:val="-3"/>
                <w:highlight w:val="none"/>
              </w:rPr>
              <w:t>5.验收依据：</w:t>
            </w:r>
          </w:p>
          <w:p w14:paraId="4B15AC27">
            <w:pPr>
              <w:pStyle w:val="40"/>
              <w:spacing w:before="32" w:line="360" w:lineRule="auto"/>
              <w:ind w:left="503"/>
              <w:rPr>
                <w:spacing w:val="-2"/>
                <w:highlight w:val="none"/>
              </w:rPr>
            </w:pPr>
            <w:r>
              <w:rPr>
                <w:spacing w:val="-2"/>
                <w:highlight w:val="none"/>
              </w:rPr>
              <w:t>a)合同文本；</w:t>
            </w:r>
          </w:p>
          <w:p w14:paraId="0281E298">
            <w:pPr>
              <w:pStyle w:val="40"/>
              <w:spacing w:before="32" w:line="360" w:lineRule="auto"/>
              <w:ind w:left="503"/>
              <w:rPr>
                <w:highlight w:val="none"/>
              </w:rPr>
            </w:pPr>
            <w:r>
              <w:rPr>
                <w:spacing w:val="-1"/>
                <w:highlight w:val="none"/>
              </w:rPr>
              <w:t>b)投标文件及澄清函、招标文件；</w:t>
            </w:r>
          </w:p>
          <w:p w14:paraId="10068EAC">
            <w:pPr>
              <w:snapToGrid w:val="0"/>
              <w:spacing w:line="360" w:lineRule="auto"/>
              <w:ind w:firstLine="476" w:firstLineChars="200"/>
              <w:rPr>
                <w:rFonts w:hAnsi="宋体" w:cs="宋体"/>
                <w:szCs w:val="24"/>
                <w:highlight w:val="none"/>
              </w:rPr>
            </w:pPr>
            <w:r>
              <w:rPr>
                <w:spacing w:val="-1"/>
                <w:highlight w:val="none"/>
              </w:rPr>
              <w:t>c)国家和行业制定的相应的标准和规范。</w:t>
            </w:r>
          </w:p>
        </w:tc>
      </w:tr>
      <w:tr w14:paraId="7BFA0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4D489C7E">
            <w:pPr>
              <w:spacing w:line="360" w:lineRule="auto"/>
              <w:jc w:val="center"/>
              <w:rPr>
                <w:rFonts w:hint="eastAsia" w:hAnsi="宋体" w:eastAsia="宋体" w:cs="宋体"/>
                <w:szCs w:val="24"/>
                <w:highlight w:val="none"/>
                <w:lang w:eastAsia="zh-CN"/>
              </w:rPr>
            </w:pPr>
            <w:r>
              <w:rPr>
                <w:rFonts w:hint="eastAsia" w:hAnsi="宋体" w:cs="宋体"/>
                <w:szCs w:val="24"/>
                <w:highlight w:val="none"/>
                <w:lang w:val="en-US" w:eastAsia="zh-CN"/>
              </w:rPr>
              <w:t>7</w:t>
            </w:r>
          </w:p>
        </w:tc>
        <w:tc>
          <w:tcPr>
            <w:tcW w:w="8181" w:type="dxa"/>
            <w:vAlign w:val="center"/>
          </w:tcPr>
          <w:p w14:paraId="29E9CB34">
            <w:pPr>
              <w:pStyle w:val="40"/>
              <w:spacing w:before="135" w:line="219" w:lineRule="auto"/>
              <w:ind w:left="22"/>
              <w:rPr>
                <w:highlight w:val="none"/>
              </w:rPr>
            </w:pPr>
            <w:r>
              <w:rPr>
                <w:b/>
                <w:bCs/>
                <w:spacing w:val="-4"/>
                <w:highlight w:val="none"/>
              </w:rPr>
              <w:t>违约责任：</w:t>
            </w:r>
          </w:p>
          <w:p w14:paraId="66051306">
            <w:pPr>
              <w:pStyle w:val="40"/>
              <w:spacing w:before="183" w:line="360" w:lineRule="auto"/>
              <w:ind w:left="520"/>
              <w:rPr>
                <w:highlight w:val="none"/>
              </w:rPr>
            </w:pPr>
            <w:r>
              <w:rPr>
                <w:spacing w:val="-1"/>
                <w:highlight w:val="none"/>
              </w:rPr>
              <w:t>1、按《中华人民共和国民法典》中的相关</w:t>
            </w:r>
            <w:r>
              <w:rPr>
                <w:spacing w:val="-2"/>
                <w:highlight w:val="none"/>
              </w:rPr>
              <w:t>条款执行。</w:t>
            </w:r>
          </w:p>
          <w:p w14:paraId="277A59FF">
            <w:pPr>
              <w:spacing w:line="360" w:lineRule="auto"/>
              <w:ind w:firstLine="488" w:firstLineChars="200"/>
              <w:rPr>
                <w:rFonts w:hAnsi="宋体" w:cs="宋体"/>
                <w:kern w:val="0"/>
                <w:sz w:val="24"/>
                <w:szCs w:val="24"/>
                <w:highlight w:val="none"/>
              </w:rPr>
            </w:pPr>
            <w:r>
              <w:rPr>
                <w:spacing w:val="2"/>
                <w:highlight w:val="none"/>
              </w:rPr>
              <w:t>2、未按合同要求提供服务或服务不能满足合同要求，采购人应当将服务</w:t>
            </w:r>
            <w:r>
              <w:rPr>
                <w:spacing w:val="6"/>
                <w:highlight w:val="none"/>
              </w:rPr>
              <w:t xml:space="preserve"> </w:t>
            </w:r>
            <w:r>
              <w:rPr>
                <w:spacing w:val="-1"/>
                <w:highlight w:val="none"/>
              </w:rPr>
              <w:t>商违约的情况以及拟采取的措施以书面形式报政府采购监</w:t>
            </w:r>
            <w:r>
              <w:rPr>
                <w:spacing w:val="-2"/>
                <w:highlight w:val="none"/>
              </w:rPr>
              <w:t>管部门，根据政府采</w:t>
            </w:r>
            <w:r>
              <w:rPr>
                <w:highlight w:val="none"/>
              </w:rPr>
              <w:t xml:space="preserve"> </w:t>
            </w:r>
            <w:r>
              <w:rPr>
                <w:spacing w:val="-1"/>
                <w:highlight w:val="none"/>
              </w:rPr>
              <w:t>购监管部门的处理意见，采购人有权依据《中华人民共和</w:t>
            </w:r>
            <w:r>
              <w:rPr>
                <w:spacing w:val="-2"/>
                <w:highlight w:val="none"/>
              </w:rPr>
              <w:t>国民法典》有关条款</w:t>
            </w:r>
            <w:r>
              <w:rPr>
                <w:rFonts w:hint="eastAsia" w:hAnsi="宋体" w:cs="宋体"/>
                <w:szCs w:val="24"/>
                <w:highlight w:val="none"/>
              </w:rPr>
              <w:t xml:space="preserve">    </w:t>
            </w:r>
            <w:r>
              <w:rPr>
                <w:spacing w:val="-3"/>
                <w:highlight w:val="none"/>
              </w:rPr>
              <w:t>及合同约定终止合同，并要求服务商承担违约责任。同时，政府采</w:t>
            </w:r>
            <w:r>
              <w:rPr>
                <w:spacing w:val="-4"/>
                <w:highlight w:val="none"/>
              </w:rPr>
              <w:t>购监管部门</w:t>
            </w:r>
            <w:r>
              <w:rPr>
                <w:highlight w:val="none"/>
              </w:rPr>
              <w:t xml:space="preserve"> </w:t>
            </w:r>
            <w:r>
              <w:rPr>
                <w:spacing w:val="-8"/>
                <w:highlight w:val="none"/>
              </w:rPr>
              <w:t>有权依据《</w:t>
            </w:r>
            <w:r>
              <w:rPr>
                <w:rFonts w:hint="eastAsia" w:hAnsi="宋体" w:cs="宋体"/>
                <w:szCs w:val="24"/>
                <w:highlight w:val="none"/>
                <w:lang w:val="en-US" w:eastAsia="zh-CN"/>
              </w:rPr>
              <w:t>中华人民共和国</w:t>
            </w:r>
            <w:r>
              <w:rPr>
                <w:spacing w:val="-8"/>
                <w:highlight w:val="none"/>
              </w:rPr>
              <w:t>政府采购法》及相关法律法规对服务商的违法行为进行相应的处罚。</w:t>
            </w:r>
          </w:p>
        </w:tc>
      </w:tr>
      <w:tr w14:paraId="608D6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714A19DE">
            <w:pPr>
              <w:spacing w:line="360" w:lineRule="auto"/>
              <w:jc w:val="center"/>
              <w:rPr>
                <w:rFonts w:hint="default" w:hAnsi="宋体" w:cs="宋体"/>
                <w:szCs w:val="24"/>
                <w:highlight w:val="none"/>
                <w:lang w:val="en-US" w:eastAsia="zh-CN"/>
              </w:rPr>
            </w:pPr>
            <w:bookmarkStart w:id="91" w:name="_Toc19246"/>
            <w:bookmarkStart w:id="92" w:name="_Toc4679"/>
            <w:bookmarkStart w:id="93" w:name="_Toc423973075"/>
            <w:bookmarkStart w:id="94" w:name="_Toc389582037"/>
            <w:bookmarkStart w:id="95" w:name="_Toc29888"/>
            <w:bookmarkStart w:id="96" w:name="_Toc8333"/>
            <w:bookmarkStart w:id="97" w:name="_Toc31520"/>
            <w:bookmarkStart w:id="98" w:name="_Toc19199"/>
            <w:bookmarkStart w:id="99" w:name="_Toc26595"/>
            <w:r>
              <w:rPr>
                <w:rFonts w:hint="eastAsia" w:hAnsi="宋体" w:cs="宋体"/>
                <w:szCs w:val="24"/>
                <w:highlight w:val="none"/>
                <w:lang w:val="en-US" w:eastAsia="zh-CN"/>
              </w:rPr>
              <w:t>8</w:t>
            </w:r>
          </w:p>
        </w:tc>
        <w:tc>
          <w:tcPr>
            <w:tcW w:w="8181" w:type="dxa"/>
            <w:vAlign w:val="center"/>
          </w:tcPr>
          <w:p w14:paraId="508CB16D">
            <w:pPr>
              <w:pStyle w:val="40"/>
              <w:spacing w:before="114" w:line="219" w:lineRule="auto"/>
              <w:ind w:left="21"/>
              <w:rPr>
                <w:highlight w:val="none"/>
              </w:rPr>
            </w:pPr>
            <w:r>
              <w:rPr>
                <w:b/>
                <w:bCs/>
                <w:spacing w:val="-4"/>
                <w:highlight w:val="none"/>
              </w:rPr>
              <w:t>政府采购合同：</w:t>
            </w:r>
          </w:p>
          <w:p w14:paraId="39FDC853">
            <w:pPr>
              <w:pStyle w:val="40"/>
              <w:spacing w:before="183" w:line="347" w:lineRule="auto"/>
              <w:ind w:left="25" w:right="15" w:firstLine="476"/>
              <w:rPr>
                <w:highlight w:val="none"/>
              </w:rPr>
            </w:pPr>
            <w:r>
              <w:rPr>
                <w:spacing w:val="-1"/>
                <w:highlight w:val="none"/>
              </w:rPr>
              <w:t>政府采购合同适用中华人民共和国民法典。采购</w:t>
            </w:r>
            <w:r>
              <w:rPr>
                <w:spacing w:val="-2"/>
                <w:highlight w:val="none"/>
              </w:rPr>
              <w:t>人和供应商之间的权利和</w:t>
            </w:r>
            <w:r>
              <w:rPr>
                <w:highlight w:val="none"/>
              </w:rPr>
              <w:t xml:space="preserve"> </w:t>
            </w:r>
            <w:r>
              <w:rPr>
                <w:spacing w:val="-3"/>
                <w:highlight w:val="none"/>
              </w:rPr>
              <w:t>义务，应当按照平等、</w:t>
            </w:r>
            <w:r>
              <w:rPr>
                <w:spacing w:val="-65"/>
                <w:highlight w:val="none"/>
              </w:rPr>
              <w:t xml:space="preserve"> </w:t>
            </w:r>
            <w:r>
              <w:rPr>
                <w:spacing w:val="-3"/>
                <w:highlight w:val="none"/>
              </w:rPr>
              <w:t>自愿的原则以合同方式约定。</w:t>
            </w:r>
          </w:p>
          <w:p w14:paraId="63BE0E2F">
            <w:pPr>
              <w:pStyle w:val="40"/>
              <w:spacing w:before="34" w:line="351" w:lineRule="auto"/>
              <w:ind w:left="21" w:right="15" w:firstLine="480"/>
              <w:rPr>
                <w:highlight w:val="none"/>
              </w:rPr>
            </w:pPr>
            <w:r>
              <w:rPr>
                <w:spacing w:val="-1"/>
                <w:highlight w:val="none"/>
              </w:rPr>
              <w:t>采购人可以委托采购代理机构代表其与供应商签</w:t>
            </w:r>
            <w:r>
              <w:rPr>
                <w:spacing w:val="-2"/>
                <w:highlight w:val="none"/>
              </w:rPr>
              <w:t>订政府采购合同。由采购</w:t>
            </w:r>
            <w:r>
              <w:rPr>
                <w:highlight w:val="none"/>
              </w:rPr>
              <w:t xml:space="preserve"> </w:t>
            </w:r>
            <w:r>
              <w:rPr>
                <w:spacing w:val="-1"/>
                <w:highlight w:val="none"/>
              </w:rPr>
              <w:t>代理机构以采购人名义签订合同的，应当提交采购人的</w:t>
            </w:r>
            <w:r>
              <w:rPr>
                <w:spacing w:val="-2"/>
                <w:highlight w:val="none"/>
              </w:rPr>
              <w:t>授权委托书，作为合同</w:t>
            </w:r>
            <w:r>
              <w:rPr>
                <w:highlight w:val="none"/>
              </w:rPr>
              <w:t xml:space="preserve"> </w:t>
            </w:r>
            <w:r>
              <w:rPr>
                <w:spacing w:val="-3"/>
                <w:highlight w:val="none"/>
              </w:rPr>
              <w:t>附件。</w:t>
            </w:r>
          </w:p>
          <w:p w14:paraId="5FD8182B">
            <w:pPr>
              <w:pStyle w:val="40"/>
              <w:spacing w:before="36" w:line="346" w:lineRule="auto"/>
              <w:ind w:left="24" w:firstLine="474"/>
              <w:rPr>
                <w:highlight w:val="none"/>
              </w:rPr>
            </w:pPr>
            <w:r>
              <w:rPr>
                <w:spacing w:val="-8"/>
                <w:highlight w:val="none"/>
              </w:rPr>
              <w:t>采购人与中标、成交供应商应当在中标、成交通知书发出之日起三十日内，</w:t>
            </w:r>
            <w:r>
              <w:rPr>
                <w:highlight w:val="none"/>
              </w:rPr>
              <w:t xml:space="preserve"> </w:t>
            </w:r>
            <w:r>
              <w:rPr>
                <w:spacing w:val="-2"/>
                <w:highlight w:val="none"/>
              </w:rPr>
              <w:t>按照采购文件确定的事项签订政府采购合同。</w:t>
            </w:r>
          </w:p>
          <w:p w14:paraId="3822463E">
            <w:pPr>
              <w:pStyle w:val="40"/>
              <w:spacing w:before="35" w:line="351" w:lineRule="auto"/>
              <w:ind w:left="24" w:right="15" w:firstLine="500"/>
              <w:rPr>
                <w:highlight w:val="none"/>
              </w:rPr>
            </w:pPr>
            <w:r>
              <w:rPr>
                <w:spacing w:val="-2"/>
                <w:highlight w:val="none"/>
              </w:rPr>
              <w:t>中标、成交通知书对采购人和中标、成交供应商均具有法律效力。</w:t>
            </w:r>
            <w:r>
              <w:rPr>
                <w:spacing w:val="-3"/>
                <w:highlight w:val="none"/>
              </w:rPr>
              <w:t>中标、</w:t>
            </w:r>
            <w:r>
              <w:rPr>
                <w:highlight w:val="none"/>
              </w:rPr>
              <w:t xml:space="preserve"> </w:t>
            </w:r>
            <w:r>
              <w:rPr>
                <w:spacing w:val="-1"/>
                <w:highlight w:val="none"/>
              </w:rPr>
              <w:t>成交通知书发出后，采购人改变中标、成交结果的</w:t>
            </w:r>
            <w:r>
              <w:rPr>
                <w:spacing w:val="-2"/>
                <w:highlight w:val="none"/>
              </w:rPr>
              <w:t>，或者中标、成交供应商放</w:t>
            </w:r>
            <w:r>
              <w:rPr>
                <w:highlight w:val="none"/>
              </w:rPr>
              <w:t xml:space="preserve"> </w:t>
            </w:r>
            <w:r>
              <w:rPr>
                <w:spacing w:val="-1"/>
                <w:highlight w:val="none"/>
              </w:rPr>
              <w:t>弃中标、成交项目的，应当依法承担法律责任。</w:t>
            </w:r>
          </w:p>
          <w:p w14:paraId="023CFF1D">
            <w:pPr>
              <w:pStyle w:val="40"/>
              <w:spacing w:before="35" w:line="351" w:lineRule="auto"/>
              <w:ind w:left="20" w:right="15" w:firstLine="480"/>
              <w:rPr>
                <w:highlight w:val="none"/>
              </w:rPr>
            </w:pPr>
            <w:r>
              <w:rPr>
                <w:spacing w:val="-1"/>
                <w:highlight w:val="none"/>
              </w:rPr>
              <w:t>采购人同意，中标、成交供应商可以依法采取分</w:t>
            </w:r>
            <w:r>
              <w:rPr>
                <w:spacing w:val="-2"/>
                <w:highlight w:val="none"/>
              </w:rPr>
              <w:t>包方式履行合同。政府采</w:t>
            </w:r>
            <w:r>
              <w:rPr>
                <w:highlight w:val="none"/>
              </w:rPr>
              <w:t xml:space="preserve"> </w:t>
            </w:r>
            <w:r>
              <w:rPr>
                <w:spacing w:val="-1"/>
                <w:highlight w:val="none"/>
              </w:rPr>
              <w:t>购合同分包履行的，中标、成交供应商就采购项目和分包</w:t>
            </w:r>
            <w:r>
              <w:rPr>
                <w:spacing w:val="-2"/>
                <w:highlight w:val="none"/>
              </w:rPr>
              <w:t>项目向采购人负责，</w:t>
            </w:r>
            <w:r>
              <w:rPr>
                <w:highlight w:val="none"/>
              </w:rPr>
              <w:t xml:space="preserve"> </w:t>
            </w:r>
            <w:r>
              <w:rPr>
                <w:spacing w:val="-1"/>
                <w:highlight w:val="none"/>
              </w:rPr>
              <w:t>分包供应商就分包项目承担责任。</w:t>
            </w:r>
          </w:p>
          <w:p w14:paraId="189EFF70">
            <w:pPr>
              <w:pStyle w:val="40"/>
              <w:spacing w:before="35" w:line="360" w:lineRule="auto"/>
              <w:ind w:left="22" w:right="15" w:firstLine="479"/>
              <w:rPr>
                <w:highlight w:val="none"/>
              </w:rPr>
            </w:pPr>
            <w:r>
              <w:rPr>
                <w:spacing w:val="-1"/>
                <w:highlight w:val="none"/>
              </w:rPr>
              <w:t>政府采购合同履行中，采购人需追加与合同标的</w:t>
            </w:r>
            <w:r>
              <w:rPr>
                <w:spacing w:val="-2"/>
                <w:highlight w:val="none"/>
              </w:rPr>
              <w:t>相同的货物、工程或者服</w:t>
            </w:r>
            <w:r>
              <w:rPr>
                <w:highlight w:val="none"/>
              </w:rPr>
              <w:t xml:space="preserve"> </w:t>
            </w:r>
            <w:r>
              <w:rPr>
                <w:spacing w:val="-1"/>
                <w:highlight w:val="none"/>
              </w:rPr>
              <w:t>务的，在不改变合同其他条款的前提下，可以与</w:t>
            </w:r>
            <w:r>
              <w:rPr>
                <w:spacing w:val="-2"/>
                <w:highlight w:val="none"/>
              </w:rPr>
              <w:t>供应商协商签订补充合同，但</w:t>
            </w:r>
            <w:r>
              <w:rPr>
                <w:spacing w:val="-1"/>
                <w:highlight w:val="none"/>
              </w:rPr>
              <w:t>所有补充合同的采购金额不得超过原合同采购金额的百分之十。</w:t>
            </w:r>
          </w:p>
          <w:p w14:paraId="00C4386B">
            <w:pPr>
              <w:pStyle w:val="40"/>
              <w:spacing w:before="34" w:line="360" w:lineRule="auto"/>
              <w:ind w:left="501"/>
              <w:rPr>
                <w:sz w:val="24"/>
                <w:szCs w:val="24"/>
                <w:highlight w:val="none"/>
              </w:rPr>
            </w:pPr>
            <w:r>
              <w:rPr>
                <w:spacing w:val="-1"/>
                <w:sz w:val="24"/>
                <w:szCs w:val="24"/>
                <w:highlight w:val="none"/>
              </w:rPr>
              <w:t>政府采购合同的双方当事人不得擅自变更、中止或者终止合同。</w:t>
            </w:r>
          </w:p>
          <w:p w14:paraId="2651A3F3">
            <w:pPr>
              <w:pStyle w:val="13"/>
              <w:spacing w:line="360" w:lineRule="auto"/>
              <w:ind w:firstLine="476" w:firstLineChars="200"/>
              <w:rPr>
                <w:rFonts w:hAnsi="宋体" w:cs="宋体"/>
                <w:kern w:val="0"/>
                <w:sz w:val="24"/>
                <w:szCs w:val="24"/>
                <w:highlight w:val="none"/>
              </w:rPr>
            </w:pPr>
            <w:r>
              <w:rPr>
                <w:spacing w:val="-1"/>
                <w:sz w:val="24"/>
                <w:szCs w:val="24"/>
                <w:highlight w:val="none"/>
              </w:rPr>
              <w:t>政府采购合同继续履行将损害国家利益和社会公</w:t>
            </w:r>
            <w:r>
              <w:rPr>
                <w:spacing w:val="-2"/>
                <w:sz w:val="24"/>
                <w:szCs w:val="24"/>
                <w:highlight w:val="none"/>
              </w:rPr>
              <w:t>共利益的，双方当事人应</w:t>
            </w:r>
            <w:r>
              <w:rPr>
                <w:sz w:val="24"/>
                <w:szCs w:val="24"/>
                <w:highlight w:val="none"/>
              </w:rPr>
              <w:t xml:space="preserve"> </w:t>
            </w:r>
            <w:r>
              <w:rPr>
                <w:spacing w:val="-2"/>
                <w:sz w:val="24"/>
                <w:szCs w:val="24"/>
                <w:highlight w:val="none"/>
              </w:rPr>
              <w:t>当变更、中止或者终止合同。有过错的一方应当承担赔偿责任，双方都有过错</w:t>
            </w:r>
            <w:r>
              <w:rPr>
                <w:spacing w:val="6"/>
                <w:sz w:val="24"/>
                <w:szCs w:val="24"/>
                <w:highlight w:val="none"/>
              </w:rPr>
              <w:t xml:space="preserve"> </w:t>
            </w:r>
            <w:r>
              <w:rPr>
                <w:spacing w:val="-3"/>
                <w:sz w:val="24"/>
                <w:szCs w:val="24"/>
                <w:highlight w:val="none"/>
              </w:rPr>
              <w:t>的，各自承担相应的责任。</w:t>
            </w:r>
          </w:p>
        </w:tc>
      </w:tr>
    </w:tbl>
    <w:p w14:paraId="5F9D1349">
      <w:pPr>
        <w:rPr>
          <w:rFonts w:hAnsi="宋体" w:cs="宋体"/>
          <w:sz w:val="32"/>
          <w:highlight w:val="none"/>
        </w:rPr>
      </w:pPr>
      <w:r>
        <w:rPr>
          <w:rFonts w:hint="eastAsia" w:hAnsi="宋体" w:cs="宋体"/>
          <w:b/>
          <w:bCs/>
          <w:sz w:val="48"/>
          <w:szCs w:val="48"/>
          <w:highlight w:val="none"/>
        </w:rPr>
        <w:br w:type="page"/>
      </w:r>
    </w:p>
    <w:tbl>
      <w:tblPr>
        <w:tblStyle w:val="21"/>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4320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6A1C6437">
            <w:pPr>
              <w:jc w:val="center"/>
              <w:rPr>
                <w:rFonts w:hAnsi="宋体" w:cs="宋体"/>
                <w:b/>
                <w:sz w:val="30"/>
                <w:szCs w:val="30"/>
                <w:highlight w:val="none"/>
              </w:rPr>
            </w:pPr>
            <w:r>
              <w:rPr>
                <w:rFonts w:hint="eastAsia" w:hAnsi="宋体" w:cs="宋体"/>
                <w:b/>
                <w:sz w:val="30"/>
                <w:szCs w:val="30"/>
                <w:highlight w:val="none"/>
              </w:rPr>
              <w:t>竞争性磋商采购</w:t>
            </w:r>
          </w:p>
        </w:tc>
      </w:tr>
    </w:tbl>
    <w:p w14:paraId="40DF27B6">
      <w:pPr>
        <w:outlineLvl w:val="1"/>
        <w:rPr>
          <w:rFonts w:hAnsi="宋体" w:cs="宋体"/>
          <w:b/>
          <w:sz w:val="32"/>
          <w:szCs w:val="32"/>
          <w:highlight w:val="none"/>
        </w:rPr>
      </w:pPr>
      <w:bookmarkStart w:id="100" w:name="_Toc1362"/>
      <w:bookmarkStart w:id="101" w:name="_Toc5216"/>
      <w:bookmarkStart w:id="102" w:name="_Toc7874"/>
      <w:bookmarkStart w:id="103" w:name="_Toc18120"/>
      <w:r>
        <w:rPr>
          <w:rFonts w:hint="eastAsia" w:hAnsi="宋体" w:cs="宋体"/>
          <w:b/>
          <w:sz w:val="32"/>
          <w:szCs w:val="32"/>
          <w:highlight w:val="none"/>
        </w:rPr>
        <w:t>政府采购项目</w:t>
      </w:r>
      <w:r>
        <w:rPr>
          <w:rFonts w:hint="eastAsia" w:hAnsi="宋体" w:cs="宋体"/>
          <w:b/>
          <w:bCs/>
          <w:sz w:val="28"/>
          <w:szCs w:val="28"/>
          <w:highlight w:val="none"/>
        </w:rPr>
        <w:t>（</w:t>
      </w:r>
      <w:r>
        <w:rPr>
          <w:rFonts w:hint="eastAsia" w:hAnsi="宋体" w:cs="宋体"/>
          <w:b/>
          <w:sz w:val="32"/>
          <w:szCs w:val="32"/>
          <w:highlight w:val="none"/>
        </w:rPr>
        <w:t>仅供参考）</w:t>
      </w:r>
      <w:bookmarkEnd w:id="100"/>
      <w:bookmarkEnd w:id="101"/>
      <w:bookmarkEnd w:id="102"/>
      <w:bookmarkEnd w:id="103"/>
      <w:r>
        <w:rPr>
          <w:rFonts w:hint="eastAsia" w:hAnsi="宋体" w:cs="宋体"/>
          <w:b/>
          <w:sz w:val="32"/>
          <w:szCs w:val="32"/>
          <w:highlight w:val="none"/>
        </w:rPr>
        <w:t xml:space="preserve">                  </w:t>
      </w:r>
    </w:p>
    <w:p w14:paraId="6A59FDA8">
      <w:pPr>
        <w:rPr>
          <w:rFonts w:hAnsi="宋体" w:cs="宋体"/>
          <w:b/>
          <w:sz w:val="32"/>
          <w:szCs w:val="32"/>
          <w:highlight w:val="none"/>
        </w:rPr>
      </w:pPr>
      <w:r>
        <w:rPr>
          <w:rFonts w:hint="eastAsia" w:hAnsi="宋体" w:cs="宋体"/>
          <w:b/>
          <w:sz w:val="32"/>
          <w:szCs w:val="32"/>
          <w:highlight w:val="none"/>
        </w:rPr>
        <w:t xml:space="preserve">          </w:t>
      </w:r>
    </w:p>
    <w:p w14:paraId="7788F6A6">
      <w:pPr>
        <w:jc w:val="center"/>
        <w:rPr>
          <w:rFonts w:hAnsi="宋体" w:cs="宋体"/>
          <w:sz w:val="52"/>
          <w:szCs w:val="52"/>
          <w:highlight w:val="none"/>
        </w:rPr>
      </w:pPr>
    </w:p>
    <w:p w14:paraId="7747E7DD">
      <w:pPr>
        <w:jc w:val="center"/>
        <w:rPr>
          <w:rFonts w:hAnsi="宋体" w:cs="宋体"/>
          <w:sz w:val="52"/>
          <w:szCs w:val="52"/>
          <w:highlight w:val="none"/>
        </w:rPr>
      </w:pPr>
    </w:p>
    <w:p w14:paraId="4082CA05">
      <w:pPr>
        <w:jc w:val="center"/>
        <w:rPr>
          <w:rFonts w:hAnsi="宋体" w:cs="宋体"/>
          <w:b/>
          <w:snapToGrid w:val="0"/>
          <w:sz w:val="48"/>
          <w:szCs w:val="48"/>
          <w:highlight w:val="none"/>
          <w:u w:val="single"/>
        </w:rPr>
      </w:pPr>
      <w:r>
        <w:rPr>
          <w:rFonts w:hint="eastAsia" w:hAnsi="宋体" w:cs="宋体"/>
          <w:b/>
          <w:snapToGrid w:val="0"/>
          <w:sz w:val="48"/>
          <w:szCs w:val="48"/>
          <w:highlight w:val="none"/>
          <w:u w:val="single"/>
        </w:rPr>
        <w:t>(项目名称)</w:t>
      </w:r>
    </w:p>
    <w:p w14:paraId="728888C9">
      <w:pPr>
        <w:jc w:val="center"/>
        <w:rPr>
          <w:rFonts w:hAnsi="宋体" w:cs="宋体"/>
          <w:b/>
          <w:sz w:val="72"/>
          <w:szCs w:val="72"/>
          <w:highlight w:val="none"/>
        </w:rPr>
      </w:pPr>
      <w:r>
        <w:rPr>
          <w:rFonts w:hint="eastAsia" w:hAnsi="宋体" w:cs="宋体"/>
          <w:b/>
          <w:sz w:val="72"/>
          <w:szCs w:val="72"/>
          <w:highlight w:val="none"/>
          <w:lang w:val="en-US" w:eastAsia="zh-CN"/>
        </w:rPr>
        <w:t>采 购</w:t>
      </w:r>
      <w:r>
        <w:rPr>
          <w:rFonts w:hint="eastAsia" w:hAnsi="宋体" w:cs="宋体"/>
          <w:b/>
          <w:sz w:val="72"/>
          <w:szCs w:val="72"/>
          <w:highlight w:val="none"/>
        </w:rPr>
        <w:t xml:space="preserve"> 合 同</w:t>
      </w:r>
    </w:p>
    <w:p w14:paraId="691F2A1C">
      <w:pPr>
        <w:jc w:val="center"/>
        <w:rPr>
          <w:rFonts w:hAnsi="宋体" w:cs="宋体"/>
          <w:sz w:val="30"/>
          <w:szCs w:val="30"/>
          <w:highlight w:val="none"/>
        </w:rPr>
      </w:pPr>
      <w:r>
        <w:rPr>
          <w:rFonts w:hint="eastAsia" w:hAnsi="宋体" w:cs="宋体"/>
          <w:sz w:val="30"/>
          <w:szCs w:val="30"/>
          <w:highlight w:val="none"/>
        </w:rPr>
        <w:t xml:space="preserve">（项目编号：      </w:t>
      </w:r>
      <w:r>
        <w:rPr>
          <w:rFonts w:hint="eastAsia" w:hAnsi="宋体" w:cs="宋体"/>
          <w:sz w:val="28"/>
          <w:szCs w:val="28"/>
          <w:highlight w:val="none"/>
        </w:rPr>
        <w:t>）</w:t>
      </w:r>
    </w:p>
    <w:p w14:paraId="05DE1B62">
      <w:pPr>
        <w:jc w:val="center"/>
        <w:rPr>
          <w:rFonts w:hAnsi="宋体" w:cs="宋体"/>
          <w:sz w:val="30"/>
          <w:szCs w:val="30"/>
          <w:highlight w:val="none"/>
        </w:rPr>
      </w:pPr>
    </w:p>
    <w:p w14:paraId="0826711F">
      <w:pPr>
        <w:jc w:val="center"/>
        <w:rPr>
          <w:rFonts w:hAnsi="宋体" w:cs="宋体"/>
          <w:sz w:val="30"/>
          <w:szCs w:val="30"/>
          <w:highlight w:val="none"/>
        </w:rPr>
      </w:pPr>
    </w:p>
    <w:p w14:paraId="3BE5DF4D">
      <w:pPr>
        <w:jc w:val="center"/>
        <w:rPr>
          <w:rFonts w:hAnsi="宋体" w:cs="宋体"/>
          <w:sz w:val="30"/>
          <w:szCs w:val="30"/>
          <w:highlight w:val="none"/>
        </w:rPr>
      </w:pPr>
    </w:p>
    <w:p w14:paraId="17368126">
      <w:pPr>
        <w:jc w:val="center"/>
        <w:rPr>
          <w:rFonts w:hAnsi="宋体" w:cs="宋体"/>
          <w:sz w:val="30"/>
          <w:szCs w:val="30"/>
          <w:highlight w:val="none"/>
        </w:rPr>
      </w:pPr>
    </w:p>
    <w:p w14:paraId="4217C086">
      <w:pPr>
        <w:jc w:val="center"/>
        <w:rPr>
          <w:rFonts w:hAnsi="宋体" w:cs="宋体"/>
          <w:sz w:val="30"/>
          <w:szCs w:val="30"/>
          <w:highlight w:val="none"/>
        </w:rPr>
      </w:pPr>
    </w:p>
    <w:p w14:paraId="5ADCAAC6">
      <w:pPr>
        <w:ind w:firstLine="2080" w:firstLineChars="650"/>
        <w:rPr>
          <w:rFonts w:hAnsi="宋体" w:cs="宋体"/>
          <w:sz w:val="32"/>
          <w:szCs w:val="32"/>
          <w:highlight w:val="none"/>
        </w:rPr>
      </w:pPr>
      <w:r>
        <w:rPr>
          <w:rFonts w:hint="eastAsia" w:hAnsi="宋体" w:cs="宋体"/>
          <w:sz w:val="32"/>
          <w:szCs w:val="32"/>
          <w:highlight w:val="none"/>
        </w:rPr>
        <w:t xml:space="preserve">甲  方： </w:t>
      </w:r>
    </w:p>
    <w:p w14:paraId="1A5B078E">
      <w:pPr>
        <w:tabs>
          <w:tab w:val="left" w:pos="480"/>
        </w:tabs>
        <w:ind w:firstLine="640" w:firstLineChars="200"/>
        <w:rPr>
          <w:rFonts w:hAnsi="宋体" w:cs="宋体"/>
          <w:sz w:val="32"/>
          <w:szCs w:val="32"/>
          <w:highlight w:val="none"/>
        </w:rPr>
      </w:pPr>
      <w:r>
        <w:rPr>
          <w:rFonts w:hint="eastAsia" w:hAnsi="宋体" w:cs="宋体"/>
          <w:sz w:val="32"/>
          <w:szCs w:val="32"/>
          <w:highlight w:val="none"/>
        </w:rPr>
        <w:t xml:space="preserve">         乙  方：</w:t>
      </w:r>
    </w:p>
    <w:p w14:paraId="7BBE643A">
      <w:pPr>
        <w:jc w:val="center"/>
        <w:rPr>
          <w:rFonts w:hAnsi="宋体" w:cs="宋体"/>
          <w:sz w:val="30"/>
          <w:szCs w:val="30"/>
          <w:highlight w:val="none"/>
        </w:rPr>
      </w:pPr>
    </w:p>
    <w:p w14:paraId="61F1E454">
      <w:pPr>
        <w:jc w:val="center"/>
        <w:rPr>
          <w:rFonts w:hAnsi="宋体" w:cs="宋体"/>
          <w:sz w:val="32"/>
          <w:szCs w:val="32"/>
          <w:highlight w:val="none"/>
        </w:rPr>
      </w:pPr>
      <w:r>
        <w:rPr>
          <w:rFonts w:hint="eastAsia" w:hAnsi="宋体" w:cs="宋体"/>
          <w:sz w:val="32"/>
          <w:szCs w:val="32"/>
          <w:highlight w:val="none"/>
        </w:rPr>
        <w:t xml:space="preserve">  年  月</w:t>
      </w:r>
    </w:p>
    <w:p w14:paraId="2D1F1275">
      <w:pPr>
        <w:jc w:val="center"/>
        <w:rPr>
          <w:rFonts w:hAnsi="宋体" w:cs="宋体"/>
          <w:sz w:val="32"/>
          <w:szCs w:val="32"/>
          <w:highlight w:val="none"/>
        </w:rPr>
      </w:pPr>
    </w:p>
    <w:p w14:paraId="1EE418A3">
      <w:pPr>
        <w:spacing w:line="590" w:lineRule="exact"/>
        <w:rPr>
          <w:rFonts w:hAnsi="宋体" w:cs="宋体"/>
          <w:b/>
          <w:sz w:val="36"/>
          <w:szCs w:val="36"/>
          <w:highlight w:val="none"/>
        </w:rPr>
      </w:pPr>
    </w:p>
    <w:p w14:paraId="0A6E89AD">
      <w:pPr>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eastAsia"/>
          <w:color w:val="auto"/>
          <w:sz w:val="24"/>
          <w:highlight w:val="none"/>
        </w:rPr>
      </w:pPr>
      <w:r>
        <w:rPr>
          <w:rFonts w:hint="eastAsia" w:hAnsi="宋体" w:cs="宋体"/>
          <w:b/>
          <w:szCs w:val="21"/>
          <w:highlight w:val="none"/>
        </w:rPr>
        <w:br w:type="page"/>
      </w:r>
      <w:bookmarkStart w:id="104" w:name="_Toc1119"/>
      <w:bookmarkStart w:id="105" w:name="_Toc4254"/>
      <w:bookmarkStart w:id="106" w:name="_Toc24914"/>
      <w:r>
        <w:rPr>
          <w:rFonts w:hint="eastAsia" w:ascii="宋体" w:hAnsi="宋体" w:eastAsia="宋体" w:cs="宋体"/>
          <w:b/>
          <w:bCs/>
          <w:color w:val="auto"/>
          <w:sz w:val="36"/>
          <w:szCs w:val="36"/>
          <w:highlight w:val="none"/>
        </w:rPr>
        <w:t>第一部分  协议书</w:t>
      </w:r>
    </w:p>
    <w:p w14:paraId="38492A3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甲方：柞水县城市管理局，其注册登记地址为：</w:t>
      </w:r>
      <w:r>
        <w:rPr>
          <w:rFonts w:hint="eastAsia"/>
          <w:color w:val="auto"/>
          <w:sz w:val="24"/>
          <w:highlight w:val="none"/>
          <w:u w:val="single"/>
          <w:lang w:val="en-US" w:eastAsia="zh-CN"/>
        </w:rPr>
        <w:t xml:space="preserve">                      </w:t>
      </w:r>
      <w:r>
        <w:rPr>
          <w:rFonts w:hint="eastAsia"/>
          <w:color w:val="auto"/>
          <w:sz w:val="24"/>
          <w:highlight w:val="none"/>
        </w:rPr>
        <w:t>，法定代表人为：</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w:t>
      </w:r>
    </w:p>
    <w:p w14:paraId="5232FFAD">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rPr>
        <w:t>，其注册登记地址为：</w:t>
      </w:r>
      <w:r>
        <w:rPr>
          <w:rFonts w:hint="eastAsia"/>
          <w:color w:val="auto"/>
          <w:sz w:val="24"/>
          <w:highlight w:val="none"/>
          <w:u w:val="single"/>
        </w:rPr>
        <w:t xml:space="preserve">                ，</w:t>
      </w:r>
      <w:r>
        <w:rPr>
          <w:rFonts w:hint="eastAsia"/>
          <w:color w:val="auto"/>
          <w:sz w:val="24"/>
          <w:highlight w:val="none"/>
        </w:rPr>
        <w:t>法定代表人为：</w:t>
      </w:r>
      <w:r>
        <w:rPr>
          <w:rFonts w:hint="eastAsia"/>
          <w:color w:val="auto"/>
          <w:sz w:val="24"/>
          <w:highlight w:val="none"/>
          <w:u w:val="single"/>
        </w:rPr>
        <w:t xml:space="preserve">        </w:t>
      </w:r>
      <w:r>
        <w:rPr>
          <w:rFonts w:hint="eastAsia"/>
          <w:color w:val="auto"/>
          <w:sz w:val="24"/>
          <w:highlight w:val="none"/>
        </w:rPr>
        <w:t xml:space="preserve">。 </w:t>
      </w:r>
    </w:p>
    <w:p w14:paraId="4EDD81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u w:val="single"/>
        </w:rPr>
      </w:pPr>
      <w:r>
        <w:rPr>
          <w:rFonts w:hint="eastAsia"/>
          <w:color w:val="auto"/>
          <w:sz w:val="24"/>
          <w:highlight w:val="none"/>
        </w:rPr>
        <w:t>甲、乙双方基于公平、公正、平等的原则，依据《中华人民共和国</w:t>
      </w:r>
      <w:r>
        <w:rPr>
          <w:rFonts w:hint="eastAsia"/>
          <w:color w:val="auto"/>
          <w:sz w:val="24"/>
          <w:highlight w:val="none"/>
          <w:lang w:eastAsia="zh-CN"/>
        </w:rPr>
        <w:t>民法典</w:t>
      </w:r>
      <w:r>
        <w:rPr>
          <w:rFonts w:hint="eastAsia"/>
          <w:color w:val="auto"/>
          <w:sz w:val="24"/>
          <w:highlight w:val="none"/>
        </w:rPr>
        <w:t>》、《中华人民共和国</w:t>
      </w:r>
      <w:r>
        <w:rPr>
          <w:rFonts w:hint="eastAsia"/>
          <w:color w:val="auto"/>
          <w:sz w:val="24"/>
          <w:highlight w:val="none"/>
          <w:lang w:eastAsia="zh-CN"/>
        </w:rPr>
        <w:t>政府采购法</w:t>
      </w:r>
      <w:r>
        <w:rPr>
          <w:rFonts w:hint="eastAsia"/>
          <w:color w:val="auto"/>
          <w:sz w:val="24"/>
          <w:highlight w:val="none"/>
        </w:rPr>
        <w:t>》之相关规定，现经甲、乙双方友好协商，就甲方购买乙方产品设备事宜，达成以下合同条款：</w:t>
      </w:r>
    </w:p>
    <w:p w14:paraId="668DE705">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一、</w:t>
      </w:r>
      <w:r>
        <w:rPr>
          <w:rFonts w:hint="eastAsia"/>
          <w:b/>
          <w:color w:val="auto"/>
          <w:sz w:val="24"/>
          <w:highlight w:val="none"/>
        </w:rPr>
        <w:t>合同标的物：</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732"/>
        <w:gridCol w:w="1006"/>
        <w:gridCol w:w="1303"/>
        <w:gridCol w:w="962"/>
        <w:gridCol w:w="962"/>
        <w:gridCol w:w="955"/>
        <w:gridCol w:w="897"/>
      </w:tblGrid>
      <w:tr w14:paraId="22D0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6AA4EA97">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序号</w:t>
            </w:r>
          </w:p>
        </w:tc>
        <w:tc>
          <w:tcPr>
            <w:tcW w:w="1732" w:type="dxa"/>
            <w:tcBorders>
              <w:top w:val="single" w:color="auto" w:sz="4" w:space="0"/>
              <w:left w:val="single" w:color="auto" w:sz="4" w:space="0"/>
              <w:bottom w:val="single" w:color="auto" w:sz="4" w:space="0"/>
              <w:right w:val="single" w:color="auto" w:sz="4" w:space="0"/>
            </w:tcBorders>
            <w:vAlign w:val="center"/>
          </w:tcPr>
          <w:p w14:paraId="0610C667">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产品名称</w:t>
            </w:r>
          </w:p>
        </w:tc>
        <w:tc>
          <w:tcPr>
            <w:tcW w:w="1006" w:type="dxa"/>
            <w:tcBorders>
              <w:top w:val="single" w:color="auto" w:sz="4" w:space="0"/>
              <w:left w:val="single" w:color="auto" w:sz="4" w:space="0"/>
              <w:bottom w:val="single" w:color="auto" w:sz="4" w:space="0"/>
              <w:right w:val="single" w:color="auto" w:sz="4" w:space="0"/>
            </w:tcBorders>
            <w:vAlign w:val="center"/>
          </w:tcPr>
          <w:p w14:paraId="114E919B">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型号</w:t>
            </w:r>
          </w:p>
        </w:tc>
        <w:tc>
          <w:tcPr>
            <w:tcW w:w="1303" w:type="dxa"/>
            <w:tcBorders>
              <w:top w:val="single" w:color="auto" w:sz="4" w:space="0"/>
              <w:left w:val="single" w:color="auto" w:sz="4" w:space="0"/>
              <w:bottom w:val="single" w:color="auto" w:sz="4" w:space="0"/>
              <w:right w:val="single" w:color="auto" w:sz="4" w:space="0"/>
            </w:tcBorders>
            <w:vAlign w:val="center"/>
          </w:tcPr>
          <w:p w14:paraId="7586DA1E">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生产厂家</w:t>
            </w:r>
          </w:p>
        </w:tc>
        <w:tc>
          <w:tcPr>
            <w:tcW w:w="962" w:type="dxa"/>
            <w:tcBorders>
              <w:top w:val="single" w:color="auto" w:sz="4" w:space="0"/>
              <w:left w:val="single" w:color="auto" w:sz="4" w:space="0"/>
              <w:bottom w:val="single" w:color="auto" w:sz="4" w:space="0"/>
              <w:right w:val="single" w:color="auto" w:sz="4" w:space="0"/>
            </w:tcBorders>
            <w:vAlign w:val="center"/>
          </w:tcPr>
          <w:p w14:paraId="3542FC8B">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数量</w:t>
            </w:r>
          </w:p>
        </w:tc>
        <w:tc>
          <w:tcPr>
            <w:tcW w:w="962" w:type="dxa"/>
            <w:tcBorders>
              <w:top w:val="single" w:color="auto" w:sz="4" w:space="0"/>
              <w:left w:val="single" w:color="auto" w:sz="4" w:space="0"/>
              <w:bottom w:val="single" w:color="auto" w:sz="4" w:space="0"/>
              <w:right w:val="single" w:color="auto" w:sz="4" w:space="0"/>
            </w:tcBorders>
            <w:vAlign w:val="center"/>
          </w:tcPr>
          <w:p w14:paraId="0DED5201">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单价</w:t>
            </w:r>
          </w:p>
        </w:tc>
        <w:tc>
          <w:tcPr>
            <w:tcW w:w="955" w:type="dxa"/>
            <w:tcBorders>
              <w:top w:val="single" w:color="auto" w:sz="4" w:space="0"/>
              <w:left w:val="single" w:color="auto" w:sz="4" w:space="0"/>
              <w:bottom w:val="single" w:color="auto" w:sz="4" w:space="0"/>
              <w:right w:val="single" w:color="auto" w:sz="4" w:space="0"/>
            </w:tcBorders>
            <w:vAlign w:val="center"/>
          </w:tcPr>
          <w:p w14:paraId="0BEC8904">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总价</w:t>
            </w:r>
          </w:p>
        </w:tc>
        <w:tc>
          <w:tcPr>
            <w:tcW w:w="897" w:type="dxa"/>
            <w:tcBorders>
              <w:top w:val="single" w:color="auto" w:sz="4" w:space="0"/>
              <w:left w:val="single" w:color="auto" w:sz="4" w:space="0"/>
              <w:bottom w:val="single" w:color="auto" w:sz="4" w:space="0"/>
              <w:right w:val="single" w:color="auto" w:sz="4" w:space="0"/>
            </w:tcBorders>
            <w:vAlign w:val="center"/>
          </w:tcPr>
          <w:p w14:paraId="2745834D">
            <w:pPr>
              <w:spacing w:line="400" w:lineRule="exact"/>
              <w:ind w:left="0" w:leftChars="0" w:firstLine="0" w:firstLineChars="0"/>
              <w:jc w:val="center"/>
              <w:rPr>
                <w:rFonts w:hAnsi="宋体" w:cs="宋体"/>
                <w:b/>
                <w:color w:val="auto"/>
                <w:highlight w:val="none"/>
              </w:rPr>
            </w:pPr>
            <w:r>
              <w:rPr>
                <w:rFonts w:hint="eastAsia" w:hAnsi="宋体" w:cs="宋体"/>
                <w:b/>
                <w:color w:val="auto"/>
                <w:highlight w:val="none"/>
              </w:rPr>
              <w:t>备注</w:t>
            </w:r>
          </w:p>
        </w:tc>
      </w:tr>
      <w:tr w14:paraId="203B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47F29E16">
            <w:pPr>
              <w:adjustRightInd w:val="0"/>
              <w:snapToGrid w:val="0"/>
              <w:ind w:left="0" w:leftChars="0" w:firstLine="0" w:firstLineChars="0"/>
              <w:jc w:val="center"/>
              <w:rPr>
                <w:rFonts w:hAnsi="宋体" w:cs="宋体"/>
                <w:color w:val="auto"/>
                <w:highlight w:val="none"/>
              </w:rPr>
            </w:pPr>
            <w:r>
              <w:rPr>
                <w:rFonts w:hint="eastAsia" w:hAnsi="宋体" w:cs="宋体"/>
                <w:color w:val="auto"/>
                <w:highlight w:val="none"/>
              </w:rPr>
              <w:t>1</w:t>
            </w:r>
          </w:p>
        </w:tc>
        <w:tc>
          <w:tcPr>
            <w:tcW w:w="1732" w:type="dxa"/>
            <w:tcBorders>
              <w:top w:val="single" w:color="auto" w:sz="4" w:space="0"/>
              <w:left w:val="single" w:color="auto" w:sz="4" w:space="0"/>
              <w:bottom w:val="single" w:color="auto" w:sz="4" w:space="0"/>
              <w:right w:val="single" w:color="auto" w:sz="4" w:space="0"/>
            </w:tcBorders>
            <w:vAlign w:val="center"/>
          </w:tcPr>
          <w:p w14:paraId="22E90E06">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4DB685EB">
            <w:pPr>
              <w:spacing w:line="400" w:lineRule="exact"/>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026C930">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0F520D08">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2DB6F822">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487E14BC">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31069614">
            <w:pPr>
              <w:jc w:val="center"/>
              <w:textAlignment w:val="center"/>
              <w:rPr>
                <w:rFonts w:hAnsi="宋体" w:cs="宋体"/>
                <w:color w:val="auto"/>
                <w:highlight w:val="none"/>
              </w:rPr>
            </w:pPr>
          </w:p>
        </w:tc>
      </w:tr>
      <w:tr w14:paraId="12C9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722E311C">
            <w:pPr>
              <w:adjustRightInd w:val="0"/>
              <w:snapToGrid w:val="0"/>
              <w:jc w:val="center"/>
              <w:rPr>
                <w:rFonts w:hAnsi="宋体" w:cs="宋体"/>
                <w:color w:val="auto"/>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4CC64419">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5672D396">
            <w:pPr>
              <w:spacing w:line="400" w:lineRule="exact"/>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44A7F35">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1E842AEE">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6272CF1D">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2E7732A2">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4527A0CA">
            <w:pPr>
              <w:jc w:val="center"/>
              <w:textAlignment w:val="center"/>
              <w:rPr>
                <w:rFonts w:hAnsi="宋体" w:cs="宋体"/>
                <w:color w:val="auto"/>
                <w:highlight w:val="none"/>
              </w:rPr>
            </w:pPr>
          </w:p>
        </w:tc>
      </w:tr>
      <w:tr w14:paraId="51ED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481339E2">
            <w:pPr>
              <w:adjustRightInd w:val="0"/>
              <w:snapToGrid w:val="0"/>
              <w:jc w:val="center"/>
              <w:rPr>
                <w:rFonts w:hAnsi="宋体" w:cs="宋体"/>
                <w:color w:val="auto"/>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FC563B1">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3B8F99A7">
            <w:pPr>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C2D75AB">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21503CEB">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1667A7C7">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079D3063">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68973D26">
            <w:pPr>
              <w:jc w:val="center"/>
              <w:textAlignment w:val="center"/>
              <w:rPr>
                <w:rFonts w:hAnsi="宋体" w:cs="宋体"/>
                <w:color w:val="auto"/>
                <w:highlight w:val="none"/>
              </w:rPr>
            </w:pPr>
          </w:p>
        </w:tc>
      </w:tr>
      <w:tr w14:paraId="1866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572" w:type="dxa"/>
            <w:gridSpan w:val="2"/>
            <w:tcBorders>
              <w:top w:val="single" w:color="auto" w:sz="4" w:space="0"/>
              <w:left w:val="single" w:color="auto" w:sz="4" w:space="0"/>
              <w:bottom w:val="single" w:color="auto" w:sz="4" w:space="0"/>
              <w:right w:val="single" w:color="auto" w:sz="4" w:space="0"/>
            </w:tcBorders>
            <w:vAlign w:val="center"/>
          </w:tcPr>
          <w:p w14:paraId="287BD714">
            <w:pPr>
              <w:adjustRightInd w:val="0"/>
              <w:snapToGrid w:val="0"/>
              <w:ind w:left="0" w:leftChars="0" w:firstLine="0" w:firstLineChars="0"/>
              <w:jc w:val="both"/>
              <w:rPr>
                <w:rFonts w:hAnsi="宋体" w:cs="宋体"/>
                <w:b/>
                <w:color w:val="auto"/>
                <w:highlight w:val="none"/>
              </w:rPr>
            </w:pPr>
            <w:r>
              <w:rPr>
                <w:rFonts w:hint="eastAsia" w:hAnsi="宋体" w:cs="宋体"/>
                <w:b/>
                <w:color w:val="auto"/>
                <w:highlight w:val="none"/>
              </w:rPr>
              <w:t>总计（人民币/元）</w:t>
            </w:r>
          </w:p>
        </w:tc>
        <w:tc>
          <w:tcPr>
            <w:tcW w:w="6085" w:type="dxa"/>
            <w:gridSpan w:val="6"/>
            <w:tcBorders>
              <w:top w:val="single" w:color="auto" w:sz="4" w:space="0"/>
              <w:left w:val="single" w:color="auto" w:sz="4" w:space="0"/>
              <w:bottom w:val="single" w:color="auto" w:sz="4" w:space="0"/>
              <w:right w:val="single" w:color="auto" w:sz="4" w:space="0"/>
            </w:tcBorders>
            <w:vAlign w:val="center"/>
          </w:tcPr>
          <w:p w14:paraId="5E2D4CE5">
            <w:pPr>
              <w:adjustRightInd w:val="0"/>
              <w:snapToGrid w:val="0"/>
              <w:rPr>
                <w:rFonts w:hAnsi="宋体" w:cs="宋体"/>
                <w:b/>
                <w:color w:val="auto"/>
                <w:highlight w:val="none"/>
              </w:rPr>
            </w:pPr>
            <w:r>
              <w:rPr>
                <w:rFonts w:hint="eastAsia" w:hAnsi="宋体" w:cs="宋体"/>
                <w:b/>
                <w:color w:val="auto"/>
                <w:highlight w:val="none"/>
              </w:rPr>
              <w:t>￥：       （大写）</w:t>
            </w:r>
          </w:p>
        </w:tc>
      </w:tr>
    </w:tbl>
    <w:p w14:paraId="197EB948">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二、</w:t>
      </w:r>
      <w:r>
        <w:rPr>
          <w:rFonts w:hint="eastAsia"/>
          <w:b/>
          <w:color w:val="auto"/>
          <w:sz w:val="24"/>
          <w:highlight w:val="none"/>
        </w:rPr>
        <w:t>合同价款：</w:t>
      </w:r>
    </w:p>
    <w:p w14:paraId="76D44C5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1、合同总金额：</w:t>
      </w:r>
      <w:r>
        <w:rPr>
          <w:rFonts w:hint="eastAsia"/>
          <w:b/>
          <w:color w:val="auto"/>
          <w:sz w:val="24"/>
          <w:highlight w:val="none"/>
          <w:u w:val="single"/>
        </w:rPr>
        <w:t>人民币          元整。</w:t>
      </w:r>
    </w:p>
    <w:p w14:paraId="7ED1D081">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三、</w:t>
      </w:r>
      <w:r>
        <w:rPr>
          <w:rFonts w:hint="eastAsia"/>
          <w:b/>
          <w:color w:val="auto"/>
          <w:sz w:val="24"/>
          <w:highlight w:val="none"/>
        </w:rPr>
        <w:t>交货地点：</w:t>
      </w:r>
    </w:p>
    <w:p w14:paraId="244A8FC4">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color w:val="auto"/>
          <w:sz w:val="24"/>
          <w:highlight w:val="none"/>
        </w:rPr>
      </w:pPr>
      <w:r>
        <w:rPr>
          <w:rFonts w:hint="eastAsia"/>
          <w:color w:val="auto"/>
          <w:sz w:val="24"/>
          <w:highlight w:val="none"/>
          <w:lang w:eastAsia="zh-CN"/>
        </w:rPr>
        <w:t>柞水县中心敬老院</w:t>
      </w:r>
      <w:r>
        <w:rPr>
          <w:rFonts w:hint="eastAsia"/>
          <w:color w:val="auto"/>
          <w:sz w:val="24"/>
          <w:highlight w:val="none"/>
        </w:rPr>
        <w:t>指定地点。</w:t>
      </w:r>
    </w:p>
    <w:p w14:paraId="5C10C54A">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四、</w:t>
      </w:r>
      <w:r>
        <w:rPr>
          <w:rFonts w:hint="eastAsia"/>
          <w:b/>
          <w:color w:val="auto"/>
          <w:sz w:val="24"/>
          <w:highlight w:val="none"/>
        </w:rPr>
        <w:t>交货时间：</w:t>
      </w:r>
    </w:p>
    <w:p w14:paraId="27E0A3C3">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color w:val="auto"/>
          <w:sz w:val="24"/>
          <w:highlight w:val="none"/>
        </w:rPr>
      </w:pPr>
      <w:r>
        <w:rPr>
          <w:rFonts w:hint="eastAsia"/>
          <w:color w:val="auto"/>
          <w:sz w:val="24"/>
          <w:highlight w:val="none"/>
        </w:rPr>
        <w:t>合同签订接采购人通知后</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个日历日内。</w:t>
      </w:r>
    </w:p>
    <w:p w14:paraId="4C4E7B20">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b/>
          <w:color w:val="auto"/>
          <w:sz w:val="24"/>
          <w:highlight w:val="none"/>
          <w:lang w:eastAsia="zh-CN"/>
        </w:rPr>
        <w:t>五、</w:t>
      </w:r>
      <w:r>
        <w:rPr>
          <w:rFonts w:hint="eastAsia"/>
          <w:b/>
          <w:color w:val="auto"/>
          <w:sz w:val="24"/>
          <w:highlight w:val="none"/>
        </w:rPr>
        <w:t>甲方指定收件人为：</w:t>
      </w:r>
      <w:r>
        <w:rPr>
          <w:rFonts w:hint="eastAsia"/>
          <w:b/>
          <w:color w:val="auto"/>
          <w:sz w:val="24"/>
          <w:highlight w:val="none"/>
          <w:u w:val="single"/>
          <w:lang w:val="en-US" w:eastAsia="zh-CN"/>
        </w:rPr>
        <w:t xml:space="preserve">        </w:t>
      </w:r>
      <w:r>
        <w:rPr>
          <w:rFonts w:hint="eastAsia"/>
          <w:color w:val="auto"/>
          <w:sz w:val="24"/>
          <w:highlight w:val="none"/>
        </w:rPr>
        <w:t>，联系电话</w:t>
      </w:r>
      <w:r>
        <w:rPr>
          <w:rFonts w:hint="eastAsia"/>
          <w:color w:val="auto"/>
          <w:sz w:val="24"/>
          <w:highlight w:val="none"/>
          <w:u w:val="single"/>
          <w:lang w:val="en-US" w:eastAsia="zh-CN"/>
        </w:rPr>
        <w:t xml:space="preserve">          </w:t>
      </w:r>
      <w:r>
        <w:rPr>
          <w:rFonts w:hint="eastAsia"/>
          <w:i/>
          <w:iCs/>
          <w:color w:val="auto"/>
          <w:sz w:val="24"/>
          <w:highlight w:val="none"/>
          <w:u w:val="single"/>
          <w:lang w:val="en-US" w:eastAsia="zh-CN"/>
        </w:rPr>
        <w:t xml:space="preserve">     </w:t>
      </w:r>
      <w:r>
        <w:rPr>
          <w:rFonts w:hint="eastAsia"/>
          <w:color w:val="auto"/>
          <w:sz w:val="24"/>
          <w:highlight w:val="none"/>
        </w:rPr>
        <w:t>。</w:t>
      </w:r>
    </w:p>
    <w:p w14:paraId="4DC666E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根据使用需要，甲方如需提前或推迟收货，甲方应当</w:t>
      </w:r>
      <w:r>
        <w:rPr>
          <w:rFonts w:hint="eastAsia"/>
          <w:b/>
          <w:bCs/>
          <w:color w:val="auto"/>
          <w:sz w:val="24"/>
          <w:highlight w:val="none"/>
        </w:rPr>
        <w:t>提前电话或邮箱或其他任何在本合同约定的方式通知乙方</w:t>
      </w:r>
      <w:r>
        <w:rPr>
          <w:rFonts w:hint="eastAsia"/>
          <w:color w:val="auto"/>
          <w:sz w:val="24"/>
          <w:highlight w:val="none"/>
        </w:rPr>
        <w:t>，乙方应无条件配合，不得收取仓储费等任何费用。</w:t>
      </w:r>
    </w:p>
    <w:p w14:paraId="5B8D38AC">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六</w:t>
      </w:r>
      <w:r>
        <w:rPr>
          <w:rFonts w:hint="eastAsia"/>
          <w:b/>
          <w:color w:val="auto"/>
          <w:sz w:val="24"/>
          <w:highlight w:val="none"/>
        </w:rPr>
        <w:t>：货款结算方式：</w:t>
      </w:r>
    </w:p>
    <w:p w14:paraId="337A35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b/>
          <w:bCs/>
          <w:color w:val="auto"/>
          <w:sz w:val="24"/>
          <w:highlight w:val="none"/>
        </w:rPr>
      </w:pPr>
      <w:r>
        <w:rPr>
          <w:rFonts w:hint="eastAsia"/>
          <w:color w:val="auto"/>
          <w:sz w:val="24"/>
          <w:highlight w:val="none"/>
        </w:rPr>
        <w:t>1、付款方式：</w:t>
      </w:r>
    </w:p>
    <w:p w14:paraId="38A3C8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2、支付方式：甲方直接将货款通过银行转账的方式转入乙方指定的专用账号。乙方账户名：</w:t>
      </w:r>
      <w:r>
        <w:rPr>
          <w:rFonts w:hint="eastAsia"/>
          <w:color w:val="auto"/>
          <w:sz w:val="24"/>
          <w:highlight w:val="none"/>
          <w:u w:val="single"/>
        </w:rPr>
        <w:t xml:space="preserve">               </w:t>
      </w:r>
      <w:r>
        <w:rPr>
          <w:rFonts w:hint="eastAsia"/>
          <w:color w:val="auto"/>
          <w:sz w:val="24"/>
          <w:highlight w:val="none"/>
        </w:rPr>
        <w:t>。账号：</w:t>
      </w:r>
      <w:r>
        <w:rPr>
          <w:rFonts w:hint="eastAsia"/>
          <w:color w:val="auto"/>
          <w:sz w:val="24"/>
          <w:highlight w:val="none"/>
          <w:u w:val="single"/>
        </w:rPr>
        <w:t xml:space="preserve">              </w:t>
      </w:r>
      <w:r>
        <w:rPr>
          <w:rFonts w:hint="eastAsia"/>
          <w:color w:val="auto"/>
          <w:sz w:val="24"/>
          <w:highlight w:val="none"/>
        </w:rPr>
        <w:t>。开户行</w:t>
      </w:r>
      <w:r>
        <w:rPr>
          <w:rFonts w:hint="eastAsia"/>
          <w:color w:val="auto"/>
          <w:sz w:val="24"/>
          <w:highlight w:val="none"/>
          <w:u w:val="single"/>
        </w:rPr>
        <w:t xml:space="preserve">             </w:t>
      </w:r>
      <w:r>
        <w:rPr>
          <w:rFonts w:hint="eastAsia"/>
          <w:color w:val="auto"/>
          <w:sz w:val="24"/>
          <w:highlight w:val="none"/>
        </w:rPr>
        <w:t>。</w:t>
      </w:r>
    </w:p>
    <w:p w14:paraId="186EF458">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七</w:t>
      </w:r>
      <w:r>
        <w:rPr>
          <w:rFonts w:hint="eastAsia" w:ascii="宋体" w:hAnsi="宋体" w:eastAsia="宋体" w:cs="宋体"/>
          <w:b/>
          <w:color w:val="auto"/>
          <w:szCs w:val="24"/>
          <w:highlight w:val="none"/>
        </w:rPr>
        <w:t>、质量保证：</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55F3B0E7">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bCs/>
          <w:color w:val="auto"/>
          <w:szCs w:val="24"/>
          <w:highlight w:val="none"/>
          <w:lang w:eastAsia="zh-CN"/>
        </w:rPr>
        <w:t>八</w:t>
      </w:r>
      <w:r>
        <w:rPr>
          <w:rFonts w:hint="eastAsia" w:ascii="宋体" w:hAnsi="宋体" w:eastAsia="宋体" w:cs="宋体"/>
          <w:color w:val="auto"/>
          <w:szCs w:val="24"/>
          <w:highlight w:val="none"/>
        </w:rPr>
        <w:t>、</w:t>
      </w:r>
      <w:r>
        <w:rPr>
          <w:rFonts w:hint="eastAsia" w:ascii="宋体" w:hAnsi="宋体" w:eastAsia="宋体" w:cs="宋体"/>
          <w:b/>
          <w:bCs/>
          <w:color w:val="auto"/>
          <w:szCs w:val="24"/>
          <w:highlight w:val="none"/>
        </w:rPr>
        <w:t>运输、安装、调试要求：</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13808B85">
      <w:pPr>
        <w:adjustRightInd w:val="0"/>
        <w:snapToGrid w:val="0"/>
        <w:spacing w:line="360" w:lineRule="auto"/>
        <w:rPr>
          <w:rFonts w:ascii="宋体" w:hAnsi="宋体" w:eastAsia="宋体" w:cs="宋体"/>
          <w:b/>
          <w:color w:val="auto"/>
          <w:szCs w:val="24"/>
          <w:highlight w:val="none"/>
        </w:rPr>
      </w:pPr>
      <w:r>
        <w:rPr>
          <w:rFonts w:hint="eastAsia" w:ascii="宋体" w:hAnsi="宋体" w:eastAsia="宋体" w:cs="宋体"/>
          <w:b/>
          <w:bCs/>
          <w:color w:val="auto"/>
          <w:szCs w:val="24"/>
          <w:highlight w:val="none"/>
          <w:lang w:eastAsia="zh-CN"/>
        </w:rPr>
        <w:t>九</w:t>
      </w:r>
      <w:r>
        <w:rPr>
          <w:rFonts w:hint="eastAsia" w:ascii="宋体" w:hAnsi="宋体" w:eastAsia="宋体" w:cs="宋体"/>
          <w:b/>
          <w:bCs/>
          <w:color w:val="auto"/>
          <w:szCs w:val="24"/>
          <w:highlight w:val="none"/>
        </w:rPr>
        <w:t>、技术支持</w:t>
      </w:r>
      <w:r>
        <w:rPr>
          <w:rFonts w:hint="eastAsia" w:ascii="宋体" w:hAnsi="宋体" w:eastAsia="宋体" w:cs="宋体"/>
          <w:b/>
          <w:bCs/>
          <w:color w:val="auto"/>
          <w:szCs w:val="24"/>
          <w:highlight w:val="none"/>
          <w:lang w:eastAsia="zh-CN"/>
        </w:rPr>
        <w:t>及</w:t>
      </w:r>
      <w:r>
        <w:rPr>
          <w:rFonts w:hint="eastAsia" w:ascii="宋体" w:hAnsi="宋体" w:eastAsia="宋体" w:cs="宋体"/>
          <w:b/>
          <w:bCs/>
          <w:color w:val="auto"/>
          <w:szCs w:val="24"/>
          <w:highlight w:val="none"/>
        </w:rPr>
        <w:t>培训：</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7F614DF0">
      <w:pPr>
        <w:adjustRightInd w:val="0"/>
        <w:snapToGrid w:val="0"/>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lang w:eastAsia="zh-CN"/>
        </w:rPr>
        <w:t>十</w:t>
      </w:r>
      <w:r>
        <w:rPr>
          <w:rFonts w:hint="eastAsia" w:ascii="宋体" w:hAnsi="宋体" w:eastAsia="宋体" w:cs="宋体"/>
          <w:b/>
          <w:color w:val="auto"/>
          <w:szCs w:val="24"/>
          <w:highlight w:val="none"/>
        </w:rPr>
        <w:t>、</w:t>
      </w:r>
      <w:r>
        <w:rPr>
          <w:rFonts w:hint="eastAsia" w:ascii="宋体" w:hAnsi="宋体" w:eastAsia="宋体" w:cs="宋体"/>
          <w:b/>
          <w:bCs/>
          <w:color w:val="auto"/>
          <w:szCs w:val="24"/>
          <w:highlight w:val="none"/>
        </w:rPr>
        <w:t>技术资料要求</w:t>
      </w:r>
      <w:r>
        <w:rPr>
          <w:rFonts w:hint="eastAsia" w:ascii="宋体" w:hAnsi="宋体" w:eastAsia="宋体" w:cs="宋体"/>
          <w:b/>
          <w:color w:val="auto"/>
          <w:szCs w:val="24"/>
          <w:highlight w:val="none"/>
        </w:rPr>
        <w:t>：</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6FA55E08">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十一</w:t>
      </w:r>
      <w:r>
        <w:rPr>
          <w:rFonts w:hint="eastAsia" w:ascii="宋体" w:hAnsi="宋体" w:eastAsia="宋体" w:cs="宋体"/>
          <w:b/>
          <w:color w:val="auto"/>
          <w:szCs w:val="24"/>
          <w:highlight w:val="none"/>
        </w:rPr>
        <w:t>、验收：</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51FAC154">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bCs/>
          <w:color w:val="auto"/>
          <w:szCs w:val="24"/>
          <w:highlight w:val="none"/>
        </w:rPr>
        <w:t>十</w:t>
      </w:r>
      <w:r>
        <w:rPr>
          <w:rFonts w:hint="eastAsia" w:ascii="宋体" w:hAnsi="宋体" w:eastAsia="宋体" w:cs="宋体"/>
          <w:b/>
          <w:bCs/>
          <w:color w:val="auto"/>
          <w:szCs w:val="24"/>
          <w:highlight w:val="none"/>
          <w:lang w:eastAsia="zh-CN"/>
        </w:rPr>
        <w:t>二</w:t>
      </w:r>
      <w:r>
        <w:rPr>
          <w:rFonts w:hint="eastAsia" w:ascii="宋体" w:hAnsi="宋体" w:eastAsia="宋体" w:cs="宋体"/>
          <w:b/>
          <w:bCs/>
          <w:color w:val="auto"/>
          <w:szCs w:val="24"/>
          <w:highlight w:val="none"/>
        </w:rPr>
        <w:t>、质保及维保服务：</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42BDDAF5">
      <w:pPr>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三</w:t>
      </w:r>
      <w:r>
        <w:rPr>
          <w:rFonts w:hint="eastAsia" w:ascii="宋体" w:hAnsi="宋体" w:eastAsia="宋体" w:cs="宋体"/>
          <w:b/>
          <w:color w:val="auto"/>
          <w:szCs w:val="24"/>
          <w:highlight w:val="none"/>
        </w:rPr>
        <w:t>、合同争议的解决</w:t>
      </w:r>
    </w:p>
    <w:p w14:paraId="7A1136F8">
      <w:pPr>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rPr>
        <w:t>合同执行中发生争议的，当事人双方应协商解决。协商达不成一致时，可向当地行政仲裁机关申请仲裁或者向人民法院提请诉讼。</w:t>
      </w:r>
    </w:p>
    <w:p w14:paraId="786D4D76">
      <w:pPr>
        <w:spacing w:line="360" w:lineRule="auto"/>
        <w:jc w:val="left"/>
        <w:rPr>
          <w:rFonts w:ascii="宋体" w:hAnsi="宋体" w:eastAsia="宋体" w:cs="宋体"/>
          <w:b/>
          <w:bCs/>
          <w:color w:val="auto"/>
          <w:szCs w:val="24"/>
          <w:highlight w:val="none"/>
        </w:rPr>
      </w:pPr>
      <w:r>
        <w:rPr>
          <w:rFonts w:hint="eastAsia" w:ascii="宋体" w:hAnsi="宋体" w:eastAsia="宋体" w:cs="宋体"/>
          <w:b/>
          <w:bCs/>
          <w:color w:val="auto"/>
          <w:szCs w:val="24"/>
          <w:highlight w:val="none"/>
        </w:rPr>
        <w:t>十</w:t>
      </w:r>
      <w:r>
        <w:rPr>
          <w:rFonts w:hint="eastAsia" w:hAnsi="宋体" w:cs="宋体"/>
          <w:b/>
          <w:bCs/>
          <w:color w:val="auto"/>
          <w:szCs w:val="24"/>
          <w:highlight w:val="none"/>
          <w:lang w:eastAsia="zh-CN"/>
        </w:rPr>
        <w:t>四</w:t>
      </w:r>
      <w:r>
        <w:rPr>
          <w:rFonts w:hint="eastAsia" w:ascii="宋体" w:hAnsi="宋体" w:eastAsia="宋体" w:cs="宋体"/>
          <w:b/>
          <w:bCs/>
          <w:color w:val="auto"/>
          <w:szCs w:val="24"/>
          <w:highlight w:val="none"/>
        </w:rPr>
        <w:t>、不可抗力情况下的免责约定</w:t>
      </w:r>
    </w:p>
    <w:p w14:paraId="5B87AA67">
      <w:pPr>
        <w:spacing w:line="360" w:lineRule="auto"/>
        <w:jc w:val="left"/>
        <w:rPr>
          <w:rFonts w:ascii="宋体" w:hAnsi="宋体" w:eastAsia="宋体" w:cs="宋体"/>
          <w:color w:val="auto"/>
          <w:szCs w:val="24"/>
          <w:highlight w:val="none"/>
        </w:rPr>
      </w:pPr>
      <w:r>
        <w:rPr>
          <w:rFonts w:hint="eastAsia" w:ascii="宋体" w:hAnsi="宋体" w:eastAsia="宋体" w:cs="宋体"/>
          <w:color w:val="auto"/>
          <w:szCs w:val="24"/>
          <w:highlight w:val="none"/>
        </w:rPr>
        <w:t>双方约定不可抗力情况指：双方不可预见、不可避免、不可克服的客观情况，但不包括双方的违约或疏忽。这些事件包括但不限于：战争、严重火灾、洪水、台风、地震等。</w:t>
      </w:r>
    </w:p>
    <w:p w14:paraId="37CB0464">
      <w:pPr>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五</w:t>
      </w:r>
      <w:r>
        <w:rPr>
          <w:rFonts w:hint="eastAsia" w:ascii="宋体" w:hAnsi="宋体" w:eastAsia="宋体" w:cs="宋体"/>
          <w:b/>
          <w:color w:val="auto"/>
          <w:szCs w:val="24"/>
          <w:highlight w:val="none"/>
        </w:rPr>
        <w:t>、违约责任：</w:t>
      </w:r>
      <w:r>
        <w:rPr>
          <w:rFonts w:hint="eastAsia" w:ascii="宋体" w:hAnsi="宋体" w:eastAsia="宋体" w:cs="宋体"/>
          <w:color w:val="auto"/>
          <w:szCs w:val="24"/>
          <w:highlight w:val="none"/>
        </w:rPr>
        <w:t>详见“第</w:t>
      </w:r>
      <w:r>
        <w:rPr>
          <w:rFonts w:hint="eastAsia" w:cs="宋体"/>
          <w:color w:val="auto"/>
          <w:szCs w:val="24"/>
          <w:highlight w:val="none"/>
          <w:lang w:val="en-US" w:eastAsia="zh-CN"/>
        </w:rPr>
        <w:t>四</w:t>
      </w:r>
      <w:r>
        <w:rPr>
          <w:rFonts w:hint="eastAsia" w:ascii="宋体" w:hAnsi="宋体" w:eastAsia="宋体" w:cs="宋体"/>
          <w:color w:val="auto"/>
          <w:szCs w:val="24"/>
          <w:highlight w:val="none"/>
        </w:rPr>
        <w:t>章合同条款及格式前附表”</w:t>
      </w:r>
    </w:p>
    <w:p w14:paraId="082AB0D4">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六</w:t>
      </w:r>
      <w:r>
        <w:rPr>
          <w:rFonts w:hint="eastAsia" w:ascii="宋体" w:hAnsi="宋体" w:eastAsia="宋体" w:cs="宋体"/>
          <w:b/>
          <w:color w:val="auto"/>
          <w:szCs w:val="24"/>
          <w:highlight w:val="none"/>
        </w:rPr>
        <w:t>、</w:t>
      </w:r>
      <w:r>
        <w:rPr>
          <w:rFonts w:hint="eastAsia"/>
          <w:b/>
          <w:color w:val="auto"/>
          <w:sz w:val="24"/>
          <w:highlight w:val="none"/>
        </w:rPr>
        <w:t>以下资料为本合同不可分割部分，与本合同具有同等法律效力：</w:t>
      </w:r>
    </w:p>
    <w:p w14:paraId="797E96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1、本合同所涉产品的国家标准及</w:t>
      </w:r>
      <w:r>
        <w:rPr>
          <w:rFonts w:hint="eastAsia"/>
          <w:color w:val="auto"/>
          <w:sz w:val="24"/>
          <w:highlight w:val="none"/>
          <w:lang w:eastAsia="zh-CN"/>
        </w:rPr>
        <w:t>相关行业</w:t>
      </w:r>
      <w:r>
        <w:rPr>
          <w:rFonts w:hint="eastAsia"/>
          <w:color w:val="auto"/>
          <w:sz w:val="24"/>
          <w:highlight w:val="none"/>
        </w:rPr>
        <w:t>标准；</w:t>
      </w:r>
    </w:p>
    <w:p w14:paraId="5379287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2、本产品的详细资料；</w:t>
      </w:r>
    </w:p>
    <w:p w14:paraId="2EC2D7A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3、</w:t>
      </w:r>
      <w:r>
        <w:rPr>
          <w:rFonts w:hint="eastAsia"/>
          <w:color w:val="auto"/>
          <w:sz w:val="24"/>
          <w:highlight w:val="none"/>
          <w:lang w:eastAsia="zh-CN"/>
        </w:rPr>
        <w:t>磋商</w:t>
      </w:r>
      <w:r>
        <w:rPr>
          <w:rFonts w:hint="eastAsia"/>
          <w:color w:val="auto"/>
          <w:sz w:val="24"/>
          <w:highlight w:val="none"/>
        </w:rPr>
        <w:t>文件</w:t>
      </w:r>
      <w:r>
        <w:rPr>
          <w:rFonts w:hint="eastAsia"/>
          <w:color w:val="auto"/>
          <w:sz w:val="24"/>
          <w:highlight w:val="none"/>
          <w:lang w:eastAsia="zh-CN"/>
        </w:rPr>
        <w:t>及磋商响应文件</w:t>
      </w:r>
      <w:r>
        <w:rPr>
          <w:rFonts w:hint="eastAsia"/>
          <w:color w:val="auto"/>
          <w:sz w:val="24"/>
          <w:highlight w:val="none"/>
        </w:rPr>
        <w:t>；</w:t>
      </w:r>
    </w:p>
    <w:p w14:paraId="5B6ED1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4、本套产品配置及配套设备零件报价详单；（附于合同后）</w:t>
      </w:r>
    </w:p>
    <w:p w14:paraId="17B8D61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5、本套产品配套耗材清单、报价详单。（附于合同后）</w:t>
      </w:r>
    </w:p>
    <w:p w14:paraId="3A7C3B4A">
      <w:pPr>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十</w:t>
      </w:r>
      <w:r>
        <w:rPr>
          <w:rFonts w:hint="eastAsia" w:hAnsi="宋体" w:cs="宋体"/>
          <w:b/>
          <w:color w:val="auto"/>
          <w:szCs w:val="24"/>
          <w:highlight w:val="none"/>
          <w:lang w:eastAsia="zh-CN"/>
        </w:rPr>
        <w:t>七</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rPr>
        <w:t>其他（</w:t>
      </w:r>
      <w:r>
        <w:rPr>
          <w:rFonts w:hint="eastAsia" w:ascii="宋体" w:hAnsi="宋体" w:eastAsia="宋体" w:cs="宋体"/>
          <w:color w:val="auto"/>
          <w:szCs w:val="24"/>
          <w:highlight w:val="none"/>
        </w:rPr>
        <w:t>在合同中</w:t>
      </w:r>
      <w:r>
        <w:rPr>
          <w:rFonts w:hint="eastAsia" w:ascii="宋体" w:hAnsi="宋体" w:eastAsia="宋体" w:cs="宋体"/>
          <w:color w:val="auto"/>
          <w:szCs w:val="24"/>
          <w:highlight w:val="none"/>
          <w:lang w:eastAsia="zh-CN"/>
        </w:rPr>
        <w:t>双方自行约定</w:t>
      </w:r>
      <w:r>
        <w:rPr>
          <w:rFonts w:hint="eastAsia" w:ascii="宋体" w:hAnsi="宋体" w:eastAsia="宋体" w:cs="宋体"/>
          <w:color w:val="auto"/>
          <w:szCs w:val="24"/>
          <w:highlight w:val="none"/>
        </w:rPr>
        <w:t>）</w:t>
      </w:r>
    </w:p>
    <w:p w14:paraId="68B70F9D">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十</w:t>
      </w:r>
      <w:r>
        <w:rPr>
          <w:rFonts w:hint="eastAsia" w:hAnsi="宋体" w:cs="宋体"/>
          <w:b/>
          <w:color w:val="auto"/>
          <w:highlight w:val="none"/>
          <w:lang w:eastAsia="zh-CN"/>
        </w:rPr>
        <w:t>八</w:t>
      </w:r>
      <w:r>
        <w:rPr>
          <w:rFonts w:hint="eastAsia" w:ascii="宋体" w:hAnsi="宋体" w:eastAsia="宋体" w:cs="宋体"/>
          <w:b/>
          <w:color w:val="auto"/>
          <w:highlight w:val="none"/>
        </w:rPr>
        <w:t>、合同订立</w:t>
      </w:r>
    </w:p>
    <w:p w14:paraId="0FC8E43B">
      <w:pPr>
        <w:adjustRightInd w:val="0"/>
        <w:snapToGrid w:val="0"/>
        <w:spacing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rPr>
        <w:t>1. 订立时间：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A466AF7">
      <w:pPr>
        <w:adjustRightInd w:val="0"/>
        <w:snapToGrid w:val="0"/>
        <w:spacing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rPr>
        <w:t>2. 订立地点：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60AD89">
      <w:pPr>
        <w:tabs>
          <w:tab w:val="left" w:pos="980"/>
        </w:tabs>
        <w:kinsoku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 本合同一式</w:t>
      </w:r>
      <w:r>
        <w:rPr>
          <w:rFonts w:hint="eastAsia" w:ascii="宋体" w:hAnsi="宋体" w:eastAsia="宋体" w:cs="宋体"/>
          <w:color w:val="auto"/>
          <w:highlight w:val="none"/>
          <w:u w:val="single"/>
        </w:rPr>
        <w:t xml:space="preserve"> 捌 </w:t>
      </w:r>
      <w:r>
        <w:rPr>
          <w:rFonts w:hint="eastAsia" w:ascii="宋体" w:hAnsi="宋体" w:eastAsia="宋体" w:cs="宋体"/>
          <w:color w:val="auto"/>
          <w:highlight w:val="none"/>
        </w:rPr>
        <w:t>份，具有同等法律效力，双方各执</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份，监管部门备案</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份、招标代理机构存档</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份。各方签字盖章后生效，合同执行完毕自动失效。</w:t>
      </w:r>
    </w:p>
    <w:p w14:paraId="1C27C2D0">
      <w:pPr>
        <w:rPr>
          <w:rFonts w:ascii="宋体" w:hAnsi="宋体" w:eastAsia="宋体" w:cs="宋体"/>
          <w:color w:val="auto"/>
          <w:highlight w:val="none"/>
        </w:rPr>
      </w:pPr>
      <w:r>
        <w:rPr>
          <w:rFonts w:ascii="宋体" w:hAnsi="宋体" w:eastAsia="宋体" w:cs="宋体"/>
          <w:color w:val="auto"/>
          <w:highlight w:val="none"/>
        </w:rPr>
        <w:br w:type="page"/>
      </w:r>
    </w:p>
    <w:p w14:paraId="0D6DA2CD">
      <w:pPr>
        <w:pStyle w:val="10"/>
        <w:rPr>
          <w:color w:val="auto"/>
          <w:highlight w:val="none"/>
        </w:rPr>
      </w:pP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1"/>
        <w:gridCol w:w="4843"/>
      </w:tblGrid>
      <w:tr w14:paraId="7238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527" w:type="pct"/>
            <w:vAlign w:val="center"/>
          </w:tcPr>
          <w:p w14:paraId="178290B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甲 方</w:t>
            </w:r>
          </w:p>
        </w:tc>
        <w:tc>
          <w:tcPr>
            <w:tcW w:w="2472" w:type="pct"/>
            <w:vAlign w:val="center"/>
          </w:tcPr>
          <w:p w14:paraId="3E01AC7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乙 方</w:t>
            </w:r>
          </w:p>
        </w:tc>
      </w:tr>
      <w:tr w14:paraId="44F1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527" w:type="pct"/>
            <w:vAlign w:val="center"/>
          </w:tcPr>
          <w:p w14:paraId="403B849D">
            <w:pPr>
              <w:spacing w:line="360" w:lineRule="auto"/>
              <w:jc w:val="center"/>
              <w:rPr>
                <w:rFonts w:ascii="宋体" w:hAnsi="宋体" w:eastAsia="宋体" w:cs="宋体"/>
                <w:color w:val="auto"/>
                <w:sz w:val="24"/>
                <w:highlight w:val="none"/>
              </w:rPr>
            </w:pPr>
          </w:p>
          <w:p w14:paraId="40B3F2F7">
            <w:pPr>
              <w:spacing w:line="360" w:lineRule="auto"/>
              <w:jc w:val="center"/>
              <w:rPr>
                <w:rFonts w:ascii="宋体" w:hAnsi="宋体" w:eastAsia="宋体" w:cs="宋体"/>
                <w:color w:val="auto"/>
                <w:sz w:val="24"/>
                <w:highlight w:val="none"/>
              </w:rPr>
            </w:pPr>
          </w:p>
          <w:p w14:paraId="15611E9C">
            <w:pPr>
              <w:spacing w:line="360" w:lineRule="auto"/>
              <w:jc w:val="center"/>
              <w:rPr>
                <w:rFonts w:ascii="宋体" w:hAnsi="宋体" w:eastAsia="宋体" w:cs="宋体"/>
                <w:color w:val="auto"/>
                <w:sz w:val="24"/>
                <w:highlight w:val="none"/>
              </w:rPr>
            </w:pPr>
          </w:p>
          <w:p w14:paraId="33A7D341">
            <w:pPr>
              <w:spacing w:line="360" w:lineRule="auto"/>
              <w:jc w:val="center"/>
              <w:rPr>
                <w:rFonts w:hint="eastAsia" w:ascii="宋体" w:hAnsi="宋体" w:eastAsia="宋体" w:cs="宋体"/>
                <w:color w:val="auto"/>
                <w:sz w:val="24"/>
                <w:highlight w:val="none"/>
              </w:rPr>
            </w:pPr>
          </w:p>
          <w:p w14:paraId="5FE3F2F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（盖章）</w:t>
            </w:r>
          </w:p>
        </w:tc>
        <w:tc>
          <w:tcPr>
            <w:tcW w:w="2472" w:type="pct"/>
            <w:vAlign w:val="center"/>
          </w:tcPr>
          <w:p w14:paraId="395C89CC">
            <w:pPr>
              <w:spacing w:line="360" w:lineRule="auto"/>
              <w:jc w:val="center"/>
              <w:rPr>
                <w:rFonts w:ascii="宋体" w:hAnsi="宋体" w:eastAsia="宋体" w:cs="宋体"/>
                <w:color w:val="auto"/>
                <w:sz w:val="24"/>
                <w:highlight w:val="none"/>
              </w:rPr>
            </w:pPr>
          </w:p>
          <w:p w14:paraId="6749C957">
            <w:pPr>
              <w:spacing w:line="360" w:lineRule="auto"/>
              <w:jc w:val="center"/>
              <w:rPr>
                <w:rFonts w:ascii="宋体" w:hAnsi="宋体" w:eastAsia="宋体" w:cs="宋体"/>
                <w:color w:val="auto"/>
                <w:sz w:val="24"/>
                <w:highlight w:val="none"/>
              </w:rPr>
            </w:pPr>
          </w:p>
          <w:p w14:paraId="4675F9DC">
            <w:pPr>
              <w:spacing w:line="360" w:lineRule="auto"/>
              <w:jc w:val="center"/>
              <w:rPr>
                <w:rFonts w:hint="eastAsia" w:ascii="宋体" w:hAnsi="宋体" w:eastAsia="宋体" w:cs="宋体"/>
                <w:color w:val="auto"/>
                <w:sz w:val="24"/>
                <w:highlight w:val="none"/>
              </w:rPr>
            </w:pPr>
          </w:p>
          <w:p w14:paraId="287601FA">
            <w:pPr>
              <w:spacing w:line="360" w:lineRule="auto"/>
              <w:jc w:val="center"/>
              <w:rPr>
                <w:rFonts w:hint="eastAsia" w:ascii="宋体" w:hAnsi="宋体" w:eastAsia="宋体" w:cs="宋体"/>
                <w:color w:val="auto"/>
                <w:sz w:val="24"/>
                <w:highlight w:val="none"/>
              </w:rPr>
            </w:pPr>
          </w:p>
          <w:p w14:paraId="7196008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（盖章）</w:t>
            </w:r>
          </w:p>
        </w:tc>
      </w:tr>
      <w:tr w14:paraId="4638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527" w:type="pct"/>
          </w:tcPr>
          <w:p w14:paraId="4A331F4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472" w:type="pct"/>
          </w:tcPr>
          <w:p w14:paraId="420D25A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r>
      <w:tr w14:paraId="4FC1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27" w:type="pct"/>
          </w:tcPr>
          <w:p w14:paraId="6DFA8D7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c>
          <w:tcPr>
            <w:tcW w:w="2472" w:type="pct"/>
          </w:tcPr>
          <w:p w14:paraId="7515AAC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r>
      <w:tr w14:paraId="75A8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527" w:type="pct"/>
          </w:tcPr>
          <w:p w14:paraId="22BFE20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472" w:type="pct"/>
          </w:tcPr>
          <w:p w14:paraId="31C8CE6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r>
      <w:tr w14:paraId="0C8F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527" w:type="pct"/>
          </w:tcPr>
          <w:p w14:paraId="72653EA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c>
          <w:tcPr>
            <w:tcW w:w="2472" w:type="pct"/>
          </w:tcPr>
          <w:p w14:paraId="0CE82C0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r>
      <w:tr w14:paraId="7FB5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527" w:type="pct"/>
          </w:tcPr>
          <w:p w14:paraId="429A1D8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472" w:type="pct"/>
          </w:tcPr>
          <w:p w14:paraId="032526D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r>
      <w:tr w14:paraId="717E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527" w:type="pct"/>
          </w:tcPr>
          <w:p w14:paraId="33C1863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472" w:type="pct"/>
          </w:tcPr>
          <w:p w14:paraId="19C1F35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r>
      <w:tr w14:paraId="31CA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527" w:type="pct"/>
            <w:vAlign w:val="top"/>
          </w:tcPr>
          <w:p w14:paraId="7D859322">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2472" w:type="pct"/>
          </w:tcPr>
          <w:p w14:paraId="696A77D7">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开户银行：</w:t>
            </w:r>
          </w:p>
        </w:tc>
      </w:tr>
      <w:tr w14:paraId="13DA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527" w:type="pct"/>
            <w:vAlign w:val="top"/>
          </w:tcPr>
          <w:p w14:paraId="06E7698D">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账号：</w:t>
            </w:r>
          </w:p>
        </w:tc>
        <w:tc>
          <w:tcPr>
            <w:tcW w:w="2472" w:type="pct"/>
          </w:tcPr>
          <w:p w14:paraId="7788CEB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账号：</w:t>
            </w:r>
          </w:p>
        </w:tc>
      </w:tr>
      <w:tr w14:paraId="59F7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7" w:type="pct"/>
          </w:tcPr>
          <w:p w14:paraId="3E1B2B5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w:t>
            </w:r>
          </w:p>
        </w:tc>
        <w:tc>
          <w:tcPr>
            <w:tcW w:w="2472" w:type="pct"/>
          </w:tcPr>
          <w:p w14:paraId="724C6CC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tc>
      </w:tr>
    </w:tbl>
    <w:p w14:paraId="2261C123">
      <w:pPr>
        <w:rPr>
          <w:rFonts w:hint="eastAsia" w:hAnsi="宋体" w:cs="宋体"/>
          <w:b/>
          <w:szCs w:val="21"/>
          <w:highlight w:val="none"/>
        </w:rPr>
      </w:pPr>
      <w:r>
        <w:rPr>
          <w:rFonts w:hint="eastAsia" w:hAnsi="宋体" w:cs="宋体"/>
          <w:b/>
          <w:szCs w:val="21"/>
          <w:highlight w:val="none"/>
        </w:rPr>
        <w:br w:type="page"/>
      </w:r>
    </w:p>
    <w:p w14:paraId="7C364073">
      <w:pPr>
        <w:rPr>
          <w:rFonts w:hint="eastAsia" w:hAnsi="宋体" w:cs="宋体"/>
          <w:b/>
          <w:szCs w:val="21"/>
          <w:highlight w:val="none"/>
        </w:rPr>
      </w:pPr>
    </w:p>
    <w:bookmarkEnd w:id="91"/>
    <w:bookmarkEnd w:id="92"/>
    <w:bookmarkEnd w:id="93"/>
    <w:bookmarkEnd w:id="94"/>
    <w:bookmarkEnd w:id="95"/>
    <w:bookmarkEnd w:id="96"/>
    <w:bookmarkEnd w:id="97"/>
    <w:bookmarkEnd w:id="98"/>
    <w:bookmarkEnd w:id="99"/>
    <w:p w14:paraId="5BBD30E0">
      <w:pPr>
        <w:pStyle w:val="2"/>
        <w:numPr>
          <w:ilvl w:val="0"/>
          <w:numId w:val="0"/>
        </w:numPr>
        <w:ind w:left="0" w:leftChars="0" w:firstLine="0" w:firstLineChars="0"/>
        <w:jc w:val="center"/>
        <w:rPr>
          <w:rFonts w:hint="eastAsia" w:ascii="宋体" w:eastAsia="宋体" w:cs="宋体"/>
          <w:bCs/>
          <w:sz w:val="36"/>
          <w:szCs w:val="36"/>
          <w:highlight w:val="none"/>
        </w:rPr>
      </w:pPr>
      <w:r>
        <w:rPr>
          <w:rFonts w:hint="eastAsia" w:ascii="宋体" w:hAnsi="宋体" w:eastAsia="宋体" w:cs="宋体"/>
          <w:b/>
          <w:bCs/>
          <w:kern w:val="2"/>
          <w:sz w:val="36"/>
          <w:szCs w:val="36"/>
          <w:lang w:val="en-US" w:eastAsia="zh-CN" w:bidi="ar-SA"/>
        </w:rPr>
        <w:t>第四章</w:t>
      </w:r>
      <w:r>
        <w:rPr>
          <w:rFonts w:hint="eastAsia" w:ascii="宋体" w:eastAsia="宋体" w:cs="宋体"/>
          <w:bCs/>
          <w:sz w:val="36"/>
          <w:szCs w:val="36"/>
          <w:highlight w:val="none"/>
        </w:rPr>
        <w:t xml:space="preserve"> 磋商内容及技术要求</w:t>
      </w:r>
      <w:bookmarkEnd w:id="104"/>
      <w:bookmarkEnd w:id="105"/>
      <w:bookmarkEnd w:id="106"/>
    </w:p>
    <w:p w14:paraId="13728773">
      <w:pPr>
        <w:numPr>
          <w:ilvl w:val="0"/>
          <w:numId w:val="0"/>
        </w:numPr>
        <w:ind w:leftChars="0"/>
      </w:pPr>
    </w:p>
    <w:bookmarkEnd w:id="61"/>
    <w:tbl>
      <w:tblPr>
        <w:tblStyle w:val="38"/>
        <w:tblW w:w="500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3"/>
        <w:gridCol w:w="2564"/>
        <w:gridCol w:w="760"/>
        <w:gridCol w:w="793"/>
        <w:gridCol w:w="3597"/>
        <w:gridCol w:w="1091"/>
      </w:tblGrid>
      <w:tr w14:paraId="18F00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13" w:type="pct"/>
            <w:vAlign w:val="center"/>
          </w:tcPr>
          <w:p w14:paraId="5C13EEC6">
            <w:pPr>
              <w:pStyle w:val="40"/>
              <w:spacing w:before="184" w:line="221" w:lineRule="auto"/>
              <w:ind w:left="234"/>
              <w:jc w:val="center"/>
              <w:rPr>
                <w:rFonts w:hint="default" w:ascii="宋体" w:hAnsi="宋体" w:eastAsia="宋体" w:cs="宋体"/>
                <w:sz w:val="24"/>
                <w:szCs w:val="24"/>
                <w:lang w:val="en-US" w:eastAsia="zh-CN"/>
              </w:rPr>
            </w:pPr>
            <w:bookmarkStart w:id="107" w:name="_Toc6373"/>
            <w:bookmarkStart w:id="108" w:name="_Toc403077646"/>
            <w:bookmarkStart w:id="109" w:name="_Toc5084"/>
            <w:bookmarkStart w:id="110" w:name="_Toc423973079"/>
            <w:bookmarkStart w:id="111" w:name="_Toc2750"/>
            <w:bookmarkStart w:id="112" w:name="_Toc363474025"/>
            <w:r>
              <w:rPr>
                <w:rFonts w:hint="eastAsia" w:cs="宋体"/>
                <w:sz w:val="24"/>
                <w:szCs w:val="24"/>
                <w:lang w:val="en-US" w:eastAsia="zh-CN"/>
              </w:rPr>
              <w:t>序号</w:t>
            </w:r>
          </w:p>
        </w:tc>
        <w:tc>
          <w:tcPr>
            <w:tcW w:w="1335" w:type="pct"/>
            <w:vAlign w:val="center"/>
          </w:tcPr>
          <w:p w14:paraId="13B2A421">
            <w:pPr>
              <w:pStyle w:val="40"/>
              <w:spacing w:before="206" w:line="221" w:lineRule="auto"/>
              <w:ind w:left="820"/>
              <w:jc w:val="center"/>
              <w:rPr>
                <w:rFonts w:hint="eastAsia" w:ascii="宋体" w:hAnsi="宋体" w:eastAsia="宋体" w:cs="宋体"/>
                <w:sz w:val="24"/>
                <w:szCs w:val="24"/>
              </w:rPr>
            </w:pPr>
            <w:r>
              <w:rPr>
                <w:rFonts w:hint="eastAsia" w:ascii="宋体" w:hAnsi="宋体" w:eastAsia="宋体" w:cs="宋体"/>
                <w:spacing w:val="5"/>
                <w:sz w:val="24"/>
                <w:szCs w:val="24"/>
              </w:rPr>
              <w:t>名称</w:t>
            </w:r>
          </w:p>
        </w:tc>
        <w:tc>
          <w:tcPr>
            <w:tcW w:w="396" w:type="pct"/>
            <w:vAlign w:val="center"/>
          </w:tcPr>
          <w:p w14:paraId="762A04B8">
            <w:pPr>
              <w:pStyle w:val="40"/>
              <w:spacing w:before="187" w:line="202" w:lineRule="auto"/>
              <w:ind w:left="20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413" w:type="pct"/>
            <w:vAlign w:val="center"/>
          </w:tcPr>
          <w:p w14:paraId="2E9B9B13">
            <w:pPr>
              <w:pStyle w:val="40"/>
              <w:spacing w:before="223" w:line="219" w:lineRule="auto"/>
              <w:ind w:left="23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873" w:type="pct"/>
            <w:vAlign w:val="center"/>
          </w:tcPr>
          <w:p w14:paraId="677C6DB2">
            <w:pPr>
              <w:pStyle w:val="40"/>
              <w:spacing w:before="223" w:line="219" w:lineRule="auto"/>
              <w:ind w:left="234"/>
              <w:jc w:val="center"/>
              <w:rPr>
                <w:rFonts w:hint="eastAsia" w:ascii="宋体" w:hAnsi="宋体" w:eastAsia="宋体" w:cs="宋体"/>
                <w:sz w:val="24"/>
                <w:szCs w:val="24"/>
                <w:lang w:val="en-US" w:eastAsia="zh-CN"/>
              </w:rPr>
            </w:pPr>
            <w:r>
              <w:rPr>
                <w:rFonts w:hint="eastAsia"/>
                <w:spacing w:val="4"/>
                <w:sz w:val="24"/>
                <w:szCs w:val="24"/>
                <w:highlight w:val="none"/>
                <w:lang w:val="en-US" w:eastAsia="zh-CN"/>
              </w:rPr>
              <w:t>规格</w:t>
            </w:r>
          </w:p>
        </w:tc>
        <w:tc>
          <w:tcPr>
            <w:tcW w:w="568" w:type="pct"/>
            <w:vAlign w:val="center"/>
          </w:tcPr>
          <w:p w14:paraId="424BD451">
            <w:pPr>
              <w:pStyle w:val="40"/>
              <w:spacing w:before="184" w:line="221" w:lineRule="auto"/>
              <w:ind w:left="279"/>
              <w:jc w:val="center"/>
              <w:rPr>
                <w:rFonts w:hint="eastAsia" w:ascii="宋体" w:hAnsi="宋体" w:eastAsia="宋体" w:cs="宋体"/>
                <w:sz w:val="24"/>
                <w:szCs w:val="24"/>
              </w:rPr>
            </w:pPr>
            <w:r>
              <w:rPr>
                <w:rFonts w:hint="eastAsia" w:ascii="宋体" w:hAnsi="宋体" w:eastAsia="宋体" w:cs="宋体"/>
                <w:spacing w:val="5"/>
                <w:sz w:val="24"/>
                <w:szCs w:val="24"/>
              </w:rPr>
              <w:t>备注</w:t>
            </w:r>
          </w:p>
        </w:tc>
      </w:tr>
      <w:tr w14:paraId="70C65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413" w:type="pct"/>
            <w:vAlign w:val="center"/>
          </w:tcPr>
          <w:p w14:paraId="21DC7447">
            <w:pPr>
              <w:pStyle w:val="40"/>
              <w:spacing w:before="270" w:line="184" w:lineRule="auto"/>
              <w:ind w:left="285"/>
              <w:jc w:val="center"/>
              <w:rPr>
                <w:rFonts w:hint="eastAsia" w:ascii="宋体" w:hAnsi="宋体" w:eastAsia="宋体" w:cs="宋体"/>
                <w:sz w:val="24"/>
                <w:szCs w:val="24"/>
              </w:rPr>
            </w:pPr>
            <w:r>
              <w:rPr>
                <w:rFonts w:hint="eastAsia" w:ascii="宋体" w:hAnsi="宋体" w:eastAsia="宋体" w:cs="宋体"/>
                <w:sz w:val="24"/>
                <w:szCs w:val="24"/>
              </w:rPr>
              <w:t>1</w:t>
            </w:r>
          </w:p>
        </w:tc>
        <w:tc>
          <w:tcPr>
            <w:tcW w:w="1335" w:type="pct"/>
            <w:vAlign w:val="center"/>
          </w:tcPr>
          <w:p w14:paraId="7277ECD6">
            <w:pPr>
              <w:pStyle w:val="40"/>
              <w:spacing w:before="249" w:line="203" w:lineRule="auto"/>
              <w:ind w:left="510"/>
              <w:jc w:val="center"/>
              <w:rPr>
                <w:rFonts w:hint="eastAsia" w:ascii="宋体" w:hAnsi="宋体" w:eastAsia="宋体" w:cs="宋体"/>
                <w:sz w:val="24"/>
                <w:szCs w:val="24"/>
              </w:rPr>
            </w:pPr>
            <w:r>
              <w:rPr>
                <w:rFonts w:hint="eastAsia" w:ascii="宋体" w:hAnsi="宋体" w:eastAsia="宋体" w:cs="宋体"/>
                <w:spacing w:val="2"/>
                <w:sz w:val="24"/>
                <w:szCs w:val="24"/>
              </w:rPr>
              <w:t>污泥固化剂</w:t>
            </w:r>
          </w:p>
        </w:tc>
        <w:tc>
          <w:tcPr>
            <w:tcW w:w="396" w:type="pct"/>
            <w:vAlign w:val="center"/>
          </w:tcPr>
          <w:p w14:paraId="459EDEAE">
            <w:pPr>
              <w:pStyle w:val="40"/>
              <w:spacing w:before="260" w:line="193" w:lineRule="auto"/>
              <w:ind w:left="243"/>
              <w:jc w:val="center"/>
              <w:rPr>
                <w:rFonts w:hint="eastAsia" w:ascii="宋体" w:hAnsi="宋体" w:eastAsia="宋体" w:cs="宋体"/>
                <w:sz w:val="24"/>
                <w:szCs w:val="24"/>
              </w:rPr>
            </w:pPr>
            <w:r>
              <w:rPr>
                <w:rFonts w:hint="eastAsia" w:ascii="宋体" w:hAnsi="宋体" w:eastAsia="宋体" w:cs="宋体"/>
                <w:sz w:val="24"/>
                <w:szCs w:val="24"/>
              </w:rPr>
              <w:t>吨</w:t>
            </w:r>
          </w:p>
        </w:tc>
        <w:tc>
          <w:tcPr>
            <w:tcW w:w="413" w:type="pct"/>
            <w:vAlign w:val="center"/>
          </w:tcPr>
          <w:p w14:paraId="05093927">
            <w:pPr>
              <w:pStyle w:val="40"/>
              <w:spacing w:before="290" w:line="167" w:lineRule="auto"/>
              <w:ind w:left="234"/>
              <w:jc w:val="center"/>
              <w:rPr>
                <w:rFonts w:hint="eastAsia" w:ascii="宋体" w:hAnsi="宋体" w:eastAsia="宋体" w:cs="宋体"/>
                <w:sz w:val="24"/>
                <w:szCs w:val="24"/>
              </w:rPr>
            </w:pPr>
            <w:r>
              <w:rPr>
                <w:rFonts w:hint="eastAsia" w:ascii="宋体" w:hAnsi="宋体" w:eastAsia="宋体" w:cs="宋体"/>
                <w:spacing w:val="-3"/>
                <w:sz w:val="24"/>
                <w:szCs w:val="24"/>
              </w:rPr>
              <w:t>25</w:t>
            </w:r>
          </w:p>
        </w:tc>
        <w:tc>
          <w:tcPr>
            <w:tcW w:w="1873" w:type="pct"/>
            <w:vAlign w:val="center"/>
          </w:tcPr>
          <w:p w14:paraId="783F7F88">
            <w:pPr>
              <w:pStyle w:val="40"/>
              <w:spacing w:before="290" w:line="167" w:lineRule="auto"/>
              <w:ind w:left="234"/>
              <w:jc w:val="center"/>
              <w:rPr>
                <w:rFonts w:hint="eastAsia" w:ascii="宋体" w:hAnsi="宋体" w:eastAsia="宋体" w:cs="宋体"/>
                <w:spacing w:val="-3"/>
                <w:sz w:val="24"/>
                <w:szCs w:val="24"/>
              </w:rPr>
            </w:pPr>
            <w:r>
              <w:rPr>
                <w:rFonts w:hint="eastAsia" w:ascii="宋体" w:hAnsi="宋体" w:eastAsia="宋体" w:cs="宋体"/>
                <w:spacing w:val="-3"/>
                <w:sz w:val="24"/>
                <w:szCs w:val="24"/>
              </w:rPr>
              <w:t>有效含量≥98%</w:t>
            </w:r>
          </w:p>
        </w:tc>
        <w:tc>
          <w:tcPr>
            <w:tcW w:w="568" w:type="pct"/>
            <w:vAlign w:val="center"/>
          </w:tcPr>
          <w:p w14:paraId="3467DD60">
            <w:pPr>
              <w:jc w:val="center"/>
              <w:rPr>
                <w:rFonts w:hint="eastAsia" w:ascii="宋体" w:hAnsi="宋体" w:eastAsia="宋体" w:cs="宋体"/>
                <w:sz w:val="24"/>
                <w:szCs w:val="24"/>
              </w:rPr>
            </w:pPr>
          </w:p>
        </w:tc>
      </w:tr>
      <w:tr w14:paraId="743CC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13" w:type="pct"/>
            <w:vAlign w:val="center"/>
          </w:tcPr>
          <w:p w14:paraId="159B0399">
            <w:pPr>
              <w:pStyle w:val="40"/>
              <w:spacing w:before="290" w:line="184" w:lineRule="auto"/>
              <w:ind w:left="285"/>
              <w:jc w:val="center"/>
              <w:rPr>
                <w:rFonts w:hint="eastAsia" w:ascii="宋体" w:hAnsi="宋体" w:eastAsia="宋体" w:cs="宋体"/>
                <w:sz w:val="24"/>
                <w:szCs w:val="24"/>
              </w:rPr>
            </w:pPr>
            <w:r>
              <w:rPr>
                <w:rFonts w:hint="eastAsia" w:ascii="宋体" w:hAnsi="宋体" w:eastAsia="宋体" w:cs="宋体"/>
                <w:sz w:val="24"/>
                <w:szCs w:val="24"/>
              </w:rPr>
              <w:t>2</w:t>
            </w:r>
          </w:p>
        </w:tc>
        <w:tc>
          <w:tcPr>
            <w:tcW w:w="1335" w:type="pct"/>
            <w:vAlign w:val="center"/>
          </w:tcPr>
          <w:p w14:paraId="63E61407">
            <w:pPr>
              <w:pStyle w:val="40"/>
              <w:spacing w:before="258" w:line="212" w:lineRule="auto"/>
              <w:ind w:left="401"/>
              <w:jc w:val="center"/>
              <w:rPr>
                <w:rFonts w:hint="eastAsia" w:ascii="宋体" w:hAnsi="宋体" w:eastAsia="宋体" w:cs="宋体"/>
                <w:sz w:val="24"/>
                <w:szCs w:val="24"/>
              </w:rPr>
            </w:pPr>
            <w:r>
              <w:rPr>
                <w:rFonts w:hint="eastAsia" w:ascii="宋体" w:hAnsi="宋体" w:eastAsia="宋体" w:cs="宋体"/>
                <w:spacing w:val="6"/>
                <w:sz w:val="24"/>
                <w:szCs w:val="24"/>
              </w:rPr>
              <w:t>除磷剂(液体)</w:t>
            </w:r>
          </w:p>
        </w:tc>
        <w:tc>
          <w:tcPr>
            <w:tcW w:w="396" w:type="pct"/>
            <w:vAlign w:val="center"/>
          </w:tcPr>
          <w:p w14:paraId="1A4E4781">
            <w:pPr>
              <w:pStyle w:val="40"/>
              <w:spacing w:before="280" w:line="193" w:lineRule="auto"/>
              <w:ind w:left="243"/>
              <w:jc w:val="center"/>
              <w:rPr>
                <w:rFonts w:hint="eastAsia" w:ascii="宋体" w:hAnsi="宋体" w:eastAsia="宋体" w:cs="宋体"/>
                <w:sz w:val="24"/>
                <w:szCs w:val="24"/>
              </w:rPr>
            </w:pPr>
            <w:r>
              <w:rPr>
                <w:rFonts w:hint="eastAsia" w:ascii="宋体" w:hAnsi="宋体" w:eastAsia="宋体" w:cs="宋体"/>
                <w:sz w:val="24"/>
                <w:szCs w:val="24"/>
              </w:rPr>
              <w:t>吨</w:t>
            </w:r>
          </w:p>
        </w:tc>
        <w:tc>
          <w:tcPr>
            <w:tcW w:w="413" w:type="pct"/>
            <w:vAlign w:val="center"/>
          </w:tcPr>
          <w:p w14:paraId="5B439D34">
            <w:pPr>
              <w:pStyle w:val="40"/>
              <w:spacing w:before="290" w:line="184" w:lineRule="auto"/>
              <w:ind w:left="184"/>
              <w:jc w:val="center"/>
              <w:rPr>
                <w:rFonts w:hint="eastAsia" w:ascii="宋体" w:hAnsi="宋体" w:eastAsia="宋体" w:cs="宋体"/>
                <w:sz w:val="24"/>
                <w:szCs w:val="24"/>
              </w:rPr>
            </w:pPr>
            <w:r>
              <w:rPr>
                <w:rFonts w:hint="eastAsia" w:ascii="宋体" w:hAnsi="宋体" w:eastAsia="宋体" w:cs="宋体"/>
                <w:spacing w:val="-6"/>
                <w:sz w:val="24"/>
                <w:szCs w:val="24"/>
              </w:rPr>
              <w:t>110</w:t>
            </w:r>
          </w:p>
        </w:tc>
        <w:tc>
          <w:tcPr>
            <w:tcW w:w="1873" w:type="pct"/>
            <w:vAlign w:val="center"/>
          </w:tcPr>
          <w:p w14:paraId="139445A1">
            <w:pPr>
              <w:pStyle w:val="40"/>
              <w:spacing w:before="290" w:line="184" w:lineRule="auto"/>
              <w:ind w:left="184"/>
              <w:jc w:val="center"/>
              <w:rPr>
                <w:rFonts w:hint="eastAsia" w:ascii="宋体" w:hAnsi="宋体" w:eastAsia="宋体" w:cs="宋体"/>
                <w:spacing w:val="-6"/>
                <w:sz w:val="24"/>
                <w:szCs w:val="24"/>
              </w:rPr>
            </w:pPr>
            <w:r>
              <w:rPr>
                <w:rFonts w:hint="eastAsia" w:ascii="宋体" w:hAnsi="宋体" w:eastAsia="宋体" w:cs="宋体"/>
                <w:spacing w:val="-6"/>
                <w:sz w:val="24"/>
                <w:szCs w:val="24"/>
              </w:rPr>
              <w:t>全铁质量分数≥11%</w:t>
            </w:r>
          </w:p>
          <w:p w14:paraId="1AFCE4A7">
            <w:pPr>
              <w:pStyle w:val="40"/>
              <w:spacing w:before="290" w:line="184" w:lineRule="auto"/>
              <w:ind w:left="184"/>
              <w:jc w:val="center"/>
              <w:rPr>
                <w:rFonts w:hint="eastAsia" w:ascii="宋体" w:hAnsi="宋体" w:eastAsia="宋体" w:cs="宋体"/>
                <w:spacing w:val="-6"/>
                <w:sz w:val="24"/>
                <w:szCs w:val="24"/>
              </w:rPr>
            </w:pPr>
            <w:r>
              <w:rPr>
                <w:rFonts w:hint="eastAsia" w:ascii="宋体" w:hAnsi="宋体" w:eastAsia="宋体" w:cs="宋体"/>
                <w:spacing w:val="-6"/>
                <w:sz w:val="24"/>
                <w:szCs w:val="24"/>
              </w:rPr>
              <w:t>.不溶物质量分数≤0.2%，盐基</w:t>
            </w:r>
          </w:p>
          <w:p w14:paraId="144028EA">
            <w:pPr>
              <w:pStyle w:val="40"/>
              <w:spacing w:before="290" w:line="184" w:lineRule="auto"/>
              <w:ind w:left="184"/>
              <w:jc w:val="center"/>
              <w:rPr>
                <w:rFonts w:hint="eastAsia" w:ascii="宋体" w:hAnsi="宋体" w:eastAsia="宋体" w:cs="宋体"/>
                <w:spacing w:val="-6"/>
                <w:sz w:val="24"/>
                <w:szCs w:val="24"/>
              </w:rPr>
            </w:pPr>
            <w:r>
              <w:rPr>
                <w:rFonts w:hint="eastAsia" w:ascii="宋体" w:hAnsi="宋体" w:eastAsia="宋体" w:cs="宋体"/>
                <w:spacing w:val="-6"/>
                <w:sz w:val="24"/>
                <w:szCs w:val="24"/>
              </w:rPr>
              <w:t>度 8%-16%</w:t>
            </w:r>
          </w:p>
        </w:tc>
        <w:tc>
          <w:tcPr>
            <w:tcW w:w="568" w:type="pct"/>
            <w:vAlign w:val="center"/>
          </w:tcPr>
          <w:p w14:paraId="1C5BE2E0">
            <w:pPr>
              <w:jc w:val="center"/>
              <w:rPr>
                <w:rFonts w:hint="eastAsia" w:ascii="宋体" w:hAnsi="宋体" w:eastAsia="宋体" w:cs="宋体"/>
                <w:sz w:val="24"/>
                <w:szCs w:val="24"/>
              </w:rPr>
            </w:pPr>
          </w:p>
        </w:tc>
      </w:tr>
      <w:tr w14:paraId="01E79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13" w:type="pct"/>
            <w:vAlign w:val="center"/>
          </w:tcPr>
          <w:p w14:paraId="32961336">
            <w:pPr>
              <w:pStyle w:val="40"/>
              <w:spacing w:before="280" w:line="184" w:lineRule="auto"/>
              <w:ind w:left="285"/>
              <w:jc w:val="center"/>
              <w:rPr>
                <w:rFonts w:hint="eastAsia" w:ascii="宋体" w:hAnsi="宋体" w:eastAsia="宋体" w:cs="宋体"/>
                <w:sz w:val="24"/>
                <w:szCs w:val="24"/>
              </w:rPr>
            </w:pPr>
            <w:r>
              <w:rPr>
                <w:rFonts w:hint="eastAsia" w:ascii="宋体" w:hAnsi="宋体" w:eastAsia="宋体" w:cs="宋体"/>
                <w:sz w:val="24"/>
                <w:szCs w:val="24"/>
              </w:rPr>
              <w:t>3</w:t>
            </w:r>
          </w:p>
        </w:tc>
        <w:tc>
          <w:tcPr>
            <w:tcW w:w="1335" w:type="pct"/>
            <w:vAlign w:val="center"/>
          </w:tcPr>
          <w:p w14:paraId="3FB784DE">
            <w:pPr>
              <w:pStyle w:val="40"/>
              <w:spacing w:before="260" w:line="202" w:lineRule="auto"/>
              <w:ind w:left="450"/>
              <w:jc w:val="center"/>
              <w:rPr>
                <w:rFonts w:hint="eastAsia" w:ascii="宋体" w:hAnsi="宋体" w:eastAsia="宋体" w:cs="宋体"/>
                <w:sz w:val="24"/>
                <w:szCs w:val="24"/>
              </w:rPr>
            </w:pPr>
            <w:r>
              <w:rPr>
                <w:rFonts w:hint="eastAsia" w:ascii="宋体" w:hAnsi="宋体" w:eastAsia="宋体" w:cs="宋体"/>
                <w:sz w:val="24"/>
                <w:szCs w:val="24"/>
              </w:rPr>
              <w:t>PAM</w:t>
            </w:r>
            <w:r>
              <w:rPr>
                <w:rFonts w:hint="eastAsia" w:ascii="宋体" w:hAnsi="宋体" w:eastAsia="宋体" w:cs="宋体"/>
                <w:spacing w:val="10"/>
                <w:sz w:val="24"/>
                <w:szCs w:val="24"/>
              </w:rPr>
              <w:t>(阳离子)</w:t>
            </w:r>
          </w:p>
        </w:tc>
        <w:tc>
          <w:tcPr>
            <w:tcW w:w="396" w:type="pct"/>
            <w:vAlign w:val="center"/>
          </w:tcPr>
          <w:p w14:paraId="2FE7CB39">
            <w:pPr>
              <w:pStyle w:val="40"/>
              <w:spacing w:before="249" w:line="211" w:lineRule="auto"/>
              <w:ind w:left="243"/>
              <w:jc w:val="center"/>
              <w:rPr>
                <w:rFonts w:hint="eastAsia" w:ascii="宋体" w:hAnsi="宋体" w:eastAsia="宋体" w:cs="宋体"/>
                <w:sz w:val="24"/>
                <w:szCs w:val="24"/>
              </w:rPr>
            </w:pPr>
            <w:r>
              <w:rPr>
                <w:rFonts w:hint="eastAsia" w:ascii="宋体" w:hAnsi="宋体" w:eastAsia="宋体" w:cs="宋体"/>
                <w:sz w:val="24"/>
                <w:szCs w:val="24"/>
              </w:rPr>
              <w:t>吨</w:t>
            </w:r>
          </w:p>
        </w:tc>
        <w:tc>
          <w:tcPr>
            <w:tcW w:w="413" w:type="pct"/>
            <w:vAlign w:val="center"/>
          </w:tcPr>
          <w:p w14:paraId="0ACC12C2">
            <w:pPr>
              <w:pStyle w:val="40"/>
              <w:spacing w:before="219" w:line="185" w:lineRule="auto"/>
              <w:ind w:left="274"/>
              <w:jc w:val="center"/>
              <w:rPr>
                <w:rFonts w:hint="eastAsia" w:ascii="宋体" w:hAnsi="宋体" w:eastAsia="宋体" w:cs="宋体"/>
                <w:sz w:val="24"/>
                <w:szCs w:val="24"/>
              </w:rPr>
            </w:pPr>
            <w:r>
              <w:rPr>
                <w:rFonts w:hint="eastAsia" w:ascii="宋体" w:hAnsi="宋体" w:eastAsia="宋体" w:cs="宋体"/>
                <w:sz w:val="24"/>
                <w:szCs w:val="24"/>
              </w:rPr>
              <w:t>6</w:t>
            </w:r>
          </w:p>
        </w:tc>
        <w:tc>
          <w:tcPr>
            <w:tcW w:w="1873" w:type="pct"/>
            <w:vAlign w:val="center"/>
          </w:tcPr>
          <w:p w14:paraId="09812235">
            <w:pPr>
              <w:pStyle w:val="40"/>
              <w:spacing w:before="219" w:line="185" w:lineRule="auto"/>
              <w:ind w:left="274"/>
              <w:jc w:val="center"/>
              <w:rPr>
                <w:rFonts w:hint="eastAsia" w:ascii="宋体" w:hAnsi="宋体" w:eastAsia="宋体" w:cs="宋体"/>
                <w:sz w:val="24"/>
                <w:szCs w:val="24"/>
              </w:rPr>
            </w:pPr>
            <w:r>
              <w:rPr>
                <w:spacing w:val="-1"/>
                <w:sz w:val="24"/>
                <w:szCs w:val="24"/>
                <w:highlight w:val="none"/>
              </w:rPr>
              <w:t>分子量≥1200</w:t>
            </w:r>
            <w:r>
              <w:rPr>
                <w:spacing w:val="-44"/>
                <w:sz w:val="24"/>
                <w:szCs w:val="24"/>
                <w:highlight w:val="none"/>
              </w:rPr>
              <w:t xml:space="preserve"> </w:t>
            </w:r>
            <w:r>
              <w:rPr>
                <w:spacing w:val="-1"/>
                <w:sz w:val="24"/>
                <w:szCs w:val="24"/>
                <w:highlight w:val="none"/>
              </w:rPr>
              <w:t>万</w:t>
            </w:r>
          </w:p>
        </w:tc>
        <w:tc>
          <w:tcPr>
            <w:tcW w:w="568" w:type="pct"/>
            <w:vAlign w:val="center"/>
          </w:tcPr>
          <w:p w14:paraId="4B443359">
            <w:pPr>
              <w:jc w:val="center"/>
              <w:rPr>
                <w:rFonts w:hint="eastAsia" w:ascii="宋体" w:hAnsi="宋体" w:eastAsia="宋体" w:cs="宋体"/>
                <w:sz w:val="24"/>
                <w:szCs w:val="24"/>
              </w:rPr>
            </w:pPr>
          </w:p>
        </w:tc>
      </w:tr>
      <w:tr w14:paraId="2090B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13" w:type="pct"/>
            <w:vAlign w:val="center"/>
          </w:tcPr>
          <w:p w14:paraId="58B4D70D">
            <w:pPr>
              <w:pStyle w:val="40"/>
              <w:spacing w:before="280" w:line="183" w:lineRule="auto"/>
              <w:ind w:left="285"/>
              <w:jc w:val="center"/>
              <w:rPr>
                <w:rFonts w:hint="eastAsia" w:ascii="宋体" w:hAnsi="宋体" w:eastAsia="宋体" w:cs="宋体"/>
                <w:sz w:val="24"/>
                <w:szCs w:val="24"/>
              </w:rPr>
            </w:pPr>
            <w:r>
              <w:rPr>
                <w:rFonts w:hint="eastAsia" w:ascii="宋体" w:hAnsi="宋体" w:eastAsia="宋体" w:cs="宋体"/>
                <w:sz w:val="24"/>
                <w:szCs w:val="24"/>
              </w:rPr>
              <w:t>4</w:t>
            </w:r>
          </w:p>
        </w:tc>
        <w:tc>
          <w:tcPr>
            <w:tcW w:w="1335" w:type="pct"/>
            <w:vAlign w:val="center"/>
          </w:tcPr>
          <w:p w14:paraId="09FF6AD1">
            <w:pPr>
              <w:pStyle w:val="40"/>
              <w:spacing w:before="259" w:line="202" w:lineRule="auto"/>
              <w:ind w:left="720"/>
              <w:jc w:val="center"/>
              <w:rPr>
                <w:rFonts w:hint="eastAsia" w:ascii="宋体" w:hAnsi="宋体" w:eastAsia="宋体" w:cs="宋体"/>
                <w:sz w:val="24"/>
                <w:szCs w:val="24"/>
              </w:rPr>
            </w:pPr>
            <w:r>
              <w:rPr>
                <w:rFonts w:hint="eastAsia" w:ascii="宋体" w:hAnsi="宋体" w:eastAsia="宋体" w:cs="宋体"/>
                <w:spacing w:val="-3"/>
                <w:sz w:val="24"/>
                <w:szCs w:val="24"/>
              </w:rPr>
              <w:t>生石灰</w:t>
            </w:r>
          </w:p>
        </w:tc>
        <w:tc>
          <w:tcPr>
            <w:tcW w:w="396" w:type="pct"/>
            <w:vAlign w:val="center"/>
          </w:tcPr>
          <w:p w14:paraId="278D4A67">
            <w:pPr>
              <w:pStyle w:val="40"/>
              <w:spacing w:before="270" w:line="192" w:lineRule="auto"/>
              <w:ind w:left="243"/>
              <w:jc w:val="center"/>
              <w:rPr>
                <w:rFonts w:hint="eastAsia" w:ascii="宋体" w:hAnsi="宋体" w:eastAsia="宋体" w:cs="宋体"/>
                <w:sz w:val="24"/>
                <w:szCs w:val="24"/>
              </w:rPr>
            </w:pPr>
            <w:r>
              <w:rPr>
                <w:rFonts w:hint="eastAsia" w:ascii="宋体" w:hAnsi="宋体" w:eastAsia="宋体" w:cs="宋体"/>
                <w:sz w:val="24"/>
                <w:szCs w:val="24"/>
              </w:rPr>
              <w:t>吨</w:t>
            </w:r>
          </w:p>
        </w:tc>
        <w:tc>
          <w:tcPr>
            <w:tcW w:w="413" w:type="pct"/>
            <w:vAlign w:val="center"/>
          </w:tcPr>
          <w:p w14:paraId="63B6D991">
            <w:pPr>
              <w:pStyle w:val="40"/>
              <w:spacing w:before="218" w:line="185" w:lineRule="auto"/>
              <w:ind w:left="204"/>
              <w:jc w:val="center"/>
              <w:rPr>
                <w:rFonts w:hint="eastAsia" w:ascii="宋体" w:hAnsi="宋体" w:eastAsia="宋体" w:cs="宋体"/>
                <w:sz w:val="24"/>
                <w:szCs w:val="24"/>
              </w:rPr>
            </w:pPr>
            <w:r>
              <w:rPr>
                <w:rFonts w:hint="eastAsia" w:ascii="宋体" w:hAnsi="宋体" w:eastAsia="宋体" w:cs="宋体"/>
                <w:spacing w:val="-5"/>
                <w:sz w:val="24"/>
                <w:szCs w:val="24"/>
              </w:rPr>
              <w:t>75</w:t>
            </w:r>
          </w:p>
        </w:tc>
        <w:tc>
          <w:tcPr>
            <w:tcW w:w="1873" w:type="pct"/>
            <w:vAlign w:val="center"/>
          </w:tcPr>
          <w:p w14:paraId="05AA6B7E">
            <w:pPr>
              <w:pStyle w:val="40"/>
              <w:spacing w:before="218" w:line="185" w:lineRule="auto"/>
              <w:ind w:left="204"/>
              <w:jc w:val="center"/>
              <w:rPr>
                <w:rFonts w:hint="eastAsia" w:ascii="宋体" w:hAnsi="宋体" w:eastAsia="宋体" w:cs="宋体"/>
                <w:spacing w:val="-5"/>
                <w:sz w:val="24"/>
                <w:szCs w:val="24"/>
              </w:rPr>
            </w:pPr>
            <w:r>
              <w:rPr>
                <w:spacing w:val="5"/>
                <w:sz w:val="24"/>
                <w:szCs w:val="24"/>
                <w:highlight w:val="none"/>
              </w:rPr>
              <w:t>氧化钙含量90%</w:t>
            </w:r>
          </w:p>
        </w:tc>
        <w:tc>
          <w:tcPr>
            <w:tcW w:w="568" w:type="pct"/>
            <w:vAlign w:val="center"/>
          </w:tcPr>
          <w:p w14:paraId="4156C31C">
            <w:pPr>
              <w:jc w:val="center"/>
              <w:rPr>
                <w:rFonts w:hint="eastAsia" w:ascii="宋体" w:hAnsi="宋体" w:eastAsia="宋体" w:cs="宋体"/>
                <w:sz w:val="24"/>
                <w:szCs w:val="24"/>
              </w:rPr>
            </w:pPr>
          </w:p>
        </w:tc>
      </w:tr>
      <w:tr w14:paraId="5A1D0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13" w:type="pct"/>
            <w:vAlign w:val="center"/>
          </w:tcPr>
          <w:p w14:paraId="1E27772A">
            <w:pPr>
              <w:pStyle w:val="40"/>
              <w:spacing w:before="219" w:line="185" w:lineRule="auto"/>
              <w:ind w:left="264"/>
              <w:jc w:val="center"/>
              <w:rPr>
                <w:rFonts w:hint="eastAsia" w:ascii="宋体" w:hAnsi="宋体" w:eastAsia="宋体" w:cs="宋体"/>
                <w:sz w:val="24"/>
                <w:szCs w:val="24"/>
              </w:rPr>
            </w:pPr>
            <w:r>
              <w:rPr>
                <w:rFonts w:hint="eastAsia" w:ascii="宋体" w:hAnsi="宋体" w:eastAsia="宋体" w:cs="宋体"/>
                <w:sz w:val="24"/>
                <w:szCs w:val="24"/>
              </w:rPr>
              <w:t>5</w:t>
            </w:r>
          </w:p>
        </w:tc>
        <w:tc>
          <w:tcPr>
            <w:tcW w:w="1335" w:type="pct"/>
            <w:vAlign w:val="center"/>
          </w:tcPr>
          <w:p w14:paraId="7520A2AA">
            <w:pPr>
              <w:pStyle w:val="40"/>
              <w:spacing w:before="239" w:line="219" w:lineRule="auto"/>
              <w:ind w:left="450"/>
              <w:jc w:val="center"/>
              <w:rPr>
                <w:rFonts w:hint="eastAsia" w:ascii="宋体" w:hAnsi="宋体" w:eastAsia="宋体" w:cs="宋体"/>
                <w:sz w:val="24"/>
                <w:szCs w:val="24"/>
              </w:rPr>
            </w:pPr>
            <w:r>
              <w:rPr>
                <w:rFonts w:hint="eastAsia" w:ascii="宋体" w:hAnsi="宋体" w:eastAsia="宋体" w:cs="宋体"/>
                <w:sz w:val="24"/>
                <w:szCs w:val="24"/>
              </w:rPr>
              <w:t>COD</w:t>
            </w:r>
            <w:r>
              <w:rPr>
                <w:rFonts w:hint="eastAsia" w:ascii="宋体" w:hAnsi="宋体" w:eastAsia="宋体" w:cs="宋体"/>
                <w:spacing w:val="4"/>
                <w:sz w:val="24"/>
                <w:szCs w:val="24"/>
              </w:rPr>
              <w:t>成套试剂</w:t>
            </w:r>
          </w:p>
        </w:tc>
        <w:tc>
          <w:tcPr>
            <w:tcW w:w="396" w:type="pct"/>
            <w:vAlign w:val="center"/>
          </w:tcPr>
          <w:p w14:paraId="5886FDA7">
            <w:pPr>
              <w:pStyle w:val="40"/>
              <w:spacing w:before="261" w:line="201" w:lineRule="auto"/>
              <w:ind w:left="243"/>
              <w:jc w:val="center"/>
              <w:rPr>
                <w:rFonts w:hint="eastAsia" w:ascii="宋体" w:hAnsi="宋体" w:eastAsia="宋体" w:cs="宋体"/>
                <w:sz w:val="24"/>
                <w:szCs w:val="24"/>
              </w:rPr>
            </w:pPr>
            <w:r>
              <w:rPr>
                <w:rFonts w:hint="eastAsia" w:ascii="宋体" w:hAnsi="宋体" w:eastAsia="宋体" w:cs="宋体"/>
                <w:sz w:val="24"/>
                <w:szCs w:val="24"/>
              </w:rPr>
              <w:t>套</w:t>
            </w:r>
          </w:p>
        </w:tc>
        <w:tc>
          <w:tcPr>
            <w:tcW w:w="413" w:type="pct"/>
            <w:vAlign w:val="center"/>
          </w:tcPr>
          <w:p w14:paraId="06B4D65C">
            <w:pPr>
              <w:pStyle w:val="40"/>
              <w:spacing w:before="219" w:line="185" w:lineRule="auto"/>
              <w:ind w:left="274"/>
              <w:jc w:val="center"/>
              <w:rPr>
                <w:rFonts w:hint="eastAsia" w:ascii="宋体" w:hAnsi="宋体" w:eastAsia="宋体" w:cs="宋体"/>
                <w:sz w:val="24"/>
                <w:szCs w:val="24"/>
              </w:rPr>
            </w:pPr>
            <w:r>
              <w:rPr>
                <w:rFonts w:hint="eastAsia" w:ascii="宋体" w:hAnsi="宋体" w:eastAsia="宋体" w:cs="宋体"/>
                <w:sz w:val="24"/>
                <w:szCs w:val="24"/>
              </w:rPr>
              <w:t>9</w:t>
            </w:r>
          </w:p>
        </w:tc>
        <w:tc>
          <w:tcPr>
            <w:tcW w:w="1873" w:type="pct"/>
            <w:vAlign w:val="center"/>
          </w:tcPr>
          <w:p w14:paraId="4CE4C64D">
            <w:pPr>
              <w:pStyle w:val="40"/>
              <w:spacing w:before="219" w:line="185" w:lineRule="auto"/>
              <w:ind w:left="274"/>
              <w:jc w:val="center"/>
              <w:rPr>
                <w:rFonts w:hint="eastAsia" w:ascii="宋体" w:hAnsi="宋体" w:eastAsia="宋体" w:cs="宋体"/>
                <w:sz w:val="24"/>
                <w:szCs w:val="24"/>
              </w:rPr>
            </w:pPr>
            <w:r>
              <w:rPr>
                <w:spacing w:val="-3"/>
                <w:sz w:val="24"/>
                <w:szCs w:val="24"/>
                <w:highlight w:val="none"/>
              </w:rPr>
              <w:t>成套试剂</w:t>
            </w:r>
          </w:p>
        </w:tc>
        <w:tc>
          <w:tcPr>
            <w:tcW w:w="568" w:type="pct"/>
            <w:vAlign w:val="center"/>
          </w:tcPr>
          <w:p w14:paraId="2893DD2F">
            <w:pPr>
              <w:jc w:val="center"/>
              <w:rPr>
                <w:rFonts w:hint="eastAsia" w:ascii="宋体" w:hAnsi="宋体" w:eastAsia="宋体" w:cs="宋体"/>
                <w:sz w:val="24"/>
                <w:szCs w:val="24"/>
              </w:rPr>
            </w:pPr>
          </w:p>
        </w:tc>
      </w:tr>
      <w:tr w14:paraId="759D9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13" w:type="pct"/>
            <w:vAlign w:val="center"/>
          </w:tcPr>
          <w:p w14:paraId="7E3058F9">
            <w:pPr>
              <w:pStyle w:val="40"/>
              <w:spacing w:before="219" w:line="185" w:lineRule="auto"/>
              <w:ind w:left="264"/>
              <w:jc w:val="center"/>
              <w:rPr>
                <w:rFonts w:hint="eastAsia" w:ascii="宋体" w:hAnsi="宋体" w:eastAsia="宋体" w:cs="宋体"/>
                <w:sz w:val="24"/>
                <w:szCs w:val="24"/>
              </w:rPr>
            </w:pPr>
            <w:r>
              <w:rPr>
                <w:rFonts w:hint="eastAsia" w:ascii="宋体" w:hAnsi="宋体" w:eastAsia="宋体" w:cs="宋体"/>
                <w:sz w:val="24"/>
                <w:szCs w:val="24"/>
              </w:rPr>
              <w:t>6</w:t>
            </w:r>
          </w:p>
        </w:tc>
        <w:tc>
          <w:tcPr>
            <w:tcW w:w="1335" w:type="pct"/>
            <w:vAlign w:val="center"/>
          </w:tcPr>
          <w:p w14:paraId="78A6EE8E">
            <w:pPr>
              <w:pStyle w:val="40"/>
              <w:spacing w:before="260" w:line="202" w:lineRule="auto"/>
              <w:ind w:left="610"/>
              <w:jc w:val="center"/>
              <w:rPr>
                <w:rFonts w:hint="eastAsia" w:ascii="宋体" w:hAnsi="宋体" w:eastAsia="宋体" w:cs="宋体"/>
                <w:sz w:val="24"/>
                <w:szCs w:val="24"/>
              </w:rPr>
            </w:pPr>
            <w:r>
              <w:rPr>
                <w:rFonts w:hint="eastAsia" w:ascii="宋体" w:hAnsi="宋体" w:eastAsia="宋体" w:cs="宋体"/>
                <w:spacing w:val="2"/>
                <w:sz w:val="24"/>
                <w:szCs w:val="24"/>
              </w:rPr>
              <w:t>次氯酸钠</w:t>
            </w:r>
          </w:p>
        </w:tc>
        <w:tc>
          <w:tcPr>
            <w:tcW w:w="396" w:type="pct"/>
            <w:vAlign w:val="center"/>
          </w:tcPr>
          <w:p w14:paraId="1CCCBA38">
            <w:pPr>
              <w:pStyle w:val="40"/>
              <w:spacing w:before="271" w:line="192" w:lineRule="auto"/>
              <w:ind w:left="243"/>
              <w:jc w:val="center"/>
              <w:rPr>
                <w:rFonts w:hint="eastAsia" w:ascii="宋体" w:hAnsi="宋体" w:eastAsia="宋体" w:cs="宋体"/>
                <w:sz w:val="24"/>
                <w:szCs w:val="24"/>
              </w:rPr>
            </w:pPr>
            <w:r>
              <w:rPr>
                <w:rFonts w:hint="eastAsia" w:ascii="宋体" w:hAnsi="宋体" w:eastAsia="宋体" w:cs="宋体"/>
                <w:sz w:val="24"/>
                <w:szCs w:val="24"/>
              </w:rPr>
              <w:t>吨</w:t>
            </w:r>
          </w:p>
        </w:tc>
        <w:tc>
          <w:tcPr>
            <w:tcW w:w="413" w:type="pct"/>
            <w:vAlign w:val="center"/>
          </w:tcPr>
          <w:p w14:paraId="73603596">
            <w:pPr>
              <w:pStyle w:val="40"/>
              <w:spacing w:before="219" w:line="185" w:lineRule="auto"/>
              <w:ind w:left="204"/>
              <w:jc w:val="center"/>
              <w:rPr>
                <w:rFonts w:hint="eastAsia" w:ascii="宋体" w:hAnsi="宋体" w:eastAsia="宋体" w:cs="宋体"/>
                <w:sz w:val="24"/>
                <w:szCs w:val="24"/>
              </w:rPr>
            </w:pPr>
            <w:r>
              <w:rPr>
                <w:rFonts w:hint="eastAsia" w:ascii="宋体" w:hAnsi="宋体" w:eastAsia="宋体" w:cs="宋体"/>
                <w:spacing w:val="-4"/>
                <w:sz w:val="24"/>
                <w:szCs w:val="24"/>
              </w:rPr>
              <w:t>35</w:t>
            </w:r>
          </w:p>
        </w:tc>
        <w:tc>
          <w:tcPr>
            <w:tcW w:w="1873" w:type="pct"/>
            <w:vAlign w:val="center"/>
          </w:tcPr>
          <w:p w14:paraId="227C820F">
            <w:pPr>
              <w:pStyle w:val="40"/>
              <w:spacing w:before="219" w:line="185" w:lineRule="auto"/>
              <w:ind w:left="204"/>
              <w:jc w:val="center"/>
              <w:rPr>
                <w:rFonts w:hint="eastAsia" w:ascii="宋体" w:hAnsi="宋体" w:eastAsia="宋体" w:cs="宋体"/>
                <w:spacing w:val="-4"/>
                <w:sz w:val="24"/>
                <w:szCs w:val="24"/>
              </w:rPr>
            </w:pPr>
            <w:r>
              <w:rPr>
                <w:spacing w:val="-4"/>
                <w:sz w:val="24"/>
                <w:szCs w:val="24"/>
                <w:highlight w:val="none"/>
              </w:rPr>
              <w:t>有效氟含量</w:t>
            </w:r>
            <w:r>
              <w:rPr>
                <w:spacing w:val="-33"/>
                <w:sz w:val="24"/>
                <w:szCs w:val="24"/>
                <w:highlight w:val="none"/>
              </w:rPr>
              <w:t xml:space="preserve"> </w:t>
            </w:r>
            <w:r>
              <w:rPr>
                <w:spacing w:val="-4"/>
                <w:sz w:val="24"/>
                <w:szCs w:val="24"/>
                <w:highlight w:val="none"/>
              </w:rPr>
              <w:t>10%</w:t>
            </w:r>
          </w:p>
        </w:tc>
        <w:tc>
          <w:tcPr>
            <w:tcW w:w="568" w:type="pct"/>
            <w:vAlign w:val="center"/>
          </w:tcPr>
          <w:p w14:paraId="346DE740">
            <w:pPr>
              <w:jc w:val="center"/>
              <w:rPr>
                <w:rFonts w:hint="eastAsia" w:ascii="宋体" w:hAnsi="宋体" w:eastAsia="宋体" w:cs="宋体"/>
                <w:sz w:val="24"/>
                <w:szCs w:val="24"/>
              </w:rPr>
            </w:pPr>
          </w:p>
        </w:tc>
      </w:tr>
      <w:tr w14:paraId="0DC11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13" w:type="pct"/>
            <w:vAlign w:val="center"/>
          </w:tcPr>
          <w:p w14:paraId="52D9BAE7">
            <w:pPr>
              <w:pStyle w:val="40"/>
              <w:spacing w:before="281" w:line="183" w:lineRule="auto"/>
              <w:ind w:left="285"/>
              <w:jc w:val="center"/>
              <w:rPr>
                <w:rFonts w:hint="eastAsia" w:ascii="宋体" w:hAnsi="宋体" w:eastAsia="宋体" w:cs="宋体"/>
                <w:sz w:val="24"/>
                <w:szCs w:val="24"/>
              </w:rPr>
            </w:pPr>
            <w:r>
              <w:rPr>
                <w:rFonts w:hint="eastAsia" w:ascii="宋体" w:hAnsi="宋体" w:eastAsia="宋体" w:cs="宋体"/>
                <w:sz w:val="24"/>
                <w:szCs w:val="24"/>
              </w:rPr>
              <w:t>7</w:t>
            </w:r>
          </w:p>
        </w:tc>
        <w:tc>
          <w:tcPr>
            <w:tcW w:w="1335" w:type="pct"/>
            <w:vAlign w:val="center"/>
          </w:tcPr>
          <w:p w14:paraId="52F04850">
            <w:pPr>
              <w:pStyle w:val="40"/>
              <w:spacing w:before="239" w:line="219" w:lineRule="auto"/>
              <w:ind w:left="401"/>
              <w:jc w:val="center"/>
              <w:rPr>
                <w:rFonts w:hint="eastAsia" w:ascii="宋体" w:hAnsi="宋体" w:eastAsia="宋体" w:cs="宋体"/>
                <w:sz w:val="24"/>
                <w:szCs w:val="24"/>
              </w:rPr>
            </w:pPr>
            <w:r>
              <w:rPr>
                <w:rFonts w:hint="eastAsia" w:ascii="宋体" w:hAnsi="宋体" w:eastAsia="宋体" w:cs="宋体"/>
                <w:spacing w:val="-2"/>
                <w:sz w:val="24"/>
                <w:szCs w:val="24"/>
              </w:rPr>
              <w:t>在线设备试剂</w:t>
            </w:r>
          </w:p>
        </w:tc>
        <w:tc>
          <w:tcPr>
            <w:tcW w:w="396" w:type="pct"/>
            <w:vAlign w:val="center"/>
          </w:tcPr>
          <w:p w14:paraId="76DE1D37">
            <w:pPr>
              <w:pStyle w:val="40"/>
              <w:spacing w:before="261" w:line="201" w:lineRule="auto"/>
              <w:ind w:left="243"/>
              <w:jc w:val="center"/>
              <w:rPr>
                <w:rFonts w:hint="eastAsia" w:ascii="宋体" w:hAnsi="宋体" w:eastAsia="宋体" w:cs="宋体"/>
                <w:sz w:val="24"/>
                <w:szCs w:val="24"/>
              </w:rPr>
            </w:pPr>
            <w:r>
              <w:rPr>
                <w:rFonts w:hint="eastAsia" w:ascii="宋体" w:hAnsi="宋体" w:eastAsia="宋体" w:cs="宋体"/>
                <w:sz w:val="24"/>
                <w:szCs w:val="24"/>
              </w:rPr>
              <w:t>套</w:t>
            </w:r>
          </w:p>
        </w:tc>
        <w:tc>
          <w:tcPr>
            <w:tcW w:w="413" w:type="pct"/>
            <w:vAlign w:val="center"/>
          </w:tcPr>
          <w:p w14:paraId="6CC0E841">
            <w:pPr>
              <w:pStyle w:val="40"/>
              <w:spacing w:before="301" w:line="166" w:lineRule="auto"/>
              <w:ind w:left="234"/>
              <w:jc w:val="center"/>
              <w:rPr>
                <w:rFonts w:hint="eastAsia" w:ascii="宋体" w:hAnsi="宋体" w:eastAsia="宋体" w:cs="宋体"/>
                <w:sz w:val="24"/>
                <w:szCs w:val="24"/>
              </w:rPr>
            </w:pPr>
            <w:r>
              <w:rPr>
                <w:rFonts w:hint="eastAsia" w:ascii="宋体" w:hAnsi="宋体" w:eastAsia="宋体" w:cs="宋体"/>
                <w:spacing w:val="-3"/>
                <w:sz w:val="24"/>
                <w:szCs w:val="24"/>
              </w:rPr>
              <w:t>96</w:t>
            </w:r>
          </w:p>
        </w:tc>
        <w:tc>
          <w:tcPr>
            <w:tcW w:w="1873" w:type="pct"/>
            <w:vAlign w:val="center"/>
          </w:tcPr>
          <w:p w14:paraId="15C6C489">
            <w:pPr>
              <w:pStyle w:val="40"/>
              <w:spacing w:before="301" w:line="166" w:lineRule="auto"/>
              <w:ind w:left="234"/>
              <w:jc w:val="center"/>
              <w:rPr>
                <w:rFonts w:hint="eastAsia" w:ascii="宋体" w:hAnsi="宋体" w:eastAsia="宋体" w:cs="宋体"/>
                <w:spacing w:val="-3"/>
                <w:sz w:val="24"/>
                <w:szCs w:val="24"/>
              </w:rPr>
            </w:pPr>
            <w:r>
              <w:rPr>
                <w:spacing w:val="-3"/>
                <w:sz w:val="24"/>
                <w:szCs w:val="24"/>
                <w:highlight w:val="none"/>
              </w:rPr>
              <w:t>成套试剂</w:t>
            </w:r>
          </w:p>
        </w:tc>
        <w:tc>
          <w:tcPr>
            <w:tcW w:w="568" w:type="pct"/>
            <w:vAlign w:val="center"/>
          </w:tcPr>
          <w:p w14:paraId="6C4A9FEA">
            <w:pPr>
              <w:jc w:val="center"/>
              <w:rPr>
                <w:rFonts w:hint="eastAsia" w:ascii="宋体" w:hAnsi="宋体" w:eastAsia="宋体" w:cs="宋体"/>
                <w:sz w:val="24"/>
                <w:szCs w:val="24"/>
              </w:rPr>
            </w:pPr>
          </w:p>
        </w:tc>
      </w:tr>
      <w:tr w14:paraId="29ABF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13" w:type="pct"/>
            <w:vAlign w:val="center"/>
          </w:tcPr>
          <w:p w14:paraId="026AD800">
            <w:pPr>
              <w:pStyle w:val="40"/>
              <w:spacing w:before="219" w:line="184" w:lineRule="auto"/>
              <w:ind w:left="264"/>
              <w:jc w:val="center"/>
              <w:rPr>
                <w:rFonts w:hint="eastAsia" w:ascii="宋体" w:hAnsi="宋体" w:eastAsia="宋体" w:cs="宋体"/>
                <w:sz w:val="24"/>
                <w:szCs w:val="24"/>
              </w:rPr>
            </w:pPr>
            <w:r>
              <w:rPr>
                <w:rFonts w:hint="eastAsia" w:ascii="宋体" w:hAnsi="宋体" w:eastAsia="宋体" w:cs="宋体"/>
                <w:sz w:val="24"/>
                <w:szCs w:val="24"/>
              </w:rPr>
              <w:t>8</w:t>
            </w:r>
          </w:p>
        </w:tc>
        <w:tc>
          <w:tcPr>
            <w:tcW w:w="1335" w:type="pct"/>
            <w:vAlign w:val="center"/>
          </w:tcPr>
          <w:p w14:paraId="7BC53AA5">
            <w:pPr>
              <w:pStyle w:val="40"/>
              <w:spacing w:before="239" w:line="219" w:lineRule="auto"/>
              <w:ind w:left="720"/>
              <w:jc w:val="center"/>
              <w:rPr>
                <w:rFonts w:hint="eastAsia" w:ascii="宋体" w:hAnsi="宋体" w:eastAsia="宋体" w:cs="宋体"/>
                <w:sz w:val="24"/>
                <w:szCs w:val="24"/>
              </w:rPr>
            </w:pPr>
            <w:r>
              <w:rPr>
                <w:rFonts w:hint="eastAsia" w:ascii="宋体" w:hAnsi="宋体" w:eastAsia="宋体" w:cs="宋体"/>
                <w:spacing w:val="-2"/>
                <w:sz w:val="24"/>
                <w:szCs w:val="24"/>
              </w:rPr>
              <w:t>柠檬酸</w:t>
            </w:r>
          </w:p>
        </w:tc>
        <w:tc>
          <w:tcPr>
            <w:tcW w:w="396" w:type="pct"/>
            <w:vAlign w:val="center"/>
          </w:tcPr>
          <w:p w14:paraId="6446E625">
            <w:pPr>
              <w:pStyle w:val="40"/>
              <w:spacing w:before="262" w:line="199" w:lineRule="auto"/>
              <w:ind w:left="243"/>
              <w:jc w:val="center"/>
              <w:rPr>
                <w:rFonts w:hint="eastAsia" w:ascii="宋体" w:hAnsi="宋体" w:eastAsia="宋体" w:cs="宋体"/>
                <w:sz w:val="24"/>
                <w:szCs w:val="24"/>
              </w:rPr>
            </w:pPr>
            <w:r>
              <w:rPr>
                <w:rFonts w:hint="eastAsia" w:ascii="宋体" w:hAnsi="宋体" w:eastAsia="宋体" w:cs="宋体"/>
                <w:sz w:val="24"/>
                <w:szCs w:val="24"/>
              </w:rPr>
              <w:t>瓶</w:t>
            </w:r>
          </w:p>
        </w:tc>
        <w:tc>
          <w:tcPr>
            <w:tcW w:w="413" w:type="pct"/>
            <w:vAlign w:val="center"/>
          </w:tcPr>
          <w:p w14:paraId="6302D670">
            <w:pPr>
              <w:pStyle w:val="40"/>
              <w:spacing w:before="219" w:line="184" w:lineRule="auto"/>
              <w:ind w:left="204"/>
              <w:jc w:val="center"/>
              <w:rPr>
                <w:rFonts w:hint="eastAsia" w:ascii="宋体" w:hAnsi="宋体" w:eastAsia="宋体" w:cs="宋体"/>
                <w:sz w:val="24"/>
                <w:szCs w:val="24"/>
              </w:rPr>
            </w:pPr>
            <w:r>
              <w:rPr>
                <w:rFonts w:hint="eastAsia" w:ascii="宋体" w:hAnsi="宋体" w:eastAsia="宋体" w:cs="宋体"/>
                <w:spacing w:val="-4"/>
                <w:sz w:val="24"/>
                <w:szCs w:val="24"/>
              </w:rPr>
              <w:t>20</w:t>
            </w:r>
          </w:p>
        </w:tc>
        <w:tc>
          <w:tcPr>
            <w:tcW w:w="1873" w:type="pct"/>
            <w:vAlign w:val="center"/>
          </w:tcPr>
          <w:p w14:paraId="23101934">
            <w:pPr>
              <w:pStyle w:val="40"/>
              <w:spacing w:before="219" w:line="184" w:lineRule="auto"/>
              <w:ind w:left="204"/>
              <w:jc w:val="center"/>
              <w:rPr>
                <w:rFonts w:hint="eastAsia" w:ascii="宋体" w:hAnsi="宋体" w:eastAsia="宋体" w:cs="宋体"/>
                <w:spacing w:val="-4"/>
                <w:sz w:val="24"/>
                <w:szCs w:val="24"/>
              </w:rPr>
            </w:pPr>
            <w:r>
              <w:rPr>
                <w:spacing w:val="-4"/>
                <w:sz w:val="24"/>
                <w:szCs w:val="24"/>
                <w:highlight w:val="none"/>
              </w:rPr>
              <w:t>分析纯</w:t>
            </w:r>
          </w:p>
        </w:tc>
        <w:tc>
          <w:tcPr>
            <w:tcW w:w="568" w:type="pct"/>
            <w:vAlign w:val="center"/>
          </w:tcPr>
          <w:p w14:paraId="2264D5CA">
            <w:pPr>
              <w:pStyle w:val="40"/>
              <w:spacing w:before="253" w:line="207" w:lineRule="auto"/>
              <w:ind w:left="120"/>
              <w:jc w:val="center"/>
              <w:rPr>
                <w:rFonts w:hint="eastAsia" w:ascii="宋体" w:hAnsi="宋体" w:eastAsia="宋体" w:cs="宋体"/>
                <w:sz w:val="24"/>
                <w:szCs w:val="24"/>
              </w:rPr>
            </w:pPr>
            <w:r>
              <w:rPr>
                <w:rFonts w:hint="eastAsia" w:ascii="宋体" w:hAnsi="宋体" w:eastAsia="宋体" w:cs="宋体"/>
                <w:spacing w:val="2"/>
                <w:sz w:val="24"/>
                <w:szCs w:val="24"/>
              </w:rPr>
              <w:t>500g/瓶</w:t>
            </w:r>
          </w:p>
        </w:tc>
      </w:tr>
      <w:tr w14:paraId="60198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13" w:type="pct"/>
            <w:vAlign w:val="center"/>
          </w:tcPr>
          <w:p w14:paraId="3AE91048">
            <w:pPr>
              <w:pStyle w:val="40"/>
              <w:spacing w:before="302"/>
              <w:ind w:left="285"/>
              <w:jc w:val="center"/>
              <w:rPr>
                <w:rFonts w:hint="eastAsia" w:ascii="宋体" w:hAnsi="宋体" w:eastAsia="宋体" w:cs="宋体"/>
                <w:sz w:val="24"/>
                <w:szCs w:val="24"/>
              </w:rPr>
            </w:pPr>
            <w:r>
              <w:rPr>
                <w:rFonts w:hint="eastAsia" w:ascii="宋体" w:hAnsi="宋体" w:eastAsia="宋体" w:cs="宋体"/>
                <w:sz w:val="24"/>
                <w:szCs w:val="24"/>
              </w:rPr>
              <w:t>9</w:t>
            </w:r>
          </w:p>
        </w:tc>
        <w:tc>
          <w:tcPr>
            <w:tcW w:w="1335" w:type="pct"/>
            <w:vAlign w:val="center"/>
          </w:tcPr>
          <w:p w14:paraId="12483B11">
            <w:pPr>
              <w:pStyle w:val="40"/>
              <w:spacing w:before="232" w:line="221" w:lineRule="auto"/>
              <w:ind w:left="190"/>
              <w:jc w:val="center"/>
              <w:rPr>
                <w:rFonts w:hint="eastAsia" w:ascii="宋体" w:hAnsi="宋体" w:eastAsia="宋体" w:cs="宋体"/>
                <w:sz w:val="24"/>
                <w:szCs w:val="24"/>
              </w:rPr>
            </w:pPr>
            <w:r>
              <w:rPr>
                <w:rFonts w:hint="eastAsia" w:ascii="宋体" w:hAnsi="宋体" w:eastAsia="宋体" w:cs="宋体"/>
                <w:spacing w:val="1"/>
                <w:sz w:val="24"/>
                <w:szCs w:val="24"/>
              </w:rPr>
              <w:t>乙二胺四乙酸二钠</w:t>
            </w:r>
          </w:p>
        </w:tc>
        <w:tc>
          <w:tcPr>
            <w:tcW w:w="396" w:type="pct"/>
            <w:vAlign w:val="center"/>
          </w:tcPr>
          <w:p w14:paraId="6C345FFC">
            <w:pPr>
              <w:pStyle w:val="40"/>
              <w:spacing w:before="282" w:line="221" w:lineRule="auto"/>
              <w:ind w:left="243"/>
              <w:jc w:val="center"/>
              <w:rPr>
                <w:rFonts w:hint="eastAsia" w:ascii="宋体" w:hAnsi="宋体" w:eastAsia="宋体" w:cs="宋体"/>
                <w:sz w:val="24"/>
                <w:szCs w:val="24"/>
              </w:rPr>
            </w:pPr>
            <w:r>
              <w:rPr>
                <w:rFonts w:hint="eastAsia" w:ascii="宋体" w:hAnsi="宋体" w:eastAsia="宋体" w:cs="宋体"/>
                <w:sz w:val="24"/>
                <w:szCs w:val="24"/>
              </w:rPr>
              <w:t>瓶</w:t>
            </w:r>
          </w:p>
        </w:tc>
        <w:tc>
          <w:tcPr>
            <w:tcW w:w="413" w:type="pct"/>
            <w:vAlign w:val="center"/>
          </w:tcPr>
          <w:p w14:paraId="1E05A1B8">
            <w:pPr>
              <w:spacing w:line="252" w:lineRule="auto"/>
              <w:jc w:val="center"/>
              <w:rPr>
                <w:rFonts w:hint="eastAsia" w:ascii="宋体" w:hAnsi="宋体" w:eastAsia="宋体" w:cs="宋体"/>
                <w:sz w:val="24"/>
                <w:szCs w:val="24"/>
              </w:rPr>
            </w:pPr>
          </w:p>
          <w:p w14:paraId="0C6A6452">
            <w:pPr>
              <w:pStyle w:val="40"/>
              <w:spacing w:before="68"/>
              <w:ind w:left="234"/>
              <w:jc w:val="center"/>
              <w:rPr>
                <w:rFonts w:hint="eastAsia" w:ascii="宋体" w:hAnsi="宋体" w:eastAsia="宋体" w:cs="宋体"/>
                <w:sz w:val="24"/>
                <w:szCs w:val="24"/>
              </w:rPr>
            </w:pPr>
            <w:r>
              <w:rPr>
                <w:rFonts w:hint="eastAsia" w:ascii="宋体" w:hAnsi="宋体" w:eastAsia="宋体" w:cs="宋体"/>
                <w:spacing w:val="-4"/>
                <w:sz w:val="24"/>
                <w:szCs w:val="24"/>
              </w:rPr>
              <w:t>56</w:t>
            </w:r>
          </w:p>
        </w:tc>
        <w:tc>
          <w:tcPr>
            <w:tcW w:w="1873" w:type="pct"/>
            <w:vAlign w:val="center"/>
          </w:tcPr>
          <w:p w14:paraId="3278A1B1">
            <w:pPr>
              <w:pStyle w:val="40"/>
              <w:spacing w:before="68"/>
              <w:ind w:left="234"/>
              <w:jc w:val="center"/>
              <w:rPr>
                <w:rFonts w:hint="eastAsia" w:ascii="宋体" w:hAnsi="宋体" w:eastAsia="宋体" w:cs="宋体"/>
                <w:spacing w:val="-4"/>
                <w:sz w:val="24"/>
                <w:szCs w:val="24"/>
              </w:rPr>
            </w:pPr>
            <w:r>
              <w:rPr>
                <w:spacing w:val="-4"/>
                <w:sz w:val="24"/>
                <w:szCs w:val="24"/>
                <w:highlight w:val="none"/>
              </w:rPr>
              <w:t>分析纯</w:t>
            </w:r>
          </w:p>
        </w:tc>
        <w:tc>
          <w:tcPr>
            <w:tcW w:w="568" w:type="pct"/>
            <w:vAlign w:val="center"/>
          </w:tcPr>
          <w:p w14:paraId="2D877C19">
            <w:pPr>
              <w:pStyle w:val="40"/>
              <w:spacing w:before="224" w:line="214" w:lineRule="auto"/>
              <w:ind w:left="120"/>
              <w:jc w:val="center"/>
              <w:rPr>
                <w:rFonts w:hint="eastAsia" w:ascii="宋体" w:hAnsi="宋体" w:eastAsia="宋体" w:cs="宋体"/>
                <w:sz w:val="24"/>
                <w:szCs w:val="24"/>
              </w:rPr>
            </w:pPr>
            <w:r>
              <w:rPr>
                <w:rFonts w:hint="eastAsia" w:ascii="宋体" w:hAnsi="宋体" w:eastAsia="宋体" w:cs="宋体"/>
                <w:spacing w:val="2"/>
                <w:sz w:val="24"/>
                <w:szCs w:val="24"/>
              </w:rPr>
              <w:t>250g/瓶</w:t>
            </w:r>
          </w:p>
        </w:tc>
      </w:tr>
      <w:tr w14:paraId="4E585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13" w:type="pct"/>
            <w:vAlign w:val="center"/>
          </w:tcPr>
          <w:p w14:paraId="5CAEF1D5">
            <w:pPr>
              <w:pStyle w:val="40"/>
              <w:spacing w:before="242"/>
              <w:ind w:left="234"/>
              <w:jc w:val="center"/>
              <w:rPr>
                <w:rFonts w:hint="eastAsia" w:ascii="宋体" w:hAnsi="宋体" w:eastAsia="宋体" w:cs="宋体"/>
                <w:sz w:val="24"/>
                <w:szCs w:val="24"/>
              </w:rPr>
            </w:pPr>
            <w:r>
              <w:rPr>
                <w:rFonts w:hint="eastAsia" w:ascii="宋体" w:hAnsi="宋体" w:eastAsia="宋体" w:cs="宋体"/>
                <w:spacing w:val="-6"/>
                <w:sz w:val="24"/>
                <w:szCs w:val="24"/>
              </w:rPr>
              <w:t>10</w:t>
            </w:r>
          </w:p>
        </w:tc>
        <w:tc>
          <w:tcPr>
            <w:tcW w:w="1335" w:type="pct"/>
            <w:vAlign w:val="center"/>
          </w:tcPr>
          <w:p w14:paraId="7113BEA2">
            <w:pPr>
              <w:pStyle w:val="40"/>
              <w:spacing w:before="221" w:line="219" w:lineRule="auto"/>
              <w:ind w:left="190"/>
              <w:jc w:val="center"/>
              <w:rPr>
                <w:rFonts w:hint="eastAsia" w:ascii="宋体" w:hAnsi="宋体" w:eastAsia="宋体" w:cs="宋体"/>
                <w:sz w:val="24"/>
                <w:szCs w:val="24"/>
              </w:rPr>
            </w:pPr>
            <w:r>
              <w:rPr>
                <w:rFonts w:hint="eastAsia" w:ascii="宋体" w:hAnsi="宋体" w:eastAsia="宋体" w:cs="宋体"/>
                <w:spacing w:val="5"/>
                <w:sz w:val="24"/>
                <w:szCs w:val="24"/>
              </w:rPr>
              <w:t>氢氧化钠(分析纯)</w:t>
            </w:r>
          </w:p>
        </w:tc>
        <w:tc>
          <w:tcPr>
            <w:tcW w:w="396" w:type="pct"/>
            <w:vAlign w:val="center"/>
          </w:tcPr>
          <w:p w14:paraId="1C9F5A85">
            <w:pPr>
              <w:pStyle w:val="40"/>
              <w:spacing w:before="223" w:line="221" w:lineRule="auto"/>
              <w:ind w:left="243"/>
              <w:jc w:val="center"/>
              <w:rPr>
                <w:rFonts w:hint="eastAsia" w:ascii="宋体" w:hAnsi="宋体" w:eastAsia="宋体" w:cs="宋体"/>
                <w:sz w:val="24"/>
                <w:szCs w:val="24"/>
              </w:rPr>
            </w:pPr>
            <w:r>
              <w:rPr>
                <w:rFonts w:hint="eastAsia" w:ascii="宋体" w:hAnsi="宋体" w:eastAsia="宋体" w:cs="宋体"/>
                <w:sz w:val="24"/>
                <w:szCs w:val="24"/>
              </w:rPr>
              <w:t>瓶</w:t>
            </w:r>
          </w:p>
        </w:tc>
        <w:tc>
          <w:tcPr>
            <w:tcW w:w="413" w:type="pct"/>
            <w:vAlign w:val="center"/>
          </w:tcPr>
          <w:p w14:paraId="2594F4B6">
            <w:pPr>
              <w:pStyle w:val="40"/>
              <w:spacing w:before="242"/>
              <w:ind w:left="234"/>
              <w:jc w:val="center"/>
              <w:rPr>
                <w:rFonts w:hint="eastAsia" w:ascii="宋体" w:hAnsi="宋体" w:eastAsia="宋体" w:cs="宋体"/>
                <w:sz w:val="24"/>
                <w:szCs w:val="24"/>
              </w:rPr>
            </w:pPr>
            <w:r>
              <w:rPr>
                <w:rFonts w:hint="eastAsia" w:ascii="宋体" w:hAnsi="宋体" w:eastAsia="宋体" w:cs="宋体"/>
                <w:spacing w:val="-3"/>
                <w:sz w:val="24"/>
                <w:szCs w:val="24"/>
              </w:rPr>
              <w:t>28</w:t>
            </w:r>
          </w:p>
        </w:tc>
        <w:tc>
          <w:tcPr>
            <w:tcW w:w="1873" w:type="pct"/>
            <w:vAlign w:val="center"/>
          </w:tcPr>
          <w:p w14:paraId="453022BA">
            <w:pPr>
              <w:pStyle w:val="40"/>
              <w:spacing w:before="242"/>
              <w:ind w:left="234"/>
              <w:jc w:val="center"/>
              <w:rPr>
                <w:rFonts w:hint="eastAsia" w:ascii="宋体" w:hAnsi="宋体" w:eastAsia="宋体" w:cs="宋体"/>
                <w:spacing w:val="-3"/>
                <w:sz w:val="24"/>
                <w:szCs w:val="24"/>
              </w:rPr>
            </w:pPr>
            <w:r>
              <w:rPr>
                <w:spacing w:val="-4"/>
                <w:sz w:val="24"/>
                <w:szCs w:val="24"/>
                <w:highlight w:val="none"/>
              </w:rPr>
              <w:t>分析纯</w:t>
            </w:r>
          </w:p>
        </w:tc>
        <w:tc>
          <w:tcPr>
            <w:tcW w:w="568" w:type="pct"/>
            <w:vAlign w:val="center"/>
          </w:tcPr>
          <w:p w14:paraId="707EEBE3">
            <w:pPr>
              <w:pStyle w:val="40"/>
              <w:spacing w:before="215" w:line="214" w:lineRule="auto"/>
              <w:ind w:left="120"/>
              <w:jc w:val="center"/>
              <w:rPr>
                <w:rFonts w:hint="eastAsia" w:ascii="宋体" w:hAnsi="宋体" w:eastAsia="宋体" w:cs="宋体"/>
                <w:sz w:val="24"/>
                <w:szCs w:val="24"/>
              </w:rPr>
            </w:pPr>
            <w:r>
              <w:rPr>
                <w:rFonts w:hint="eastAsia" w:ascii="宋体" w:hAnsi="宋体" w:eastAsia="宋体" w:cs="宋体"/>
                <w:spacing w:val="2"/>
                <w:sz w:val="24"/>
                <w:szCs w:val="24"/>
              </w:rPr>
              <w:t>500g/瓶</w:t>
            </w:r>
          </w:p>
        </w:tc>
      </w:tr>
      <w:tr w14:paraId="00B15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13" w:type="pct"/>
            <w:vAlign w:val="center"/>
          </w:tcPr>
          <w:p w14:paraId="0DC766A0">
            <w:pPr>
              <w:spacing w:line="244" w:lineRule="auto"/>
              <w:jc w:val="center"/>
              <w:rPr>
                <w:rFonts w:hint="eastAsia" w:ascii="宋体" w:hAnsi="宋体" w:eastAsia="宋体" w:cs="宋体"/>
                <w:sz w:val="24"/>
                <w:szCs w:val="24"/>
              </w:rPr>
            </w:pPr>
          </w:p>
          <w:p w14:paraId="6E5D697F">
            <w:pPr>
              <w:pStyle w:val="40"/>
              <w:spacing w:before="68" w:line="241" w:lineRule="auto"/>
              <w:ind w:left="234"/>
              <w:jc w:val="center"/>
              <w:rPr>
                <w:rFonts w:hint="eastAsia" w:ascii="宋体" w:hAnsi="宋体" w:eastAsia="宋体" w:cs="宋体"/>
                <w:sz w:val="24"/>
                <w:szCs w:val="24"/>
              </w:rPr>
            </w:pPr>
            <w:r>
              <w:rPr>
                <w:rFonts w:hint="eastAsia" w:ascii="宋体" w:hAnsi="宋体" w:eastAsia="宋体" w:cs="宋体"/>
                <w:spacing w:val="-6"/>
                <w:sz w:val="24"/>
                <w:szCs w:val="24"/>
              </w:rPr>
              <w:t>11</w:t>
            </w:r>
          </w:p>
        </w:tc>
        <w:tc>
          <w:tcPr>
            <w:tcW w:w="1335" w:type="pct"/>
            <w:vAlign w:val="center"/>
          </w:tcPr>
          <w:p w14:paraId="38B97048">
            <w:pPr>
              <w:pStyle w:val="40"/>
              <w:spacing w:before="232" w:line="219" w:lineRule="auto"/>
              <w:ind w:left="720"/>
              <w:jc w:val="center"/>
              <w:rPr>
                <w:rFonts w:hint="eastAsia" w:ascii="宋体" w:hAnsi="宋体" w:eastAsia="宋体" w:cs="宋体"/>
                <w:sz w:val="24"/>
                <w:szCs w:val="24"/>
              </w:rPr>
            </w:pPr>
            <w:r>
              <w:rPr>
                <w:rFonts w:hint="eastAsia" w:ascii="宋体" w:hAnsi="宋体" w:eastAsia="宋体" w:cs="宋体"/>
                <w:spacing w:val="4"/>
                <w:sz w:val="24"/>
                <w:szCs w:val="24"/>
              </w:rPr>
              <w:t>阻垢剂</w:t>
            </w:r>
          </w:p>
        </w:tc>
        <w:tc>
          <w:tcPr>
            <w:tcW w:w="396" w:type="pct"/>
            <w:vAlign w:val="center"/>
          </w:tcPr>
          <w:p w14:paraId="3547075F">
            <w:pPr>
              <w:pStyle w:val="40"/>
              <w:spacing w:before="233" w:line="219" w:lineRule="auto"/>
              <w:ind w:left="243"/>
              <w:jc w:val="center"/>
              <w:rPr>
                <w:rFonts w:hint="eastAsia" w:ascii="宋体" w:hAnsi="宋体" w:eastAsia="宋体" w:cs="宋体"/>
                <w:sz w:val="24"/>
                <w:szCs w:val="24"/>
              </w:rPr>
            </w:pPr>
            <w:r>
              <w:rPr>
                <w:rFonts w:hint="eastAsia" w:ascii="宋体" w:hAnsi="宋体" w:eastAsia="宋体" w:cs="宋体"/>
                <w:sz w:val="24"/>
                <w:szCs w:val="24"/>
              </w:rPr>
              <w:t>桶</w:t>
            </w:r>
          </w:p>
        </w:tc>
        <w:tc>
          <w:tcPr>
            <w:tcW w:w="413" w:type="pct"/>
            <w:vAlign w:val="center"/>
          </w:tcPr>
          <w:p w14:paraId="257CED36">
            <w:pPr>
              <w:pStyle w:val="40"/>
              <w:spacing w:before="254"/>
              <w:ind w:left="234"/>
              <w:jc w:val="center"/>
              <w:rPr>
                <w:rFonts w:hint="eastAsia" w:ascii="宋体" w:hAnsi="宋体" w:eastAsia="宋体" w:cs="宋体"/>
                <w:sz w:val="24"/>
                <w:szCs w:val="24"/>
              </w:rPr>
            </w:pPr>
            <w:r>
              <w:rPr>
                <w:rFonts w:hint="eastAsia" w:ascii="宋体" w:hAnsi="宋体" w:eastAsia="宋体" w:cs="宋体"/>
                <w:spacing w:val="-6"/>
                <w:sz w:val="24"/>
                <w:szCs w:val="24"/>
              </w:rPr>
              <w:t>13</w:t>
            </w:r>
          </w:p>
        </w:tc>
        <w:tc>
          <w:tcPr>
            <w:tcW w:w="1873" w:type="pct"/>
            <w:vAlign w:val="center"/>
          </w:tcPr>
          <w:p w14:paraId="013DAB99">
            <w:pPr>
              <w:pStyle w:val="40"/>
              <w:spacing w:before="254"/>
              <w:ind w:left="234"/>
              <w:jc w:val="center"/>
              <w:rPr>
                <w:rFonts w:hint="eastAsia" w:ascii="宋体" w:hAnsi="宋体" w:eastAsia="宋体" w:cs="宋体"/>
                <w:spacing w:val="-6"/>
                <w:sz w:val="24"/>
                <w:szCs w:val="24"/>
              </w:rPr>
            </w:pPr>
            <w:r>
              <w:rPr>
                <w:spacing w:val="-3"/>
                <w:sz w:val="24"/>
                <w:szCs w:val="24"/>
                <w:highlight w:val="none"/>
              </w:rPr>
              <w:t>行业标准</w:t>
            </w:r>
          </w:p>
        </w:tc>
        <w:tc>
          <w:tcPr>
            <w:tcW w:w="568" w:type="pct"/>
            <w:vAlign w:val="center"/>
          </w:tcPr>
          <w:p w14:paraId="1C190D3F">
            <w:pPr>
              <w:pStyle w:val="40"/>
              <w:spacing w:before="226" w:line="214" w:lineRule="auto"/>
              <w:ind w:left="120"/>
              <w:jc w:val="center"/>
              <w:rPr>
                <w:rFonts w:hint="eastAsia" w:ascii="宋体" w:hAnsi="宋体" w:eastAsia="宋体" w:cs="宋体"/>
                <w:sz w:val="24"/>
                <w:szCs w:val="24"/>
              </w:rPr>
            </w:pPr>
            <w:r>
              <w:rPr>
                <w:rFonts w:hint="eastAsia" w:ascii="宋体" w:hAnsi="宋体" w:eastAsia="宋体" w:cs="宋体"/>
                <w:spacing w:val="5"/>
                <w:sz w:val="24"/>
                <w:szCs w:val="24"/>
              </w:rPr>
              <w:t>25</w:t>
            </w:r>
            <w:r>
              <w:rPr>
                <w:rFonts w:hint="eastAsia" w:ascii="宋体" w:hAnsi="宋体" w:eastAsia="宋体" w:cs="宋体"/>
                <w:sz w:val="24"/>
                <w:szCs w:val="24"/>
              </w:rPr>
              <w:t>kg</w:t>
            </w:r>
            <w:r>
              <w:rPr>
                <w:rFonts w:hint="eastAsia" w:ascii="宋体" w:hAnsi="宋体" w:eastAsia="宋体" w:cs="宋体"/>
                <w:spacing w:val="5"/>
                <w:sz w:val="24"/>
                <w:szCs w:val="24"/>
              </w:rPr>
              <w:t>/桶</w:t>
            </w:r>
          </w:p>
        </w:tc>
      </w:tr>
      <w:tr w14:paraId="58775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13" w:type="pct"/>
            <w:vAlign w:val="center"/>
          </w:tcPr>
          <w:p w14:paraId="6A1ED2E8">
            <w:pPr>
              <w:pStyle w:val="40"/>
              <w:spacing w:before="305" w:line="241" w:lineRule="auto"/>
              <w:ind w:left="234"/>
              <w:jc w:val="center"/>
              <w:rPr>
                <w:rFonts w:hint="eastAsia" w:ascii="宋体" w:hAnsi="宋体" w:eastAsia="宋体" w:cs="宋体"/>
                <w:sz w:val="24"/>
                <w:szCs w:val="24"/>
              </w:rPr>
            </w:pPr>
            <w:r>
              <w:rPr>
                <w:rFonts w:hint="eastAsia" w:ascii="宋体" w:hAnsi="宋体" w:eastAsia="宋体" w:cs="宋体"/>
                <w:spacing w:val="-6"/>
                <w:sz w:val="24"/>
                <w:szCs w:val="24"/>
              </w:rPr>
              <w:t>12</w:t>
            </w:r>
          </w:p>
        </w:tc>
        <w:tc>
          <w:tcPr>
            <w:tcW w:w="1335" w:type="pct"/>
            <w:vAlign w:val="center"/>
          </w:tcPr>
          <w:p w14:paraId="3A5C31A4">
            <w:pPr>
              <w:pStyle w:val="40"/>
              <w:spacing w:before="253" w:line="219" w:lineRule="auto"/>
              <w:ind w:left="720"/>
              <w:jc w:val="center"/>
              <w:rPr>
                <w:rFonts w:hint="eastAsia" w:ascii="宋体" w:hAnsi="宋体" w:eastAsia="宋体" w:cs="宋体"/>
                <w:sz w:val="24"/>
                <w:szCs w:val="24"/>
              </w:rPr>
            </w:pPr>
            <w:r>
              <w:rPr>
                <w:rFonts w:hint="eastAsia" w:ascii="宋体" w:hAnsi="宋体" w:eastAsia="宋体" w:cs="宋体"/>
                <w:spacing w:val="4"/>
                <w:sz w:val="24"/>
                <w:szCs w:val="24"/>
              </w:rPr>
              <w:t>消泡剂</w:t>
            </w:r>
          </w:p>
        </w:tc>
        <w:tc>
          <w:tcPr>
            <w:tcW w:w="396" w:type="pct"/>
            <w:vAlign w:val="center"/>
          </w:tcPr>
          <w:p w14:paraId="6D130D89">
            <w:pPr>
              <w:pStyle w:val="40"/>
              <w:spacing w:before="274" w:line="219" w:lineRule="auto"/>
              <w:ind w:left="243"/>
              <w:jc w:val="center"/>
              <w:rPr>
                <w:rFonts w:hint="eastAsia" w:ascii="宋体" w:hAnsi="宋体" w:eastAsia="宋体" w:cs="宋体"/>
                <w:sz w:val="24"/>
                <w:szCs w:val="24"/>
              </w:rPr>
            </w:pPr>
            <w:r>
              <w:rPr>
                <w:rFonts w:hint="eastAsia" w:ascii="宋体" w:hAnsi="宋体" w:eastAsia="宋体" w:cs="宋体"/>
                <w:sz w:val="24"/>
                <w:szCs w:val="24"/>
              </w:rPr>
              <w:t>桶</w:t>
            </w:r>
          </w:p>
        </w:tc>
        <w:tc>
          <w:tcPr>
            <w:tcW w:w="413" w:type="pct"/>
            <w:vAlign w:val="center"/>
          </w:tcPr>
          <w:p w14:paraId="285AF9DA">
            <w:pPr>
              <w:pStyle w:val="40"/>
              <w:spacing w:before="304"/>
              <w:ind w:left="234"/>
              <w:jc w:val="center"/>
              <w:rPr>
                <w:rFonts w:hint="eastAsia" w:ascii="宋体" w:hAnsi="宋体" w:eastAsia="宋体" w:cs="宋体"/>
                <w:sz w:val="24"/>
                <w:szCs w:val="24"/>
              </w:rPr>
            </w:pPr>
            <w:r>
              <w:rPr>
                <w:rFonts w:hint="eastAsia" w:ascii="宋体" w:hAnsi="宋体" w:eastAsia="宋体" w:cs="宋体"/>
                <w:spacing w:val="-6"/>
                <w:sz w:val="24"/>
                <w:szCs w:val="24"/>
              </w:rPr>
              <w:t>15</w:t>
            </w:r>
          </w:p>
        </w:tc>
        <w:tc>
          <w:tcPr>
            <w:tcW w:w="1873" w:type="pct"/>
            <w:vAlign w:val="center"/>
          </w:tcPr>
          <w:p w14:paraId="24C352C7">
            <w:pPr>
              <w:pStyle w:val="40"/>
              <w:spacing w:before="304"/>
              <w:ind w:left="234"/>
              <w:jc w:val="center"/>
              <w:rPr>
                <w:rFonts w:hint="eastAsia" w:ascii="宋体" w:hAnsi="宋体" w:eastAsia="宋体" w:cs="宋体"/>
                <w:spacing w:val="-6"/>
                <w:sz w:val="24"/>
                <w:szCs w:val="24"/>
              </w:rPr>
            </w:pPr>
            <w:r>
              <w:rPr>
                <w:spacing w:val="-3"/>
                <w:sz w:val="24"/>
                <w:szCs w:val="24"/>
                <w:highlight w:val="none"/>
              </w:rPr>
              <w:t>行业标准</w:t>
            </w:r>
          </w:p>
        </w:tc>
        <w:tc>
          <w:tcPr>
            <w:tcW w:w="568" w:type="pct"/>
            <w:vAlign w:val="center"/>
          </w:tcPr>
          <w:p w14:paraId="360B0C14">
            <w:pPr>
              <w:pStyle w:val="40"/>
              <w:spacing w:before="267" w:line="214" w:lineRule="auto"/>
              <w:ind w:left="120"/>
              <w:jc w:val="center"/>
              <w:rPr>
                <w:rFonts w:hint="eastAsia" w:ascii="宋体" w:hAnsi="宋体" w:eastAsia="宋体" w:cs="宋体"/>
                <w:sz w:val="24"/>
                <w:szCs w:val="24"/>
              </w:rPr>
            </w:pPr>
            <w:r>
              <w:rPr>
                <w:rFonts w:hint="eastAsia" w:ascii="宋体" w:hAnsi="宋体" w:eastAsia="宋体" w:cs="宋体"/>
                <w:spacing w:val="5"/>
                <w:sz w:val="24"/>
                <w:szCs w:val="24"/>
              </w:rPr>
              <w:t>25</w:t>
            </w:r>
            <w:r>
              <w:rPr>
                <w:rFonts w:hint="eastAsia" w:ascii="宋体" w:hAnsi="宋体" w:eastAsia="宋体" w:cs="宋体"/>
                <w:sz w:val="24"/>
                <w:szCs w:val="24"/>
              </w:rPr>
              <w:t>kg</w:t>
            </w:r>
            <w:r>
              <w:rPr>
                <w:rFonts w:hint="eastAsia" w:ascii="宋体" w:hAnsi="宋体" w:eastAsia="宋体" w:cs="宋体"/>
                <w:spacing w:val="5"/>
                <w:sz w:val="24"/>
                <w:szCs w:val="24"/>
              </w:rPr>
              <w:t>/桶</w:t>
            </w:r>
          </w:p>
        </w:tc>
      </w:tr>
      <w:tr w14:paraId="769A7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13" w:type="pct"/>
            <w:vAlign w:val="center"/>
          </w:tcPr>
          <w:p w14:paraId="0B3582A4">
            <w:pPr>
              <w:pStyle w:val="40"/>
              <w:spacing w:before="315" w:line="228" w:lineRule="auto"/>
              <w:ind w:left="204"/>
              <w:jc w:val="center"/>
              <w:rPr>
                <w:rFonts w:hint="eastAsia" w:ascii="宋体" w:hAnsi="宋体" w:eastAsia="宋体" w:cs="宋体"/>
                <w:sz w:val="24"/>
                <w:szCs w:val="24"/>
              </w:rPr>
            </w:pPr>
            <w:r>
              <w:rPr>
                <w:rFonts w:hint="eastAsia" w:ascii="宋体" w:hAnsi="宋体" w:eastAsia="宋体" w:cs="宋体"/>
                <w:spacing w:val="-8"/>
                <w:sz w:val="24"/>
                <w:szCs w:val="24"/>
              </w:rPr>
              <w:t>13</w:t>
            </w:r>
          </w:p>
        </w:tc>
        <w:tc>
          <w:tcPr>
            <w:tcW w:w="1335" w:type="pct"/>
            <w:vAlign w:val="center"/>
          </w:tcPr>
          <w:p w14:paraId="7E9C7E0E">
            <w:pPr>
              <w:pStyle w:val="40"/>
              <w:spacing w:before="234" w:line="219" w:lineRule="auto"/>
              <w:ind w:left="190"/>
              <w:jc w:val="center"/>
              <w:rPr>
                <w:rFonts w:hint="eastAsia" w:ascii="宋体" w:hAnsi="宋体" w:eastAsia="宋体" w:cs="宋体"/>
                <w:sz w:val="24"/>
                <w:szCs w:val="24"/>
              </w:rPr>
            </w:pPr>
            <w:r>
              <w:rPr>
                <w:rFonts w:hint="eastAsia" w:ascii="宋体" w:hAnsi="宋体" w:eastAsia="宋体" w:cs="宋体"/>
                <w:spacing w:val="5"/>
                <w:sz w:val="24"/>
                <w:szCs w:val="24"/>
              </w:rPr>
              <w:t>氢氧化钠(工业级)</w:t>
            </w:r>
          </w:p>
        </w:tc>
        <w:tc>
          <w:tcPr>
            <w:tcW w:w="396" w:type="pct"/>
            <w:vAlign w:val="center"/>
          </w:tcPr>
          <w:p w14:paraId="179E78F2">
            <w:pPr>
              <w:pStyle w:val="40"/>
              <w:spacing w:before="278" w:line="222" w:lineRule="auto"/>
              <w:ind w:left="243"/>
              <w:jc w:val="center"/>
              <w:rPr>
                <w:rFonts w:hint="eastAsia" w:ascii="宋体" w:hAnsi="宋体" w:eastAsia="宋体" w:cs="宋体"/>
                <w:sz w:val="24"/>
                <w:szCs w:val="24"/>
              </w:rPr>
            </w:pPr>
            <w:r>
              <w:rPr>
                <w:rFonts w:hint="eastAsia" w:ascii="宋体" w:hAnsi="宋体" w:eastAsia="宋体" w:cs="宋体"/>
                <w:sz w:val="24"/>
                <w:szCs w:val="24"/>
              </w:rPr>
              <w:t>袋</w:t>
            </w:r>
          </w:p>
        </w:tc>
        <w:tc>
          <w:tcPr>
            <w:tcW w:w="413" w:type="pct"/>
            <w:vAlign w:val="center"/>
          </w:tcPr>
          <w:p w14:paraId="5ECC2F3A">
            <w:pPr>
              <w:pStyle w:val="40"/>
              <w:spacing w:before="324" w:line="222" w:lineRule="auto"/>
              <w:ind w:left="274"/>
              <w:jc w:val="center"/>
              <w:rPr>
                <w:rFonts w:hint="eastAsia" w:ascii="宋体" w:hAnsi="宋体" w:eastAsia="宋体" w:cs="宋体"/>
                <w:sz w:val="24"/>
                <w:szCs w:val="24"/>
              </w:rPr>
            </w:pPr>
            <w:r>
              <w:rPr>
                <w:rFonts w:hint="eastAsia" w:ascii="宋体" w:hAnsi="宋体" w:eastAsia="宋体" w:cs="宋体"/>
                <w:sz w:val="24"/>
                <w:szCs w:val="24"/>
              </w:rPr>
              <w:t>6</w:t>
            </w:r>
          </w:p>
        </w:tc>
        <w:tc>
          <w:tcPr>
            <w:tcW w:w="1873" w:type="pct"/>
            <w:vAlign w:val="center"/>
          </w:tcPr>
          <w:p w14:paraId="20AA73D4">
            <w:pPr>
              <w:pStyle w:val="40"/>
              <w:spacing w:before="324" w:line="222" w:lineRule="auto"/>
              <w:ind w:left="274"/>
              <w:jc w:val="center"/>
              <w:rPr>
                <w:rFonts w:hint="eastAsia" w:ascii="宋体" w:hAnsi="宋体" w:eastAsia="宋体" w:cs="宋体"/>
                <w:sz w:val="24"/>
                <w:szCs w:val="24"/>
              </w:rPr>
            </w:pPr>
            <w:r>
              <w:rPr>
                <w:spacing w:val="-4"/>
                <w:sz w:val="24"/>
                <w:szCs w:val="24"/>
                <w:highlight w:val="none"/>
              </w:rPr>
              <w:t>工业级</w:t>
            </w:r>
          </w:p>
        </w:tc>
        <w:tc>
          <w:tcPr>
            <w:tcW w:w="568" w:type="pct"/>
            <w:vAlign w:val="center"/>
          </w:tcPr>
          <w:p w14:paraId="4939B88B">
            <w:pPr>
              <w:pStyle w:val="40"/>
              <w:spacing w:before="268" w:line="214" w:lineRule="auto"/>
              <w:ind w:left="120"/>
              <w:jc w:val="center"/>
              <w:rPr>
                <w:rFonts w:hint="eastAsia" w:ascii="宋体" w:hAnsi="宋体" w:eastAsia="宋体" w:cs="宋体"/>
                <w:sz w:val="24"/>
                <w:szCs w:val="24"/>
              </w:rPr>
            </w:pPr>
            <w:r>
              <w:rPr>
                <w:rFonts w:hint="eastAsia" w:ascii="宋体" w:hAnsi="宋体" w:eastAsia="宋体" w:cs="宋体"/>
                <w:spacing w:val="3"/>
                <w:sz w:val="24"/>
                <w:szCs w:val="24"/>
              </w:rPr>
              <w:t>25</w:t>
            </w:r>
            <w:r>
              <w:rPr>
                <w:rFonts w:hint="eastAsia" w:ascii="宋体" w:hAnsi="宋体" w:eastAsia="宋体" w:cs="宋体"/>
                <w:sz w:val="24"/>
                <w:szCs w:val="24"/>
              </w:rPr>
              <w:t>kg</w:t>
            </w:r>
            <w:r>
              <w:rPr>
                <w:rFonts w:hint="eastAsia" w:ascii="宋体" w:hAnsi="宋体" w:eastAsia="宋体" w:cs="宋体"/>
                <w:spacing w:val="3"/>
                <w:sz w:val="24"/>
                <w:szCs w:val="24"/>
              </w:rPr>
              <w:t>/袋</w:t>
            </w:r>
          </w:p>
        </w:tc>
      </w:tr>
      <w:tr w14:paraId="15ACC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13" w:type="pct"/>
            <w:vAlign w:val="center"/>
          </w:tcPr>
          <w:p w14:paraId="145BA540">
            <w:pPr>
              <w:pStyle w:val="40"/>
              <w:spacing w:before="247" w:line="241" w:lineRule="auto"/>
              <w:ind w:left="234"/>
              <w:jc w:val="center"/>
              <w:rPr>
                <w:rFonts w:hint="eastAsia" w:ascii="宋体" w:hAnsi="宋体" w:eastAsia="宋体" w:cs="宋体"/>
                <w:sz w:val="24"/>
                <w:szCs w:val="24"/>
              </w:rPr>
            </w:pPr>
            <w:r>
              <w:rPr>
                <w:rFonts w:hint="eastAsia" w:ascii="宋体" w:hAnsi="宋体" w:eastAsia="宋体" w:cs="宋体"/>
                <w:spacing w:val="-6"/>
                <w:sz w:val="24"/>
                <w:szCs w:val="24"/>
              </w:rPr>
              <w:t>14</w:t>
            </w:r>
          </w:p>
        </w:tc>
        <w:tc>
          <w:tcPr>
            <w:tcW w:w="1335" w:type="pct"/>
            <w:vAlign w:val="center"/>
          </w:tcPr>
          <w:p w14:paraId="5C6B3CA7">
            <w:pPr>
              <w:pStyle w:val="40"/>
              <w:spacing w:before="227" w:line="221" w:lineRule="auto"/>
              <w:ind w:left="90"/>
              <w:jc w:val="center"/>
              <w:rPr>
                <w:rFonts w:hint="eastAsia" w:ascii="宋体" w:hAnsi="宋体" w:eastAsia="宋体" w:cs="宋体"/>
                <w:sz w:val="24"/>
                <w:szCs w:val="24"/>
              </w:rPr>
            </w:pPr>
            <w:r>
              <w:rPr>
                <w:rFonts w:hint="eastAsia" w:ascii="宋体" w:hAnsi="宋体" w:eastAsia="宋体" w:cs="宋体"/>
                <w:spacing w:val="4"/>
                <w:sz w:val="24"/>
                <w:szCs w:val="24"/>
              </w:rPr>
              <w:t>亚硫酸氢钠(工业级)</w:t>
            </w:r>
          </w:p>
        </w:tc>
        <w:tc>
          <w:tcPr>
            <w:tcW w:w="396" w:type="pct"/>
            <w:vAlign w:val="center"/>
          </w:tcPr>
          <w:p w14:paraId="3B183B92">
            <w:pPr>
              <w:pStyle w:val="40"/>
              <w:spacing w:before="229" w:line="222" w:lineRule="auto"/>
              <w:ind w:left="243"/>
              <w:jc w:val="center"/>
              <w:rPr>
                <w:rFonts w:hint="eastAsia" w:ascii="宋体" w:hAnsi="宋体" w:eastAsia="宋体" w:cs="宋体"/>
                <w:sz w:val="24"/>
                <w:szCs w:val="24"/>
              </w:rPr>
            </w:pPr>
            <w:r>
              <w:rPr>
                <w:rFonts w:hint="eastAsia" w:ascii="宋体" w:hAnsi="宋体" w:eastAsia="宋体" w:cs="宋体"/>
                <w:sz w:val="24"/>
                <w:szCs w:val="24"/>
              </w:rPr>
              <w:t>袋</w:t>
            </w:r>
          </w:p>
        </w:tc>
        <w:tc>
          <w:tcPr>
            <w:tcW w:w="413" w:type="pct"/>
            <w:vAlign w:val="center"/>
          </w:tcPr>
          <w:p w14:paraId="41A5219B">
            <w:pPr>
              <w:pStyle w:val="40"/>
              <w:spacing w:before="247" w:line="241" w:lineRule="auto"/>
              <w:ind w:left="234"/>
              <w:jc w:val="center"/>
              <w:rPr>
                <w:rFonts w:hint="eastAsia" w:ascii="宋体" w:hAnsi="宋体" w:eastAsia="宋体" w:cs="宋体"/>
                <w:sz w:val="24"/>
                <w:szCs w:val="24"/>
              </w:rPr>
            </w:pPr>
            <w:r>
              <w:rPr>
                <w:rFonts w:hint="eastAsia" w:ascii="宋体" w:hAnsi="宋体" w:eastAsia="宋体" w:cs="宋体"/>
                <w:spacing w:val="-6"/>
                <w:sz w:val="24"/>
                <w:szCs w:val="24"/>
              </w:rPr>
              <w:t>14</w:t>
            </w:r>
          </w:p>
        </w:tc>
        <w:tc>
          <w:tcPr>
            <w:tcW w:w="1873" w:type="pct"/>
            <w:vAlign w:val="center"/>
          </w:tcPr>
          <w:p w14:paraId="7EC970C3">
            <w:pPr>
              <w:pStyle w:val="40"/>
              <w:spacing w:before="247" w:line="241" w:lineRule="auto"/>
              <w:ind w:left="234"/>
              <w:jc w:val="center"/>
              <w:rPr>
                <w:rFonts w:hint="eastAsia" w:ascii="宋体" w:hAnsi="宋体" w:eastAsia="宋体" w:cs="宋体"/>
                <w:spacing w:val="-6"/>
                <w:sz w:val="24"/>
                <w:szCs w:val="24"/>
              </w:rPr>
            </w:pPr>
            <w:r>
              <w:rPr>
                <w:spacing w:val="-4"/>
                <w:sz w:val="24"/>
                <w:szCs w:val="24"/>
                <w:highlight w:val="none"/>
              </w:rPr>
              <w:t>工业级</w:t>
            </w:r>
          </w:p>
        </w:tc>
        <w:tc>
          <w:tcPr>
            <w:tcW w:w="568" w:type="pct"/>
            <w:vAlign w:val="center"/>
          </w:tcPr>
          <w:p w14:paraId="676D5837">
            <w:pPr>
              <w:jc w:val="center"/>
              <w:rPr>
                <w:rFonts w:hint="eastAsia" w:ascii="宋体" w:hAnsi="宋体" w:eastAsia="宋体" w:cs="宋体"/>
                <w:sz w:val="24"/>
                <w:szCs w:val="24"/>
              </w:rPr>
            </w:pPr>
          </w:p>
        </w:tc>
      </w:tr>
      <w:tr w14:paraId="2A2D6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13" w:type="pct"/>
            <w:vAlign w:val="center"/>
          </w:tcPr>
          <w:p w14:paraId="6E74BC57">
            <w:pPr>
              <w:pStyle w:val="40"/>
              <w:spacing w:before="258"/>
              <w:ind w:left="234"/>
              <w:jc w:val="center"/>
              <w:rPr>
                <w:rFonts w:hint="eastAsia" w:ascii="宋体" w:hAnsi="宋体" w:eastAsia="宋体" w:cs="宋体"/>
                <w:sz w:val="24"/>
                <w:szCs w:val="24"/>
              </w:rPr>
            </w:pPr>
            <w:r>
              <w:rPr>
                <w:rFonts w:hint="eastAsia" w:ascii="宋体" w:hAnsi="宋体" w:eastAsia="宋体" w:cs="宋体"/>
                <w:spacing w:val="-6"/>
                <w:sz w:val="24"/>
                <w:szCs w:val="24"/>
              </w:rPr>
              <w:t>15</w:t>
            </w:r>
          </w:p>
        </w:tc>
        <w:tc>
          <w:tcPr>
            <w:tcW w:w="1335" w:type="pct"/>
            <w:vAlign w:val="center"/>
          </w:tcPr>
          <w:p w14:paraId="47DEE2B1">
            <w:pPr>
              <w:pStyle w:val="40"/>
              <w:spacing w:before="236" w:line="219" w:lineRule="auto"/>
              <w:ind w:left="300"/>
              <w:jc w:val="center"/>
              <w:rPr>
                <w:rFonts w:hint="eastAsia" w:ascii="宋体" w:hAnsi="宋体" w:eastAsia="宋体" w:cs="宋体"/>
                <w:sz w:val="24"/>
                <w:szCs w:val="24"/>
              </w:rPr>
            </w:pPr>
            <w:r>
              <w:rPr>
                <w:rFonts w:hint="eastAsia" w:ascii="宋体" w:hAnsi="宋体" w:eastAsia="宋体" w:cs="宋体"/>
                <w:spacing w:val="1"/>
                <w:sz w:val="24"/>
                <w:szCs w:val="24"/>
              </w:rPr>
              <w:t>氨氮</w:t>
            </w:r>
            <w:r>
              <w:rPr>
                <w:rFonts w:hint="eastAsia" w:ascii="宋体" w:hAnsi="宋体" w:eastAsia="宋体" w:cs="宋体"/>
                <w:sz w:val="24"/>
                <w:szCs w:val="24"/>
              </w:rPr>
              <w:t>NH</w:t>
            </w:r>
            <w:r>
              <w:rPr>
                <w:rFonts w:hint="eastAsia" w:ascii="宋体" w:hAnsi="宋体" w:eastAsia="宋体" w:cs="宋体"/>
                <w:spacing w:val="1"/>
                <w:sz w:val="24"/>
                <w:szCs w:val="24"/>
              </w:rPr>
              <w:t>8000试剂</w:t>
            </w:r>
          </w:p>
        </w:tc>
        <w:tc>
          <w:tcPr>
            <w:tcW w:w="396" w:type="pct"/>
            <w:vAlign w:val="center"/>
          </w:tcPr>
          <w:p w14:paraId="4CB3300F">
            <w:pPr>
              <w:pStyle w:val="40"/>
              <w:spacing w:before="238" w:line="220" w:lineRule="auto"/>
              <w:ind w:left="243"/>
              <w:jc w:val="center"/>
              <w:rPr>
                <w:rFonts w:hint="eastAsia" w:ascii="宋体" w:hAnsi="宋体" w:eastAsia="宋体" w:cs="宋体"/>
                <w:sz w:val="24"/>
                <w:szCs w:val="24"/>
              </w:rPr>
            </w:pPr>
            <w:r>
              <w:rPr>
                <w:rFonts w:hint="eastAsia" w:ascii="宋体" w:hAnsi="宋体" w:eastAsia="宋体" w:cs="宋体"/>
                <w:sz w:val="24"/>
                <w:szCs w:val="24"/>
              </w:rPr>
              <w:t>套</w:t>
            </w:r>
          </w:p>
        </w:tc>
        <w:tc>
          <w:tcPr>
            <w:tcW w:w="413" w:type="pct"/>
            <w:vAlign w:val="center"/>
          </w:tcPr>
          <w:p w14:paraId="6EC5B084">
            <w:pPr>
              <w:pStyle w:val="40"/>
              <w:spacing w:before="258" w:line="241" w:lineRule="auto"/>
              <w:ind w:left="234"/>
              <w:jc w:val="center"/>
              <w:rPr>
                <w:rFonts w:hint="eastAsia" w:ascii="宋体" w:hAnsi="宋体" w:eastAsia="宋体" w:cs="宋体"/>
                <w:sz w:val="24"/>
                <w:szCs w:val="24"/>
              </w:rPr>
            </w:pPr>
            <w:r>
              <w:rPr>
                <w:rFonts w:hint="eastAsia" w:ascii="宋体" w:hAnsi="宋体" w:eastAsia="宋体" w:cs="宋体"/>
                <w:spacing w:val="-6"/>
                <w:sz w:val="24"/>
                <w:szCs w:val="24"/>
              </w:rPr>
              <w:t>12</w:t>
            </w:r>
          </w:p>
        </w:tc>
        <w:tc>
          <w:tcPr>
            <w:tcW w:w="1873" w:type="pct"/>
            <w:vAlign w:val="center"/>
          </w:tcPr>
          <w:p w14:paraId="512F777E">
            <w:pPr>
              <w:pStyle w:val="40"/>
              <w:spacing w:before="258" w:line="241" w:lineRule="auto"/>
              <w:ind w:left="234"/>
              <w:jc w:val="center"/>
              <w:rPr>
                <w:rFonts w:hint="eastAsia" w:ascii="宋体" w:hAnsi="宋体" w:eastAsia="宋体" w:cs="宋体"/>
                <w:spacing w:val="-6"/>
                <w:sz w:val="24"/>
                <w:szCs w:val="24"/>
              </w:rPr>
            </w:pPr>
            <w:r>
              <w:rPr>
                <w:spacing w:val="-3"/>
                <w:sz w:val="24"/>
                <w:szCs w:val="24"/>
                <w:highlight w:val="none"/>
              </w:rPr>
              <w:t>成套试剂</w:t>
            </w:r>
          </w:p>
        </w:tc>
        <w:tc>
          <w:tcPr>
            <w:tcW w:w="568" w:type="pct"/>
            <w:vAlign w:val="center"/>
          </w:tcPr>
          <w:p w14:paraId="47C23CDB">
            <w:pPr>
              <w:jc w:val="center"/>
              <w:rPr>
                <w:rFonts w:hint="eastAsia" w:ascii="宋体" w:hAnsi="宋体" w:eastAsia="宋体" w:cs="宋体"/>
                <w:sz w:val="24"/>
                <w:szCs w:val="24"/>
              </w:rPr>
            </w:pPr>
          </w:p>
        </w:tc>
      </w:tr>
    </w:tbl>
    <w:p w14:paraId="7DF1B993">
      <w:pPr>
        <w:rPr>
          <w:rFonts w:hint="eastAsia" w:ascii="宋体" w:hAnsi="宋体" w:cs="方正小标宋简体"/>
          <w:b/>
          <w:sz w:val="24"/>
          <w:szCs w:val="24"/>
          <w:highlight w:val="none"/>
        </w:rPr>
      </w:pPr>
      <w:r>
        <w:rPr>
          <w:rFonts w:hint="eastAsia" w:ascii="宋体" w:hAnsi="宋体" w:cs="方正小标宋简体"/>
          <w:b/>
          <w:sz w:val="24"/>
          <w:szCs w:val="24"/>
          <w:highlight w:val="none"/>
        </w:rPr>
        <w:br w:type="page"/>
      </w:r>
    </w:p>
    <w:p w14:paraId="07CFCC47">
      <w:pPr>
        <w:spacing w:before="246" w:line="219" w:lineRule="auto"/>
        <w:ind w:left="493"/>
        <w:rPr>
          <w:rFonts w:ascii="宋体" w:hAnsi="宋体" w:eastAsia="宋体" w:cs="宋体"/>
          <w:sz w:val="24"/>
          <w:szCs w:val="24"/>
          <w:highlight w:val="none"/>
        </w:rPr>
      </w:pPr>
      <w:r>
        <w:rPr>
          <w:rFonts w:ascii="宋体" w:hAnsi="宋体" w:eastAsia="宋体" w:cs="宋体"/>
          <w:b/>
          <w:bCs/>
          <w:spacing w:val="-4"/>
          <w:sz w:val="24"/>
          <w:szCs w:val="24"/>
          <w:highlight w:val="none"/>
        </w:rPr>
        <w:t>一、交货时间及地点：</w:t>
      </w:r>
    </w:p>
    <w:p w14:paraId="45619A6C">
      <w:pPr>
        <w:spacing w:before="129" w:line="356" w:lineRule="auto"/>
        <w:ind w:left="732" w:right="3137" w:firstLine="14"/>
        <w:rPr>
          <w:rFonts w:ascii="宋体" w:hAnsi="宋体" w:eastAsia="宋体" w:cs="宋体"/>
          <w:sz w:val="24"/>
          <w:szCs w:val="24"/>
          <w:highlight w:val="none"/>
        </w:rPr>
      </w:pPr>
      <w:r>
        <w:rPr>
          <w:rFonts w:ascii="宋体" w:hAnsi="宋体" w:eastAsia="宋体" w:cs="宋体"/>
          <w:spacing w:val="-3"/>
          <w:sz w:val="24"/>
          <w:szCs w:val="24"/>
          <w:highlight w:val="none"/>
        </w:rPr>
        <w:t>1.交货期：</w:t>
      </w:r>
      <w:r>
        <w:rPr>
          <w:rFonts w:ascii="宋体" w:hAnsi="宋体" w:eastAsia="宋体" w:cs="宋体"/>
          <w:spacing w:val="-72"/>
          <w:sz w:val="24"/>
          <w:szCs w:val="24"/>
          <w:highlight w:val="none"/>
        </w:rPr>
        <w:t xml:space="preserve"> </w:t>
      </w:r>
      <w:r>
        <w:rPr>
          <w:rFonts w:ascii="宋体" w:hAnsi="宋体" w:eastAsia="宋体" w:cs="宋体"/>
          <w:spacing w:val="-3"/>
          <w:sz w:val="24"/>
          <w:szCs w:val="24"/>
          <w:highlight w:val="none"/>
        </w:rPr>
        <w:t>自合同签订后按照甲方要求分</w:t>
      </w:r>
      <w:r>
        <w:rPr>
          <w:rFonts w:ascii="宋体" w:hAnsi="宋体" w:eastAsia="宋体" w:cs="宋体"/>
          <w:spacing w:val="-4"/>
          <w:sz w:val="24"/>
          <w:szCs w:val="24"/>
          <w:highlight w:val="none"/>
        </w:rPr>
        <w:t>期分批供货</w:t>
      </w:r>
      <w:r>
        <w:rPr>
          <w:rFonts w:ascii="宋体" w:hAnsi="宋体" w:eastAsia="宋体" w:cs="宋体"/>
          <w:sz w:val="24"/>
          <w:szCs w:val="24"/>
          <w:highlight w:val="none"/>
        </w:rPr>
        <w:t xml:space="preserve"> </w:t>
      </w:r>
    </w:p>
    <w:p w14:paraId="4896CE18">
      <w:pPr>
        <w:spacing w:before="129" w:line="356" w:lineRule="auto"/>
        <w:ind w:left="732" w:right="3137" w:firstLine="14"/>
        <w:rPr>
          <w:rFonts w:ascii="宋体" w:hAnsi="宋体" w:eastAsia="宋体" w:cs="宋体"/>
          <w:sz w:val="24"/>
          <w:szCs w:val="24"/>
          <w:highlight w:val="none"/>
        </w:rPr>
      </w:pPr>
      <w:r>
        <w:rPr>
          <w:rFonts w:ascii="宋体" w:hAnsi="宋体" w:eastAsia="宋体" w:cs="宋体"/>
          <w:spacing w:val="-1"/>
          <w:sz w:val="24"/>
          <w:szCs w:val="24"/>
          <w:highlight w:val="none"/>
        </w:rPr>
        <w:t>2.交货地点：采购人指定地点</w:t>
      </w:r>
    </w:p>
    <w:p w14:paraId="59679D25">
      <w:pPr>
        <w:spacing w:before="57" w:line="219" w:lineRule="auto"/>
        <w:ind w:left="493"/>
        <w:rPr>
          <w:rFonts w:ascii="宋体" w:hAnsi="宋体" w:eastAsia="宋体" w:cs="宋体"/>
          <w:sz w:val="24"/>
          <w:szCs w:val="24"/>
          <w:highlight w:val="none"/>
        </w:rPr>
      </w:pPr>
      <w:r>
        <w:rPr>
          <w:rFonts w:ascii="宋体" w:hAnsi="宋体" w:eastAsia="宋体" w:cs="宋体"/>
          <w:b/>
          <w:bCs/>
          <w:spacing w:val="-4"/>
          <w:sz w:val="24"/>
          <w:szCs w:val="24"/>
          <w:highlight w:val="none"/>
        </w:rPr>
        <w:t>二、包装、运输要求：</w:t>
      </w:r>
    </w:p>
    <w:p w14:paraId="604CB241">
      <w:pPr>
        <w:spacing w:before="215" w:line="376" w:lineRule="auto"/>
        <w:ind w:left="9" w:right="80" w:firstLine="497"/>
        <w:jc w:val="both"/>
        <w:rPr>
          <w:rFonts w:ascii="宋体" w:hAnsi="宋体" w:eastAsia="宋体" w:cs="宋体"/>
          <w:sz w:val="24"/>
          <w:szCs w:val="24"/>
          <w:highlight w:val="none"/>
        </w:rPr>
      </w:pPr>
      <w:r>
        <w:rPr>
          <w:rFonts w:ascii="宋体" w:hAnsi="宋体" w:eastAsia="宋体" w:cs="宋体"/>
          <w:spacing w:val="-2"/>
          <w:sz w:val="24"/>
          <w:szCs w:val="24"/>
          <w:highlight w:val="none"/>
        </w:rPr>
        <w:t>1.包装：应采取防潮、防晒、防腐蚀、防震动及防</w:t>
      </w:r>
      <w:r>
        <w:rPr>
          <w:rFonts w:ascii="宋体" w:hAnsi="宋体" w:eastAsia="宋体" w:cs="宋体"/>
          <w:spacing w:val="-3"/>
          <w:sz w:val="24"/>
          <w:szCs w:val="24"/>
          <w:highlight w:val="none"/>
        </w:rPr>
        <w:t>止其它损坏的必要措施。成交人应</w:t>
      </w:r>
      <w:r>
        <w:rPr>
          <w:rFonts w:ascii="宋体" w:hAnsi="宋体" w:eastAsia="宋体" w:cs="宋体"/>
          <w:spacing w:val="-2"/>
          <w:sz w:val="24"/>
          <w:szCs w:val="24"/>
          <w:highlight w:val="none"/>
        </w:rPr>
        <w:t>承担由于其包装或防护措施不妥而引起的货物锈蚀、损坏和丢失等任何损失造成的责任或</w:t>
      </w:r>
      <w:r>
        <w:rPr>
          <w:rFonts w:ascii="宋体" w:hAnsi="宋体" w:eastAsia="宋体" w:cs="宋体"/>
          <w:spacing w:val="5"/>
          <w:sz w:val="24"/>
          <w:szCs w:val="24"/>
          <w:highlight w:val="none"/>
        </w:rPr>
        <w:t xml:space="preserve"> </w:t>
      </w:r>
      <w:r>
        <w:rPr>
          <w:rFonts w:ascii="宋体" w:hAnsi="宋体" w:eastAsia="宋体" w:cs="宋体"/>
          <w:spacing w:val="-4"/>
          <w:sz w:val="24"/>
          <w:szCs w:val="24"/>
          <w:highlight w:val="none"/>
        </w:rPr>
        <w:t>费用。</w:t>
      </w:r>
    </w:p>
    <w:p w14:paraId="3A1296E2">
      <w:pPr>
        <w:spacing w:before="32" w:line="376" w:lineRule="auto"/>
        <w:ind w:left="9" w:right="76" w:firstLine="482"/>
        <w:jc w:val="both"/>
        <w:rPr>
          <w:rFonts w:ascii="宋体" w:hAnsi="宋体" w:eastAsia="宋体" w:cs="宋体"/>
          <w:sz w:val="24"/>
          <w:szCs w:val="24"/>
          <w:highlight w:val="none"/>
        </w:rPr>
      </w:pPr>
      <w:r>
        <w:rPr>
          <w:rFonts w:ascii="宋体" w:hAnsi="宋体" w:eastAsia="宋体" w:cs="宋体"/>
          <w:spacing w:val="-2"/>
          <w:sz w:val="24"/>
          <w:szCs w:val="24"/>
          <w:highlight w:val="none"/>
        </w:rPr>
        <w:t>2.运输：选择运输风险小、运费低、距离短的运输路线。运杂费一次包死在总价内，包括生产厂到施工现场所需的装卸、运输（含保险费）、现场保管费、二次倒运费、吊装费等费用。</w:t>
      </w:r>
    </w:p>
    <w:p w14:paraId="30D76B35">
      <w:pPr>
        <w:spacing w:before="32" w:line="377" w:lineRule="auto"/>
        <w:ind w:left="9" w:right="80" w:firstLine="480"/>
        <w:jc w:val="both"/>
        <w:rPr>
          <w:rFonts w:ascii="宋体" w:hAnsi="宋体" w:eastAsia="宋体" w:cs="宋体"/>
          <w:sz w:val="24"/>
          <w:szCs w:val="24"/>
          <w:highlight w:val="none"/>
        </w:rPr>
      </w:pPr>
      <w:r>
        <w:rPr>
          <w:rFonts w:ascii="宋体" w:hAnsi="宋体" w:eastAsia="宋体" w:cs="宋体"/>
          <w:b/>
          <w:bCs/>
          <w:spacing w:val="-4"/>
          <w:sz w:val="24"/>
          <w:szCs w:val="24"/>
          <w:highlight w:val="none"/>
        </w:rPr>
        <w:t>三、付款方式：按照甲方要求分期分批供货</w:t>
      </w:r>
      <w:r>
        <w:rPr>
          <w:rFonts w:ascii="宋体" w:hAnsi="宋体" w:eastAsia="宋体" w:cs="宋体"/>
          <w:b/>
          <w:bCs/>
          <w:spacing w:val="-5"/>
          <w:sz w:val="24"/>
          <w:szCs w:val="24"/>
          <w:highlight w:val="none"/>
        </w:rPr>
        <w:t>，经验收合格交付使用后，在无索赔争议</w:t>
      </w:r>
      <w:r>
        <w:rPr>
          <w:rFonts w:ascii="宋体" w:hAnsi="宋体" w:eastAsia="宋体" w:cs="宋体"/>
          <w:b/>
          <w:bCs/>
          <w:spacing w:val="-4"/>
          <w:sz w:val="24"/>
          <w:szCs w:val="24"/>
          <w:highlight w:val="none"/>
        </w:rPr>
        <w:t>的情况下，卖方在下一批货物供货时，在买方处办理</w:t>
      </w:r>
      <w:r>
        <w:rPr>
          <w:rFonts w:ascii="宋体" w:hAnsi="宋体" w:eastAsia="宋体" w:cs="宋体"/>
          <w:b/>
          <w:bCs/>
          <w:spacing w:val="-5"/>
          <w:sz w:val="24"/>
          <w:szCs w:val="24"/>
          <w:highlight w:val="none"/>
        </w:rPr>
        <w:t>上一批货物的支付手续（具体以合同</w:t>
      </w:r>
      <w:r>
        <w:rPr>
          <w:rFonts w:ascii="宋体" w:hAnsi="宋体" w:eastAsia="宋体" w:cs="宋体"/>
          <w:sz w:val="24"/>
          <w:szCs w:val="24"/>
          <w:highlight w:val="none"/>
        </w:rPr>
        <w:t xml:space="preserve"> </w:t>
      </w:r>
      <w:r>
        <w:rPr>
          <w:rFonts w:ascii="宋体" w:hAnsi="宋体" w:eastAsia="宋体" w:cs="宋体"/>
          <w:b/>
          <w:bCs/>
          <w:spacing w:val="-4"/>
          <w:sz w:val="24"/>
          <w:szCs w:val="24"/>
          <w:highlight w:val="none"/>
        </w:rPr>
        <w:t>签订为准）。</w:t>
      </w:r>
    </w:p>
    <w:p w14:paraId="39F5A166">
      <w:pPr>
        <w:spacing w:before="32" w:line="219" w:lineRule="auto"/>
        <w:ind w:left="512"/>
        <w:rPr>
          <w:rFonts w:ascii="宋体" w:hAnsi="宋体" w:eastAsia="宋体" w:cs="宋体"/>
          <w:sz w:val="24"/>
          <w:szCs w:val="24"/>
          <w:highlight w:val="none"/>
        </w:rPr>
      </w:pPr>
      <w:r>
        <w:rPr>
          <w:rFonts w:ascii="宋体" w:hAnsi="宋体" w:eastAsia="宋体" w:cs="宋体"/>
          <w:b/>
          <w:bCs/>
          <w:spacing w:val="1"/>
          <w:sz w:val="24"/>
          <w:szCs w:val="24"/>
          <w:highlight w:val="none"/>
        </w:rPr>
        <w:t>四、验收:</w:t>
      </w:r>
    </w:p>
    <w:p w14:paraId="57267854">
      <w:pPr>
        <w:spacing w:before="214" w:line="219" w:lineRule="auto"/>
        <w:ind w:left="507"/>
        <w:rPr>
          <w:rFonts w:ascii="宋体" w:hAnsi="宋体" w:eastAsia="宋体" w:cs="宋体"/>
          <w:sz w:val="24"/>
          <w:szCs w:val="24"/>
          <w:highlight w:val="none"/>
        </w:rPr>
      </w:pPr>
      <w:r>
        <w:rPr>
          <w:rFonts w:ascii="宋体" w:hAnsi="宋体" w:eastAsia="宋体" w:cs="宋体"/>
          <w:spacing w:val="1"/>
          <w:sz w:val="24"/>
          <w:szCs w:val="24"/>
          <w:highlight w:val="none"/>
        </w:rPr>
        <w:t>1.项目验收分初验和终验:</w:t>
      </w:r>
    </w:p>
    <w:p w14:paraId="696F3D9D">
      <w:pPr>
        <w:spacing w:before="216" w:line="371" w:lineRule="auto"/>
        <w:ind w:left="11" w:firstLine="483"/>
        <w:rPr>
          <w:rFonts w:ascii="宋体" w:hAnsi="宋体" w:eastAsia="宋体" w:cs="宋体"/>
          <w:sz w:val="24"/>
          <w:szCs w:val="24"/>
          <w:highlight w:val="none"/>
        </w:rPr>
      </w:pPr>
      <w:r>
        <w:rPr>
          <w:rFonts w:ascii="宋体" w:hAnsi="宋体" w:eastAsia="宋体" w:cs="宋体"/>
          <w:spacing w:val="-6"/>
          <w:sz w:val="24"/>
          <w:szCs w:val="24"/>
          <w:highlight w:val="none"/>
        </w:rPr>
        <w:t>货物到达交货地点后，由使用单位根据合同对货物的名称、品</w:t>
      </w:r>
      <w:r>
        <w:rPr>
          <w:rFonts w:ascii="宋体" w:hAnsi="宋体" w:eastAsia="宋体" w:cs="宋体"/>
          <w:spacing w:val="-7"/>
          <w:sz w:val="24"/>
          <w:szCs w:val="24"/>
          <w:highlight w:val="none"/>
        </w:rPr>
        <w:t>牌、规格、型号、产地、</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数量进行检查。</w:t>
      </w:r>
    </w:p>
    <w:p w14:paraId="7D5B3325">
      <w:pPr>
        <w:spacing w:before="34" w:line="376" w:lineRule="auto"/>
        <w:ind w:left="8" w:right="80" w:firstLine="483"/>
        <w:jc w:val="both"/>
        <w:rPr>
          <w:rFonts w:ascii="宋体" w:hAnsi="宋体" w:eastAsia="宋体" w:cs="宋体"/>
          <w:sz w:val="24"/>
          <w:szCs w:val="24"/>
          <w:highlight w:val="none"/>
        </w:rPr>
      </w:pPr>
      <w:r>
        <w:rPr>
          <w:rFonts w:ascii="宋体" w:hAnsi="宋体" w:eastAsia="宋体" w:cs="宋体"/>
          <w:spacing w:val="-3"/>
          <w:sz w:val="24"/>
          <w:szCs w:val="24"/>
          <w:highlight w:val="none"/>
        </w:rPr>
        <w:t>2.验收不合格的成交供应商，必须在接到通知后</w:t>
      </w:r>
      <w:r>
        <w:rPr>
          <w:rFonts w:ascii="宋体" w:hAnsi="宋体" w:eastAsia="宋体" w:cs="宋体"/>
          <w:spacing w:val="-31"/>
          <w:sz w:val="24"/>
          <w:szCs w:val="24"/>
          <w:highlight w:val="none"/>
        </w:rPr>
        <w:t xml:space="preserve"> </w:t>
      </w:r>
      <w:r>
        <w:rPr>
          <w:rFonts w:ascii="宋体" w:hAnsi="宋体" w:eastAsia="宋体" w:cs="宋体"/>
          <w:spacing w:val="-3"/>
          <w:sz w:val="24"/>
          <w:szCs w:val="24"/>
          <w:highlight w:val="none"/>
        </w:rPr>
        <w:t>7</w:t>
      </w:r>
      <w:r>
        <w:rPr>
          <w:rFonts w:ascii="宋体" w:hAnsi="宋体" w:eastAsia="宋体" w:cs="宋体"/>
          <w:spacing w:val="-51"/>
          <w:sz w:val="24"/>
          <w:szCs w:val="24"/>
          <w:highlight w:val="none"/>
        </w:rPr>
        <w:t xml:space="preserve"> </w:t>
      </w:r>
      <w:r>
        <w:rPr>
          <w:rFonts w:ascii="宋体" w:hAnsi="宋体" w:eastAsia="宋体" w:cs="宋体"/>
          <w:spacing w:val="-3"/>
          <w:sz w:val="24"/>
          <w:szCs w:val="24"/>
          <w:highlight w:val="none"/>
        </w:rPr>
        <w:t>个日历日内确保货物通过验收。如</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接到通知后</w:t>
      </w:r>
      <w:r>
        <w:rPr>
          <w:rFonts w:ascii="宋体" w:hAnsi="宋体" w:eastAsia="宋体" w:cs="宋体"/>
          <w:spacing w:val="-45"/>
          <w:sz w:val="24"/>
          <w:szCs w:val="24"/>
          <w:highlight w:val="none"/>
        </w:rPr>
        <w:t xml:space="preserve"> </w:t>
      </w:r>
      <w:r>
        <w:rPr>
          <w:rFonts w:ascii="宋体" w:hAnsi="宋体" w:eastAsia="宋体" w:cs="宋体"/>
          <w:spacing w:val="-2"/>
          <w:sz w:val="24"/>
          <w:szCs w:val="24"/>
          <w:highlight w:val="none"/>
        </w:rPr>
        <w:t>7</w:t>
      </w:r>
      <w:r>
        <w:rPr>
          <w:rFonts w:ascii="宋体" w:hAnsi="宋体" w:eastAsia="宋体" w:cs="宋体"/>
          <w:spacing w:val="-50"/>
          <w:sz w:val="24"/>
          <w:szCs w:val="24"/>
          <w:highlight w:val="none"/>
        </w:rPr>
        <w:t xml:space="preserve"> </w:t>
      </w:r>
      <w:r>
        <w:rPr>
          <w:rFonts w:ascii="宋体" w:hAnsi="宋体" w:eastAsia="宋体" w:cs="宋体"/>
          <w:spacing w:val="-2"/>
          <w:sz w:val="24"/>
          <w:szCs w:val="24"/>
          <w:highlight w:val="none"/>
        </w:rPr>
        <w:t>个日历日内验收仍不合格，采购</w:t>
      </w:r>
      <w:r>
        <w:rPr>
          <w:rFonts w:ascii="宋体" w:hAnsi="宋体" w:eastAsia="宋体" w:cs="宋体"/>
          <w:spacing w:val="-3"/>
          <w:sz w:val="24"/>
          <w:szCs w:val="24"/>
          <w:highlight w:val="none"/>
        </w:rPr>
        <w:t>人可提出索赔或取消其供货合同。采购代理</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机构将把成交资格授予评审排序下一名的成交供应商。</w:t>
      </w:r>
    </w:p>
    <w:p w14:paraId="2F842A65">
      <w:pPr>
        <w:spacing w:before="33" w:line="219" w:lineRule="auto"/>
        <w:ind w:left="484"/>
        <w:rPr>
          <w:rFonts w:ascii="宋体" w:hAnsi="宋体" w:eastAsia="宋体" w:cs="宋体"/>
          <w:sz w:val="24"/>
          <w:szCs w:val="24"/>
          <w:highlight w:val="none"/>
        </w:rPr>
      </w:pPr>
      <w:r>
        <w:rPr>
          <w:rFonts w:ascii="宋体" w:hAnsi="宋体" w:eastAsia="宋体" w:cs="宋体"/>
          <w:spacing w:val="-3"/>
          <w:sz w:val="24"/>
          <w:szCs w:val="24"/>
          <w:highlight w:val="none"/>
        </w:rPr>
        <w:t>3.验收依据</w:t>
      </w:r>
    </w:p>
    <w:p w14:paraId="0713DBAC">
      <w:pPr>
        <w:spacing w:before="217" w:line="219" w:lineRule="auto"/>
        <w:ind w:left="484"/>
        <w:rPr>
          <w:rFonts w:ascii="宋体" w:hAnsi="宋体" w:eastAsia="宋体" w:cs="宋体"/>
          <w:sz w:val="24"/>
          <w:szCs w:val="24"/>
          <w:highlight w:val="none"/>
        </w:rPr>
      </w:pPr>
      <w:r>
        <w:rPr>
          <w:rFonts w:ascii="宋体" w:hAnsi="宋体" w:eastAsia="宋体" w:cs="宋体"/>
          <w:spacing w:val="-2"/>
          <w:sz w:val="24"/>
          <w:szCs w:val="24"/>
          <w:highlight w:val="none"/>
        </w:rPr>
        <w:t>3.1</w:t>
      </w:r>
      <w:r>
        <w:rPr>
          <w:rFonts w:ascii="宋体" w:hAnsi="宋体" w:eastAsia="宋体" w:cs="宋体"/>
          <w:spacing w:val="-38"/>
          <w:sz w:val="24"/>
          <w:szCs w:val="24"/>
          <w:highlight w:val="none"/>
        </w:rPr>
        <w:t xml:space="preserve"> </w:t>
      </w:r>
      <w:r>
        <w:rPr>
          <w:rFonts w:ascii="宋体" w:hAnsi="宋体" w:eastAsia="宋体" w:cs="宋体"/>
          <w:spacing w:val="-2"/>
          <w:sz w:val="24"/>
          <w:szCs w:val="24"/>
          <w:highlight w:val="none"/>
        </w:rPr>
        <w:t>合同文本及合同补充文件（条款）。</w:t>
      </w:r>
    </w:p>
    <w:p w14:paraId="5236394E">
      <w:pPr>
        <w:spacing w:before="216" w:line="219" w:lineRule="auto"/>
        <w:ind w:left="484"/>
        <w:rPr>
          <w:rFonts w:ascii="宋体" w:hAnsi="宋体" w:eastAsia="宋体" w:cs="宋体"/>
          <w:sz w:val="24"/>
          <w:szCs w:val="24"/>
          <w:highlight w:val="none"/>
        </w:rPr>
      </w:pPr>
      <w:r>
        <w:rPr>
          <w:rFonts w:ascii="宋体" w:hAnsi="宋体" w:eastAsia="宋体" w:cs="宋体"/>
          <w:spacing w:val="-2"/>
          <w:sz w:val="24"/>
          <w:szCs w:val="24"/>
          <w:highlight w:val="none"/>
        </w:rPr>
        <w:t>3.2</w:t>
      </w:r>
      <w:r>
        <w:rPr>
          <w:rFonts w:ascii="宋体" w:hAnsi="宋体" w:eastAsia="宋体" w:cs="宋体"/>
          <w:spacing w:val="-42"/>
          <w:sz w:val="24"/>
          <w:szCs w:val="24"/>
          <w:highlight w:val="none"/>
        </w:rPr>
        <w:t xml:space="preserve"> </w:t>
      </w:r>
      <w:r>
        <w:rPr>
          <w:rFonts w:ascii="宋体" w:hAnsi="宋体" w:eastAsia="宋体" w:cs="宋体"/>
          <w:spacing w:val="-2"/>
          <w:sz w:val="24"/>
          <w:szCs w:val="24"/>
          <w:highlight w:val="none"/>
        </w:rPr>
        <w:t>产品的合法来源渠道证明文件。</w:t>
      </w:r>
    </w:p>
    <w:p w14:paraId="3E9A10A1">
      <w:pPr>
        <w:spacing w:before="214" w:line="219" w:lineRule="auto"/>
        <w:ind w:left="484"/>
        <w:rPr>
          <w:rFonts w:ascii="宋体" w:hAnsi="宋体" w:eastAsia="宋体" w:cs="宋体"/>
          <w:sz w:val="24"/>
          <w:szCs w:val="24"/>
          <w:highlight w:val="none"/>
        </w:rPr>
      </w:pPr>
      <w:r>
        <w:rPr>
          <w:rFonts w:ascii="宋体" w:hAnsi="宋体" w:eastAsia="宋体" w:cs="宋体"/>
          <w:spacing w:val="-3"/>
          <w:sz w:val="24"/>
          <w:szCs w:val="24"/>
          <w:highlight w:val="none"/>
        </w:rPr>
        <w:t>3.3</w:t>
      </w:r>
      <w:r>
        <w:rPr>
          <w:rFonts w:ascii="宋体" w:hAnsi="宋体" w:eastAsia="宋体" w:cs="宋体"/>
          <w:spacing w:val="-52"/>
          <w:sz w:val="24"/>
          <w:szCs w:val="24"/>
          <w:highlight w:val="none"/>
        </w:rPr>
        <w:t xml:space="preserve"> </w:t>
      </w:r>
      <w:r>
        <w:rPr>
          <w:rFonts w:ascii="宋体" w:hAnsi="宋体" w:eastAsia="宋体" w:cs="宋体"/>
          <w:spacing w:val="-3"/>
          <w:sz w:val="24"/>
          <w:szCs w:val="24"/>
          <w:highlight w:val="none"/>
        </w:rPr>
        <w:t>磋商文件。</w:t>
      </w:r>
    </w:p>
    <w:p w14:paraId="2ADD2BFD">
      <w:pPr>
        <w:spacing w:before="216" w:line="219" w:lineRule="auto"/>
        <w:ind w:left="484"/>
        <w:rPr>
          <w:rFonts w:ascii="宋体" w:hAnsi="宋体" w:eastAsia="宋体" w:cs="宋体"/>
          <w:sz w:val="24"/>
          <w:szCs w:val="24"/>
          <w:highlight w:val="none"/>
        </w:rPr>
      </w:pPr>
      <w:r>
        <w:rPr>
          <w:rFonts w:ascii="宋体" w:hAnsi="宋体" w:eastAsia="宋体" w:cs="宋体"/>
          <w:spacing w:val="-2"/>
          <w:sz w:val="24"/>
          <w:szCs w:val="24"/>
          <w:highlight w:val="none"/>
        </w:rPr>
        <w:t>3.4</w:t>
      </w:r>
      <w:r>
        <w:rPr>
          <w:rFonts w:ascii="宋体" w:hAnsi="宋体" w:eastAsia="宋体" w:cs="宋体"/>
          <w:spacing w:val="-38"/>
          <w:sz w:val="24"/>
          <w:szCs w:val="24"/>
          <w:highlight w:val="none"/>
        </w:rPr>
        <w:t xml:space="preserve"> </w:t>
      </w:r>
      <w:r>
        <w:rPr>
          <w:rFonts w:ascii="宋体" w:hAnsi="宋体" w:eastAsia="宋体" w:cs="宋体"/>
          <w:spacing w:val="-2"/>
          <w:sz w:val="24"/>
          <w:szCs w:val="24"/>
          <w:highlight w:val="none"/>
        </w:rPr>
        <w:t>成交供应商的竞争性磋商响应文件。</w:t>
      </w:r>
    </w:p>
    <w:p w14:paraId="485AEDCB">
      <w:pPr>
        <w:spacing w:before="215" w:line="219" w:lineRule="auto"/>
        <w:ind w:left="484"/>
        <w:rPr>
          <w:rFonts w:ascii="宋体" w:hAnsi="宋体" w:eastAsia="宋体" w:cs="宋体"/>
          <w:sz w:val="24"/>
          <w:szCs w:val="24"/>
          <w:highlight w:val="none"/>
        </w:rPr>
      </w:pPr>
      <w:r>
        <w:rPr>
          <w:rFonts w:ascii="宋体" w:hAnsi="宋体" w:eastAsia="宋体" w:cs="宋体"/>
          <w:spacing w:val="-3"/>
          <w:sz w:val="24"/>
          <w:szCs w:val="24"/>
          <w:highlight w:val="none"/>
        </w:rPr>
        <w:t>3.5</w:t>
      </w:r>
      <w:r>
        <w:rPr>
          <w:rFonts w:ascii="宋体" w:hAnsi="宋体" w:eastAsia="宋体" w:cs="宋体"/>
          <w:spacing w:val="-46"/>
          <w:sz w:val="24"/>
          <w:szCs w:val="24"/>
          <w:highlight w:val="none"/>
        </w:rPr>
        <w:t xml:space="preserve"> </w:t>
      </w:r>
      <w:r>
        <w:rPr>
          <w:rFonts w:ascii="宋体" w:hAnsi="宋体" w:eastAsia="宋体" w:cs="宋体"/>
          <w:spacing w:val="-3"/>
          <w:sz w:val="24"/>
          <w:szCs w:val="24"/>
          <w:highlight w:val="none"/>
        </w:rPr>
        <w:t>合同货物清单。</w:t>
      </w:r>
    </w:p>
    <w:p w14:paraId="2E974962">
      <w:pPr>
        <w:spacing w:before="214" w:line="219" w:lineRule="auto"/>
        <w:ind w:left="484"/>
        <w:rPr>
          <w:rFonts w:ascii="宋体" w:hAnsi="宋体" w:eastAsia="宋体" w:cs="宋体"/>
          <w:sz w:val="24"/>
          <w:szCs w:val="24"/>
          <w:highlight w:val="none"/>
        </w:rPr>
      </w:pPr>
      <w:r>
        <w:rPr>
          <w:rFonts w:ascii="宋体" w:hAnsi="宋体" w:eastAsia="宋体" w:cs="宋体"/>
          <w:spacing w:val="-2"/>
          <w:sz w:val="24"/>
          <w:szCs w:val="24"/>
          <w:highlight w:val="none"/>
        </w:rPr>
        <w:t>3.6</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生产厂家的企业资质、货物的执行标准。</w:t>
      </w:r>
    </w:p>
    <w:p w14:paraId="60A77A5C">
      <w:pPr>
        <w:spacing w:before="264" w:line="370" w:lineRule="auto"/>
        <w:ind w:left="11" w:firstLine="486"/>
        <w:rPr>
          <w:rFonts w:hint="eastAsia" w:ascii="宋体" w:hAnsi="宋体" w:eastAsia="宋体" w:cs="宋体"/>
          <w:b/>
          <w:bCs/>
          <w:spacing w:val="-8"/>
          <w:sz w:val="24"/>
          <w:szCs w:val="24"/>
          <w:highlight w:val="none"/>
          <w:lang w:val="en-US" w:eastAsia="zh-CN"/>
        </w:rPr>
      </w:pPr>
      <w:r>
        <w:rPr>
          <w:rFonts w:hint="eastAsia" w:ascii="宋体" w:hAnsi="宋体" w:eastAsia="宋体" w:cs="宋体"/>
          <w:b/>
          <w:bCs/>
          <w:spacing w:val="-8"/>
          <w:sz w:val="24"/>
          <w:szCs w:val="24"/>
          <w:highlight w:val="none"/>
          <w:lang w:val="en-US" w:eastAsia="zh-CN"/>
        </w:rPr>
        <w:t>五、质量保证</w:t>
      </w:r>
    </w:p>
    <w:p w14:paraId="7DA88134">
      <w:pPr>
        <w:spacing w:before="264" w:line="370" w:lineRule="auto"/>
        <w:ind w:left="11" w:firstLine="486"/>
        <w:rPr>
          <w:rFonts w:ascii="宋体" w:hAnsi="宋体" w:eastAsia="宋体" w:cs="宋体"/>
          <w:sz w:val="24"/>
          <w:szCs w:val="24"/>
          <w:highlight w:val="none"/>
        </w:rPr>
      </w:pPr>
      <w:r>
        <w:rPr>
          <w:rFonts w:ascii="宋体" w:hAnsi="宋体" w:eastAsia="宋体" w:cs="宋体"/>
          <w:spacing w:val="-8"/>
          <w:sz w:val="24"/>
          <w:szCs w:val="24"/>
          <w:highlight w:val="none"/>
        </w:rPr>
        <w:t>1.</w:t>
      </w:r>
      <w:r>
        <w:rPr>
          <w:rFonts w:ascii="宋体" w:hAnsi="宋体" w:eastAsia="宋体" w:cs="宋体"/>
          <w:b/>
          <w:bCs/>
          <w:spacing w:val="-8"/>
          <w:sz w:val="24"/>
          <w:szCs w:val="24"/>
          <w:highlight w:val="none"/>
        </w:rPr>
        <w:t>质保期为终验合格后不少于</w:t>
      </w:r>
      <w:r>
        <w:rPr>
          <w:rFonts w:ascii="宋体" w:hAnsi="宋体" w:eastAsia="宋体" w:cs="宋体"/>
          <w:spacing w:val="-36"/>
          <w:sz w:val="24"/>
          <w:szCs w:val="24"/>
          <w:highlight w:val="none"/>
        </w:rPr>
        <w:t xml:space="preserve"> </w:t>
      </w:r>
      <w:r>
        <w:rPr>
          <w:rFonts w:ascii="宋体" w:hAnsi="宋体" w:eastAsia="宋体" w:cs="宋体"/>
          <w:b/>
          <w:bCs/>
          <w:spacing w:val="-8"/>
          <w:sz w:val="24"/>
          <w:szCs w:val="24"/>
          <w:highlight w:val="none"/>
        </w:rPr>
        <w:t>6</w:t>
      </w:r>
      <w:r>
        <w:rPr>
          <w:rFonts w:ascii="宋体" w:hAnsi="宋体" w:eastAsia="宋体" w:cs="宋体"/>
          <w:spacing w:val="-51"/>
          <w:sz w:val="24"/>
          <w:szCs w:val="24"/>
          <w:highlight w:val="none"/>
        </w:rPr>
        <w:t xml:space="preserve"> </w:t>
      </w:r>
      <w:r>
        <w:rPr>
          <w:rFonts w:ascii="宋体" w:hAnsi="宋体" w:eastAsia="宋体" w:cs="宋体"/>
          <w:b/>
          <w:bCs/>
          <w:spacing w:val="-8"/>
          <w:sz w:val="24"/>
          <w:szCs w:val="24"/>
          <w:highlight w:val="none"/>
        </w:rPr>
        <w:t>个月</w:t>
      </w:r>
      <w:r>
        <w:rPr>
          <w:rFonts w:ascii="宋体" w:hAnsi="宋体" w:eastAsia="宋体" w:cs="宋体"/>
          <w:spacing w:val="-8"/>
          <w:sz w:val="24"/>
          <w:szCs w:val="24"/>
          <w:highlight w:val="none"/>
        </w:rPr>
        <w:t>（参数中有具体要求的，按参数要求提供质保）。</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成交供应商承诺的质保时间超过磋商文件要求的，按其承诺时间质保。</w:t>
      </w:r>
    </w:p>
    <w:p w14:paraId="789006D6">
      <w:pPr>
        <w:spacing w:before="34" w:line="219" w:lineRule="auto"/>
        <w:ind w:left="482"/>
        <w:rPr>
          <w:rFonts w:ascii="宋体" w:hAnsi="宋体" w:eastAsia="宋体" w:cs="宋体"/>
          <w:sz w:val="24"/>
          <w:szCs w:val="24"/>
          <w:highlight w:val="none"/>
        </w:rPr>
      </w:pPr>
      <w:r>
        <w:rPr>
          <w:rFonts w:ascii="宋体" w:hAnsi="宋体" w:eastAsia="宋体" w:cs="宋体"/>
          <w:spacing w:val="-1"/>
          <w:sz w:val="24"/>
          <w:szCs w:val="24"/>
          <w:highlight w:val="none"/>
        </w:rPr>
        <w:t>2.成交供应商承诺的质保期起始时间为终验合格之日。</w:t>
      </w:r>
    </w:p>
    <w:p w14:paraId="42742C75">
      <w:pPr>
        <w:spacing w:before="218" w:line="370" w:lineRule="auto"/>
        <w:ind w:left="29" w:right="80" w:firstLine="455"/>
        <w:rPr>
          <w:rFonts w:ascii="宋体" w:hAnsi="宋体" w:eastAsia="宋体" w:cs="宋体"/>
          <w:sz w:val="24"/>
          <w:szCs w:val="24"/>
          <w:highlight w:val="none"/>
        </w:rPr>
      </w:pPr>
      <w:r>
        <w:rPr>
          <w:rFonts w:ascii="宋体" w:hAnsi="宋体" w:eastAsia="宋体" w:cs="宋体"/>
          <w:spacing w:val="-2"/>
          <w:sz w:val="24"/>
          <w:szCs w:val="24"/>
          <w:highlight w:val="none"/>
        </w:rPr>
        <w:t>3.所有货物质量必须符合国家有关规范和相关政策。所有货物及辅材必须是未使用过</w:t>
      </w:r>
      <w:r>
        <w:rPr>
          <w:rFonts w:ascii="宋体" w:hAnsi="宋体" w:eastAsia="宋体" w:cs="宋体"/>
          <w:spacing w:val="8"/>
          <w:sz w:val="24"/>
          <w:szCs w:val="24"/>
          <w:highlight w:val="none"/>
        </w:rPr>
        <w:t xml:space="preserve"> </w:t>
      </w:r>
      <w:r>
        <w:rPr>
          <w:rFonts w:ascii="宋体" w:hAnsi="宋体" w:eastAsia="宋体" w:cs="宋体"/>
          <w:spacing w:val="-2"/>
          <w:sz w:val="24"/>
          <w:szCs w:val="24"/>
          <w:highlight w:val="none"/>
        </w:rPr>
        <w:t>的新货物，质量优良、渠道正当，配置合理。</w:t>
      </w:r>
    </w:p>
    <w:p w14:paraId="47F96F45">
      <w:pPr>
        <w:spacing w:before="34" w:line="219" w:lineRule="auto"/>
        <w:ind w:left="478"/>
        <w:rPr>
          <w:rFonts w:ascii="宋体" w:hAnsi="宋体" w:eastAsia="宋体" w:cs="宋体"/>
          <w:sz w:val="24"/>
          <w:szCs w:val="24"/>
          <w:highlight w:val="none"/>
        </w:rPr>
      </w:pPr>
      <w:r>
        <w:rPr>
          <w:rFonts w:ascii="宋体" w:hAnsi="宋体" w:eastAsia="宋体" w:cs="宋体"/>
          <w:sz w:val="24"/>
          <w:szCs w:val="24"/>
          <w:highlight w:val="none"/>
        </w:rPr>
        <w:t>4.质保期出现的质量问题由成交供应商负责</w:t>
      </w:r>
      <w:r>
        <w:rPr>
          <w:rFonts w:ascii="宋体" w:hAnsi="宋体" w:eastAsia="宋体" w:cs="宋体"/>
          <w:spacing w:val="-1"/>
          <w:sz w:val="24"/>
          <w:szCs w:val="24"/>
          <w:highlight w:val="none"/>
        </w:rPr>
        <w:t>解决并承担所有费用。</w:t>
      </w:r>
    </w:p>
    <w:p w14:paraId="6DACFE3C">
      <w:pPr>
        <w:spacing w:before="201" w:line="220" w:lineRule="auto"/>
        <w:ind w:left="491"/>
        <w:rPr>
          <w:rFonts w:ascii="宋体" w:hAnsi="宋体" w:eastAsia="宋体" w:cs="宋体"/>
          <w:sz w:val="24"/>
          <w:szCs w:val="24"/>
          <w:highlight w:val="none"/>
        </w:rPr>
      </w:pPr>
      <w:r>
        <w:rPr>
          <w:rFonts w:ascii="宋体" w:hAnsi="宋体" w:eastAsia="宋体" w:cs="宋体"/>
          <w:b/>
          <w:bCs/>
          <w:spacing w:val="-4"/>
          <w:sz w:val="24"/>
          <w:szCs w:val="24"/>
          <w:highlight w:val="none"/>
        </w:rPr>
        <w:t>六、合同实施：</w:t>
      </w:r>
    </w:p>
    <w:p w14:paraId="58E6EA83">
      <w:pPr>
        <w:spacing w:before="194" w:line="356" w:lineRule="auto"/>
        <w:ind w:left="12" w:right="57" w:firstLine="494"/>
        <w:rPr>
          <w:rFonts w:ascii="宋体" w:hAnsi="宋体" w:eastAsia="宋体" w:cs="宋体"/>
          <w:sz w:val="24"/>
          <w:szCs w:val="24"/>
          <w:highlight w:val="none"/>
        </w:rPr>
      </w:pPr>
      <w:r>
        <w:rPr>
          <w:rFonts w:ascii="宋体" w:hAnsi="宋体" w:eastAsia="宋体" w:cs="宋体"/>
          <w:spacing w:val="-2"/>
          <w:sz w:val="24"/>
          <w:szCs w:val="24"/>
          <w:highlight w:val="none"/>
        </w:rPr>
        <w:t>1.成交人应在合同签订后</w:t>
      </w:r>
      <w:r>
        <w:rPr>
          <w:rFonts w:ascii="宋体" w:hAnsi="宋体" w:eastAsia="宋体" w:cs="宋体"/>
          <w:spacing w:val="-45"/>
          <w:sz w:val="24"/>
          <w:szCs w:val="24"/>
          <w:highlight w:val="none"/>
        </w:rPr>
        <w:t xml:space="preserve"> </w:t>
      </w:r>
      <w:r>
        <w:rPr>
          <w:rFonts w:ascii="宋体" w:hAnsi="宋体" w:eastAsia="宋体" w:cs="宋体"/>
          <w:spacing w:val="-2"/>
          <w:sz w:val="24"/>
          <w:szCs w:val="24"/>
          <w:highlight w:val="none"/>
        </w:rPr>
        <w:t>7</w:t>
      </w:r>
      <w:r>
        <w:rPr>
          <w:rFonts w:ascii="宋体" w:hAnsi="宋体" w:eastAsia="宋体" w:cs="宋体"/>
          <w:spacing w:val="-50"/>
          <w:sz w:val="24"/>
          <w:szCs w:val="24"/>
          <w:highlight w:val="none"/>
        </w:rPr>
        <w:t xml:space="preserve"> </w:t>
      </w:r>
      <w:r>
        <w:rPr>
          <w:rFonts w:ascii="宋体" w:hAnsi="宋体" w:eastAsia="宋体" w:cs="宋体"/>
          <w:spacing w:val="-2"/>
          <w:sz w:val="24"/>
          <w:szCs w:val="24"/>
          <w:highlight w:val="none"/>
        </w:rPr>
        <w:t>个日历日内安排人</w:t>
      </w:r>
      <w:r>
        <w:rPr>
          <w:rFonts w:ascii="宋体" w:hAnsi="宋体" w:eastAsia="宋体" w:cs="宋体"/>
          <w:spacing w:val="-3"/>
          <w:sz w:val="24"/>
          <w:szCs w:val="24"/>
          <w:highlight w:val="none"/>
        </w:rPr>
        <w:t>员与使用单位就送货等工作进行安排、</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部署。</w:t>
      </w:r>
    </w:p>
    <w:p w14:paraId="3D255368">
      <w:pPr>
        <w:spacing w:before="34" w:line="356" w:lineRule="auto"/>
        <w:ind w:left="11" w:right="80" w:firstLine="480"/>
        <w:rPr>
          <w:rFonts w:ascii="宋体" w:hAnsi="宋体" w:eastAsia="宋体" w:cs="宋体"/>
          <w:sz w:val="24"/>
          <w:szCs w:val="24"/>
          <w:highlight w:val="none"/>
        </w:rPr>
      </w:pPr>
      <w:r>
        <w:rPr>
          <w:rFonts w:ascii="宋体" w:hAnsi="宋体" w:eastAsia="宋体" w:cs="宋体"/>
          <w:spacing w:val="-2"/>
          <w:sz w:val="24"/>
          <w:szCs w:val="24"/>
          <w:highlight w:val="none"/>
        </w:rPr>
        <w:t>2.若未能在交货期内完成合同规定的义务，由此对采购人造成的延误和一切损失，由</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成交人承担和赔偿。</w:t>
      </w:r>
    </w:p>
    <w:p w14:paraId="0C4205CF">
      <w:pPr>
        <w:spacing w:before="35" w:line="219" w:lineRule="auto"/>
        <w:ind w:left="488"/>
        <w:rPr>
          <w:rFonts w:ascii="宋体" w:hAnsi="宋体" w:eastAsia="宋体" w:cs="宋体"/>
          <w:sz w:val="24"/>
          <w:szCs w:val="24"/>
          <w:highlight w:val="none"/>
        </w:rPr>
      </w:pPr>
      <w:r>
        <w:rPr>
          <w:rFonts w:ascii="宋体" w:hAnsi="宋体" w:eastAsia="宋体" w:cs="宋体"/>
          <w:b/>
          <w:bCs/>
          <w:spacing w:val="-4"/>
          <w:sz w:val="24"/>
          <w:szCs w:val="24"/>
          <w:highlight w:val="none"/>
        </w:rPr>
        <w:t>七、违约责任：</w:t>
      </w:r>
    </w:p>
    <w:p w14:paraId="22010617">
      <w:pPr>
        <w:spacing w:before="195" w:line="219" w:lineRule="auto"/>
        <w:ind w:left="507"/>
        <w:rPr>
          <w:rFonts w:ascii="宋体" w:hAnsi="宋体" w:eastAsia="宋体" w:cs="宋体"/>
          <w:sz w:val="24"/>
          <w:szCs w:val="24"/>
          <w:highlight w:val="none"/>
        </w:rPr>
      </w:pPr>
      <w:r>
        <w:rPr>
          <w:rFonts w:ascii="宋体" w:hAnsi="宋体" w:eastAsia="宋体" w:cs="宋体"/>
          <w:spacing w:val="-1"/>
          <w:sz w:val="24"/>
          <w:szCs w:val="24"/>
          <w:highlight w:val="none"/>
        </w:rPr>
        <w:t>1.按《中华人民共和国民法典》中的相关</w:t>
      </w:r>
      <w:r>
        <w:rPr>
          <w:rFonts w:ascii="宋体" w:hAnsi="宋体" w:eastAsia="宋体" w:cs="宋体"/>
          <w:spacing w:val="-2"/>
          <w:sz w:val="24"/>
          <w:szCs w:val="24"/>
          <w:highlight w:val="none"/>
        </w:rPr>
        <w:t>条款执行。</w:t>
      </w:r>
    </w:p>
    <w:p w14:paraId="25741E86">
      <w:pPr>
        <w:spacing w:before="194" w:line="356" w:lineRule="auto"/>
        <w:ind w:left="9" w:right="80" w:firstLine="482"/>
        <w:rPr>
          <w:rFonts w:ascii="宋体" w:hAnsi="宋体" w:eastAsia="宋体" w:cs="宋体"/>
          <w:sz w:val="24"/>
          <w:szCs w:val="24"/>
          <w:highlight w:val="none"/>
        </w:rPr>
      </w:pPr>
      <w:r>
        <w:rPr>
          <w:rFonts w:ascii="宋体" w:hAnsi="宋体" w:eastAsia="宋体" w:cs="宋体"/>
          <w:spacing w:val="-2"/>
          <w:sz w:val="24"/>
          <w:szCs w:val="24"/>
          <w:highlight w:val="none"/>
        </w:rPr>
        <w:t>2.未按合同要求提供货物或货物质量不能满足技术要求，采购人有权终止合同，并对</w:t>
      </w:r>
      <w:r>
        <w:rPr>
          <w:rFonts w:ascii="宋体" w:hAnsi="宋体" w:eastAsia="宋体" w:cs="宋体"/>
          <w:sz w:val="24"/>
          <w:szCs w:val="24"/>
          <w:highlight w:val="none"/>
        </w:rPr>
        <w:t xml:space="preserve"> 供方违约行为进行追究，同时按《中华人民共和国政府采购法</w:t>
      </w:r>
      <w:r>
        <w:rPr>
          <w:rFonts w:ascii="宋体" w:hAnsi="宋体" w:eastAsia="宋体" w:cs="宋体"/>
          <w:spacing w:val="-1"/>
          <w:sz w:val="24"/>
          <w:szCs w:val="24"/>
          <w:highlight w:val="none"/>
        </w:rPr>
        <w:t>》的有关规定进行处罚。</w:t>
      </w:r>
    </w:p>
    <w:p w14:paraId="266BAB68">
      <w:pPr>
        <w:rPr>
          <w:rStyle w:val="31"/>
          <w:rFonts w:hint="eastAsia" w:ascii="宋体" w:eastAsia="宋体" w:cs="宋体"/>
          <w:b/>
          <w:sz w:val="36"/>
          <w:szCs w:val="21"/>
          <w:highlight w:val="none"/>
        </w:rPr>
      </w:pPr>
      <w:r>
        <w:rPr>
          <w:rStyle w:val="31"/>
          <w:rFonts w:hint="eastAsia" w:ascii="宋体" w:eastAsia="宋体" w:cs="宋体"/>
          <w:b/>
          <w:sz w:val="36"/>
          <w:szCs w:val="21"/>
          <w:highlight w:val="none"/>
        </w:rPr>
        <w:br w:type="page"/>
      </w:r>
    </w:p>
    <w:p w14:paraId="78F75B91">
      <w:pPr>
        <w:pStyle w:val="2"/>
        <w:jc w:val="center"/>
        <w:rPr>
          <w:rFonts w:ascii="宋体" w:eastAsia="宋体" w:cs="宋体"/>
          <w:b w:val="0"/>
          <w:bCs/>
          <w:sz w:val="36"/>
          <w:szCs w:val="36"/>
          <w:highlight w:val="none"/>
        </w:rPr>
      </w:pPr>
      <w:r>
        <w:rPr>
          <w:rStyle w:val="31"/>
          <w:rFonts w:hint="eastAsia" w:ascii="宋体" w:eastAsia="宋体" w:cs="宋体"/>
          <w:b/>
          <w:sz w:val="36"/>
          <w:szCs w:val="21"/>
          <w:highlight w:val="none"/>
        </w:rPr>
        <w:t>第六章  竞争性磋商响应文件格式</w:t>
      </w:r>
      <w:bookmarkEnd w:id="107"/>
      <w:bookmarkEnd w:id="108"/>
      <w:bookmarkEnd w:id="109"/>
      <w:bookmarkEnd w:id="110"/>
      <w:bookmarkEnd w:id="111"/>
      <w:bookmarkEnd w:id="112"/>
    </w:p>
    <w:p w14:paraId="5D122186">
      <w:pPr>
        <w:rPr>
          <w:rFonts w:hAnsi="宋体" w:cs="宋体"/>
          <w:highlight w:val="none"/>
        </w:rPr>
      </w:pPr>
    </w:p>
    <w:p w14:paraId="066E4D88">
      <w:pPr>
        <w:rPr>
          <w:rFonts w:hAnsi="宋体" w:cs="宋体"/>
          <w:highlight w:val="none"/>
        </w:rPr>
      </w:pPr>
    </w:p>
    <w:p w14:paraId="3330A9E2">
      <w:pPr>
        <w:framePr w:hSpace="180" w:wrap="around" w:vAnchor="text" w:hAnchor="page" w:x="1472" w:y="18"/>
        <w:rPr>
          <w:rFonts w:hAnsi="宋体" w:cs="宋体"/>
          <w:b/>
          <w:bCs/>
          <w:sz w:val="32"/>
          <w:szCs w:val="32"/>
          <w:highlight w:val="none"/>
        </w:rPr>
      </w:pPr>
      <w:r>
        <w:rPr>
          <w:rFonts w:hint="eastAsia" w:hAnsi="宋体" w:cs="宋体"/>
          <w:b/>
          <w:bCs/>
          <w:sz w:val="32"/>
          <w:szCs w:val="32"/>
          <w:highlight w:val="none"/>
        </w:rPr>
        <w:t>项目编号：</w:t>
      </w:r>
    </w:p>
    <w:p w14:paraId="1833A0AF">
      <w:pPr>
        <w:ind w:firstLine="4343" w:firstLineChars="1352"/>
        <w:rPr>
          <w:rFonts w:hAnsi="宋体" w:cs="宋体"/>
          <w:b/>
          <w:sz w:val="32"/>
          <w:szCs w:val="32"/>
          <w:highlight w:val="none"/>
        </w:rPr>
      </w:pPr>
      <w:r>
        <w:rPr>
          <w:rFonts w:hint="eastAsia" w:hAnsi="宋体" w:cs="宋体"/>
          <w:b/>
          <w:bCs/>
          <w:sz w:val="32"/>
          <w:szCs w:val="32"/>
          <w:highlight w:val="none"/>
        </w:rPr>
        <w:t xml:space="preserve">     </w:t>
      </w:r>
      <w:r>
        <w:rPr>
          <w:rFonts w:hint="eastAsia" w:hAnsi="宋体" w:cs="宋体"/>
          <w:b/>
          <w:sz w:val="32"/>
          <w:szCs w:val="32"/>
          <w:highlight w:val="none"/>
        </w:rPr>
        <w:t>（正本或副本）</w:t>
      </w:r>
    </w:p>
    <w:p w14:paraId="5A05E5E8">
      <w:pPr>
        <w:jc w:val="right"/>
        <w:rPr>
          <w:rFonts w:hAnsi="宋体" w:cs="宋体"/>
          <w:b/>
          <w:sz w:val="32"/>
          <w:szCs w:val="32"/>
          <w:highlight w:val="none"/>
        </w:rPr>
      </w:pPr>
    </w:p>
    <w:p w14:paraId="205F05D1">
      <w:pPr>
        <w:jc w:val="right"/>
        <w:rPr>
          <w:rFonts w:hAnsi="宋体" w:cs="宋体"/>
          <w:b/>
          <w:sz w:val="32"/>
          <w:szCs w:val="32"/>
          <w:highlight w:val="none"/>
        </w:rPr>
      </w:pPr>
    </w:p>
    <w:p w14:paraId="6F2043A0">
      <w:pPr>
        <w:pStyle w:val="10"/>
        <w:rPr>
          <w:rFonts w:ascii="宋体" w:hAnsi="宋体" w:cs="宋体"/>
          <w:highlight w:val="none"/>
        </w:rPr>
      </w:pPr>
    </w:p>
    <w:p w14:paraId="290047DA">
      <w:pPr>
        <w:jc w:val="center"/>
        <w:rPr>
          <w:rFonts w:hint="eastAsia" w:hAnsi="宋体" w:cs="宋体"/>
          <w:b/>
          <w:sz w:val="52"/>
          <w:szCs w:val="52"/>
          <w:highlight w:val="none"/>
        </w:rPr>
      </w:pPr>
      <w:r>
        <w:rPr>
          <w:rFonts w:hint="eastAsia" w:hAnsi="宋体" w:cs="宋体"/>
          <w:b/>
          <w:sz w:val="40"/>
          <w:szCs w:val="44"/>
          <w:highlight w:val="none"/>
          <w:lang w:eastAsia="zh-CN"/>
        </w:rPr>
        <w:t>柞水县污水处理厂2025年药剂采购项目</w:t>
      </w:r>
    </w:p>
    <w:p w14:paraId="0EAACA93">
      <w:pPr>
        <w:jc w:val="center"/>
        <w:rPr>
          <w:rFonts w:hint="eastAsia" w:hAnsi="宋体" w:cs="宋体"/>
          <w:b/>
          <w:sz w:val="52"/>
          <w:szCs w:val="52"/>
          <w:highlight w:val="none"/>
        </w:rPr>
      </w:pPr>
    </w:p>
    <w:p w14:paraId="56D0EBBD">
      <w:pPr>
        <w:jc w:val="center"/>
        <w:rPr>
          <w:rFonts w:hAnsi="宋体" w:cs="宋体"/>
          <w:b/>
          <w:sz w:val="56"/>
          <w:szCs w:val="56"/>
          <w:highlight w:val="none"/>
        </w:rPr>
      </w:pPr>
      <w:r>
        <w:rPr>
          <w:rFonts w:hint="eastAsia" w:hAnsi="宋体" w:cs="宋体"/>
          <w:b/>
          <w:sz w:val="52"/>
          <w:szCs w:val="52"/>
          <w:highlight w:val="none"/>
        </w:rPr>
        <w:t>竞争性磋商响应文件</w:t>
      </w:r>
    </w:p>
    <w:p w14:paraId="7E08AE5A">
      <w:pPr>
        <w:rPr>
          <w:rFonts w:hAnsi="宋体" w:cs="宋体"/>
          <w:b/>
          <w:sz w:val="36"/>
          <w:szCs w:val="36"/>
          <w:highlight w:val="none"/>
        </w:rPr>
      </w:pPr>
    </w:p>
    <w:p w14:paraId="7FA11E73">
      <w:pPr>
        <w:bidi w:val="0"/>
      </w:pPr>
    </w:p>
    <w:p w14:paraId="7233AA5C">
      <w:pPr>
        <w:pStyle w:val="10"/>
        <w:rPr>
          <w:rFonts w:ascii="宋体" w:hAnsi="宋体" w:cs="宋体"/>
          <w:highlight w:val="none"/>
        </w:rPr>
      </w:pPr>
    </w:p>
    <w:p w14:paraId="6790F142">
      <w:pPr>
        <w:rPr>
          <w:rFonts w:ascii="宋体" w:hAnsi="宋体" w:cs="宋体"/>
          <w:highlight w:val="none"/>
        </w:rPr>
      </w:pPr>
    </w:p>
    <w:p w14:paraId="37D606EC">
      <w:pPr>
        <w:rPr>
          <w:rFonts w:ascii="宋体" w:hAnsi="宋体" w:cs="宋体"/>
          <w:highlight w:val="none"/>
        </w:rPr>
      </w:pPr>
    </w:p>
    <w:p w14:paraId="76732761">
      <w:pPr>
        <w:rPr>
          <w:rFonts w:ascii="宋体" w:hAnsi="宋体" w:cs="宋体"/>
          <w:highlight w:val="none"/>
        </w:rPr>
      </w:pPr>
    </w:p>
    <w:p w14:paraId="60C04377">
      <w:pPr>
        <w:rPr>
          <w:rFonts w:ascii="宋体" w:hAnsi="宋体" w:cs="宋体"/>
          <w:highlight w:val="none"/>
        </w:rPr>
      </w:pPr>
    </w:p>
    <w:p w14:paraId="7E92C5C0">
      <w:pPr>
        <w:rPr>
          <w:rFonts w:ascii="宋体" w:hAnsi="宋体" w:cs="宋体"/>
          <w:highlight w:val="none"/>
        </w:rPr>
      </w:pPr>
    </w:p>
    <w:p w14:paraId="6CB6992C">
      <w:pPr>
        <w:rPr>
          <w:rFonts w:ascii="宋体" w:hAnsi="宋体" w:cs="宋体"/>
          <w:highlight w:val="none"/>
        </w:rPr>
      </w:pPr>
    </w:p>
    <w:p w14:paraId="1A120B25">
      <w:pPr>
        <w:rPr>
          <w:rFonts w:hAnsi="宋体" w:cs="宋体"/>
          <w:b/>
          <w:sz w:val="36"/>
          <w:szCs w:val="36"/>
          <w:highlight w:val="none"/>
        </w:rPr>
      </w:pPr>
    </w:p>
    <w:p w14:paraId="40FDA105">
      <w:pPr>
        <w:tabs>
          <w:tab w:val="center" w:pos="5346"/>
        </w:tabs>
        <w:spacing w:line="480" w:lineRule="auto"/>
        <w:jc w:val="center"/>
        <w:rPr>
          <w:rFonts w:hint="eastAsia" w:hAnsi="宋体" w:cs="宋体"/>
          <w:b/>
          <w:sz w:val="32"/>
          <w:szCs w:val="32"/>
          <w:highlight w:val="none"/>
        </w:rPr>
      </w:pPr>
      <w:r>
        <w:rPr>
          <w:rFonts w:hint="eastAsia" w:hAnsi="宋体" w:cs="宋体"/>
          <w:b/>
          <w:sz w:val="32"/>
          <w:szCs w:val="32"/>
          <w:highlight w:val="none"/>
        </w:rPr>
        <w:t>供应商名称（公章）</w:t>
      </w:r>
    </w:p>
    <w:p w14:paraId="062BC542">
      <w:pPr>
        <w:tabs>
          <w:tab w:val="center" w:pos="5346"/>
        </w:tabs>
        <w:spacing w:line="480" w:lineRule="auto"/>
        <w:jc w:val="center"/>
        <w:rPr>
          <w:rFonts w:hAnsi="宋体" w:cs="宋体"/>
          <w:b/>
          <w:sz w:val="44"/>
          <w:highlight w:val="none"/>
        </w:rPr>
      </w:pPr>
      <w:r>
        <w:rPr>
          <w:rFonts w:hint="eastAsia" w:hAnsi="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hAnsi="宋体" w:cs="宋体"/>
          <w:b/>
          <w:sz w:val="36"/>
          <w:szCs w:val="36"/>
          <w:highlight w:val="none"/>
        </w:rPr>
        <w:br w:type="page"/>
      </w:r>
      <w:bookmarkStart w:id="113" w:name="_Toc344572156"/>
    </w:p>
    <w:p w14:paraId="65E4A377">
      <w:pPr>
        <w:jc w:val="center"/>
        <w:rPr>
          <w:rFonts w:hAnsi="宋体" w:cs="宋体"/>
          <w:b/>
          <w:sz w:val="44"/>
          <w:highlight w:val="none"/>
        </w:rPr>
      </w:pPr>
      <w:r>
        <w:rPr>
          <w:rFonts w:hint="eastAsia" w:hAnsi="宋体" w:cs="宋体"/>
          <w:b/>
          <w:sz w:val="44"/>
          <w:highlight w:val="none"/>
        </w:rPr>
        <w:t>目  录</w:t>
      </w:r>
    </w:p>
    <w:p w14:paraId="79D3FBE8">
      <w:pPr>
        <w:pStyle w:val="10"/>
        <w:rPr>
          <w:rFonts w:ascii="宋体" w:hAnsi="宋体" w:cs="宋体"/>
          <w:highlight w:val="none"/>
        </w:rPr>
      </w:pPr>
    </w:p>
    <w:p w14:paraId="096EFA62">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一、磋商响应函</w:t>
      </w:r>
    </w:p>
    <w:p w14:paraId="30541A8B">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二、磋商报价表</w:t>
      </w:r>
    </w:p>
    <w:p w14:paraId="6944CD72">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三、磋商方案说明书</w:t>
      </w:r>
    </w:p>
    <w:p w14:paraId="5084C39F">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四、商务条款偏离表</w:t>
      </w:r>
    </w:p>
    <w:p w14:paraId="5CB67250">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五、陕西省政府采购供应商拒绝政府采购领域商业贿赂承诺书</w:t>
      </w:r>
    </w:p>
    <w:p w14:paraId="00B198B1">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六、特定资格证明文件</w:t>
      </w:r>
    </w:p>
    <w:p w14:paraId="38EBB6EE">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七、其他</w:t>
      </w:r>
    </w:p>
    <w:p w14:paraId="72F81CE3">
      <w:pPr>
        <w:pStyle w:val="7"/>
        <w:spacing w:line="360" w:lineRule="auto"/>
        <w:rPr>
          <w:rFonts w:ascii="宋体" w:hAnsi="宋体" w:cs="宋体"/>
          <w:highlight w:val="none"/>
        </w:rPr>
      </w:pPr>
    </w:p>
    <w:p w14:paraId="0A3B8844">
      <w:pPr>
        <w:pStyle w:val="7"/>
        <w:spacing w:line="360" w:lineRule="auto"/>
        <w:rPr>
          <w:rFonts w:ascii="宋体" w:hAnsi="宋体" w:cs="宋体"/>
          <w:highlight w:val="none"/>
        </w:rPr>
      </w:pPr>
    </w:p>
    <w:p w14:paraId="5B7330CF">
      <w:pPr>
        <w:keepNext/>
        <w:keepLines/>
        <w:widowControl/>
        <w:tabs>
          <w:tab w:val="left" w:pos="3705"/>
        </w:tabs>
        <w:spacing w:line="360" w:lineRule="auto"/>
        <w:ind w:left="3708"/>
        <w:rPr>
          <w:rFonts w:hAnsi="宋体" w:cs="宋体"/>
          <w:bCs/>
          <w:sz w:val="44"/>
          <w:highlight w:val="none"/>
        </w:rPr>
      </w:pPr>
    </w:p>
    <w:p w14:paraId="4F29B7C4">
      <w:pPr>
        <w:pStyle w:val="7"/>
        <w:ind w:firstLine="880"/>
        <w:rPr>
          <w:rFonts w:ascii="宋体" w:hAnsi="宋体" w:cs="宋体"/>
          <w:bCs/>
          <w:sz w:val="44"/>
          <w:highlight w:val="none"/>
        </w:rPr>
      </w:pPr>
    </w:p>
    <w:p w14:paraId="2C32A088">
      <w:pPr>
        <w:pStyle w:val="7"/>
        <w:ind w:firstLine="880"/>
        <w:rPr>
          <w:rFonts w:ascii="宋体" w:hAnsi="宋体" w:cs="宋体"/>
          <w:bCs/>
          <w:sz w:val="44"/>
          <w:highlight w:val="none"/>
        </w:rPr>
      </w:pPr>
    </w:p>
    <w:bookmarkEnd w:id="113"/>
    <w:p w14:paraId="37DA3702">
      <w:pPr>
        <w:pStyle w:val="10"/>
        <w:rPr>
          <w:rFonts w:ascii="宋体" w:hAnsi="宋体" w:cs="宋体"/>
          <w:b/>
          <w:sz w:val="32"/>
          <w:szCs w:val="32"/>
          <w:highlight w:val="none"/>
        </w:rPr>
      </w:pPr>
      <w:bookmarkStart w:id="114" w:name="_Toc363474027"/>
      <w:bookmarkStart w:id="115" w:name="_Toc403077648"/>
      <w:bookmarkStart w:id="116" w:name="_Toc204524343"/>
    </w:p>
    <w:p w14:paraId="74E50498">
      <w:pPr>
        <w:pStyle w:val="10"/>
        <w:rPr>
          <w:rFonts w:ascii="宋体" w:hAnsi="宋体" w:cs="宋体"/>
          <w:b/>
          <w:sz w:val="32"/>
          <w:szCs w:val="32"/>
          <w:highlight w:val="none"/>
        </w:rPr>
      </w:pPr>
    </w:p>
    <w:p w14:paraId="07FA3018">
      <w:pPr>
        <w:pStyle w:val="10"/>
        <w:rPr>
          <w:rFonts w:ascii="宋体" w:hAnsi="宋体" w:cs="宋体"/>
          <w:b/>
          <w:sz w:val="32"/>
          <w:szCs w:val="32"/>
          <w:highlight w:val="none"/>
        </w:rPr>
      </w:pPr>
    </w:p>
    <w:p w14:paraId="5078FD78">
      <w:pPr>
        <w:bidi w:val="0"/>
        <w:rPr>
          <w:rFonts w:hint="eastAsia"/>
        </w:rPr>
      </w:pPr>
      <w:r>
        <w:rPr>
          <w:rFonts w:hint="eastAsia"/>
        </w:rPr>
        <w:br w:type="page"/>
      </w:r>
      <w:bookmarkStart w:id="117" w:name="_Toc32002"/>
      <w:bookmarkStart w:id="118" w:name="_Toc4367"/>
      <w:bookmarkStart w:id="119" w:name="_Toc15762"/>
      <w:bookmarkStart w:id="120" w:name="_Toc16320"/>
    </w:p>
    <w:p w14:paraId="0B72AADD">
      <w:pPr>
        <w:spacing w:line="520" w:lineRule="exact"/>
        <w:jc w:val="center"/>
        <w:outlineLvl w:val="1"/>
        <w:rPr>
          <w:rFonts w:hAnsi="宋体" w:cs="宋体"/>
          <w:b/>
          <w:sz w:val="32"/>
          <w:szCs w:val="32"/>
          <w:highlight w:val="none"/>
        </w:rPr>
      </w:pPr>
      <w:r>
        <w:rPr>
          <w:rFonts w:hint="eastAsia" w:hAnsi="宋体" w:cs="宋体"/>
          <w:b/>
          <w:sz w:val="32"/>
          <w:szCs w:val="32"/>
          <w:highlight w:val="none"/>
        </w:rPr>
        <w:t>一、磋商</w:t>
      </w:r>
      <w:bookmarkEnd w:id="114"/>
      <w:bookmarkEnd w:id="115"/>
      <w:r>
        <w:rPr>
          <w:rFonts w:hint="eastAsia" w:hAnsi="宋体" w:cs="宋体"/>
          <w:b/>
          <w:sz w:val="32"/>
          <w:szCs w:val="32"/>
          <w:highlight w:val="none"/>
        </w:rPr>
        <w:t>响应函</w:t>
      </w:r>
      <w:bookmarkEnd w:id="117"/>
      <w:bookmarkEnd w:id="118"/>
      <w:bookmarkEnd w:id="119"/>
      <w:bookmarkEnd w:id="120"/>
    </w:p>
    <w:p w14:paraId="60F4E421">
      <w:pPr>
        <w:spacing w:line="360" w:lineRule="auto"/>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rPr>
        <w:t>陕西至诚项目管理集团有限公司</w:t>
      </w:r>
    </w:p>
    <w:p w14:paraId="7856D8B6">
      <w:pPr>
        <w:spacing w:line="360" w:lineRule="auto"/>
        <w:ind w:firstLine="496" w:firstLineChars="200"/>
        <w:rPr>
          <w:rFonts w:hAnsi="宋体" w:cs="宋体"/>
          <w:spacing w:val="4"/>
          <w:szCs w:val="24"/>
          <w:highlight w:val="none"/>
        </w:rPr>
      </w:pPr>
      <w:r>
        <w:rPr>
          <w:rFonts w:hint="eastAsia" w:hAnsi="宋体" w:cs="宋体"/>
          <w:spacing w:val="4"/>
          <w:szCs w:val="24"/>
          <w:highlight w:val="none"/>
        </w:rPr>
        <w:t>根据贵方“</w:t>
      </w:r>
      <w:r>
        <w:rPr>
          <w:rFonts w:hint="eastAsia" w:hAnsi="宋体" w:cs="宋体"/>
          <w:spacing w:val="4"/>
          <w:szCs w:val="24"/>
          <w:highlight w:val="none"/>
          <w:u w:val="single"/>
        </w:rPr>
        <w:t xml:space="preserve">                      </w:t>
      </w:r>
      <w:r>
        <w:rPr>
          <w:rFonts w:hint="eastAsia" w:hAnsi="宋体" w:cs="宋体"/>
          <w:spacing w:val="4"/>
          <w:szCs w:val="24"/>
          <w:highlight w:val="none"/>
        </w:rPr>
        <w:t>”项目的磋商邀请</w:t>
      </w:r>
      <w:r>
        <w:rPr>
          <w:rFonts w:hint="eastAsia" w:hAnsi="宋体" w:cs="宋体"/>
          <w:spacing w:val="4"/>
          <w:szCs w:val="24"/>
          <w:highlight w:val="none"/>
          <w:u w:val="single"/>
        </w:rPr>
        <w:t>(项目编号：   )</w:t>
      </w:r>
      <w:r>
        <w:rPr>
          <w:rFonts w:hint="eastAsia" w:hAnsi="宋体" w:cs="宋体"/>
          <w:spacing w:val="4"/>
          <w:szCs w:val="24"/>
          <w:highlight w:val="none"/>
        </w:rPr>
        <w:t>，签字代表</w:t>
      </w:r>
      <w:r>
        <w:rPr>
          <w:rFonts w:hint="eastAsia" w:hAnsi="宋体" w:cs="宋体"/>
          <w:spacing w:val="4"/>
          <w:szCs w:val="24"/>
          <w:highlight w:val="none"/>
          <w:u w:val="single"/>
        </w:rPr>
        <w:t>（全名、职务）</w:t>
      </w:r>
      <w:r>
        <w:rPr>
          <w:rFonts w:hint="eastAsia" w:hAnsi="宋体" w:cs="宋体"/>
          <w:spacing w:val="4"/>
          <w:szCs w:val="24"/>
          <w:highlight w:val="none"/>
        </w:rPr>
        <w:t>经正式授权并代表供应商</w:t>
      </w:r>
      <w:r>
        <w:rPr>
          <w:rFonts w:hint="eastAsia" w:hAnsi="宋体" w:cs="宋体"/>
          <w:spacing w:val="4"/>
          <w:szCs w:val="24"/>
          <w:highlight w:val="none"/>
          <w:u w:val="single"/>
        </w:rPr>
        <w:t>(供应商名称、地址)</w:t>
      </w:r>
      <w:r>
        <w:rPr>
          <w:rFonts w:hint="eastAsia" w:hAnsi="宋体" w:cs="宋体"/>
          <w:spacing w:val="4"/>
          <w:szCs w:val="24"/>
          <w:highlight w:val="none"/>
        </w:rPr>
        <w:t xml:space="preserve"> 提交竞争性磋商响应文件正本</w:t>
      </w:r>
      <w:r>
        <w:rPr>
          <w:rFonts w:hint="eastAsia" w:hAnsi="宋体" w:cs="宋体"/>
          <w:spacing w:val="4"/>
          <w:szCs w:val="24"/>
          <w:highlight w:val="none"/>
          <w:u w:val="single"/>
          <w:lang w:val="en-US" w:eastAsia="zh-CN"/>
        </w:rPr>
        <w:t xml:space="preserve">   </w:t>
      </w:r>
      <w:r>
        <w:rPr>
          <w:rFonts w:hint="eastAsia" w:hAnsi="宋体" w:cs="宋体"/>
          <w:spacing w:val="4"/>
          <w:szCs w:val="24"/>
          <w:highlight w:val="none"/>
        </w:rPr>
        <w:t>份、副本一式</w:t>
      </w:r>
      <w:r>
        <w:rPr>
          <w:rFonts w:hint="eastAsia" w:hAnsi="宋体" w:cs="宋体"/>
          <w:spacing w:val="4"/>
          <w:szCs w:val="24"/>
          <w:highlight w:val="none"/>
          <w:u w:val="single"/>
        </w:rPr>
        <w:t xml:space="preserve">   </w:t>
      </w:r>
      <w:r>
        <w:rPr>
          <w:rFonts w:hint="eastAsia" w:hAnsi="宋体" w:cs="宋体"/>
          <w:spacing w:val="4"/>
          <w:szCs w:val="24"/>
          <w:highlight w:val="none"/>
        </w:rPr>
        <w:t>份、报价一览表</w:t>
      </w:r>
      <w:r>
        <w:rPr>
          <w:rFonts w:hint="eastAsia" w:hAnsi="宋体" w:cs="宋体"/>
          <w:spacing w:val="4"/>
          <w:szCs w:val="24"/>
          <w:highlight w:val="none"/>
          <w:u w:val="single"/>
        </w:rPr>
        <w:t xml:space="preserve">   </w:t>
      </w:r>
      <w:r>
        <w:rPr>
          <w:rFonts w:hint="eastAsia" w:hAnsi="宋体" w:cs="宋体"/>
          <w:spacing w:val="4"/>
          <w:szCs w:val="24"/>
          <w:highlight w:val="none"/>
        </w:rPr>
        <w:t>份、电子版</w:t>
      </w:r>
      <w:r>
        <w:rPr>
          <w:rFonts w:hint="eastAsia" w:hAnsi="宋体" w:cs="宋体"/>
          <w:spacing w:val="4"/>
          <w:szCs w:val="24"/>
          <w:highlight w:val="none"/>
          <w:u w:val="single"/>
        </w:rPr>
        <w:t xml:space="preserve">    </w:t>
      </w:r>
      <w:r>
        <w:rPr>
          <w:rFonts w:hint="eastAsia" w:hAnsi="宋体" w:cs="宋体"/>
          <w:spacing w:val="4"/>
          <w:szCs w:val="24"/>
          <w:highlight w:val="none"/>
        </w:rPr>
        <w:t>份。</w:t>
      </w:r>
    </w:p>
    <w:p w14:paraId="33230796">
      <w:pPr>
        <w:spacing w:line="360" w:lineRule="auto"/>
        <w:ind w:left="624" w:leftChars="251" w:hanging="22" w:hangingChars="9"/>
        <w:jc w:val="left"/>
        <w:rPr>
          <w:rFonts w:hAnsi="宋体" w:cs="宋体"/>
          <w:spacing w:val="4"/>
          <w:szCs w:val="24"/>
          <w:highlight w:val="none"/>
        </w:rPr>
      </w:pPr>
      <w:r>
        <w:rPr>
          <w:rFonts w:hint="eastAsia" w:hAnsi="宋体" w:cs="宋体"/>
          <w:spacing w:val="4"/>
          <w:szCs w:val="24"/>
          <w:highlight w:val="none"/>
        </w:rPr>
        <w:t>我方承诺如下：</w:t>
      </w:r>
    </w:p>
    <w:p w14:paraId="42879A62">
      <w:pPr>
        <w:numPr>
          <w:ilvl w:val="0"/>
          <w:numId w:val="5"/>
        </w:numPr>
        <w:tabs>
          <w:tab w:val="left" w:pos="2160"/>
        </w:tabs>
        <w:spacing w:line="360" w:lineRule="auto"/>
        <w:ind w:firstLine="496" w:firstLineChars="200"/>
        <w:jc w:val="left"/>
        <w:rPr>
          <w:rFonts w:hAnsi="宋体" w:cs="宋体"/>
          <w:spacing w:val="4"/>
          <w:highlight w:val="none"/>
        </w:rPr>
      </w:pPr>
      <w:r>
        <w:rPr>
          <w:rFonts w:hint="eastAsia" w:hAnsi="宋体" w:cs="宋体"/>
          <w:spacing w:val="4"/>
          <w:szCs w:val="24"/>
          <w:highlight w:val="none"/>
        </w:rPr>
        <w:t>磋商报价</w:t>
      </w:r>
      <w:r>
        <w:rPr>
          <w:rFonts w:hint="eastAsia" w:hAnsi="宋体" w:cs="宋体"/>
          <w:spacing w:val="4"/>
          <w:highlight w:val="none"/>
        </w:rPr>
        <w:t>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3589AADB">
      <w:pPr>
        <w:numPr>
          <w:ilvl w:val="0"/>
          <w:numId w:val="5"/>
        </w:num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如果成交，我们根据竞争性磋商文件的规定，履行合同的责任和义务。</w:t>
      </w:r>
    </w:p>
    <w:p w14:paraId="10864A1F">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3）我们已详细阅读和审核全部竞争性磋商文件（含修改部分，如有的话），及有关附件，我们知道必须放弃提出含糊不清或误解的问题的权利。</w:t>
      </w:r>
    </w:p>
    <w:p w14:paraId="086B4506">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4）我们同意在磋商有效期内（</w:t>
      </w:r>
      <w:r>
        <w:rPr>
          <w:rFonts w:hint="eastAsia" w:hAnsi="宋体" w:cs="宋体"/>
          <w:spacing w:val="4"/>
          <w:szCs w:val="24"/>
          <w:highlight w:val="none"/>
          <w:u w:val="single"/>
        </w:rPr>
        <w:t>自磋商之日起   天</w:t>
      </w:r>
      <w:r>
        <w:rPr>
          <w:rFonts w:hint="eastAsia" w:hAnsi="宋体" w:cs="宋体"/>
          <w:spacing w:val="4"/>
          <w:szCs w:val="24"/>
          <w:highlight w:val="none"/>
        </w:rPr>
        <w:t>），本磋商响应函对我方具有约束力。</w:t>
      </w:r>
    </w:p>
    <w:p w14:paraId="7FA2DA32">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5</w:t>
      </w:r>
      <w:r>
        <w:rPr>
          <w:rFonts w:hint="eastAsia" w:hAnsi="宋体" w:cs="宋体"/>
          <w:spacing w:val="4"/>
          <w:szCs w:val="24"/>
          <w:highlight w:val="none"/>
        </w:rPr>
        <w:t xml:space="preserve">）同意提供贵方可能另外要求的与本磋商有关的任何证据和资料。 </w:t>
      </w:r>
    </w:p>
    <w:p w14:paraId="79B3BC1A">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6</w:t>
      </w:r>
      <w:r>
        <w:rPr>
          <w:rFonts w:hint="eastAsia" w:hAnsi="宋体" w:cs="宋体"/>
          <w:spacing w:val="4"/>
          <w:szCs w:val="24"/>
          <w:highlight w:val="none"/>
        </w:rPr>
        <w:t>）我们同意，如果成交，向陕西至诚项目管理集团有限公司交纳招标代理服务费。</w:t>
      </w:r>
    </w:p>
    <w:p w14:paraId="7E19C3FF">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7</w:t>
      </w:r>
      <w:r>
        <w:rPr>
          <w:rFonts w:hint="eastAsia" w:hAnsi="宋体" w:cs="宋体"/>
          <w:spacing w:val="4"/>
          <w:szCs w:val="24"/>
          <w:highlight w:val="none"/>
        </w:rPr>
        <w:t>）与本磋商有关的一切正式往来通讯为：</w:t>
      </w:r>
    </w:p>
    <w:p w14:paraId="3ED7030C">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联系地址：</w:t>
      </w:r>
    </w:p>
    <w:p w14:paraId="2DED021C">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邮政编码：</w:t>
      </w:r>
    </w:p>
    <w:p w14:paraId="347894FD">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电    话：</w:t>
      </w:r>
    </w:p>
    <w:p w14:paraId="283BA91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传    真：</w:t>
      </w:r>
    </w:p>
    <w:p w14:paraId="0F17E1E0">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供应商名称（盖章）：</w:t>
      </w:r>
    </w:p>
    <w:p w14:paraId="0CF1626B">
      <w:pPr>
        <w:spacing w:line="280" w:lineRule="exact"/>
        <w:ind w:right="617" w:rightChars="257" w:firstLine="1200" w:firstLineChars="500"/>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5B3122B3">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日    期：</w:t>
      </w:r>
    </w:p>
    <w:p w14:paraId="7670DDB4">
      <w:pPr>
        <w:pStyle w:val="3"/>
        <w:spacing w:before="312" w:beforeLines="100" w:line="360" w:lineRule="auto"/>
        <w:jc w:val="center"/>
        <w:rPr>
          <w:rFonts w:ascii="宋体" w:hAnsi="宋体" w:cs="宋体"/>
          <w:bCs w:val="0"/>
          <w:sz w:val="32"/>
          <w:highlight w:val="none"/>
        </w:rPr>
      </w:pPr>
      <w:r>
        <w:rPr>
          <w:rFonts w:hint="eastAsia" w:ascii="宋体" w:hAnsi="宋体" w:cs="宋体"/>
          <w:highlight w:val="none"/>
        </w:rPr>
        <w:br w:type="page"/>
      </w:r>
      <w:bookmarkStart w:id="121" w:name="_Toc17800"/>
      <w:bookmarkStart w:id="122" w:name="_Toc732"/>
      <w:bookmarkStart w:id="123" w:name="_Toc28910"/>
      <w:bookmarkStart w:id="124" w:name="_Toc9730"/>
      <w:bookmarkStart w:id="125" w:name="_Toc363474030"/>
      <w:bookmarkStart w:id="126" w:name="_Toc403077651"/>
      <w:r>
        <w:rPr>
          <w:rFonts w:hint="eastAsia" w:ascii="宋体" w:hAnsi="宋体" w:cs="宋体"/>
          <w:bCs w:val="0"/>
          <w:sz w:val="32"/>
          <w:highlight w:val="none"/>
        </w:rPr>
        <w:t>二、磋商报价表</w:t>
      </w:r>
      <w:bookmarkEnd w:id="121"/>
      <w:bookmarkEnd w:id="122"/>
      <w:bookmarkEnd w:id="123"/>
      <w:bookmarkEnd w:id="124"/>
      <w:bookmarkEnd w:id="125"/>
      <w:bookmarkEnd w:id="126"/>
    </w:p>
    <w:p w14:paraId="5055558F">
      <w:pPr>
        <w:spacing w:line="360" w:lineRule="auto"/>
        <w:jc w:val="center"/>
        <w:outlineLvl w:val="1"/>
        <w:rPr>
          <w:rFonts w:hAnsi="宋体" w:cs="宋体"/>
          <w:szCs w:val="24"/>
          <w:highlight w:val="none"/>
        </w:rPr>
      </w:pPr>
      <w:bookmarkStart w:id="127" w:name="_Toc7982"/>
      <w:bookmarkStart w:id="128" w:name="_Toc29008"/>
      <w:bookmarkStart w:id="129" w:name="_Toc12732"/>
      <w:bookmarkStart w:id="130" w:name="_Toc32277"/>
      <w:r>
        <w:rPr>
          <w:rFonts w:hint="eastAsia" w:hAnsi="宋体" w:cs="宋体"/>
          <w:szCs w:val="24"/>
          <w:highlight w:val="none"/>
        </w:rPr>
        <w:t>2.1报价一览表</w:t>
      </w:r>
      <w:bookmarkEnd w:id="127"/>
      <w:bookmarkEnd w:id="128"/>
      <w:bookmarkEnd w:id="129"/>
      <w:bookmarkEnd w:id="130"/>
    </w:p>
    <w:p w14:paraId="12E82798">
      <w:pPr>
        <w:spacing w:line="360" w:lineRule="auto"/>
        <w:jc w:val="center"/>
        <w:rPr>
          <w:rFonts w:hAnsi="宋体" w:cs="宋体"/>
          <w:szCs w:val="24"/>
          <w:highlight w:val="none"/>
        </w:rPr>
      </w:pPr>
    </w:p>
    <w:p w14:paraId="78FACCCF">
      <w:pPr>
        <w:spacing w:line="360" w:lineRule="auto"/>
        <w:jc w:val="left"/>
        <w:rPr>
          <w:rFonts w:hAnsi="宋体" w:cs="宋体"/>
          <w:highlight w:val="none"/>
        </w:rPr>
      </w:pPr>
      <w:r>
        <w:rPr>
          <w:rFonts w:hint="eastAsia" w:hAnsi="宋体" w:cs="宋体"/>
          <w:highlight w:val="none"/>
        </w:rPr>
        <w:t xml:space="preserve">项目名称：                                                 </w:t>
      </w:r>
    </w:p>
    <w:p w14:paraId="1EEA06CB">
      <w:pPr>
        <w:spacing w:line="360" w:lineRule="auto"/>
        <w:jc w:val="left"/>
        <w:rPr>
          <w:rFonts w:hAnsi="宋体" w:cs="宋体"/>
          <w:highlight w:val="none"/>
        </w:rPr>
      </w:pPr>
      <w:r>
        <w:rPr>
          <w:rFonts w:hint="eastAsia" w:hAnsi="宋体" w:cs="宋体"/>
          <w:highlight w:val="none"/>
        </w:rPr>
        <w:t xml:space="preserve">项目编号：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2402"/>
        <w:gridCol w:w="2077"/>
        <w:gridCol w:w="1916"/>
      </w:tblGrid>
      <w:tr w14:paraId="3678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3055" w:type="dxa"/>
            <w:vAlign w:val="center"/>
          </w:tcPr>
          <w:p w14:paraId="59482E7C">
            <w:pPr>
              <w:jc w:val="center"/>
              <w:rPr>
                <w:rFonts w:hAnsi="宋体" w:cs="宋体"/>
                <w:szCs w:val="24"/>
                <w:highlight w:val="none"/>
              </w:rPr>
            </w:pPr>
            <w:r>
              <w:rPr>
                <w:rFonts w:hint="eastAsia" w:hAnsi="宋体" w:cs="宋体"/>
                <w:szCs w:val="24"/>
                <w:highlight w:val="none"/>
              </w:rPr>
              <w:t>磋商总报价</w:t>
            </w:r>
          </w:p>
          <w:p w14:paraId="361558AE">
            <w:pPr>
              <w:jc w:val="center"/>
              <w:rPr>
                <w:rFonts w:hAnsi="宋体" w:cs="宋体"/>
                <w:szCs w:val="24"/>
                <w:highlight w:val="none"/>
              </w:rPr>
            </w:pPr>
            <w:r>
              <w:rPr>
                <w:rFonts w:hint="eastAsia" w:hAnsi="宋体" w:cs="宋体"/>
                <w:szCs w:val="24"/>
                <w:highlight w:val="none"/>
              </w:rPr>
              <w:t>（元）</w:t>
            </w:r>
          </w:p>
        </w:tc>
        <w:tc>
          <w:tcPr>
            <w:tcW w:w="2402" w:type="dxa"/>
            <w:vAlign w:val="center"/>
          </w:tcPr>
          <w:p w14:paraId="2FA347AF">
            <w:pPr>
              <w:jc w:val="center"/>
              <w:rPr>
                <w:rFonts w:hint="eastAsia" w:hAnsi="宋体" w:eastAsia="宋体" w:cs="宋体"/>
                <w:szCs w:val="24"/>
                <w:highlight w:val="none"/>
                <w:lang w:eastAsia="zh-CN"/>
              </w:rPr>
            </w:pPr>
            <w:r>
              <w:rPr>
                <w:rFonts w:hint="eastAsia" w:hAnsi="宋体" w:cs="宋体"/>
                <w:szCs w:val="24"/>
                <w:highlight w:val="none"/>
                <w:lang w:val="en-US" w:eastAsia="zh-CN"/>
              </w:rPr>
              <w:t>交货期</w:t>
            </w:r>
          </w:p>
        </w:tc>
        <w:tc>
          <w:tcPr>
            <w:tcW w:w="2077" w:type="dxa"/>
            <w:vAlign w:val="center"/>
          </w:tcPr>
          <w:p w14:paraId="0052604C">
            <w:pPr>
              <w:pStyle w:val="10"/>
              <w:jc w:val="center"/>
              <w:rPr>
                <w:rFonts w:hint="default" w:ascii="宋体" w:hAnsi="宋体" w:eastAsia="宋体" w:cs="宋体"/>
                <w:highlight w:val="none"/>
                <w:lang w:val="en-US" w:eastAsia="zh-CN"/>
              </w:rPr>
            </w:pPr>
            <w:r>
              <w:rPr>
                <w:rFonts w:hint="eastAsia" w:ascii="宋体" w:hAnsi="宋体" w:eastAsia="宋体" w:cs="宋体"/>
                <w:kern w:val="0"/>
                <w:sz w:val="24"/>
                <w:szCs w:val="24"/>
                <w:highlight w:val="none"/>
                <w:lang w:val="en-US" w:eastAsia="zh-CN" w:bidi="ar-SA"/>
              </w:rPr>
              <w:t>质保期</w:t>
            </w:r>
          </w:p>
        </w:tc>
        <w:tc>
          <w:tcPr>
            <w:tcW w:w="1916" w:type="dxa"/>
            <w:vAlign w:val="center"/>
          </w:tcPr>
          <w:p w14:paraId="43BF61B1">
            <w:pPr>
              <w:jc w:val="center"/>
              <w:rPr>
                <w:rFonts w:hAnsi="宋体" w:cs="宋体"/>
                <w:szCs w:val="24"/>
                <w:highlight w:val="none"/>
              </w:rPr>
            </w:pPr>
            <w:r>
              <w:rPr>
                <w:rFonts w:hint="eastAsia" w:hAnsi="宋体" w:cs="宋体"/>
                <w:szCs w:val="24"/>
                <w:highlight w:val="none"/>
              </w:rPr>
              <w:t>备注</w:t>
            </w:r>
          </w:p>
        </w:tc>
      </w:tr>
      <w:tr w14:paraId="69D7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3055" w:type="dxa"/>
            <w:vAlign w:val="center"/>
          </w:tcPr>
          <w:p w14:paraId="42E7DC79">
            <w:pPr>
              <w:jc w:val="center"/>
              <w:rPr>
                <w:rFonts w:hAnsi="宋体" w:cs="宋体"/>
                <w:szCs w:val="24"/>
                <w:highlight w:val="none"/>
              </w:rPr>
            </w:pPr>
          </w:p>
        </w:tc>
        <w:tc>
          <w:tcPr>
            <w:tcW w:w="2402" w:type="dxa"/>
            <w:vAlign w:val="center"/>
          </w:tcPr>
          <w:p w14:paraId="37E8CC3C">
            <w:pPr>
              <w:jc w:val="center"/>
              <w:rPr>
                <w:rFonts w:hAnsi="宋体" w:cs="宋体"/>
                <w:szCs w:val="24"/>
                <w:highlight w:val="none"/>
              </w:rPr>
            </w:pPr>
          </w:p>
        </w:tc>
        <w:tc>
          <w:tcPr>
            <w:tcW w:w="2077" w:type="dxa"/>
            <w:vAlign w:val="center"/>
          </w:tcPr>
          <w:p w14:paraId="4B94A16F">
            <w:pPr>
              <w:jc w:val="center"/>
              <w:rPr>
                <w:rFonts w:hAnsi="宋体" w:cs="宋体"/>
                <w:szCs w:val="24"/>
                <w:highlight w:val="none"/>
              </w:rPr>
            </w:pPr>
          </w:p>
        </w:tc>
        <w:tc>
          <w:tcPr>
            <w:tcW w:w="1916" w:type="dxa"/>
            <w:vAlign w:val="center"/>
          </w:tcPr>
          <w:p w14:paraId="6BD0230E">
            <w:pPr>
              <w:jc w:val="center"/>
              <w:rPr>
                <w:rFonts w:hAnsi="宋体" w:cs="宋体"/>
                <w:szCs w:val="24"/>
                <w:highlight w:val="none"/>
              </w:rPr>
            </w:pPr>
          </w:p>
        </w:tc>
      </w:tr>
      <w:tr w14:paraId="4579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9450" w:type="dxa"/>
            <w:gridSpan w:val="4"/>
            <w:vAlign w:val="center"/>
          </w:tcPr>
          <w:p w14:paraId="3F899B63">
            <w:pPr>
              <w:jc w:val="center"/>
              <w:rPr>
                <w:rFonts w:hAnsi="宋体" w:cs="宋体"/>
                <w:szCs w:val="24"/>
                <w:highlight w:val="none"/>
              </w:rPr>
            </w:pPr>
            <w:r>
              <w:rPr>
                <w:rFonts w:hint="eastAsia" w:hAnsi="宋体" w:cs="宋体"/>
                <w:szCs w:val="24"/>
                <w:highlight w:val="none"/>
              </w:rPr>
              <w:t>磋商报价（大写）：                             （小写：￥       ）</w:t>
            </w:r>
          </w:p>
        </w:tc>
      </w:tr>
      <w:tr w14:paraId="7005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450" w:type="dxa"/>
            <w:gridSpan w:val="4"/>
            <w:vAlign w:val="center"/>
          </w:tcPr>
          <w:p w14:paraId="5B173932">
            <w:pPr>
              <w:rPr>
                <w:rFonts w:hAnsi="宋体" w:cs="宋体"/>
                <w:szCs w:val="24"/>
                <w:highlight w:val="none"/>
              </w:rPr>
            </w:pPr>
            <w:r>
              <w:rPr>
                <w:rFonts w:hint="eastAsia" w:hAnsi="宋体" w:cs="宋体"/>
                <w:szCs w:val="24"/>
                <w:highlight w:val="none"/>
              </w:rPr>
              <w:t>备注：表内报价内容以元为单位，保留小数点后（</w:t>
            </w:r>
            <w:r>
              <w:rPr>
                <w:rFonts w:hint="eastAsia" w:hAnsi="宋体" w:cs="宋体"/>
                <w:b/>
                <w:szCs w:val="24"/>
                <w:highlight w:val="none"/>
              </w:rPr>
              <w:t>两位</w:t>
            </w:r>
            <w:r>
              <w:rPr>
                <w:rFonts w:hint="eastAsia" w:hAnsi="宋体" w:cs="宋体"/>
                <w:szCs w:val="24"/>
                <w:highlight w:val="none"/>
              </w:rPr>
              <w:t>）。</w:t>
            </w:r>
          </w:p>
        </w:tc>
      </w:tr>
    </w:tbl>
    <w:p w14:paraId="2A63975A">
      <w:pPr>
        <w:rPr>
          <w:rFonts w:hAnsi="宋体" w:cs="宋体"/>
          <w:szCs w:val="24"/>
          <w:highlight w:val="none"/>
        </w:rPr>
      </w:pPr>
    </w:p>
    <w:p w14:paraId="32DFE40E">
      <w:pPr>
        <w:rPr>
          <w:rFonts w:hAnsi="宋体" w:cs="宋体"/>
          <w:szCs w:val="24"/>
          <w:highlight w:val="none"/>
        </w:rPr>
      </w:pPr>
    </w:p>
    <w:p w14:paraId="7881F13F">
      <w:pPr>
        <w:rPr>
          <w:rFonts w:hAnsi="宋体" w:cs="宋体"/>
          <w:szCs w:val="24"/>
          <w:highlight w:val="none"/>
        </w:rPr>
      </w:pPr>
    </w:p>
    <w:p w14:paraId="0BD58530">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54946E55">
      <w:pPr>
        <w:spacing w:line="280" w:lineRule="exact"/>
        <w:ind w:right="617" w:rightChars="257"/>
        <w:jc w:val="left"/>
        <w:rPr>
          <w:rFonts w:hint="eastAsia" w:hAnsi="宋体" w:cs="宋体"/>
          <w:szCs w:val="24"/>
          <w:highlight w:val="none"/>
        </w:rPr>
      </w:pPr>
    </w:p>
    <w:p w14:paraId="14ED4459">
      <w:pPr>
        <w:spacing w:line="280" w:lineRule="exact"/>
        <w:ind w:right="617" w:rightChars="257"/>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1FDC2716">
      <w:pPr>
        <w:spacing w:line="280" w:lineRule="exact"/>
        <w:ind w:right="617" w:rightChars="257"/>
        <w:jc w:val="left"/>
        <w:rPr>
          <w:rFonts w:hAnsi="宋体" w:cs="宋体"/>
          <w:szCs w:val="24"/>
          <w:highlight w:val="none"/>
        </w:rPr>
      </w:pPr>
    </w:p>
    <w:p w14:paraId="27A7D856">
      <w:pPr>
        <w:spacing w:line="280" w:lineRule="exact"/>
        <w:ind w:right="617" w:rightChars="257"/>
        <w:rPr>
          <w:rFonts w:hAnsi="宋体" w:cs="宋体"/>
          <w:szCs w:val="24"/>
          <w:highlight w:val="none"/>
        </w:rPr>
      </w:pPr>
      <w:r>
        <w:rPr>
          <w:rFonts w:hint="eastAsia" w:hAnsi="宋体" w:cs="宋体"/>
          <w:szCs w:val="24"/>
          <w:highlight w:val="none"/>
        </w:rPr>
        <w:t>日    期：</w:t>
      </w:r>
    </w:p>
    <w:p w14:paraId="1ED281BD">
      <w:pPr>
        <w:jc w:val="center"/>
        <w:rPr>
          <w:rFonts w:hAnsi="宋体" w:cs="宋体"/>
          <w:szCs w:val="24"/>
          <w:highlight w:val="none"/>
        </w:rPr>
      </w:pPr>
    </w:p>
    <w:p w14:paraId="14951010">
      <w:pPr>
        <w:spacing w:before="156" w:beforeLines="50" w:after="156" w:afterLines="50" w:line="400" w:lineRule="atLeast"/>
        <w:rPr>
          <w:rFonts w:hAnsi="宋体" w:cs="宋体"/>
          <w:szCs w:val="24"/>
          <w:highlight w:val="none"/>
          <w:u w:val="single"/>
        </w:rPr>
      </w:pPr>
      <w:r>
        <w:rPr>
          <w:rFonts w:hint="eastAsia" w:hAnsi="宋体" w:cs="宋体"/>
          <w:szCs w:val="24"/>
          <w:highlight w:val="none"/>
        </w:rPr>
        <w:t>注：本表应按“供应商须知”的规定密封单独提交。若有折扣声明，请与本表一并装订和密封。严格按照表格格式报价。</w:t>
      </w:r>
    </w:p>
    <w:p w14:paraId="5A0F25B0">
      <w:pPr>
        <w:jc w:val="center"/>
        <w:rPr>
          <w:rFonts w:hAnsi="宋体" w:cs="宋体"/>
          <w:b/>
          <w:sz w:val="30"/>
          <w:szCs w:val="30"/>
          <w:highlight w:val="none"/>
        </w:rPr>
      </w:pPr>
    </w:p>
    <w:p w14:paraId="188861BE">
      <w:pPr>
        <w:jc w:val="center"/>
        <w:outlineLvl w:val="1"/>
        <w:rPr>
          <w:rFonts w:hAnsi="宋体" w:cs="宋体"/>
          <w:b/>
          <w:sz w:val="30"/>
          <w:szCs w:val="30"/>
          <w:highlight w:val="none"/>
        </w:rPr>
      </w:pPr>
      <w:r>
        <w:rPr>
          <w:rFonts w:hint="eastAsia" w:hAnsi="宋体" w:cs="宋体"/>
          <w:b/>
          <w:sz w:val="30"/>
          <w:szCs w:val="30"/>
          <w:highlight w:val="none"/>
        </w:rPr>
        <w:br w:type="page"/>
      </w:r>
      <w:bookmarkStart w:id="131" w:name="_Toc8017"/>
      <w:bookmarkStart w:id="132" w:name="_Toc11197"/>
      <w:bookmarkStart w:id="133" w:name="_Toc9760"/>
      <w:bookmarkStart w:id="134" w:name="_Toc9220"/>
      <w:r>
        <w:rPr>
          <w:rFonts w:hint="eastAsia" w:hAnsi="宋体" w:cs="宋体"/>
          <w:b/>
          <w:sz w:val="30"/>
          <w:szCs w:val="30"/>
          <w:highlight w:val="none"/>
        </w:rPr>
        <w:t>2.2分项报价表</w:t>
      </w:r>
      <w:bookmarkEnd w:id="131"/>
      <w:bookmarkEnd w:id="132"/>
      <w:bookmarkEnd w:id="133"/>
      <w:bookmarkEnd w:id="134"/>
    </w:p>
    <w:p w14:paraId="44672CD5">
      <w:pPr>
        <w:pStyle w:val="10"/>
        <w:jc w:val="center"/>
        <w:rPr>
          <w:rFonts w:ascii="宋体" w:hAnsi="宋体" w:cs="宋体"/>
          <w:bCs/>
          <w:sz w:val="24"/>
          <w:szCs w:val="24"/>
          <w:highlight w:val="none"/>
        </w:rPr>
      </w:pPr>
    </w:p>
    <w:p w14:paraId="38A54938">
      <w:pPr>
        <w:spacing w:before="239" w:line="219" w:lineRule="auto"/>
        <w:ind w:left="3995"/>
        <w:rPr>
          <w:rFonts w:ascii="宋体" w:hAnsi="宋体" w:eastAsia="宋体" w:cs="宋体"/>
          <w:sz w:val="28"/>
          <w:szCs w:val="28"/>
          <w:highlight w:val="none"/>
        </w:rPr>
      </w:pPr>
      <w:r>
        <w:rPr>
          <w:rFonts w:ascii="宋体" w:hAnsi="宋体" w:eastAsia="宋体" w:cs="宋体"/>
          <w:b/>
          <w:bCs/>
          <w:spacing w:val="-7"/>
          <w:sz w:val="28"/>
          <w:szCs w:val="28"/>
          <w:highlight w:val="none"/>
        </w:rPr>
        <w:t>2.2</w:t>
      </w:r>
      <w:r>
        <w:rPr>
          <w:rFonts w:ascii="宋体" w:hAnsi="宋体" w:eastAsia="宋体" w:cs="宋体"/>
          <w:spacing w:val="-50"/>
          <w:sz w:val="28"/>
          <w:szCs w:val="28"/>
          <w:highlight w:val="none"/>
        </w:rPr>
        <w:t xml:space="preserve"> </w:t>
      </w:r>
      <w:r>
        <w:rPr>
          <w:rFonts w:ascii="宋体" w:hAnsi="宋体" w:eastAsia="宋体" w:cs="宋体"/>
          <w:b/>
          <w:bCs/>
          <w:spacing w:val="-7"/>
          <w:sz w:val="28"/>
          <w:szCs w:val="28"/>
          <w:highlight w:val="none"/>
        </w:rPr>
        <w:t>分项报价</w:t>
      </w:r>
    </w:p>
    <w:p w14:paraId="5074C7F5">
      <w:pPr>
        <w:spacing w:before="190"/>
        <w:rPr>
          <w:highlight w:val="none"/>
        </w:rPr>
      </w:pPr>
    </w:p>
    <w:tbl>
      <w:tblPr>
        <w:tblStyle w:val="38"/>
        <w:tblW w:w="95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
        <w:gridCol w:w="535"/>
        <w:gridCol w:w="796"/>
        <w:gridCol w:w="722"/>
        <w:gridCol w:w="452"/>
        <w:gridCol w:w="397"/>
        <w:gridCol w:w="1804"/>
        <w:gridCol w:w="959"/>
        <w:gridCol w:w="876"/>
        <w:gridCol w:w="1139"/>
        <w:gridCol w:w="1011"/>
      </w:tblGrid>
      <w:tr w14:paraId="53037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881" w:type="dxa"/>
            <w:vMerge w:val="restart"/>
            <w:tcBorders>
              <w:bottom w:val="nil"/>
              <w:right w:val="single" w:color="000000" w:sz="2" w:space="0"/>
            </w:tcBorders>
            <w:textDirection w:val="tbRlV"/>
            <w:vAlign w:val="top"/>
          </w:tcPr>
          <w:p w14:paraId="1F4EFCB6">
            <w:pPr>
              <w:spacing w:line="278" w:lineRule="auto"/>
              <w:rPr>
                <w:rFonts w:ascii="Arial"/>
                <w:sz w:val="21"/>
                <w:highlight w:val="none"/>
              </w:rPr>
            </w:pPr>
          </w:p>
          <w:p w14:paraId="5D485E61">
            <w:pPr>
              <w:pStyle w:val="40"/>
              <w:spacing w:before="80" w:line="208" w:lineRule="auto"/>
              <w:ind w:left="1349"/>
              <w:rPr>
                <w:highlight w:val="none"/>
              </w:rPr>
            </w:pPr>
            <w:r>
              <w:rPr>
                <w:spacing w:val="-1"/>
                <w:highlight w:val="none"/>
              </w:rPr>
              <w:t>产</w:t>
            </w:r>
            <w:r>
              <w:rPr>
                <w:spacing w:val="8"/>
                <w:highlight w:val="none"/>
              </w:rPr>
              <w:t xml:space="preserve">   </w:t>
            </w:r>
            <w:r>
              <w:rPr>
                <w:spacing w:val="-1"/>
                <w:highlight w:val="none"/>
              </w:rPr>
              <w:t>品</w:t>
            </w:r>
            <w:r>
              <w:rPr>
                <w:spacing w:val="8"/>
                <w:highlight w:val="none"/>
              </w:rPr>
              <w:t xml:space="preserve">   </w:t>
            </w:r>
            <w:r>
              <w:rPr>
                <w:spacing w:val="-1"/>
                <w:highlight w:val="none"/>
              </w:rPr>
              <w:t>费</w:t>
            </w:r>
            <w:r>
              <w:rPr>
                <w:spacing w:val="8"/>
                <w:highlight w:val="none"/>
              </w:rPr>
              <w:t xml:space="preserve">   </w:t>
            </w:r>
            <w:r>
              <w:rPr>
                <w:spacing w:val="-1"/>
                <w:highlight w:val="none"/>
              </w:rPr>
              <w:t>用</w:t>
            </w:r>
          </w:p>
        </w:tc>
        <w:tc>
          <w:tcPr>
            <w:tcW w:w="535" w:type="dxa"/>
            <w:tcBorders>
              <w:left w:val="single" w:color="000000" w:sz="2" w:space="0"/>
            </w:tcBorders>
            <w:vAlign w:val="top"/>
          </w:tcPr>
          <w:p w14:paraId="6500CAC5">
            <w:pPr>
              <w:pStyle w:val="40"/>
              <w:spacing w:before="276" w:line="221" w:lineRule="auto"/>
              <w:ind w:left="29"/>
              <w:rPr>
                <w:highlight w:val="none"/>
              </w:rPr>
            </w:pPr>
            <w:r>
              <w:rPr>
                <w:spacing w:val="-5"/>
                <w:highlight w:val="none"/>
              </w:rPr>
              <w:t>序号</w:t>
            </w:r>
          </w:p>
        </w:tc>
        <w:tc>
          <w:tcPr>
            <w:tcW w:w="796" w:type="dxa"/>
            <w:vAlign w:val="top"/>
          </w:tcPr>
          <w:p w14:paraId="78B38C9C">
            <w:pPr>
              <w:pStyle w:val="40"/>
              <w:spacing w:before="277" w:line="221" w:lineRule="auto"/>
              <w:ind w:left="162"/>
              <w:rPr>
                <w:highlight w:val="none"/>
              </w:rPr>
            </w:pPr>
            <w:r>
              <w:rPr>
                <w:spacing w:val="-7"/>
                <w:highlight w:val="none"/>
              </w:rPr>
              <w:t>名称</w:t>
            </w:r>
          </w:p>
        </w:tc>
        <w:tc>
          <w:tcPr>
            <w:tcW w:w="722" w:type="dxa"/>
            <w:tcBorders>
              <w:right w:val="single" w:color="000000" w:sz="2" w:space="0"/>
            </w:tcBorders>
            <w:vAlign w:val="top"/>
          </w:tcPr>
          <w:p w14:paraId="25A7D73E">
            <w:pPr>
              <w:pStyle w:val="40"/>
              <w:spacing w:before="277" w:line="219" w:lineRule="auto"/>
              <w:ind w:left="142"/>
              <w:rPr>
                <w:highlight w:val="none"/>
              </w:rPr>
            </w:pPr>
            <w:r>
              <w:rPr>
                <w:spacing w:val="-15"/>
                <w:highlight w:val="none"/>
              </w:rPr>
              <w:t>品牌</w:t>
            </w:r>
          </w:p>
        </w:tc>
        <w:tc>
          <w:tcPr>
            <w:tcW w:w="849" w:type="dxa"/>
            <w:gridSpan w:val="2"/>
            <w:tcBorders>
              <w:left w:val="single" w:color="000000" w:sz="2" w:space="0"/>
            </w:tcBorders>
            <w:vAlign w:val="top"/>
          </w:tcPr>
          <w:p w14:paraId="388EBFC1">
            <w:pPr>
              <w:pStyle w:val="40"/>
              <w:spacing w:before="119" w:line="230" w:lineRule="auto"/>
              <w:ind w:left="190" w:right="100" w:hanging="113"/>
              <w:rPr>
                <w:highlight w:val="none"/>
              </w:rPr>
            </w:pPr>
            <w:r>
              <w:rPr>
                <w:spacing w:val="-19"/>
                <w:highlight w:val="none"/>
              </w:rPr>
              <w:t>型号、</w:t>
            </w:r>
            <w:r>
              <w:rPr>
                <w:highlight w:val="none"/>
              </w:rPr>
              <w:t xml:space="preserve"> </w:t>
            </w:r>
            <w:r>
              <w:rPr>
                <w:spacing w:val="-6"/>
                <w:highlight w:val="none"/>
              </w:rPr>
              <w:t>规格</w:t>
            </w:r>
          </w:p>
        </w:tc>
        <w:tc>
          <w:tcPr>
            <w:tcW w:w="1804" w:type="dxa"/>
            <w:vAlign w:val="top"/>
          </w:tcPr>
          <w:p w14:paraId="3F1C6069">
            <w:pPr>
              <w:pStyle w:val="40"/>
              <w:spacing w:before="198" w:line="231" w:lineRule="auto"/>
              <w:ind w:left="788" w:right="57" w:hanging="717"/>
              <w:rPr>
                <w:highlight w:val="none"/>
              </w:rPr>
            </w:pPr>
            <w:r>
              <w:rPr>
                <w:spacing w:val="-3"/>
                <w:highlight w:val="none"/>
              </w:rPr>
              <w:t>原产地及制造厂</w:t>
            </w:r>
            <w:r>
              <w:rPr>
                <w:spacing w:val="4"/>
                <w:highlight w:val="none"/>
              </w:rPr>
              <w:t xml:space="preserve"> </w:t>
            </w:r>
            <w:r>
              <w:rPr>
                <w:highlight w:val="none"/>
              </w:rPr>
              <w:t>名</w:t>
            </w:r>
          </w:p>
        </w:tc>
        <w:tc>
          <w:tcPr>
            <w:tcW w:w="959" w:type="dxa"/>
            <w:vAlign w:val="top"/>
          </w:tcPr>
          <w:p w14:paraId="62ED87D5">
            <w:pPr>
              <w:pStyle w:val="40"/>
              <w:spacing w:before="277" w:line="219" w:lineRule="auto"/>
              <w:ind w:left="248"/>
              <w:rPr>
                <w:highlight w:val="none"/>
              </w:rPr>
            </w:pPr>
            <w:r>
              <w:rPr>
                <w:spacing w:val="-6"/>
                <w:highlight w:val="none"/>
              </w:rPr>
              <w:t>数量</w:t>
            </w:r>
          </w:p>
        </w:tc>
        <w:tc>
          <w:tcPr>
            <w:tcW w:w="876" w:type="dxa"/>
            <w:vAlign w:val="top"/>
          </w:tcPr>
          <w:p w14:paraId="63D3B857">
            <w:pPr>
              <w:pStyle w:val="40"/>
              <w:spacing w:before="276" w:line="220" w:lineRule="auto"/>
              <w:ind w:left="206"/>
              <w:rPr>
                <w:highlight w:val="none"/>
              </w:rPr>
            </w:pPr>
            <w:r>
              <w:rPr>
                <w:spacing w:val="-6"/>
                <w:highlight w:val="none"/>
              </w:rPr>
              <w:t>单位</w:t>
            </w:r>
          </w:p>
        </w:tc>
        <w:tc>
          <w:tcPr>
            <w:tcW w:w="1139" w:type="dxa"/>
            <w:vAlign w:val="top"/>
          </w:tcPr>
          <w:p w14:paraId="10FB0605">
            <w:pPr>
              <w:pStyle w:val="40"/>
              <w:spacing w:before="61" w:line="319" w:lineRule="auto"/>
              <w:ind w:left="227" w:right="222" w:firstLine="110"/>
              <w:rPr>
                <w:highlight w:val="none"/>
              </w:rPr>
            </w:pPr>
            <w:r>
              <w:rPr>
                <w:spacing w:val="-6"/>
                <w:highlight w:val="none"/>
              </w:rPr>
              <w:t>单价</w:t>
            </w:r>
            <w:r>
              <w:rPr>
                <w:highlight w:val="none"/>
              </w:rPr>
              <w:t xml:space="preserve"> </w:t>
            </w:r>
            <w:r>
              <w:rPr>
                <w:spacing w:val="-14"/>
                <w:highlight w:val="none"/>
              </w:rPr>
              <w:t>（元）</w:t>
            </w:r>
          </w:p>
        </w:tc>
        <w:tc>
          <w:tcPr>
            <w:tcW w:w="1011" w:type="dxa"/>
            <w:vAlign w:val="top"/>
          </w:tcPr>
          <w:p w14:paraId="49A5690E">
            <w:pPr>
              <w:pStyle w:val="40"/>
              <w:spacing w:before="61" w:line="319" w:lineRule="auto"/>
              <w:ind w:left="161" w:right="161" w:firstLine="115"/>
              <w:rPr>
                <w:highlight w:val="none"/>
              </w:rPr>
            </w:pPr>
            <w:r>
              <w:rPr>
                <w:spacing w:val="-8"/>
                <w:highlight w:val="none"/>
              </w:rPr>
              <w:t>总价</w:t>
            </w:r>
            <w:r>
              <w:rPr>
                <w:highlight w:val="none"/>
              </w:rPr>
              <w:t xml:space="preserve"> </w:t>
            </w:r>
            <w:r>
              <w:rPr>
                <w:spacing w:val="-14"/>
                <w:highlight w:val="none"/>
              </w:rPr>
              <w:t>（元）</w:t>
            </w:r>
          </w:p>
        </w:tc>
      </w:tr>
      <w:tr w14:paraId="705FD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881" w:type="dxa"/>
            <w:vMerge w:val="continue"/>
            <w:tcBorders>
              <w:top w:val="nil"/>
              <w:bottom w:val="nil"/>
              <w:right w:val="single" w:color="000000" w:sz="2" w:space="0"/>
            </w:tcBorders>
            <w:textDirection w:val="tbRlV"/>
            <w:vAlign w:val="top"/>
          </w:tcPr>
          <w:p w14:paraId="74F5EFF2">
            <w:pPr>
              <w:rPr>
                <w:rFonts w:ascii="Arial"/>
                <w:sz w:val="21"/>
                <w:highlight w:val="none"/>
              </w:rPr>
            </w:pPr>
          </w:p>
        </w:tc>
        <w:tc>
          <w:tcPr>
            <w:tcW w:w="535" w:type="dxa"/>
            <w:tcBorders>
              <w:left w:val="single" w:color="000000" w:sz="2" w:space="0"/>
              <w:bottom w:val="single" w:color="000000" w:sz="2" w:space="0"/>
            </w:tcBorders>
            <w:vAlign w:val="top"/>
          </w:tcPr>
          <w:p w14:paraId="1E7A2411">
            <w:pPr>
              <w:spacing w:line="305" w:lineRule="auto"/>
              <w:rPr>
                <w:rFonts w:ascii="Arial"/>
                <w:sz w:val="21"/>
                <w:highlight w:val="none"/>
              </w:rPr>
            </w:pPr>
          </w:p>
          <w:p w14:paraId="7B15AD59">
            <w:pPr>
              <w:pStyle w:val="40"/>
              <w:spacing w:before="78" w:line="177" w:lineRule="auto"/>
              <w:ind w:left="228"/>
              <w:rPr>
                <w:highlight w:val="none"/>
              </w:rPr>
            </w:pPr>
            <w:r>
              <w:rPr>
                <w:highlight w:val="none"/>
              </w:rPr>
              <w:t>1</w:t>
            </w:r>
          </w:p>
        </w:tc>
        <w:tc>
          <w:tcPr>
            <w:tcW w:w="796" w:type="dxa"/>
            <w:tcBorders>
              <w:bottom w:val="single" w:color="000000" w:sz="2" w:space="0"/>
            </w:tcBorders>
            <w:vAlign w:val="top"/>
          </w:tcPr>
          <w:p w14:paraId="7B3D8FC1">
            <w:pPr>
              <w:rPr>
                <w:rFonts w:ascii="Arial"/>
                <w:sz w:val="21"/>
                <w:highlight w:val="none"/>
              </w:rPr>
            </w:pPr>
          </w:p>
        </w:tc>
        <w:tc>
          <w:tcPr>
            <w:tcW w:w="722" w:type="dxa"/>
            <w:tcBorders>
              <w:bottom w:val="single" w:color="000000" w:sz="2" w:space="0"/>
              <w:right w:val="single" w:color="000000" w:sz="2" w:space="0"/>
            </w:tcBorders>
            <w:vAlign w:val="top"/>
          </w:tcPr>
          <w:p w14:paraId="7CEDE185">
            <w:pPr>
              <w:rPr>
                <w:rFonts w:ascii="Arial"/>
                <w:sz w:val="21"/>
                <w:highlight w:val="none"/>
              </w:rPr>
            </w:pPr>
          </w:p>
        </w:tc>
        <w:tc>
          <w:tcPr>
            <w:tcW w:w="849" w:type="dxa"/>
            <w:gridSpan w:val="2"/>
            <w:tcBorders>
              <w:left w:val="single" w:color="000000" w:sz="2" w:space="0"/>
              <w:bottom w:val="single" w:color="000000" w:sz="2" w:space="0"/>
            </w:tcBorders>
            <w:vAlign w:val="top"/>
          </w:tcPr>
          <w:p w14:paraId="7AFCDC5B">
            <w:pPr>
              <w:rPr>
                <w:rFonts w:ascii="Arial"/>
                <w:sz w:val="21"/>
                <w:highlight w:val="none"/>
              </w:rPr>
            </w:pPr>
          </w:p>
        </w:tc>
        <w:tc>
          <w:tcPr>
            <w:tcW w:w="1804" w:type="dxa"/>
            <w:tcBorders>
              <w:bottom w:val="single" w:color="000000" w:sz="2" w:space="0"/>
            </w:tcBorders>
            <w:vAlign w:val="top"/>
          </w:tcPr>
          <w:p w14:paraId="111D9795">
            <w:pPr>
              <w:rPr>
                <w:rFonts w:ascii="Arial"/>
                <w:sz w:val="21"/>
                <w:highlight w:val="none"/>
              </w:rPr>
            </w:pPr>
          </w:p>
        </w:tc>
        <w:tc>
          <w:tcPr>
            <w:tcW w:w="959" w:type="dxa"/>
            <w:tcBorders>
              <w:bottom w:val="single" w:color="000000" w:sz="2" w:space="0"/>
            </w:tcBorders>
            <w:vAlign w:val="top"/>
          </w:tcPr>
          <w:p w14:paraId="139D71E6">
            <w:pPr>
              <w:rPr>
                <w:rFonts w:ascii="Arial"/>
                <w:sz w:val="21"/>
                <w:highlight w:val="none"/>
              </w:rPr>
            </w:pPr>
          </w:p>
        </w:tc>
        <w:tc>
          <w:tcPr>
            <w:tcW w:w="876" w:type="dxa"/>
            <w:tcBorders>
              <w:bottom w:val="single" w:color="000000" w:sz="2" w:space="0"/>
            </w:tcBorders>
            <w:vAlign w:val="top"/>
          </w:tcPr>
          <w:p w14:paraId="44CB74A7">
            <w:pPr>
              <w:rPr>
                <w:rFonts w:ascii="Arial"/>
                <w:sz w:val="21"/>
                <w:highlight w:val="none"/>
              </w:rPr>
            </w:pPr>
          </w:p>
        </w:tc>
        <w:tc>
          <w:tcPr>
            <w:tcW w:w="1139" w:type="dxa"/>
            <w:tcBorders>
              <w:bottom w:val="single" w:color="000000" w:sz="2" w:space="0"/>
            </w:tcBorders>
            <w:vAlign w:val="top"/>
          </w:tcPr>
          <w:p w14:paraId="7791B8A1">
            <w:pPr>
              <w:rPr>
                <w:rFonts w:ascii="Arial"/>
                <w:sz w:val="21"/>
                <w:highlight w:val="none"/>
              </w:rPr>
            </w:pPr>
          </w:p>
        </w:tc>
        <w:tc>
          <w:tcPr>
            <w:tcW w:w="1011" w:type="dxa"/>
            <w:tcBorders>
              <w:bottom w:val="single" w:color="000000" w:sz="2" w:space="0"/>
            </w:tcBorders>
            <w:vAlign w:val="top"/>
          </w:tcPr>
          <w:p w14:paraId="36084BFC">
            <w:pPr>
              <w:rPr>
                <w:rFonts w:ascii="Arial"/>
                <w:sz w:val="21"/>
                <w:highlight w:val="none"/>
              </w:rPr>
            </w:pPr>
          </w:p>
        </w:tc>
      </w:tr>
      <w:tr w14:paraId="075D3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881" w:type="dxa"/>
            <w:vMerge w:val="continue"/>
            <w:tcBorders>
              <w:top w:val="nil"/>
              <w:bottom w:val="nil"/>
              <w:right w:val="single" w:color="000000" w:sz="2" w:space="0"/>
            </w:tcBorders>
            <w:textDirection w:val="tbRlV"/>
            <w:vAlign w:val="top"/>
          </w:tcPr>
          <w:p w14:paraId="454F9AE4">
            <w:pPr>
              <w:rPr>
                <w:rFonts w:ascii="Arial"/>
                <w:sz w:val="21"/>
                <w:highlight w:val="none"/>
              </w:rPr>
            </w:pPr>
          </w:p>
        </w:tc>
        <w:tc>
          <w:tcPr>
            <w:tcW w:w="535" w:type="dxa"/>
            <w:tcBorders>
              <w:top w:val="single" w:color="000000" w:sz="2" w:space="0"/>
              <w:left w:val="single" w:color="000000" w:sz="2" w:space="0"/>
            </w:tcBorders>
            <w:vAlign w:val="top"/>
          </w:tcPr>
          <w:p w14:paraId="453F0E80">
            <w:pPr>
              <w:spacing w:line="352" w:lineRule="auto"/>
              <w:rPr>
                <w:rFonts w:ascii="Arial"/>
                <w:sz w:val="21"/>
                <w:highlight w:val="none"/>
              </w:rPr>
            </w:pPr>
          </w:p>
          <w:p w14:paraId="3D303AC7">
            <w:pPr>
              <w:pStyle w:val="40"/>
              <w:spacing w:before="78" w:line="183" w:lineRule="auto"/>
              <w:ind w:left="213"/>
              <w:rPr>
                <w:highlight w:val="none"/>
              </w:rPr>
            </w:pPr>
            <w:r>
              <w:rPr>
                <w:highlight w:val="none"/>
              </w:rPr>
              <w:t>2</w:t>
            </w:r>
          </w:p>
        </w:tc>
        <w:tc>
          <w:tcPr>
            <w:tcW w:w="796" w:type="dxa"/>
            <w:tcBorders>
              <w:top w:val="single" w:color="000000" w:sz="2" w:space="0"/>
            </w:tcBorders>
            <w:vAlign w:val="top"/>
          </w:tcPr>
          <w:p w14:paraId="226CA72C">
            <w:pPr>
              <w:rPr>
                <w:rFonts w:ascii="Arial"/>
                <w:sz w:val="21"/>
                <w:highlight w:val="none"/>
              </w:rPr>
            </w:pPr>
          </w:p>
        </w:tc>
        <w:tc>
          <w:tcPr>
            <w:tcW w:w="722" w:type="dxa"/>
            <w:tcBorders>
              <w:top w:val="single" w:color="000000" w:sz="2" w:space="0"/>
              <w:right w:val="single" w:color="000000" w:sz="2" w:space="0"/>
            </w:tcBorders>
            <w:vAlign w:val="top"/>
          </w:tcPr>
          <w:p w14:paraId="4A56F16F">
            <w:pPr>
              <w:rPr>
                <w:rFonts w:ascii="Arial"/>
                <w:sz w:val="21"/>
                <w:highlight w:val="none"/>
              </w:rPr>
            </w:pPr>
          </w:p>
        </w:tc>
        <w:tc>
          <w:tcPr>
            <w:tcW w:w="849" w:type="dxa"/>
            <w:gridSpan w:val="2"/>
            <w:tcBorders>
              <w:top w:val="single" w:color="000000" w:sz="2" w:space="0"/>
              <w:left w:val="single" w:color="000000" w:sz="2" w:space="0"/>
            </w:tcBorders>
            <w:vAlign w:val="top"/>
          </w:tcPr>
          <w:p w14:paraId="73F00D8C">
            <w:pPr>
              <w:rPr>
                <w:rFonts w:ascii="Arial"/>
                <w:sz w:val="21"/>
                <w:highlight w:val="none"/>
              </w:rPr>
            </w:pPr>
          </w:p>
        </w:tc>
        <w:tc>
          <w:tcPr>
            <w:tcW w:w="1804" w:type="dxa"/>
            <w:tcBorders>
              <w:top w:val="single" w:color="000000" w:sz="2" w:space="0"/>
            </w:tcBorders>
            <w:vAlign w:val="top"/>
          </w:tcPr>
          <w:p w14:paraId="55ADF61D">
            <w:pPr>
              <w:rPr>
                <w:rFonts w:ascii="Arial"/>
                <w:sz w:val="21"/>
                <w:highlight w:val="none"/>
              </w:rPr>
            </w:pPr>
          </w:p>
        </w:tc>
        <w:tc>
          <w:tcPr>
            <w:tcW w:w="959" w:type="dxa"/>
            <w:tcBorders>
              <w:top w:val="single" w:color="000000" w:sz="2" w:space="0"/>
            </w:tcBorders>
            <w:vAlign w:val="top"/>
          </w:tcPr>
          <w:p w14:paraId="1B7C4851">
            <w:pPr>
              <w:rPr>
                <w:rFonts w:ascii="Arial"/>
                <w:sz w:val="21"/>
                <w:highlight w:val="none"/>
              </w:rPr>
            </w:pPr>
          </w:p>
        </w:tc>
        <w:tc>
          <w:tcPr>
            <w:tcW w:w="876" w:type="dxa"/>
            <w:tcBorders>
              <w:top w:val="single" w:color="000000" w:sz="2" w:space="0"/>
            </w:tcBorders>
            <w:vAlign w:val="top"/>
          </w:tcPr>
          <w:p w14:paraId="6030AA0B">
            <w:pPr>
              <w:rPr>
                <w:rFonts w:ascii="Arial"/>
                <w:sz w:val="21"/>
                <w:highlight w:val="none"/>
              </w:rPr>
            </w:pPr>
          </w:p>
        </w:tc>
        <w:tc>
          <w:tcPr>
            <w:tcW w:w="1139" w:type="dxa"/>
            <w:tcBorders>
              <w:top w:val="single" w:color="000000" w:sz="2" w:space="0"/>
            </w:tcBorders>
            <w:vAlign w:val="top"/>
          </w:tcPr>
          <w:p w14:paraId="18070AF5">
            <w:pPr>
              <w:rPr>
                <w:rFonts w:ascii="Arial"/>
                <w:sz w:val="21"/>
                <w:highlight w:val="none"/>
              </w:rPr>
            </w:pPr>
          </w:p>
        </w:tc>
        <w:tc>
          <w:tcPr>
            <w:tcW w:w="1011" w:type="dxa"/>
            <w:tcBorders>
              <w:top w:val="single" w:color="000000" w:sz="2" w:space="0"/>
            </w:tcBorders>
            <w:vAlign w:val="top"/>
          </w:tcPr>
          <w:p w14:paraId="1EBAFEB6">
            <w:pPr>
              <w:rPr>
                <w:rFonts w:ascii="Arial"/>
                <w:sz w:val="21"/>
                <w:highlight w:val="none"/>
              </w:rPr>
            </w:pPr>
          </w:p>
        </w:tc>
      </w:tr>
      <w:tr w14:paraId="3BFB4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81" w:type="dxa"/>
            <w:vMerge w:val="continue"/>
            <w:tcBorders>
              <w:top w:val="nil"/>
              <w:bottom w:val="nil"/>
              <w:right w:val="single" w:color="000000" w:sz="2" w:space="0"/>
            </w:tcBorders>
            <w:textDirection w:val="tbRlV"/>
            <w:vAlign w:val="top"/>
          </w:tcPr>
          <w:p w14:paraId="5E076E14">
            <w:pPr>
              <w:rPr>
                <w:rFonts w:ascii="Arial"/>
                <w:sz w:val="21"/>
                <w:highlight w:val="none"/>
              </w:rPr>
            </w:pPr>
          </w:p>
        </w:tc>
        <w:tc>
          <w:tcPr>
            <w:tcW w:w="535" w:type="dxa"/>
            <w:tcBorders>
              <w:left w:val="single" w:color="000000" w:sz="2" w:space="0"/>
            </w:tcBorders>
            <w:vAlign w:val="top"/>
          </w:tcPr>
          <w:p w14:paraId="6897184D">
            <w:pPr>
              <w:spacing w:line="310" w:lineRule="auto"/>
              <w:rPr>
                <w:rFonts w:ascii="Arial"/>
                <w:sz w:val="21"/>
                <w:highlight w:val="none"/>
              </w:rPr>
            </w:pPr>
          </w:p>
          <w:p w14:paraId="3DF460F7">
            <w:pPr>
              <w:pStyle w:val="40"/>
              <w:spacing w:before="78" w:line="175" w:lineRule="auto"/>
              <w:ind w:left="215"/>
              <w:rPr>
                <w:highlight w:val="none"/>
              </w:rPr>
            </w:pPr>
            <w:r>
              <w:rPr>
                <w:highlight w:val="none"/>
              </w:rPr>
              <w:t>3</w:t>
            </w:r>
          </w:p>
        </w:tc>
        <w:tc>
          <w:tcPr>
            <w:tcW w:w="796" w:type="dxa"/>
            <w:vAlign w:val="top"/>
          </w:tcPr>
          <w:p w14:paraId="757D44D9">
            <w:pPr>
              <w:rPr>
                <w:rFonts w:ascii="Arial"/>
                <w:sz w:val="21"/>
                <w:highlight w:val="none"/>
              </w:rPr>
            </w:pPr>
          </w:p>
        </w:tc>
        <w:tc>
          <w:tcPr>
            <w:tcW w:w="722" w:type="dxa"/>
            <w:tcBorders>
              <w:right w:val="single" w:color="000000" w:sz="2" w:space="0"/>
            </w:tcBorders>
            <w:vAlign w:val="top"/>
          </w:tcPr>
          <w:p w14:paraId="138E267D">
            <w:pPr>
              <w:rPr>
                <w:rFonts w:ascii="Arial"/>
                <w:sz w:val="21"/>
                <w:highlight w:val="none"/>
              </w:rPr>
            </w:pPr>
          </w:p>
        </w:tc>
        <w:tc>
          <w:tcPr>
            <w:tcW w:w="849" w:type="dxa"/>
            <w:gridSpan w:val="2"/>
            <w:tcBorders>
              <w:left w:val="single" w:color="000000" w:sz="2" w:space="0"/>
            </w:tcBorders>
            <w:vAlign w:val="top"/>
          </w:tcPr>
          <w:p w14:paraId="7FD41DA9">
            <w:pPr>
              <w:rPr>
                <w:rFonts w:ascii="Arial"/>
                <w:sz w:val="21"/>
                <w:highlight w:val="none"/>
              </w:rPr>
            </w:pPr>
          </w:p>
        </w:tc>
        <w:tc>
          <w:tcPr>
            <w:tcW w:w="1804" w:type="dxa"/>
            <w:vAlign w:val="top"/>
          </w:tcPr>
          <w:p w14:paraId="31E74562">
            <w:pPr>
              <w:rPr>
                <w:rFonts w:ascii="Arial"/>
                <w:sz w:val="21"/>
                <w:highlight w:val="none"/>
              </w:rPr>
            </w:pPr>
          </w:p>
        </w:tc>
        <w:tc>
          <w:tcPr>
            <w:tcW w:w="959" w:type="dxa"/>
            <w:vAlign w:val="top"/>
          </w:tcPr>
          <w:p w14:paraId="6592B4FE">
            <w:pPr>
              <w:rPr>
                <w:rFonts w:ascii="Arial"/>
                <w:sz w:val="21"/>
                <w:highlight w:val="none"/>
              </w:rPr>
            </w:pPr>
          </w:p>
        </w:tc>
        <w:tc>
          <w:tcPr>
            <w:tcW w:w="876" w:type="dxa"/>
            <w:vAlign w:val="top"/>
          </w:tcPr>
          <w:p w14:paraId="1820F5A4">
            <w:pPr>
              <w:rPr>
                <w:rFonts w:ascii="Arial"/>
                <w:sz w:val="21"/>
                <w:highlight w:val="none"/>
              </w:rPr>
            </w:pPr>
          </w:p>
        </w:tc>
        <w:tc>
          <w:tcPr>
            <w:tcW w:w="1139" w:type="dxa"/>
            <w:vAlign w:val="top"/>
          </w:tcPr>
          <w:p w14:paraId="527A2D08">
            <w:pPr>
              <w:rPr>
                <w:rFonts w:ascii="Arial"/>
                <w:sz w:val="21"/>
                <w:highlight w:val="none"/>
              </w:rPr>
            </w:pPr>
          </w:p>
        </w:tc>
        <w:tc>
          <w:tcPr>
            <w:tcW w:w="1011" w:type="dxa"/>
            <w:vAlign w:val="top"/>
          </w:tcPr>
          <w:p w14:paraId="41AA1CAA">
            <w:pPr>
              <w:rPr>
                <w:rFonts w:ascii="Arial"/>
                <w:sz w:val="21"/>
                <w:highlight w:val="none"/>
              </w:rPr>
            </w:pPr>
          </w:p>
        </w:tc>
      </w:tr>
      <w:tr w14:paraId="14243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81" w:type="dxa"/>
            <w:vMerge w:val="continue"/>
            <w:tcBorders>
              <w:top w:val="nil"/>
              <w:bottom w:val="nil"/>
              <w:right w:val="single" w:color="000000" w:sz="2" w:space="0"/>
            </w:tcBorders>
            <w:textDirection w:val="tbRlV"/>
            <w:vAlign w:val="top"/>
          </w:tcPr>
          <w:p w14:paraId="35860DF9">
            <w:pPr>
              <w:rPr>
                <w:rFonts w:ascii="Arial"/>
                <w:sz w:val="21"/>
                <w:highlight w:val="none"/>
              </w:rPr>
            </w:pPr>
          </w:p>
        </w:tc>
        <w:tc>
          <w:tcPr>
            <w:tcW w:w="535" w:type="dxa"/>
            <w:tcBorders>
              <w:left w:val="single" w:color="000000" w:sz="2" w:space="0"/>
            </w:tcBorders>
            <w:vAlign w:val="top"/>
          </w:tcPr>
          <w:p w14:paraId="2DD0D58A">
            <w:pPr>
              <w:spacing w:line="273" w:lineRule="auto"/>
              <w:rPr>
                <w:rFonts w:ascii="Arial"/>
                <w:sz w:val="21"/>
                <w:highlight w:val="none"/>
              </w:rPr>
            </w:pPr>
          </w:p>
          <w:p w14:paraId="5F4BCA65">
            <w:pPr>
              <w:pStyle w:val="40"/>
              <w:spacing w:before="78" w:line="204" w:lineRule="auto"/>
              <w:ind w:left="45"/>
              <w:rPr>
                <w:highlight w:val="none"/>
              </w:rPr>
            </w:pPr>
            <w:r>
              <w:rPr>
                <w:spacing w:val="-13"/>
                <w:highlight w:val="none"/>
              </w:rPr>
              <w:t>……</w:t>
            </w:r>
          </w:p>
        </w:tc>
        <w:tc>
          <w:tcPr>
            <w:tcW w:w="796" w:type="dxa"/>
            <w:vAlign w:val="top"/>
          </w:tcPr>
          <w:p w14:paraId="25932F73">
            <w:pPr>
              <w:rPr>
                <w:rFonts w:ascii="Arial"/>
                <w:sz w:val="21"/>
                <w:highlight w:val="none"/>
              </w:rPr>
            </w:pPr>
          </w:p>
        </w:tc>
        <w:tc>
          <w:tcPr>
            <w:tcW w:w="722" w:type="dxa"/>
            <w:tcBorders>
              <w:right w:val="single" w:color="000000" w:sz="2" w:space="0"/>
            </w:tcBorders>
            <w:vAlign w:val="top"/>
          </w:tcPr>
          <w:p w14:paraId="7EA1CFA4">
            <w:pPr>
              <w:rPr>
                <w:rFonts w:ascii="Arial"/>
                <w:sz w:val="21"/>
                <w:highlight w:val="none"/>
              </w:rPr>
            </w:pPr>
          </w:p>
        </w:tc>
        <w:tc>
          <w:tcPr>
            <w:tcW w:w="849" w:type="dxa"/>
            <w:gridSpan w:val="2"/>
            <w:tcBorders>
              <w:left w:val="single" w:color="000000" w:sz="2" w:space="0"/>
            </w:tcBorders>
            <w:vAlign w:val="top"/>
          </w:tcPr>
          <w:p w14:paraId="304E26FF">
            <w:pPr>
              <w:rPr>
                <w:rFonts w:ascii="Arial"/>
                <w:sz w:val="21"/>
                <w:highlight w:val="none"/>
              </w:rPr>
            </w:pPr>
          </w:p>
        </w:tc>
        <w:tc>
          <w:tcPr>
            <w:tcW w:w="1804" w:type="dxa"/>
            <w:vAlign w:val="top"/>
          </w:tcPr>
          <w:p w14:paraId="724506B9">
            <w:pPr>
              <w:rPr>
                <w:rFonts w:ascii="Arial"/>
                <w:sz w:val="21"/>
                <w:highlight w:val="none"/>
              </w:rPr>
            </w:pPr>
          </w:p>
        </w:tc>
        <w:tc>
          <w:tcPr>
            <w:tcW w:w="959" w:type="dxa"/>
            <w:vAlign w:val="top"/>
          </w:tcPr>
          <w:p w14:paraId="3A77C14C">
            <w:pPr>
              <w:rPr>
                <w:rFonts w:ascii="Arial"/>
                <w:sz w:val="21"/>
                <w:highlight w:val="none"/>
              </w:rPr>
            </w:pPr>
          </w:p>
        </w:tc>
        <w:tc>
          <w:tcPr>
            <w:tcW w:w="876" w:type="dxa"/>
            <w:vAlign w:val="top"/>
          </w:tcPr>
          <w:p w14:paraId="3392B841">
            <w:pPr>
              <w:rPr>
                <w:rFonts w:ascii="Arial"/>
                <w:sz w:val="21"/>
                <w:highlight w:val="none"/>
              </w:rPr>
            </w:pPr>
          </w:p>
        </w:tc>
        <w:tc>
          <w:tcPr>
            <w:tcW w:w="1139" w:type="dxa"/>
            <w:vAlign w:val="top"/>
          </w:tcPr>
          <w:p w14:paraId="3676C9A8">
            <w:pPr>
              <w:rPr>
                <w:rFonts w:ascii="Arial"/>
                <w:sz w:val="21"/>
                <w:highlight w:val="none"/>
              </w:rPr>
            </w:pPr>
          </w:p>
        </w:tc>
        <w:tc>
          <w:tcPr>
            <w:tcW w:w="1011" w:type="dxa"/>
            <w:vAlign w:val="top"/>
          </w:tcPr>
          <w:p w14:paraId="383207D9">
            <w:pPr>
              <w:rPr>
                <w:rFonts w:ascii="Arial"/>
                <w:sz w:val="21"/>
                <w:highlight w:val="none"/>
              </w:rPr>
            </w:pPr>
          </w:p>
        </w:tc>
      </w:tr>
      <w:tr w14:paraId="612F9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81" w:type="dxa"/>
            <w:vMerge w:val="continue"/>
            <w:tcBorders>
              <w:top w:val="nil"/>
              <w:right w:val="single" w:color="000000" w:sz="2" w:space="0"/>
            </w:tcBorders>
            <w:textDirection w:val="tbRlV"/>
            <w:vAlign w:val="top"/>
          </w:tcPr>
          <w:p w14:paraId="6C8FD37C">
            <w:pPr>
              <w:rPr>
                <w:rFonts w:ascii="Arial"/>
                <w:sz w:val="21"/>
                <w:highlight w:val="none"/>
              </w:rPr>
            </w:pPr>
          </w:p>
        </w:tc>
        <w:tc>
          <w:tcPr>
            <w:tcW w:w="535" w:type="dxa"/>
            <w:tcBorders>
              <w:left w:val="single" w:color="000000" w:sz="2" w:space="0"/>
            </w:tcBorders>
            <w:vAlign w:val="top"/>
          </w:tcPr>
          <w:p w14:paraId="796E83FF">
            <w:pPr>
              <w:spacing w:line="273" w:lineRule="auto"/>
              <w:rPr>
                <w:rFonts w:ascii="Arial"/>
                <w:sz w:val="21"/>
                <w:highlight w:val="none"/>
              </w:rPr>
            </w:pPr>
          </w:p>
          <w:p w14:paraId="61F57470">
            <w:pPr>
              <w:pStyle w:val="40"/>
              <w:spacing w:before="78" w:line="204" w:lineRule="auto"/>
              <w:ind w:left="45"/>
              <w:rPr>
                <w:highlight w:val="none"/>
              </w:rPr>
            </w:pPr>
            <w:r>
              <w:rPr>
                <w:spacing w:val="-13"/>
                <w:highlight w:val="none"/>
              </w:rPr>
              <w:t>……</w:t>
            </w:r>
          </w:p>
        </w:tc>
        <w:tc>
          <w:tcPr>
            <w:tcW w:w="796" w:type="dxa"/>
            <w:vAlign w:val="top"/>
          </w:tcPr>
          <w:p w14:paraId="28B62A9B">
            <w:pPr>
              <w:rPr>
                <w:rFonts w:ascii="Arial"/>
                <w:sz w:val="21"/>
                <w:highlight w:val="none"/>
              </w:rPr>
            </w:pPr>
          </w:p>
        </w:tc>
        <w:tc>
          <w:tcPr>
            <w:tcW w:w="722" w:type="dxa"/>
            <w:tcBorders>
              <w:right w:val="single" w:color="000000" w:sz="2" w:space="0"/>
            </w:tcBorders>
            <w:vAlign w:val="top"/>
          </w:tcPr>
          <w:p w14:paraId="021A5E18">
            <w:pPr>
              <w:rPr>
                <w:rFonts w:ascii="Arial"/>
                <w:sz w:val="21"/>
                <w:highlight w:val="none"/>
              </w:rPr>
            </w:pPr>
          </w:p>
        </w:tc>
        <w:tc>
          <w:tcPr>
            <w:tcW w:w="849" w:type="dxa"/>
            <w:gridSpan w:val="2"/>
            <w:tcBorders>
              <w:left w:val="single" w:color="000000" w:sz="2" w:space="0"/>
            </w:tcBorders>
            <w:vAlign w:val="top"/>
          </w:tcPr>
          <w:p w14:paraId="6BCFBA53">
            <w:pPr>
              <w:rPr>
                <w:rFonts w:ascii="Arial"/>
                <w:sz w:val="21"/>
                <w:highlight w:val="none"/>
              </w:rPr>
            </w:pPr>
          </w:p>
        </w:tc>
        <w:tc>
          <w:tcPr>
            <w:tcW w:w="1804" w:type="dxa"/>
            <w:vAlign w:val="top"/>
          </w:tcPr>
          <w:p w14:paraId="019D5C16">
            <w:pPr>
              <w:rPr>
                <w:rFonts w:ascii="Arial"/>
                <w:sz w:val="21"/>
                <w:highlight w:val="none"/>
              </w:rPr>
            </w:pPr>
          </w:p>
        </w:tc>
        <w:tc>
          <w:tcPr>
            <w:tcW w:w="959" w:type="dxa"/>
            <w:vAlign w:val="top"/>
          </w:tcPr>
          <w:p w14:paraId="136428EF">
            <w:pPr>
              <w:rPr>
                <w:rFonts w:ascii="Arial"/>
                <w:sz w:val="21"/>
                <w:highlight w:val="none"/>
              </w:rPr>
            </w:pPr>
          </w:p>
        </w:tc>
        <w:tc>
          <w:tcPr>
            <w:tcW w:w="876" w:type="dxa"/>
            <w:vAlign w:val="top"/>
          </w:tcPr>
          <w:p w14:paraId="607F8A44">
            <w:pPr>
              <w:rPr>
                <w:rFonts w:ascii="Arial"/>
                <w:sz w:val="21"/>
                <w:highlight w:val="none"/>
              </w:rPr>
            </w:pPr>
          </w:p>
        </w:tc>
        <w:tc>
          <w:tcPr>
            <w:tcW w:w="1139" w:type="dxa"/>
            <w:vAlign w:val="top"/>
          </w:tcPr>
          <w:p w14:paraId="16334F39">
            <w:pPr>
              <w:rPr>
                <w:rFonts w:ascii="Arial"/>
                <w:sz w:val="21"/>
                <w:highlight w:val="none"/>
              </w:rPr>
            </w:pPr>
          </w:p>
        </w:tc>
        <w:tc>
          <w:tcPr>
            <w:tcW w:w="1011" w:type="dxa"/>
            <w:vAlign w:val="top"/>
          </w:tcPr>
          <w:p w14:paraId="3C543F62">
            <w:pPr>
              <w:rPr>
                <w:rFonts w:ascii="Arial"/>
                <w:sz w:val="21"/>
                <w:highlight w:val="none"/>
              </w:rPr>
            </w:pPr>
          </w:p>
        </w:tc>
      </w:tr>
      <w:tr w14:paraId="37BC6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3386" w:type="dxa"/>
            <w:gridSpan w:val="5"/>
            <w:vAlign w:val="top"/>
          </w:tcPr>
          <w:p w14:paraId="6FE3C193">
            <w:pPr>
              <w:pStyle w:val="40"/>
              <w:spacing w:before="228" w:line="218" w:lineRule="auto"/>
              <w:ind w:left="1097"/>
              <w:rPr>
                <w:highlight w:val="none"/>
              </w:rPr>
            </w:pPr>
            <w:r>
              <w:rPr>
                <w:spacing w:val="-2"/>
                <w:highlight w:val="none"/>
              </w:rPr>
              <w:t>磋商总报价</w:t>
            </w:r>
          </w:p>
        </w:tc>
        <w:tc>
          <w:tcPr>
            <w:tcW w:w="6186" w:type="dxa"/>
            <w:gridSpan w:val="6"/>
            <w:vAlign w:val="top"/>
          </w:tcPr>
          <w:p w14:paraId="701A9877">
            <w:pPr>
              <w:pStyle w:val="40"/>
              <w:spacing w:before="229" w:line="220" w:lineRule="auto"/>
              <w:ind w:left="758"/>
              <w:rPr>
                <w:highlight w:val="none"/>
              </w:rPr>
            </w:pPr>
            <w:r>
              <w:rPr>
                <w:spacing w:val="-5"/>
                <w:highlight w:val="none"/>
              </w:rPr>
              <w:t>大写：</w:t>
            </w:r>
            <w:r>
              <w:rPr>
                <w:highlight w:val="none"/>
              </w:rPr>
              <w:t xml:space="preserve">                           </w:t>
            </w:r>
            <w:r>
              <w:rPr>
                <w:spacing w:val="-5"/>
                <w:highlight w:val="none"/>
              </w:rPr>
              <w:t>小写：</w:t>
            </w:r>
          </w:p>
        </w:tc>
      </w:tr>
      <w:tr w14:paraId="0E1E0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3386" w:type="dxa"/>
            <w:gridSpan w:val="5"/>
            <w:vAlign w:val="top"/>
          </w:tcPr>
          <w:p w14:paraId="747525E1">
            <w:pPr>
              <w:pStyle w:val="40"/>
              <w:spacing w:before="230" w:line="221" w:lineRule="auto"/>
              <w:ind w:left="1461"/>
              <w:rPr>
                <w:highlight w:val="none"/>
              </w:rPr>
            </w:pPr>
            <w:r>
              <w:rPr>
                <w:spacing w:val="-7"/>
                <w:highlight w:val="none"/>
              </w:rPr>
              <w:t>备注</w:t>
            </w:r>
          </w:p>
        </w:tc>
        <w:tc>
          <w:tcPr>
            <w:tcW w:w="6186" w:type="dxa"/>
            <w:gridSpan w:val="6"/>
            <w:vAlign w:val="top"/>
          </w:tcPr>
          <w:p w14:paraId="1C9974B5">
            <w:pPr>
              <w:pStyle w:val="40"/>
              <w:spacing w:before="231" w:line="219" w:lineRule="auto"/>
              <w:ind w:left="2184"/>
              <w:rPr>
                <w:highlight w:val="none"/>
              </w:rPr>
            </w:pPr>
            <w:r>
              <w:rPr>
                <w:spacing w:val="-11"/>
                <w:highlight w:val="none"/>
              </w:rPr>
              <w:t>保留小数点后两位</w:t>
            </w:r>
          </w:p>
        </w:tc>
      </w:tr>
    </w:tbl>
    <w:p w14:paraId="6613047A">
      <w:pPr>
        <w:pStyle w:val="10"/>
        <w:spacing w:line="249" w:lineRule="auto"/>
        <w:rPr>
          <w:highlight w:val="none"/>
        </w:rPr>
      </w:pPr>
    </w:p>
    <w:p w14:paraId="42648910">
      <w:pPr>
        <w:pStyle w:val="10"/>
        <w:spacing w:line="249" w:lineRule="auto"/>
        <w:rPr>
          <w:highlight w:val="none"/>
        </w:rPr>
      </w:pPr>
    </w:p>
    <w:p w14:paraId="27406EF1">
      <w:pPr>
        <w:spacing w:before="78" w:line="418" w:lineRule="auto"/>
        <w:ind w:left="150" w:right="4641"/>
        <w:rPr>
          <w:rFonts w:ascii="宋体" w:hAnsi="宋体" w:eastAsia="宋体" w:cs="宋体"/>
          <w:sz w:val="24"/>
          <w:szCs w:val="24"/>
          <w:highlight w:val="none"/>
        </w:rPr>
      </w:pPr>
      <w:r>
        <w:rPr>
          <w:rFonts w:ascii="宋体" w:hAnsi="宋体" w:eastAsia="宋体" w:cs="宋体"/>
          <w:spacing w:val="2"/>
          <w:sz w:val="24"/>
          <w:szCs w:val="24"/>
          <w:highlight w:val="none"/>
        </w:rPr>
        <w:t>供应商名称</w:t>
      </w:r>
      <w:r>
        <w:rPr>
          <w:rFonts w:ascii="宋体" w:hAnsi="宋体" w:eastAsia="宋体" w:cs="宋体"/>
          <w:spacing w:val="-18"/>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18"/>
          <w:sz w:val="24"/>
          <w:szCs w:val="24"/>
          <w:highlight w:val="none"/>
          <w:u w:val="single" w:color="auto"/>
        </w:rPr>
        <w:t>（</w:t>
      </w:r>
      <w:r>
        <w:rPr>
          <w:rFonts w:ascii="宋体" w:hAnsi="宋体" w:eastAsia="宋体" w:cs="宋体"/>
          <w:spacing w:val="2"/>
          <w:sz w:val="24"/>
          <w:szCs w:val="24"/>
          <w:highlight w:val="none"/>
          <w:u w:val="single" w:color="auto"/>
        </w:rPr>
        <w:t>加盖单位公章）</w:t>
      </w:r>
      <w:r>
        <w:rPr>
          <w:rFonts w:ascii="宋体" w:hAnsi="宋体" w:eastAsia="宋体" w:cs="宋体"/>
          <w:spacing w:val="24"/>
          <w:sz w:val="24"/>
          <w:szCs w:val="24"/>
          <w:highlight w:val="none"/>
          <w:u w:val="single" w:color="auto"/>
        </w:rPr>
        <w:t xml:space="preserve">     </w:t>
      </w:r>
      <w:r>
        <w:rPr>
          <w:rFonts w:ascii="宋体" w:hAnsi="宋体" w:eastAsia="宋体" w:cs="宋体"/>
          <w:spacing w:val="1"/>
          <w:sz w:val="24"/>
          <w:szCs w:val="24"/>
          <w:highlight w:val="none"/>
        </w:rPr>
        <w:t xml:space="preserve"> </w:t>
      </w:r>
      <w:r>
        <w:rPr>
          <w:rFonts w:ascii="宋体" w:hAnsi="宋体" w:eastAsia="宋体" w:cs="宋体"/>
          <w:sz w:val="24"/>
          <w:szCs w:val="24"/>
          <w:highlight w:val="none"/>
        </w:rPr>
        <w:t>法定代表人/授权代表签字或盖章：</w:t>
      </w:r>
    </w:p>
    <w:p w14:paraId="0D4C060F">
      <w:pPr>
        <w:spacing w:before="33" w:line="220" w:lineRule="auto"/>
        <w:ind w:left="192"/>
        <w:rPr>
          <w:rFonts w:ascii="宋体" w:hAnsi="宋体" w:eastAsia="宋体" w:cs="宋体"/>
          <w:sz w:val="24"/>
          <w:szCs w:val="24"/>
          <w:highlight w:val="none"/>
        </w:rPr>
        <w:sectPr>
          <w:headerReference r:id="rId10" w:type="default"/>
          <w:footerReference r:id="rId11" w:type="default"/>
          <w:pgSz w:w="11906" w:h="16839"/>
          <w:pgMar w:top="1292" w:right="1161" w:bottom="1163" w:left="1161" w:header="1080" w:footer="949" w:gutter="0"/>
          <w:pgNumType w:fmt="decimal"/>
          <w:cols w:space="720" w:num="1"/>
        </w:sectPr>
      </w:pPr>
      <w:r>
        <w:rPr>
          <w:rFonts w:ascii="宋体" w:hAnsi="宋体" w:eastAsia="宋体" w:cs="宋体"/>
          <w:spacing w:val="-21"/>
          <w:sz w:val="24"/>
          <w:szCs w:val="24"/>
          <w:highlight w:val="none"/>
        </w:rPr>
        <w:t>日</w:t>
      </w:r>
      <w:r>
        <w:rPr>
          <w:rFonts w:ascii="宋体" w:hAnsi="宋体" w:eastAsia="宋体" w:cs="宋体"/>
          <w:spacing w:val="3"/>
          <w:sz w:val="24"/>
          <w:szCs w:val="24"/>
          <w:highlight w:val="none"/>
        </w:rPr>
        <w:t xml:space="preserve">    </w:t>
      </w:r>
      <w:r>
        <w:rPr>
          <w:rFonts w:ascii="宋体" w:hAnsi="宋体" w:eastAsia="宋体" w:cs="宋体"/>
          <w:spacing w:val="-21"/>
          <w:sz w:val="24"/>
          <w:szCs w:val="24"/>
          <w:highlight w:val="none"/>
        </w:rPr>
        <w:t>期：</w:t>
      </w:r>
    </w:p>
    <w:bookmarkEnd w:id="116"/>
    <w:p w14:paraId="2C9A2EDC">
      <w:pPr>
        <w:jc w:val="center"/>
        <w:outlineLvl w:val="1"/>
        <w:rPr>
          <w:rFonts w:hAnsi="宋体" w:cs="宋体"/>
          <w:sz w:val="32"/>
          <w:szCs w:val="32"/>
          <w:highlight w:val="none"/>
        </w:rPr>
      </w:pPr>
      <w:bookmarkStart w:id="135" w:name="_Toc5944"/>
      <w:bookmarkStart w:id="136" w:name="_Toc32126"/>
      <w:bookmarkStart w:id="137" w:name="_Toc24936"/>
      <w:bookmarkStart w:id="138" w:name="_Toc3628"/>
      <w:bookmarkStart w:id="139" w:name="_Toc344572163"/>
      <w:r>
        <w:rPr>
          <w:rFonts w:hint="eastAsia" w:hAnsi="宋体" w:cs="宋体"/>
          <w:b/>
          <w:bCs/>
          <w:sz w:val="32"/>
          <w:szCs w:val="32"/>
          <w:highlight w:val="none"/>
        </w:rPr>
        <w:t>三、磋商方案说明书</w:t>
      </w:r>
      <w:bookmarkEnd w:id="135"/>
      <w:bookmarkEnd w:id="136"/>
      <w:bookmarkEnd w:id="137"/>
      <w:bookmarkEnd w:id="138"/>
    </w:p>
    <w:p w14:paraId="746512D6">
      <w:pPr>
        <w:spacing w:line="480" w:lineRule="auto"/>
        <w:ind w:firstLine="482" w:firstLineChars="200"/>
        <w:jc w:val="center"/>
        <w:rPr>
          <w:rFonts w:hAnsi="宋体" w:cs="宋体"/>
          <w:b/>
          <w:bCs/>
          <w:szCs w:val="24"/>
          <w:highlight w:val="none"/>
        </w:rPr>
      </w:pPr>
      <w:r>
        <w:rPr>
          <w:rFonts w:hint="eastAsia" w:hAnsi="宋体" w:cs="宋体"/>
          <w:b/>
          <w:bCs/>
          <w:szCs w:val="24"/>
          <w:highlight w:val="none"/>
        </w:rPr>
        <w:t>（可参照第三章评审办法进行响应）</w:t>
      </w:r>
    </w:p>
    <w:p w14:paraId="704F3BE9">
      <w:pPr>
        <w:spacing w:after="120" w:line="480" w:lineRule="auto"/>
        <w:rPr>
          <w:rFonts w:hAnsi="宋体" w:cs="宋体"/>
          <w:b/>
          <w:szCs w:val="24"/>
          <w:highlight w:val="none"/>
        </w:rPr>
      </w:pPr>
    </w:p>
    <w:p w14:paraId="0F49874D">
      <w:pPr>
        <w:spacing w:after="120"/>
        <w:rPr>
          <w:rFonts w:hAnsi="宋体" w:cs="宋体"/>
          <w:b/>
          <w:szCs w:val="24"/>
          <w:highlight w:val="none"/>
        </w:rPr>
      </w:pPr>
    </w:p>
    <w:p w14:paraId="43D320BF">
      <w:pPr>
        <w:spacing w:after="120"/>
        <w:rPr>
          <w:rFonts w:hAnsi="宋体" w:cs="宋体"/>
          <w:b/>
          <w:szCs w:val="24"/>
          <w:highlight w:val="none"/>
        </w:rPr>
      </w:pPr>
    </w:p>
    <w:p w14:paraId="337C358B">
      <w:pPr>
        <w:spacing w:after="120"/>
        <w:rPr>
          <w:rFonts w:hAnsi="宋体" w:cs="宋体"/>
          <w:b/>
          <w:szCs w:val="24"/>
          <w:highlight w:val="none"/>
        </w:rPr>
      </w:pPr>
    </w:p>
    <w:p w14:paraId="064E1600">
      <w:pPr>
        <w:rPr>
          <w:rFonts w:hint="eastAsia" w:hAnsi="宋体" w:cs="宋体"/>
          <w:b/>
          <w:bCs/>
          <w:sz w:val="32"/>
          <w:szCs w:val="32"/>
          <w:highlight w:val="none"/>
        </w:rPr>
      </w:pPr>
      <w:r>
        <w:rPr>
          <w:rFonts w:hint="eastAsia" w:hAnsi="宋体" w:cs="宋体"/>
          <w:b/>
          <w:szCs w:val="24"/>
          <w:highlight w:val="none"/>
        </w:rPr>
        <w:br w:type="page"/>
      </w:r>
      <w:bookmarkStart w:id="140" w:name="_Toc23455"/>
      <w:bookmarkStart w:id="141" w:name="_Toc2621"/>
      <w:bookmarkStart w:id="142" w:name="_Toc1379"/>
      <w:bookmarkStart w:id="143" w:name="_Toc21284"/>
      <w:bookmarkStart w:id="144" w:name="_Toc9218"/>
      <w:bookmarkStart w:id="145" w:name="_Toc31151"/>
      <w:bookmarkStart w:id="146" w:name="_Toc8845"/>
      <w:bookmarkStart w:id="147" w:name="_Toc5662"/>
      <w:bookmarkStart w:id="148" w:name="_Toc15265"/>
    </w:p>
    <w:p w14:paraId="65CC9D8F">
      <w:pPr>
        <w:spacing w:before="78" w:line="219" w:lineRule="auto"/>
        <w:ind w:left="28"/>
        <w:rPr>
          <w:rFonts w:ascii="宋体" w:hAnsi="宋体" w:eastAsia="宋体" w:cs="宋体"/>
          <w:sz w:val="24"/>
          <w:szCs w:val="24"/>
          <w:highlight w:val="none"/>
        </w:rPr>
      </w:pPr>
      <w:r>
        <w:rPr>
          <w:rFonts w:ascii="宋体" w:hAnsi="宋体" w:eastAsia="宋体" w:cs="宋体"/>
          <w:b/>
          <w:bCs/>
          <w:spacing w:val="-17"/>
          <w:sz w:val="24"/>
          <w:szCs w:val="24"/>
          <w:highlight w:val="none"/>
        </w:rPr>
        <w:t>附表</w:t>
      </w:r>
      <w:r>
        <w:rPr>
          <w:rFonts w:ascii="宋体" w:hAnsi="宋体" w:eastAsia="宋体" w:cs="宋体"/>
          <w:spacing w:val="-29"/>
          <w:sz w:val="24"/>
          <w:szCs w:val="24"/>
          <w:highlight w:val="none"/>
        </w:rPr>
        <w:t xml:space="preserve"> </w:t>
      </w:r>
      <w:r>
        <w:rPr>
          <w:rFonts w:ascii="宋体" w:hAnsi="宋体" w:eastAsia="宋体" w:cs="宋体"/>
          <w:b/>
          <w:bCs/>
          <w:spacing w:val="-17"/>
          <w:sz w:val="24"/>
          <w:szCs w:val="24"/>
          <w:highlight w:val="none"/>
        </w:rPr>
        <w:t>1：</w:t>
      </w:r>
    </w:p>
    <w:p w14:paraId="4F96E7A1">
      <w:pPr>
        <w:spacing w:before="264" w:line="225" w:lineRule="auto"/>
        <w:ind w:left="3539"/>
        <w:rPr>
          <w:rFonts w:ascii="宋体" w:hAnsi="宋体" w:eastAsia="宋体" w:cs="宋体"/>
          <w:sz w:val="31"/>
          <w:szCs w:val="31"/>
          <w:highlight w:val="none"/>
        </w:rPr>
      </w:pPr>
      <w:r>
        <w:rPr>
          <w:rFonts w:ascii="宋体" w:hAnsi="宋体" w:eastAsia="宋体" w:cs="宋体"/>
          <w:b/>
          <w:bCs/>
          <w:spacing w:val="5"/>
          <w:sz w:val="31"/>
          <w:szCs w:val="31"/>
          <w:highlight w:val="none"/>
        </w:rPr>
        <w:t>技术规格响应表</w:t>
      </w:r>
    </w:p>
    <w:p w14:paraId="7870F081">
      <w:pPr>
        <w:spacing w:before="249" w:line="318" w:lineRule="auto"/>
        <w:ind w:left="133" w:right="8037"/>
        <w:rPr>
          <w:rFonts w:ascii="宋体" w:hAnsi="宋体" w:eastAsia="宋体" w:cs="宋体"/>
          <w:sz w:val="24"/>
          <w:szCs w:val="24"/>
          <w:highlight w:val="none"/>
        </w:rPr>
      </w:pPr>
      <w:r>
        <w:rPr>
          <w:rFonts w:ascii="宋体" w:hAnsi="宋体" w:eastAsia="宋体" w:cs="宋体"/>
          <w:spacing w:val="-15"/>
          <w:sz w:val="24"/>
          <w:szCs w:val="24"/>
          <w:highlight w:val="none"/>
        </w:rPr>
        <w:t>项目名称：</w:t>
      </w:r>
      <w:r>
        <w:rPr>
          <w:rFonts w:ascii="宋体" w:hAnsi="宋体" w:eastAsia="宋体" w:cs="宋体"/>
          <w:sz w:val="24"/>
          <w:szCs w:val="24"/>
          <w:highlight w:val="none"/>
        </w:rPr>
        <w:t xml:space="preserve"> </w:t>
      </w:r>
      <w:r>
        <w:rPr>
          <w:rFonts w:ascii="宋体" w:hAnsi="宋体" w:eastAsia="宋体" w:cs="宋体"/>
          <w:spacing w:val="-15"/>
          <w:sz w:val="24"/>
          <w:szCs w:val="24"/>
          <w:highlight w:val="none"/>
        </w:rPr>
        <w:t>项目编号：</w:t>
      </w:r>
    </w:p>
    <w:tbl>
      <w:tblPr>
        <w:tblStyle w:val="38"/>
        <w:tblW w:w="8847" w:type="dxa"/>
        <w:tblInd w:w="226"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749"/>
        <w:gridCol w:w="1272"/>
        <w:gridCol w:w="2261"/>
        <w:gridCol w:w="2773"/>
        <w:gridCol w:w="1185"/>
        <w:gridCol w:w="607"/>
      </w:tblGrid>
      <w:tr w14:paraId="5FCABB1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85" w:hRule="atLeast"/>
        </w:trPr>
        <w:tc>
          <w:tcPr>
            <w:tcW w:w="749" w:type="dxa"/>
            <w:tcBorders>
              <w:right w:val="single" w:color="000000" w:sz="4" w:space="0"/>
            </w:tcBorders>
            <w:vAlign w:val="top"/>
          </w:tcPr>
          <w:p w14:paraId="1AF63267">
            <w:pPr>
              <w:pStyle w:val="40"/>
              <w:spacing w:before="196" w:line="214" w:lineRule="auto"/>
              <w:ind w:left="125"/>
              <w:rPr>
                <w:highlight w:val="none"/>
              </w:rPr>
            </w:pPr>
            <w:r>
              <w:rPr>
                <w:spacing w:val="-5"/>
                <w:highlight w:val="none"/>
              </w:rPr>
              <w:t>序号</w:t>
            </w:r>
          </w:p>
        </w:tc>
        <w:tc>
          <w:tcPr>
            <w:tcW w:w="1272" w:type="dxa"/>
            <w:tcBorders>
              <w:left w:val="single" w:color="000000" w:sz="4" w:space="0"/>
              <w:right w:val="single" w:color="000000" w:sz="4" w:space="0"/>
            </w:tcBorders>
            <w:vAlign w:val="top"/>
          </w:tcPr>
          <w:p w14:paraId="555A85A6">
            <w:pPr>
              <w:pStyle w:val="40"/>
              <w:spacing w:before="196" w:line="214" w:lineRule="auto"/>
              <w:ind w:left="152"/>
              <w:rPr>
                <w:highlight w:val="none"/>
              </w:rPr>
            </w:pPr>
            <w:r>
              <w:rPr>
                <w:spacing w:val="-3"/>
                <w:highlight w:val="none"/>
              </w:rPr>
              <w:t>产品名称</w:t>
            </w:r>
          </w:p>
        </w:tc>
        <w:tc>
          <w:tcPr>
            <w:tcW w:w="2261" w:type="dxa"/>
            <w:tcBorders>
              <w:left w:val="single" w:color="000000" w:sz="4" w:space="0"/>
              <w:right w:val="single" w:color="000000" w:sz="4" w:space="0"/>
            </w:tcBorders>
            <w:vAlign w:val="top"/>
          </w:tcPr>
          <w:p w14:paraId="5F8F4BA5">
            <w:pPr>
              <w:pStyle w:val="40"/>
              <w:spacing w:before="196" w:line="214" w:lineRule="auto"/>
              <w:ind w:left="412"/>
              <w:rPr>
                <w:highlight w:val="none"/>
              </w:rPr>
            </w:pPr>
            <w:r>
              <w:rPr>
                <w:spacing w:val="-4"/>
                <w:highlight w:val="none"/>
              </w:rPr>
              <w:t>招标规格</w:t>
            </w:r>
            <w:r>
              <w:rPr>
                <w:spacing w:val="13"/>
                <w:highlight w:val="none"/>
              </w:rPr>
              <w:t xml:space="preserve"> </w:t>
            </w:r>
            <w:r>
              <w:rPr>
                <w:spacing w:val="-4"/>
                <w:highlight w:val="none"/>
              </w:rPr>
              <w:t>☆1</w:t>
            </w:r>
          </w:p>
        </w:tc>
        <w:tc>
          <w:tcPr>
            <w:tcW w:w="2773" w:type="dxa"/>
            <w:tcBorders>
              <w:left w:val="single" w:color="000000" w:sz="4" w:space="0"/>
              <w:right w:val="single" w:color="000000" w:sz="4" w:space="0"/>
            </w:tcBorders>
            <w:vAlign w:val="top"/>
          </w:tcPr>
          <w:p w14:paraId="1F5756A7">
            <w:pPr>
              <w:pStyle w:val="40"/>
              <w:spacing w:before="196" w:line="214" w:lineRule="auto"/>
              <w:ind w:left="678"/>
              <w:rPr>
                <w:highlight w:val="none"/>
              </w:rPr>
            </w:pPr>
            <w:r>
              <w:rPr>
                <w:spacing w:val="-5"/>
                <w:highlight w:val="none"/>
              </w:rPr>
              <w:t>投标规格</w:t>
            </w:r>
            <w:r>
              <w:rPr>
                <w:spacing w:val="16"/>
                <w:highlight w:val="none"/>
              </w:rPr>
              <w:t xml:space="preserve"> </w:t>
            </w:r>
            <w:r>
              <w:rPr>
                <w:spacing w:val="-5"/>
                <w:highlight w:val="none"/>
              </w:rPr>
              <w:t>☆2</w:t>
            </w:r>
          </w:p>
        </w:tc>
        <w:tc>
          <w:tcPr>
            <w:tcW w:w="1185" w:type="dxa"/>
            <w:tcBorders>
              <w:left w:val="single" w:color="000000" w:sz="4" w:space="0"/>
              <w:right w:val="single" w:color="000000" w:sz="4" w:space="0"/>
            </w:tcBorders>
            <w:vAlign w:val="top"/>
          </w:tcPr>
          <w:p w14:paraId="23533F8C">
            <w:pPr>
              <w:pStyle w:val="40"/>
              <w:spacing w:before="196" w:line="214" w:lineRule="auto"/>
              <w:ind w:left="127"/>
              <w:rPr>
                <w:highlight w:val="none"/>
              </w:rPr>
            </w:pPr>
            <w:r>
              <w:rPr>
                <w:spacing w:val="-3"/>
                <w:highlight w:val="none"/>
              </w:rPr>
              <w:t>偏离说明</w:t>
            </w:r>
          </w:p>
        </w:tc>
        <w:tc>
          <w:tcPr>
            <w:tcW w:w="607" w:type="dxa"/>
            <w:tcBorders>
              <w:left w:val="single" w:color="000000" w:sz="4" w:space="0"/>
            </w:tcBorders>
            <w:vAlign w:val="top"/>
          </w:tcPr>
          <w:p w14:paraId="5BC126DB">
            <w:pPr>
              <w:pStyle w:val="40"/>
              <w:spacing w:before="196" w:line="214" w:lineRule="auto"/>
              <w:ind w:left="75"/>
              <w:rPr>
                <w:highlight w:val="none"/>
              </w:rPr>
            </w:pPr>
            <w:r>
              <w:rPr>
                <w:spacing w:val="-7"/>
                <w:highlight w:val="none"/>
              </w:rPr>
              <w:t>备注</w:t>
            </w:r>
          </w:p>
        </w:tc>
      </w:tr>
      <w:tr w14:paraId="35AC881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954" w:hRule="atLeast"/>
        </w:trPr>
        <w:tc>
          <w:tcPr>
            <w:tcW w:w="749" w:type="dxa"/>
            <w:tcBorders>
              <w:right w:val="single" w:color="000000" w:sz="4" w:space="0"/>
            </w:tcBorders>
            <w:vAlign w:val="top"/>
          </w:tcPr>
          <w:p w14:paraId="2E12C42D">
            <w:pPr>
              <w:rPr>
                <w:rFonts w:ascii="Arial"/>
                <w:sz w:val="21"/>
                <w:highlight w:val="none"/>
              </w:rPr>
            </w:pPr>
          </w:p>
        </w:tc>
        <w:tc>
          <w:tcPr>
            <w:tcW w:w="1272" w:type="dxa"/>
            <w:tcBorders>
              <w:left w:val="single" w:color="000000" w:sz="4" w:space="0"/>
              <w:right w:val="single" w:color="000000" w:sz="4" w:space="0"/>
            </w:tcBorders>
            <w:vAlign w:val="top"/>
          </w:tcPr>
          <w:p w14:paraId="67F05FB8">
            <w:pPr>
              <w:rPr>
                <w:rFonts w:ascii="Arial"/>
                <w:sz w:val="21"/>
                <w:highlight w:val="none"/>
              </w:rPr>
            </w:pPr>
          </w:p>
        </w:tc>
        <w:tc>
          <w:tcPr>
            <w:tcW w:w="2261" w:type="dxa"/>
            <w:tcBorders>
              <w:left w:val="single" w:color="000000" w:sz="4" w:space="0"/>
              <w:right w:val="single" w:color="000000" w:sz="4" w:space="0"/>
            </w:tcBorders>
            <w:vAlign w:val="top"/>
          </w:tcPr>
          <w:p w14:paraId="285F20FA">
            <w:pPr>
              <w:rPr>
                <w:rFonts w:ascii="Arial"/>
                <w:sz w:val="21"/>
                <w:highlight w:val="none"/>
              </w:rPr>
            </w:pPr>
          </w:p>
        </w:tc>
        <w:tc>
          <w:tcPr>
            <w:tcW w:w="2773" w:type="dxa"/>
            <w:tcBorders>
              <w:left w:val="single" w:color="000000" w:sz="4" w:space="0"/>
              <w:right w:val="single" w:color="000000" w:sz="4" w:space="0"/>
            </w:tcBorders>
            <w:vAlign w:val="top"/>
          </w:tcPr>
          <w:p w14:paraId="721460F2">
            <w:pPr>
              <w:rPr>
                <w:rFonts w:ascii="Arial"/>
                <w:sz w:val="21"/>
                <w:highlight w:val="none"/>
              </w:rPr>
            </w:pPr>
          </w:p>
        </w:tc>
        <w:tc>
          <w:tcPr>
            <w:tcW w:w="1185" w:type="dxa"/>
            <w:tcBorders>
              <w:left w:val="single" w:color="000000" w:sz="4" w:space="0"/>
              <w:right w:val="single" w:color="000000" w:sz="4" w:space="0"/>
            </w:tcBorders>
            <w:vAlign w:val="top"/>
          </w:tcPr>
          <w:p w14:paraId="562749E4">
            <w:pPr>
              <w:rPr>
                <w:rFonts w:ascii="Arial"/>
                <w:sz w:val="21"/>
                <w:highlight w:val="none"/>
              </w:rPr>
            </w:pPr>
          </w:p>
        </w:tc>
        <w:tc>
          <w:tcPr>
            <w:tcW w:w="607" w:type="dxa"/>
            <w:tcBorders>
              <w:left w:val="single" w:color="000000" w:sz="4" w:space="0"/>
            </w:tcBorders>
            <w:vAlign w:val="top"/>
          </w:tcPr>
          <w:p w14:paraId="64F6FE06">
            <w:pPr>
              <w:rPr>
                <w:rFonts w:ascii="Arial"/>
                <w:sz w:val="21"/>
                <w:highlight w:val="none"/>
              </w:rPr>
            </w:pPr>
          </w:p>
        </w:tc>
      </w:tr>
    </w:tbl>
    <w:p w14:paraId="28C99F7C">
      <w:pPr>
        <w:pStyle w:val="10"/>
        <w:spacing w:line="290" w:lineRule="auto"/>
        <w:rPr>
          <w:highlight w:val="none"/>
        </w:rPr>
      </w:pPr>
    </w:p>
    <w:p w14:paraId="6436F08E">
      <w:pPr>
        <w:pStyle w:val="10"/>
        <w:spacing w:line="291" w:lineRule="auto"/>
        <w:rPr>
          <w:highlight w:val="none"/>
        </w:rPr>
      </w:pPr>
    </w:p>
    <w:p w14:paraId="20B0DDEB">
      <w:pPr>
        <w:spacing w:before="78" w:line="219" w:lineRule="auto"/>
        <w:ind w:left="130"/>
        <w:rPr>
          <w:rFonts w:ascii="宋体" w:hAnsi="宋体" w:eastAsia="宋体" w:cs="宋体"/>
          <w:sz w:val="24"/>
          <w:szCs w:val="24"/>
          <w:highlight w:val="none"/>
        </w:rPr>
      </w:pPr>
      <w:r>
        <w:rPr>
          <w:rFonts w:ascii="宋体" w:hAnsi="宋体" w:eastAsia="宋体" w:cs="宋体"/>
          <w:spacing w:val="1"/>
          <w:sz w:val="24"/>
          <w:szCs w:val="24"/>
          <w:highlight w:val="none"/>
        </w:rPr>
        <w:t>法定代表人或被授权人（签字或盖章）:</w:t>
      </w:r>
    </w:p>
    <w:p w14:paraId="6958437C">
      <w:pPr>
        <w:pStyle w:val="10"/>
        <w:spacing w:line="474" w:lineRule="auto"/>
        <w:rPr>
          <w:highlight w:val="none"/>
        </w:rPr>
      </w:pPr>
    </w:p>
    <w:p w14:paraId="074C5AA8">
      <w:pPr>
        <w:spacing w:before="78" w:line="219" w:lineRule="auto"/>
        <w:ind w:left="136"/>
        <w:rPr>
          <w:rFonts w:ascii="宋体" w:hAnsi="宋体" w:eastAsia="宋体" w:cs="宋体"/>
          <w:sz w:val="24"/>
          <w:szCs w:val="24"/>
          <w:highlight w:val="none"/>
        </w:rPr>
      </w:pPr>
      <w:r>
        <w:rPr>
          <w:rFonts w:ascii="宋体" w:hAnsi="宋体" w:eastAsia="宋体" w:cs="宋体"/>
          <w:spacing w:val="-12"/>
          <w:sz w:val="24"/>
          <w:szCs w:val="24"/>
          <w:highlight w:val="none"/>
        </w:rPr>
        <w:t>公</w:t>
      </w:r>
      <w:r>
        <w:rPr>
          <w:rFonts w:ascii="宋体" w:hAnsi="宋体" w:eastAsia="宋体" w:cs="宋体"/>
          <w:spacing w:val="3"/>
          <w:sz w:val="24"/>
          <w:szCs w:val="24"/>
          <w:highlight w:val="none"/>
        </w:rPr>
        <w:t xml:space="preserve">      </w:t>
      </w:r>
      <w:r>
        <w:rPr>
          <w:rFonts w:ascii="宋体" w:hAnsi="宋体" w:eastAsia="宋体" w:cs="宋体"/>
          <w:spacing w:val="-12"/>
          <w:sz w:val="24"/>
          <w:szCs w:val="24"/>
          <w:highlight w:val="none"/>
        </w:rPr>
        <w:t>章：</w:t>
      </w:r>
    </w:p>
    <w:p w14:paraId="106E2D16">
      <w:pPr>
        <w:pStyle w:val="10"/>
        <w:spacing w:line="325" w:lineRule="auto"/>
        <w:rPr>
          <w:highlight w:val="none"/>
        </w:rPr>
      </w:pPr>
    </w:p>
    <w:p w14:paraId="51E07435">
      <w:pPr>
        <w:spacing w:before="78" w:line="216" w:lineRule="auto"/>
        <w:jc w:val="right"/>
        <w:rPr>
          <w:rFonts w:ascii="宋体" w:hAnsi="宋体" w:eastAsia="宋体" w:cs="宋体"/>
          <w:sz w:val="24"/>
          <w:szCs w:val="24"/>
          <w:highlight w:val="none"/>
        </w:rPr>
      </w:pPr>
      <w:r>
        <w:rPr>
          <w:rFonts w:ascii="宋体" w:hAnsi="宋体" w:eastAsia="宋体" w:cs="宋体"/>
          <w:spacing w:val="4"/>
          <w:sz w:val="24"/>
          <w:szCs w:val="24"/>
          <w:highlight w:val="none"/>
        </w:rPr>
        <w:t>注</w:t>
      </w:r>
      <w:r>
        <w:rPr>
          <w:rFonts w:ascii="宋体" w:hAnsi="宋体" w:eastAsia="宋体" w:cs="宋体"/>
          <w:spacing w:val="-67"/>
          <w:sz w:val="24"/>
          <w:szCs w:val="24"/>
          <w:highlight w:val="none"/>
        </w:rPr>
        <w:t xml:space="preserve"> </w:t>
      </w:r>
      <w:r>
        <w:rPr>
          <w:rFonts w:ascii="宋体" w:hAnsi="宋体" w:eastAsia="宋体" w:cs="宋体"/>
          <w:spacing w:val="4"/>
          <w:sz w:val="24"/>
          <w:szCs w:val="24"/>
          <w:highlight w:val="none"/>
        </w:rPr>
        <w:t>:  1. ☆1</w:t>
      </w:r>
      <w:r>
        <w:rPr>
          <w:rFonts w:ascii="宋体" w:hAnsi="宋体" w:eastAsia="宋体" w:cs="宋体"/>
          <w:spacing w:val="-43"/>
          <w:sz w:val="24"/>
          <w:szCs w:val="24"/>
          <w:highlight w:val="none"/>
        </w:rPr>
        <w:t xml:space="preserve"> </w:t>
      </w:r>
      <w:r>
        <w:rPr>
          <w:rFonts w:ascii="宋体" w:hAnsi="宋体" w:eastAsia="宋体" w:cs="宋体"/>
          <w:spacing w:val="4"/>
          <w:sz w:val="24"/>
          <w:szCs w:val="24"/>
          <w:highlight w:val="none"/>
        </w:rPr>
        <w:t>指招标文件中的技术规格(参数),供应</w:t>
      </w:r>
      <w:r>
        <w:rPr>
          <w:rFonts w:ascii="宋体" w:hAnsi="宋体" w:eastAsia="宋体" w:cs="宋体"/>
          <w:spacing w:val="3"/>
          <w:sz w:val="24"/>
          <w:szCs w:val="24"/>
          <w:highlight w:val="none"/>
        </w:rPr>
        <w:t>商应按照磋商文件中的内容逐条抄</w:t>
      </w:r>
    </w:p>
    <w:p w14:paraId="780A9DA5">
      <w:pPr>
        <w:spacing w:before="187" w:line="221" w:lineRule="auto"/>
        <w:ind w:left="1576"/>
        <w:rPr>
          <w:rFonts w:ascii="宋体" w:hAnsi="宋体" w:eastAsia="宋体" w:cs="宋体"/>
          <w:sz w:val="24"/>
          <w:szCs w:val="24"/>
          <w:highlight w:val="none"/>
        </w:rPr>
      </w:pPr>
      <w:r>
        <w:rPr>
          <w:rFonts w:ascii="宋体" w:hAnsi="宋体" w:eastAsia="宋体" w:cs="宋体"/>
          <w:spacing w:val="-8"/>
          <w:sz w:val="24"/>
          <w:szCs w:val="24"/>
          <w:highlight w:val="none"/>
        </w:rPr>
        <w:t>写。</w:t>
      </w:r>
    </w:p>
    <w:p w14:paraId="10A82ADD">
      <w:pPr>
        <w:spacing w:before="181" w:line="289" w:lineRule="auto"/>
        <w:ind w:left="1575" w:hanging="963"/>
        <w:rPr>
          <w:rFonts w:ascii="宋体" w:hAnsi="宋体" w:eastAsia="宋体" w:cs="宋体"/>
          <w:sz w:val="24"/>
          <w:szCs w:val="24"/>
          <w:highlight w:val="none"/>
        </w:rPr>
      </w:pPr>
      <w:r>
        <w:rPr>
          <w:rFonts w:ascii="宋体" w:hAnsi="宋体" w:eastAsia="宋体" w:cs="宋体"/>
          <w:spacing w:val="-1"/>
          <w:sz w:val="24"/>
          <w:szCs w:val="24"/>
          <w:highlight w:val="none"/>
        </w:rPr>
        <w:t>2.  ☆2</w:t>
      </w:r>
      <w:r>
        <w:rPr>
          <w:rFonts w:ascii="宋体" w:hAnsi="宋体" w:eastAsia="宋体" w:cs="宋体"/>
          <w:spacing w:val="-36"/>
          <w:sz w:val="24"/>
          <w:szCs w:val="24"/>
          <w:highlight w:val="none"/>
        </w:rPr>
        <w:t xml:space="preserve"> </w:t>
      </w:r>
      <w:r>
        <w:rPr>
          <w:rFonts w:ascii="宋体" w:hAnsi="宋体" w:eastAsia="宋体" w:cs="宋体"/>
          <w:spacing w:val="-1"/>
          <w:sz w:val="24"/>
          <w:szCs w:val="24"/>
          <w:highlight w:val="none"/>
        </w:rPr>
        <w:t>指供应商拟提供的招标产品的功能及技术规格(参数),供应商应逐条如实填</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写并提供相应的支持文件。</w:t>
      </w:r>
    </w:p>
    <w:p w14:paraId="0605590E">
      <w:pPr>
        <w:spacing w:before="107" w:line="219" w:lineRule="auto"/>
        <w:ind w:left="614"/>
        <w:rPr>
          <w:rFonts w:ascii="宋体" w:hAnsi="宋体" w:eastAsia="宋体" w:cs="宋体"/>
          <w:sz w:val="24"/>
          <w:szCs w:val="24"/>
          <w:highlight w:val="none"/>
        </w:rPr>
      </w:pPr>
      <w:r>
        <w:rPr>
          <w:rFonts w:ascii="宋体" w:hAnsi="宋体" w:eastAsia="宋体" w:cs="宋体"/>
          <w:spacing w:val="-1"/>
          <w:sz w:val="24"/>
          <w:szCs w:val="24"/>
          <w:highlight w:val="none"/>
        </w:rPr>
        <w:t>3.     偏离说明填写：优于、满足或低于。</w:t>
      </w:r>
    </w:p>
    <w:p w14:paraId="3DFA9B6A">
      <w:pPr>
        <w:spacing w:line="219" w:lineRule="auto"/>
        <w:rPr>
          <w:rFonts w:ascii="宋体" w:hAnsi="宋体" w:eastAsia="宋体" w:cs="宋体"/>
          <w:sz w:val="24"/>
          <w:szCs w:val="24"/>
          <w:highlight w:val="none"/>
        </w:rPr>
        <w:sectPr>
          <w:headerReference r:id="rId12" w:type="default"/>
          <w:footerReference r:id="rId13" w:type="default"/>
          <w:pgSz w:w="11906" w:h="16839"/>
          <w:pgMar w:top="1292" w:right="1305" w:bottom="1163" w:left="1303" w:header="1080" w:footer="949" w:gutter="0"/>
          <w:pgNumType w:fmt="decimal"/>
          <w:cols w:space="720" w:num="1"/>
        </w:sectPr>
      </w:pPr>
    </w:p>
    <w:p w14:paraId="1E481174">
      <w:pPr>
        <w:ind w:firstLine="161" w:firstLineChars="50"/>
        <w:jc w:val="center"/>
        <w:outlineLvl w:val="1"/>
        <w:rPr>
          <w:rFonts w:hAnsi="宋体" w:cs="宋体"/>
          <w:sz w:val="32"/>
          <w:szCs w:val="32"/>
          <w:highlight w:val="none"/>
        </w:rPr>
      </w:pPr>
      <w:r>
        <w:rPr>
          <w:rFonts w:hint="eastAsia" w:hAnsi="宋体" w:cs="宋体"/>
          <w:b/>
          <w:bCs/>
          <w:sz w:val="32"/>
          <w:szCs w:val="32"/>
          <w:highlight w:val="none"/>
        </w:rPr>
        <w:t>四、</w:t>
      </w:r>
      <w:bookmarkEnd w:id="140"/>
      <w:bookmarkEnd w:id="141"/>
      <w:bookmarkEnd w:id="142"/>
      <w:bookmarkEnd w:id="143"/>
      <w:bookmarkEnd w:id="144"/>
      <w:r>
        <w:rPr>
          <w:rFonts w:hint="eastAsia" w:hAnsi="宋体" w:cs="宋体"/>
          <w:b/>
          <w:bCs/>
          <w:sz w:val="32"/>
          <w:szCs w:val="32"/>
          <w:highlight w:val="none"/>
        </w:rPr>
        <w:t>商务条款偏离表</w:t>
      </w:r>
      <w:bookmarkEnd w:id="145"/>
      <w:bookmarkEnd w:id="146"/>
      <w:bookmarkEnd w:id="147"/>
      <w:bookmarkEnd w:id="148"/>
    </w:p>
    <w:p w14:paraId="79AC34B3">
      <w:pPr>
        <w:pStyle w:val="19"/>
        <w:widowControl w:val="0"/>
        <w:spacing w:before="0" w:beforeAutospacing="0" w:after="0" w:afterAutospacing="0"/>
        <w:jc w:val="both"/>
        <w:rPr>
          <w:rFonts w:cs="宋体"/>
          <w:highlight w:val="none"/>
        </w:rPr>
      </w:pPr>
    </w:p>
    <w:p w14:paraId="6A830D60">
      <w:pPr>
        <w:pStyle w:val="19"/>
        <w:widowControl w:val="0"/>
        <w:spacing w:before="156" w:beforeLines="50" w:beforeAutospacing="0" w:after="156" w:afterLines="50" w:afterAutospacing="0"/>
        <w:rPr>
          <w:rFonts w:cs="宋体"/>
          <w:highlight w:val="none"/>
        </w:rPr>
      </w:pPr>
      <w:r>
        <w:rPr>
          <w:rFonts w:hint="eastAsia" w:cs="宋体"/>
          <w:highlight w:val="none"/>
        </w:rPr>
        <w:t>项目编号：</w:t>
      </w:r>
    </w:p>
    <w:p w14:paraId="4C65322C">
      <w:pPr>
        <w:pStyle w:val="19"/>
        <w:widowControl w:val="0"/>
        <w:spacing w:before="156" w:beforeLines="50" w:beforeAutospacing="0" w:after="156" w:afterLines="50" w:afterAutospacing="0"/>
        <w:rPr>
          <w:rFonts w:cs="宋体"/>
          <w:highlight w:val="none"/>
        </w:rPr>
      </w:pPr>
      <w:r>
        <w:rPr>
          <w:rFonts w:hint="eastAsia" w:cs="宋体"/>
          <w:highlight w:val="none"/>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26F9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112F671">
            <w:pPr>
              <w:pStyle w:val="19"/>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12E5AD21">
            <w:pPr>
              <w:pStyle w:val="19"/>
              <w:widowControl w:val="0"/>
              <w:spacing w:before="0" w:beforeAutospacing="0" w:after="0" w:afterAutospacing="0"/>
              <w:jc w:val="center"/>
              <w:rPr>
                <w:rFonts w:cs="宋体"/>
                <w:highlight w:val="none"/>
              </w:rPr>
            </w:pPr>
            <w:r>
              <w:rPr>
                <w:rFonts w:hint="eastAsia"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055B0ABF">
            <w:pPr>
              <w:pStyle w:val="19"/>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4CB1D34E">
            <w:pPr>
              <w:pStyle w:val="19"/>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27C16FD1">
            <w:pPr>
              <w:pStyle w:val="19"/>
              <w:widowControl w:val="0"/>
              <w:spacing w:before="0" w:beforeAutospacing="0" w:after="0" w:afterAutospacing="0"/>
              <w:jc w:val="center"/>
              <w:rPr>
                <w:rFonts w:cs="宋体"/>
                <w:highlight w:val="none"/>
              </w:rPr>
            </w:pPr>
            <w:r>
              <w:rPr>
                <w:rFonts w:hint="eastAsia" w:cs="宋体"/>
                <w:highlight w:val="none"/>
              </w:rPr>
              <w:t>说明</w:t>
            </w:r>
          </w:p>
        </w:tc>
      </w:tr>
      <w:tr w14:paraId="4206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A65C785">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FCF8978">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D06BAF2">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3F95C56">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72298AD">
            <w:pPr>
              <w:pStyle w:val="19"/>
              <w:widowControl w:val="0"/>
              <w:spacing w:before="0" w:beforeAutospacing="0" w:after="0" w:afterAutospacing="0"/>
              <w:ind w:firstLine="480" w:firstLineChars="200"/>
              <w:jc w:val="center"/>
              <w:rPr>
                <w:rFonts w:cs="宋体"/>
                <w:highlight w:val="none"/>
              </w:rPr>
            </w:pPr>
          </w:p>
        </w:tc>
      </w:tr>
      <w:tr w14:paraId="37F7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8F82368">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73C2391">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BDA6F48">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31F8629">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4460EB9">
            <w:pPr>
              <w:pStyle w:val="19"/>
              <w:widowControl w:val="0"/>
              <w:spacing w:before="0" w:beforeAutospacing="0" w:after="0" w:afterAutospacing="0"/>
              <w:ind w:firstLine="480" w:firstLineChars="200"/>
              <w:jc w:val="center"/>
              <w:rPr>
                <w:rFonts w:cs="宋体"/>
                <w:highlight w:val="none"/>
              </w:rPr>
            </w:pPr>
          </w:p>
        </w:tc>
      </w:tr>
      <w:tr w14:paraId="52E0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0949075">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22D085D">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08B4D721">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AB2F050">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EF59FD3">
            <w:pPr>
              <w:pStyle w:val="19"/>
              <w:widowControl w:val="0"/>
              <w:spacing w:before="0" w:beforeAutospacing="0" w:after="0" w:afterAutospacing="0"/>
              <w:ind w:firstLine="480" w:firstLineChars="200"/>
              <w:jc w:val="center"/>
              <w:rPr>
                <w:rFonts w:cs="宋体"/>
                <w:highlight w:val="none"/>
              </w:rPr>
            </w:pPr>
          </w:p>
        </w:tc>
      </w:tr>
      <w:tr w14:paraId="1727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501006D">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D683EFF">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9393190">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95F8D2A">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CF31A80">
            <w:pPr>
              <w:pStyle w:val="19"/>
              <w:widowControl w:val="0"/>
              <w:spacing w:before="0" w:beforeAutospacing="0" w:after="0" w:afterAutospacing="0"/>
              <w:ind w:firstLine="480" w:firstLineChars="200"/>
              <w:jc w:val="center"/>
              <w:rPr>
                <w:rFonts w:cs="宋体"/>
                <w:highlight w:val="none"/>
              </w:rPr>
            </w:pPr>
          </w:p>
        </w:tc>
      </w:tr>
      <w:tr w14:paraId="2A95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8F729C1">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637D3B5">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0A6FC18">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682891E">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BD86D54">
            <w:pPr>
              <w:pStyle w:val="19"/>
              <w:widowControl w:val="0"/>
              <w:spacing w:before="0" w:beforeAutospacing="0" w:after="0" w:afterAutospacing="0"/>
              <w:ind w:firstLine="480" w:firstLineChars="200"/>
              <w:jc w:val="center"/>
              <w:rPr>
                <w:rFonts w:cs="宋体"/>
                <w:highlight w:val="none"/>
              </w:rPr>
            </w:pPr>
          </w:p>
        </w:tc>
      </w:tr>
      <w:tr w14:paraId="77C1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C947921">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B1B7346">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4EF81752">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B77504A">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F790BDE">
            <w:pPr>
              <w:pStyle w:val="19"/>
              <w:widowControl w:val="0"/>
              <w:spacing w:before="0" w:beforeAutospacing="0" w:after="0" w:afterAutospacing="0"/>
              <w:ind w:firstLine="480" w:firstLineChars="200"/>
              <w:jc w:val="center"/>
              <w:rPr>
                <w:rFonts w:cs="宋体"/>
                <w:highlight w:val="none"/>
              </w:rPr>
            </w:pPr>
          </w:p>
        </w:tc>
      </w:tr>
      <w:tr w14:paraId="1FA2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393F832">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2B78823">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19D06F8">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E13508">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4A001D2">
            <w:pPr>
              <w:pStyle w:val="19"/>
              <w:widowControl w:val="0"/>
              <w:spacing w:before="0" w:beforeAutospacing="0" w:after="0" w:afterAutospacing="0"/>
              <w:ind w:firstLine="480" w:firstLineChars="200"/>
              <w:jc w:val="center"/>
              <w:rPr>
                <w:rFonts w:cs="宋体"/>
                <w:highlight w:val="none"/>
              </w:rPr>
            </w:pPr>
          </w:p>
        </w:tc>
      </w:tr>
    </w:tbl>
    <w:p w14:paraId="196EE87A">
      <w:pPr>
        <w:pStyle w:val="19"/>
        <w:widowControl w:val="0"/>
        <w:spacing w:before="0" w:beforeAutospacing="0" w:after="0" w:afterAutospacing="0"/>
        <w:rPr>
          <w:rFonts w:cs="宋体"/>
          <w:highlight w:val="none"/>
        </w:rPr>
      </w:pPr>
      <w:r>
        <w:rPr>
          <w:rFonts w:hint="eastAsia" w:cs="宋体"/>
          <w:highlight w:val="none"/>
        </w:rPr>
        <w:t>说明：</w:t>
      </w:r>
    </w:p>
    <w:p w14:paraId="52795731">
      <w:pPr>
        <w:pStyle w:val="19"/>
        <w:widowControl w:val="0"/>
        <w:spacing w:before="0" w:beforeAutospacing="0" w:after="0" w:afterAutospacing="0"/>
        <w:ind w:firstLine="480" w:firstLineChars="200"/>
        <w:jc w:val="both"/>
        <w:rPr>
          <w:rFonts w:cs="宋体"/>
          <w:highlight w:val="none"/>
        </w:rPr>
      </w:pPr>
      <w:r>
        <w:rPr>
          <w:rFonts w:hint="eastAsia" w:cs="宋体"/>
          <w:highlight w:val="none"/>
        </w:rPr>
        <w:t>1.参照第</w:t>
      </w:r>
      <w:r>
        <w:rPr>
          <w:rFonts w:hint="eastAsia" w:cs="宋体"/>
          <w:highlight w:val="none"/>
          <w:lang w:val="en-US" w:eastAsia="zh-CN"/>
        </w:rPr>
        <w:t>四</w:t>
      </w:r>
      <w:r>
        <w:rPr>
          <w:rFonts w:hint="eastAsia" w:cs="宋体"/>
          <w:highlight w:val="none"/>
        </w:rPr>
        <w:t>章合同条款要求内容进行响应。</w:t>
      </w:r>
    </w:p>
    <w:p w14:paraId="036D242B">
      <w:pPr>
        <w:pStyle w:val="19"/>
        <w:widowControl w:val="0"/>
        <w:spacing w:before="0" w:beforeAutospacing="0" w:after="0" w:afterAutospacing="0"/>
        <w:ind w:firstLine="480" w:firstLineChars="200"/>
        <w:jc w:val="both"/>
        <w:rPr>
          <w:rFonts w:cs="宋体"/>
          <w:highlight w:val="none"/>
        </w:rPr>
      </w:pPr>
      <w:r>
        <w:rPr>
          <w:rFonts w:hint="eastAsia" w:cs="宋体"/>
          <w:highlight w:val="none"/>
        </w:rPr>
        <w:t>2.本表只填写磋商响应文件中与磋商文件有偏离（包括正偏离和负偏离）的内容，磋商响应文件中商务响应与磋商文件要求完全一致的，不用在此表中列出，但必须提交空白表。</w:t>
      </w:r>
    </w:p>
    <w:p w14:paraId="44B21FDA">
      <w:pPr>
        <w:pStyle w:val="19"/>
        <w:widowControl w:val="0"/>
        <w:spacing w:before="0" w:beforeAutospacing="0" w:after="0" w:afterAutospacing="0"/>
        <w:ind w:firstLine="480" w:firstLineChars="200"/>
        <w:rPr>
          <w:rFonts w:cs="宋体"/>
          <w:highlight w:val="none"/>
        </w:rPr>
      </w:pPr>
      <w:r>
        <w:rPr>
          <w:rFonts w:hint="eastAsia" w:cs="宋体"/>
          <w:highlight w:val="none"/>
          <w:lang w:val="en-US" w:eastAsia="zh-CN"/>
        </w:rPr>
        <w:t>3</w:t>
      </w:r>
      <w:r>
        <w:rPr>
          <w:rFonts w:hint="eastAsia" w:cs="宋体"/>
          <w:highlight w:val="none"/>
        </w:rPr>
        <w:t>.供应商必须据实填写，不得虚假响应，否则将取消其磋商或成交资格，并按有关规定进处罚。</w:t>
      </w:r>
    </w:p>
    <w:p w14:paraId="74B7BCAB">
      <w:pPr>
        <w:pStyle w:val="19"/>
        <w:widowControl w:val="0"/>
        <w:spacing w:before="0" w:beforeAutospacing="0" w:after="0" w:afterAutospacing="0"/>
        <w:ind w:firstLine="480" w:firstLineChars="200"/>
        <w:jc w:val="center"/>
        <w:rPr>
          <w:rFonts w:cs="宋体"/>
          <w:highlight w:val="none"/>
        </w:rPr>
      </w:pPr>
    </w:p>
    <w:p w14:paraId="58BDA3F8">
      <w:pPr>
        <w:pStyle w:val="19"/>
        <w:widowControl w:val="0"/>
        <w:spacing w:before="0" w:beforeAutospacing="0" w:after="0" w:afterAutospacing="0"/>
        <w:ind w:firstLine="480" w:firstLineChars="200"/>
        <w:rPr>
          <w:rFonts w:cs="宋体"/>
          <w:highlight w:val="none"/>
        </w:rPr>
      </w:pPr>
      <w:r>
        <w:rPr>
          <w:rFonts w:hint="eastAsia" w:cs="宋体"/>
          <w:highlight w:val="none"/>
        </w:rPr>
        <w:t>供应商名称：</w:t>
      </w:r>
      <w:r>
        <w:rPr>
          <w:rFonts w:hint="eastAsia" w:cs="宋体"/>
          <w:highlight w:val="none"/>
          <w:u w:val="single"/>
        </w:rPr>
        <w:t xml:space="preserve">                       </w:t>
      </w:r>
      <w:r>
        <w:rPr>
          <w:rFonts w:hint="eastAsia" w:cs="宋体"/>
          <w:highlight w:val="none"/>
        </w:rPr>
        <w:t>（单位公章）</w:t>
      </w:r>
    </w:p>
    <w:p w14:paraId="5904D02C">
      <w:pPr>
        <w:pStyle w:val="19"/>
        <w:widowControl w:val="0"/>
        <w:spacing w:before="0" w:beforeAutospacing="0" w:after="0" w:afterAutospacing="0"/>
        <w:ind w:firstLine="480" w:firstLineChars="200"/>
        <w:jc w:val="center"/>
        <w:rPr>
          <w:rFonts w:cs="宋体"/>
          <w:highlight w:val="none"/>
        </w:rPr>
      </w:pPr>
    </w:p>
    <w:p w14:paraId="6AC62CBC">
      <w:pPr>
        <w:spacing w:line="400" w:lineRule="exact"/>
        <w:ind w:firstLine="480" w:firstLineChars="200"/>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 xml:space="preserve">） </w:t>
      </w:r>
    </w:p>
    <w:p w14:paraId="0907BC32">
      <w:pPr>
        <w:spacing w:line="360" w:lineRule="auto"/>
        <w:ind w:left="600" w:leftChars="250"/>
        <w:rPr>
          <w:rFonts w:hAnsi="宋体" w:cs="宋体"/>
          <w:b/>
          <w:bCs/>
          <w:sz w:val="28"/>
          <w:szCs w:val="28"/>
          <w:highlight w:val="none"/>
        </w:rPr>
      </w:pPr>
    </w:p>
    <w:p w14:paraId="36895CAC">
      <w:pPr>
        <w:spacing w:line="440" w:lineRule="exact"/>
        <w:ind w:left="3725" w:leftChars="1552"/>
        <w:rPr>
          <w:rFonts w:hAnsi="宋体" w:cs="宋体"/>
          <w:szCs w:val="24"/>
          <w:highlight w:val="none"/>
        </w:rPr>
      </w:pPr>
    </w:p>
    <w:p w14:paraId="10BEB2EF">
      <w:pPr>
        <w:spacing w:line="440" w:lineRule="exact"/>
        <w:ind w:left="3725" w:leftChars="1552"/>
        <w:rPr>
          <w:rFonts w:hAnsi="宋体" w:cs="宋体"/>
          <w:szCs w:val="24"/>
          <w:highlight w:val="none"/>
        </w:rPr>
      </w:pPr>
    </w:p>
    <w:bookmarkEnd w:id="139"/>
    <w:p w14:paraId="072C5CE4">
      <w:pPr>
        <w:spacing w:line="360" w:lineRule="auto"/>
        <w:jc w:val="center"/>
        <w:outlineLvl w:val="1"/>
        <w:rPr>
          <w:rFonts w:hAnsi="宋体" w:cs="宋体"/>
          <w:b/>
          <w:bCs/>
          <w:sz w:val="30"/>
          <w:szCs w:val="30"/>
          <w:highlight w:val="none"/>
        </w:rPr>
      </w:pPr>
      <w:bookmarkStart w:id="149" w:name="_Toc403077656"/>
      <w:bookmarkStart w:id="150" w:name="_Toc363474033"/>
      <w:r>
        <w:rPr>
          <w:rFonts w:hint="eastAsia" w:hAnsi="宋体" w:cs="宋体"/>
          <w:b/>
          <w:bCs/>
          <w:sz w:val="30"/>
          <w:szCs w:val="30"/>
          <w:highlight w:val="none"/>
        </w:rPr>
        <w:br w:type="page"/>
      </w:r>
      <w:bookmarkStart w:id="151" w:name="_Toc27470"/>
      <w:bookmarkStart w:id="152" w:name="_Toc3253"/>
      <w:bookmarkStart w:id="153" w:name="_Toc1542"/>
      <w:bookmarkStart w:id="154" w:name="_Toc3386"/>
      <w:r>
        <w:rPr>
          <w:rFonts w:hint="eastAsia" w:hAnsi="宋体" w:cs="宋体"/>
          <w:b/>
          <w:bCs/>
          <w:sz w:val="30"/>
          <w:szCs w:val="30"/>
          <w:highlight w:val="none"/>
        </w:rPr>
        <w:t>五、陕西省政府采购供应商拒绝政府采购领域商业贿赂承诺书</w:t>
      </w:r>
      <w:bookmarkEnd w:id="149"/>
      <w:bookmarkEnd w:id="150"/>
      <w:bookmarkEnd w:id="151"/>
      <w:bookmarkEnd w:id="152"/>
      <w:bookmarkEnd w:id="153"/>
      <w:bookmarkEnd w:id="154"/>
    </w:p>
    <w:p w14:paraId="1300EE8C">
      <w:pPr>
        <w:spacing w:line="600" w:lineRule="exact"/>
        <w:ind w:firstLine="480" w:firstLineChars="200"/>
        <w:jc w:val="left"/>
        <w:rPr>
          <w:rFonts w:hAnsi="宋体" w:cs="宋体"/>
          <w:szCs w:val="24"/>
          <w:highlight w:val="none"/>
        </w:rPr>
      </w:pPr>
      <w:r>
        <w:rPr>
          <w:rFonts w:hint="eastAsia" w:hAnsi="宋体" w:cs="宋体"/>
          <w:szCs w:val="24"/>
          <w:highlight w:val="none"/>
        </w:rPr>
        <w:t>为响应党中央、国务院关于治理政府采购领域商业贿赂行为的号召，我公司在此庄严承诺：</w:t>
      </w:r>
    </w:p>
    <w:p w14:paraId="11AB99E9">
      <w:pPr>
        <w:spacing w:line="600" w:lineRule="exact"/>
        <w:ind w:firstLine="480" w:firstLineChars="200"/>
        <w:jc w:val="left"/>
        <w:rPr>
          <w:rFonts w:hAnsi="宋体" w:cs="宋体"/>
          <w:szCs w:val="24"/>
          <w:highlight w:val="none"/>
        </w:rPr>
      </w:pPr>
      <w:r>
        <w:rPr>
          <w:rFonts w:hint="eastAsia" w:hAnsi="宋体" w:cs="宋体"/>
          <w:szCs w:val="24"/>
          <w:highlight w:val="none"/>
        </w:rPr>
        <w:t>1、在参与政府采购活动中遵纪守法、诚信经营、公平竞标。</w:t>
      </w:r>
    </w:p>
    <w:p w14:paraId="7C30076D">
      <w:pPr>
        <w:spacing w:line="600" w:lineRule="exact"/>
        <w:ind w:firstLine="480" w:firstLineChars="200"/>
        <w:jc w:val="left"/>
        <w:rPr>
          <w:rFonts w:hAnsi="宋体" w:cs="宋体"/>
          <w:szCs w:val="24"/>
          <w:highlight w:val="none"/>
        </w:rPr>
      </w:pPr>
      <w:r>
        <w:rPr>
          <w:rFonts w:hint="eastAsia" w:hAnsi="宋体" w:cs="宋体"/>
          <w:szCs w:val="24"/>
          <w:highlight w:val="none"/>
        </w:rPr>
        <w:t>2、不向政府采购人、采购代理机构和政府采购评审专家进行任何形式的商业贿赂以谋取交易机会。</w:t>
      </w:r>
    </w:p>
    <w:p w14:paraId="20485AE4">
      <w:pPr>
        <w:spacing w:line="600" w:lineRule="exact"/>
        <w:ind w:firstLine="480" w:firstLineChars="200"/>
        <w:jc w:val="left"/>
        <w:rPr>
          <w:rFonts w:hAnsi="宋体" w:cs="宋体"/>
          <w:szCs w:val="24"/>
          <w:highlight w:val="none"/>
        </w:rPr>
      </w:pPr>
      <w:r>
        <w:rPr>
          <w:rFonts w:hint="eastAsia" w:hAnsi="宋体" w:cs="宋体"/>
          <w:szCs w:val="24"/>
          <w:highlight w:val="none"/>
        </w:rPr>
        <w:t>3、不向政府采购代理机构和采购人提供虚假资质文件或采用虚假应标方式参与政府采购市场竞争并谋取中标、成交。</w:t>
      </w:r>
    </w:p>
    <w:p w14:paraId="11C5FB10">
      <w:pPr>
        <w:spacing w:line="600" w:lineRule="exact"/>
        <w:ind w:firstLine="480" w:firstLineChars="200"/>
        <w:jc w:val="left"/>
        <w:rPr>
          <w:rFonts w:hAnsi="宋体" w:cs="宋体"/>
          <w:szCs w:val="24"/>
          <w:highlight w:val="none"/>
        </w:rPr>
      </w:pPr>
      <w:r>
        <w:rPr>
          <w:rFonts w:hint="eastAsia" w:hAnsi="宋体" w:cs="宋体"/>
          <w:szCs w:val="24"/>
          <w:highlight w:val="none"/>
        </w:rPr>
        <w:t>4、不采取“围标、陪标”等商业欺诈手段获得政府采购定单。</w:t>
      </w:r>
    </w:p>
    <w:p w14:paraId="5764466B">
      <w:pPr>
        <w:spacing w:line="600" w:lineRule="exact"/>
        <w:ind w:firstLine="480" w:firstLineChars="200"/>
        <w:jc w:val="left"/>
        <w:rPr>
          <w:rFonts w:hAnsi="宋体" w:cs="宋体"/>
          <w:szCs w:val="24"/>
          <w:highlight w:val="none"/>
        </w:rPr>
      </w:pPr>
      <w:r>
        <w:rPr>
          <w:rFonts w:hint="eastAsia" w:hAnsi="宋体" w:cs="宋体"/>
          <w:szCs w:val="24"/>
          <w:highlight w:val="none"/>
        </w:rPr>
        <w:t>5、不采取不正当手段诋毁、排挤其他供应商。</w:t>
      </w:r>
    </w:p>
    <w:p w14:paraId="66F9554B">
      <w:pPr>
        <w:spacing w:line="600" w:lineRule="exact"/>
        <w:ind w:firstLine="480" w:firstLineChars="200"/>
        <w:jc w:val="left"/>
        <w:rPr>
          <w:rFonts w:hAnsi="宋体" w:cs="宋体"/>
          <w:szCs w:val="24"/>
          <w:highlight w:val="none"/>
        </w:rPr>
      </w:pPr>
      <w:r>
        <w:rPr>
          <w:rFonts w:hint="eastAsia" w:hAnsi="宋体" w:cs="宋体"/>
          <w:szCs w:val="24"/>
          <w:highlight w:val="none"/>
        </w:rPr>
        <w:t>6、不在提供商品和服务时“偷梁换柱、以次充好”损害采购人的合法权益。</w:t>
      </w:r>
    </w:p>
    <w:p w14:paraId="47722196">
      <w:pPr>
        <w:spacing w:line="600" w:lineRule="exact"/>
        <w:ind w:firstLine="480" w:firstLineChars="200"/>
        <w:jc w:val="left"/>
        <w:rPr>
          <w:rFonts w:hAnsi="宋体" w:cs="宋体"/>
          <w:szCs w:val="24"/>
          <w:highlight w:val="none"/>
        </w:rPr>
      </w:pPr>
      <w:r>
        <w:rPr>
          <w:rFonts w:hint="eastAsia" w:hAnsi="宋体" w:cs="宋体"/>
          <w:szCs w:val="24"/>
          <w:highlight w:val="none"/>
        </w:rPr>
        <w:t>7、不与采购人、采购代理机构政府采购评审专家或其它供应商恶意串通，进行质疑和投诉，维护政府采购市场秩序。</w:t>
      </w:r>
    </w:p>
    <w:p w14:paraId="1AA533D8">
      <w:pPr>
        <w:spacing w:line="600" w:lineRule="exact"/>
        <w:ind w:firstLine="480" w:firstLineChars="200"/>
        <w:jc w:val="left"/>
        <w:rPr>
          <w:rFonts w:hAnsi="宋体" w:cs="宋体"/>
          <w:szCs w:val="24"/>
          <w:highlight w:val="none"/>
        </w:rPr>
      </w:pPr>
      <w:r>
        <w:rPr>
          <w:rFonts w:hint="eastAsia" w:hAnsi="宋体" w:cs="宋体"/>
          <w:szCs w:val="24"/>
          <w:highlight w:val="none"/>
        </w:rPr>
        <w:t>8、尊重和接受政府采购监督管理部门的监督和政府采购代理机构招标采购要求，承担因违约行为给采购人造成的损失。</w:t>
      </w:r>
    </w:p>
    <w:p w14:paraId="2CFC6B6D">
      <w:pPr>
        <w:spacing w:line="600" w:lineRule="exact"/>
        <w:ind w:left="761" w:leftChars="267" w:hanging="120" w:hangingChars="50"/>
        <w:jc w:val="left"/>
        <w:rPr>
          <w:rFonts w:hAnsi="宋体" w:cs="宋体"/>
          <w:szCs w:val="24"/>
          <w:highlight w:val="none"/>
        </w:rPr>
      </w:pPr>
      <w:r>
        <w:rPr>
          <w:rFonts w:hint="eastAsia" w:hAnsi="宋体" w:cs="宋体"/>
          <w:szCs w:val="24"/>
          <w:highlight w:val="none"/>
        </w:rPr>
        <w:t>9、不发生其他有悖于政府采购公开、公平、公正和诚信原则的行为。</w:t>
      </w:r>
    </w:p>
    <w:p w14:paraId="08D922FD">
      <w:pPr>
        <w:spacing w:line="600" w:lineRule="exact"/>
        <w:ind w:firstLine="720" w:firstLineChars="300"/>
        <w:jc w:val="left"/>
        <w:rPr>
          <w:rFonts w:hAnsi="宋体" w:cs="宋体"/>
          <w:szCs w:val="24"/>
          <w:highlight w:val="none"/>
        </w:rPr>
      </w:pPr>
      <w:r>
        <w:rPr>
          <w:rFonts w:hint="eastAsia" w:hAnsi="宋体" w:cs="宋体"/>
          <w:szCs w:val="24"/>
          <w:highlight w:val="none"/>
        </w:rPr>
        <w:t>承诺单位（盖章）：</w:t>
      </w:r>
    </w:p>
    <w:p w14:paraId="7EA170CF">
      <w:pPr>
        <w:spacing w:line="600" w:lineRule="exact"/>
        <w:ind w:firstLine="720" w:firstLineChars="300"/>
        <w:jc w:val="left"/>
        <w:rPr>
          <w:rFonts w:hAnsi="宋体" w:cs="宋体"/>
          <w:szCs w:val="24"/>
          <w:highlight w:val="none"/>
        </w:rPr>
      </w:pPr>
      <w:r>
        <w:rPr>
          <w:rFonts w:hint="eastAsia" w:hAnsi="宋体" w:cs="宋体"/>
          <w:szCs w:val="24"/>
          <w:highlight w:val="none"/>
        </w:rPr>
        <w:t>全权代表（签字）：</w:t>
      </w:r>
    </w:p>
    <w:p w14:paraId="279732C3">
      <w:pPr>
        <w:spacing w:line="600" w:lineRule="exact"/>
        <w:ind w:firstLine="720" w:firstLineChars="300"/>
        <w:rPr>
          <w:rFonts w:hAnsi="宋体" w:cs="宋体"/>
          <w:szCs w:val="24"/>
          <w:highlight w:val="none"/>
        </w:rPr>
      </w:pPr>
      <w:r>
        <w:rPr>
          <w:rFonts w:hint="eastAsia" w:hAnsi="宋体" w:cs="宋体"/>
          <w:szCs w:val="24"/>
          <w:highlight w:val="none"/>
        </w:rPr>
        <w:t xml:space="preserve">地    址：                                                       </w:t>
      </w:r>
    </w:p>
    <w:p w14:paraId="527F6BAF">
      <w:pPr>
        <w:spacing w:line="600" w:lineRule="exact"/>
        <w:ind w:firstLine="720" w:firstLineChars="300"/>
        <w:rPr>
          <w:rFonts w:hAnsi="宋体" w:cs="宋体"/>
          <w:szCs w:val="24"/>
          <w:highlight w:val="none"/>
        </w:rPr>
      </w:pPr>
      <w:r>
        <w:rPr>
          <w:rFonts w:hint="eastAsia" w:hAnsi="宋体" w:cs="宋体"/>
          <w:szCs w:val="24"/>
          <w:highlight w:val="none"/>
        </w:rPr>
        <w:t xml:space="preserve">邮    编：                                                       </w:t>
      </w:r>
    </w:p>
    <w:p w14:paraId="042167CC">
      <w:pPr>
        <w:spacing w:line="600" w:lineRule="exact"/>
        <w:ind w:left="240" w:leftChars="100" w:firstLine="480" w:firstLineChars="200"/>
        <w:rPr>
          <w:rFonts w:hAnsi="宋体" w:cs="宋体"/>
          <w:szCs w:val="24"/>
          <w:highlight w:val="none"/>
        </w:rPr>
      </w:pPr>
      <w:r>
        <w:rPr>
          <w:rFonts w:hint="eastAsia" w:hAnsi="宋体" w:cs="宋体"/>
          <w:szCs w:val="24"/>
          <w:highlight w:val="none"/>
        </w:rPr>
        <w:t xml:space="preserve">电    话：                                                       </w:t>
      </w:r>
    </w:p>
    <w:p w14:paraId="40A9DF05">
      <w:pPr>
        <w:spacing w:line="600" w:lineRule="exact"/>
        <w:ind w:left="754" w:leftChars="314" w:firstLine="5280" w:firstLineChars="2200"/>
        <w:jc w:val="left"/>
        <w:rPr>
          <w:rFonts w:hAnsi="宋体" w:cs="宋体"/>
          <w:szCs w:val="24"/>
          <w:highlight w:val="none"/>
        </w:rPr>
      </w:pPr>
      <w:r>
        <w:rPr>
          <w:rFonts w:hint="eastAsia" w:hAnsi="宋体" w:cs="宋体"/>
          <w:szCs w:val="24"/>
          <w:highlight w:val="none"/>
        </w:rPr>
        <w:t>年    月    日</w:t>
      </w:r>
    </w:p>
    <w:p w14:paraId="17153937">
      <w:pPr>
        <w:jc w:val="center"/>
        <w:outlineLvl w:val="1"/>
        <w:rPr>
          <w:rFonts w:hAnsi="宋体" w:cs="宋体"/>
          <w:highlight w:val="none"/>
          <w:shd w:val="clear" w:color="auto" w:fill="FFFFFF"/>
        </w:rPr>
      </w:pPr>
      <w:bookmarkStart w:id="155" w:name="_Toc403077657"/>
      <w:bookmarkStart w:id="156" w:name="_Toc363474034"/>
      <w:r>
        <w:rPr>
          <w:rFonts w:hint="eastAsia" w:hAnsi="宋体" w:cs="宋体"/>
          <w:b/>
          <w:bCs/>
          <w:sz w:val="30"/>
          <w:szCs w:val="30"/>
          <w:highlight w:val="none"/>
        </w:rPr>
        <w:br w:type="page"/>
      </w:r>
      <w:bookmarkStart w:id="157" w:name="_Toc32016"/>
      <w:bookmarkStart w:id="158" w:name="_Toc29285"/>
      <w:bookmarkStart w:id="159" w:name="_Toc7842"/>
      <w:bookmarkStart w:id="160" w:name="_Toc6273"/>
      <w:r>
        <w:rPr>
          <w:rFonts w:hint="eastAsia" w:hAnsi="宋体" w:cs="宋体"/>
          <w:b/>
          <w:bCs/>
          <w:sz w:val="30"/>
          <w:szCs w:val="30"/>
          <w:highlight w:val="none"/>
        </w:rPr>
        <w:t>六、特定资格证明文件</w:t>
      </w:r>
      <w:bookmarkEnd w:id="155"/>
      <w:bookmarkEnd w:id="156"/>
      <w:bookmarkEnd w:id="157"/>
      <w:bookmarkEnd w:id="158"/>
      <w:bookmarkEnd w:id="159"/>
      <w:bookmarkEnd w:id="160"/>
    </w:p>
    <w:p w14:paraId="0FFB5FC7">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5A59DEB1">
      <w:pPr>
        <w:numPr>
          <w:ilvl w:val="0"/>
          <w:numId w:val="0"/>
        </w:numPr>
        <w:spacing w:line="360" w:lineRule="auto"/>
        <w:ind w:firstLine="480" w:firstLineChars="0"/>
        <w:rPr>
          <w:rFonts w:hint="eastAsia" w:hAnsi="宋体" w:cs="宋体"/>
          <w:szCs w:val="24"/>
          <w:highlight w:val="none"/>
        </w:rPr>
      </w:pPr>
      <w:bookmarkStart w:id="161" w:name="_Toc12717"/>
      <w:bookmarkStart w:id="162" w:name="_Toc19114"/>
      <w:bookmarkStart w:id="163" w:name="_Toc23859"/>
      <w:bookmarkStart w:id="164" w:name="_Toc6853"/>
      <w:r>
        <w:rPr>
          <w:rFonts w:hint="eastAsia" w:ascii="宋体" w:hAnsi="宋体" w:eastAsia="宋体" w:cs="宋体"/>
          <w:sz w:val="24"/>
          <w:szCs w:val="24"/>
          <w:lang w:val="en-US" w:eastAsia="zh-CN" w:bidi="ar-SA"/>
        </w:rPr>
        <w:t>（1）</w:t>
      </w:r>
      <w:r>
        <w:rPr>
          <w:rFonts w:hint="eastAsia" w:hAnsi="宋体" w:cs="宋体"/>
          <w:szCs w:val="24"/>
          <w:highlight w:val="none"/>
        </w:rPr>
        <w:t>提供合格有效的法人或者其他组织的营业执照等证明文件，自然人的身份证明。</w:t>
      </w:r>
    </w:p>
    <w:p w14:paraId="1AD61D83">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2</w:t>
      </w:r>
      <w:r>
        <w:rPr>
          <w:rFonts w:hint="eastAsia" w:hAnsi="宋体" w:cs="宋体"/>
          <w:szCs w:val="24"/>
          <w:highlight w:val="none"/>
          <w:lang w:eastAsia="zh-CN"/>
        </w:rPr>
        <w:t>）</w:t>
      </w:r>
      <w:r>
        <w:rPr>
          <w:rFonts w:hint="eastAsia" w:hAnsi="宋体" w:cs="宋体"/>
          <w:szCs w:val="24"/>
          <w:highlight w:val="none"/>
        </w:rPr>
        <w:t>提供法定代表人授权书（附法定代表人、被授权人身份证复</w:t>
      </w:r>
      <w:r>
        <w:rPr>
          <w:rFonts w:hint="eastAsia" w:hAnsi="宋体" w:cs="宋体"/>
          <w:szCs w:val="24"/>
          <w:highlight w:val="none"/>
          <w:lang w:val="en-US" w:eastAsia="zh-CN"/>
        </w:rPr>
        <w:t xml:space="preserve">  </w:t>
      </w:r>
      <w:r>
        <w:rPr>
          <w:rFonts w:hint="eastAsia" w:hAnsi="宋体" w:cs="宋体"/>
          <w:szCs w:val="24"/>
          <w:highlight w:val="none"/>
        </w:rPr>
        <w:t>印件），（法定代表人直接参加磋商，须提供法定代表人身份证明）；</w:t>
      </w:r>
    </w:p>
    <w:p w14:paraId="22FBC16D">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3</w:t>
      </w:r>
      <w:r>
        <w:rPr>
          <w:rFonts w:hint="eastAsia" w:hAnsi="宋体" w:cs="宋体"/>
          <w:szCs w:val="24"/>
          <w:highlight w:val="none"/>
          <w:lang w:eastAsia="zh-CN"/>
        </w:rPr>
        <w:t>）</w:t>
      </w:r>
      <w:r>
        <w:rPr>
          <w:rFonts w:hint="eastAsia" w:hAnsi="宋体" w:cs="宋体"/>
          <w:szCs w:val="24"/>
          <w:highlight w:val="none"/>
        </w:rPr>
        <w:t>财务状况报告：提供2024年度的财务审计报告（至少包括资产负债表和利润表，成立时间至提交磋商响应文件截止时间不足一年的可提供成立后任意时段的资产负债表），或开标时间前六个月内银行出具的资信证明；</w:t>
      </w:r>
    </w:p>
    <w:p w14:paraId="13F1FCB4">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4</w:t>
      </w:r>
      <w:r>
        <w:rPr>
          <w:rFonts w:hint="eastAsia" w:hAnsi="宋体" w:cs="宋体"/>
          <w:szCs w:val="24"/>
          <w:highlight w:val="none"/>
          <w:lang w:eastAsia="zh-CN"/>
        </w:rPr>
        <w:t>）</w:t>
      </w:r>
      <w:r>
        <w:rPr>
          <w:rFonts w:hint="eastAsia" w:hAnsi="宋体" w:cs="宋体"/>
          <w:szCs w:val="24"/>
          <w:highlight w:val="none"/>
        </w:rPr>
        <w:t>税收缴纳证明：提供磋商截止日前一年内已缴纳的至少一个月的纳税证明或完税证明（任意税种），依法免税的单位应提供相关证明材料；</w:t>
      </w:r>
    </w:p>
    <w:p w14:paraId="5E65E627">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5</w:t>
      </w:r>
      <w:r>
        <w:rPr>
          <w:rFonts w:hint="eastAsia" w:hAnsi="宋体" w:cs="宋体"/>
          <w:szCs w:val="24"/>
          <w:highlight w:val="none"/>
          <w:lang w:eastAsia="zh-CN"/>
        </w:rPr>
        <w:t>）</w:t>
      </w:r>
      <w:r>
        <w:rPr>
          <w:rFonts w:hint="eastAsia" w:hAnsi="宋体" w:cs="宋体"/>
          <w:szCs w:val="24"/>
          <w:highlight w:val="none"/>
        </w:rPr>
        <w:t>社会保障资金缴纳证明：提供磋商截止日前一年内已缴存的至少一个月的社会保障资金缴存单据或社保机构开具的社会保险参保缴费情况证明，依法不需要缴纳社会保障资金的单位应提供相关证明材料；</w:t>
      </w:r>
    </w:p>
    <w:p w14:paraId="544D025C">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6</w:t>
      </w:r>
      <w:r>
        <w:rPr>
          <w:rFonts w:hint="eastAsia" w:hAnsi="宋体" w:cs="宋体"/>
          <w:szCs w:val="24"/>
          <w:highlight w:val="none"/>
          <w:lang w:eastAsia="zh-CN"/>
        </w:rPr>
        <w:t>）</w:t>
      </w:r>
      <w:r>
        <w:rPr>
          <w:rFonts w:hint="eastAsia" w:hAnsi="宋体" w:cs="宋体"/>
          <w:szCs w:val="24"/>
          <w:highlight w:val="none"/>
        </w:rPr>
        <w:t>提供具有履行本合同所必需的设备和专业技术能力的说明及承诺书；</w:t>
      </w:r>
    </w:p>
    <w:p w14:paraId="3B0FE60C">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7</w:t>
      </w:r>
      <w:r>
        <w:rPr>
          <w:rFonts w:hint="eastAsia" w:hAnsi="宋体" w:cs="宋体"/>
          <w:szCs w:val="24"/>
          <w:highlight w:val="none"/>
          <w:lang w:eastAsia="zh-CN"/>
        </w:rPr>
        <w:t>）</w:t>
      </w:r>
      <w:r>
        <w:rPr>
          <w:rFonts w:hint="eastAsia" w:hAnsi="宋体" w:cs="宋体"/>
          <w:szCs w:val="24"/>
          <w:highlight w:val="none"/>
        </w:rPr>
        <w:t>供应商应通过“信用中国”网站(www.creditchina.gov.cn)、中国政府采购网(www.ccgp.gov.cn)查询相关主体信用记录；</w:t>
      </w:r>
    </w:p>
    <w:p w14:paraId="1ED4D930">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8</w:t>
      </w:r>
      <w:r>
        <w:rPr>
          <w:rFonts w:hint="eastAsia" w:hAnsi="宋体" w:cs="宋体"/>
          <w:szCs w:val="24"/>
          <w:highlight w:val="none"/>
          <w:lang w:eastAsia="zh-CN"/>
        </w:rPr>
        <w:t>）</w:t>
      </w:r>
      <w:r>
        <w:rPr>
          <w:rFonts w:hint="eastAsia" w:hAnsi="宋体" w:cs="宋体"/>
          <w:szCs w:val="24"/>
          <w:highlight w:val="none"/>
        </w:rPr>
        <w:t>参加政府采购活动前3年内，在经营活动中没有重大违法记录的书面声明；</w:t>
      </w:r>
    </w:p>
    <w:p w14:paraId="2CB63253">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9</w:t>
      </w:r>
      <w:r>
        <w:rPr>
          <w:rFonts w:hint="eastAsia" w:hAnsi="宋体" w:cs="宋体"/>
          <w:szCs w:val="24"/>
          <w:highlight w:val="none"/>
          <w:lang w:eastAsia="zh-CN"/>
        </w:rPr>
        <w:t>）</w:t>
      </w:r>
      <w:r>
        <w:rPr>
          <w:rFonts w:hint="eastAsia" w:hAnsi="宋体" w:cs="宋体"/>
          <w:szCs w:val="24"/>
          <w:highlight w:val="none"/>
        </w:rPr>
        <w:t>供应商须提供《危险化学品经营许可证》；</w:t>
      </w:r>
    </w:p>
    <w:p w14:paraId="6E8EE3A7">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10</w:t>
      </w:r>
      <w:r>
        <w:rPr>
          <w:rFonts w:hint="eastAsia" w:hAnsi="宋体" w:cs="宋体"/>
          <w:szCs w:val="24"/>
          <w:highlight w:val="none"/>
          <w:lang w:eastAsia="zh-CN"/>
        </w:rPr>
        <w:t>）</w:t>
      </w:r>
      <w:r>
        <w:rPr>
          <w:rFonts w:hint="eastAsia" w:hAnsi="宋体" w:cs="宋体"/>
          <w:szCs w:val="24"/>
          <w:highlight w:val="none"/>
        </w:rPr>
        <w:t>供应商须提供中小企业声明函；</w:t>
      </w:r>
    </w:p>
    <w:p w14:paraId="6611ED2D">
      <w:pPr>
        <w:numPr>
          <w:ilvl w:val="0"/>
          <w:numId w:val="0"/>
        </w:numPr>
        <w:spacing w:line="360" w:lineRule="auto"/>
        <w:ind w:firstLine="480" w:firstLineChars="0"/>
        <w:rPr>
          <w:rFonts w:hint="eastAsia"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11</w:t>
      </w:r>
      <w:r>
        <w:rPr>
          <w:rFonts w:hint="eastAsia" w:hAnsi="宋体" w:cs="宋体"/>
          <w:szCs w:val="24"/>
          <w:highlight w:val="none"/>
          <w:lang w:eastAsia="zh-CN"/>
        </w:rPr>
        <w:t>）</w:t>
      </w:r>
      <w:r>
        <w:rPr>
          <w:rFonts w:hint="eastAsia" w:hAnsi="宋体" w:cs="宋体"/>
          <w:szCs w:val="24"/>
          <w:highlight w:val="none"/>
        </w:rPr>
        <w:t>本项目不接受联合体磋商。</w:t>
      </w:r>
    </w:p>
    <w:p w14:paraId="5634BDEF">
      <w:pPr>
        <w:rPr>
          <w:rFonts w:hint="eastAsia" w:hAnsi="宋体" w:cs="宋体"/>
          <w:b/>
          <w:bCs/>
          <w:sz w:val="30"/>
          <w:szCs w:val="30"/>
          <w:highlight w:val="none"/>
        </w:rPr>
      </w:pPr>
      <w:r>
        <w:rPr>
          <w:rFonts w:hint="eastAsia" w:hAnsi="宋体" w:cs="宋体"/>
          <w:b/>
          <w:bCs/>
          <w:sz w:val="30"/>
          <w:szCs w:val="30"/>
          <w:highlight w:val="none"/>
        </w:rPr>
        <w:br w:type="page"/>
      </w:r>
    </w:p>
    <w:p w14:paraId="3553A2B5">
      <w:pPr>
        <w:jc w:val="center"/>
        <w:outlineLvl w:val="1"/>
        <w:rPr>
          <w:rFonts w:hAnsi="宋体" w:cs="宋体"/>
          <w:b/>
          <w:bCs/>
          <w:sz w:val="30"/>
          <w:szCs w:val="30"/>
          <w:highlight w:val="none"/>
        </w:rPr>
      </w:pPr>
      <w:r>
        <w:rPr>
          <w:rFonts w:hint="eastAsia" w:hAnsi="宋体" w:cs="宋体"/>
          <w:b/>
          <w:bCs/>
          <w:sz w:val="30"/>
          <w:szCs w:val="30"/>
          <w:highlight w:val="none"/>
        </w:rPr>
        <w:t>七、其它</w:t>
      </w:r>
      <w:bookmarkEnd w:id="161"/>
      <w:bookmarkEnd w:id="162"/>
      <w:bookmarkEnd w:id="163"/>
      <w:bookmarkEnd w:id="164"/>
    </w:p>
    <w:p w14:paraId="4E3BB816">
      <w:pPr>
        <w:pStyle w:val="10"/>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14:paraId="0C029222">
      <w:pPr>
        <w:pStyle w:val="10"/>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75F31276">
      <w:pPr>
        <w:spacing w:before="156" w:beforeLines="50" w:after="156" w:afterLines="50" w:line="500" w:lineRule="exact"/>
        <w:outlineLvl w:val="2"/>
        <w:rPr>
          <w:rFonts w:hAnsi="宋体" w:cs="宋体"/>
          <w:b/>
          <w:sz w:val="28"/>
          <w:szCs w:val="28"/>
          <w:highlight w:val="none"/>
        </w:rPr>
      </w:pPr>
      <w:r>
        <w:rPr>
          <w:rFonts w:hint="eastAsia" w:hAnsi="宋体" w:cs="宋体"/>
          <w:szCs w:val="24"/>
          <w:highlight w:val="none"/>
        </w:rPr>
        <w:br w:type="page"/>
      </w:r>
      <w:bookmarkStart w:id="165" w:name="_Toc6055"/>
      <w:bookmarkStart w:id="166" w:name="_Toc17513"/>
      <w:bookmarkStart w:id="167" w:name="_Toc29387"/>
      <w:r>
        <w:rPr>
          <w:rFonts w:hint="eastAsia" w:hAnsi="宋体" w:cs="宋体"/>
          <w:b/>
          <w:sz w:val="28"/>
          <w:szCs w:val="28"/>
          <w:highlight w:val="none"/>
        </w:rPr>
        <w:t>附件1：法定代表人身份证明授权书</w:t>
      </w:r>
      <w:bookmarkEnd w:id="165"/>
      <w:bookmarkEnd w:id="166"/>
      <w:bookmarkEnd w:id="167"/>
    </w:p>
    <w:p w14:paraId="15FE4E49">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7FD54DB1">
      <w:pPr>
        <w:pStyle w:val="10"/>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14:paraId="7070D08F">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 xml:space="preserve"> </w:t>
      </w:r>
    </w:p>
    <w:p w14:paraId="1971837C">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6ADD01F6">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1E0D3245">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6320147B">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61527B5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（供应商名称）的法定代表人。</w:t>
      </w:r>
    </w:p>
    <w:p w14:paraId="50FA2239">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3F071193">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1"/>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4AE6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318CB486">
            <w:pPr>
              <w:snapToGrid w:val="0"/>
              <w:spacing w:line="480" w:lineRule="auto"/>
              <w:jc w:val="center"/>
              <w:rPr>
                <w:rFonts w:hAnsi="宋体" w:cs="宋体"/>
                <w:szCs w:val="21"/>
                <w:highlight w:val="none"/>
              </w:rPr>
            </w:pPr>
          </w:p>
          <w:p w14:paraId="464604C7">
            <w:pPr>
              <w:snapToGrid w:val="0"/>
              <w:spacing w:line="480" w:lineRule="auto"/>
              <w:jc w:val="center"/>
              <w:rPr>
                <w:rFonts w:hAnsi="宋体" w:cs="宋体"/>
                <w:szCs w:val="21"/>
                <w:highlight w:val="none"/>
              </w:rPr>
            </w:pPr>
          </w:p>
          <w:p w14:paraId="49469246">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534FA36B">
            <w:pPr>
              <w:pStyle w:val="10"/>
              <w:jc w:val="center"/>
              <w:rPr>
                <w:rFonts w:ascii="宋体" w:hAnsi="宋体" w:cs="宋体"/>
                <w:highlight w:val="none"/>
              </w:rPr>
            </w:pPr>
            <w:r>
              <w:rPr>
                <w:rFonts w:hint="eastAsia" w:ascii="宋体" w:hAnsi="宋体" w:cs="宋体"/>
                <w:szCs w:val="21"/>
                <w:highlight w:val="none"/>
              </w:rPr>
              <w:t>（正反面）</w:t>
            </w:r>
          </w:p>
          <w:p w14:paraId="2C29E66F">
            <w:pPr>
              <w:snapToGrid w:val="0"/>
              <w:spacing w:line="480" w:lineRule="auto"/>
              <w:jc w:val="center"/>
              <w:rPr>
                <w:rFonts w:hAnsi="宋体" w:cs="宋体"/>
                <w:szCs w:val="21"/>
                <w:highlight w:val="none"/>
              </w:rPr>
            </w:pPr>
          </w:p>
          <w:p w14:paraId="47D3BF9A">
            <w:pPr>
              <w:snapToGrid w:val="0"/>
              <w:spacing w:line="480" w:lineRule="auto"/>
              <w:jc w:val="center"/>
              <w:rPr>
                <w:rFonts w:hAnsi="宋体" w:cs="宋体"/>
                <w:szCs w:val="21"/>
                <w:highlight w:val="none"/>
              </w:rPr>
            </w:pPr>
          </w:p>
        </w:tc>
      </w:tr>
    </w:tbl>
    <w:p w14:paraId="4B734501">
      <w:pPr>
        <w:snapToGrid w:val="0"/>
        <w:spacing w:line="480" w:lineRule="auto"/>
        <w:rPr>
          <w:rFonts w:hAnsi="宋体" w:cs="宋体"/>
          <w:szCs w:val="21"/>
          <w:highlight w:val="none"/>
        </w:rPr>
      </w:pPr>
    </w:p>
    <w:p w14:paraId="2C73900E">
      <w:pPr>
        <w:snapToGrid w:val="0"/>
        <w:rPr>
          <w:rFonts w:hAnsi="宋体" w:cs="宋体"/>
          <w:szCs w:val="21"/>
          <w:highlight w:val="none"/>
        </w:rPr>
      </w:pPr>
    </w:p>
    <w:p w14:paraId="784398D6">
      <w:pPr>
        <w:snapToGrid w:val="0"/>
        <w:rPr>
          <w:rFonts w:hAnsi="宋体" w:cs="宋体"/>
          <w:szCs w:val="21"/>
          <w:highlight w:val="none"/>
        </w:rPr>
      </w:pPr>
    </w:p>
    <w:p w14:paraId="37B043BF">
      <w:pPr>
        <w:snapToGrid w:val="0"/>
        <w:rPr>
          <w:rFonts w:hAnsi="宋体" w:cs="宋体"/>
          <w:szCs w:val="21"/>
          <w:highlight w:val="none"/>
        </w:rPr>
      </w:pPr>
    </w:p>
    <w:p w14:paraId="53D1C9F5">
      <w:pPr>
        <w:snapToGrid w:val="0"/>
        <w:rPr>
          <w:rFonts w:hAnsi="宋体" w:cs="宋体"/>
          <w:szCs w:val="21"/>
          <w:highlight w:val="none"/>
        </w:rPr>
      </w:pPr>
    </w:p>
    <w:p w14:paraId="4B43C972">
      <w:pPr>
        <w:adjustRightInd w:val="0"/>
        <w:snapToGrid w:val="0"/>
        <w:spacing w:line="360" w:lineRule="auto"/>
        <w:rPr>
          <w:rFonts w:hAnsi="宋体" w:cs="宋体"/>
          <w:highlight w:val="none"/>
        </w:rPr>
      </w:pPr>
    </w:p>
    <w:p w14:paraId="6F6A112E">
      <w:pPr>
        <w:adjustRightInd w:val="0"/>
        <w:snapToGrid w:val="0"/>
        <w:spacing w:line="360" w:lineRule="auto"/>
        <w:ind w:right="420"/>
        <w:rPr>
          <w:rFonts w:hAnsi="宋体" w:cs="宋体"/>
          <w:highlight w:val="none"/>
        </w:rPr>
      </w:pPr>
    </w:p>
    <w:p w14:paraId="298AF528">
      <w:pPr>
        <w:adjustRightInd w:val="0"/>
        <w:snapToGrid w:val="0"/>
        <w:spacing w:line="360" w:lineRule="auto"/>
        <w:ind w:right="420"/>
        <w:rPr>
          <w:rFonts w:hAnsi="宋体" w:cs="宋体"/>
          <w:highlight w:val="none"/>
        </w:rPr>
      </w:pPr>
    </w:p>
    <w:p w14:paraId="1C3A13AA">
      <w:pPr>
        <w:adjustRightInd w:val="0"/>
        <w:snapToGrid w:val="0"/>
        <w:spacing w:line="360" w:lineRule="auto"/>
        <w:ind w:right="420"/>
        <w:rPr>
          <w:rFonts w:hAnsi="宋体" w:cs="宋体"/>
          <w:highlight w:val="none"/>
        </w:rPr>
      </w:pPr>
    </w:p>
    <w:p w14:paraId="44E64023">
      <w:pPr>
        <w:adjustRightInd w:val="0"/>
        <w:snapToGrid w:val="0"/>
        <w:spacing w:line="360" w:lineRule="auto"/>
        <w:ind w:right="420"/>
        <w:rPr>
          <w:rFonts w:hAnsi="宋体" w:cs="宋体"/>
          <w:highlight w:val="none"/>
        </w:rPr>
      </w:pPr>
    </w:p>
    <w:p w14:paraId="5B0CE763">
      <w:pPr>
        <w:adjustRightInd w:val="0"/>
        <w:snapToGrid w:val="0"/>
        <w:spacing w:line="360" w:lineRule="auto"/>
        <w:ind w:right="420"/>
        <w:rPr>
          <w:rFonts w:hAnsi="宋体" w:cs="宋体"/>
          <w:highlight w:val="none"/>
        </w:rPr>
      </w:pPr>
      <w:r>
        <w:rPr>
          <w:rFonts w:hint="eastAsia" w:hAnsi="宋体" w:cs="宋体"/>
          <w:highlight w:val="none"/>
        </w:rPr>
        <w:t>供应商名称（公章）：</w:t>
      </w:r>
    </w:p>
    <w:p w14:paraId="426E7C8C">
      <w:pPr>
        <w:adjustRightInd w:val="0"/>
        <w:snapToGrid w:val="0"/>
        <w:spacing w:line="360" w:lineRule="auto"/>
        <w:ind w:right="420"/>
        <w:rPr>
          <w:rFonts w:hAnsi="宋体" w:cs="宋体"/>
          <w:highlight w:val="none"/>
        </w:rPr>
      </w:pPr>
      <w:r>
        <w:rPr>
          <w:rFonts w:hint="eastAsia" w:hAnsi="宋体" w:cs="宋体"/>
          <w:highlight w:val="none"/>
        </w:rPr>
        <w:t>日期：    年  月  日</w:t>
      </w:r>
    </w:p>
    <w:p w14:paraId="7402E64F">
      <w:pPr>
        <w:pStyle w:val="10"/>
        <w:rPr>
          <w:rFonts w:ascii="宋体" w:hAnsi="宋体" w:cs="宋体"/>
          <w:highlight w:val="none"/>
        </w:rPr>
      </w:pPr>
    </w:p>
    <w:p w14:paraId="7E3F1EF5">
      <w:pPr>
        <w:spacing w:line="360" w:lineRule="auto"/>
        <w:jc w:val="left"/>
        <w:rPr>
          <w:rFonts w:hAnsi="宋体" w:cs="宋体"/>
          <w:spacing w:val="4"/>
          <w:szCs w:val="24"/>
          <w:highlight w:val="none"/>
        </w:rPr>
      </w:pPr>
    </w:p>
    <w:p w14:paraId="72B9AB3D">
      <w:pPr>
        <w:keepNext/>
        <w:spacing w:before="312" w:beforeLines="100"/>
        <w:jc w:val="center"/>
        <w:rPr>
          <w:rFonts w:hAnsi="宋体" w:cs="宋体"/>
          <w:b/>
          <w:bCs/>
          <w:sz w:val="32"/>
          <w:szCs w:val="32"/>
          <w:highlight w:val="none"/>
        </w:rPr>
      </w:pPr>
      <w:r>
        <w:rPr>
          <w:rFonts w:hint="eastAsia" w:hAnsi="宋体" w:cs="宋体"/>
          <w:b/>
          <w:bCs/>
          <w:sz w:val="32"/>
          <w:szCs w:val="32"/>
          <w:highlight w:val="none"/>
        </w:rPr>
        <w:t>法定代表人授权书</w:t>
      </w:r>
    </w:p>
    <w:p w14:paraId="38D9D1E2">
      <w:pPr>
        <w:spacing w:line="500" w:lineRule="exact"/>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rPr>
        <w:t xml:space="preserve">陕西至诚项目管理集团有限公司 </w:t>
      </w:r>
    </w:p>
    <w:p w14:paraId="77B5A1DC">
      <w:pPr>
        <w:spacing w:line="500" w:lineRule="exact"/>
        <w:ind w:firstLine="496" w:firstLineChars="200"/>
        <w:jc w:val="left"/>
        <w:rPr>
          <w:rFonts w:hint="eastAsia" w:hAnsi="宋体" w:eastAsia="宋体" w:cs="宋体"/>
          <w:spacing w:val="4"/>
          <w:szCs w:val="24"/>
          <w:highlight w:val="none"/>
          <w:lang w:eastAsia="zh-CN"/>
        </w:rPr>
      </w:pPr>
      <w:r>
        <w:rPr>
          <w:rFonts w:hint="eastAsia" w:hAnsi="宋体" w:cs="宋体"/>
          <w:spacing w:val="4"/>
          <w:szCs w:val="24"/>
          <w:highlight w:val="none"/>
          <w:u w:val="single"/>
        </w:rPr>
        <w:t>(供应商名称)</w:t>
      </w:r>
      <w:r>
        <w:rPr>
          <w:rFonts w:hint="eastAsia" w:hAnsi="宋体" w:cs="宋体"/>
          <w:spacing w:val="4"/>
          <w:szCs w:val="24"/>
          <w:highlight w:val="none"/>
        </w:rPr>
        <w:t>按中华人民共和国法律于</w:t>
      </w:r>
      <w:r>
        <w:rPr>
          <w:rFonts w:hint="eastAsia" w:hAnsi="宋体" w:cs="宋体"/>
          <w:spacing w:val="4"/>
          <w:szCs w:val="24"/>
          <w:highlight w:val="none"/>
          <w:u w:val="single"/>
        </w:rPr>
        <w:t>（  年  月  日 ）</w:t>
      </w:r>
      <w:r>
        <w:rPr>
          <w:rFonts w:hint="eastAsia" w:hAnsi="宋体" w:cs="宋体"/>
          <w:spacing w:val="4"/>
          <w:szCs w:val="24"/>
          <w:highlight w:val="none"/>
        </w:rPr>
        <w:t>成立。</w:t>
      </w:r>
      <w:r>
        <w:rPr>
          <w:rFonts w:hint="eastAsia" w:hAnsi="宋体" w:cs="宋体"/>
          <w:spacing w:val="4"/>
          <w:szCs w:val="24"/>
          <w:highlight w:val="none"/>
          <w:u w:val="single"/>
        </w:rPr>
        <w:t>(法定代表人姓名)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（项目编号</w:t>
      </w:r>
      <w:r>
        <w:rPr>
          <w:rFonts w:hint="eastAsia"/>
          <w:highlight w:val="none"/>
          <w:u w:val="single"/>
          <w:lang w:eastAsia="zh-CN"/>
        </w:rPr>
        <w:t>：</w:t>
      </w:r>
      <w:r>
        <w:rPr>
          <w:rFonts w:hint="eastAsia"/>
          <w:highlight w:val="none"/>
          <w:u w:val="single"/>
          <w:lang w:val="en-US" w:eastAsia="zh-CN"/>
        </w:rPr>
        <w:t xml:space="preserve">  </w:t>
      </w:r>
      <w:r>
        <w:rPr>
          <w:rFonts w:hint="eastAsia" w:hAnsi="宋体" w:cs="宋体"/>
          <w:spacing w:val="4"/>
          <w:szCs w:val="24"/>
          <w:highlight w:val="none"/>
          <w:u w:val="single"/>
        </w:rPr>
        <w:t xml:space="preserve"> ）</w:t>
      </w:r>
      <w:r>
        <w:rPr>
          <w:rFonts w:hint="eastAsia" w:hAnsi="宋体" w:cs="宋体"/>
          <w:spacing w:val="4"/>
          <w:szCs w:val="24"/>
          <w:highlight w:val="none"/>
        </w:rPr>
        <w:t>项目的磋商、签约等具体工作，并签署全部有关的文件、协议及合同</w:t>
      </w:r>
      <w:r>
        <w:rPr>
          <w:rFonts w:hint="eastAsia" w:hAnsi="宋体" w:cs="宋体"/>
          <w:spacing w:val="4"/>
          <w:szCs w:val="24"/>
          <w:highlight w:val="none"/>
          <w:lang w:eastAsia="zh-CN"/>
        </w:rPr>
        <w:t>。</w:t>
      </w:r>
    </w:p>
    <w:p w14:paraId="5A8320F3">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5DA1C91A">
      <w:pPr>
        <w:spacing w:line="50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szCs w:val="24"/>
          <w:highlight w:val="none"/>
          <w:lang w:val="zh-CN"/>
        </w:rPr>
        <w:t>自磋商之日起</w:t>
      </w:r>
      <w:r>
        <w:rPr>
          <w:rFonts w:hint="eastAsia" w:hAnsi="宋体" w:cs="宋体"/>
          <w:szCs w:val="24"/>
          <w:highlight w:val="none"/>
          <w:u w:val="single"/>
        </w:rPr>
        <w:t>90</w:t>
      </w:r>
      <w:r>
        <w:rPr>
          <w:rFonts w:hint="eastAsia" w:hAnsi="宋体" w:cs="宋体"/>
          <w:szCs w:val="24"/>
          <w:highlight w:val="none"/>
          <w:lang w:val="zh-CN"/>
        </w:rPr>
        <w:t>天。</w:t>
      </w:r>
    </w:p>
    <w:p w14:paraId="69484993">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签字生效，特此证明。</w:t>
      </w:r>
    </w:p>
    <w:p w14:paraId="28ECA877">
      <w:pPr>
        <w:spacing w:line="360" w:lineRule="auto"/>
        <w:ind w:firstLine="496" w:firstLineChars="200"/>
        <w:jc w:val="left"/>
        <w:rPr>
          <w:rFonts w:hAnsi="宋体" w:cs="宋体"/>
          <w:spacing w:val="4"/>
          <w:szCs w:val="24"/>
          <w:highlight w:val="none"/>
        </w:rPr>
      </w:pPr>
    </w:p>
    <w:tbl>
      <w:tblPr>
        <w:tblStyle w:val="21"/>
        <w:tblW w:w="0" w:type="auto"/>
        <w:tblInd w:w="633" w:type="dxa"/>
        <w:tblLayout w:type="fixed"/>
        <w:tblCellMar>
          <w:top w:w="0" w:type="dxa"/>
          <w:left w:w="108" w:type="dxa"/>
          <w:bottom w:w="0" w:type="dxa"/>
          <w:right w:w="108" w:type="dxa"/>
        </w:tblCellMar>
      </w:tblPr>
      <w:tblGrid>
        <w:gridCol w:w="4200"/>
        <w:gridCol w:w="3990"/>
      </w:tblGrid>
      <w:tr w14:paraId="547E6ED6">
        <w:tblPrEx>
          <w:tblCellMar>
            <w:top w:w="0" w:type="dxa"/>
            <w:left w:w="108" w:type="dxa"/>
            <w:bottom w:w="0" w:type="dxa"/>
            <w:right w:w="108" w:type="dxa"/>
          </w:tblCellMar>
        </w:tblPrEx>
        <w:trPr>
          <w:trHeight w:val="600" w:hRule="atLeast"/>
        </w:trPr>
        <w:tc>
          <w:tcPr>
            <w:tcW w:w="4200" w:type="dxa"/>
          </w:tcPr>
          <w:p w14:paraId="2E20FD69">
            <w:pPr>
              <w:spacing w:line="360" w:lineRule="auto"/>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353A52A1">
            <w:pPr>
              <w:spacing w:line="360" w:lineRule="auto"/>
              <w:jc w:val="left"/>
              <w:rPr>
                <w:rFonts w:hAnsi="宋体" w:cs="宋体"/>
                <w:spacing w:val="4"/>
                <w:szCs w:val="24"/>
                <w:highlight w:val="none"/>
              </w:rPr>
            </w:pPr>
            <w:r>
              <w:rPr>
                <w:rFonts w:hint="eastAsia" w:hAnsi="宋体" w:cs="宋体"/>
                <w:spacing w:val="4"/>
                <w:szCs w:val="24"/>
                <w:highlight w:val="none"/>
              </w:rPr>
              <w:t>法定代表人签字或盖章：</w:t>
            </w:r>
          </w:p>
        </w:tc>
      </w:tr>
      <w:tr w14:paraId="4D439BC1">
        <w:tblPrEx>
          <w:tblCellMar>
            <w:top w:w="0" w:type="dxa"/>
            <w:left w:w="108" w:type="dxa"/>
            <w:bottom w:w="0" w:type="dxa"/>
            <w:right w:w="108" w:type="dxa"/>
          </w:tblCellMar>
        </w:tblPrEx>
        <w:trPr>
          <w:trHeight w:val="600" w:hRule="atLeast"/>
        </w:trPr>
        <w:tc>
          <w:tcPr>
            <w:tcW w:w="4200" w:type="dxa"/>
          </w:tcPr>
          <w:p w14:paraId="7CA0F773">
            <w:pPr>
              <w:spacing w:line="360" w:lineRule="auto"/>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58F4B2E4">
            <w:pPr>
              <w:spacing w:line="360" w:lineRule="auto"/>
              <w:jc w:val="left"/>
              <w:rPr>
                <w:rFonts w:hAnsi="宋体" w:cs="宋体"/>
                <w:spacing w:val="4"/>
                <w:szCs w:val="24"/>
                <w:highlight w:val="none"/>
              </w:rPr>
            </w:pPr>
            <w:r>
              <w:rPr>
                <w:rFonts w:hint="eastAsia" w:hAnsi="宋体" w:cs="宋体"/>
                <w:spacing w:val="4"/>
                <w:szCs w:val="24"/>
                <w:highlight w:val="none"/>
              </w:rPr>
              <w:t>职务：</w:t>
            </w:r>
          </w:p>
        </w:tc>
      </w:tr>
      <w:tr w14:paraId="7C94095F">
        <w:tblPrEx>
          <w:tblCellMar>
            <w:top w:w="0" w:type="dxa"/>
            <w:left w:w="108" w:type="dxa"/>
            <w:bottom w:w="0" w:type="dxa"/>
            <w:right w:w="108" w:type="dxa"/>
          </w:tblCellMar>
        </w:tblPrEx>
        <w:trPr>
          <w:trHeight w:val="600" w:hRule="atLeast"/>
        </w:trPr>
        <w:tc>
          <w:tcPr>
            <w:tcW w:w="4200" w:type="dxa"/>
          </w:tcPr>
          <w:p w14:paraId="1704651E">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02C89014">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r>
      <w:tr w14:paraId="6795ACF8">
        <w:tblPrEx>
          <w:tblCellMar>
            <w:top w:w="0" w:type="dxa"/>
            <w:left w:w="108" w:type="dxa"/>
            <w:bottom w:w="0" w:type="dxa"/>
            <w:right w:w="108" w:type="dxa"/>
          </w:tblCellMar>
        </w:tblPrEx>
        <w:trPr>
          <w:trHeight w:val="600" w:hRule="atLeast"/>
        </w:trPr>
        <w:tc>
          <w:tcPr>
            <w:tcW w:w="4200" w:type="dxa"/>
          </w:tcPr>
          <w:p w14:paraId="3628F928">
            <w:pPr>
              <w:spacing w:line="360" w:lineRule="auto"/>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720A7F13">
            <w:pPr>
              <w:spacing w:line="360" w:lineRule="auto"/>
              <w:jc w:val="left"/>
              <w:rPr>
                <w:rFonts w:hAnsi="宋体" w:cs="宋体"/>
                <w:spacing w:val="4"/>
                <w:szCs w:val="24"/>
                <w:highlight w:val="none"/>
              </w:rPr>
            </w:pPr>
          </w:p>
        </w:tc>
      </w:tr>
    </w:tbl>
    <w:p w14:paraId="3F3CF6D6">
      <w:pPr>
        <w:spacing w:line="360" w:lineRule="auto"/>
        <w:ind w:firstLine="505" w:firstLineChars="204"/>
        <w:rPr>
          <w:rFonts w:hAnsi="宋体" w:cs="宋体"/>
          <w:spacing w:val="4"/>
          <w:szCs w:val="24"/>
          <w:highlight w:val="none"/>
        </w:rPr>
      </w:pPr>
      <w:r>
        <w:rPr>
          <w:rFonts w:hint="eastAsia" w:hAnsi="宋体" w:cs="宋体"/>
          <w:spacing w:val="4"/>
          <w:szCs w:val="24"/>
          <w:highlight w:val="none"/>
        </w:rPr>
        <w:t>附：法定代表人、被授权人身份证复印件</w:t>
      </w:r>
    </w:p>
    <w:p w14:paraId="147E35A4">
      <w:pPr>
        <w:spacing w:line="360" w:lineRule="auto"/>
        <w:rPr>
          <w:rFonts w:hAnsi="宋体" w:cs="宋体"/>
          <w:spacing w:val="4"/>
          <w:szCs w:val="24"/>
          <w:highlight w:val="none"/>
        </w:rPr>
      </w:pPr>
    </w:p>
    <w:tbl>
      <w:tblPr>
        <w:tblStyle w:val="21"/>
        <w:tblW w:w="0" w:type="auto"/>
        <w:tblInd w:w="540" w:type="dxa"/>
        <w:tblLayout w:type="fixed"/>
        <w:tblCellMar>
          <w:top w:w="0" w:type="dxa"/>
          <w:left w:w="108" w:type="dxa"/>
          <w:bottom w:w="0" w:type="dxa"/>
          <w:right w:w="108" w:type="dxa"/>
        </w:tblCellMar>
      </w:tblPr>
      <w:tblGrid>
        <w:gridCol w:w="4246"/>
        <w:gridCol w:w="4111"/>
      </w:tblGrid>
      <w:tr w14:paraId="79F2103C">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2373125E">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14E40B82">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6CDF0CF2">
            <w:pPr>
              <w:spacing w:line="360" w:lineRule="auto"/>
              <w:jc w:val="center"/>
              <w:rPr>
                <w:rFonts w:hAnsi="宋体" w:cs="宋体"/>
                <w:szCs w:val="21"/>
                <w:highlight w:val="none"/>
                <w:lang w:val="zh-CN"/>
              </w:rPr>
            </w:pPr>
            <w:r>
              <w:rPr>
                <w:rFonts w:hint="eastAsia" w:hAnsi="宋体" w:cs="宋体"/>
                <w:szCs w:val="21"/>
                <w:highlight w:val="none"/>
                <w:lang w:val="zh-CN"/>
              </w:rPr>
              <w:t>授权代表身份证复印件粘贴处</w:t>
            </w:r>
          </w:p>
          <w:p w14:paraId="3B5C5168">
            <w:pPr>
              <w:spacing w:line="360" w:lineRule="auto"/>
              <w:jc w:val="center"/>
              <w:rPr>
                <w:rFonts w:hAnsi="宋体" w:cs="宋体"/>
                <w:highlight w:val="none"/>
                <w:u w:val="single"/>
              </w:rPr>
            </w:pPr>
            <w:r>
              <w:rPr>
                <w:rFonts w:hint="eastAsia" w:hAnsi="宋体" w:cs="宋体"/>
                <w:szCs w:val="21"/>
                <w:highlight w:val="none"/>
                <w:lang w:val="zh-CN"/>
              </w:rPr>
              <w:t>（正反面）</w:t>
            </w:r>
          </w:p>
        </w:tc>
      </w:tr>
    </w:tbl>
    <w:p w14:paraId="15F752F3">
      <w:pPr>
        <w:spacing w:line="360" w:lineRule="auto"/>
        <w:ind w:firstLine="510"/>
        <w:rPr>
          <w:rFonts w:hAnsi="宋体" w:cs="宋体"/>
          <w:spacing w:val="4"/>
          <w:szCs w:val="24"/>
          <w:highlight w:val="none"/>
        </w:rPr>
      </w:pPr>
    </w:p>
    <w:p w14:paraId="1640C7CC">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供应商名称：</w:t>
      </w:r>
      <w:r>
        <w:rPr>
          <w:rFonts w:hint="eastAsia" w:hAnsi="宋体" w:cs="宋体"/>
          <w:highlight w:val="none"/>
          <w:u w:val="single"/>
        </w:rPr>
        <w:t xml:space="preserve">      （加盖单位公章）       </w:t>
      </w:r>
    </w:p>
    <w:p w14:paraId="3CCA235F">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日期：</w:t>
      </w:r>
    </w:p>
    <w:p w14:paraId="56103894">
      <w:pPr>
        <w:rPr>
          <w:rFonts w:hAnsi="宋体" w:cs="宋体"/>
          <w:spacing w:val="4"/>
          <w:szCs w:val="30"/>
          <w:highlight w:val="none"/>
        </w:rPr>
      </w:pPr>
      <w:r>
        <w:rPr>
          <w:rFonts w:hint="eastAsia" w:hAnsi="宋体" w:cs="宋体"/>
          <w:b/>
          <w:sz w:val="28"/>
          <w:szCs w:val="28"/>
          <w:highlight w:val="none"/>
        </w:rPr>
        <w:br w:type="page"/>
      </w:r>
      <w:bookmarkStart w:id="168" w:name="_Toc11767"/>
      <w:bookmarkStart w:id="169" w:name="_Toc17295"/>
    </w:p>
    <w:p w14:paraId="5AE22154">
      <w:pPr>
        <w:widowControl/>
        <w:spacing w:line="360" w:lineRule="auto"/>
        <w:ind w:left="1" w:firstLine="281" w:firstLineChars="100"/>
        <w:rPr>
          <w:rFonts w:hAnsi="宋体" w:cs="宋体"/>
          <w:b/>
          <w:sz w:val="28"/>
          <w:szCs w:val="28"/>
          <w:highlight w:val="none"/>
        </w:rPr>
      </w:pPr>
    </w:p>
    <w:p w14:paraId="2663B508">
      <w:pPr>
        <w:widowControl/>
        <w:spacing w:line="360" w:lineRule="auto"/>
        <w:ind w:left="1" w:firstLine="281" w:firstLineChars="100"/>
        <w:jc w:val="center"/>
        <w:rPr>
          <w:rFonts w:hAnsi="宋体" w:cs="宋体"/>
          <w:b/>
          <w:sz w:val="28"/>
          <w:szCs w:val="28"/>
          <w:highlight w:val="none"/>
        </w:rPr>
      </w:pPr>
      <w:r>
        <w:rPr>
          <w:rFonts w:hint="eastAsia" w:hAnsi="宋体" w:cs="宋体"/>
          <w:b/>
          <w:sz w:val="28"/>
          <w:szCs w:val="28"/>
          <w:highlight w:val="none"/>
        </w:rPr>
        <w:t>参加政府采购活动前3年内在经营活动中没有重大违法纪录的书面声明</w:t>
      </w:r>
    </w:p>
    <w:p w14:paraId="2B3F01F7">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60032DE3">
      <w:pPr>
        <w:pStyle w:val="19"/>
        <w:wordWrap w:val="0"/>
        <w:spacing w:beforeAutospacing="0" w:afterAutospacing="0" w:line="560" w:lineRule="exact"/>
        <w:rPr>
          <w:rFonts w:cs="宋体"/>
          <w:highlight w:val="none"/>
          <w:u w:val="single"/>
          <w:shd w:val="clear" w:color="auto" w:fill="FFFFFF"/>
        </w:rPr>
      </w:pPr>
      <w:r>
        <w:rPr>
          <w:rFonts w:hint="eastAsia" w:cs="宋体"/>
          <w:highlight w:val="none"/>
          <w:u w:val="single"/>
          <w:shd w:val="clear" w:color="auto" w:fill="FFFFFF"/>
        </w:rPr>
        <w:t xml:space="preserve">      （采购人）           ：</w:t>
      </w:r>
    </w:p>
    <w:p w14:paraId="51FD24E2">
      <w:pPr>
        <w:pStyle w:val="19"/>
        <w:wordWrap w:val="0"/>
        <w:spacing w:beforeAutospacing="0" w:afterAutospacing="0" w:line="560" w:lineRule="exact"/>
        <w:ind w:firstLine="640"/>
        <w:rPr>
          <w:rFonts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（项目编号：</w:t>
      </w:r>
      <w:r>
        <w:rPr>
          <w:rFonts w:hint="eastAsia" w:cs="宋体"/>
          <w:i/>
          <w:iCs/>
          <w:highlight w:val="none"/>
          <w:u w:val="single"/>
          <w:shd w:val="clear" w:color="auto" w:fill="FFFFFF"/>
        </w:rPr>
        <w:t xml:space="preserve">          </w:t>
      </w:r>
      <w:r>
        <w:rPr>
          <w:rFonts w:hint="eastAsia" w:cs="宋体"/>
          <w:highlight w:val="none"/>
          <w:shd w:val="clear" w:color="auto" w:fill="FFFFFF"/>
        </w:rPr>
        <w:t xml:space="preserve">）的供应商，在此郑重声明： </w:t>
      </w:r>
    </w:p>
    <w:p w14:paraId="3FBC6934">
      <w:pPr>
        <w:pStyle w:val="19"/>
        <w:wordWrap w:val="0"/>
        <w:spacing w:beforeAutospacing="0" w:afterAutospacing="0" w:line="560" w:lineRule="exact"/>
        <w:ind w:firstLine="420"/>
        <w:rPr>
          <w:rFonts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0875CB84">
      <w:pPr>
        <w:pStyle w:val="19"/>
        <w:wordWrap w:val="0"/>
        <w:spacing w:beforeAutospacing="0" w:afterAutospacing="0" w:line="560" w:lineRule="exact"/>
        <w:ind w:firstLine="420"/>
        <w:rPr>
          <w:rFonts w:cs="宋体"/>
          <w:highlight w:val="none"/>
        </w:rPr>
      </w:pPr>
      <w:r>
        <w:rPr>
          <w:rFonts w:hint="eastAsia" w:cs="宋体"/>
          <w:highlight w:val="none"/>
          <w:shd w:val="clear" w:color="auto" w:fill="FFFFFF"/>
        </w:rPr>
        <w:t>如有不实，我方将无条件地退出本项目的采购活动，并遵照《</w:t>
      </w:r>
      <w:r>
        <w:rPr>
          <w:rFonts w:hint="eastAsia" w:hAnsi="宋体" w:cs="宋体"/>
          <w:szCs w:val="24"/>
          <w:highlight w:val="none"/>
          <w:lang w:val="en-US" w:eastAsia="zh-CN"/>
        </w:rPr>
        <w:t>中华人民共和国</w:t>
      </w:r>
      <w:r>
        <w:rPr>
          <w:rFonts w:hint="eastAsia" w:cs="宋体"/>
          <w:highlight w:val="none"/>
          <w:shd w:val="clear" w:color="auto" w:fill="FFFFFF"/>
        </w:rPr>
        <w:t xml:space="preserve">政府采购法》有关“提供虚假材料的规定”接受处罚。 </w:t>
      </w:r>
    </w:p>
    <w:p w14:paraId="1550DC08">
      <w:pPr>
        <w:pStyle w:val="19"/>
        <w:wordWrap w:val="0"/>
        <w:spacing w:beforeAutospacing="0" w:afterAutospacing="0" w:line="560" w:lineRule="exact"/>
        <w:ind w:firstLine="420"/>
        <w:rPr>
          <w:rFonts w:cs="宋体"/>
          <w:highlight w:val="none"/>
          <w:shd w:val="clear" w:color="auto" w:fill="FFFFFF"/>
        </w:rPr>
      </w:pPr>
      <w:r>
        <w:rPr>
          <w:rFonts w:hint="eastAsia" w:cs="宋体"/>
          <w:highlight w:val="none"/>
          <w:shd w:val="clear" w:color="auto" w:fill="FFFFFF"/>
        </w:rPr>
        <w:t>特此声明！</w:t>
      </w:r>
    </w:p>
    <w:p w14:paraId="5D2295AF">
      <w:pPr>
        <w:pStyle w:val="19"/>
        <w:wordWrap w:val="0"/>
        <w:spacing w:beforeAutospacing="0" w:afterAutospacing="0" w:line="560" w:lineRule="exact"/>
        <w:ind w:firstLine="420"/>
        <w:rPr>
          <w:rFonts w:cs="宋体"/>
          <w:highlight w:val="none"/>
          <w:shd w:val="clear" w:color="auto" w:fill="FFFFFF"/>
        </w:rPr>
      </w:pPr>
    </w:p>
    <w:p w14:paraId="70B1AE23">
      <w:pPr>
        <w:spacing w:line="480" w:lineRule="auto"/>
        <w:ind w:firstLine="3360" w:firstLineChars="1400"/>
        <w:rPr>
          <w:rFonts w:hAnsi="宋体" w:cs="宋体"/>
          <w:highlight w:val="none"/>
        </w:rPr>
      </w:pPr>
      <w:r>
        <w:rPr>
          <w:rFonts w:hint="eastAsia" w:hAnsi="宋体" w:cs="宋体"/>
          <w:highlight w:val="none"/>
          <w:lang w:val="en-US" w:eastAsia="zh-CN"/>
        </w:rPr>
        <w:t>供应商</w:t>
      </w:r>
      <w:r>
        <w:rPr>
          <w:rFonts w:hint="eastAsia" w:hAnsi="宋体" w:cs="宋体"/>
          <w:highlight w:val="none"/>
        </w:rPr>
        <w:t>名称：</w:t>
      </w:r>
      <w:r>
        <w:rPr>
          <w:rFonts w:hint="eastAsia" w:hAnsi="宋体" w:cs="宋体"/>
          <w:highlight w:val="none"/>
          <w:u w:val="single"/>
        </w:rPr>
        <w:t xml:space="preserve">               </w:t>
      </w:r>
      <w:r>
        <w:rPr>
          <w:rFonts w:hint="eastAsia" w:hAnsi="宋体" w:cs="宋体"/>
          <w:highlight w:val="none"/>
        </w:rPr>
        <w:t>（盖章）</w:t>
      </w:r>
    </w:p>
    <w:p w14:paraId="6668DBD1">
      <w:pPr>
        <w:pStyle w:val="34"/>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6C0D0DF1">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496ED534">
      <w:pPr>
        <w:adjustRightInd w:val="0"/>
        <w:snapToGrid w:val="0"/>
        <w:spacing w:line="360" w:lineRule="auto"/>
        <w:jc w:val="center"/>
        <w:rPr>
          <w:rFonts w:asciiTheme="minorEastAsia" w:hAnsiTheme="minorEastAsia" w:eastAsiaTheme="minorEastAsia" w:cstheme="minorEastAsia"/>
          <w:b/>
          <w:sz w:val="28"/>
          <w:szCs w:val="28"/>
          <w:highlight w:val="none"/>
        </w:rPr>
      </w:pPr>
    </w:p>
    <w:p w14:paraId="1D5CD211">
      <w:pPr>
        <w:adjustRightInd w:val="0"/>
        <w:snapToGrid w:val="0"/>
        <w:spacing w:line="360" w:lineRule="auto"/>
        <w:jc w:val="center"/>
        <w:rPr>
          <w:rFonts w:hAnsi="宋体" w:cs="宋体"/>
          <w:b/>
          <w:sz w:val="28"/>
          <w:szCs w:val="28"/>
          <w:highlight w:val="none"/>
        </w:rPr>
      </w:pPr>
      <w:r>
        <w:rPr>
          <w:rFonts w:hint="eastAsia" w:hAnsi="宋体" w:cs="宋体"/>
          <w:b/>
          <w:sz w:val="28"/>
          <w:szCs w:val="28"/>
          <w:highlight w:val="none"/>
        </w:rPr>
        <w:t>具有履行本合同所必需的设备和专业技术能力的书面声明</w:t>
      </w:r>
    </w:p>
    <w:p w14:paraId="2318084A">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4AC1FA1D">
      <w:pPr>
        <w:rPr>
          <w:highlight w:val="none"/>
        </w:rPr>
      </w:pPr>
    </w:p>
    <w:p w14:paraId="488E4EDC">
      <w:pPr>
        <w:pStyle w:val="13"/>
        <w:adjustRightInd w:val="0"/>
        <w:snapToGrid w:val="0"/>
        <w:spacing w:line="720" w:lineRule="exact"/>
        <w:jc w:val="center"/>
        <w:rPr>
          <w:rFonts w:hAnsi="宋体" w:cs="宋体"/>
          <w:b/>
          <w:sz w:val="28"/>
          <w:szCs w:val="28"/>
          <w:highlight w:val="none"/>
        </w:rPr>
      </w:pPr>
    </w:p>
    <w:p w14:paraId="75655218">
      <w:pPr>
        <w:spacing w:line="720" w:lineRule="exact"/>
        <w:rPr>
          <w:rFonts w:hAnsi="宋体" w:cs="宋体"/>
          <w:spacing w:val="4"/>
          <w:highlight w:val="none"/>
          <w:u w:val="single"/>
        </w:rPr>
      </w:pPr>
      <w:r>
        <w:rPr>
          <w:rFonts w:hint="eastAsia" w:hAnsi="宋体" w:cs="宋体"/>
          <w:spacing w:val="4"/>
          <w:highlight w:val="none"/>
          <w:u w:val="single"/>
        </w:rPr>
        <w:t xml:space="preserve">     （采购人名称）    ：</w:t>
      </w:r>
    </w:p>
    <w:p w14:paraId="3E873F71">
      <w:pPr>
        <w:pStyle w:val="13"/>
        <w:adjustRightInd w:val="0"/>
        <w:snapToGrid w:val="0"/>
        <w:spacing w:line="720" w:lineRule="exact"/>
        <w:rPr>
          <w:rFonts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7E3E551A">
      <w:pPr>
        <w:pStyle w:val="13"/>
        <w:adjustRightInd w:val="0"/>
        <w:snapToGrid w:val="0"/>
        <w:spacing w:line="720" w:lineRule="exact"/>
        <w:ind w:firstLine="550" w:firstLineChars="222"/>
        <w:rPr>
          <w:rFonts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16B2D102">
      <w:pPr>
        <w:pStyle w:val="13"/>
        <w:adjustRightInd w:val="0"/>
        <w:snapToGrid w:val="0"/>
        <w:spacing w:line="720" w:lineRule="exact"/>
        <w:rPr>
          <w:rFonts w:hAnsi="宋体" w:cs="宋体"/>
          <w:spacing w:val="4"/>
          <w:sz w:val="24"/>
          <w:szCs w:val="24"/>
          <w:highlight w:val="none"/>
        </w:rPr>
      </w:pPr>
    </w:p>
    <w:p w14:paraId="3EC1B6BF">
      <w:pPr>
        <w:pStyle w:val="13"/>
        <w:adjustRightInd w:val="0"/>
        <w:snapToGrid w:val="0"/>
        <w:spacing w:line="720" w:lineRule="exact"/>
        <w:rPr>
          <w:rFonts w:hAnsi="宋体" w:cs="宋体"/>
          <w:spacing w:val="4"/>
          <w:sz w:val="24"/>
          <w:szCs w:val="24"/>
          <w:highlight w:val="none"/>
        </w:rPr>
      </w:pPr>
    </w:p>
    <w:p w14:paraId="29DABA63">
      <w:pPr>
        <w:pStyle w:val="13"/>
        <w:adjustRightInd w:val="0"/>
        <w:snapToGrid w:val="0"/>
        <w:spacing w:line="720" w:lineRule="exact"/>
        <w:rPr>
          <w:rFonts w:hAnsi="宋体" w:cs="宋体"/>
          <w:spacing w:val="4"/>
          <w:sz w:val="24"/>
          <w:szCs w:val="24"/>
          <w:highlight w:val="none"/>
        </w:rPr>
      </w:pPr>
    </w:p>
    <w:p w14:paraId="0889D6D3">
      <w:pPr>
        <w:spacing w:line="480" w:lineRule="auto"/>
        <w:ind w:firstLine="3360" w:firstLineChars="1400"/>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275A7AD5">
      <w:pPr>
        <w:pStyle w:val="34"/>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14E6A805">
      <w:pPr>
        <w:rPr>
          <w:rFonts w:hAnsi="宋体" w:cs="宋体"/>
          <w:spacing w:val="4"/>
          <w:szCs w:val="30"/>
          <w:highlight w:val="none"/>
        </w:rPr>
      </w:pPr>
      <w:r>
        <w:rPr>
          <w:rFonts w:hint="eastAsia" w:hAnsi="宋体" w:cs="宋体"/>
          <w:spacing w:val="4"/>
          <w:szCs w:val="30"/>
          <w:highlight w:val="none"/>
        </w:rPr>
        <w:br w:type="page"/>
      </w:r>
    </w:p>
    <w:p w14:paraId="30BBB4E7">
      <w:pPr>
        <w:spacing w:before="100" w:beforeAutospacing="1" w:after="156" w:afterLines="50" w:line="360" w:lineRule="auto"/>
        <w:jc w:val="left"/>
        <w:outlineLvl w:val="2"/>
        <w:rPr>
          <w:rFonts w:hAnsi="宋体" w:cs="宋体"/>
          <w:b/>
          <w:sz w:val="28"/>
          <w:szCs w:val="28"/>
          <w:highlight w:val="none"/>
        </w:rPr>
      </w:pPr>
      <w:bookmarkStart w:id="170" w:name="_Toc29482"/>
      <w:r>
        <w:rPr>
          <w:rFonts w:hint="eastAsia" w:hAnsi="宋体" w:cs="宋体"/>
          <w:b/>
          <w:sz w:val="28"/>
          <w:szCs w:val="28"/>
          <w:highlight w:val="none"/>
        </w:rPr>
        <w:t>附件2：中小企业声明函</w:t>
      </w:r>
      <w:bookmarkEnd w:id="168"/>
      <w:bookmarkEnd w:id="169"/>
      <w:bookmarkEnd w:id="170"/>
    </w:p>
    <w:p w14:paraId="2E4E3556">
      <w:pPr>
        <w:spacing w:line="588" w:lineRule="exact"/>
        <w:jc w:val="center"/>
        <w:rPr>
          <w:rFonts w:ascii="宋体" w:hAnsi="宋体" w:cs="宋体"/>
          <w:b/>
          <w:spacing w:val="6"/>
          <w:sz w:val="32"/>
          <w:szCs w:val="32"/>
          <w:highlight w:val="none"/>
        </w:rPr>
      </w:pPr>
      <w:bookmarkStart w:id="171" w:name="_Toc13836"/>
      <w:r>
        <w:rPr>
          <w:rFonts w:hint="eastAsia" w:ascii="宋体" w:hAnsi="宋体" w:cs="宋体"/>
          <w:b/>
          <w:spacing w:val="6"/>
          <w:sz w:val="32"/>
          <w:szCs w:val="32"/>
          <w:highlight w:val="none"/>
        </w:rPr>
        <w:t>中小企业声明函</w:t>
      </w:r>
    </w:p>
    <w:p w14:paraId="67F3FDAC">
      <w:pPr>
        <w:pStyle w:val="10"/>
        <w:rPr>
          <w:rFonts w:ascii="宋体"/>
          <w:b/>
          <w:sz w:val="20"/>
          <w:highlight w:val="none"/>
        </w:rPr>
      </w:pPr>
    </w:p>
    <w:p w14:paraId="1877444C">
      <w:pPr>
        <w:pStyle w:val="10"/>
        <w:spacing w:before="2"/>
        <w:rPr>
          <w:rFonts w:ascii="宋体"/>
          <w:b/>
          <w:sz w:val="24"/>
          <w:highlight w:val="none"/>
        </w:rPr>
      </w:pPr>
    </w:p>
    <w:p w14:paraId="7FD747B4">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本公司（联合体）郑重声明，根据《政府采购促进中小企业发展管理办法》（财库﹝2020﹞46 号）的规定，本公司（联合体）参加（</w:t>
      </w:r>
      <w:r>
        <w:rPr>
          <w:rFonts w:hint="eastAsia" w:ascii="宋体" w:hAnsi="宋体" w:eastAsia="宋体" w:cs="宋体"/>
          <w:spacing w:val="6"/>
          <w:sz w:val="24"/>
          <w:szCs w:val="24"/>
          <w:highlight w:val="none"/>
          <w:u w:val="single"/>
        </w:rPr>
        <w:t xml:space="preserve">单位名称   </w:t>
      </w:r>
      <w:r>
        <w:rPr>
          <w:rFonts w:hint="eastAsia" w:ascii="宋体" w:hAnsi="宋体" w:eastAsia="宋体" w:cs="宋体"/>
          <w:spacing w:val="6"/>
          <w:sz w:val="24"/>
          <w:szCs w:val="24"/>
          <w:highlight w:val="none"/>
        </w:rPr>
        <w:t>）的（</w:t>
      </w:r>
      <w:r>
        <w:rPr>
          <w:rFonts w:hint="eastAsia" w:ascii="宋体" w:hAnsi="宋体" w:eastAsia="宋体" w:cs="宋体"/>
          <w:spacing w:val="6"/>
          <w:sz w:val="24"/>
          <w:szCs w:val="24"/>
          <w:highlight w:val="none"/>
          <w:u w:val="single"/>
        </w:rPr>
        <w:t>项目名称</w:t>
      </w:r>
      <w:r>
        <w:rPr>
          <w:rFonts w:hint="eastAsia" w:ascii="宋体" w:hAnsi="宋体" w:eastAsia="宋体" w:cs="宋体"/>
          <w:spacing w:val="6"/>
          <w:sz w:val="24"/>
          <w:szCs w:val="24"/>
          <w:highlight w:val="none"/>
        </w:rPr>
        <w:t>）采购活动，提供的货物全部由符合政策要求的中小企业制造。相关企业（含联合体中的中小企业、签订分包意向协议的中小企业） 的具体情况如下：</w:t>
      </w:r>
    </w:p>
    <w:p w14:paraId="3E3DE7A8">
      <w:pPr>
        <w:pStyle w:val="42"/>
        <w:tabs>
          <w:tab w:val="left" w:pos="1183"/>
          <w:tab w:val="left" w:pos="1484"/>
          <w:tab w:val="left" w:pos="4662"/>
          <w:tab w:val="left" w:pos="6903"/>
        </w:tabs>
        <w:spacing w:line="360" w:lineRule="auto"/>
        <w:ind w:left="0" w:right="0" w:firstLine="504" w:firstLineChars="200"/>
        <w:jc w:val="left"/>
        <w:rPr>
          <w:rFonts w:ascii="宋体" w:hAnsi="宋体" w:eastAsia="宋体" w:cs="宋体"/>
          <w:spacing w:val="6"/>
          <w:sz w:val="24"/>
          <w:szCs w:val="24"/>
          <w:highlight w:val="none"/>
          <w:lang w:val="en-US" w:bidi="ar-SA"/>
        </w:rPr>
      </w:pPr>
      <w:r>
        <w:rPr>
          <w:rFonts w:hint="eastAsia" w:ascii="宋体" w:hAnsi="宋体" w:eastAsia="宋体" w:cs="宋体"/>
          <w:spacing w:val="6"/>
          <w:sz w:val="24"/>
          <w:szCs w:val="24"/>
          <w:highlight w:val="none"/>
          <w:lang w:val="en-US" w:bidi="ar-SA"/>
        </w:rPr>
        <w:t xml:space="preserve">1. （标的名称），属于（采购文件中明确的所属行业）行业；制造商为（企业名称），从业人员 </w:t>
      </w:r>
      <w:r>
        <w:rPr>
          <w:rFonts w:hint="eastAsia" w:ascii="宋体" w:hAnsi="宋体" w:eastAsia="宋体" w:cs="宋体"/>
          <w:spacing w:val="6"/>
          <w:sz w:val="24"/>
          <w:szCs w:val="24"/>
          <w:highlight w:val="none"/>
          <w:lang w:val="en-US" w:eastAsia="zh-CN" w:bidi="ar-SA"/>
        </w:rPr>
        <w:t xml:space="preserve">   </w:t>
      </w:r>
      <w:r>
        <w:rPr>
          <w:rFonts w:hint="eastAsia" w:ascii="宋体" w:hAnsi="宋体" w:eastAsia="宋体" w:cs="宋体"/>
          <w:spacing w:val="6"/>
          <w:sz w:val="24"/>
          <w:szCs w:val="24"/>
          <w:highlight w:val="none"/>
          <w:lang w:val="en-US" w:bidi="ar-SA"/>
        </w:rPr>
        <w:t xml:space="preserve">人，营业收入为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 xml:space="preserve">万元，资产总额为 </w:t>
      </w:r>
      <w:r>
        <w:rPr>
          <w:rFonts w:hint="eastAsia" w:ascii="宋体" w:hAnsi="宋体" w:eastAsia="宋体" w:cs="宋体"/>
          <w:spacing w:val="6"/>
          <w:sz w:val="24"/>
          <w:szCs w:val="24"/>
          <w:highlight w:val="none"/>
          <w:lang w:val="en-US" w:eastAsia="zh-CN" w:bidi="ar-SA"/>
        </w:rPr>
        <w:t xml:space="preserve">   </w:t>
      </w:r>
      <w:r>
        <w:rPr>
          <w:rFonts w:hint="eastAsia" w:ascii="宋体" w:hAnsi="宋体" w:eastAsia="宋体" w:cs="宋体"/>
          <w:spacing w:val="6"/>
          <w:sz w:val="24"/>
          <w:szCs w:val="24"/>
          <w:highlight w:val="none"/>
          <w:lang w:val="en-US" w:bidi="ar-SA"/>
        </w:rPr>
        <w:t>万元，属于（中型企业、小型企业、微型企业）；</w:t>
      </w:r>
    </w:p>
    <w:p w14:paraId="3982D3A8">
      <w:pPr>
        <w:pStyle w:val="42"/>
        <w:tabs>
          <w:tab w:val="left" w:pos="1165"/>
          <w:tab w:val="left" w:pos="1183"/>
          <w:tab w:val="left" w:pos="4362"/>
          <w:tab w:val="left" w:pos="6577"/>
        </w:tabs>
        <w:spacing w:line="360" w:lineRule="auto"/>
        <w:ind w:left="0" w:right="0" w:firstLine="504" w:firstLineChars="200"/>
        <w:jc w:val="left"/>
        <w:rPr>
          <w:rFonts w:ascii="宋体" w:hAnsi="宋体" w:eastAsia="宋体" w:cs="宋体"/>
          <w:spacing w:val="6"/>
          <w:sz w:val="24"/>
          <w:szCs w:val="24"/>
          <w:highlight w:val="none"/>
          <w:lang w:val="en-US" w:bidi="ar-SA"/>
        </w:rPr>
      </w:pPr>
      <w:r>
        <w:rPr>
          <w:rFonts w:hint="eastAsia" w:ascii="宋体" w:hAnsi="宋体" w:eastAsia="宋体" w:cs="宋体"/>
          <w:spacing w:val="6"/>
          <w:sz w:val="24"/>
          <w:szCs w:val="24"/>
          <w:highlight w:val="none"/>
          <w:lang w:val="en-US" w:bidi="ar-SA"/>
        </w:rPr>
        <w:t xml:space="preserve">2.（标的名称），属于（采购文件中明确的所属行业）行业；制造商为（企业名称），从业人员 </w:t>
      </w:r>
      <w:r>
        <w:rPr>
          <w:rFonts w:hint="eastAsia" w:ascii="宋体" w:hAnsi="宋体" w:eastAsia="宋体" w:cs="宋体"/>
          <w:spacing w:val="6"/>
          <w:sz w:val="24"/>
          <w:szCs w:val="24"/>
          <w:highlight w:val="none"/>
          <w:lang w:val="en-US" w:eastAsia="zh-CN" w:bidi="ar-SA"/>
        </w:rPr>
        <w:t xml:space="preserve">   </w:t>
      </w:r>
      <w:r>
        <w:rPr>
          <w:rFonts w:hint="eastAsia" w:ascii="宋体" w:hAnsi="宋体" w:eastAsia="宋体" w:cs="宋体"/>
          <w:spacing w:val="6"/>
          <w:sz w:val="24"/>
          <w:szCs w:val="24"/>
          <w:highlight w:val="none"/>
          <w:lang w:val="en-US" w:bidi="ar-SA"/>
        </w:rPr>
        <w:t xml:space="preserve">人，营业收入为 </w:t>
      </w:r>
      <w:r>
        <w:rPr>
          <w:rFonts w:hint="eastAsia" w:ascii="宋体" w:hAnsi="宋体" w:eastAsia="宋体" w:cs="宋体"/>
          <w:spacing w:val="6"/>
          <w:sz w:val="24"/>
          <w:szCs w:val="24"/>
          <w:highlight w:val="none"/>
          <w:lang w:val="en-US" w:eastAsia="zh-CN" w:bidi="ar-SA"/>
        </w:rPr>
        <w:t xml:space="preserve">   </w:t>
      </w:r>
      <w:r>
        <w:rPr>
          <w:rFonts w:hint="eastAsia" w:ascii="宋体" w:hAnsi="宋体" w:eastAsia="宋体" w:cs="宋体"/>
          <w:spacing w:val="6"/>
          <w:sz w:val="24"/>
          <w:szCs w:val="24"/>
          <w:highlight w:val="none"/>
          <w:lang w:val="en-US" w:bidi="ar-SA"/>
        </w:rPr>
        <w:t>万元，资产总额为 万元，属于（中型企业、小型企业、微型企业）；</w:t>
      </w:r>
    </w:p>
    <w:p w14:paraId="4322DD6D">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w:t>
      </w:r>
    </w:p>
    <w:p w14:paraId="5E6DA6D3">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以上企业，不属于大企业的分支机构，不存在控股股东为大企业的情形，也不存在与大企业的负责人为同一人的情形。</w:t>
      </w:r>
    </w:p>
    <w:p w14:paraId="18097E4C">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本企业对上述声明内容的真实性负责。如有虚假，将依法承担相应责任。</w:t>
      </w:r>
    </w:p>
    <w:p w14:paraId="6149DE7A">
      <w:pPr>
        <w:pStyle w:val="10"/>
        <w:spacing w:before="35" w:line="316" w:lineRule="auto"/>
        <w:ind w:left="4060" w:right="2166"/>
        <w:rPr>
          <w:rFonts w:ascii="宋体" w:hAnsi="宋体" w:eastAsia="宋体" w:cs="宋体"/>
          <w:spacing w:val="6"/>
          <w:sz w:val="24"/>
          <w:szCs w:val="24"/>
          <w:highlight w:val="none"/>
        </w:rPr>
      </w:pPr>
    </w:p>
    <w:p w14:paraId="06C4ECD3">
      <w:pPr>
        <w:pStyle w:val="10"/>
        <w:spacing w:before="35" w:line="316" w:lineRule="auto"/>
        <w:ind w:left="4060" w:right="2166"/>
        <w:rPr>
          <w:rFonts w:ascii="宋体" w:hAnsi="宋体" w:eastAsia="宋体" w:cs="宋体"/>
          <w:spacing w:val="6"/>
          <w:sz w:val="24"/>
          <w:szCs w:val="24"/>
          <w:highlight w:val="none"/>
        </w:rPr>
      </w:pPr>
    </w:p>
    <w:p w14:paraId="3859722E">
      <w:pPr>
        <w:pStyle w:val="10"/>
        <w:spacing w:before="35" w:line="316" w:lineRule="auto"/>
        <w:ind w:left="4060" w:right="2166"/>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企业名称（盖章）：</w:t>
      </w:r>
    </w:p>
    <w:p w14:paraId="5079E533">
      <w:pPr>
        <w:pStyle w:val="10"/>
        <w:spacing w:before="35" w:line="316" w:lineRule="auto"/>
        <w:ind w:left="4060" w:right="2166"/>
        <w:rPr>
          <w:rFonts w:ascii="宋体" w:hAnsi="宋体" w:eastAsia="宋体" w:cs="宋体"/>
          <w:spacing w:val="6"/>
          <w:sz w:val="24"/>
          <w:szCs w:val="24"/>
          <w:highlight w:val="none"/>
        </w:rPr>
      </w:pPr>
    </w:p>
    <w:p w14:paraId="02BAE06C">
      <w:pPr>
        <w:pStyle w:val="10"/>
        <w:spacing w:before="35" w:line="316" w:lineRule="auto"/>
        <w:ind w:left="4060" w:right="2166"/>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日期：</w:t>
      </w:r>
    </w:p>
    <w:p w14:paraId="67C2E951">
      <w:pPr>
        <w:rPr>
          <w:rFonts w:hAnsi="宋体" w:cs="宋体"/>
          <w:b/>
          <w:sz w:val="28"/>
          <w:szCs w:val="28"/>
          <w:highlight w:val="none"/>
        </w:rPr>
      </w:pPr>
      <w:r>
        <w:rPr>
          <w:rFonts w:hint="eastAsia" w:hAnsi="宋体" w:cs="宋体"/>
          <w:b/>
          <w:sz w:val="28"/>
          <w:szCs w:val="28"/>
          <w:highlight w:val="none"/>
        </w:rPr>
        <w:br w:type="page"/>
      </w:r>
    </w:p>
    <w:bookmarkEnd w:id="171"/>
    <w:p w14:paraId="113C512C">
      <w:pPr>
        <w:spacing w:before="100" w:beforeAutospacing="1" w:after="156" w:afterLines="50" w:line="360" w:lineRule="auto"/>
        <w:outlineLvl w:val="2"/>
        <w:rPr>
          <w:rFonts w:hAnsi="宋体" w:cs="宋体"/>
          <w:b/>
          <w:bCs/>
          <w:spacing w:val="6"/>
          <w:sz w:val="30"/>
          <w:szCs w:val="30"/>
          <w:highlight w:val="none"/>
        </w:rPr>
      </w:pPr>
      <w:bookmarkStart w:id="172" w:name="_Toc22425"/>
      <w:bookmarkStart w:id="173" w:name="_Toc11235"/>
      <w:bookmarkStart w:id="174" w:name="_Toc11066"/>
      <w:r>
        <w:rPr>
          <w:rFonts w:hint="eastAsia" w:hAnsi="宋体" w:cs="宋体"/>
          <w:b/>
          <w:bCs/>
          <w:spacing w:val="6"/>
          <w:sz w:val="30"/>
          <w:szCs w:val="30"/>
          <w:highlight w:val="none"/>
        </w:rPr>
        <w:t>附件3：残疾人福利性单位声明函（如有）</w:t>
      </w:r>
      <w:bookmarkEnd w:id="172"/>
      <w:bookmarkEnd w:id="173"/>
      <w:bookmarkEnd w:id="174"/>
    </w:p>
    <w:p w14:paraId="206AB31E">
      <w:pPr>
        <w:spacing w:line="588" w:lineRule="exact"/>
        <w:jc w:val="center"/>
        <w:rPr>
          <w:rFonts w:hAnsi="宋体" w:cs="宋体"/>
          <w:b/>
          <w:spacing w:val="6"/>
          <w:sz w:val="32"/>
          <w:szCs w:val="32"/>
          <w:highlight w:val="none"/>
        </w:rPr>
      </w:pPr>
      <w:bookmarkStart w:id="175" w:name="OLE_LINK14"/>
      <w:bookmarkStart w:id="176" w:name="OLE_LINK13"/>
      <w:r>
        <w:rPr>
          <w:rFonts w:hint="eastAsia" w:hAnsi="宋体" w:cs="宋体"/>
          <w:b/>
          <w:spacing w:val="6"/>
          <w:sz w:val="32"/>
          <w:szCs w:val="32"/>
          <w:highlight w:val="none"/>
        </w:rPr>
        <w:t>残疾人福利性单位声明函</w:t>
      </w:r>
    </w:p>
    <w:bookmarkEnd w:id="175"/>
    <w:bookmarkEnd w:id="176"/>
    <w:p w14:paraId="533D77A3">
      <w:pPr>
        <w:spacing w:line="588" w:lineRule="exact"/>
        <w:rPr>
          <w:rFonts w:hAnsi="宋体" w:cs="宋体"/>
          <w:b/>
          <w:spacing w:val="6"/>
          <w:sz w:val="30"/>
          <w:szCs w:val="30"/>
          <w:highlight w:val="none"/>
        </w:rPr>
      </w:pPr>
    </w:p>
    <w:p w14:paraId="62B6FD51">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DD8789">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13D3CBCD">
      <w:pPr>
        <w:spacing w:line="588" w:lineRule="exact"/>
        <w:ind w:firstLine="504" w:firstLineChars="200"/>
        <w:rPr>
          <w:rFonts w:hAnsi="宋体" w:cs="宋体"/>
          <w:spacing w:val="6"/>
          <w:szCs w:val="24"/>
          <w:highlight w:val="none"/>
        </w:rPr>
      </w:pPr>
    </w:p>
    <w:p w14:paraId="7863994E">
      <w:pPr>
        <w:spacing w:line="588" w:lineRule="exact"/>
        <w:ind w:firstLine="504" w:firstLineChars="200"/>
        <w:rPr>
          <w:rFonts w:hAnsi="宋体" w:cs="宋体"/>
          <w:spacing w:val="6"/>
          <w:szCs w:val="24"/>
          <w:highlight w:val="none"/>
        </w:rPr>
      </w:pPr>
    </w:p>
    <w:p w14:paraId="6B860CBE">
      <w:pPr>
        <w:spacing w:line="588" w:lineRule="exact"/>
        <w:ind w:firstLine="504" w:firstLineChars="200"/>
        <w:rPr>
          <w:rFonts w:hAnsi="宋体" w:cs="宋体"/>
          <w:spacing w:val="6"/>
          <w:szCs w:val="24"/>
          <w:highlight w:val="none"/>
        </w:rPr>
      </w:pPr>
    </w:p>
    <w:p w14:paraId="73BB18A3">
      <w:pPr>
        <w:spacing w:line="588" w:lineRule="exact"/>
        <w:ind w:firstLine="504" w:firstLineChars="200"/>
        <w:rPr>
          <w:rFonts w:hAnsi="宋体" w:cs="宋体"/>
          <w:spacing w:val="6"/>
          <w:szCs w:val="24"/>
          <w:highlight w:val="none"/>
        </w:rPr>
      </w:pPr>
    </w:p>
    <w:p w14:paraId="7BBB7AFD">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63973AFD">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2C6855B5">
      <w:pPr>
        <w:spacing w:line="360" w:lineRule="auto"/>
        <w:ind w:right="640"/>
        <w:rPr>
          <w:rFonts w:hAnsi="宋体" w:cs="宋体"/>
          <w:szCs w:val="24"/>
          <w:highlight w:val="none"/>
        </w:rPr>
      </w:pPr>
      <w:r>
        <w:rPr>
          <w:rFonts w:hint="eastAsia" w:hAnsi="宋体" w:cs="宋体"/>
          <w:highlight w:val="none"/>
        </w:rPr>
        <w:br w:type="page"/>
      </w:r>
    </w:p>
    <w:p w14:paraId="7E990B2B">
      <w:pPr>
        <w:spacing w:line="360" w:lineRule="auto"/>
        <w:rPr>
          <w:rFonts w:hAnsi="宋体" w:cs="宋体"/>
          <w:szCs w:val="24"/>
          <w:highlight w:val="none"/>
        </w:rPr>
      </w:pPr>
    </w:p>
    <w:p w14:paraId="1BB577A6">
      <w:pPr>
        <w:spacing w:line="360" w:lineRule="auto"/>
        <w:outlineLvl w:val="2"/>
        <w:rPr>
          <w:rFonts w:hAnsi="宋体" w:cs="宋体"/>
          <w:b/>
          <w:sz w:val="28"/>
          <w:szCs w:val="28"/>
          <w:highlight w:val="none"/>
        </w:rPr>
      </w:pPr>
      <w:bookmarkStart w:id="177" w:name="_Toc29109"/>
      <w:bookmarkStart w:id="178" w:name="_Toc2119"/>
      <w:bookmarkStart w:id="179" w:name="_Toc2139"/>
      <w:r>
        <w:rPr>
          <w:rFonts w:hint="eastAsia" w:hAnsi="宋体" w:cs="宋体"/>
          <w:b/>
          <w:sz w:val="28"/>
          <w:szCs w:val="28"/>
          <w:highlight w:val="none"/>
        </w:rPr>
        <w:t>附件4：质疑函范本</w:t>
      </w:r>
      <w:bookmarkEnd w:id="177"/>
      <w:bookmarkEnd w:id="178"/>
      <w:bookmarkEnd w:id="179"/>
    </w:p>
    <w:p w14:paraId="2A0D2C2B">
      <w:pPr>
        <w:jc w:val="center"/>
        <w:rPr>
          <w:rFonts w:hAnsi="宋体" w:cs="宋体"/>
          <w:b/>
          <w:bCs/>
          <w:sz w:val="44"/>
          <w:szCs w:val="44"/>
          <w:highlight w:val="none"/>
        </w:rPr>
      </w:pPr>
      <w:r>
        <w:rPr>
          <w:rFonts w:hint="eastAsia" w:hAnsi="宋体" w:cs="宋体"/>
          <w:b/>
          <w:bCs/>
          <w:sz w:val="44"/>
          <w:szCs w:val="44"/>
          <w:highlight w:val="none"/>
        </w:rPr>
        <w:t>质疑函范本</w:t>
      </w:r>
    </w:p>
    <w:p w14:paraId="43344BF7">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2B29EE00">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01456A25">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10608304">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1C4F683D">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6D14043E">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1C3E9F8C">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6AD87897">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3B47A2CD">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46F1D078">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5416D823">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3D83D955">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01D63F30">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7911430B">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15260127">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4B7C0DDF">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19EBF598">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1E049EE3">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0F7CE216">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66F29C4D">
      <w:pPr>
        <w:adjustRightInd w:val="0"/>
        <w:snapToGrid w:val="0"/>
        <w:spacing w:line="360" w:lineRule="auto"/>
        <w:rPr>
          <w:rFonts w:hAnsi="宋体" w:cs="宋体"/>
          <w:szCs w:val="24"/>
          <w:highlight w:val="none"/>
        </w:rPr>
      </w:pPr>
      <w:r>
        <w:rPr>
          <w:rFonts w:hint="eastAsia" w:hAnsi="宋体" w:cs="宋体"/>
          <w:szCs w:val="24"/>
          <w:highlight w:val="none"/>
        </w:rPr>
        <w:t>……</w:t>
      </w:r>
    </w:p>
    <w:p w14:paraId="07EBF966">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70A99642">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3B9D3DB9">
      <w:pPr>
        <w:rPr>
          <w:rFonts w:hAnsi="宋体" w:cs="宋体"/>
          <w:szCs w:val="24"/>
          <w:highlight w:val="none"/>
        </w:rPr>
      </w:pPr>
      <w:r>
        <w:rPr>
          <w:rFonts w:hint="eastAsia" w:hAnsi="宋体" w:cs="宋体"/>
          <w:szCs w:val="24"/>
          <w:highlight w:val="none"/>
        </w:rPr>
        <w:t xml:space="preserve">签字(签章)：                   公章：                      </w:t>
      </w:r>
    </w:p>
    <w:p w14:paraId="75B10965">
      <w:pPr>
        <w:rPr>
          <w:rFonts w:hAnsi="宋体" w:cs="宋体"/>
          <w:szCs w:val="24"/>
          <w:highlight w:val="none"/>
        </w:rPr>
      </w:pPr>
      <w:r>
        <w:rPr>
          <w:rFonts w:hint="eastAsia" w:hAnsi="宋体" w:cs="宋体"/>
          <w:szCs w:val="24"/>
          <w:highlight w:val="none"/>
        </w:rPr>
        <w:t xml:space="preserve">日期：    </w:t>
      </w:r>
    </w:p>
    <w:p w14:paraId="00F95797">
      <w:pPr>
        <w:jc w:val="center"/>
        <w:rPr>
          <w:rFonts w:hAnsi="宋体" w:cs="宋体"/>
          <w:b/>
          <w:sz w:val="44"/>
          <w:szCs w:val="44"/>
          <w:highlight w:val="none"/>
        </w:rPr>
      </w:pPr>
    </w:p>
    <w:p w14:paraId="5E241A30">
      <w:pPr>
        <w:jc w:val="center"/>
        <w:rPr>
          <w:rFonts w:hAnsi="宋体" w:cs="宋体"/>
          <w:b/>
          <w:sz w:val="44"/>
          <w:szCs w:val="44"/>
          <w:highlight w:val="none"/>
        </w:rPr>
      </w:pPr>
    </w:p>
    <w:p w14:paraId="73573D23">
      <w:pPr>
        <w:jc w:val="center"/>
        <w:rPr>
          <w:rFonts w:hAnsi="宋体" w:cs="宋体"/>
          <w:b/>
          <w:sz w:val="44"/>
          <w:szCs w:val="44"/>
          <w:highlight w:val="none"/>
        </w:rPr>
      </w:pPr>
      <w:r>
        <w:rPr>
          <w:rFonts w:hint="eastAsia" w:hAnsi="宋体" w:cs="宋体"/>
          <w:b/>
          <w:sz w:val="44"/>
          <w:szCs w:val="44"/>
          <w:highlight w:val="none"/>
        </w:rPr>
        <w:t>投诉书范本</w:t>
      </w:r>
    </w:p>
    <w:p w14:paraId="0B5B88A0">
      <w:pPr>
        <w:rPr>
          <w:rFonts w:hAnsi="宋体" w:cs="宋体"/>
          <w:szCs w:val="24"/>
          <w:highlight w:val="none"/>
        </w:rPr>
      </w:pPr>
      <w:r>
        <w:rPr>
          <w:rFonts w:hint="eastAsia" w:hAnsi="宋体" w:cs="宋体"/>
          <w:szCs w:val="24"/>
          <w:highlight w:val="none"/>
        </w:rPr>
        <w:t>一、投诉相关主体基本情况</w:t>
      </w:r>
    </w:p>
    <w:p w14:paraId="2153C9DF">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4021EC2D">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2E61023E">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0AE1119D">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4604869B">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63224FF0">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50CA9A3D">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4592CC73">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F2310D3">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F6A841D">
      <w:pPr>
        <w:rPr>
          <w:rFonts w:hAnsi="宋体" w:cs="宋体"/>
          <w:szCs w:val="24"/>
          <w:highlight w:val="none"/>
        </w:rPr>
      </w:pPr>
      <w:r>
        <w:rPr>
          <w:rFonts w:hint="eastAsia" w:hAnsi="宋体" w:cs="宋体"/>
          <w:szCs w:val="24"/>
          <w:highlight w:val="none"/>
        </w:rPr>
        <w:t>被投诉人2</w:t>
      </w:r>
    </w:p>
    <w:p w14:paraId="15EBB93B">
      <w:pPr>
        <w:rPr>
          <w:rFonts w:hAnsi="宋体" w:cs="宋体"/>
          <w:szCs w:val="24"/>
          <w:highlight w:val="none"/>
          <w:u w:val="dotted"/>
        </w:rPr>
      </w:pPr>
      <w:r>
        <w:rPr>
          <w:rFonts w:hint="eastAsia" w:hAnsi="宋体" w:cs="宋体"/>
          <w:szCs w:val="24"/>
          <w:highlight w:val="none"/>
        </w:rPr>
        <w:t>……</w:t>
      </w:r>
    </w:p>
    <w:p w14:paraId="7877C0E5">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8A869F2">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392F3C2C">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28161B6F">
      <w:pPr>
        <w:rPr>
          <w:rFonts w:hAnsi="宋体" w:cs="宋体"/>
          <w:szCs w:val="24"/>
          <w:highlight w:val="none"/>
        </w:rPr>
      </w:pPr>
      <w:r>
        <w:rPr>
          <w:rFonts w:hint="eastAsia" w:hAnsi="宋体" w:cs="宋体"/>
          <w:szCs w:val="24"/>
          <w:highlight w:val="none"/>
        </w:rPr>
        <w:t>二、投诉项目基本情况</w:t>
      </w:r>
    </w:p>
    <w:p w14:paraId="31180D12">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4F071613">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2F14B871">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3EDFEE6E">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032632A3">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4E33BCB8">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0834DA78">
      <w:pPr>
        <w:rPr>
          <w:rFonts w:hAnsi="宋体" w:cs="宋体"/>
          <w:szCs w:val="24"/>
          <w:highlight w:val="none"/>
        </w:rPr>
      </w:pPr>
      <w:r>
        <w:rPr>
          <w:rFonts w:hint="eastAsia" w:hAnsi="宋体" w:cs="宋体"/>
          <w:szCs w:val="24"/>
          <w:highlight w:val="none"/>
        </w:rPr>
        <w:t>三、质疑基本情况</w:t>
      </w:r>
    </w:p>
    <w:p w14:paraId="456C9BFB">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05A8C24A">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33DCF458">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79AA40AA">
      <w:pPr>
        <w:rPr>
          <w:rFonts w:hAnsi="宋体" w:cs="宋体"/>
          <w:szCs w:val="24"/>
          <w:highlight w:val="none"/>
        </w:rPr>
      </w:pPr>
      <w:r>
        <w:rPr>
          <w:rFonts w:hint="eastAsia" w:hAnsi="宋体" w:cs="宋体"/>
          <w:szCs w:val="24"/>
          <w:highlight w:val="none"/>
        </w:rPr>
        <w:t>四、投诉事项具体内容</w:t>
      </w:r>
    </w:p>
    <w:p w14:paraId="4ED57FAD">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203D3A66">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182DBEC9">
      <w:pPr>
        <w:rPr>
          <w:rFonts w:hAnsi="宋体" w:cs="宋体"/>
          <w:szCs w:val="24"/>
          <w:highlight w:val="none"/>
          <w:u w:val="dotted"/>
        </w:rPr>
      </w:pPr>
      <w:r>
        <w:rPr>
          <w:rFonts w:hint="eastAsia" w:hAnsi="宋体" w:cs="宋体"/>
          <w:szCs w:val="24"/>
          <w:highlight w:val="none"/>
          <w:u w:val="dotted"/>
        </w:rPr>
        <w:t xml:space="preserve">                                                      </w:t>
      </w:r>
    </w:p>
    <w:p w14:paraId="5A5A3EFD">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5CC58201">
      <w:pPr>
        <w:rPr>
          <w:rFonts w:hAnsi="宋体" w:cs="宋体"/>
          <w:szCs w:val="24"/>
          <w:highlight w:val="none"/>
          <w:u w:val="dotted"/>
        </w:rPr>
      </w:pPr>
      <w:r>
        <w:rPr>
          <w:rFonts w:hint="eastAsia" w:hAnsi="宋体" w:cs="宋体"/>
          <w:szCs w:val="24"/>
          <w:highlight w:val="none"/>
          <w:u w:val="dotted"/>
        </w:rPr>
        <w:t xml:space="preserve">                                                      </w:t>
      </w:r>
    </w:p>
    <w:p w14:paraId="3FADEB49">
      <w:pPr>
        <w:rPr>
          <w:rFonts w:hAnsi="宋体" w:cs="宋体"/>
          <w:szCs w:val="24"/>
          <w:highlight w:val="none"/>
        </w:rPr>
      </w:pPr>
      <w:r>
        <w:rPr>
          <w:rFonts w:hint="eastAsia" w:hAnsi="宋体" w:cs="宋体"/>
          <w:szCs w:val="24"/>
          <w:highlight w:val="none"/>
        </w:rPr>
        <w:t>投诉事项2</w:t>
      </w:r>
    </w:p>
    <w:p w14:paraId="556F9FC6">
      <w:pPr>
        <w:rPr>
          <w:rFonts w:hAnsi="宋体" w:cs="宋体"/>
          <w:szCs w:val="24"/>
          <w:highlight w:val="none"/>
          <w:u w:val="dotted"/>
        </w:rPr>
      </w:pPr>
      <w:r>
        <w:rPr>
          <w:rFonts w:hint="eastAsia" w:hAnsi="宋体" w:cs="宋体"/>
          <w:szCs w:val="24"/>
          <w:highlight w:val="none"/>
        </w:rPr>
        <w:t>……</w:t>
      </w:r>
    </w:p>
    <w:p w14:paraId="0131F5FE">
      <w:pPr>
        <w:rPr>
          <w:rFonts w:hAnsi="宋体" w:cs="宋体"/>
          <w:szCs w:val="24"/>
          <w:highlight w:val="none"/>
        </w:rPr>
      </w:pPr>
      <w:r>
        <w:rPr>
          <w:rFonts w:hint="eastAsia" w:hAnsi="宋体" w:cs="宋体"/>
          <w:szCs w:val="24"/>
          <w:highlight w:val="none"/>
        </w:rPr>
        <w:t>五、与投诉事项相关的投诉请求</w:t>
      </w:r>
    </w:p>
    <w:p w14:paraId="0652F15C">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56D39824">
      <w:pPr>
        <w:rPr>
          <w:rFonts w:hAnsi="宋体" w:cs="宋体"/>
          <w:szCs w:val="24"/>
          <w:highlight w:val="none"/>
          <w:u w:val="single"/>
        </w:rPr>
      </w:pPr>
      <w:r>
        <w:rPr>
          <w:rFonts w:hint="eastAsia" w:hAnsi="宋体" w:cs="宋体"/>
          <w:szCs w:val="24"/>
          <w:highlight w:val="none"/>
        </w:rPr>
        <w:t xml:space="preserve">                                                                                                    </w:t>
      </w:r>
    </w:p>
    <w:p w14:paraId="0BD0C05B">
      <w:pPr>
        <w:rPr>
          <w:rFonts w:hAnsi="宋体" w:cs="宋体"/>
          <w:szCs w:val="24"/>
          <w:highlight w:val="none"/>
        </w:rPr>
      </w:pPr>
      <w:r>
        <w:rPr>
          <w:rFonts w:hint="eastAsia" w:hAnsi="宋体" w:cs="宋体"/>
          <w:szCs w:val="24"/>
          <w:highlight w:val="none"/>
        </w:rPr>
        <w:t xml:space="preserve">签字(签章)：                   公章：                      </w:t>
      </w:r>
    </w:p>
    <w:p w14:paraId="45CB4E5B">
      <w:pPr>
        <w:spacing w:line="360" w:lineRule="auto"/>
        <w:rPr>
          <w:highlight w:val="none"/>
        </w:rPr>
      </w:pPr>
      <w:r>
        <w:rPr>
          <w:rFonts w:hint="eastAsia" w:hAnsi="宋体" w:cs="宋体"/>
          <w:szCs w:val="24"/>
          <w:highlight w:val="none"/>
        </w:rPr>
        <w:t xml:space="preserve">日期：   </w:t>
      </w:r>
      <w:r>
        <w:rPr>
          <w:rFonts w:hint="eastAsia" w:hAnsi="宋体" w:cs="宋体"/>
          <w:szCs w:val="24"/>
          <w:highlight w:val="none"/>
        </w:rPr>
        <w:tab/>
      </w:r>
    </w:p>
    <w:sectPr>
      <w:footerReference r:id="rId16" w:type="first"/>
      <w:headerReference r:id="rId14" w:type="default"/>
      <w:footerReference r:id="rId15" w:type="default"/>
      <w:pgSz w:w="11906" w:h="16838"/>
      <w:pgMar w:top="1361" w:right="1304" w:bottom="1361"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AGYXIQ + Frutiger-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4F839">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37359">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E1B95">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38F8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4838F8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54308">
    <w:pPr>
      <w:pStyle w:val="14"/>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CFD03">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F2CFD03">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DDA3">
    <w:pPr>
      <w:spacing w:line="209" w:lineRule="auto"/>
      <w:ind w:left="4437"/>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posOffset>2800985</wp:posOffset>
              </wp:positionH>
              <wp:positionV relativeFrom="paragraph">
                <wp:posOffset>-9525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E03CA">
                          <w:pPr>
                            <w:pStyle w:val="14"/>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0.55pt;margin-top:-0.75pt;height:144pt;width:144pt;mso-position-horizontal-relative:margin;mso-wrap-style:none;z-index:251665408;mso-width-relative:page;mso-height-relative:page;" filled="f" stroked="f" coordsize="21600,21600" o:gfxdata="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0FT+/YAAAACgEAAA8AAAAAAAAAAQAgAAAAIgAAAGRycy9kb3ducmV2Lnht&#10;bFBLAQIUABQAAAAIAIdO4kCk+9p2MgIAAGMEAAAOAAAAAAAAAAEAIAAAACcBAABkcnMvZTJvRG9j&#10;LnhtbFBLBQYAAAAABgAGAFkBAADLBQAAAAA=&#10;">
              <v:fill on="f" focussize="0,0"/>
              <v:stroke on="f" weight="0.5pt"/>
              <v:imagedata o:title=""/>
              <o:lock v:ext="edit" aspectratio="f"/>
              <v:textbox inset="0mm,0mm,0mm,0mm" style="mso-fit-shape-to-text:t;">
                <w:txbxContent>
                  <w:p w14:paraId="196E03CA">
                    <w:pPr>
                      <w:pStyle w:val="14"/>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FA38F">
    <w:pPr>
      <w:spacing w:line="209" w:lineRule="auto"/>
      <w:ind w:left="4296"/>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5BB98">
                          <w:pPr>
                            <w:pStyle w:val="14"/>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A15BB98">
                    <w:pPr>
                      <w:pStyle w:val="14"/>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EAC64">
    <w:pPr>
      <w:tabs>
        <w:tab w:val="left" w:pos="5646"/>
      </w:tabs>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E52C4">
                          <w:pPr>
                            <w:pStyle w:val="14"/>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14E52C4">
                    <w:pPr>
                      <w:pStyle w:val="14"/>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p w14:paraId="7EEB046D">
    <w:pPr>
      <w:pStyle w:val="14"/>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E75CF">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671FB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34671FB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CDC4">
    <w:pPr>
      <w:spacing w:line="500" w:lineRule="exact"/>
      <w:ind w:left="1870" w:hanging="1870" w:hangingChars="850"/>
      <w:jc w:val="left"/>
      <w:rPr>
        <w:rFonts w:hAnsi="宋体" w:cs="宋体"/>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F7451">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2544C">
    <w:pPr>
      <w:pStyle w:val="1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37B1">
    <w:pPr>
      <w:spacing w:before="16" w:line="191" w:lineRule="auto"/>
      <w:ind w:left="150"/>
      <w:rPr>
        <w:rFonts w:ascii="宋体" w:hAnsi="宋体" w:eastAsia="宋体" w:cs="宋体"/>
        <w:sz w:val="18"/>
        <w:szCs w:val="18"/>
      </w:rPr>
    </w:pPr>
    <w:r>
      <w:rPr>
        <w:rFonts w:hint="eastAsia" w:ascii="宋体" w:hAnsi="宋体" w:eastAsia="宋体" w:cs="宋体"/>
        <w:sz w:val="18"/>
        <w:szCs w:val="18"/>
      </w:rPr>
      <w:t>柞水县污水处理厂2025年药剂采购项目</w:t>
    </w:r>
    <w:r>
      <mc:AlternateContent>
        <mc:Choice Requires="wps">
          <w:drawing>
            <wp:anchor distT="0" distB="0" distL="114300" distR="114300" simplePos="0" relativeHeight="251662336" behindDoc="0" locked="0" layoutInCell="1" allowOverlap="1">
              <wp:simplePos x="0" y="0"/>
              <wp:positionH relativeFrom="column">
                <wp:posOffset>89535</wp:posOffset>
              </wp:positionH>
              <wp:positionV relativeFrom="paragraph">
                <wp:posOffset>116840</wp:posOffset>
              </wp:positionV>
              <wp:extent cx="5715000" cy="5080"/>
              <wp:effectExtent l="0" t="0" r="0" b="0"/>
              <wp:wrapNone/>
              <wp:docPr id="8" name="任意多边形 8"/>
              <wp:cNvGraphicFramePr/>
              <a:graphic xmlns:a="http://schemas.openxmlformats.org/drawingml/2006/main">
                <a:graphicData uri="http://schemas.microsoft.com/office/word/2010/wordprocessingShape">
                  <wps:wsp>
                    <wps:cNvSpPr/>
                    <wps:spPr>
                      <a:xfrm>
                        <a:off x="0" y="0"/>
                        <a:ext cx="5715000" cy="5080"/>
                      </a:xfrm>
                      <a:custGeom>
                        <a:avLst/>
                        <a:gdLst/>
                        <a:ahLst/>
                        <a:cxnLst/>
                        <a:pathLst>
                          <a:path w="9000" h="8">
                            <a:moveTo>
                              <a:pt x="0" y="3"/>
                            </a:moveTo>
                            <a:lnTo>
                              <a:pt x="8999" y="3"/>
                            </a:lnTo>
                          </a:path>
                        </a:pathLst>
                      </a:custGeom>
                      <a:noFill/>
                      <a:ln w="4572"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7.05pt;margin-top:9.2pt;height:0.4pt;width:450pt;z-index:251662336;mso-width-relative:page;mso-height-relative:page;" filled="f" stroked="t" coordsize="9000,8" o:gfxdata="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oJYPfTAAAACAEAAA8AAAAAAAAAAQAgAAAAIgAAAGRycy9kb3ducmV2&#10;LnhtbFBLAQIUABQAAAAIAIdO4kCH378HOgIAAJUEAAAOAAAAAAAAAAEAIAAAACIBAABkcnMvZTJv&#10;RG9jLnhtbFBLBQYAAAAABgAGAFkBAADOBQAAAAA=&#10;" path="m0,3l8999,3e">
              <v:fill on="f" focussize="0,0"/>
              <v:stroke weight="0.36pt" color="#000000" joinstyle="bevel"/>
              <v:imagedata o:title=""/>
              <o:lock v:ext="edit" aspectratio="f"/>
            </v:shape>
          </w:pict>
        </mc:Fallback>
      </mc:AlternateContent>
    </w:r>
    <w:r>
      <w:rPr>
        <w:rFonts w:ascii="宋体" w:hAnsi="宋体" w:eastAsia="宋体" w:cs="宋体"/>
        <w:sz w:val="18"/>
        <w:szCs w:val="18"/>
      </w:rPr>
      <w:t xml:space="preserve">                          </w:t>
    </w:r>
    <w:r>
      <w:rPr>
        <w:rFonts w:hint="eastAsia" w:hAnsi="宋体" w:cs="宋体"/>
        <w:sz w:val="18"/>
        <w:szCs w:val="18"/>
        <w:lang w:val="en-US" w:eastAsia="zh-CN"/>
      </w:rPr>
      <w:t xml:space="preserve">   </w:t>
    </w:r>
    <w:r>
      <w:rPr>
        <w:rFonts w:ascii="宋体" w:hAnsi="宋体" w:eastAsia="宋体" w:cs="宋体"/>
        <w:sz w:val="18"/>
        <w:szCs w:val="18"/>
      </w:rPr>
      <w:t xml:space="preserve">    </w:t>
    </w:r>
    <w:r>
      <w:rPr>
        <w:rFonts w:ascii="宋体" w:hAnsi="宋体" w:eastAsia="宋体" w:cs="宋体"/>
        <w:spacing w:val="-1"/>
        <w:sz w:val="18"/>
        <w:szCs w:val="18"/>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C1BFD">
    <w:pPr>
      <w:spacing w:before="16" w:line="191" w:lineRule="auto"/>
      <w:ind w:left="9"/>
      <w:rPr>
        <w:rFonts w:ascii="宋体" w:hAnsi="宋体" w:eastAsia="宋体" w:cs="宋体"/>
        <w:sz w:val="18"/>
        <w:szCs w:val="18"/>
      </w:rPr>
    </w:pPr>
    <w:r>
      <w:rPr>
        <w:rFonts w:hint="eastAsia" w:ascii="宋体" w:hAnsi="宋体" w:eastAsia="宋体" w:cs="宋体"/>
        <w:sz w:val="18"/>
        <w:szCs w:val="18"/>
      </w:rPr>
      <w:t>柞水县污水处理厂2025年药剂采购项目</w: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116840</wp:posOffset>
              </wp:positionV>
              <wp:extent cx="5715000" cy="5080"/>
              <wp:effectExtent l="0" t="0" r="0" b="0"/>
              <wp:wrapNone/>
              <wp:docPr id="9" name="任意多边形 9"/>
              <wp:cNvGraphicFramePr/>
              <a:graphic xmlns:a="http://schemas.openxmlformats.org/drawingml/2006/main">
                <a:graphicData uri="http://schemas.microsoft.com/office/word/2010/wordprocessingShape">
                  <wps:wsp>
                    <wps:cNvSpPr/>
                    <wps:spPr>
                      <a:xfrm>
                        <a:off x="0" y="0"/>
                        <a:ext cx="5715000" cy="5080"/>
                      </a:xfrm>
                      <a:custGeom>
                        <a:avLst/>
                        <a:gdLst/>
                        <a:ahLst/>
                        <a:cxnLst/>
                        <a:pathLst>
                          <a:path w="9000" h="8">
                            <a:moveTo>
                              <a:pt x="0" y="3"/>
                            </a:moveTo>
                            <a:lnTo>
                              <a:pt x="8999" y="3"/>
                            </a:lnTo>
                          </a:path>
                        </a:pathLst>
                      </a:custGeom>
                      <a:noFill/>
                      <a:ln w="4572"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9.2pt;height:0.4pt;width:450pt;z-index:251660288;mso-width-relative:page;mso-height-relative:page;" filled="f" stroked="t" coordsize="9000,8" o:gfxdata="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wCIEnTAAAABgEAAA8AAAAAAAAAAQAgAAAAIgAAAGRycy9kb3ducmV2&#10;LnhtbFBLAQIUABQAAAAIAIdO4kA7jy6fOgIAAJUEAAAOAAAAAAAAAAEAIAAAACIBAABkcnMvZTJv&#10;RG9jLnhtbFBLBQYAAAAABgAGAFkBAADOBQAAAAA=&#10;" path="m0,3l8999,3e">
              <v:fill on="f" focussize="0,0"/>
              <v:stroke weight="0.36pt" color="#000000" joinstyle="bevel"/>
              <v:imagedata o:title=""/>
              <o:lock v:ext="edit" aspectratio="f"/>
            </v:shape>
          </w:pict>
        </mc:Fallback>
      </mc:AlternateContent>
    </w:r>
    <w:r>
      <w:rPr>
        <w:rFonts w:ascii="宋体" w:hAnsi="宋体" w:eastAsia="宋体" w:cs="宋体"/>
        <w:sz w:val="18"/>
        <w:szCs w:val="18"/>
      </w:rPr>
      <w:t xml:space="preserve">                              </w:t>
    </w:r>
    <w:r>
      <w:rPr>
        <w:rFonts w:ascii="宋体" w:hAnsi="宋体" w:eastAsia="宋体" w:cs="宋体"/>
        <w:spacing w:val="-1"/>
        <w:sz w:val="18"/>
        <w:szCs w:val="18"/>
      </w:rPr>
      <w:t xml:space="preserve">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4FAD6">
    <w:pPr>
      <w:spacing w:before="16" w:line="191" w:lineRule="auto"/>
      <w:ind w:left="9"/>
      <w:rPr>
        <w:rFonts w:ascii="宋体" w:hAnsi="宋体" w:eastAsia="宋体" w:cs="宋体"/>
        <w:sz w:val="18"/>
        <w:szCs w:val="18"/>
      </w:rPr>
    </w:pPr>
    <w:r>
      <w:rPr>
        <w:rFonts w:hint="eastAsia" w:ascii="宋体" w:hAnsi="宋体" w:eastAsia="宋体" w:cs="宋体"/>
        <w:sz w:val="18"/>
        <w:szCs w:val="18"/>
      </w:rPr>
      <w:t>柞水县污水处理厂2025年药剂采购项目</w: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116840</wp:posOffset>
              </wp:positionV>
              <wp:extent cx="5715000" cy="5080"/>
              <wp:effectExtent l="0" t="0" r="0" b="0"/>
              <wp:wrapNone/>
              <wp:docPr id="5" name="任意多边形 5"/>
              <wp:cNvGraphicFramePr/>
              <a:graphic xmlns:a="http://schemas.openxmlformats.org/drawingml/2006/main">
                <a:graphicData uri="http://schemas.microsoft.com/office/word/2010/wordprocessingShape">
                  <wps:wsp>
                    <wps:cNvSpPr/>
                    <wps:spPr>
                      <a:xfrm>
                        <a:off x="0" y="0"/>
                        <a:ext cx="5715000" cy="5080"/>
                      </a:xfrm>
                      <a:custGeom>
                        <a:avLst/>
                        <a:gdLst/>
                        <a:ahLst/>
                        <a:cxnLst/>
                        <a:pathLst>
                          <a:path w="9000" h="8">
                            <a:moveTo>
                              <a:pt x="0" y="3"/>
                            </a:moveTo>
                            <a:lnTo>
                              <a:pt x="8999" y="3"/>
                            </a:lnTo>
                          </a:path>
                        </a:pathLst>
                      </a:custGeom>
                      <a:noFill/>
                      <a:ln w="4572"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9.2pt;height:0.4pt;width:450pt;z-index:251661312;mso-width-relative:page;mso-height-relative:page;" filled="f" stroked="t" coordsize="9000,8" o:gfxdata="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AiBJ0wAAAAYBAAAPAAAAAAAAAAEAIAAAACIAAABkcnMvZG93bnJl&#10;di54bWxQSwECFAAUAAAACACHTuJAbldUjzsCAACVBAAADgAAAAAAAAABACAAAAAiAQAAZHJzL2Uy&#10;b0RvYy54bWxQSwUGAAAAAAYABgBZAQAAzwUAAAAA&#10;" path="m0,3l8999,3e">
              <v:fill on="f" focussize="0,0"/>
              <v:stroke weight="0.36pt" color="#000000" joinstyle="bevel"/>
              <v:imagedata o:title=""/>
              <o:lock v:ext="edit" aspectratio="f"/>
            </v:shape>
          </w:pict>
        </mc:Fallback>
      </mc:AlternateContent>
    </w:r>
    <w:r>
      <w:rPr>
        <w:rFonts w:ascii="宋体" w:hAnsi="宋体" w:eastAsia="宋体" w:cs="宋体"/>
        <w:sz w:val="18"/>
        <w:szCs w:val="18"/>
      </w:rPr>
      <w:t xml:space="preserve">                             </w:t>
    </w:r>
    <w:r>
      <w:rPr>
        <w:rFonts w:ascii="宋体" w:hAnsi="宋体" w:eastAsia="宋体" w:cs="宋体"/>
        <w:spacing w:val="-1"/>
        <w:sz w:val="18"/>
        <w:szCs w:val="18"/>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9E7BF"/>
    <w:multiLevelType w:val="singleLevel"/>
    <w:tmpl w:val="3269E7BF"/>
    <w:lvl w:ilvl="0" w:tentative="0">
      <w:start w:val="4"/>
      <w:numFmt w:val="chineseCounting"/>
      <w:suff w:val="nothing"/>
      <w:lvlText w:val="%1、"/>
      <w:lvlJc w:val="left"/>
      <w:rPr>
        <w:rFonts w:hint="eastAsia"/>
      </w:rPr>
    </w:lvl>
  </w:abstractNum>
  <w:abstractNum w:abstractNumId="1">
    <w:nsid w:val="3345DCC0"/>
    <w:multiLevelType w:val="singleLevel"/>
    <w:tmpl w:val="3345DCC0"/>
    <w:lvl w:ilvl="0" w:tentative="0">
      <w:start w:val="1"/>
      <w:numFmt w:val="decimal"/>
      <w:suff w:val="nothing"/>
      <w:lvlText w:val="%1）"/>
      <w:lvlJc w:val="left"/>
    </w:lvl>
  </w:abstractNum>
  <w:abstractNum w:abstractNumId="2">
    <w:nsid w:val="590049E8"/>
    <w:multiLevelType w:val="singleLevel"/>
    <w:tmpl w:val="590049E8"/>
    <w:lvl w:ilvl="0" w:tentative="0">
      <w:start w:val="30"/>
      <w:numFmt w:val="decimal"/>
      <w:suff w:val="nothing"/>
      <w:lvlText w:val="%1."/>
      <w:lvlJc w:val="left"/>
    </w:lvl>
  </w:abstractNum>
  <w:abstractNum w:abstractNumId="3">
    <w:nsid w:val="59B2460E"/>
    <w:multiLevelType w:val="singleLevel"/>
    <w:tmpl w:val="59B2460E"/>
    <w:lvl w:ilvl="0" w:tentative="0">
      <w:start w:val="2"/>
      <w:numFmt w:val="decimal"/>
      <w:suff w:val="nothing"/>
      <w:lvlText w:val="%1."/>
      <w:lvlJc w:val="left"/>
    </w:lvl>
  </w:abstractNum>
  <w:abstractNum w:abstractNumId="4">
    <w:nsid w:val="59CF0981"/>
    <w:multiLevelType w:val="singleLevel"/>
    <w:tmpl w:val="59CF0981"/>
    <w:lvl w:ilvl="0" w:tentative="0">
      <w:start w:val="1"/>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MTljMjQ2ZmM1YTViMzFmYmJjNDI2MjcxMWZiNWYifQ=="/>
  </w:docVars>
  <w:rsids>
    <w:rsidRoot w:val="000007BF"/>
    <w:rsid w:val="000007BF"/>
    <w:rsid w:val="000B4EEA"/>
    <w:rsid w:val="00187FDF"/>
    <w:rsid w:val="001A3005"/>
    <w:rsid w:val="00210AF4"/>
    <w:rsid w:val="0025686E"/>
    <w:rsid w:val="00283848"/>
    <w:rsid w:val="003F27D8"/>
    <w:rsid w:val="0051172C"/>
    <w:rsid w:val="00674F9E"/>
    <w:rsid w:val="007E3EC7"/>
    <w:rsid w:val="00957719"/>
    <w:rsid w:val="009D35EB"/>
    <w:rsid w:val="00A96660"/>
    <w:rsid w:val="00AC22DF"/>
    <w:rsid w:val="00B850B3"/>
    <w:rsid w:val="00E1765B"/>
    <w:rsid w:val="00FE29D6"/>
    <w:rsid w:val="01491172"/>
    <w:rsid w:val="01763BCE"/>
    <w:rsid w:val="01894FE5"/>
    <w:rsid w:val="02123218"/>
    <w:rsid w:val="02EA0A37"/>
    <w:rsid w:val="04FC5FE8"/>
    <w:rsid w:val="054F4610"/>
    <w:rsid w:val="06E7111E"/>
    <w:rsid w:val="072636A7"/>
    <w:rsid w:val="07534DB1"/>
    <w:rsid w:val="07593D76"/>
    <w:rsid w:val="07CE3B8A"/>
    <w:rsid w:val="07EC2E3C"/>
    <w:rsid w:val="095264E5"/>
    <w:rsid w:val="0A0E3659"/>
    <w:rsid w:val="0A7B73F3"/>
    <w:rsid w:val="0A9B03C3"/>
    <w:rsid w:val="0AE53B31"/>
    <w:rsid w:val="0B2608DC"/>
    <w:rsid w:val="0B4532B8"/>
    <w:rsid w:val="0B7374F2"/>
    <w:rsid w:val="0B857F7A"/>
    <w:rsid w:val="0B8E4BB5"/>
    <w:rsid w:val="0C0C3791"/>
    <w:rsid w:val="0CB75121"/>
    <w:rsid w:val="0D9F1FC7"/>
    <w:rsid w:val="0EC42C1D"/>
    <w:rsid w:val="0FCB77DB"/>
    <w:rsid w:val="107C6E8E"/>
    <w:rsid w:val="10C03B1A"/>
    <w:rsid w:val="114F16B3"/>
    <w:rsid w:val="11933EF1"/>
    <w:rsid w:val="11AE0E00"/>
    <w:rsid w:val="120947FC"/>
    <w:rsid w:val="124E6541"/>
    <w:rsid w:val="13055EFC"/>
    <w:rsid w:val="132A4818"/>
    <w:rsid w:val="1334275B"/>
    <w:rsid w:val="13545D39"/>
    <w:rsid w:val="138A6B07"/>
    <w:rsid w:val="14FF19C2"/>
    <w:rsid w:val="15454A62"/>
    <w:rsid w:val="15AE03AE"/>
    <w:rsid w:val="15CC2A41"/>
    <w:rsid w:val="16460527"/>
    <w:rsid w:val="16BF1BE3"/>
    <w:rsid w:val="17AA7A6C"/>
    <w:rsid w:val="17DB4A19"/>
    <w:rsid w:val="18774565"/>
    <w:rsid w:val="18B43656"/>
    <w:rsid w:val="18E436BB"/>
    <w:rsid w:val="19371A3D"/>
    <w:rsid w:val="1A7F74B5"/>
    <w:rsid w:val="1ABE15D4"/>
    <w:rsid w:val="1B051F7C"/>
    <w:rsid w:val="1BAE4D2B"/>
    <w:rsid w:val="1BF20D44"/>
    <w:rsid w:val="1CDD0B4D"/>
    <w:rsid w:val="1EB77460"/>
    <w:rsid w:val="1EC94B5F"/>
    <w:rsid w:val="1F126C7C"/>
    <w:rsid w:val="20334DFA"/>
    <w:rsid w:val="203C753D"/>
    <w:rsid w:val="20530343"/>
    <w:rsid w:val="20D64D51"/>
    <w:rsid w:val="21210A4D"/>
    <w:rsid w:val="21A15D2C"/>
    <w:rsid w:val="21C82376"/>
    <w:rsid w:val="22FC0750"/>
    <w:rsid w:val="244B7205"/>
    <w:rsid w:val="24D93136"/>
    <w:rsid w:val="25107BC7"/>
    <w:rsid w:val="2587194A"/>
    <w:rsid w:val="26450D58"/>
    <w:rsid w:val="272C1927"/>
    <w:rsid w:val="279F5FDF"/>
    <w:rsid w:val="27DA394E"/>
    <w:rsid w:val="289A5B44"/>
    <w:rsid w:val="28DC0F6A"/>
    <w:rsid w:val="28EC39D0"/>
    <w:rsid w:val="297E4A9C"/>
    <w:rsid w:val="29962A80"/>
    <w:rsid w:val="29CD21FE"/>
    <w:rsid w:val="2AAB1038"/>
    <w:rsid w:val="2B2B3DF5"/>
    <w:rsid w:val="2CA174A3"/>
    <w:rsid w:val="2D3C564F"/>
    <w:rsid w:val="2DA83DCF"/>
    <w:rsid w:val="2E4815E6"/>
    <w:rsid w:val="2EB7446F"/>
    <w:rsid w:val="2EBB4D79"/>
    <w:rsid w:val="2F02634B"/>
    <w:rsid w:val="2F620668"/>
    <w:rsid w:val="2FAF5753"/>
    <w:rsid w:val="3028297B"/>
    <w:rsid w:val="30E43FCF"/>
    <w:rsid w:val="310F12A5"/>
    <w:rsid w:val="31C85DFF"/>
    <w:rsid w:val="329D1A99"/>
    <w:rsid w:val="33996076"/>
    <w:rsid w:val="34557684"/>
    <w:rsid w:val="3787655B"/>
    <w:rsid w:val="3996367A"/>
    <w:rsid w:val="3A064C79"/>
    <w:rsid w:val="3AD061AD"/>
    <w:rsid w:val="3AF06488"/>
    <w:rsid w:val="3B663A4F"/>
    <w:rsid w:val="3BDE1F31"/>
    <w:rsid w:val="3C7D53DE"/>
    <w:rsid w:val="3CB6772C"/>
    <w:rsid w:val="3DA6256D"/>
    <w:rsid w:val="3DE16EAE"/>
    <w:rsid w:val="3E273EB8"/>
    <w:rsid w:val="3E3F6A9E"/>
    <w:rsid w:val="3E7C700F"/>
    <w:rsid w:val="3EB05A68"/>
    <w:rsid w:val="3EB94D72"/>
    <w:rsid w:val="3F073C8D"/>
    <w:rsid w:val="3FEC672B"/>
    <w:rsid w:val="40145023"/>
    <w:rsid w:val="40334D77"/>
    <w:rsid w:val="41571F94"/>
    <w:rsid w:val="42B37C55"/>
    <w:rsid w:val="43B937F0"/>
    <w:rsid w:val="449D0A3E"/>
    <w:rsid w:val="44C64A78"/>
    <w:rsid w:val="450B5884"/>
    <w:rsid w:val="45B222C8"/>
    <w:rsid w:val="462F7E0C"/>
    <w:rsid w:val="474029EB"/>
    <w:rsid w:val="478F6F24"/>
    <w:rsid w:val="48FB5FF1"/>
    <w:rsid w:val="494561BB"/>
    <w:rsid w:val="496833C9"/>
    <w:rsid w:val="49BD79B3"/>
    <w:rsid w:val="49E53559"/>
    <w:rsid w:val="4A485DC2"/>
    <w:rsid w:val="4AAA17BF"/>
    <w:rsid w:val="4C1D417B"/>
    <w:rsid w:val="4C755A0A"/>
    <w:rsid w:val="4C977834"/>
    <w:rsid w:val="4CFD5200"/>
    <w:rsid w:val="4CFE682A"/>
    <w:rsid w:val="4D3038E5"/>
    <w:rsid w:val="4D596375"/>
    <w:rsid w:val="4D946928"/>
    <w:rsid w:val="4F116279"/>
    <w:rsid w:val="4F43377D"/>
    <w:rsid w:val="4FCA5312"/>
    <w:rsid w:val="502F7238"/>
    <w:rsid w:val="50863AEE"/>
    <w:rsid w:val="50A15412"/>
    <w:rsid w:val="50C70192"/>
    <w:rsid w:val="51F72A4C"/>
    <w:rsid w:val="51FF1CE4"/>
    <w:rsid w:val="52237471"/>
    <w:rsid w:val="528D20F2"/>
    <w:rsid w:val="52927B75"/>
    <w:rsid w:val="5295566F"/>
    <w:rsid w:val="52B435E1"/>
    <w:rsid w:val="52E15F9A"/>
    <w:rsid w:val="530A28E4"/>
    <w:rsid w:val="535661BA"/>
    <w:rsid w:val="54201323"/>
    <w:rsid w:val="55004DFD"/>
    <w:rsid w:val="5502352F"/>
    <w:rsid w:val="552C7A66"/>
    <w:rsid w:val="55466638"/>
    <w:rsid w:val="55CC1183"/>
    <w:rsid w:val="560E38A4"/>
    <w:rsid w:val="5748483A"/>
    <w:rsid w:val="59361347"/>
    <w:rsid w:val="59A66EED"/>
    <w:rsid w:val="5AA9763F"/>
    <w:rsid w:val="5B1F3A0B"/>
    <w:rsid w:val="5BC07533"/>
    <w:rsid w:val="5CE21551"/>
    <w:rsid w:val="5D5905FD"/>
    <w:rsid w:val="5D822C5A"/>
    <w:rsid w:val="5DB6074F"/>
    <w:rsid w:val="5DDE730D"/>
    <w:rsid w:val="5E421FD0"/>
    <w:rsid w:val="5E503BBD"/>
    <w:rsid w:val="5F1C7961"/>
    <w:rsid w:val="5F983239"/>
    <w:rsid w:val="5FFA2097"/>
    <w:rsid w:val="60637039"/>
    <w:rsid w:val="60DD5FF3"/>
    <w:rsid w:val="61354B48"/>
    <w:rsid w:val="61397DAE"/>
    <w:rsid w:val="630A5037"/>
    <w:rsid w:val="63BF5B87"/>
    <w:rsid w:val="63DA4B97"/>
    <w:rsid w:val="64522C79"/>
    <w:rsid w:val="64EB3807"/>
    <w:rsid w:val="650E25C9"/>
    <w:rsid w:val="665D1ED0"/>
    <w:rsid w:val="67036EDE"/>
    <w:rsid w:val="679B47E6"/>
    <w:rsid w:val="67DA1F57"/>
    <w:rsid w:val="67F26828"/>
    <w:rsid w:val="68A6624A"/>
    <w:rsid w:val="6906014B"/>
    <w:rsid w:val="69DE533E"/>
    <w:rsid w:val="69F71FE5"/>
    <w:rsid w:val="6A7A48B2"/>
    <w:rsid w:val="6AA3335B"/>
    <w:rsid w:val="6CDC7AA6"/>
    <w:rsid w:val="6D997745"/>
    <w:rsid w:val="6F995F63"/>
    <w:rsid w:val="702D5807"/>
    <w:rsid w:val="70406237"/>
    <w:rsid w:val="70766E7B"/>
    <w:rsid w:val="72C67F3E"/>
    <w:rsid w:val="739E1612"/>
    <w:rsid w:val="74FA31C0"/>
    <w:rsid w:val="75102D70"/>
    <w:rsid w:val="751E7E24"/>
    <w:rsid w:val="7523099D"/>
    <w:rsid w:val="75CD391D"/>
    <w:rsid w:val="76047015"/>
    <w:rsid w:val="76392586"/>
    <w:rsid w:val="76E06023"/>
    <w:rsid w:val="770D0429"/>
    <w:rsid w:val="782B5247"/>
    <w:rsid w:val="784B5870"/>
    <w:rsid w:val="797F4079"/>
    <w:rsid w:val="7B434EA7"/>
    <w:rsid w:val="7B4D24C9"/>
    <w:rsid w:val="7B955067"/>
    <w:rsid w:val="7CDC740A"/>
    <w:rsid w:val="7D7F7E70"/>
    <w:rsid w:val="7E2D16FC"/>
    <w:rsid w:val="7E330076"/>
    <w:rsid w:val="7E933C3C"/>
    <w:rsid w:val="7F0B6033"/>
    <w:rsid w:val="7F3C6C4B"/>
    <w:rsid w:val="7F6556D9"/>
    <w:rsid w:val="7FC254E9"/>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31"/>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420" w:firstLineChars="200"/>
    </w:pPr>
    <w:rPr>
      <w:rFonts w:ascii="Calibri"/>
      <w:kern w:val="2"/>
      <w:sz w:val="21"/>
      <w:szCs w:val="24"/>
    </w:rPr>
  </w:style>
  <w:style w:type="paragraph" w:styleId="8">
    <w:name w:val="annotation text"/>
    <w:basedOn w:val="1"/>
    <w:autoRedefine/>
    <w:qFormat/>
    <w:uiPriority w:val="0"/>
    <w:pPr>
      <w:jc w:val="left"/>
    </w:pPr>
  </w:style>
  <w:style w:type="paragraph" w:styleId="9">
    <w:name w:val="Body Text 3"/>
    <w:basedOn w:val="1"/>
    <w:autoRedefine/>
    <w:qFormat/>
    <w:uiPriority w:val="0"/>
    <w:pPr>
      <w:jc w:val="center"/>
    </w:pPr>
    <w:rPr>
      <w:rFonts w:ascii="Times New Roman"/>
      <w:b/>
      <w:spacing w:val="-20"/>
      <w:w w:val="110"/>
      <w:kern w:val="2"/>
      <w:sz w:val="52"/>
    </w:rPr>
  </w:style>
  <w:style w:type="paragraph" w:styleId="10">
    <w:name w:val="Body Text"/>
    <w:basedOn w:val="1"/>
    <w:next w:val="1"/>
    <w:autoRedefine/>
    <w:qFormat/>
    <w:uiPriority w:val="0"/>
    <w:pPr>
      <w:spacing w:after="120"/>
    </w:pPr>
    <w:rPr>
      <w:rFonts w:ascii="Calibri"/>
      <w:kern w:val="2"/>
      <w:sz w:val="21"/>
    </w:rPr>
  </w:style>
  <w:style w:type="paragraph" w:styleId="11">
    <w:name w:val="Body Text Indent"/>
    <w:basedOn w:val="1"/>
    <w:autoRedefine/>
    <w:qFormat/>
    <w:uiPriority w:val="0"/>
    <w:pPr>
      <w:spacing w:line="380" w:lineRule="exact"/>
      <w:ind w:firstLine="420" w:firstLineChars="175"/>
    </w:pPr>
    <w:rPr>
      <w:rFonts w:ascii="宋体" w:hAnsi="宋体"/>
      <w:sz w:val="24"/>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hAnsi="Courier New"/>
      <w:kern w:val="2"/>
      <w:sz w:val="21"/>
    </w:r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szCs w:val="24"/>
    </w:rPr>
  </w:style>
  <w:style w:type="paragraph" w:styleId="20">
    <w:name w:val="Body Text First Indent 2"/>
    <w:basedOn w:val="11"/>
    <w:next w:val="1"/>
    <w:autoRedefine/>
    <w:qFormat/>
    <w:uiPriority w:val="0"/>
    <w:pPr>
      <w:spacing w:after="120" w:afterLines="0" w:line="240" w:lineRule="auto"/>
      <w:ind w:left="200" w:leftChars="200" w:firstLine="20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b/>
      <w:bCs/>
    </w:rPr>
  </w:style>
  <w:style w:type="character" w:styleId="25">
    <w:name w:val="Hyperlink"/>
    <w:basedOn w:val="23"/>
    <w:autoRedefine/>
    <w:qFormat/>
    <w:uiPriority w:val="0"/>
    <w:rPr>
      <w:color w:val="0000FF"/>
      <w:u w:val="single"/>
    </w:rPr>
  </w:style>
  <w:style w:type="paragraph" w:customStyle="1" w:styleId="26">
    <w:name w:val="MessageHeader"/>
    <w:basedOn w:val="1"/>
    <w:next w:val="27"/>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27">
    <w:name w:val="BodyText"/>
    <w:basedOn w:val="1"/>
    <w:next w:val="1"/>
    <w:autoRedefine/>
    <w:qFormat/>
    <w:uiPriority w:val="0"/>
    <w:pPr>
      <w:jc w:val="center"/>
      <w:textAlignment w:val="baseline"/>
    </w:pPr>
  </w:style>
  <w:style w:type="paragraph" w:customStyle="1" w:styleId="28">
    <w:name w:val="列表段落1"/>
    <w:basedOn w:val="1"/>
    <w:autoRedefine/>
    <w:qFormat/>
    <w:uiPriority w:val="34"/>
    <w:pPr>
      <w:ind w:firstLine="420" w:firstLineChars="200"/>
    </w:pPr>
  </w:style>
  <w:style w:type="paragraph" w:customStyle="1" w:styleId="29">
    <w:name w:val="Default"/>
    <w:next w:val="30"/>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0">
    <w:name w:val="大标题"/>
    <w:basedOn w:val="1"/>
    <w:next w:val="20"/>
    <w:autoRedefine/>
    <w:qFormat/>
    <w:uiPriority w:val="0"/>
    <w:pPr>
      <w:jc w:val="center"/>
    </w:pPr>
    <w:rPr>
      <w:rFonts w:ascii="Arial" w:hAnsi="Arial" w:eastAsia="宋体"/>
      <w:b/>
      <w:sz w:val="28"/>
      <w:szCs w:val="24"/>
    </w:rPr>
  </w:style>
  <w:style w:type="character" w:customStyle="1" w:styleId="31">
    <w:name w:val="标题 1 字符"/>
    <w:link w:val="2"/>
    <w:autoRedefine/>
    <w:qFormat/>
    <w:uiPriority w:val="0"/>
    <w:rPr>
      <w:rFonts w:ascii="仿宋_GB2312" w:hAnsi="宋体" w:eastAsia="仿宋_GB2312"/>
      <w:b/>
      <w:kern w:val="2"/>
      <w:sz w:val="32"/>
    </w:rPr>
  </w:style>
  <w:style w:type="paragraph" w:customStyle="1" w:styleId="32">
    <w:name w:val="表格文字中"/>
    <w:basedOn w:val="1"/>
    <w:autoRedefine/>
    <w:qFormat/>
    <w:uiPriority w:val="0"/>
    <w:pPr>
      <w:adjustRightInd w:val="0"/>
      <w:snapToGrid w:val="0"/>
      <w:ind w:left="22" w:leftChars="8"/>
      <w:jc w:val="center"/>
    </w:pPr>
    <w:rPr>
      <w:szCs w:val="24"/>
    </w:rPr>
  </w:style>
  <w:style w:type="paragraph" w:customStyle="1" w:styleId="33">
    <w:name w:val="Char1"/>
    <w:basedOn w:val="1"/>
    <w:autoRedefine/>
    <w:qFormat/>
    <w:uiPriority w:val="0"/>
    <w:pPr>
      <w:tabs>
        <w:tab w:val="left" w:pos="360"/>
      </w:tabs>
      <w:ind w:left="360" w:hanging="360" w:hangingChars="200"/>
    </w:pPr>
    <w:rPr>
      <w:szCs w:val="24"/>
    </w:rPr>
  </w:style>
  <w:style w:type="paragraph" w:customStyle="1" w:styleId="34">
    <w:name w:val="列出段落11"/>
    <w:basedOn w:val="1"/>
    <w:autoRedefine/>
    <w:qFormat/>
    <w:uiPriority w:val="34"/>
    <w:pPr>
      <w:ind w:firstLine="420" w:firstLineChars="200"/>
    </w:pPr>
    <w:rPr>
      <w:rFonts w:ascii="Calibri" w:hAnsi="Calibri"/>
      <w:szCs w:val="22"/>
    </w:rPr>
  </w:style>
  <w:style w:type="character" w:customStyle="1" w:styleId="35">
    <w:name w:val="font21"/>
    <w:basedOn w:val="23"/>
    <w:autoRedefine/>
    <w:qFormat/>
    <w:uiPriority w:val="0"/>
    <w:rPr>
      <w:rFonts w:hint="eastAsia" w:ascii="宋体" w:hAnsi="宋体" w:eastAsia="宋体" w:cs="宋体"/>
      <w:color w:val="000000"/>
      <w:sz w:val="24"/>
      <w:szCs w:val="24"/>
      <w:u w:val="none"/>
    </w:rPr>
  </w:style>
  <w:style w:type="character" w:customStyle="1" w:styleId="36">
    <w:name w:val="font01"/>
    <w:basedOn w:val="23"/>
    <w:autoRedefine/>
    <w:qFormat/>
    <w:uiPriority w:val="0"/>
    <w:rPr>
      <w:rFonts w:hint="eastAsia" w:ascii="宋体" w:hAnsi="宋体" w:eastAsia="宋体" w:cs="宋体"/>
      <w:color w:val="000000"/>
      <w:sz w:val="24"/>
      <w:szCs w:val="24"/>
      <w:u w:val="none"/>
    </w:rPr>
  </w:style>
  <w:style w:type="character" w:customStyle="1" w:styleId="37">
    <w:name w:val="font31"/>
    <w:basedOn w:val="23"/>
    <w:autoRedefine/>
    <w:qFormat/>
    <w:uiPriority w:val="0"/>
    <w:rPr>
      <w:rFonts w:hint="default" w:ascii="AGYXIQ + Frutiger-Cn" w:hAnsi="AGYXIQ + Frutiger-Cn" w:eastAsia="AGYXIQ + Frutiger-Cn" w:cs="AGYXIQ + Frutiger-Cn"/>
      <w:color w:val="000000"/>
      <w:sz w:val="24"/>
      <w:szCs w:val="24"/>
      <w:u w:val="none"/>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character" w:customStyle="1" w:styleId="39">
    <w:name w:val="font11"/>
    <w:basedOn w:val="23"/>
    <w:qFormat/>
    <w:uiPriority w:val="0"/>
    <w:rPr>
      <w:rFonts w:hint="eastAsia" w:ascii="宋体" w:hAnsi="宋体" w:eastAsia="宋体" w:cs="宋体"/>
      <w:b/>
      <w:bCs/>
      <w:color w:val="000000"/>
      <w:sz w:val="22"/>
      <w:szCs w:val="22"/>
      <w:u w:val="none"/>
    </w:rPr>
  </w:style>
  <w:style w:type="paragraph" w:customStyle="1" w:styleId="40">
    <w:name w:val="Table Text"/>
    <w:basedOn w:val="1"/>
    <w:semiHidden/>
    <w:qFormat/>
    <w:uiPriority w:val="0"/>
    <w:rPr>
      <w:rFonts w:ascii="宋体" w:hAnsi="宋体" w:eastAsia="宋体" w:cs="宋体"/>
      <w:sz w:val="24"/>
      <w:szCs w:val="24"/>
      <w:lang w:val="en-US" w:eastAsia="en-US" w:bidi="ar-SA"/>
    </w:rPr>
  </w:style>
  <w:style w:type="paragraph" w:customStyle="1" w:styleId="41">
    <w:name w:val="null3"/>
    <w:hidden/>
    <w:qFormat/>
    <w:uiPriority w:val="0"/>
    <w:rPr>
      <w:rFonts w:hint="eastAsia" w:asciiTheme="minorHAnsi" w:hAnsiTheme="minorHAnsi" w:eastAsiaTheme="minorEastAsia" w:cstheme="minorBidi"/>
      <w:lang w:val="en-US" w:eastAsia="zh-Hans"/>
    </w:rPr>
  </w:style>
  <w:style w:type="paragraph" w:styleId="42">
    <w:name w:val="List Paragraph"/>
    <w:basedOn w:val="1"/>
    <w:autoRedefine/>
    <w:qFormat/>
    <w:uiPriority w:val="1"/>
    <w:pPr>
      <w:ind w:left="205" w:right="169" w:firstLine="655"/>
    </w:pPr>
    <w:rPr>
      <w:rFonts w:ascii="仿宋" w:hAnsi="仿宋" w:eastAsia="仿宋" w:cs="仿宋"/>
      <w:u w:val="single" w:color="00000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52</Words>
  <Characters>74</Characters>
  <Lines>240</Lines>
  <Paragraphs>67</Paragraphs>
  <TotalTime>60</TotalTime>
  <ScaleCrop>false</ScaleCrop>
  <LinksUpToDate>false</LinksUpToDate>
  <CharactersWithSpaces>75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都市阳光～王馨悦</cp:lastModifiedBy>
  <dcterms:modified xsi:type="dcterms:W3CDTF">2025-08-15T01:51:18Z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185ABA6661864B9B808011AFA87CB1CC_13</vt:lpwstr>
  </property>
  <property fmtid="{D5CDD505-2E9C-101B-9397-08002B2CF9AE}" pid="4" name="KSOTemplateDocerSaveRecord">
    <vt:lpwstr>eyJoZGlkIjoiMDc2YjExZDk4YmRkMTFlODc4NDZiMTVkOTg4ODNhMmEiLCJ1c2VySWQiOiI1OTI1NjQzNTQifQ==</vt:lpwstr>
  </property>
</Properties>
</file>