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3A7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采购需求</w:t>
      </w:r>
    </w:p>
    <w:p w14:paraId="0ECDD5E8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一、项目概况</w:t>
      </w:r>
    </w:p>
    <w:p w14:paraId="723AEAE0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）项目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：雨污水泵站及道路维护项目</w:t>
      </w:r>
    </w:p>
    <w:p w14:paraId="01BE65C7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个月，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各子项期限要求以采购内容中描述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为准。</w:t>
      </w:r>
    </w:p>
    <w:p w14:paraId="2A489E89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地点：西安高新区范围内，具体以采购人要求为准。</w:t>
      </w:r>
    </w:p>
    <w:p w14:paraId="6651CAAC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）质量标准：施工质量及验收标准严格按国标《给水排水管道工程施工及验收规范》（GB50268-2008）及其它现行相关规程、规范执行。备注：凡涉及的相关规范，国家有最新标准的以最新标准为准。</w:t>
      </w:r>
    </w:p>
    <w:p w14:paraId="26BAE756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二、采购内容</w:t>
      </w:r>
    </w:p>
    <w:p w14:paraId="1244F2EE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本项目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新建及维修雨污水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临时联通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五处，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工期：2个月，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分别为：</w:t>
      </w:r>
    </w:p>
    <w:p w14:paraId="74719FF2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①、经三十二路（纬三十二路-纬三十路）雨水管道临时联通工程</w:t>
      </w:r>
    </w:p>
    <w:p w14:paraId="15C40EC4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②、天地源云水天境污水临时排放工程</w:t>
      </w:r>
    </w:p>
    <w:p w14:paraId="00191B69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③、纬三十二路与经二十二路交叉口污水临排工程</w:t>
      </w:r>
    </w:p>
    <w:p w14:paraId="2313A2C9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④、西测项目污水临时排放管道工程</w:t>
      </w:r>
    </w:p>
    <w:p w14:paraId="361593EB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⑤、云水一路与科技路交叉口雨水管道临时联通工程</w:t>
      </w:r>
    </w:p>
    <w:p w14:paraId="5DCF22D2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（2）高新区内新建未移交已通车道路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维护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服务期：6个月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。</w:t>
      </w:r>
    </w:p>
    <w:p w14:paraId="0409F453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（3）高新区临时泵站及固定泵站日常运维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、养护，每天至少两次巡检，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运维期：12个月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。</w:t>
      </w:r>
    </w:p>
    <w:p w14:paraId="5A77A11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对泵站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及周边管道进行清淤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疏浚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服务期：6个月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。</w:t>
      </w:r>
    </w:p>
    <w:p w14:paraId="1D94CFE0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三、工程量清单（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具体详见招标文件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）</w:t>
      </w:r>
    </w:p>
    <w:p w14:paraId="3694DE73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四、其他要求</w:t>
      </w:r>
    </w:p>
    <w:p w14:paraId="47441DCA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(一)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负责协调周边关系。</w:t>
      </w:r>
    </w:p>
    <w:p w14:paraId="3651C608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(二)投标人负责协调垃圾转（外）运过程中的一切问题。</w:t>
      </w:r>
    </w:p>
    <w:p w14:paraId="033FB103">
      <w:pPr>
        <w:pStyle w:val="3"/>
        <w:widowControl w:val="0"/>
        <w:spacing w:line="377" w:lineRule="auto"/>
        <w:ind w:firstLine="632" w:firstLineChars="200"/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(三)本项目实行固定综合单价合同，合同执行过程中根据实际工程量*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综合单价据实结算，但最终结算金额不超过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val="en-US" w:eastAsia="zh-CN"/>
        </w:rPr>
        <w:t>项目预算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。</w:t>
      </w:r>
    </w:p>
    <w:p w14:paraId="633E6B3D">
      <w:pPr>
        <w:ind w:firstLine="632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  <w:lang w:eastAsia="zh-CN"/>
        </w:rPr>
        <w:t>五、项目图纸另册提供。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2F10"/>
    <w:rsid w:val="4F67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D0D0D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1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12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31"/>
    <w:basedOn w:val="6"/>
    <w:qFormat/>
    <w:uiPriority w:val="0"/>
    <w:rPr>
      <w:rFonts w:hint="default" w:ascii="Arial" w:hAnsi="Arial" w:cs="Arial"/>
      <w:color w:val="0D0D0D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2025-08-27T06:10:00Z</dcterms:created>
  <dc:creator>陕西华采招标有限公司</dc:creator>
  <cp:lastModifiedBy>陕西华采招标有限公司</cp:lastModifiedBy>
  <dcterms:modified xsi:type="dcterms:W3CDTF">2025-08-27T06:11:56Z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841B533DEDD44A2BA99BDFDA87A6D6BA_11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