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FFB25C">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eastAsia" w:ascii="宋体" w:hAnsi="宋体" w:eastAsia="宋体" w:cs="宋体"/>
          <w:b/>
          <w:color w:val="auto"/>
          <w:sz w:val="32"/>
          <w:szCs w:val="32"/>
          <w:highlight w:val="none"/>
          <w:lang w:val="en-US" w:eastAsia="zh-CN"/>
        </w:rPr>
      </w:pPr>
      <w:bookmarkStart w:id="0" w:name="_Toc13625"/>
      <w:bookmarkStart w:id="1" w:name="_Toc15068"/>
      <w:bookmarkStart w:id="47" w:name="_GoBack"/>
      <w:r>
        <w:rPr>
          <w:rFonts w:hint="eastAsia" w:ascii="宋体" w:hAnsi="宋体" w:eastAsia="宋体" w:cs="宋体"/>
          <w:b/>
          <w:color w:val="auto"/>
          <w:sz w:val="32"/>
          <w:szCs w:val="32"/>
          <w:highlight w:val="none"/>
        </w:rPr>
        <w:t>项目编号:</w:t>
      </w:r>
      <w:bookmarkEnd w:id="0"/>
      <w:bookmarkEnd w:id="1"/>
      <w:r>
        <w:rPr>
          <w:rFonts w:hint="eastAsia" w:ascii="宋体" w:hAnsi="宋体" w:eastAsia="宋体" w:cs="宋体"/>
          <w:b/>
          <w:color w:val="auto"/>
          <w:sz w:val="32"/>
          <w:szCs w:val="32"/>
          <w:highlight w:val="none"/>
          <w:lang w:eastAsia="zh-CN"/>
        </w:rPr>
        <w:t>HSGJ2025-196</w:t>
      </w:r>
    </w:p>
    <w:p w14:paraId="16AC5820">
      <w:pPr>
        <w:pStyle w:val="2"/>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1D7C3AF2">
      <w:pPr>
        <w:pStyle w:val="2"/>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7F22538A">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color w:val="auto"/>
          <w:sz w:val="56"/>
          <w:szCs w:val="56"/>
          <w:highlight w:val="none"/>
          <w:lang w:val="en-US" w:eastAsia="zh-CN"/>
        </w:rPr>
      </w:pPr>
    </w:p>
    <w:p w14:paraId="20593871">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color w:val="auto"/>
          <w:sz w:val="56"/>
          <w:szCs w:val="56"/>
          <w:highlight w:val="none"/>
          <w:lang w:val="en-US" w:eastAsia="zh-CN"/>
        </w:rPr>
      </w:pPr>
    </w:p>
    <w:p w14:paraId="6644DC4A">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color w:val="auto"/>
          <w:sz w:val="36"/>
          <w:szCs w:val="36"/>
          <w:highlight w:val="none"/>
          <w:lang w:eastAsia="zh-CN"/>
        </w:rPr>
      </w:pPr>
      <w:r>
        <w:rPr>
          <w:rFonts w:hint="eastAsia" w:ascii="宋体" w:hAnsi="宋体" w:eastAsia="宋体" w:cs="宋体"/>
          <w:b/>
          <w:color w:val="auto"/>
          <w:sz w:val="36"/>
          <w:szCs w:val="36"/>
          <w:highlight w:val="none"/>
          <w:lang w:eastAsia="zh-CN"/>
        </w:rPr>
        <w:t>西安浐灞国际港辖区公办学校2025-2026学年大宗食材（肉蛋）采购项目第二批次（浐灞十幼等19所学校）</w:t>
      </w:r>
    </w:p>
    <w:p w14:paraId="7546455D">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default" w:ascii="宋体" w:hAnsi="宋体" w:eastAsia="宋体" w:cs="宋体"/>
          <w:b/>
          <w:color w:val="auto"/>
          <w:sz w:val="44"/>
          <w:szCs w:val="44"/>
          <w:highlight w:val="none"/>
          <w:lang w:val="en-US" w:eastAsia="zh-CN"/>
        </w:rPr>
      </w:pPr>
      <w:r>
        <w:rPr>
          <w:rFonts w:hint="eastAsia" w:ascii="宋体" w:hAnsi="宋体" w:eastAsia="宋体" w:cs="宋体"/>
          <w:b/>
          <w:color w:val="auto"/>
          <w:sz w:val="36"/>
          <w:szCs w:val="36"/>
          <w:highlight w:val="none"/>
          <w:lang w:val="en-US" w:eastAsia="zh-CN"/>
        </w:rPr>
        <w:t>第一包</w:t>
      </w:r>
    </w:p>
    <w:p w14:paraId="7F44826B">
      <w:pPr>
        <w:pStyle w:val="2"/>
        <w:rPr>
          <w:rFonts w:hint="eastAsia"/>
          <w:color w:val="auto"/>
          <w:highlight w:val="none"/>
        </w:rPr>
      </w:pPr>
    </w:p>
    <w:p w14:paraId="0C5DCF8D">
      <w:pPr>
        <w:rPr>
          <w:rFonts w:hint="eastAsia"/>
          <w:color w:val="auto"/>
          <w:highlight w:val="none"/>
        </w:rPr>
      </w:pPr>
    </w:p>
    <w:p w14:paraId="5394474D">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color w:val="auto"/>
          <w:sz w:val="64"/>
          <w:szCs w:val="56"/>
          <w:highlight w:val="none"/>
        </w:rPr>
      </w:pPr>
      <w:bookmarkStart w:id="2" w:name="_Toc14588"/>
      <w:bookmarkStart w:id="3" w:name="_Toc15337"/>
      <w:r>
        <w:rPr>
          <w:rFonts w:hint="eastAsia" w:ascii="宋体" w:hAnsi="宋体" w:eastAsia="宋体" w:cs="宋体"/>
          <w:b/>
          <w:color w:val="auto"/>
          <w:sz w:val="64"/>
          <w:szCs w:val="56"/>
          <w:highlight w:val="none"/>
          <w:lang w:eastAsia="zh-CN"/>
        </w:rPr>
        <w:t>公开招标</w:t>
      </w:r>
      <w:r>
        <w:rPr>
          <w:rFonts w:hint="eastAsia" w:ascii="宋体" w:hAnsi="宋体" w:eastAsia="宋体" w:cs="宋体"/>
          <w:b/>
          <w:color w:val="auto"/>
          <w:sz w:val="64"/>
          <w:szCs w:val="56"/>
          <w:highlight w:val="none"/>
        </w:rPr>
        <w:t>文件</w:t>
      </w:r>
      <w:bookmarkEnd w:id="2"/>
      <w:bookmarkEnd w:id="3"/>
    </w:p>
    <w:p w14:paraId="6A1B55CB">
      <w:pPr>
        <w:pStyle w:val="20"/>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52"/>
          <w:szCs w:val="52"/>
          <w:highlight w:val="none"/>
        </w:rPr>
      </w:pPr>
    </w:p>
    <w:p w14:paraId="0F315758">
      <w:pPr>
        <w:pStyle w:val="20"/>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52"/>
          <w:szCs w:val="52"/>
          <w:highlight w:val="none"/>
        </w:rPr>
      </w:pPr>
    </w:p>
    <w:p w14:paraId="704645C4">
      <w:pPr>
        <w:pStyle w:val="20"/>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52"/>
          <w:szCs w:val="52"/>
          <w:highlight w:val="none"/>
        </w:rPr>
      </w:pPr>
    </w:p>
    <w:p w14:paraId="63904BCA">
      <w:pPr>
        <w:pStyle w:val="20"/>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52"/>
          <w:szCs w:val="52"/>
          <w:highlight w:val="none"/>
        </w:rPr>
      </w:pPr>
    </w:p>
    <w:p w14:paraId="095AE365">
      <w:pPr>
        <w:pStyle w:val="20"/>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52"/>
          <w:szCs w:val="52"/>
          <w:highlight w:val="none"/>
        </w:rPr>
      </w:pPr>
    </w:p>
    <w:p w14:paraId="3AC09FA3">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default" w:ascii="宋体" w:hAnsi="宋体" w:eastAsia="宋体" w:cs="宋体"/>
          <w:b/>
          <w:color w:val="auto"/>
          <w:sz w:val="32"/>
          <w:szCs w:val="32"/>
          <w:highlight w:val="none"/>
          <w:lang w:val="en-US" w:eastAsia="zh-CN"/>
        </w:rPr>
      </w:pPr>
      <w:bookmarkStart w:id="4" w:name="_Toc2655"/>
      <w:bookmarkStart w:id="5" w:name="_Toc12262"/>
      <w:r>
        <w:rPr>
          <w:rFonts w:hint="eastAsia" w:ascii="宋体" w:hAnsi="宋体" w:eastAsia="宋体" w:cs="宋体"/>
          <w:b/>
          <w:color w:val="auto"/>
          <w:sz w:val="32"/>
          <w:szCs w:val="32"/>
          <w:highlight w:val="none"/>
        </w:rPr>
        <w:t>采</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购</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人：</w:t>
      </w:r>
      <w:bookmarkEnd w:id="4"/>
      <w:bookmarkEnd w:id="5"/>
      <w:r>
        <w:rPr>
          <w:rFonts w:hint="eastAsia" w:ascii="宋体" w:hAnsi="宋体" w:eastAsia="宋体" w:cs="宋体"/>
          <w:b/>
          <w:color w:val="auto"/>
          <w:sz w:val="32"/>
          <w:szCs w:val="32"/>
          <w:highlight w:val="none"/>
          <w:lang w:eastAsia="zh-CN"/>
        </w:rPr>
        <w:t>西安</w:t>
      </w:r>
      <w:bookmarkStart w:id="6" w:name="_Toc9269"/>
      <w:bookmarkStart w:id="7" w:name="_Toc2128"/>
      <w:bookmarkStart w:id="8" w:name="_Toc16289"/>
      <w:r>
        <w:rPr>
          <w:rFonts w:hint="eastAsia" w:ascii="宋体" w:hAnsi="宋体" w:eastAsia="宋体" w:cs="宋体"/>
          <w:b/>
          <w:color w:val="auto"/>
          <w:sz w:val="32"/>
          <w:szCs w:val="32"/>
          <w:highlight w:val="none"/>
          <w:lang w:eastAsia="zh-CN"/>
        </w:rPr>
        <w:t>浐灞国际港教育局</w:t>
      </w:r>
    </w:p>
    <w:p w14:paraId="13BEB4FC">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采购代理机构：</w:t>
      </w:r>
      <w:bookmarkEnd w:id="6"/>
      <w:r>
        <w:rPr>
          <w:rFonts w:hint="eastAsia" w:ascii="宋体" w:hAnsi="宋体" w:eastAsia="宋体" w:cs="宋体"/>
          <w:b/>
          <w:color w:val="auto"/>
          <w:sz w:val="32"/>
          <w:szCs w:val="32"/>
          <w:highlight w:val="none"/>
        </w:rPr>
        <w:t>华晟国际项目管理有限公司</w:t>
      </w:r>
      <w:bookmarkEnd w:id="7"/>
      <w:bookmarkEnd w:id="8"/>
    </w:p>
    <w:p w14:paraId="22ACA8A0">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color w:val="auto"/>
          <w:sz w:val="32"/>
          <w:szCs w:val="32"/>
          <w:highlight w:val="none"/>
        </w:rPr>
      </w:pPr>
      <w:bookmarkStart w:id="9" w:name="_Toc2766"/>
      <w:bookmarkStart w:id="10" w:name="_Toc221"/>
      <w:r>
        <w:rPr>
          <w:rFonts w:hint="eastAsia" w:ascii="宋体" w:hAnsi="宋体" w:eastAsia="宋体" w:cs="宋体"/>
          <w:b/>
          <w:color w:val="auto"/>
          <w:sz w:val="32"/>
          <w:szCs w:val="32"/>
          <w:highlight w:val="none"/>
        </w:rPr>
        <w:t>日        期：二〇二</w:t>
      </w:r>
      <w:r>
        <w:rPr>
          <w:rFonts w:hint="eastAsia" w:ascii="宋体" w:hAnsi="宋体" w:eastAsia="宋体" w:cs="宋体"/>
          <w:b/>
          <w:color w:val="auto"/>
          <w:sz w:val="32"/>
          <w:szCs w:val="32"/>
          <w:highlight w:val="none"/>
          <w:lang w:val="en-US" w:eastAsia="zh-CN"/>
        </w:rPr>
        <w:t>五</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八</w:t>
      </w:r>
      <w:r>
        <w:rPr>
          <w:rFonts w:hint="eastAsia" w:ascii="宋体" w:hAnsi="宋体" w:eastAsia="宋体" w:cs="宋体"/>
          <w:b/>
          <w:color w:val="auto"/>
          <w:sz w:val="32"/>
          <w:szCs w:val="32"/>
          <w:highlight w:val="none"/>
        </w:rPr>
        <w:t>月</w:t>
      </w:r>
      <w:bookmarkEnd w:id="9"/>
      <w:bookmarkEnd w:id="10"/>
    </w:p>
    <w:p w14:paraId="6F7EED05">
      <w:pPr>
        <w:spacing w:line="560" w:lineRule="exact"/>
        <w:jc w:val="both"/>
        <w:rPr>
          <w:rFonts w:hint="eastAsia" w:ascii="宋体" w:hAnsi="宋体" w:eastAsia="宋体" w:cs="宋体"/>
          <w:color w:val="auto"/>
          <w:sz w:val="32"/>
          <w:szCs w:val="32"/>
          <w:highlight w:val="none"/>
        </w:rPr>
        <w:sectPr>
          <w:headerReference r:id="rId3" w:type="default"/>
          <w:headerReference r:id="rId4" w:type="even"/>
          <w:pgSz w:w="11906" w:h="16838"/>
          <w:pgMar w:top="1440" w:right="1083" w:bottom="1440" w:left="1519" w:header="851" w:footer="992" w:gutter="0"/>
          <w:cols w:space="425" w:num="1"/>
          <w:docGrid w:type="linesAndChars" w:linePitch="420" w:charSpace="0"/>
        </w:sectPr>
      </w:pPr>
    </w:p>
    <w:p w14:paraId="4D178D0E">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52"/>
          <w:szCs w:val="52"/>
          <w:highlight w:val="none"/>
        </w:rPr>
      </w:pPr>
      <w:r>
        <w:rPr>
          <w:rFonts w:hint="eastAsia" w:ascii="宋体" w:hAnsi="宋体" w:eastAsia="宋体" w:cs="宋体"/>
          <w:b/>
          <w:bCs/>
          <w:color w:val="auto"/>
          <w:sz w:val="44"/>
          <w:szCs w:val="52"/>
          <w:highlight w:val="none"/>
        </w:rPr>
        <w:t>目</w:t>
      </w:r>
      <w:r>
        <w:rPr>
          <w:rFonts w:hint="eastAsia" w:ascii="宋体" w:hAnsi="宋体" w:eastAsia="宋体" w:cs="宋体"/>
          <w:b/>
          <w:bCs/>
          <w:color w:val="auto"/>
          <w:sz w:val="44"/>
          <w:szCs w:val="52"/>
          <w:highlight w:val="none"/>
          <w:lang w:val="en-US" w:eastAsia="zh-CN"/>
        </w:rPr>
        <w:t xml:space="preserve">  </w:t>
      </w:r>
      <w:r>
        <w:rPr>
          <w:rFonts w:hint="eastAsia" w:ascii="宋体" w:hAnsi="宋体" w:eastAsia="宋体" w:cs="宋体"/>
          <w:b/>
          <w:bCs/>
          <w:color w:val="auto"/>
          <w:sz w:val="44"/>
          <w:szCs w:val="52"/>
          <w:highlight w:val="none"/>
        </w:rPr>
        <w:t>录</w:t>
      </w:r>
    </w:p>
    <w:p w14:paraId="1C1D8860">
      <w:pPr>
        <w:pStyle w:val="22"/>
        <w:tabs>
          <w:tab w:val="right" w:leader="dot" w:pos="9304"/>
        </w:tabs>
        <w:spacing w:line="360" w:lineRule="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fldChar w:fldCharType="begin"/>
      </w:r>
      <w:r>
        <w:rPr>
          <w:rFonts w:hint="eastAsia" w:ascii="宋体" w:hAnsi="宋体" w:eastAsia="宋体" w:cs="宋体"/>
          <w:b/>
          <w:bCs w:val="0"/>
          <w:color w:val="auto"/>
          <w:sz w:val="32"/>
          <w:szCs w:val="32"/>
          <w:highlight w:val="none"/>
        </w:rPr>
        <w:instrText xml:space="preserve">TOC \o "1-1" \h \u </w:instrText>
      </w:r>
      <w:r>
        <w:rPr>
          <w:rFonts w:hint="eastAsia" w:ascii="宋体" w:hAnsi="宋体" w:eastAsia="宋体" w:cs="宋体"/>
          <w:b/>
          <w:bCs w:val="0"/>
          <w:color w:val="auto"/>
          <w:sz w:val="32"/>
          <w:szCs w:val="32"/>
          <w:highlight w:val="none"/>
        </w:rPr>
        <w:fldChar w:fldCharType="separate"/>
      </w:r>
      <w:r>
        <w:rPr>
          <w:rFonts w:hint="eastAsia" w:ascii="宋体" w:hAnsi="宋体" w:eastAsia="宋体" w:cs="宋体"/>
          <w:b/>
          <w:bCs w:val="0"/>
          <w:color w:val="auto"/>
          <w:sz w:val="32"/>
          <w:szCs w:val="32"/>
          <w:highlight w:val="none"/>
        </w:rPr>
        <w:fldChar w:fldCharType="begin"/>
      </w:r>
      <w:r>
        <w:rPr>
          <w:rFonts w:hint="eastAsia" w:ascii="宋体" w:hAnsi="宋体" w:eastAsia="宋体" w:cs="宋体"/>
          <w:b/>
          <w:bCs w:val="0"/>
          <w:color w:val="auto"/>
          <w:sz w:val="32"/>
          <w:szCs w:val="32"/>
          <w:highlight w:val="none"/>
        </w:rPr>
        <w:instrText xml:space="preserve"> HYPERLINK \l _Toc18835 </w:instrText>
      </w:r>
      <w:r>
        <w:rPr>
          <w:rFonts w:hint="eastAsia" w:ascii="宋体" w:hAnsi="宋体" w:eastAsia="宋体" w:cs="宋体"/>
          <w:b/>
          <w:bCs w:val="0"/>
          <w:color w:val="auto"/>
          <w:sz w:val="32"/>
          <w:szCs w:val="32"/>
          <w:highlight w:val="none"/>
        </w:rPr>
        <w:fldChar w:fldCharType="separate"/>
      </w:r>
      <w:r>
        <w:rPr>
          <w:rFonts w:hint="eastAsia" w:ascii="宋体" w:hAnsi="宋体" w:eastAsia="宋体" w:cs="宋体"/>
          <w:b/>
          <w:bCs w:val="0"/>
          <w:color w:val="auto"/>
          <w:sz w:val="32"/>
          <w:szCs w:val="32"/>
          <w:highlight w:val="none"/>
          <w:lang w:eastAsia="zh-CN"/>
        </w:rPr>
        <w:t>第一章</w:t>
      </w:r>
      <w:r>
        <w:rPr>
          <w:rFonts w:hint="eastAsia" w:ascii="宋体" w:hAnsi="宋体" w:eastAsia="宋体" w:cs="宋体"/>
          <w:b/>
          <w:bCs w:val="0"/>
          <w:color w:val="auto"/>
          <w:sz w:val="32"/>
          <w:szCs w:val="32"/>
          <w:highlight w:val="none"/>
          <w:lang w:val="en-US" w:eastAsia="zh-CN"/>
        </w:rPr>
        <w:t xml:space="preserve"> </w:t>
      </w:r>
      <w:r>
        <w:rPr>
          <w:rFonts w:hint="eastAsia" w:ascii="宋体" w:hAnsi="宋体" w:eastAsia="宋体" w:cs="宋体"/>
          <w:b/>
          <w:bCs w:val="0"/>
          <w:color w:val="auto"/>
          <w:sz w:val="32"/>
          <w:szCs w:val="32"/>
          <w:highlight w:val="none"/>
          <w:lang w:eastAsia="zh-CN"/>
        </w:rPr>
        <w:t xml:space="preserve"> 招标公告</w:t>
      </w:r>
      <w:r>
        <w:rPr>
          <w:rFonts w:hint="eastAsia" w:ascii="宋体" w:hAnsi="宋体" w:eastAsia="宋体" w:cs="宋体"/>
          <w:b/>
          <w:bCs w:val="0"/>
          <w:color w:val="auto"/>
          <w:sz w:val="32"/>
          <w:szCs w:val="32"/>
          <w:highlight w:val="none"/>
        </w:rPr>
        <w:tab/>
      </w:r>
      <w:r>
        <w:rPr>
          <w:rFonts w:hint="eastAsia" w:ascii="宋体" w:hAnsi="宋体" w:eastAsia="宋体" w:cs="宋体"/>
          <w:b/>
          <w:bCs w:val="0"/>
          <w:color w:val="auto"/>
          <w:sz w:val="32"/>
          <w:szCs w:val="32"/>
          <w:highlight w:val="none"/>
        </w:rPr>
        <w:fldChar w:fldCharType="begin"/>
      </w:r>
      <w:r>
        <w:rPr>
          <w:rFonts w:hint="eastAsia" w:ascii="宋体" w:hAnsi="宋体" w:eastAsia="宋体" w:cs="宋体"/>
          <w:b/>
          <w:bCs w:val="0"/>
          <w:color w:val="auto"/>
          <w:sz w:val="32"/>
          <w:szCs w:val="32"/>
          <w:highlight w:val="none"/>
        </w:rPr>
        <w:instrText xml:space="preserve"> PAGEREF _Toc18835 \h </w:instrText>
      </w:r>
      <w:r>
        <w:rPr>
          <w:rFonts w:hint="eastAsia" w:ascii="宋体" w:hAnsi="宋体" w:eastAsia="宋体" w:cs="宋体"/>
          <w:b/>
          <w:bCs w:val="0"/>
          <w:color w:val="auto"/>
          <w:sz w:val="32"/>
          <w:szCs w:val="32"/>
          <w:highlight w:val="none"/>
        </w:rPr>
        <w:fldChar w:fldCharType="separate"/>
      </w:r>
      <w:r>
        <w:rPr>
          <w:rFonts w:hint="eastAsia" w:ascii="宋体" w:hAnsi="宋体" w:eastAsia="宋体" w:cs="宋体"/>
          <w:b/>
          <w:bCs w:val="0"/>
          <w:color w:val="auto"/>
          <w:sz w:val="32"/>
          <w:szCs w:val="32"/>
          <w:highlight w:val="none"/>
        </w:rPr>
        <w:t>1</w:t>
      </w:r>
      <w:r>
        <w:rPr>
          <w:rFonts w:hint="eastAsia" w:ascii="宋体" w:hAnsi="宋体" w:eastAsia="宋体" w:cs="宋体"/>
          <w:b/>
          <w:bCs w:val="0"/>
          <w:color w:val="auto"/>
          <w:sz w:val="32"/>
          <w:szCs w:val="32"/>
          <w:highlight w:val="none"/>
        </w:rPr>
        <w:fldChar w:fldCharType="end"/>
      </w:r>
      <w:r>
        <w:rPr>
          <w:rFonts w:hint="eastAsia" w:ascii="宋体" w:hAnsi="宋体" w:eastAsia="宋体" w:cs="宋体"/>
          <w:b/>
          <w:bCs w:val="0"/>
          <w:color w:val="auto"/>
          <w:sz w:val="32"/>
          <w:szCs w:val="32"/>
          <w:highlight w:val="none"/>
        </w:rPr>
        <w:fldChar w:fldCharType="end"/>
      </w:r>
    </w:p>
    <w:p w14:paraId="78D30B03">
      <w:pPr>
        <w:pStyle w:val="22"/>
        <w:tabs>
          <w:tab w:val="right" w:leader="dot" w:pos="9304"/>
        </w:tabs>
        <w:spacing w:line="360" w:lineRule="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fldChar w:fldCharType="begin"/>
      </w:r>
      <w:r>
        <w:rPr>
          <w:rFonts w:hint="eastAsia" w:ascii="宋体" w:hAnsi="宋体" w:eastAsia="宋体" w:cs="宋体"/>
          <w:b/>
          <w:bCs w:val="0"/>
          <w:color w:val="auto"/>
          <w:sz w:val="32"/>
          <w:szCs w:val="32"/>
          <w:highlight w:val="none"/>
        </w:rPr>
        <w:instrText xml:space="preserve"> HYPERLINK \l _Toc16019 </w:instrText>
      </w:r>
      <w:r>
        <w:rPr>
          <w:rFonts w:hint="eastAsia" w:ascii="宋体" w:hAnsi="宋体" w:eastAsia="宋体" w:cs="宋体"/>
          <w:b/>
          <w:bCs w:val="0"/>
          <w:color w:val="auto"/>
          <w:sz w:val="32"/>
          <w:szCs w:val="32"/>
          <w:highlight w:val="none"/>
        </w:rPr>
        <w:fldChar w:fldCharType="separate"/>
      </w:r>
      <w:r>
        <w:rPr>
          <w:rFonts w:hint="eastAsia" w:ascii="宋体" w:hAnsi="宋体" w:eastAsia="宋体" w:cs="宋体"/>
          <w:b/>
          <w:bCs w:val="0"/>
          <w:color w:val="auto"/>
          <w:sz w:val="32"/>
          <w:szCs w:val="32"/>
          <w:highlight w:val="none"/>
        </w:rPr>
        <w:t>第二章  供应商须知</w:t>
      </w:r>
      <w:r>
        <w:rPr>
          <w:rFonts w:hint="eastAsia" w:ascii="宋体" w:hAnsi="宋体" w:eastAsia="宋体" w:cs="宋体"/>
          <w:b/>
          <w:bCs w:val="0"/>
          <w:color w:val="auto"/>
          <w:sz w:val="32"/>
          <w:szCs w:val="32"/>
          <w:highlight w:val="none"/>
        </w:rPr>
        <w:tab/>
      </w:r>
      <w:r>
        <w:rPr>
          <w:rFonts w:hint="eastAsia" w:ascii="宋体" w:hAnsi="宋体" w:eastAsia="宋体" w:cs="宋体"/>
          <w:b/>
          <w:bCs w:val="0"/>
          <w:color w:val="auto"/>
          <w:sz w:val="32"/>
          <w:szCs w:val="32"/>
          <w:highlight w:val="none"/>
        </w:rPr>
        <w:fldChar w:fldCharType="begin"/>
      </w:r>
      <w:r>
        <w:rPr>
          <w:rFonts w:hint="eastAsia" w:ascii="宋体" w:hAnsi="宋体" w:eastAsia="宋体" w:cs="宋体"/>
          <w:b/>
          <w:bCs w:val="0"/>
          <w:color w:val="auto"/>
          <w:sz w:val="32"/>
          <w:szCs w:val="32"/>
          <w:highlight w:val="none"/>
        </w:rPr>
        <w:instrText xml:space="preserve"> PAGEREF _Toc16019 \h </w:instrText>
      </w:r>
      <w:r>
        <w:rPr>
          <w:rFonts w:hint="eastAsia" w:ascii="宋体" w:hAnsi="宋体" w:eastAsia="宋体" w:cs="宋体"/>
          <w:b/>
          <w:bCs w:val="0"/>
          <w:color w:val="auto"/>
          <w:sz w:val="32"/>
          <w:szCs w:val="32"/>
          <w:highlight w:val="none"/>
        </w:rPr>
        <w:fldChar w:fldCharType="separate"/>
      </w:r>
      <w:r>
        <w:rPr>
          <w:rFonts w:hint="eastAsia" w:ascii="宋体" w:hAnsi="宋体" w:eastAsia="宋体" w:cs="宋体"/>
          <w:b/>
          <w:bCs w:val="0"/>
          <w:color w:val="auto"/>
          <w:sz w:val="32"/>
          <w:szCs w:val="32"/>
          <w:highlight w:val="none"/>
        </w:rPr>
        <w:t>7</w:t>
      </w:r>
      <w:r>
        <w:rPr>
          <w:rFonts w:hint="eastAsia" w:ascii="宋体" w:hAnsi="宋体" w:eastAsia="宋体" w:cs="宋体"/>
          <w:b/>
          <w:bCs w:val="0"/>
          <w:color w:val="auto"/>
          <w:sz w:val="32"/>
          <w:szCs w:val="32"/>
          <w:highlight w:val="none"/>
        </w:rPr>
        <w:fldChar w:fldCharType="end"/>
      </w:r>
      <w:r>
        <w:rPr>
          <w:rFonts w:hint="eastAsia" w:ascii="宋体" w:hAnsi="宋体" w:eastAsia="宋体" w:cs="宋体"/>
          <w:b/>
          <w:bCs w:val="0"/>
          <w:color w:val="auto"/>
          <w:sz w:val="32"/>
          <w:szCs w:val="32"/>
          <w:highlight w:val="none"/>
        </w:rPr>
        <w:fldChar w:fldCharType="end"/>
      </w:r>
    </w:p>
    <w:p w14:paraId="609E9D27">
      <w:pPr>
        <w:pStyle w:val="22"/>
        <w:tabs>
          <w:tab w:val="right" w:leader="dot" w:pos="9304"/>
        </w:tabs>
        <w:spacing w:line="360" w:lineRule="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fldChar w:fldCharType="begin"/>
      </w:r>
      <w:r>
        <w:rPr>
          <w:rFonts w:hint="eastAsia" w:ascii="宋体" w:hAnsi="宋体" w:eastAsia="宋体" w:cs="宋体"/>
          <w:b/>
          <w:bCs w:val="0"/>
          <w:color w:val="auto"/>
          <w:sz w:val="32"/>
          <w:szCs w:val="32"/>
          <w:highlight w:val="none"/>
        </w:rPr>
        <w:instrText xml:space="preserve"> HYPERLINK \l _Toc2616 </w:instrText>
      </w:r>
      <w:r>
        <w:rPr>
          <w:rFonts w:hint="eastAsia" w:ascii="宋体" w:hAnsi="宋体" w:eastAsia="宋体" w:cs="宋体"/>
          <w:b/>
          <w:bCs w:val="0"/>
          <w:color w:val="auto"/>
          <w:sz w:val="32"/>
          <w:szCs w:val="32"/>
          <w:highlight w:val="none"/>
        </w:rPr>
        <w:fldChar w:fldCharType="separate"/>
      </w:r>
      <w:r>
        <w:rPr>
          <w:rFonts w:hint="eastAsia" w:ascii="宋体" w:hAnsi="宋体" w:eastAsia="宋体" w:cs="宋体"/>
          <w:b/>
          <w:bCs w:val="0"/>
          <w:color w:val="auto"/>
          <w:sz w:val="32"/>
          <w:szCs w:val="32"/>
          <w:highlight w:val="none"/>
        </w:rPr>
        <w:t xml:space="preserve">第三章 </w:t>
      </w:r>
      <w:r>
        <w:rPr>
          <w:rFonts w:hint="eastAsia" w:ascii="宋体" w:hAnsi="宋体" w:eastAsia="宋体" w:cs="宋体"/>
          <w:b/>
          <w:bCs w:val="0"/>
          <w:color w:val="auto"/>
          <w:sz w:val="32"/>
          <w:szCs w:val="32"/>
          <w:highlight w:val="none"/>
        </w:rPr>
        <w:t>招标内容及要求</w:t>
      </w:r>
      <w:r>
        <w:rPr>
          <w:rFonts w:hint="eastAsia" w:ascii="宋体" w:hAnsi="宋体" w:eastAsia="宋体" w:cs="宋体"/>
          <w:b/>
          <w:bCs w:val="0"/>
          <w:color w:val="auto"/>
          <w:sz w:val="32"/>
          <w:szCs w:val="32"/>
          <w:highlight w:val="none"/>
        </w:rPr>
        <w:tab/>
      </w:r>
      <w:r>
        <w:rPr>
          <w:rFonts w:hint="eastAsia" w:ascii="宋体" w:hAnsi="宋体" w:eastAsia="宋体" w:cs="宋体"/>
          <w:b/>
          <w:bCs w:val="0"/>
          <w:color w:val="auto"/>
          <w:sz w:val="32"/>
          <w:szCs w:val="32"/>
          <w:highlight w:val="none"/>
        </w:rPr>
        <w:fldChar w:fldCharType="begin"/>
      </w:r>
      <w:r>
        <w:rPr>
          <w:rFonts w:hint="eastAsia" w:ascii="宋体" w:hAnsi="宋体" w:eastAsia="宋体" w:cs="宋体"/>
          <w:b/>
          <w:bCs w:val="0"/>
          <w:color w:val="auto"/>
          <w:sz w:val="32"/>
          <w:szCs w:val="32"/>
          <w:highlight w:val="none"/>
        </w:rPr>
        <w:instrText xml:space="preserve"> PAGEREF _Toc2616 \h </w:instrText>
      </w:r>
      <w:r>
        <w:rPr>
          <w:rFonts w:hint="eastAsia" w:ascii="宋体" w:hAnsi="宋体" w:eastAsia="宋体" w:cs="宋体"/>
          <w:b/>
          <w:bCs w:val="0"/>
          <w:color w:val="auto"/>
          <w:sz w:val="32"/>
          <w:szCs w:val="32"/>
          <w:highlight w:val="none"/>
        </w:rPr>
        <w:fldChar w:fldCharType="separate"/>
      </w:r>
      <w:r>
        <w:rPr>
          <w:rFonts w:hint="eastAsia" w:ascii="宋体" w:hAnsi="宋体" w:eastAsia="宋体" w:cs="宋体"/>
          <w:b/>
          <w:bCs w:val="0"/>
          <w:color w:val="auto"/>
          <w:sz w:val="32"/>
          <w:szCs w:val="32"/>
          <w:highlight w:val="none"/>
        </w:rPr>
        <w:t>55</w:t>
      </w:r>
      <w:r>
        <w:rPr>
          <w:rFonts w:hint="eastAsia" w:ascii="宋体" w:hAnsi="宋体" w:eastAsia="宋体" w:cs="宋体"/>
          <w:b/>
          <w:bCs w:val="0"/>
          <w:color w:val="auto"/>
          <w:sz w:val="32"/>
          <w:szCs w:val="32"/>
          <w:highlight w:val="none"/>
        </w:rPr>
        <w:fldChar w:fldCharType="end"/>
      </w:r>
      <w:r>
        <w:rPr>
          <w:rFonts w:hint="eastAsia" w:ascii="宋体" w:hAnsi="宋体" w:eastAsia="宋体" w:cs="宋体"/>
          <w:b/>
          <w:bCs w:val="0"/>
          <w:color w:val="auto"/>
          <w:sz w:val="32"/>
          <w:szCs w:val="32"/>
          <w:highlight w:val="none"/>
        </w:rPr>
        <w:fldChar w:fldCharType="end"/>
      </w:r>
    </w:p>
    <w:p w14:paraId="2DD06C97">
      <w:pPr>
        <w:pStyle w:val="22"/>
        <w:tabs>
          <w:tab w:val="right" w:leader="dot" w:pos="9304"/>
        </w:tabs>
        <w:spacing w:line="360" w:lineRule="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fldChar w:fldCharType="begin"/>
      </w:r>
      <w:r>
        <w:rPr>
          <w:rFonts w:hint="eastAsia" w:ascii="宋体" w:hAnsi="宋体" w:eastAsia="宋体" w:cs="宋体"/>
          <w:b/>
          <w:bCs w:val="0"/>
          <w:color w:val="auto"/>
          <w:sz w:val="32"/>
          <w:szCs w:val="32"/>
          <w:highlight w:val="none"/>
        </w:rPr>
        <w:instrText xml:space="preserve"> HYPERLINK \l _Toc28235 </w:instrText>
      </w:r>
      <w:r>
        <w:rPr>
          <w:rFonts w:hint="eastAsia" w:ascii="宋体" w:hAnsi="宋体" w:eastAsia="宋体" w:cs="宋体"/>
          <w:b/>
          <w:bCs w:val="0"/>
          <w:color w:val="auto"/>
          <w:sz w:val="32"/>
          <w:szCs w:val="32"/>
          <w:highlight w:val="none"/>
        </w:rPr>
        <w:fldChar w:fldCharType="separate"/>
      </w:r>
      <w:r>
        <w:rPr>
          <w:rFonts w:hint="eastAsia" w:ascii="宋体" w:hAnsi="宋体" w:eastAsia="宋体" w:cs="宋体"/>
          <w:b/>
          <w:bCs w:val="0"/>
          <w:color w:val="auto"/>
          <w:sz w:val="32"/>
          <w:szCs w:val="32"/>
          <w:highlight w:val="none"/>
        </w:rPr>
        <w:t>第四章  商务及合同文本</w:t>
      </w:r>
      <w:r>
        <w:rPr>
          <w:rFonts w:hint="eastAsia" w:ascii="宋体" w:hAnsi="宋体" w:eastAsia="宋体" w:cs="宋体"/>
          <w:b/>
          <w:bCs w:val="0"/>
          <w:color w:val="auto"/>
          <w:sz w:val="32"/>
          <w:szCs w:val="32"/>
          <w:highlight w:val="none"/>
        </w:rPr>
        <w:tab/>
      </w:r>
      <w:r>
        <w:rPr>
          <w:rFonts w:hint="eastAsia" w:ascii="宋体" w:hAnsi="宋体" w:eastAsia="宋体" w:cs="宋体"/>
          <w:b/>
          <w:bCs w:val="0"/>
          <w:color w:val="auto"/>
          <w:sz w:val="32"/>
          <w:szCs w:val="32"/>
          <w:highlight w:val="none"/>
        </w:rPr>
        <w:fldChar w:fldCharType="begin"/>
      </w:r>
      <w:r>
        <w:rPr>
          <w:rFonts w:hint="eastAsia" w:ascii="宋体" w:hAnsi="宋体" w:eastAsia="宋体" w:cs="宋体"/>
          <w:b/>
          <w:bCs w:val="0"/>
          <w:color w:val="auto"/>
          <w:sz w:val="32"/>
          <w:szCs w:val="32"/>
          <w:highlight w:val="none"/>
        </w:rPr>
        <w:instrText xml:space="preserve"> PAGEREF _Toc28235 \h </w:instrText>
      </w:r>
      <w:r>
        <w:rPr>
          <w:rFonts w:hint="eastAsia" w:ascii="宋体" w:hAnsi="宋体" w:eastAsia="宋体" w:cs="宋体"/>
          <w:b/>
          <w:bCs w:val="0"/>
          <w:color w:val="auto"/>
          <w:sz w:val="32"/>
          <w:szCs w:val="32"/>
          <w:highlight w:val="none"/>
        </w:rPr>
        <w:fldChar w:fldCharType="separate"/>
      </w:r>
      <w:r>
        <w:rPr>
          <w:rFonts w:hint="eastAsia" w:ascii="宋体" w:hAnsi="宋体" w:eastAsia="宋体" w:cs="宋体"/>
          <w:b/>
          <w:bCs w:val="0"/>
          <w:color w:val="auto"/>
          <w:sz w:val="32"/>
          <w:szCs w:val="32"/>
          <w:highlight w:val="none"/>
        </w:rPr>
        <w:t>58</w:t>
      </w:r>
      <w:r>
        <w:rPr>
          <w:rFonts w:hint="eastAsia" w:ascii="宋体" w:hAnsi="宋体" w:eastAsia="宋体" w:cs="宋体"/>
          <w:b/>
          <w:bCs w:val="0"/>
          <w:color w:val="auto"/>
          <w:sz w:val="32"/>
          <w:szCs w:val="32"/>
          <w:highlight w:val="none"/>
        </w:rPr>
        <w:fldChar w:fldCharType="end"/>
      </w:r>
      <w:r>
        <w:rPr>
          <w:rFonts w:hint="eastAsia" w:ascii="宋体" w:hAnsi="宋体" w:eastAsia="宋体" w:cs="宋体"/>
          <w:b/>
          <w:bCs w:val="0"/>
          <w:color w:val="auto"/>
          <w:sz w:val="32"/>
          <w:szCs w:val="32"/>
          <w:highlight w:val="none"/>
        </w:rPr>
        <w:fldChar w:fldCharType="end"/>
      </w:r>
    </w:p>
    <w:p w14:paraId="5E75ECA2">
      <w:pPr>
        <w:pStyle w:val="22"/>
        <w:tabs>
          <w:tab w:val="right" w:leader="dot" w:pos="9304"/>
        </w:tabs>
        <w:spacing w:line="360" w:lineRule="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fldChar w:fldCharType="begin"/>
      </w:r>
      <w:r>
        <w:rPr>
          <w:rFonts w:hint="eastAsia" w:ascii="宋体" w:hAnsi="宋体" w:eastAsia="宋体" w:cs="宋体"/>
          <w:b/>
          <w:bCs w:val="0"/>
          <w:color w:val="auto"/>
          <w:sz w:val="32"/>
          <w:szCs w:val="32"/>
          <w:highlight w:val="none"/>
        </w:rPr>
        <w:instrText xml:space="preserve"> HYPERLINK \l _Toc22592 </w:instrText>
      </w:r>
      <w:r>
        <w:rPr>
          <w:rFonts w:hint="eastAsia" w:ascii="宋体" w:hAnsi="宋体" w:eastAsia="宋体" w:cs="宋体"/>
          <w:b/>
          <w:bCs w:val="0"/>
          <w:color w:val="auto"/>
          <w:sz w:val="32"/>
          <w:szCs w:val="32"/>
          <w:highlight w:val="none"/>
        </w:rPr>
        <w:fldChar w:fldCharType="separate"/>
      </w:r>
      <w:r>
        <w:rPr>
          <w:rFonts w:hint="eastAsia" w:ascii="宋体" w:hAnsi="宋体" w:eastAsia="宋体" w:cs="宋体"/>
          <w:b/>
          <w:bCs w:val="0"/>
          <w:color w:val="auto"/>
          <w:sz w:val="32"/>
          <w:szCs w:val="32"/>
          <w:highlight w:val="none"/>
        </w:rPr>
        <w:t>第五章  投标文件构成及格式</w:t>
      </w:r>
      <w:r>
        <w:rPr>
          <w:rFonts w:hint="eastAsia" w:ascii="宋体" w:hAnsi="宋体" w:eastAsia="宋体" w:cs="宋体"/>
          <w:b/>
          <w:bCs w:val="0"/>
          <w:color w:val="auto"/>
          <w:sz w:val="32"/>
          <w:szCs w:val="32"/>
          <w:highlight w:val="none"/>
        </w:rPr>
        <w:tab/>
      </w:r>
      <w:r>
        <w:rPr>
          <w:rFonts w:hint="eastAsia" w:ascii="宋体" w:hAnsi="宋体" w:eastAsia="宋体" w:cs="宋体"/>
          <w:b/>
          <w:bCs w:val="0"/>
          <w:color w:val="auto"/>
          <w:sz w:val="32"/>
          <w:szCs w:val="32"/>
          <w:highlight w:val="none"/>
        </w:rPr>
        <w:fldChar w:fldCharType="begin"/>
      </w:r>
      <w:r>
        <w:rPr>
          <w:rFonts w:hint="eastAsia" w:ascii="宋体" w:hAnsi="宋体" w:eastAsia="宋体" w:cs="宋体"/>
          <w:b/>
          <w:bCs w:val="0"/>
          <w:color w:val="auto"/>
          <w:sz w:val="32"/>
          <w:szCs w:val="32"/>
          <w:highlight w:val="none"/>
        </w:rPr>
        <w:instrText xml:space="preserve"> PAGEREF _Toc22592 \h </w:instrText>
      </w:r>
      <w:r>
        <w:rPr>
          <w:rFonts w:hint="eastAsia" w:ascii="宋体" w:hAnsi="宋体" w:eastAsia="宋体" w:cs="宋体"/>
          <w:b/>
          <w:bCs w:val="0"/>
          <w:color w:val="auto"/>
          <w:sz w:val="32"/>
          <w:szCs w:val="32"/>
          <w:highlight w:val="none"/>
        </w:rPr>
        <w:fldChar w:fldCharType="separate"/>
      </w:r>
      <w:r>
        <w:rPr>
          <w:rFonts w:hint="eastAsia" w:ascii="宋体" w:hAnsi="宋体" w:cs="宋体"/>
          <w:b/>
          <w:bCs w:val="0"/>
          <w:color w:val="auto"/>
          <w:sz w:val="32"/>
          <w:szCs w:val="32"/>
          <w:highlight w:val="none"/>
          <w:lang w:val="en-US" w:eastAsia="zh-CN"/>
        </w:rPr>
        <w:t>6</w:t>
      </w:r>
      <w:r>
        <w:rPr>
          <w:rFonts w:hint="eastAsia" w:ascii="宋体" w:hAnsi="宋体" w:eastAsia="宋体" w:cs="宋体"/>
          <w:b/>
          <w:bCs w:val="0"/>
          <w:color w:val="auto"/>
          <w:sz w:val="32"/>
          <w:szCs w:val="32"/>
          <w:highlight w:val="none"/>
        </w:rPr>
        <w:t>9</w:t>
      </w:r>
      <w:r>
        <w:rPr>
          <w:rFonts w:hint="eastAsia" w:ascii="宋体" w:hAnsi="宋体" w:eastAsia="宋体" w:cs="宋体"/>
          <w:b/>
          <w:bCs w:val="0"/>
          <w:color w:val="auto"/>
          <w:sz w:val="32"/>
          <w:szCs w:val="32"/>
          <w:highlight w:val="none"/>
        </w:rPr>
        <w:fldChar w:fldCharType="end"/>
      </w:r>
      <w:r>
        <w:rPr>
          <w:rFonts w:hint="eastAsia" w:ascii="宋体" w:hAnsi="宋体" w:eastAsia="宋体" w:cs="宋体"/>
          <w:b/>
          <w:bCs w:val="0"/>
          <w:color w:val="auto"/>
          <w:sz w:val="32"/>
          <w:szCs w:val="32"/>
          <w:highlight w:val="none"/>
        </w:rPr>
        <w:fldChar w:fldCharType="end"/>
      </w:r>
    </w:p>
    <w:p w14:paraId="4AA6C01D">
      <w:pPr>
        <w:spacing w:line="360" w:lineRule="auto"/>
        <w:rPr>
          <w:rFonts w:hint="eastAsia" w:ascii="宋体" w:hAnsi="宋体" w:eastAsia="宋体" w:cs="宋体"/>
          <w:color w:val="auto"/>
          <w:highlight w:val="none"/>
        </w:rPr>
      </w:pPr>
      <w:r>
        <w:rPr>
          <w:rFonts w:hint="eastAsia" w:ascii="宋体" w:hAnsi="宋体" w:eastAsia="宋体" w:cs="宋体"/>
          <w:b/>
          <w:bCs w:val="0"/>
          <w:color w:val="auto"/>
          <w:sz w:val="32"/>
          <w:szCs w:val="32"/>
          <w:highlight w:val="none"/>
        </w:rPr>
        <w:fldChar w:fldCharType="end"/>
      </w:r>
    </w:p>
    <w:p w14:paraId="752AD9E3">
      <w:pPr>
        <w:rPr>
          <w:rFonts w:hint="eastAsia" w:ascii="宋体" w:hAnsi="宋体" w:eastAsia="宋体" w:cs="宋体"/>
          <w:b/>
          <w:bCs/>
          <w:color w:val="auto"/>
          <w:sz w:val="32"/>
          <w:szCs w:val="32"/>
          <w:highlight w:val="none"/>
          <w:lang w:eastAsia="zh-CN"/>
        </w:rPr>
        <w:sectPr>
          <w:footerReference r:id="rId5" w:type="default"/>
          <w:footerReference r:id="rId6" w:type="even"/>
          <w:pgSz w:w="11906" w:h="16838"/>
          <w:pgMar w:top="1440" w:right="1083" w:bottom="1440" w:left="1519" w:header="851" w:footer="992" w:gutter="0"/>
          <w:pgNumType w:fmt="decimal" w:start="1"/>
          <w:cols w:space="425" w:num="1"/>
          <w:docGrid w:type="linesAndChars" w:linePitch="420" w:charSpace="0"/>
        </w:sectPr>
      </w:pPr>
    </w:p>
    <w:p w14:paraId="46A4CD75">
      <w:pPr>
        <w:pStyle w:val="3"/>
        <w:tabs>
          <w:tab w:val="left" w:pos="4631"/>
        </w:tabs>
        <w:ind w:right="113"/>
        <w:jc w:val="center"/>
        <w:rPr>
          <w:rFonts w:hint="eastAsia" w:ascii="宋体" w:hAnsi="宋体" w:eastAsia="宋体" w:cs="宋体"/>
          <w:color w:val="auto"/>
          <w:sz w:val="30"/>
          <w:szCs w:val="30"/>
          <w:highlight w:val="none"/>
          <w:lang w:eastAsia="zh-CN"/>
        </w:rPr>
      </w:pPr>
      <w:bookmarkStart w:id="11" w:name="_Toc18835"/>
      <w:r>
        <w:rPr>
          <w:rFonts w:hint="eastAsia" w:ascii="宋体" w:hAnsi="宋体" w:eastAsia="宋体" w:cs="宋体"/>
          <w:b/>
          <w:bCs/>
          <w:color w:val="auto"/>
          <w:sz w:val="32"/>
          <w:szCs w:val="32"/>
          <w:highlight w:val="none"/>
          <w:lang w:eastAsia="zh-CN"/>
        </w:rPr>
        <w:t>第一章</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lang w:eastAsia="zh-CN"/>
        </w:rPr>
        <w:t xml:space="preserve"> 招标公告</w:t>
      </w:r>
      <w:bookmarkEnd w:id="11"/>
    </w:p>
    <w:p w14:paraId="17B30C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77EBFF2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西安浐灞国际港辖区公办学校2025-2026学年大宗食材（肉蛋）采购项目第二批次（浐灞十幼等19所学校）招标项目的潜在投标人应在全国公共资源交易平台（陕西省·西安市）网站〖首页〉电子交易平台〉陕西政府采购交易系统〉企业端〗获取招标文件，并于</w:t>
      </w:r>
      <w:r>
        <w:rPr>
          <w:rFonts w:hint="eastAsia" w:ascii="宋体" w:hAnsi="宋体" w:eastAsia="宋体" w:cs="宋体"/>
          <w:i w:val="0"/>
          <w:iCs w:val="0"/>
          <w:caps w:val="0"/>
          <w:color w:val="auto"/>
          <w:spacing w:val="0"/>
          <w:kern w:val="0"/>
          <w:sz w:val="24"/>
          <w:szCs w:val="24"/>
          <w:highlight w:val="none"/>
          <w:u w:val="none"/>
          <w:lang w:val="en-US" w:eastAsia="zh-CN" w:bidi="ar-SA"/>
        </w:rPr>
        <w:t>2025年8月26日</w:t>
      </w:r>
      <w:r>
        <w:rPr>
          <w:rFonts w:hint="eastAsia" w:ascii="宋体" w:hAnsi="宋体" w:eastAsia="宋体" w:cs="宋体"/>
          <w:i w:val="0"/>
          <w:iCs w:val="0"/>
          <w:caps w:val="0"/>
          <w:color w:val="auto"/>
          <w:spacing w:val="0"/>
          <w:kern w:val="0"/>
          <w:sz w:val="24"/>
          <w:szCs w:val="24"/>
          <w:highlight w:val="none"/>
          <w:u w:val="none"/>
          <w:lang w:val="en-US" w:eastAsia="zh-CN" w:bidi="ar-SA"/>
        </w:rPr>
        <w:t>09时00分（北京时间）前递交投标文件。</w:t>
      </w:r>
    </w:p>
    <w:p w14:paraId="2631F4E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16C9FF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项目编号：HSGJ2025-196</w:t>
      </w:r>
    </w:p>
    <w:p w14:paraId="495C47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项目名称：西安浐灞国际港辖区公办学校2025-2026学年大宗食材（肉蛋）采购项目第二批次（浐灞十幼等19所学校）</w:t>
      </w:r>
    </w:p>
    <w:p w14:paraId="2D28CBE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6BCB367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预算金额：23,088,500.00元</w:t>
      </w:r>
    </w:p>
    <w:p w14:paraId="261E183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0F1E1DD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合同包1(西安浐灞国际港辖区公办学校2025-2026学年大宗食材（肉蛋）采购项目第二批次（浐灞十幼等19所学校）第一包):</w:t>
      </w:r>
    </w:p>
    <w:p w14:paraId="74DEA54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合同包预算金额：11,682,000.00元</w:t>
      </w:r>
    </w:p>
    <w:p w14:paraId="3B1C813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合同包最高限价：11,682,000.00元</w:t>
      </w:r>
    </w:p>
    <w:tbl>
      <w:tblPr>
        <w:tblStyle w:val="30"/>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00"/>
        <w:gridCol w:w="1387"/>
        <w:gridCol w:w="1580"/>
        <w:gridCol w:w="1028"/>
        <w:gridCol w:w="1680"/>
        <w:gridCol w:w="1800"/>
        <w:gridCol w:w="1800"/>
      </w:tblGrid>
      <w:tr w14:paraId="204C62F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70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C226D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品目号</w:t>
            </w:r>
          </w:p>
        </w:tc>
        <w:tc>
          <w:tcPr>
            <w:tcW w:w="138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DBD6E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品目名称</w:t>
            </w:r>
          </w:p>
        </w:tc>
        <w:tc>
          <w:tcPr>
            <w:tcW w:w="15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C20A1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采购标的</w:t>
            </w:r>
          </w:p>
        </w:tc>
        <w:tc>
          <w:tcPr>
            <w:tcW w:w="10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A0DE2E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数量（单位）</w:t>
            </w:r>
          </w:p>
        </w:tc>
        <w:tc>
          <w:tcPr>
            <w:tcW w:w="167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BC6D6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技术规格、参数及要求</w:t>
            </w:r>
          </w:p>
        </w:tc>
        <w:tc>
          <w:tcPr>
            <w:tcW w:w="18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AE1CE1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品目预算(元)</w:t>
            </w:r>
          </w:p>
        </w:tc>
        <w:tc>
          <w:tcPr>
            <w:tcW w:w="18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2EE7D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最高限价(元)</w:t>
            </w:r>
          </w:p>
        </w:tc>
      </w:tr>
      <w:tr w14:paraId="79B158D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70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E4DA0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color w:val="auto"/>
                <w:sz w:val="22"/>
                <w:szCs w:val="22"/>
                <w:highlight w:val="none"/>
              </w:rPr>
            </w:pPr>
            <w:r>
              <w:rPr>
                <w:rFonts w:ascii="宋体" w:hAnsi="宋体" w:eastAsia="宋体" w:cs="宋体"/>
                <w:color w:val="auto"/>
                <w:kern w:val="0"/>
                <w:sz w:val="22"/>
                <w:szCs w:val="22"/>
                <w:highlight w:val="none"/>
                <w:lang w:val="en-US" w:eastAsia="zh-CN" w:bidi="ar"/>
              </w:rPr>
              <w:t>1-1</w:t>
            </w:r>
          </w:p>
        </w:tc>
        <w:tc>
          <w:tcPr>
            <w:tcW w:w="138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6A8A4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color w:val="auto"/>
                <w:sz w:val="22"/>
                <w:szCs w:val="22"/>
                <w:highlight w:val="none"/>
              </w:rPr>
            </w:pPr>
            <w:r>
              <w:rPr>
                <w:rFonts w:hint="eastAsia" w:ascii="宋体" w:hAnsi="宋体" w:eastAsia="宋体" w:cs="宋体"/>
                <w:color w:val="auto"/>
                <w:sz w:val="24"/>
                <w:szCs w:val="24"/>
                <w:highlight w:val="none"/>
              </w:rPr>
              <w:t>其他农副食品，动、植物油制品</w:t>
            </w:r>
          </w:p>
        </w:tc>
        <w:tc>
          <w:tcPr>
            <w:tcW w:w="15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5ED9F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color w:val="auto"/>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大宗食材(肉蛋）采购</w:t>
            </w:r>
          </w:p>
        </w:tc>
        <w:tc>
          <w:tcPr>
            <w:tcW w:w="10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2F0F92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32043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5FE9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color w:val="auto"/>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11,682,000.00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2AFC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color w:val="auto"/>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11,682,000.00</w:t>
            </w:r>
          </w:p>
        </w:tc>
      </w:tr>
    </w:tbl>
    <w:p w14:paraId="04E52D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16AA750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合同履行期限：2025年9月1日—2026年7月15日（以学校放假时间为准）</w:t>
      </w:r>
    </w:p>
    <w:p w14:paraId="0FEA0A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合同包2(西安浐灞国际港辖区公办学校2025-2026学年大宗食材（肉蛋）采购项目第二批次（浐灞十幼等19所学校）第二包):</w:t>
      </w:r>
    </w:p>
    <w:p w14:paraId="542129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合同包预算金额：11,406,500.00元</w:t>
      </w:r>
    </w:p>
    <w:p w14:paraId="2225101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合同包最高限价：11,406,500.00元</w:t>
      </w:r>
    </w:p>
    <w:tbl>
      <w:tblPr>
        <w:tblStyle w:val="30"/>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07"/>
        <w:gridCol w:w="1150"/>
        <w:gridCol w:w="1845"/>
        <w:gridCol w:w="1033"/>
        <w:gridCol w:w="1640"/>
        <w:gridCol w:w="1800"/>
        <w:gridCol w:w="1800"/>
      </w:tblGrid>
      <w:tr w14:paraId="4C650F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71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36E6AC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品目号</w:t>
            </w:r>
          </w:p>
        </w:tc>
        <w:tc>
          <w:tcPr>
            <w:tcW w:w="116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C2A08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品目名称</w:t>
            </w:r>
          </w:p>
        </w:tc>
        <w:tc>
          <w:tcPr>
            <w:tcW w:w="18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22E66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采购标的</w:t>
            </w:r>
          </w:p>
        </w:tc>
        <w:tc>
          <w:tcPr>
            <w:tcW w:w="104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9A586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数量（单位）</w:t>
            </w:r>
          </w:p>
        </w:tc>
        <w:tc>
          <w:tcPr>
            <w:tcW w:w="15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6ECA2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技术规格、参数及要求</w:t>
            </w:r>
          </w:p>
        </w:tc>
        <w:tc>
          <w:tcPr>
            <w:tcW w:w="18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560DA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品目预算(元)</w:t>
            </w:r>
          </w:p>
        </w:tc>
        <w:tc>
          <w:tcPr>
            <w:tcW w:w="18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60D71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b/>
                <w:bCs/>
                <w:color w:val="auto"/>
                <w:sz w:val="22"/>
                <w:szCs w:val="22"/>
                <w:highlight w:val="none"/>
              </w:rPr>
            </w:pPr>
            <w:r>
              <w:rPr>
                <w:rFonts w:ascii="宋体" w:hAnsi="宋体" w:eastAsia="宋体" w:cs="宋体"/>
                <w:b/>
                <w:bCs/>
                <w:color w:val="auto"/>
                <w:kern w:val="0"/>
                <w:sz w:val="22"/>
                <w:szCs w:val="22"/>
                <w:highlight w:val="none"/>
                <w:lang w:val="en-US" w:eastAsia="zh-CN" w:bidi="ar"/>
              </w:rPr>
              <w:t>最高限价(元)</w:t>
            </w:r>
          </w:p>
        </w:tc>
      </w:tr>
      <w:tr w14:paraId="4EA94AE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71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83A7B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color w:val="auto"/>
                <w:sz w:val="22"/>
                <w:szCs w:val="22"/>
                <w:highlight w:val="none"/>
              </w:rPr>
            </w:pPr>
            <w:r>
              <w:rPr>
                <w:rFonts w:ascii="宋体" w:hAnsi="宋体" w:eastAsia="宋体" w:cs="宋体"/>
                <w:color w:val="auto"/>
                <w:kern w:val="0"/>
                <w:sz w:val="22"/>
                <w:szCs w:val="22"/>
                <w:highlight w:val="none"/>
                <w:lang w:val="en-US" w:eastAsia="zh-CN" w:bidi="ar"/>
              </w:rPr>
              <w:t>1-1</w:t>
            </w:r>
          </w:p>
        </w:tc>
        <w:tc>
          <w:tcPr>
            <w:tcW w:w="116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B5B99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color w:val="auto"/>
                <w:sz w:val="22"/>
                <w:szCs w:val="22"/>
                <w:highlight w:val="none"/>
              </w:rPr>
            </w:pPr>
            <w:r>
              <w:rPr>
                <w:rFonts w:hint="eastAsia" w:ascii="宋体" w:hAnsi="宋体" w:eastAsia="宋体" w:cs="宋体"/>
                <w:color w:val="auto"/>
                <w:sz w:val="24"/>
                <w:szCs w:val="24"/>
                <w:highlight w:val="none"/>
              </w:rPr>
              <w:t>其他农副食品，动、植物油制品</w:t>
            </w:r>
          </w:p>
        </w:tc>
        <w:tc>
          <w:tcPr>
            <w:tcW w:w="18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5B93A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color w:val="auto"/>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大宗食材(肉蛋）采购</w:t>
            </w:r>
          </w:p>
        </w:tc>
        <w:tc>
          <w:tcPr>
            <w:tcW w:w="104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A1718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E8D4C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2623C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color w:val="auto"/>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11,406,500.00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4533E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color w:val="auto"/>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11,406,500.00</w:t>
            </w:r>
          </w:p>
        </w:tc>
      </w:tr>
    </w:tbl>
    <w:p w14:paraId="43D9B9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08FE72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合同履行期限：2025年9月1日—2026年7月15日（以学校放假时间为准）</w:t>
      </w:r>
    </w:p>
    <w:p w14:paraId="05D536BA">
      <w:pPr>
        <w:pStyle w:val="20"/>
        <w:rPr>
          <w:rFonts w:hint="default"/>
          <w:color w:val="auto"/>
          <w:highlight w:val="none"/>
          <w:lang w:val="en-US" w:eastAsia="zh-CN"/>
        </w:rPr>
      </w:pPr>
    </w:p>
    <w:p w14:paraId="50D233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1A67D7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5ADE28C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5B2AEFF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合同包1(西安浐灞国际港辖区公办学校2025-2026学年大宗食材（肉蛋）采购项目第二批次（浐灞十幼等19所学校）第一包)落实政府采购政策需满足的资格要求如下:</w:t>
      </w:r>
    </w:p>
    <w:p w14:paraId="7EC1C6B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14:paraId="7E34AE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6EC0589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77A1924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8DDA96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3CEBC7F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40E1F76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6CD0829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3CA73C7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68348FFD">
      <w:pPr>
        <w:pStyle w:val="20"/>
        <w:ind w:firstLine="480" w:firstLineChars="200"/>
        <w:rPr>
          <w:rFonts w:hint="eastAsia"/>
          <w:color w:val="auto"/>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0FB675A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合同包2(西安浐灞国际港辖区公办学校2025-2026学年大宗食材（肉蛋）采购项目第二批次（浐灞十幼等19所学校）第二包)落实政府采购政策需满足的资格要求如下:</w:t>
      </w:r>
    </w:p>
    <w:p w14:paraId="5B7121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14:paraId="70ED56C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5F19C8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1DE0F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50C28CA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4BB12D0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38483D3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4944474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1206F17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72DBFD9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color w:val="auto"/>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47F2282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575E09A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合同包1(西安浐灞国际港辖区公办学校2025-2026学年大宗食材（肉蛋）采购项目第二批次（浐灞十幼等19所学校）第一包)特定资格要求如下:</w:t>
      </w:r>
    </w:p>
    <w:p w14:paraId="2B9868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1B0960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6315F69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5C497F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3E4F9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5）提供肉蛋类厂家有效期内的《动物防疫条件合格证》。</w:t>
      </w:r>
    </w:p>
    <w:p w14:paraId="1809E8B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合同包2(西安浐灞国际港辖区公办学校2025-2026学年大宗食材（肉蛋）采购项目第二批次（浐灞十幼等19所学校）第二包)特定资格要求如下:</w:t>
      </w:r>
    </w:p>
    <w:p w14:paraId="212A6F5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5CE3C96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5EBF56A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70527D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98B28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5）提供肉蛋类厂家有效期内的《动物防疫条件合格证》。</w:t>
      </w:r>
    </w:p>
    <w:p w14:paraId="476028CD">
      <w:pPr>
        <w:pStyle w:val="20"/>
        <w:rPr>
          <w:rFonts w:hint="eastAsia"/>
          <w:color w:val="auto"/>
          <w:highlight w:val="none"/>
          <w:lang w:val="en-US" w:eastAsia="zh-CN"/>
        </w:rPr>
      </w:pPr>
    </w:p>
    <w:p w14:paraId="05705C0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2C74289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w:t>
      </w:r>
      <w:r>
        <w:rPr>
          <w:rFonts w:hint="eastAsia" w:ascii="宋体" w:hAnsi="宋体" w:eastAsia="宋体" w:cs="宋体"/>
          <w:i w:val="0"/>
          <w:iCs w:val="0"/>
          <w:caps w:val="0"/>
          <w:color w:val="auto"/>
          <w:spacing w:val="0"/>
          <w:kern w:val="0"/>
          <w:sz w:val="24"/>
          <w:szCs w:val="24"/>
          <w:highlight w:val="none"/>
          <w:u w:val="none"/>
          <w:lang w:val="en-US" w:eastAsia="zh-CN" w:bidi="ar-SA"/>
        </w:rPr>
        <w:t>2025年8月6日至2025年8月12日，</w:t>
      </w:r>
      <w:r>
        <w:rPr>
          <w:rFonts w:hint="eastAsia" w:ascii="宋体" w:hAnsi="宋体" w:eastAsia="宋体" w:cs="宋体"/>
          <w:i w:val="0"/>
          <w:iCs w:val="0"/>
          <w:caps w:val="0"/>
          <w:color w:val="auto"/>
          <w:spacing w:val="0"/>
          <w:kern w:val="0"/>
          <w:sz w:val="24"/>
          <w:szCs w:val="24"/>
          <w:highlight w:val="none"/>
          <w:u w:val="none"/>
          <w:lang w:val="en-US" w:eastAsia="zh-CN" w:bidi="ar-SA"/>
        </w:rPr>
        <w:t>每天上午00:00:00至12:00:00，下午12:00:00至23:59:59（北京时间）</w:t>
      </w:r>
    </w:p>
    <w:p w14:paraId="44E5A4F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64B30B3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2F8DA29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5A4145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3D0D3A4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时间：2025年8月26日09时00分00秒（北京时间）</w:t>
      </w:r>
    </w:p>
    <w:p w14:paraId="474DB1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6E7E7EE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14FE00D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48419B2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2A198D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0F2430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3DD10E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56C3786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2CC7D7F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5BA54E9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42E097C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498D076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目提供有变更文件的，投标人应登录企业端后，从〖项目流程〉项目管理〉答疑文件下载〗获取更新后的电子招标文件（*.SXSCF），使用旧版电子招标文件制作的电子投标文件（*.SXSTF），系统将拒绝接收。</w:t>
      </w:r>
    </w:p>
    <w:p w14:paraId="3A1D5F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7.本项目不专门面向中小企业采购。</w:t>
      </w:r>
    </w:p>
    <w:p w14:paraId="656E04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3986A87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3AB9A36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211056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名称：西安浐灞国际港教育局</w:t>
      </w:r>
    </w:p>
    <w:p w14:paraId="320918F5">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spacing w:before="0" w:beforeAutospacing="0" w:after="0" w:afterAutospacing="0" w:line="360" w:lineRule="auto"/>
        <w:ind w:left="0" w:right="0" w:firstLine="480" w:firstLineChars="200"/>
        <w:jc w:val="both"/>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地址：西安浐灞国际港浐灞大道一号浐灞商务中心</w:t>
      </w:r>
    </w:p>
    <w:p w14:paraId="207FDFB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联系方式：029-83535585</w:t>
      </w:r>
    </w:p>
    <w:p w14:paraId="6B5780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7FAE806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4A23AD3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720BB3C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联系方式：029-82665555转8013</w:t>
      </w:r>
    </w:p>
    <w:p w14:paraId="662352A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01082A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项目联系人：曹美奇、杨阳、李琛</w:t>
      </w:r>
    </w:p>
    <w:p w14:paraId="328480A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电话：029-82665555转8013</w:t>
      </w:r>
    </w:p>
    <w:p w14:paraId="4B5E2D8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648702BE">
      <w:pPr>
        <w:jc w:val="right"/>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2025年8月5日</w:t>
      </w:r>
    </w:p>
    <w:p w14:paraId="132D0925">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01F9340F">
      <w:pPr>
        <w:pStyle w:val="3"/>
        <w:spacing w:line="240" w:lineRule="auto"/>
        <w:rPr>
          <w:rFonts w:hint="eastAsia" w:ascii="宋体" w:hAnsi="宋体" w:eastAsia="宋体" w:cs="宋体"/>
          <w:b/>
          <w:bCs/>
          <w:color w:val="auto"/>
          <w:sz w:val="32"/>
          <w:szCs w:val="32"/>
          <w:highlight w:val="none"/>
        </w:rPr>
      </w:pPr>
      <w:bookmarkStart w:id="12" w:name="_Toc16019"/>
      <w:bookmarkStart w:id="13" w:name="_Toc6230"/>
      <w:r>
        <w:rPr>
          <w:rFonts w:hint="eastAsia" w:ascii="宋体" w:hAnsi="宋体" w:eastAsia="宋体" w:cs="宋体"/>
          <w:b/>
          <w:bCs/>
          <w:color w:val="auto"/>
          <w:sz w:val="32"/>
          <w:szCs w:val="32"/>
          <w:highlight w:val="none"/>
        </w:rPr>
        <w:t>第二章  供应商须知</w:t>
      </w:r>
      <w:bookmarkEnd w:id="12"/>
      <w:bookmarkEnd w:id="13"/>
    </w:p>
    <w:p w14:paraId="127694E1">
      <w:pPr>
        <w:spacing w:line="24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〖须知前附表〗</w:t>
      </w:r>
    </w:p>
    <w:tbl>
      <w:tblPr>
        <w:tblStyle w:val="31"/>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58"/>
        <w:gridCol w:w="1484"/>
        <w:gridCol w:w="7908"/>
      </w:tblGrid>
      <w:tr w14:paraId="6510DE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tcBorders>
              <w:top w:val="single" w:color="auto" w:sz="12" w:space="0"/>
              <w:bottom w:val="single" w:color="auto" w:sz="2" w:space="0"/>
            </w:tcBorders>
            <w:shd w:val="clear" w:color="auto" w:fill="F1F1F1" w:themeFill="background1" w:themeFillShade="F2"/>
            <w:vAlign w:val="center"/>
          </w:tcPr>
          <w:p w14:paraId="37F6EA5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738" w:type="pct"/>
            <w:tcBorders>
              <w:top w:val="single" w:color="auto" w:sz="12" w:space="0"/>
              <w:bottom w:val="single" w:color="auto" w:sz="2" w:space="0"/>
            </w:tcBorders>
            <w:shd w:val="clear" w:color="auto" w:fill="F1F1F1" w:themeFill="background1" w:themeFillShade="F2"/>
            <w:vAlign w:val="center"/>
          </w:tcPr>
          <w:p w14:paraId="7550472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内容</w:t>
            </w:r>
          </w:p>
        </w:tc>
        <w:tc>
          <w:tcPr>
            <w:tcW w:w="3933" w:type="pct"/>
            <w:tcBorders>
              <w:top w:val="single" w:color="auto" w:sz="12" w:space="0"/>
              <w:bottom w:val="single" w:color="auto" w:sz="2" w:space="0"/>
            </w:tcBorders>
            <w:shd w:val="clear" w:color="auto" w:fill="F1F1F1" w:themeFill="background1" w:themeFillShade="F2"/>
            <w:vAlign w:val="center"/>
          </w:tcPr>
          <w:p w14:paraId="4BFEB16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说明和要求</w:t>
            </w:r>
          </w:p>
        </w:tc>
      </w:tr>
      <w:tr w14:paraId="1F86926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tcBorders>
              <w:top w:val="single" w:color="auto" w:sz="2" w:space="0"/>
            </w:tcBorders>
            <w:shd w:val="clear" w:color="auto" w:fill="auto"/>
            <w:vAlign w:val="center"/>
          </w:tcPr>
          <w:p w14:paraId="28F1EA2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738" w:type="pct"/>
            <w:tcBorders>
              <w:top w:val="single" w:color="auto" w:sz="2" w:space="0"/>
            </w:tcBorders>
            <w:shd w:val="clear" w:color="auto" w:fill="auto"/>
            <w:vAlign w:val="center"/>
          </w:tcPr>
          <w:p w14:paraId="7C675B1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3933" w:type="pct"/>
            <w:tcBorders>
              <w:top w:val="single" w:color="auto" w:sz="2" w:space="0"/>
            </w:tcBorders>
            <w:shd w:val="clear" w:color="auto" w:fill="auto"/>
            <w:vAlign w:val="center"/>
          </w:tcPr>
          <w:p w14:paraId="2FEE83B9">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eastAsia="zh-CN"/>
              </w:rPr>
              <w:t>西安浐灞国际港辖区公办学校2025-2026学年大宗食材（肉蛋）采购项目第二批次（浐灞十幼等19所学校）</w:t>
            </w:r>
            <w:r>
              <w:rPr>
                <w:rFonts w:hint="eastAsia" w:ascii="宋体" w:hAnsi="宋体" w:eastAsia="宋体" w:cs="宋体"/>
                <w:color w:val="auto"/>
                <w:sz w:val="24"/>
                <w:szCs w:val="24"/>
                <w:highlight w:val="none"/>
                <w:lang w:val="en-US" w:eastAsia="zh-CN"/>
              </w:rPr>
              <w:t>第一包</w:t>
            </w:r>
          </w:p>
        </w:tc>
      </w:tr>
      <w:tr w14:paraId="0E10E3A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52EACD0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738" w:type="pct"/>
            <w:shd w:val="clear" w:color="auto" w:fill="auto"/>
            <w:vAlign w:val="center"/>
          </w:tcPr>
          <w:p w14:paraId="5E62FE3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项目编号</w:t>
            </w:r>
          </w:p>
        </w:tc>
        <w:tc>
          <w:tcPr>
            <w:tcW w:w="3933" w:type="pct"/>
            <w:shd w:val="clear" w:color="auto" w:fill="auto"/>
            <w:vAlign w:val="center"/>
          </w:tcPr>
          <w:p w14:paraId="2ED54A7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HSGJ2025-196</w:t>
            </w:r>
          </w:p>
        </w:tc>
      </w:tr>
      <w:tr w14:paraId="52A42E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0556917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738" w:type="pct"/>
            <w:shd w:val="clear" w:color="auto" w:fill="auto"/>
            <w:vAlign w:val="center"/>
          </w:tcPr>
          <w:p w14:paraId="540554C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是否预留份额专门面向中小企业采购</w:t>
            </w:r>
          </w:p>
        </w:tc>
        <w:tc>
          <w:tcPr>
            <w:tcW w:w="3933" w:type="pct"/>
            <w:shd w:val="clear" w:color="auto" w:fill="auto"/>
            <w:vAlign w:val="center"/>
          </w:tcPr>
          <w:p w14:paraId="3F2729C1">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rPr>
            </w:pPr>
            <w:sdt>
              <w:sdtPr>
                <w:rPr>
                  <w:rFonts w:hint="eastAsia" w:ascii="宋体" w:hAnsi="宋体" w:eastAsia="宋体" w:cs="宋体"/>
                  <w:color w:val="auto"/>
                  <w:sz w:val="24"/>
                  <w:szCs w:val="24"/>
                  <w:highlight w:val="none"/>
                </w:rPr>
                <w:id w:val="147469235"/>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147473970"/>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14:paraId="0631FA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vMerge w:val="restart"/>
            <w:shd w:val="clear" w:color="auto" w:fill="auto"/>
            <w:vAlign w:val="center"/>
          </w:tcPr>
          <w:p w14:paraId="15E3DEA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738" w:type="pct"/>
            <w:shd w:val="clear" w:color="auto" w:fill="auto"/>
            <w:vAlign w:val="center"/>
          </w:tcPr>
          <w:p w14:paraId="57B82C3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支持中小企业发展</w:t>
            </w:r>
          </w:p>
        </w:tc>
        <w:tc>
          <w:tcPr>
            <w:tcW w:w="3933" w:type="pct"/>
            <w:shd w:val="clear" w:color="auto" w:fill="auto"/>
            <w:vAlign w:val="center"/>
          </w:tcPr>
          <w:p w14:paraId="42A4A60C">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r>
              <w:rPr>
                <w:rFonts w:hint="eastAsia" w:ascii="宋体" w:hAnsi="宋体" w:eastAsia="宋体" w:cs="宋体"/>
                <w:b/>
                <w:bCs/>
                <w:color w:val="auto"/>
                <w:sz w:val="24"/>
                <w:szCs w:val="24"/>
                <w:highlight w:val="none"/>
                <w:lang w:eastAsia="zh-CN"/>
              </w:rPr>
              <w:t>本项目的扣除比例为：10%。</w:t>
            </w:r>
          </w:p>
          <w:p w14:paraId="3E5059A6">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本项目不专门面向中小企业采购</w:t>
            </w:r>
            <w:r>
              <w:rPr>
                <w:rFonts w:hint="eastAsia" w:ascii="宋体" w:hAnsi="宋体" w:eastAsia="宋体" w:cs="宋体"/>
                <w:b/>
                <w:bCs/>
                <w:color w:val="auto"/>
                <w:sz w:val="24"/>
                <w:szCs w:val="24"/>
                <w:highlight w:val="none"/>
                <w:lang w:eastAsia="zh-CN"/>
              </w:rPr>
              <w:t>。</w:t>
            </w:r>
          </w:p>
        </w:tc>
      </w:tr>
      <w:tr w14:paraId="5D605F6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vMerge w:val="continue"/>
            <w:shd w:val="clear" w:color="auto" w:fill="auto"/>
            <w:vAlign w:val="center"/>
          </w:tcPr>
          <w:p w14:paraId="419E598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p>
        </w:tc>
        <w:tc>
          <w:tcPr>
            <w:tcW w:w="738" w:type="pct"/>
            <w:shd w:val="clear" w:color="auto" w:fill="auto"/>
            <w:vAlign w:val="center"/>
          </w:tcPr>
          <w:p w14:paraId="65B6E1B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支持监狱企业发展</w:t>
            </w:r>
          </w:p>
        </w:tc>
        <w:tc>
          <w:tcPr>
            <w:tcW w:w="3933" w:type="pct"/>
            <w:shd w:val="clear" w:color="auto" w:fill="auto"/>
            <w:vAlign w:val="center"/>
          </w:tcPr>
          <w:p w14:paraId="49521354">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根据财政部、司法部联合下发的《关于政府采购支持监狱企业发展有关问题的通知》（财库〔2014〕68号）的规定，监狱企业视同小型、微型企业。</w:t>
            </w:r>
            <w:r>
              <w:rPr>
                <w:rFonts w:hint="eastAsia" w:ascii="宋体" w:hAnsi="宋体" w:eastAsia="宋体" w:cs="宋体"/>
                <w:color w:val="auto"/>
                <w:sz w:val="24"/>
                <w:szCs w:val="24"/>
                <w:highlight w:val="none"/>
                <w:lang w:eastAsia="zh-CN"/>
              </w:rPr>
              <w:t>价格评审时给予的扣除，用扣除后的价格参与评审。</w:t>
            </w:r>
            <w:r>
              <w:rPr>
                <w:rFonts w:hint="eastAsia" w:ascii="宋体" w:hAnsi="宋体" w:eastAsia="宋体" w:cs="宋体"/>
                <w:b/>
                <w:bCs/>
                <w:color w:val="auto"/>
                <w:sz w:val="24"/>
                <w:szCs w:val="24"/>
                <w:highlight w:val="none"/>
                <w:lang w:eastAsia="zh-CN"/>
              </w:rPr>
              <w:t>本项目的扣除比例为：10%。</w:t>
            </w:r>
          </w:p>
        </w:tc>
      </w:tr>
      <w:tr w14:paraId="2162D04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vMerge w:val="continue"/>
            <w:shd w:val="clear" w:color="auto" w:fill="auto"/>
            <w:vAlign w:val="center"/>
          </w:tcPr>
          <w:p w14:paraId="7DD2254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p>
        </w:tc>
        <w:tc>
          <w:tcPr>
            <w:tcW w:w="738" w:type="pct"/>
            <w:shd w:val="clear" w:color="auto" w:fill="auto"/>
            <w:vAlign w:val="center"/>
          </w:tcPr>
          <w:p w14:paraId="7E0FA58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其他法律法规强制性规定的</w:t>
            </w:r>
          </w:p>
        </w:tc>
        <w:tc>
          <w:tcPr>
            <w:tcW w:w="3933" w:type="pct"/>
            <w:shd w:val="clear" w:color="auto" w:fill="auto"/>
            <w:vAlign w:val="center"/>
          </w:tcPr>
          <w:p w14:paraId="4AAFD4D7">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r>
              <w:rPr>
                <w:rFonts w:hint="eastAsia" w:ascii="宋体" w:hAnsi="宋体" w:eastAsia="宋体" w:cs="宋体"/>
                <w:b/>
                <w:bCs/>
                <w:color w:val="auto"/>
                <w:sz w:val="24"/>
                <w:szCs w:val="24"/>
                <w:highlight w:val="none"/>
                <w:lang w:eastAsia="zh-CN"/>
              </w:rPr>
              <w:t>本项目的扣除比例为：10%。</w:t>
            </w:r>
          </w:p>
        </w:tc>
      </w:tr>
      <w:tr w14:paraId="60F880A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vMerge w:val="continue"/>
            <w:shd w:val="clear" w:color="auto" w:fill="auto"/>
            <w:vAlign w:val="center"/>
          </w:tcPr>
          <w:p w14:paraId="721DC13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p>
        </w:tc>
        <w:tc>
          <w:tcPr>
            <w:tcW w:w="738" w:type="pct"/>
            <w:shd w:val="clear" w:color="auto" w:fill="auto"/>
            <w:vAlign w:val="center"/>
          </w:tcPr>
          <w:p w14:paraId="7B27061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其他</w:t>
            </w:r>
          </w:p>
        </w:tc>
        <w:tc>
          <w:tcPr>
            <w:tcW w:w="3933" w:type="pct"/>
            <w:shd w:val="clear" w:color="auto" w:fill="auto"/>
            <w:vAlign w:val="center"/>
          </w:tcPr>
          <w:p w14:paraId="7D732174">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参加政府采购活动的中小企业、监狱企业、残疾人福利性单位应根据企业性质分别提供《中小企业声明函》\《监狱企业证明函》\《残疾</w:t>
            </w:r>
            <w:r>
              <w:rPr>
                <w:rFonts w:hint="eastAsia" w:ascii="宋体" w:hAnsi="宋体" w:eastAsia="宋体" w:cs="宋体"/>
                <w:color w:val="auto"/>
                <w:sz w:val="24"/>
                <w:szCs w:val="24"/>
                <w:highlight w:val="none"/>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719F5F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vMerge w:val="continue"/>
            <w:shd w:val="clear" w:color="auto" w:fill="auto"/>
            <w:vAlign w:val="center"/>
          </w:tcPr>
          <w:p w14:paraId="3966C3F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p>
        </w:tc>
        <w:tc>
          <w:tcPr>
            <w:tcW w:w="738" w:type="pct"/>
            <w:shd w:val="clear" w:color="auto" w:fill="auto"/>
            <w:vAlign w:val="center"/>
          </w:tcPr>
          <w:p w14:paraId="009B43E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预算金额</w:t>
            </w:r>
            <w:r>
              <w:rPr>
                <w:rFonts w:hint="eastAsia" w:ascii="宋体" w:hAnsi="宋体" w:eastAsia="宋体" w:cs="宋体"/>
                <w:color w:val="auto"/>
                <w:sz w:val="24"/>
                <w:szCs w:val="24"/>
                <w:highlight w:val="none"/>
                <w:lang w:eastAsia="zh-CN"/>
              </w:rPr>
              <w:t>及最高限价</w:t>
            </w:r>
          </w:p>
        </w:tc>
        <w:tc>
          <w:tcPr>
            <w:tcW w:w="3933" w:type="pct"/>
            <w:shd w:val="clear" w:color="auto" w:fill="auto"/>
            <w:vAlign w:val="center"/>
          </w:tcPr>
          <w:p w14:paraId="7A81C3B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color w:val="auto"/>
                <w:sz w:val="24"/>
                <w:szCs w:val="24"/>
                <w:highlight w:val="none"/>
                <w:lang w:val="en-US" w:eastAsia="zh-CN"/>
              </w:rPr>
              <w:t>合同包1预算：</w:t>
            </w:r>
            <w:r>
              <w:rPr>
                <w:rFonts w:hint="eastAsia" w:ascii="宋体" w:hAnsi="宋体" w:eastAsia="宋体" w:cs="宋体"/>
                <w:i w:val="0"/>
                <w:iCs w:val="0"/>
                <w:caps w:val="0"/>
                <w:color w:val="auto"/>
                <w:spacing w:val="0"/>
                <w:kern w:val="0"/>
                <w:sz w:val="24"/>
                <w:szCs w:val="24"/>
                <w:highlight w:val="none"/>
                <w:u w:val="none"/>
                <w:lang w:val="en-US" w:eastAsia="zh-CN" w:bidi="ar-SA"/>
              </w:rPr>
              <w:t>11,682,000.00元</w:t>
            </w:r>
          </w:p>
          <w:p w14:paraId="14D26FD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color w:val="auto"/>
                <w:sz w:val="24"/>
                <w:szCs w:val="24"/>
                <w:highlight w:val="none"/>
                <w:lang w:val="en-US" w:eastAsia="zh-CN"/>
              </w:rPr>
              <w:t>合同包1最高限价</w:t>
            </w:r>
            <w:r>
              <w:rPr>
                <w:rFonts w:hint="eastAsia" w:ascii="宋体" w:hAnsi="宋体" w:eastAsia="宋体" w:cs="宋体"/>
                <w:color w:val="auto"/>
                <w:sz w:val="24"/>
                <w:szCs w:val="24"/>
                <w:highlight w:val="none"/>
                <w:lang w:eastAsia="zh-CN"/>
              </w:rPr>
              <w:t>金额</w:t>
            </w:r>
            <w:r>
              <w:rPr>
                <w:rFonts w:hint="eastAsia" w:ascii="宋体" w:hAnsi="宋体" w:eastAsia="宋体" w:cs="宋体"/>
                <w:color w:val="auto"/>
                <w:sz w:val="24"/>
                <w:szCs w:val="24"/>
                <w:highlight w:val="none"/>
                <w:lang w:val="en-US" w:eastAsia="zh-CN"/>
              </w:rPr>
              <w:t>：</w:t>
            </w:r>
            <w:r>
              <w:rPr>
                <w:rFonts w:hint="eastAsia" w:ascii="宋体" w:hAnsi="宋体" w:eastAsia="宋体" w:cs="宋体"/>
                <w:i w:val="0"/>
                <w:iCs w:val="0"/>
                <w:caps w:val="0"/>
                <w:color w:val="auto"/>
                <w:spacing w:val="0"/>
                <w:kern w:val="0"/>
                <w:sz w:val="24"/>
                <w:szCs w:val="24"/>
                <w:highlight w:val="none"/>
                <w:u w:val="none"/>
                <w:lang w:val="en-US" w:eastAsia="zh-CN" w:bidi="ar-SA"/>
              </w:rPr>
              <w:t>11,682,000.00元</w:t>
            </w:r>
          </w:p>
          <w:p w14:paraId="05B43A8D">
            <w:pPr>
              <w:pStyle w:val="6"/>
              <w:numPr>
                <w:ilvl w:val="3"/>
                <w:numId w:val="0"/>
              </w:numPr>
              <w:ind w:leftChars="0"/>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val="en-US" w:eastAsia="zh-CN" w:bidi="ar-SA"/>
              </w:rPr>
              <w:t>投标人投标报价超过每包最高限价为无效投标。本项目为折扣报价，若供应商的投标报价大于100%，即为无效报价。</w:t>
            </w:r>
          </w:p>
        </w:tc>
      </w:tr>
      <w:tr w14:paraId="048F6E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64B6A46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738" w:type="pct"/>
            <w:shd w:val="clear" w:color="auto" w:fill="auto"/>
            <w:vAlign w:val="center"/>
          </w:tcPr>
          <w:p w14:paraId="2FE1051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投标报价要求</w:t>
            </w:r>
          </w:p>
        </w:tc>
        <w:tc>
          <w:tcPr>
            <w:tcW w:w="3933" w:type="pct"/>
            <w:shd w:val="clear" w:color="auto" w:fill="auto"/>
            <w:vAlign w:val="center"/>
          </w:tcPr>
          <w:p w14:paraId="53DE4FAF">
            <w:pPr>
              <w:pStyle w:val="2"/>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肉蛋类采购，供应商根据自身情况，报出食材折扣，折扣以百分比形式报价，最终结算以“辛家庙摩尔农产品交易中心批发价格为基准价*投标人食材折扣。折扣后的价格包含将采购人所需食材配送到指定地点的所有费用。</w:t>
            </w:r>
          </w:p>
          <w:p w14:paraId="0CA528D9">
            <w:pPr>
              <w:pStyle w:val="2"/>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SA"/>
              </w:rPr>
              <w:t>例如：折扣报90%，则结算价格=辛家庙摩尔农产品交易中心调研的批发价格基准价*90%。</w:t>
            </w:r>
          </w:p>
        </w:tc>
      </w:tr>
      <w:tr w14:paraId="327C989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27" w:type="pct"/>
            <w:shd w:val="clear" w:color="auto" w:fill="auto"/>
            <w:vAlign w:val="center"/>
          </w:tcPr>
          <w:p w14:paraId="6E5B61E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738" w:type="pct"/>
            <w:shd w:val="clear" w:color="auto" w:fill="auto"/>
            <w:vAlign w:val="center"/>
          </w:tcPr>
          <w:p w14:paraId="10F5D5C5">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是否接受联合体</w:t>
            </w:r>
          </w:p>
        </w:tc>
        <w:tc>
          <w:tcPr>
            <w:tcW w:w="3933" w:type="pct"/>
            <w:shd w:val="clear" w:color="auto" w:fill="auto"/>
            <w:vAlign w:val="center"/>
          </w:tcPr>
          <w:p w14:paraId="1D1517B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sdt>
              <w:sdtPr>
                <w:rPr>
                  <w:rFonts w:hint="eastAsia" w:ascii="宋体" w:hAnsi="宋体" w:eastAsia="宋体" w:cs="宋体"/>
                  <w:color w:val="auto"/>
                  <w:sz w:val="24"/>
                  <w:szCs w:val="24"/>
                  <w:highlight w:val="none"/>
                </w:rPr>
                <w:id w:val="147478655"/>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147481034"/>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14:paraId="3C0869B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54C58F4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738" w:type="pct"/>
            <w:shd w:val="clear" w:color="auto" w:fill="auto"/>
            <w:vAlign w:val="center"/>
          </w:tcPr>
          <w:p w14:paraId="5E46FD9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是否允许进口产品</w:t>
            </w:r>
          </w:p>
        </w:tc>
        <w:tc>
          <w:tcPr>
            <w:tcW w:w="3933" w:type="pct"/>
            <w:shd w:val="clear" w:color="auto" w:fill="auto"/>
            <w:vAlign w:val="center"/>
          </w:tcPr>
          <w:p w14:paraId="4DD7EDA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sdt>
              <w:sdtPr>
                <w:rPr>
                  <w:rFonts w:hint="eastAsia" w:ascii="宋体" w:hAnsi="宋体" w:eastAsia="宋体" w:cs="宋体"/>
                  <w:color w:val="auto"/>
                  <w:sz w:val="24"/>
                  <w:szCs w:val="24"/>
                  <w:highlight w:val="none"/>
                </w:rPr>
                <w:id w:val="147451046"/>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147481071"/>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14:paraId="1F2207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10B714C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8</w:t>
            </w:r>
          </w:p>
        </w:tc>
        <w:tc>
          <w:tcPr>
            <w:tcW w:w="738" w:type="pct"/>
            <w:shd w:val="clear" w:color="auto" w:fill="auto"/>
            <w:vAlign w:val="center"/>
          </w:tcPr>
          <w:p w14:paraId="47F72DF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是否允许大中企业向小微企业分包</w:t>
            </w:r>
          </w:p>
        </w:tc>
        <w:tc>
          <w:tcPr>
            <w:tcW w:w="3933" w:type="pct"/>
            <w:shd w:val="clear" w:color="auto" w:fill="auto"/>
            <w:vAlign w:val="center"/>
          </w:tcPr>
          <w:p w14:paraId="70BEE55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sdt>
              <w:sdtPr>
                <w:rPr>
                  <w:rFonts w:hint="eastAsia" w:ascii="宋体" w:hAnsi="宋体" w:eastAsia="宋体" w:cs="宋体"/>
                  <w:color w:val="auto"/>
                  <w:sz w:val="24"/>
                  <w:szCs w:val="24"/>
                  <w:highlight w:val="none"/>
                </w:rPr>
                <w:id w:val="147481161"/>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147462955"/>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14:paraId="422688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10A70E6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9</w:t>
            </w:r>
          </w:p>
        </w:tc>
        <w:tc>
          <w:tcPr>
            <w:tcW w:w="738" w:type="pct"/>
            <w:shd w:val="clear" w:color="auto" w:fill="auto"/>
            <w:vAlign w:val="center"/>
          </w:tcPr>
          <w:p w14:paraId="02E1382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采购内容</w:t>
            </w:r>
          </w:p>
        </w:tc>
        <w:tc>
          <w:tcPr>
            <w:tcW w:w="3933" w:type="pct"/>
            <w:shd w:val="clear" w:color="auto" w:fill="auto"/>
            <w:vAlign w:val="center"/>
          </w:tcPr>
          <w:p w14:paraId="559BD90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西安浐灞国际港辖区公办学校2025-2026学年大宗食材（肉蛋）采购项目第二批次（浐灞十幼等19所学校）第一包，</w:t>
            </w:r>
            <w:r>
              <w:rPr>
                <w:rFonts w:hint="eastAsia" w:ascii="宋体" w:hAnsi="宋体" w:eastAsia="宋体" w:cs="宋体"/>
                <w:color w:val="auto"/>
                <w:sz w:val="24"/>
                <w:szCs w:val="24"/>
                <w:highlight w:val="none"/>
                <w:lang w:eastAsia="zh-CN"/>
              </w:rPr>
              <w:t>详见第三章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招标内容及要求</w:t>
            </w:r>
            <w:r>
              <w:rPr>
                <w:rFonts w:hint="eastAsia" w:ascii="宋体" w:hAnsi="宋体" w:eastAsia="宋体" w:cs="宋体"/>
                <w:color w:val="auto"/>
                <w:sz w:val="24"/>
                <w:szCs w:val="24"/>
                <w:highlight w:val="none"/>
              </w:rPr>
              <w:t>。</w:t>
            </w:r>
          </w:p>
        </w:tc>
      </w:tr>
      <w:tr w14:paraId="4F55B5B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0FB38F1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10</w:t>
            </w:r>
          </w:p>
        </w:tc>
        <w:tc>
          <w:tcPr>
            <w:tcW w:w="738" w:type="pct"/>
            <w:shd w:val="clear" w:color="auto" w:fill="auto"/>
            <w:vAlign w:val="center"/>
          </w:tcPr>
          <w:p w14:paraId="48BEA73B">
            <w:pPr>
              <w:pStyle w:val="17"/>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hAnsi="宋体" w:eastAsia="宋体" w:cs="宋体"/>
                <w:color w:val="auto"/>
                <w:sz w:val="24"/>
                <w:szCs w:val="24"/>
                <w:highlight w:val="none"/>
                <w:lang w:val="en-US" w:eastAsia="zh-CN"/>
              </w:rPr>
              <w:t>配送周期</w:t>
            </w:r>
          </w:p>
        </w:tc>
        <w:tc>
          <w:tcPr>
            <w:tcW w:w="3933" w:type="pct"/>
            <w:shd w:val="clear" w:color="auto" w:fill="auto"/>
            <w:vAlign w:val="center"/>
          </w:tcPr>
          <w:p w14:paraId="335A86FF">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2025年9月1日—2026年7月15日（以学校放假时间为准）。</w:t>
            </w:r>
          </w:p>
        </w:tc>
      </w:tr>
      <w:tr w14:paraId="2BBA9A7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5492CED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11</w:t>
            </w:r>
          </w:p>
        </w:tc>
        <w:tc>
          <w:tcPr>
            <w:tcW w:w="738" w:type="pct"/>
            <w:shd w:val="clear" w:color="auto" w:fill="auto"/>
            <w:vAlign w:val="center"/>
          </w:tcPr>
          <w:p w14:paraId="3B5B9EB6">
            <w:pPr>
              <w:pStyle w:val="17"/>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bidi="ar-SA"/>
              </w:rPr>
              <w:t>交货时间</w:t>
            </w:r>
          </w:p>
        </w:tc>
        <w:tc>
          <w:tcPr>
            <w:tcW w:w="3933" w:type="pct"/>
            <w:shd w:val="clear" w:color="auto" w:fill="auto"/>
            <w:vAlign w:val="center"/>
          </w:tcPr>
          <w:p w14:paraId="2B782CC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肉类每天配送，蛋类每周至少配送二次，每次配送按照学校要求时间准时送达。视天气温度和储存条件以及配送量，可协商提高配送频次。</w:t>
            </w:r>
          </w:p>
        </w:tc>
      </w:tr>
      <w:tr w14:paraId="4A67CDE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510FBF8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12</w:t>
            </w:r>
          </w:p>
        </w:tc>
        <w:tc>
          <w:tcPr>
            <w:tcW w:w="738" w:type="pct"/>
            <w:shd w:val="clear" w:color="auto" w:fill="auto"/>
            <w:vAlign w:val="center"/>
          </w:tcPr>
          <w:p w14:paraId="672702C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交货地点</w:t>
            </w:r>
          </w:p>
        </w:tc>
        <w:tc>
          <w:tcPr>
            <w:tcW w:w="3933" w:type="pct"/>
            <w:shd w:val="clear" w:color="auto" w:fill="auto"/>
            <w:vAlign w:val="center"/>
          </w:tcPr>
          <w:p w14:paraId="6140F430">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color w:val="auto"/>
                <w:sz w:val="24"/>
                <w:szCs w:val="24"/>
                <w:highlight w:val="none"/>
                <w:lang w:eastAsia="zh-CN"/>
              </w:rPr>
              <w:t>甲方提供的各学校</w:t>
            </w:r>
          </w:p>
        </w:tc>
      </w:tr>
      <w:tr w14:paraId="2FED236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4C7369A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13</w:t>
            </w:r>
          </w:p>
        </w:tc>
        <w:tc>
          <w:tcPr>
            <w:tcW w:w="738" w:type="pct"/>
            <w:shd w:val="clear" w:color="auto" w:fill="auto"/>
            <w:vAlign w:val="center"/>
          </w:tcPr>
          <w:p w14:paraId="2E1BF77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质量要求</w:t>
            </w:r>
          </w:p>
        </w:tc>
        <w:tc>
          <w:tcPr>
            <w:tcW w:w="3933" w:type="pct"/>
            <w:shd w:val="clear" w:color="auto" w:fill="auto"/>
            <w:vAlign w:val="center"/>
          </w:tcPr>
          <w:p w14:paraId="7CBCDE12">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符合国家</w:t>
            </w:r>
            <w:r>
              <w:rPr>
                <w:rFonts w:hint="eastAsia" w:ascii="宋体" w:hAnsi="宋体" w:eastAsia="宋体" w:cs="宋体"/>
                <w:color w:val="auto"/>
                <w:sz w:val="24"/>
                <w:szCs w:val="24"/>
                <w:highlight w:val="none"/>
                <w:lang w:val="en-US" w:eastAsia="zh-CN"/>
              </w:rPr>
              <w:t>及行业</w:t>
            </w:r>
            <w:r>
              <w:rPr>
                <w:rFonts w:hint="eastAsia" w:ascii="宋体" w:hAnsi="宋体" w:eastAsia="宋体" w:cs="宋体"/>
                <w:color w:val="auto"/>
                <w:sz w:val="24"/>
                <w:szCs w:val="24"/>
                <w:highlight w:val="none"/>
                <w:lang w:eastAsia="zh-CN"/>
              </w:rPr>
              <w:t>有关现行规范、标准的要求</w:t>
            </w:r>
          </w:p>
        </w:tc>
      </w:tr>
      <w:tr w14:paraId="0D6FAC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38E3D720">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14</w:t>
            </w:r>
          </w:p>
        </w:tc>
        <w:tc>
          <w:tcPr>
            <w:tcW w:w="738" w:type="pct"/>
            <w:shd w:val="clear" w:color="auto" w:fill="auto"/>
            <w:vAlign w:val="center"/>
          </w:tcPr>
          <w:p w14:paraId="29059D6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合同价款</w:t>
            </w:r>
          </w:p>
        </w:tc>
        <w:tc>
          <w:tcPr>
            <w:tcW w:w="3933" w:type="pct"/>
            <w:shd w:val="clear" w:color="auto" w:fill="auto"/>
            <w:vAlign w:val="center"/>
          </w:tcPr>
          <w:p w14:paraId="5FE95997">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（一）合同最后结算总价以实际配送量核算为准。</w:t>
            </w:r>
          </w:p>
          <w:p w14:paraId="3818F9E5">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（二）本合同价款是产品、产品原辅料、生产、包装、运输、配送、检测等各项的含税费用。</w:t>
            </w:r>
          </w:p>
          <w:p w14:paraId="78AF2F86">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（三）本合同价款还包含乙方应当提供的伴随服务和售后服务费用。</w:t>
            </w:r>
          </w:p>
          <w:p w14:paraId="483D4EC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（四）本合同执行期间合同单价按照辛家庙摩尔农产品交易中心市场询价价格×成交折扣计算，每半月询价一次，每半月询价一次，作为询价后半个月的指导价格，如市场环境发生重大变化可提高询价频率。</w:t>
            </w:r>
          </w:p>
          <w:p w14:paraId="2C1BD7C5">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i w:val="0"/>
                <w:iCs w:val="0"/>
                <w:caps w:val="0"/>
                <w:color w:val="auto"/>
                <w:spacing w:val="0"/>
                <w:kern w:val="0"/>
                <w:sz w:val="24"/>
                <w:szCs w:val="24"/>
                <w:highlight w:val="none"/>
                <w:u w:val="none"/>
                <w:lang w:val="en-US" w:eastAsia="zh-CN" w:bidi="ar-SA"/>
              </w:rPr>
            </w:pPr>
          </w:p>
        </w:tc>
      </w:tr>
      <w:tr w14:paraId="0C00F1C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95" w:hRule="atLeast"/>
          <w:jc w:val="center"/>
        </w:trPr>
        <w:tc>
          <w:tcPr>
            <w:tcW w:w="327" w:type="pct"/>
            <w:shd w:val="clear" w:color="auto" w:fill="auto"/>
            <w:vAlign w:val="center"/>
          </w:tcPr>
          <w:p w14:paraId="7F74A9CD">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15</w:t>
            </w:r>
          </w:p>
        </w:tc>
        <w:tc>
          <w:tcPr>
            <w:tcW w:w="738" w:type="pct"/>
            <w:shd w:val="clear" w:color="auto" w:fill="auto"/>
            <w:vAlign w:val="center"/>
          </w:tcPr>
          <w:p w14:paraId="21E4B2E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款项结算</w:t>
            </w:r>
          </w:p>
        </w:tc>
        <w:tc>
          <w:tcPr>
            <w:tcW w:w="3933" w:type="pct"/>
            <w:shd w:val="clear" w:color="auto" w:fill="auto"/>
            <w:vAlign w:val="center"/>
          </w:tcPr>
          <w:p w14:paraId="6E59576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i w:val="0"/>
                <w:iCs w:val="0"/>
                <w:caps w:val="0"/>
                <w:color w:val="auto"/>
                <w:spacing w:val="0"/>
                <w:kern w:val="0"/>
                <w:sz w:val="24"/>
                <w:szCs w:val="24"/>
                <w:highlight w:val="none"/>
                <w:u w:val="none"/>
                <w:lang w:val="zh-CN" w:eastAsia="zh-CN" w:bidi="ar-SA"/>
              </w:rPr>
            </w:pPr>
            <w:r>
              <w:rPr>
                <w:rFonts w:hint="eastAsia" w:ascii="宋体" w:hAnsi="宋体" w:eastAsia="宋体" w:cs="宋体"/>
                <w:i w:val="0"/>
                <w:iCs w:val="0"/>
                <w:caps w:val="0"/>
                <w:color w:val="auto"/>
                <w:spacing w:val="0"/>
                <w:kern w:val="0"/>
                <w:sz w:val="24"/>
                <w:szCs w:val="24"/>
                <w:highlight w:val="none"/>
                <w:u w:val="none"/>
                <w:lang w:val="zh-CN" w:eastAsia="zh-CN" w:bidi="ar-SA"/>
              </w:rPr>
              <w:t>（一）结算方式：乙方应按照双方签订的合同，按照区内各学校需求定期配送，配送量由甲方各学校通知确定。各学校每月据实结算货款。</w:t>
            </w:r>
          </w:p>
          <w:p w14:paraId="1C495335">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（二）支付方式：银行转账。</w:t>
            </w:r>
          </w:p>
          <w:p w14:paraId="76D1F03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i w:val="0"/>
                <w:iCs w:val="0"/>
                <w:caps w:val="0"/>
                <w:color w:val="auto"/>
                <w:spacing w:val="0"/>
                <w:kern w:val="0"/>
                <w:sz w:val="24"/>
                <w:szCs w:val="24"/>
                <w:highlight w:val="none"/>
                <w:u w:val="none"/>
                <w:lang w:val="zh-CN" w:eastAsia="zh-CN" w:bidi="ar-SA"/>
              </w:rPr>
              <w:t>由</w:t>
            </w:r>
            <w:r>
              <w:rPr>
                <w:rFonts w:hint="eastAsia" w:ascii="宋体" w:hAnsi="宋体" w:eastAsia="宋体" w:cs="宋体"/>
                <w:i w:val="0"/>
                <w:iCs w:val="0"/>
                <w:caps w:val="0"/>
                <w:color w:val="auto"/>
                <w:spacing w:val="0"/>
                <w:kern w:val="0"/>
                <w:sz w:val="24"/>
                <w:szCs w:val="24"/>
                <w:highlight w:val="none"/>
                <w:u w:val="none"/>
                <w:lang w:val="en-US" w:eastAsia="zh-CN" w:bidi="ar-SA"/>
              </w:rPr>
              <w:t>接受供货的具体学校</w:t>
            </w:r>
            <w:r>
              <w:rPr>
                <w:rFonts w:hint="eastAsia" w:ascii="宋体" w:hAnsi="宋体" w:eastAsia="宋体" w:cs="宋体"/>
                <w:i w:val="0"/>
                <w:iCs w:val="0"/>
                <w:caps w:val="0"/>
                <w:color w:val="auto"/>
                <w:spacing w:val="0"/>
                <w:kern w:val="0"/>
                <w:sz w:val="24"/>
                <w:szCs w:val="24"/>
                <w:highlight w:val="none"/>
                <w:u w:val="none"/>
                <w:lang w:val="zh-CN" w:eastAsia="zh-CN" w:bidi="ar-SA"/>
              </w:rPr>
              <w:t>负责结算，合同签订后，中标人在每次接受付款前，</w:t>
            </w:r>
            <w:r>
              <w:rPr>
                <w:rFonts w:hint="eastAsia" w:ascii="宋体" w:hAnsi="宋体" w:eastAsia="宋体" w:cs="宋体"/>
                <w:i w:val="0"/>
                <w:iCs w:val="0"/>
                <w:caps w:val="0"/>
                <w:color w:val="auto"/>
                <w:spacing w:val="0"/>
                <w:kern w:val="0"/>
                <w:sz w:val="24"/>
                <w:szCs w:val="24"/>
                <w:highlight w:val="none"/>
                <w:u w:val="none"/>
                <w:lang w:val="en-US" w:eastAsia="zh-CN" w:bidi="ar-SA"/>
              </w:rPr>
              <w:t>应先</w:t>
            </w:r>
            <w:r>
              <w:rPr>
                <w:rFonts w:hint="eastAsia" w:ascii="宋体" w:hAnsi="宋体" w:eastAsia="宋体" w:cs="宋体"/>
                <w:i w:val="0"/>
                <w:iCs w:val="0"/>
                <w:caps w:val="0"/>
                <w:color w:val="auto"/>
                <w:spacing w:val="0"/>
                <w:kern w:val="0"/>
                <w:sz w:val="24"/>
                <w:szCs w:val="24"/>
                <w:highlight w:val="none"/>
                <w:u w:val="none"/>
                <w:lang w:val="zh-CN" w:eastAsia="zh-CN" w:bidi="ar-SA"/>
              </w:rPr>
              <w:t>开具</w:t>
            </w:r>
            <w:r>
              <w:rPr>
                <w:rFonts w:hint="eastAsia" w:ascii="宋体" w:hAnsi="宋体" w:eastAsia="宋体" w:cs="宋体"/>
                <w:i w:val="0"/>
                <w:iCs w:val="0"/>
                <w:caps w:val="0"/>
                <w:color w:val="auto"/>
                <w:spacing w:val="0"/>
                <w:kern w:val="0"/>
                <w:sz w:val="24"/>
                <w:szCs w:val="24"/>
                <w:highlight w:val="none"/>
                <w:u w:val="none"/>
                <w:lang w:val="en-US" w:eastAsia="zh-CN" w:bidi="ar-SA"/>
              </w:rPr>
              <w:t>符合法律规定的等</w:t>
            </w:r>
            <w:r>
              <w:rPr>
                <w:rFonts w:hint="eastAsia" w:ascii="宋体" w:hAnsi="宋体" w:eastAsia="宋体" w:cs="宋体"/>
                <w:i w:val="0"/>
                <w:iCs w:val="0"/>
                <w:caps w:val="0"/>
                <w:color w:val="auto"/>
                <w:spacing w:val="0"/>
                <w:kern w:val="0"/>
                <w:sz w:val="24"/>
                <w:szCs w:val="24"/>
                <w:highlight w:val="none"/>
                <w:u w:val="none"/>
                <w:lang w:val="zh-CN" w:eastAsia="zh-CN" w:bidi="ar-SA"/>
              </w:rPr>
              <w:t>额发票给学校。</w:t>
            </w:r>
          </w:p>
        </w:tc>
      </w:tr>
      <w:tr w14:paraId="5DB537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2EF1EBD1">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w:t>
            </w:r>
          </w:p>
        </w:tc>
        <w:tc>
          <w:tcPr>
            <w:tcW w:w="738" w:type="pct"/>
            <w:shd w:val="clear" w:color="auto" w:fill="auto"/>
            <w:vAlign w:val="center"/>
          </w:tcPr>
          <w:p w14:paraId="18974879">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供应商资质条件</w:t>
            </w:r>
          </w:p>
        </w:tc>
        <w:tc>
          <w:tcPr>
            <w:tcW w:w="3933" w:type="pct"/>
            <w:shd w:val="clear" w:color="auto" w:fill="auto"/>
            <w:vAlign w:val="center"/>
          </w:tcPr>
          <w:p w14:paraId="224298EB">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baseline"/>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1</w:t>
            </w: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rPr>
              <w:t>基本资格条件：符合《中华人民共和国政府采购法》第二十二条的规定；</w:t>
            </w:r>
          </w:p>
          <w:p w14:paraId="6ED2FC6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6EA24B3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2.基本资格条件：符合《中华人民共和国政府采购法》第二十二条的规定（提供承诺函）；</w:t>
            </w:r>
          </w:p>
          <w:p w14:paraId="1F447A3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C8CD6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68A23F1C">
            <w:pPr>
              <w:pStyle w:val="29"/>
              <w:ind w:left="0" w:leftChars="0" w:firstLine="0" w:firstLineChars="0"/>
              <w:rPr>
                <w:rFonts w:hint="eastAsia" w:ascii="宋体" w:hAnsi="宋体" w:eastAsia="宋体" w:cs="宋体"/>
                <w:bCs/>
                <w:color w:val="auto"/>
                <w:sz w:val="24"/>
                <w:szCs w:val="24"/>
                <w:highlight w:val="none"/>
                <w:lang w:eastAsia="zh-CN" w:bidi="ar"/>
              </w:rPr>
            </w:pPr>
            <w:r>
              <w:rPr>
                <w:rFonts w:hint="eastAsia" w:ascii="宋体" w:hAnsi="宋体" w:eastAsia="宋体" w:cs="宋体"/>
                <w:i w:val="0"/>
                <w:iCs w:val="0"/>
                <w:caps w:val="0"/>
                <w:color w:val="auto"/>
                <w:spacing w:val="0"/>
                <w:kern w:val="0"/>
                <w:sz w:val="24"/>
                <w:szCs w:val="24"/>
                <w:highlight w:val="none"/>
                <w:u w:val="none"/>
                <w:lang w:val="en-US" w:eastAsia="zh-CN" w:bidi="ar-SA"/>
              </w:rPr>
              <w:t>5.提供肉蛋类厂家有效期内的《动物防疫条件合格证》。</w:t>
            </w:r>
          </w:p>
        </w:tc>
      </w:tr>
      <w:tr w14:paraId="6D9A1A4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1F73A193">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17</w:t>
            </w:r>
          </w:p>
        </w:tc>
        <w:tc>
          <w:tcPr>
            <w:tcW w:w="738" w:type="pct"/>
            <w:shd w:val="clear" w:color="auto" w:fill="auto"/>
            <w:vAlign w:val="center"/>
          </w:tcPr>
          <w:p w14:paraId="2BC1D29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w:t>
            </w:r>
          </w:p>
        </w:tc>
        <w:tc>
          <w:tcPr>
            <w:tcW w:w="3933" w:type="pct"/>
            <w:shd w:val="clear" w:color="auto" w:fill="auto"/>
            <w:vAlign w:val="center"/>
          </w:tcPr>
          <w:p w14:paraId="3D9685B9">
            <w:pPr>
              <w:keepNext w:val="0"/>
              <w:keepLines w:val="0"/>
              <w:pageBreakBefore w:val="0"/>
              <w:kinsoku/>
              <w:wordWrap/>
              <w:overflowPunct/>
              <w:topLinePunct w:val="0"/>
              <w:autoSpaceDE/>
              <w:autoSpaceDN/>
              <w:bidi w:val="0"/>
              <w:adjustRightInd/>
              <w:snapToGrid/>
              <w:spacing w:line="240" w:lineRule="auto"/>
              <w:jc w:val="both"/>
              <w:rPr>
                <w:rFonts w:hint="default"/>
                <w:color w:val="auto"/>
                <w:highlight w:val="none"/>
                <w:lang w:val="en-US" w:eastAsia="zh-CN"/>
              </w:rPr>
            </w:pPr>
            <w:r>
              <w:rPr>
                <w:rFonts w:hint="eastAsia" w:ascii="宋体" w:hAnsi="宋体" w:eastAsia="宋体" w:cs="宋体"/>
                <w:color w:val="auto"/>
                <w:sz w:val="24"/>
                <w:szCs w:val="24"/>
                <w:highlight w:val="none"/>
                <w:lang w:eastAsia="zh-CN"/>
              </w:rPr>
              <w:t>无</w:t>
            </w:r>
          </w:p>
        </w:tc>
      </w:tr>
      <w:tr w14:paraId="2D8021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03198F60">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18</w:t>
            </w:r>
          </w:p>
        </w:tc>
        <w:tc>
          <w:tcPr>
            <w:tcW w:w="738" w:type="pct"/>
            <w:shd w:val="clear" w:color="auto" w:fill="auto"/>
            <w:vAlign w:val="center"/>
          </w:tcPr>
          <w:p w14:paraId="15EF21F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3933" w:type="pct"/>
            <w:shd w:val="clear" w:color="auto" w:fill="auto"/>
            <w:vAlign w:val="center"/>
          </w:tcPr>
          <w:p w14:paraId="7B7E232D">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673FFB59">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726EDE2C">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户　名：_____________________________</w:t>
            </w:r>
          </w:p>
          <w:p w14:paraId="6D957449">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账　号：_____________________________</w:t>
            </w:r>
          </w:p>
          <w:p w14:paraId="48FE8278">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开户行：_____________________________</w:t>
            </w:r>
          </w:p>
          <w:p w14:paraId="386E18A1">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业务咨询电话：_______________________</w:t>
            </w:r>
          </w:p>
          <w:p w14:paraId="53431B7E">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本项目无</w:t>
            </w:r>
            <w:r>
              <w:rPr>
                <w:rFonts w:hint="eastAsia" w:ascii="宋体" w:hAnsi="宋体" w:eastAsia="宋体" w:cs="宋体"/>
                <w:color w:val="auto"/>
                <w:sz w:val="24"/>
                <w:szCs w:val="24"/>
                <w:highlight w:val="none"/>
              </w:rPr>
              <w:t>履约保证金</w:t>
            </w:r>
            <w:r>
              <w:rPr>
                <w:rFonts w:hint="eastAsia" w:ascii="宋体" w:hAnsi="宋体" w:eastAsia="宋体" w:cs="宋体"/>
                <w:color w:val="auto"/>
                <w:sz w:val="24"/>
                <w:szCs w:val="24"/>
                <w:highlight w:val="none"/>
                <w:lang w:eastAsia="zh-CN"/>
              </w:rPr>
              <w:t>。</w:t>
            </w:r>
          </w:p>
        </w:tc>
      </w:tr>
      <w:tr w14:paraId="3031FF5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38F50D6C">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19</w:t>
            </w:r>
          </w:p>
        </w:tc>
        <w:tc>
          <w:tcPr>
            <w:tcW w:w="738" w:type="pct"/>
            <w:shd w:val="clear" w:color="auto" w:fill="auto"/>
            <w:vAlign w:val="center"/>
          </w:tcPr>
          <w:p w14:paraId="5D6BE09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投标文件份数</w:t>
            </w:r>
          </w:p>
        </w:tc>
        <w:tc>
          <w:tcPr>
            <w:tcW w:w="3933" w:type="pct"/>
            <w:shd w:val="clear" w:color="auto" w:fill="auto"/>
            <w:vAlign w:val="center"/>
          </w:tcPr>
          <w:p w14:paraId="531169A3">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投标供应商无需提供；</w:t>
            </w:r>
          </w:p>
          <w:p w14:paraId="6B12A9C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中标供应商在领取中标通知书时</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正本壹份、副本贰份，电子版壹份</w:t>
            </w:r>
          </w:p>
        </w:tc>
      </w:tr>
      <w:tr w14:paraId="759DC0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3F35609E">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20</w:t>
            </w:r>
          </w:p>
        </w:tc>
        <w:tc>
          <w:tcPr>
            <w:tcW w:w="738" w:type="pct"/>
            <w:shd w:val="clear" w:color="auto" w:fill="auto"/>
            <w:vAlign w:val="center"/>
          </w:tcPr>
          <w:p w14:paraId="61D9FE1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现场踏勘</w:t>
            </w:r>
          </w:p>
        </w:tc>
        <w:tc>
          <w:tcPr>
            <w:tcW w:w="3933" w:type="pct"/>
            <w:shd w:val="clear" w:color="auto" w:fill="auto"/>
            <w:vAlign w:val="center"/>
          </w:tcPr>
          <w:p w14:paraId="1967586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val="zh-TW"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TW" w:eastAsia="zh-CN"/>
              </w:rPr>
              <w:t>由供应商自行踏勘现场，以便查明或核实有关编制投标文件和签订合同所必需的一切资料。</w:t>
            </w:r>
          </w:p>
          <w:p w14:paraId="5A27FCE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TW" w:eastAsia="zh-CN"/>
              </w:rPr>
              <w:t>供应商应承担踏勘现场的责任和风险以及期间发生的一切费用，供应商若因踏勘现场而发生的人身伤亡、财物或其它损失，不论何种原因所造成，采购人和采购代理机构均不负责任。</w:t>
            </w:r>
          </w:p>
        </w:tc>
      </w:tr>
      <w:tr w14:paraId="0B88DD0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30062DEF">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21</w:t>
            </w:r>
          </w:p>
        </w:tc>
        <w:tc>
          <w:tcPr>
            <w:tcW w:w="738" w:type="pct"/>
            <w:shd w:val="clear" w:color="auto" w:fill="auto"/>
            <w:vAlign w:val="center"/>
          </w:tcPr>
          <w:p w14:paraId="17CE0CF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政府采购信息发布媒体</w:t>
            </w:r>
          </w:p>
          <w:p w14:paraId="7A924EF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（采购公告、采购结果公告、变更公告）</w:t>
            </w:r>
          </w:p>
        </w:tc>
        <w:tc>
          <w:tcPr>
            <w:tcW w:w="3933" w:type="pct"/>
            <w:shd w:val="clear" w:color="auto" w:fill="auto"/>
            <w:vAlign w:val="center"/>
          </w:tcPr>
          <w:p w14:paraId="30276543">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1．陕西省政府采购网：仅提供项目公告，官网地址：http://ccgp-shaanxi.gov.cn/。</w:t>
            </w:r>
          </w:p>
          <w:p w14:paraId="193AE409">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2．全国公共资源交易平台（陕西省·西安市）：即西安市公共资源交易平台，提供项目公告和采购文件下载。官网地址：http://sxggzyjy.xa.gov.cn/</w:t>
            </w:r>
          </w:p>
        </w:tc>
      </w:tr>
      <w:tr w14:paraId="51F888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4D4A1238">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22</w:t>
            </w:r>
          </w:p>
        </w:tc>
        <w:tc>
          <w:tcPr>
            <w:tcW w:w="738" w:type="pct"/>
            <w:shd w:val="clear" w:color="auto" w:fill="auto"/>
            <w:vAlign w:val="center"/>
          </w:tcPr>
          <w:p w14:paraId="2BD6E30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询问和质疑</w:t>
            </w:r>
          </w:p>
        </w:tc>
        <w:tc>
          <w:tcPr>
            <w:tcW w:w="3933" w:type="pct"/>
            <w:shd w:val="clear" w:color="auto" w:fill="auto"/>
            <w:vAlign w:val="center"/>
          </w:tcPr>
          <w:p w14:paraId="258FED43">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eastAsia="zh-CN"/>
              </w:rPr>
              <w:t>招标公告</w:t>
            </w:r>
            <w:r>
              <w:rPr>
                <w:rFonts w:hint="eastAsia" w:ascii="宋体" w:hAnsi="宋体" w:eastAsia="宋体" w:cs="宋体"/>
                <w:color w:val="auto"/>
                <w:sz w:val="24"/>
                <w:szCs w:val="24"/>
                <w:highlight w:val="none"/>
              </w:rPr>
              <w:t>中的“联系方式”</w:t>
            </w:r>
          </w:p>
        </w:tc>
      </w:tr>
      <w:tr w14:paraId="5A2774B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5" w:hRule="atLeast"/>
          <w:jc w:val="center"/>
        </w:trPr>
        <w:tc>
          <w:tcPr>
            <w:tcW w:w="327" w:type="pct"/>
            <w:shd w:val="clear" w:color="auto" w:fill="auto"/>
            <w:vAlign w:val="center"/>
          </w:tcPr>
          <w:p w14:paraId="7BD7FBF9">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23</w:t>
            </w:r>
          </w:p>
        </w:tc>
        <w:tc>
          <w:tcPr>
            <w:tcW w:w="738" w:type="pct"/>
            <w:shd w:val="clear" w:color="auto" w:fill="auto"/>
            <w:vAlign w:val="center"/>
          </w:tcPr>
          <w:p w14:paraId="05D50FB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投诉受理</w:t>
            </w:r>
          </w:p>
        </w:tc>
        <w:tc>
          <w:tcPr>
            <w:tcW w:w="3933" w:type="pct"/>
            <w:shd w:val="clear" w:color="auto" w:fill="auto"/>
            <w:vAlign w:val="center"/>
          </w:tcPr>
          <w:p w14:paraId="33862F4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1．受理单位：</w:t>
            </w:r>
            <w:r>
              <w:rPr>
                <w:rFonts w:hint="eastAsia" w:ascii="宋体" w:hAnsi="宋体" w:eastAsia="宋体" w:cs="宋体"/>
                <w:color w:val="auto"/>
                <w:sz w:val="24"/>
                <w:szCs w:val="24"/>
                <w:highlight w:val="none"/>
                <w:lang w:eastAsia="zh-CN"/>
              </w:rPr>
              <w:t>同级财政部门</w:t>
            </w:r>
          </w:p>
          <w:p w14:paraId="50D0BDC3">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2．联系电话：029-</w:t>
            </w:r>
            <w:r>
              <w:rPr>
                <w:rFonts w:hint="eastAsia" w:ascii="宋体" w:hAnsi="宋体" w:eastAsia="宋体" w:cs="宋体"/>
                <w:color w:val="auto"/>
                <w:sz w:val="24"/>
                <w:szCs w:val="24"/>
                <w:highlight w:val="none"/>
                <w:lang w:val="en-US" w:eastAsia="zh-CN"/>
              </w:rPr>
              <w:t>83521198</w:t>
            </w:r>
          </w:p>
          <w:p w14:paraId="6ED701B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3．地址：</w:t>
            </w:r>
            <w:r>
              <w:rPr>
                <w:rFonts w:hint="eastAsia" w:ascii="宋体" w:hAnsi="宋体" w:eastAsia="宋体" w:cs="宋体"/>
                <w:color w:val="auto"/>
                <w:sz w:val="24"/>
                <w:szCs w:val="24"/>
                <w:highlight w:val="none"/>
                <w:lang w:eastAsia="zh-CN"/>
              </w:rPr>
              <w:t>西安市港务区港务大道</w:t>
            </w:r>
            <w:r>
              <w:rPr>
                <w:rFonts w:hint="eastAsia" w:ascii="宋体" w:hAnsi="宋体" w:eastAsia="宋体" w:cs="宋体"/>
                <w:color w:val="auto"/>
                <w:sz w:val="24"/>
                <w:szCs w:val="24"/>
                <w:highlight w:val="none"/>
                <w:lang w:val="en-US" w:eastAsia="zh-CN"/>
              </w:rPr>
              <w:t>6号</w:t>
            </w:r>
          </w:p>
        </w:tc>
      </w:tr>
      <w:tr w14:paraId="19764A9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24E25CDA">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24</w:t>
            </w:r>
          </w:p>
        </w:tc>
        <w:tc>
          <w:tcPr>
            <w:tcW w:w="738" w:type="pct"/>
            <w:shd w:val="clear" w:color="auto" w:fill="auto"/>
            <w:vAlign w:val="center"/>
          </w:tcPr>
          <w:p w14:paraId="20C8D7C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信用信息查询截至时点</w:t>
            </w:r>
          </w:p>
        </w:tc>
        <w:tc>
          <w:tcPr>
            <w:tcW w:w="3933" w:type="pct"/>
            <w:shd w:val="clear" w:color="auto" w:fill="auto"/>
            <w:vAlign w:val="center"/>
          </w:tcPr>
          <w:p w14:paraId="1F72B48D">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同提交投标文件截止时间</w:t>
            </w:r>
          </w:p>
        </w:tc>
      </w:tr>
      <w:tr w14:paraId="22537CF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30B1E3E5">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25</w:t>
            </w:r>
          </w:p>
        </w:tc>
        <w:tc>
          <w:tcPr>
            <w:tcW w:w="738" w:type="pct"/>
            <w:shd w:val="clear" w:color="auto" w:fill="auto"/>
            <w:vAlign w:val="center"/>
          </w:tcPr>
          <w:p w14:paraId="7E38D08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开标形式</w:t>
            </w:r>
          </w:p>
        </w:tc>
        <w:tc>
          <w:tcPr>
            <w:tcW w:w="3933" w:type="pct"/>
            <w:shd w:val="clear" w:color="auto" w:fill="auto"/>
            <w:vAlign w:val="center"/>
          </w:tcPr>
          <w:p w14:paraId="77486C06">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47452678"/>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 xml:space="preserve">不见面开标  </w:t>
            </w:r>
            <w:sdt>
              <w:sdtPr>
                <w:rPr>
                  <w:rFonts w:hint="eastAsia" w:ascii="宋体" w:hAnsi="宋体" w:eastAsia="宋体" w:cs="宋体"/>
                  <w:color w:val="auto"/>
                  <w:sz w:val="24"/>
                  <w:szCs w:val="24"/>
                  <w:highlight w:val="none"/>
                </w:rPr>
                <w:id w:val="147460868"/>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见面开标</w:t>
            </w:r>
          </w:p>
          <w:p w14:paraId="7A6FF74D">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详见本章“开标程序”有关内容。</w:t>
            </w:r>
          </w:p>
        </w:tc>
      </w:tr>
      <w:tr w14:paraId="159FFEC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5" w:hRule="atLeast"/>
          <w:jc w:val="center"/>
        </w:trPr>
        <w:tc>
          <w:tcPr>
            <w:tcW w:w="327" w:type="pct"/>
            <w:shd w:val="clear" w:color="auto" w:fill="auto"/>
            <w:vAlign w:val="center"/>
          </w:tcPr>
          <w:p w14:paraId="1BFD0B58">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26</w:t>
            </w:r>
          </w:p>
        </w:tc>
        <w:tc>
          <w:tcPr>
            <w:tcW w:w="738" w:type="pct"/>
            <w:shd w:val="clear" w:color="auto" w:fill="auto"/>
            <w:vAlign w:val="center"/>
          </w:tcPr>
          <w:p w14:paraId="43DD07C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是否允许递交多个备选投标方案</w:t>
            </w:r>
          </w:p>
        </w:tc>
        <w:tc>
          <w:tcPr>
            <w:tcW w:w="3933" w:type="pct"/>
            <w:shd w:val="clear" w:color="auto" w:fill="auto"/>
            <w:vAlign w:val="center"/>
          </w:tcPr>
          <w:p w14:paraId="2944050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val="en-US" w:eastAsia="zh-CN"/>
              </w:rPr>
            </w:pPr>
            <w:sdt>
              <w:sdtPr>
                <w:rPr>
                  <w:rFonts w:hint="eastAsia" w:ascii="宋体" w:hAnsi="宋体" w:eastAsia="宋体" w:cs="宋体"/>
                  <w:color w:val="auto"/>
                  <w:sz w:val="24"/>
                  <w:szCs w:val="24"/>
                  <w:highlight w:val="none"/>
                </w:rPr>
                <w:id w:val="147451692"/>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147475926"/>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14:paraId="21D12A2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4F3443F3">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w:t>
            </w:r>
          </w:p>
        </w:tc>
        <w:tc>
          <w:tcPr>
            <w:tcW w:w="738" w:type="pct"/>
            <w:shd w:val="clear" w:color="auto" w:fill="auto"/>
            <w:vAlign w:val="center"/>
          </w:tcPr>
          <w:p w14:paraId="5EA6CFE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中标通知书</w:t>
            </w:r>
          </w:p>
        </w:tc>
        <w:tc>
          <w:tcPr>
            <w:tcW w:w="3933" w:type="pct"/>
            <w:shd w:val="clear" w:color="auto" w:fill="auto"/>
            <w:vAlign w:val="center"/>
          </w:tcPr>
          <w:p w14:paraId="59DD871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1．领取地点：</w:t>
            </w:r>
            <w:r>
              <w:rPr>
                <w:rFonts w:hint="eastAsia" w:ascii="宋体" w:hAnsi="宋体" w:eastAsia="宋体" w:cs="宋体"/>
                <w:color w:val="auto"/>
                <w:sz w:val="24"/>
                <w:szCs w:val="24"/>
                <w:highlight w:val="none"/>
              </w:rPr>
              <w:t>西安市高新路88号尚品国际B幢25层</w:t>
            </w:r>
          </w:p>
          <w:p w14:paraId="1EBC518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2．联系电话：</w:t>
            </w:r>
            <w:r>
              <w:rPr>
                <w:rFonts w:hint="eastAsia" w:ascii="宋体" w:hAnsi="宋体" w:eastAsia="宋体" w:cs="宋体"/>
                <w:color w:val="auto"/>
                <w:sz w:val="24"/>
                <w:szCs w:val="24"/>
                <w:highlight w:val="none"/>
                <w:lang w:eastAsia="zh-CN"/>
              </w:rPr>
              <w:t>029-82665555转8013</w:t>
            </w:r>
          </w:p>
          <w:p w14:paraId="2171BE8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3．联系人：</w:t>
            </w:r>
            <w:r>
              <w:rPr>
                <w:rFonts w:hint="eastAsia" w:ascii="宋体" w:hAnsi="宋体" w:eastAsia="宋体" w:cs="宋体"/>
                <w:i w:val="0"/>
                <w:iCs w:val="0"/>
                <w:caps w:val="0"/>
                <w:color w:val="auto"/>
                <w:spacing w:val="0"/>
                <w:sz w:val="24"/>
                <w:szCs w:val="24"/>
                <w:highlight w:val="none"/>
                <w:u w:val="none"/>
                <w:lang w:eastAsia="zh-CN"/>
              </w:rPr>
              <w:t>曹美奇、杨阳、李琛</w:t>
            </w:r>
          </w:p>
        </w:tc>
      </w:tr>
      <w:tr w14:paraId="4413802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17539625">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28</w:t>
            </w:r>
          </w:p>
        </w:tc>
        <w:tc>
          <w:tcPr>
            <w:tcW w:w="738" w:type="pct"/>
            <w:shd w:val="clear" w:color="auto" w:fill="auto"/>
            <w:vAlign w:val="center"/>
          </w:tcPr>
          <w:p w14:paraId="1BD16C0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中标服务费及交纳信息</w:t>
            </w:r>
          </w:p>
        </w:tc>
        <w:tc>
          <w:tcPr>
            <w:tcW w:w="3933" w:type="pct"/>
            <w:shd w:val="clear" w:color="auto" w:fill="auto"/>
            <w:vAlign w:val="center"/>
          </w:tcPr>
          <w:p w14:paraId="22BB6614">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单位</w:t>
            </w:r>
            <w:r>
              <w:rPr>
                <w:rFonts w:hint="eastAsia" w:ascii="宋体" w:hAnsi="宋体" w:eastAsia="宋体" w:cs="宋体"/>
                <w:color w:val="auto"/>
                <w:sz w:val="24"/>
                <w:szCs w:val="24"/>
                <w:highlight w:val="none"/>
              </w:rPr>
              <w:t>应向采购代理机构交纳招标代理服务费。招标代理服务费收取按照国家计委颁布的《招标代理服务收费管理暂行办法》（计价格[2002]1980号）和（发改办价格[2003]857号）按</w:t>
            </w:r>
            <w:r>
              <w:rPr>
                <w:rFonts w:hint="eastAsia" w:ascii="宋体" w:hAnsi="宋体" w:eastAsia="宋体" w:cs="宋体"/>
                <w:color w:val="auto"/>
                <w:sz w:val="24"/>
                <w:szCs w:val="24"/>
                <w:highlight w:val="none"/>
                <w:lang w:val="en-US" w:eastAsia="zh-CN"/>
              </w:rPr>
              <w:t>规定预算</w:t>
            </w:r>
            <w:r>
              <w:rPr>
                <w:rFonts w:hint="eastAsia" w:ascii="宋体" w:hAnsi="宋体" w:eastAsia="宋体" w:cs="宋体"/>
                <w:color w:val="auto"/>
                <w:sz w:val="24"/>
                <w:szCs w:val="24"/>
                <w:highlight w:val="none"/>
                <w:lang w:eastAsia="zh-CN"/>
              </w:rPr>
              <w:t>货物</w:t>
            </w:r>
            <w:r>
              <w:rPr>
                <w:rFonts w:hint="eastAsia" w:ascii="宋体" w:hAnsi="宋体" w:eastAsia="宋体" w:cs="宋体"/>
                <w:color w:val="auto"/>
                <w:sz w:val="24"/>
                <w:szCs w:val="24"/>
                <w:highlight w:val="none"/>
              </w:rPr>
              <w:t>收费标准计取。此服务费应计入</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报价中，但不需要单独开列。</w:t>
            </w:r>
          </w:p>
          <w:p w14:paraId="58248626">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2.代理服务费交纳信息</w:t>
            </w:r>
          </w:p>
          <w:p w14:paraId="256B177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银行户名：华晟国际项目管理有限公司</w:t>
            </w:r>
          </w:p>
          <w:p w14:paraId="093206A6">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开户银行：建设银行西安劳动路支行</w:t>
            </w:r>
          </w:p>
          <w:p w14:paraId="454A47B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账    号：610501 740015 00000 427</w:t>
            </w:r>
          </w:p>
          <w:p w14:paraId="2E6FA39C">
            <w:pPr>
              <w:keepNext w:val="0"/>
              <w:keepLines w:val="0"/>
              <w:pageBreakBefore w:val="0"/>
              <w:kinsoku/>
              <w:wordWrap/>
              <w:overflowPunct/>
              <w:topLinePunct w:val="0"/>
              <w:autoSpaceDE/>
              <w:autoSpaceDN/>
              <w:bidi w:val="0"/>
              <w:adjustRightInd/>
              <w:snapToGrid/>
              <w:spacing w:line="240" w:lineRule="auto"/>
              <w:jc w:val="both"/>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转账事由：HSGJ2025-196中标服务费</w:t>
            </w:r>
          </w:p>
        </w:tc>
      </w:tr>
      <w:tr w14:paraId="5C0BBC7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5E567CAD">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29</w:t>
            </w:r>
          </w:p>
        </w:tc>
        <w:tc>
          <w:tcPr>
            <w:tcW w:w="738" w:type="pct"/>
            <w:shd w:val="clear" w:color="auto" w:fill="auto"/>
            <w:vAlign w:val="center"/>
          </w:tcPr>
          <w:p w14:paraId="2A059B4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西安市公共资源交易中心电子化政府采购系统技术支持（软件开发商）</w:t>
            </w:r>
          </w:p>
        </w:tc>
        <w:tc>
          <w:tcPr>
            <w:tcW w:w="3933" w:type="pct"/>
            <w:shd w:val="clear" w:color="auto" w:fill="auto"/>
            <w:vAlign w:val="center"/>
          </w:tcPr>
          <w:p w14:paraId="5CB6878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国泰新点软件股份有限公司</w:t>
            </w:r>
          </w:p>
          <w:p w14:paraId="684A850D">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1．技术支持热线：400-998-0000/400-928-0095</w:t>
            </w:r>
          </w:p>
          <w:p w14:paraId="775CE11E">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2．驻场技术人员：029-86510166/86510167转80310</w:t>
            </w:r>
          </w:p>
        </w:tc>
      </w:tr>
      <w:tr w14:paraId="4861A1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48BBA64C">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30</w:t>
            </w:r>
          </w:p>
        </w:tc>
        <w:tc>
          <w:tcPr>
            <w:tcW w:w="738" w:type="pct"/>
            <w:shd w:val="clear" w:color="auto" w:fill="auto"/>
            <w:vAlign w:val="center"/>
          </w:tcPr>
          <w:p w14:paraId="3CBCF4D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CA业务网点</w:t>
            </w:r>
          </w:p>
        </w:tc>
        <w:tc>
          <w:tcPr>
            <w:tcW w:w="3933" w:type="pct"/>
            <w:shd w:val="clear" w:color="auto" w:fill="auto"/>
            <w:vAlign w:val="center"/>
          </w:tcPr>
          <w:p w14:paraId="435B67A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陕西省数字证书认证中心股份有限公司</w:t>
            </w:r>
          </w:p>
          <w:p w14:paraId="1145E1EB">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网点1：西安市高新三路信息港大厦1楼客服中心</w:t>
            </w:r>
          </w:p>
          <w:p w14:paraId="270C162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客服电话：4006-369-888</w:t>
            </w:r>
          </w:p>
          <w:p w14:paraId="21E56C6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网点2：西安市长安北路14号省体育公寓B座一楼</w:t>
            </w:r>
          </w:p>
          <w:p w14:paraId="3092AF5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咨询电话：029-88661241</w:t>
            </w:r>
          </w:p>
          <w:p w14:paraId="099CA12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网点3：西安市文景北路16号白桦林国际B座2楼11#窗口</w:t>
            </w:r>
          </w:p>
          <w:p w14:paraId="61755E05">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咨询电话：029-86510073转80211</w:t>
            </w:r>
          </w:p>
        </w:tc>
      </w:tr>
      <w:tr w14:paraId="426B6F8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2D133BA8">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31</w:t>
            </w:r>
          </w:p>
        </w:tc>
        <w:tc>
          <w:tcPr>
            <w:tcW w:w="738" w:type="pct"/>
            <w:shd w:val="clear" w:color="auto" w:fill="auto"/>
            <w:vAlign w:val="center"/>
          </w:tcPr>
          <w:p w14:paraId="03345D3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政府采购</w:t>
            </w:r>
            <w:r>
              <w:rPr>
                <w:rFonts w:hint="eastAsia" w:ascii="宋体" w:hAnsi="宋体" w:eastAsia="宋体" w:cs="宋体"/>
                <w:color w:val="auto"/>
                <w:sz w:val="24"/>
                <w:szCs w:val="24"/>
                <w:highlight w:val="none"/>
                <w:lang w:eastAsia="zh-CN"/>
              </w:rPr>
              <w:t>信用担保及信用融资政策</w:t>
            </w:r>
          </w:p>
        </w:tc>
        <w:tc>
          <w:tcPr>
            <w:tcW w:w="3933" w:type="pct"/>
            <w:shd w:val="clear" w:color="auto" w:fill="auto"/>
            <w:vAlign w:val="center"/>
          </w:tcPr>
          <w:p w14:paraId="08B20E2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西安市政府采购信用担保及信用融资政策</w:t>
            </w:r>
          </w:p>
          <w:p w14:paraId="5788CCB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45E18DE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西安浐灞</w:t>
            </w:r>
            <w:r>
              <w:rPr>
                <w:rFonts w:hint="eastAsia" w:ascii="宋体" w:hAnsi="宋体" w:eastAsia="宋体" w:cs="宋体"/>
                <w:color w:val="auto"/>
                <w:sz w:val="24"/>
                <w:szCs w:val="24"/>
                <w:highlight w:val="none"/>
              </w:rPr>
              <w:t>国际港政府采购信用融资联系人：</w:t>
            </w:r>
            <w:r>
              <w:rPr>
                <w:rFonts w:hint="eastAsia" w:ascii="宋体" w:hAnsi="宋体" w:eastAsia="宋体" w:cs="宋体"/>
                <w:color w:val="auto"/>
                <w:spacing w:val="0"/>
                <w:sz w:val="24"/>
                <w:szCs w:val="24"/>
                <w:highlight w:val="none"/>
              </w:rPr>
              <w:t>王涛  15029991040</w:t>
            </w:r>
          </w:p>
        </w:tc>
      </w:tr>
      <w:tr w14:paraId="4ABF2F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56E58681">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32</w:t>
            </w:r>
          </w:p>
        </w:tc>
        <w:tc>
          <w:tcPr>
            <w:tcW w:w="738" w:type="pct"/>
            <w:shd w:val="clear" w:color="auto" w:fill="auto"/>
            <w:vAlign w:val="center"/>
          </w:tcPr>
          <w:p w14:paraId="15E783B8">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所属行业</w:t>
            </w:r>
          </w:p>
        </w:tc>
        <w:tc>
          <w:tcPr>
            <w:tcW w:w="3933" w:type="pct"/>
            <w:shd w:val="clear" w:color="auto" w:fill="auto"/>
            <w:vAlign w:val="center"/>
          </w:tcPr>
          <w:p w14:paraId="3295CA0A">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采购标的对应的中小企业划分标准所属行业：</w:t>
            </w:r>
            <w:r>
              <w:rPr>
                <w:rFonts w:hint="eastAsia" w:ascii="宋体" w:hAnsi="宋体" w:eastAsia="宋体" w:cs="宋体"/>
                <w:color w:val="auto"/>
                <w:sz w:val="24"/>
                <w:szCs w:val="24"/>
                <w:highlight w:val="none"/>
                <w:u w:val="single"/>
                <w:lang w:eastAsia="zh-CN"/>
              </w:rPr>
              <w:t>工业</w:t>
            </w:r>
          </w:p>
          <w:p w14:paraId="60FA89F4">
            <w:pPr>
              <w:pStyle w:val="25"/>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lang w:eastAsia="zh-CN"/>
              </w:rPr>
              <w:t>根据《工业和信息化部、国家统计局、国家发展和改革委员会、财政部关于印发中小企业划型标准规定的通知》（工信部联企业〔2011〕300号）规定的划分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657A6B3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3239E5B2">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33</w:t>
            </w:r>
          </w:p>
        </w:tc>
        <w:tc>
          <w:tcPr>
            <w:tcW w:w="738" w:type="pct"/>
            <w:shd w:val="clear" w:color="auto" w:fill="auto"/>
            <w:vAlign w:val="center"/>
          </w:tcPr>
          <w:p w14:paraId="51F7939D">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kern w:val="2"/>
                <w:sz w:val="24"/>
                <w:szCs w:val="24"/>
                <w:highlight w:val="none"/>
                <w:lang w:eastAsia="zh-CN" w:bidi="ar-SA"/>
              </w:rPr>
              <w:t>入库登记</w:t>
            </w:r>
          </w:p>
        </w:tc>
        <w:tc>
          <w:tcPr>
            <w:tcW w:w="3933" w:type="pct"/>
            <w:shd w:val="clear" w:color="auto" w:fill="auto"/>
            <w:vAlign w:val="center"/>
          </w:tcPr>
          <w:p w14:paraId="06E2FA66">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kern w:val="2"/>
                <w:sz w:val="24"/>
                <w:szCs w:val="24"/>
                <w:highlight w:val="none"/>
                <w:lang w:eastAsia="zh-CN" w:bidi="ar-SA"/>
              </w:rPr>
              <w:t>请</w:t>
            </w:r>
            <w:r>
              <w:rPr>
                <w:rFonts w:hint="eastAsia" w:ascii="宋体" w:hAnsi="宋体" w:eastAsia="宋体" w:cs="宋体"/>
                <w:color w:val="auto"/>
                <w:sz w:val="24"/>
                <w:szCs w:val="24"/>
                <w:highlight w:val="none"/>
              </w:rPr>
              <w:t>供应商</w:t>
            </w:r>
            <w:r>
              <w:rPr>
                <w:rFonts w:hint="eastAsia" w:ascii="宋体" w:hAnsi="宋体" w:eastAsia="宋体" w:cs="宋体"/>
                <w:color w:val="auto"/>
                <w:kern w:val="2"/>
                <w:sz w:val="24"/>
                <w:szCs w:val="24"/>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1CF01DB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024708B0">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34</w:t>
            </w:r>
          </w:p>
        </w:tc>
        <w:tc>
          <w:tcPr>
            <w:tcW w:w="738" w:type="pct"/>
            <w:shd w:val="clear" w:color="auto" w:fill="auto"/>
            <w:vAlign w:val="center"/>
          </w:tcPr>
          <w:p w14:paraId="6AEC780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相同品牌产品说明</w:t>
            </w:r>
          </w:p>
        </w:tc>
        <w:tc>
          <w:tcPr>
            <w:tcW w:w="3933" w:type="pct"/>
            <w:shd w:val="clear" w:color="auto" w:fill="auto"/>
            <w:vAlign w:val="center"/>
          </w:tcPr>
          <w:p w14:paraId="759D219F">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若供应商所投核心产品为同一品牌，</w:t>
            </w:r>
            <w:r>
              <w:rPr>
                <w:rFonts w:hint="eastAsia" w:ascii="宋体" w:hAnsi="宋体" w:eastAsia="宋体" w:cs="宋体"/>
                <w:color w:val="auto"/>
                <w:sz w:val="24"/>
                <w:szCs w:val="24"/>
                <w:highlight w:val="none"/>
              </w:rPr>
              <w:t>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4"/>
                <w:szCs w:val="24"/>
                <w:highlight w:val="none"/>
                <w:lang w:eastAsia="zh-CN" w:bidi="ar-SA"/>
              </w:rPr>
              <w:t>其他同品牌供应商不作为中标候选人。</w:t>
            </w:r>
          </w:p>
          <w:p w14:paraId="1018FC1A">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color w:val="auto"/>
                <w:kern w:val="2"/>
                <w:sz w:val="24"/>
                <w:szCs w:val="24"/>
                <w:highlight w:val="none"/>
                <w:lang w:eastAsia="zh-CN" w:bidi="ar-SA"/>
              </w:rPr>
              <w:t>核心产品为：</w:t>
            </w:r>
            <w:r>
              <w:rPr>
                <w:rFonts w:hint="eastAsia" w:ascii="宋体" w:hAnsi="宋体" w:eastAsia="宋体" w:cs="宋体"/>
                <w:b/>
                <w:bCs/>
                <w:color w:val="auto"/>
                <w:kern w:val="2"/>
                <w:sz w:val="24"/>
                <w:szCs w:val="24"/>
                <w:highlight w:val="none"/>
                <w:lang w:val="en-US" w:eastAsia="zh-CN" w:bidi="ar-SA"/>
              </w:rPr>
              <w:t>第一包：猪肉</w:t>
            </w:r>
            <w:r>
              <w:rPr>
                <w:rFonts w:hint="eastAsia" w:ascii="宋体" w:hAnsi="宋体" w:eastAsia="宋体" w:cs="宋体"/>
                <w:b/>
                <w:bCs w:val="0"/>
                <w:color w:val="auto"/>
                <w:sz w:val="24"/>
                <w:szCs w:val="24"/>
                <w:highlight w:val="none"/>
                <w:lang w:val="en-US" w:eastAsia="zh-CN"/>
              </w:rPr>
              <w:t>。</w:t>
            </w:r>
          </w:p>
        </w:tc>
      </w:tr>
      <w:tr w14:paraId="2611DBB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27" w:type="pct"/>
            <w:shd w:val="clear" w:color="auto" w:fill="auto"/>
            <w:vAlign w:val="center"/>
          </w:tcPr>
          <w:p w14:paraId="15FB02ED">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35</w:t>
            </w:r>
          </w:p>
        </w:tc>
        <w:tc>
          <w:tcPr>
            <w:tcW w:w="738" w:type="pct"/>
            <w:shd w:val="clear" w:color="auto" w:fill="auto"/>
            <w:vAlign w:val="center"/>
          </w:tcPr>
          <w:p w14:paraId="3224B536">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eastAsia="zh-CN" w:bidi="ar-SA"/>
              </w:rPr>
              <w:t>其他未尽事宜</w:t>
            </w:r>
          </w:p>
        </w:tc>
        <w:tc>
          <w:tcPr>
            <w:tcW w:w="3933" w:type="pct"/>
            <w:shd w:val="clear" w:color="auto" w:fill="auto"/>
            <w:vAlign w:val="center"/>
          </w:tcPr>
          <w:p w14:paraId="0C47DBFF">
            <w:pPr>
              <w:pStyle w:val="74"/>
              <w:keepNext w:val="0"/>
              <w:keepLines w:val="0"/>
              <w:pageBreakBefore w:val="0"/>
              <w:widowControl w:val="0"/>
              <w:kinsoku/>
              <w:wordWrap/>
              <w:overflowPunct/>
              <w:topLinePunct w:val="0"/>
              <w:autoSpaceDE/>
              <w:autoSpaceDN/>
              <w:bidi w:val="0"/>
              <w:adjustRightInd/>
              <w:snapToGrid/>
              <w:spacing w:line="240" w:lineRule="auto"/>
              <w:ind w:left="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zh-TW" w:eastAsia="zh-CN" w:bidi="ar-SA"/>
              </w:rPr>
              <w:t>按照《中华人民共和国政府采购法》及相关法律法规执行。</w:t>
            </w:r>
          </w:p>
          <w:p w14:paraId="43B0357B">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zh-TW" w:eastAsia="zh-CN" w:bidi="ar-SA"/>
              </w:rPr>
              <w:t>根据西安市财政局关于促进政府采购公平竞争优化营商环境的通知</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zh-TW" w:eastAsia="zh-CN" w:bidi="ar-SA"/>
              </w:rPr>
              <w:t>市财函〔2021〕431号文规定，</w:t>
            </w:r>
            <w:r>
              <w:rPr>
                <w:rFonts w:hint="eastAsia" w:ascii="宋体" w:hAnsi="宋体" w:eastAsia="宋体" w:cs="宋体"/>
                <w:color w:val="auto"/>
                <w:sz w:val="24"/>
                <w:szCs w:val="24"/>
                <w:highlight w:val="none"/>
              </w:rPr>
              <w:t>供应商</w:t>
            </w:r>
            <w:r>
              <w:rPr>
                <w:rFonts w:hint="eastAsia" w:ascii="宋体" w:hAnsi="宋体" w:eastAsia="宋体" w:cs="宋体"/>
                <w:color w:val="auto"/>
                <w:kern w:val="2"/>
                <w:sz w:val="24"/>
                <w:szCs w:val="24"/>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color w:val="auto"/>
                <w:sz w:val="24"/>
                <w:szCs w:val="24"/>
                <w:highlight w:val="none"/>
              </w:rPr>
              <w:t>供应商</w:t>
            </w:r>
            <w:r>
              <w:rPr>
                <w:rFonts w:hint="eastAsia" w:ascii="宋体" w:hAnsi="宋体" w:eastAsia="宋体" w:cs="宋体"/>
                <w:color w:val="auto"/>
                <w:kern w:val="2"/>
                <w:sz w:val="24"/>
                <w:szCs w:val="24"/>
                <w:highlight w:val="none"/>
                <w:lang w:val="zh-TW" w:eastAsia="zh-CN" w:bidi="ar-SA"/>
              </w:rPr>
              <w:t>一年内累计出现三次该情形，将被监管部门记录为失信行为。</w:t>
            </w:r>
          </w:p>
          <w:p w14:paraId="37392627">
            <w:pPr>
              <w:pStyle w:val="74"/>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b/>
                <w:bCs/>
                <w:color w:val="auto"/>
                <w:kern w:val="2"/>
                <w:sz w:val="24"/>
                <w:szCs w:val="24"/>
                <w:highlight w:val="none"/>
                <w:lang w:val="en-US" w:eastAsia="zh-CN" w:bidi="ar-SA"/>
              </w:rPr>
            </w:pPr>
            <w:r>
              <w:rPr>
                <w:rFonts w:hint="eastAsia" w:ascii="Calibri" w:hAnsi="Calibri" w:eastAsia="宋体" w:cs="Calibri"/>
                <w:b/>
                <w:bCs/>
                <w:color w:val="auto"/>
                <w:kern w:val="2"/>
                <w:sz w:val="24"/>
                <w:szCs w:val="24"/>
                <w:highlight w:val="none"/>
                <w:lang w:val="en-US" w:eastAsia="zh-CN" w:bidi="ar-SA"/>
              </w:rPr>
              <w:t>3.</w:t>
            </w:r>
            <w:r>
              <w:rPr>
                <w:rFonts w:hint="eastAsia" w:ascii="宋体" w:hAnsi="宋体" w:eastAsia="宋体" w:cs="宋体"/>
                <w:b/>
                <w:bCs/>
                <w:color w:val="auto"/>
                <w:kern w:val="2"/>
                <w:sz w:val="24"/>
                <w:szCs w:val="24"/>
                <w:highlight w:val="none"/>
                <w:lang w:val="en-US" w:eastAsia="zh-CN" w:bidi="ar-SA"/>
              </w:rPr>
              <w:t>如投标人对多个包进行投标，只可以中标1个包，每个合同包选择不同中标人，在评标过程中，将按标包顺序依次进行评审，经评审后在上一合同包排名第一的投标人将在后续合同包的评审过程中不再推荐为中标候选人。（本项目评审顺序：合同包1、合同包2）。</w:t>
            </w:r>
          </w:p>
          <w:p w14:paraId="4C433D52">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w:t>
            </w:r>
            <w:r>
              <w:rPr>
                <w:rFonts w:hint="eastAsia" w:asciiTheme="minorEastAsia" w:hAnsiTheme="minorEastAsia" w:eastAsiaTheme="minorEastAsia" w:cstheme="minorEastAsia"/>
                <w:b/>
                <w:bCs w:val="0"/>
                <w:color w:val="auto"/>
                <w:sz w:val="24"/>
                <w:szCs w:val="24"/>
                <w:highlight w:val="none"/>
                <w:lang w:val="en-US" w:eastAsia="zh-CN" w:bidi="ar-SA"/>
              </w:rPr>
              <w:t>中标人应当自发出中标通知书之日起 30 日内,与采购人签订合同，本项目由西安浐灞国际港教育局统一组织实施采购，确定中标供应商后由中标供应商与各学校分别签订采购合同。</w:t>
            </w:r>
          </w:p>
        </w:tc>
      </w:tr>
    </w:tbl>
    <w:p w14:paraId="09BA27E0">
      <w:pPr>
        <w:jc w:val="both"/>
        <w:rPr>
          <w:rFonts w:hint="eastAsia" w:ascii="宋体" w:hAnsi="宋体" w:eastAsia="宋体" w:cs="宋体"/>
          <w:color w:val="auto"/>
          <w:sz w:val="32"/>
          <w:szCs w:val="32"/>
          <w:highlight w:val="none"/>
        </w:rPr>
      </w:pPr>
      <w:r>
        <w:rPr>
          <w:rFonts w:hint="eastAsia" w:ascii="宋体" w:hAnsi="宋体" w:eastAsia="宋体" w:cs="宋体"/>
          <w:color w:val="auto"/>
          <w:sz w:val="24"/>
          <w:szCs w:val="24"/>
          <w:highlight w:val="none"/>
        </w:rPr>
        <w:br w:type="page"/>
      </w:r>
    </w:p>
    <w:p w14:paraId="41E706DD">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一、有关定义</w:t>
      </w:r>
    </w:p>
    <w:p w14:paraId="64C968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w:t>
      </w:r>
      <w:r>
        <w:rPr>
          <w:rFonts w:hint="eastAsia" w:ascii="宋体" w:hAnsi="宋体" w:eastAsia="宋体" w:cs="宋体"/>
          <w:color w:val="auto"/>
          <w:sz w:val="24"/>
          <w:szCs w:val="24"/>
          <w:highlight w:val="none"/>
          <w:lang w:eastAsia="zh-CN"/>
        </w:rPr>
        <w:t>西安浐灞国际港教育局。</w:t>
      </w:r>
    </w:p>
    <w:p w14:paraId="101A7C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2．供应商：指向采购人提供货物、工程或者服务的法人、其他组织或者自然人。</w:t>
      </w:r>
    </w:p>
    <w:p w14:paraId="386AB7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3．同级政府采购监管部门：</w:t>
      </w:r>
      <w:r>
        <w:rPr>
          <w:rFonts w:hint="eastAsia" w:ascii="宋体" w:hAnsi="宋体" w:eastAsia="宋体" w:cs="宋体"/>
          <w:color w:val="auto"/>
          <w:sz w:val="24"/>
          <w:szCs w:val="24"/>
          <w:highlight w:val="none"/>
          <w:lang w:eastAsia="zh-CN"/>
        </w:rPr>
        <w:t>同级财政部门</w:t>
      </w:r>
      <w:r>
        <w:rPr>
          <w:rFonts w:hint="eastAsia" w:ascii="宋体" w:hAnsi="宋体" w:eastAsia="宋体" w:cs="宋体"/>
          <w:color w:val="auto"/>
          <w:sz w:val="24"/>
          <w:szCs w:val="24"/>
          <w:highlight w:val="none"/>
        </w:rPr>
        <w:t>。</w:t>
      </w:r>
    </w:p>
    <w:p w14:paraId="04A1AFB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4．西安市公共资源交易平台：即【全国公共资源交易平台（陕西省·西安市）】的简称，官网地址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"http://sxggzyjy.xa.gov.cn/"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http://sxggzyjy.xa.gov.cn/</w:t>
      </w:r>
      <w:r>
        <w:rPr>
          <w:rStyle w:val="37"/>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w:t>
      </w:r>
    </w:p>
    <w:p w14:paraId="4B519D1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5．企业端：指西安市公共资源交易平台〖首页·〉电子交易平台·〉陕西政府采购交易系统·〉企业端〗，快捷登录网址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"http://www.sxggzyjy.cn:9002/TPBidder/memberLogin"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http://www.sxggzyjy.cn:9002/TPBidder/memberLogin</w:t>
      </w:r>
      <w:r>
        <w:rPr>
          <w:rStyle w:val="37"/>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w:t>
      </w:r>
    </w:p>
    <w:p w14:paraId="4E123636">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二、供应商注意事项</w:t>
      </w:r>
    </w:p>
    <w:p w14:paraId="0F3702AC">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（一）供应商投标流程</w:t>
      </w:r>
    </w:p>
    <w:p w14:paraId="2B7BEC2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使用电子交易系统的采购项目（即线上项目），将同时提供WORD\PDF格式（仅用于预览）和SXSZF格式（用于制作电子投标文件）两个版本，文件内容一致。</w:t>
      </w:r>
    </w:p>
    <w:p w14:paraId="077212A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1．预览采购文件：打开西安市公共资源交易平台〖首页·〉交易大厅·〉政府采购〗栏目，下载和阅读本项目采购文件的预览版本（WORD\PDF格式）；</w:t>
      </w:r>
    </w:p>
    <w:p w14:paraId="2EBB2CB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2．办理注册登记（针对初次使用电子交易系统的用户）：</w:t>
      </w:r>
    </w:p>
    <w:p w14:paraId="17BE471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（1）办理诚信入库注册：在决定参加本项目采购活动后，供应商应先在西安市公共资源交易平台上完成“诚信入库登记”；</w:t>
      </w:r>
    </w:p>
    <w:p w14:paraId="4815602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71978768">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办理须知：</w:t>
      </w:r>
    </w:p>
    <w:p w14:paraId="2F2944FA">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http://</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"http://www.snca.com.cn/channel/show/27.html"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www.snca.com.cn/channel/show/27.html</w:t>
      </w:r>
      <w:r>
        <w:rPr>
          <w:rStyle w:val="37"/>
          <w:rFonts w:hint="eastAsia" w:ascii="宋体" w:hAnsi="宋体" w:eastAsia="宋体" w:cs="宋体"/>
          <w:color w:val="auto"/>
          <w:sz w:val="24"/>
          <w:szCs w:val="24"/>
          <w:highlight w:val="none"/>
          <w:u w:val="none"/>
        </w:rPr>
        <w:fldChar w:fldCharType="end"/>
      </w:r>
    </w:p>
    <w:p w14:paraId="3930ADC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（3）绑定和激活CA：将数字证书与诚信库中的供应商账户进行绑定。</w:t>
      </w:r>
    </w:p>
    <w:p w14:paraId="20DDB5A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2D36812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4．制作电子投标文件：需要使用专用制作软件“新点投标文件制作软件（陕西公共资源）”进行编制，编制完成后使用CA锁对电子投标文件进行签章、加密。详见本章中的“投标文件”相关内容。</w:t>
      </w:r>
    </w:p>
    <w:p w14:paraId="0615D22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5．提交电子投标文件：在提交投标文件截止时间前及时提交加密后电子投标文件，逾期提交的，系统将会拒收；</w:t>
      </w:r>
    </w:p>
    <w:p w14:paraId="49D420C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57B18AE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7．等待专家评审：评审期间，可能需要对评审专家提出的问题进行澄清或答复。在主持人宣布评审结束前，供应商请勿擅自离席，否则由此造成的不利后果，由供应商自行承担。</w:t>
      </w:r>
    </w:p>
    <w:p w14:paraId="1D2BB1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8．中标供应商注册：按照陕西省政府采购监管部门的要求，采购代理机构在发布中标公告前，应由中标供应商在陕西省政府采购网上完成注册。</w:t>
      </w:r>
    </w:p>
    <w:p w14:paraId="09805DDB">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（二）关于询问、质疑和投诉</w:t>
      </w:r>
    </w:p>
    <w:p w14:paraId="64D95514">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1．询问</w:t>
      </w:r>
    </w:p>
    <w:p w14:paraId="5DCFDF9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供应商对政府采购活动事项有疑问的，可以向采购人或采购代理机构提出询问。采购人或采购代理机构将在3个工作日内对供应商依法提出的询问作出答复。</w:t>
      </w:r>
    </w:p>
    <w:p w14:paraId="75EEC67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根据采购人和采购代理机构签订的《政府采购委托代理协议》，针对采购需求（包括采购内容、技术或服务要求、商务要求、合同条款、供应商资格条件、评审要素及分值一览表）的询问请向采购人提出。</w:t>
      </w:r>
    </w:p>
    <w:p w14:paraId="0861686C">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2．质疑</w:t>
      </w:r>
    </w:p>
    <w:p w14:paraId="559496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（1）供应商认为采购文件、采购过程、成交结果使自己的权益受到损害的，可以在知道或应知其权益受到损害之日起7个工作日内以书面形式向采购人、采购代理机构提出。</w:t>
      </w:r>
    </w:p>
    <w:p w14:paraId="7841E0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（2）质疑方式：</w:t>
      </w:r>
    </w:p>
    <w:p w14:paraId="610DC58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在线质疑：</w:t>
      </w:r>
    </w:p>
    <w:p w14:paraId="0F91378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登录西安市公共资源交易平台〖首页·〉电子交易平台·〉企业端〗，在〖我的项目〗中点击“项目流程·〉提出质疑”，填写表单并提交质疑。</w:t>
      </w:r>
    </w:p>
    <w:p w14:paraId="2C7AD55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书面质疑：</w:t>
      </w:r>
    </w:p>
    <w:p w14:paraId="040A7B1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书面质疑函应按照财政部国库司制定的《政府采购供应商质疑函范本》（见下方链接）进行填写，签字、盖章后提交至采购人、采购代理机构。</w:t>
      </w:r>
    </w:p>
    <w:p w14:paraId="72DC9932">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质疑函范本地址：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"http://download.ccgp.gov.cn/2018/zhiyihanfanben.zip"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http://download.ccgp.gov.cn/2018/zhiyihanfanben.zip</w:t>
      </w:r>
      <w:r>
        <w:rPr>
          <w:rStyle w:val="37"/>
          <w:rFonts w:hint="eastAsia" w:ascii="宋体" w:hAnsi="宋体" w:eastAsia="宋体" w:cs="宋体"/>
          <w:color w:val="auto"/>
          <w:sz w:val="24"/>
          <w:szCs w:val="24"/>
          <w:highlight w:val="none"/>
          <w:u w:val="none"/>
        </w:rPr>
        <w:fldChar w:fldCharType="end"/>
      </w:r>
    </w:p>
    <w:p w14:paraId="3D35CE5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0E23B4D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（4）在法定质疑期内，针对同一采购程序环节的质疑应当一次性提出。采购人、采购代理机构将在收到书面质疑后7个工作日内做出答复，并以书面形式通知质疑人和其他有关供应商。</w:t>
      </w:r>
    </w:p>
    <w:p w14:paraId="2702617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（5）有下列情形之一的，属于无效质疑：</w:t>
      </w:r>
    </w:p>
    <w:p w14:paraId="610C9E2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对采购文件提出质疑的质疑人不是依法获取采购文件的潜在供应商；对采购过程、中标结果提出质疑的质疑人不是参与本次政府采购项目的供应商；</w:t>
      </w:r>
    </w:p>
    <w:p w14:paraId="71EBE64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超过法定期限或未以书面形式提出的；</w:t>
      </w:r>
    </w:p>
    <w:p w14:paraId="7861C6E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 缺乏必要的证明材料，或捏造事实、提供虚假材料，或以非法手段取得证明材料的；</w:t>
      </w:r>
    </w:p>
    <w:p w14:paraId="069B206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 质疑函没有合法有效的签字、盖章或委托授权书的（代理人提出质疑和投诉，应当提交供应商签署的授权委托书）；</w:t>
      </w:r>
    </w:p>
    <w:p w14:paraId="53775BC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 针对同一采购程序环节又提出其他质疑事项的，或质疑答复后就同一事项再次提出质疑的；</w:t>
      </w:r>
    </w:p>
    <w:p w14:paraId="279ED80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⑥ 不符合法律、法规、规章和政府采购监管机构规定的其他条件的。</w:t>
      </w:r>
    </w:p>
    <w:p w14:paraId="1C6D517B">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3．投诉</w:t>
      </w:r>
    </w:p>
    <w:p w14:paraId="533B809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（1）质疑供应商对采购人、采购代理机构的答复不满意，或者采购人、采购代理机构未在规定的时间内做出答复的，可以在答复期满后15个工作日内按照《政府采购质疑和投诉办法》（财政部94号令）相关规定向</w:t>
      </w:r>
      <w:r>
        <w:rPr>
          <w:rFonts w:hint="eastAsia" w:ascii="宋体" w:hAnsi="宋体" w:eastAsia="宋体" w:cs="宋体"/>
          <w:color w:val="auto"/>
          <w:sz w:val="24"/>
          <w:szCs w:val="24"/>
          <w:highlight w:val="none"/>
          <w:lang w:eastAsia="zh-CN"/>
        </w:rPr>
        <w:t>同级财政部门</w:t>
      </w:r>
      <w:r>
        <w:rPr>
          <w:rFonts w:hint="eastAsia" w:ascii="宋体" w:hAnsi="宋体" w:eastAsia="宋体" w:cs="宋体"/>
          <w:color w:val="auto"/>
          <w:sz w:val="24"/>
          <w:szCs w:val="24"/>
          <w:highlight w:val="none"/>
        </w:rPr>
        <w:t>提出投诉。</w:t>
      </w:r>
    </w:p>
    <w:p w14:paraId="0C0BDCD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（2）供应商投诉的事项不得超出已质疑事项的范围。供应商提出投诉时，应当提交投诉书和必要的证明材料，并按财政部《投诉书范本》给定的格式进行填写。</w:t>
      </w:r>
    </w:p>
    <w:p w14:paraId="78DDB41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投诉书范本地址：</w:t>
      </w:r>
    </w:p>
    <w:p w14:paraId="6A993DA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"http://download.ccgp.gov.cn/2018/tousushufanben.zip"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rPr>
        <w:t>http://download.ccgp.gov.cn/2018/tousushufanben.zip</w:t>
      </w:r>
      <w:r>
        <w:rPr>
          <w:rStyle w:val="37"/>
          <w:rFonts w:hint="eastAsia" w:ascii="宋体" w:hAnsi="宋体" w:eastAsia="宋体" w:cs="宋体"/>
          <w:color w:val="auto"/>
          <w:sz w:val="24"/>
          <w:szCs w:val="24"/>
          <w:highlight w:val="none"/>
        </w:rPr>
        <w:fldChar w:fldCharType="end"/>
      </w:r>
    </w:p>
    <w:p w14:paraId="19688E9B">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4．恶意质疑、投诉的法律后果</w:t>
      </w:r>
    </w:p>
    <w:p w14:paraId="5B9F19B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（1）对捏造事实、提供虚假材料进行质疑、投诉的行为予以严肃处理：</w:t>
      </w:r>
    </w:p>
    <w:p w14:paraId="20698CE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3C19FB4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（2）对捏造事实诬告陷害他人、诽谤他人的法律适用：</w:t>
      </w:r>
    </w:p>
    <w:p w14:paraId="64086DB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6F6B903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《中华人民共和国刑法》第246条【侮辱罪、诽谤罪】以暴力或者其他方法公然侮辱他人或者捏造事实诽谤他人，情节严重的，处三年以下有期徒刑、拘役、管制或者剥夺政治权利。</w:t>
      </w:r>
    </w:p>
    <w:p w14:paraId="58D7FEDA">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（三）关于保证金</w:t>
      </w:r>
    </w:p>
    <w:p w14:paraId="32AD2DFF">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1．西安市政府采购信用担保及信用融资政策</w:t>
      </w:r>
    </w:p>
    <w:p w14:paraId="288E7CD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72C376E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695BA82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《实施方案》链接地址：</w:t>
      </w:r>
    </w:p>
    <w:p w14:paraId="148949E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"http://xaczj.xa.gov.cn/zfcg/cgfg/5db90552fd850863a9e4594d.html"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http://xaczj.xa.gov.cn/zfcg/cgfg/5db90552fd850863a9e4594d.html</w:t>
      </w:r>
      <w:r>
        <w:rPr>
          <w:rStyle w:val="37"/>
          <w:rFonts w:hint="eastAsia" w:ascii="宋体" w:hAnsi="宋体" w:eastAsia="宋体" w:cs="宋体"/>
          <w:color w:val="auto"/>
          <w:sz w:val="24"/>
          <w:szCs w:val="24"/>
          <w:highlight w:val="none"/>
          <w:u w:val="none"/>
        </w:rPr>
        <w:fldChar w:fldCharType="end"/>
      </w:r>
    </w:p>
    <w:p w14:paraId="7BF0DE2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《合作机构名单》链接地址：</w:t>
      </w:r>
    </w:p>
    <w:p w14:paraId="3E1B5E2B">
      <w:pPr>
        <w:pStyle w:val="106"/>
        <w:keepLines w:val="0"/>
        <w:pageBreakBefore w:val="0"/>
        <w:kinsoku/>
        <w:wordWrap/>
        <w:overflowPunct/>
        <w:topLinePunct w:val="0"/>
        <w:autoSpaceDE/>
        <w:autoSpaceDN/>
        <w:bidi w:val="0"/>
        <w:snapToGrid/>
        <w:spacing w:line="360" w:lineRule="auto"/>
        <w:ind w:firstLine="410" w:firstLineChars="171"/>
        <w:textAlignment w:val="auto"/>
        <w:outlineLvl w:val="9"/>
        <w:rPr>
          <w:rStyle w:val="37"/>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"http://xaczj.xa.gov.cn/zfcg/cgfg/5db9054565cbd804f69e97e0.html"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http://xaczj.xa.gov.cn/zfcg/cgfg/5db9054565cbd804f69e97e0.html</w:t>
      </w:r>
      <w:r>
        <w:rPr>
          <w:rStyle w:val="37"/>
          <w:rFonts w:hint="eastAsia" w:ascii="宋体" w:hAnsi="宋体" w:eastAsia="宋体" w:cs="宋体"/>
          <w:color w:val="auto"/>
          <w:sz w:val="24"/>
          <w:szCs w:val="24"/>
          <w:highlight w:val="none"/>
          <w:u w:val="none"/>
        </w:rPr>
        <w:fldChar w:fldCharType="end"/>
      </w:r>
    </w:p>
    <w:p w14:paraId="58F7E61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color w:val="auto"/>
          <w:sz w:val="24"/>
          <w:szCs w:val="24"/>
          <w:highlight w:val="none"/>
          <w:lang w:eastAsia="zh-CN"/>
        </w:rPr>
        <w:t>。</w:t>
      </w:r>
    </w:p>
    <w:p w14:paraId="787E2FA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联系方式:西安浐灞国际港政府采购信用融资联系人：</w:t>
      </w:r>
      <w:r>
        <w:rPr>
          <w:rFonts w:hint="eastAsia" w:ascii="宋体" w:hAnsi="宋体" w:eastAsia="宋体" w:cs="宋体"/>
          <w:color w:val="auto"/>
          <w:spacing w:val="0"/>
          <w:sz w:val="24"/>
          <w:szCs w:val="24"/>
          <w:highlight w:val="none"/>
        </w:rPr>
        <w:t>王涛  15029991040</w:t>
      </w:r>
    </w:p>
    <w:p w14:paraId="614A16F4">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2．投标保证金</w:t>
      </w:r>
    </w:p>
    <w:p w14:paraId="30FEB2A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按照西安市财政局《关于促进政府采购公平竞争优化营商环境的通知》第三条规定，供应商参与西安市政府采购活动时，免交投标保证金。</w:t>
      </w:r>
    </w:p>
    <w:p w14:paraId="16B09DB9">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3．履约保证金</w:t>
      </w:r>
    </w:p>
    <w:p w14:paraId="70439D8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（1）交纳履约保证金</w:t>
      </w:r>
    </w:p>
    <w:p w14:paraId="45047FE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68559B9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（2）采用履约保函形式时应注意以下事项：</w:t>
      </w:r>
    </w:p>
    <w:p w14:paraId="0080F74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履约保函的受益人为采购人，供应商未能按合同规定履行其义务时，采购人有权从履约保证金中取得补偿。</w:t>
      </w:r>
    </w:p>
    <w:p w14:paraId="662D34F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3E89DC3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 担保金额不少于《投标邀请函》中规定的履约保证金交纳金额；</w:t>
      </w:r>
    </w:p>
    <w:p w14:paraId="0E3F8BC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 保函申请人须与供应商名称一致。若供应商为联合体形式，原则上可由联合体任意一方或多方作为保函申请人，然而对于电子保函，目前只能由下载电子招标文件的一方作为保函申请人。</w:t>
      </w:r>
    </w:p>
    <w:p w14:paraId="20BAF2E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（3）退还履约保证金</w:t>
      </w:r>
    </w:p>
    <w:p w14:paraId="6E1E7FC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5E9D2BBA">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（四）关于联合体</w:t>
      </w:r>
    </w:p>
    <w:p w14:paraId="2B9114D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1．《政府采购促进中小企业发展管理办法》（财库〔2020〕46号）</w:t>
      </w:r>
      <w:r>
        <w:rPr>
          <w:rFonts w:hint="eastAsia" w:ascii="宋体" w:hAnsi="宋体" w:eastAsia="宋体" w:cs="宋体"/>
          <w:color w:val="auto"/>
          <w:sz w:val="24"/>
          <w:szCs w:val="24"/>
          <w:highlight w:val="none"/>
          <w:lang w:eastAsia="zh-CN"/>
        </w:rPr>
        <w:t>、《陕西省财政厅关于进一步落实政府采购支持中小企业相关政策的通知》（陕财办采〔2023〕3号）</w:t>
      </w:r>
      <w:r>
        <w:rPr>
          <w:rFonts w:hint="eastAsia" w:ascii="宋体" w:hAnsi="宋体" w:eastAsia="宋体" w:cs="宋体"/>
          <w:color w:val="auto"/>
          <w:sz w:val="24"/>
          <w:szCs w:val="24"/>
          <w:highlight w:val="none"/>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color w:val="auto"/>
          <w:sz w:val="24"/>
          <w:szCs w:val="24"/>
          <w:highlight w:val="none"/>
          <w:lang w:val="en-US" w:eastAsia="zh-CN"/>
        </w:rPr>
        <w:t>30</w:t>
      </w:r>
      <w:r>
        <w:rPr>
          <w:rFonts w:hint="eastAsia" w:ascii="宋体" w:hAnsi="宋体" w:eastAsia="宋体" w:cs="宋体"/>
          <w:b w:val="0"/>
          <w:bCs w:val="0"/>
          <w:color w:val="auto"/>
          <w:sz w:val="24"/>
          <w:szCs w:val="24"/>
          <w:highlight w:val="none"/>
        </w:rPr>
        <w:t>%</w:t>
      </w:r>
      <w:r>
        <w:rPr>
          <w:rFonts w:hint="eastAsia" w:ascii="宋体" w:hAnsi="宋体" w:eastAsia="宋体" w:cs="宋体"/>
          <w:color w:val="auto"/>
          <w:sz w:val="24"/>
          <w:szCs w:val="24"/>
          <w:highlight w:val="none"/>
        </w:rPr>
        <w:t>以上的，对联合体或者大中型企业的报价给予</w:t>
      </w:r>
      <w:r>
        <w:rPr>
          <w:rFonts w:hint="eastAsia" w:ascii="宋体" w:hAnsi="宋体" w:eastAsia="宋体" w:cs="宋体"/>
          <w:b w:val="0"/>
          <w:bCs w:val="0"/>
          <w:color w:val="auto"/>
          <w:sz w:val="24"/>
          <w:szCs w:val="24"/>
          <w:highlight w:val="none"/>
        </w:rPr>
        <w:t>4%—6%</w:t>
      </w:r>
      <w:r>
        <w:rPr>
          <w:rFonts w:hint="eastAsia" w:ascii="宋体" w:hAnsi="宋体" w:eastAsia="宋体" w:cs="宋体"/>
          <w:color w:val="auto"/>
          <w:sz w:val="24"/>
          <w:szCs w:val="24"/>
          <w:highlight w:val="none"/>
        </w:rPr>
        <w:t>（工程项目为1%~2%）的扣除，用扣除后的价格参加评审。</w:t>
      </w:r>
    </w:p>
    <w:p w14:paraId="78E10F0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6C41869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5B69330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4．供应商以联合体形式参加政府采购活动时，遵循以下规则：</w:t>
      </w:r>
    </w:p>
    <w:p w14:paraId="138DDA8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5C4726B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05CF498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 采用资格前审的项目，联合体应当在提交资格前审申请文件前组成。资格前审后联合体不得增减、更换成员。</w:t>
      </w:r>
    </w:p>
    <w:p w14:paraId="3F74238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 资格审查阶段，采购人将对所有联合体成员进行信用记录查询，联合体成员存在不良信用记录的，视同联合体存在不良信用记录。</w:t>
      </w:r>
    </w:p>
    <w:p w14:paraId="048E164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 招标文件要求供应商交纳保证金的，可以由联合体中的一方或者多方共同交纳保证金，其交纳的保证金对联合体各方均具有约束力。</w:t>
      </w:r>
    </w:p>
    <w:p w14:paraId="1EE3821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⑥ 招标文件要求供应商提供履约人员和设备情况的，联合体各方均应提供，以说明其作为独立供应商所具有的能有效执行合同的能力和资源。</w:t>
      </w:r>
    </w:p>
    <w:p w14:paraId="18D968A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⑦ 招标文件要求供应商提供同类或类似项目业绩的，联合体各方符合招标文件要求的同类或类似业绩可以累计，但联合体一方或多方共同参与的同一业绩不重复计算。</w:t>
      </w:r>
    </w:p>
    <w:p w14:paraId="3E68DE7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7ACF678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⑨ 对采购项目提出投诉时，应当由组成联合体的所有供应商共同提出。</w:t>
      </w:r>
    </w:p>
    <w:p w14:paraId="3616326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（5）联合体出现下列情形之一的，联合体投标无效：</w:t>
      </w:r>
    </w:p>
    <w:p w14:paraId="28138F4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没有提交有效的联合体协议的；</w:t>
      </w:r>
    </w:p>
    <w:p w14:paraId="071B447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组成联合体的大中型企业和其他自然人、法人或者其他组织，与小型、微型企业之间存在投资关系的；</w:t>
      </w:r>
    </w:p>
    <w:p w14:paraId="53EFD60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 联合体协议签订后，联合体成员单独参加或者与其他供应商另外组成联合体参加同一合同项下的政府采购活动的；</w:t>
      </w:r>
    </w:p>
    <w:p w14:paraId="1295587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 资格前审后联合体增减、更换成员的；</w:t>
      </w:r>
    </w:p>
    <w:p w14:paraId="6BFD248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 联合体成员因存在不良信用记录，被拒绝其参与政府采购活动的。</w:t>
      </w:r>
    </w:p>
    <w:p w14:paraId="37D66832">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（五）关于进口产品</w:t>
      </w:r>
    </w:p>
    <w:p w14:paraId="16B1C05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3F538F8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44AAFA83">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（六）关于政府采购政策</w:t>
      </w:r>
    </w:p>
    <w:p w14:paraId="0B4939CC">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1．对中小企业、监狱企业、残疾人福利性单位的优惠政策</w:t>
      </w:r>
    </w:p>
    <w:p w14:paraId="5CC0960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的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58CD7A9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（2）根据财政部、司法部联合下发的《关于政府采购支持监狱企业发展有关问题的通知》（财库〔2014〕68号）的规定，监狱企业视同小型、微型企业。</w:t>
      </w:r>
    </w:p>
    <w:p w14:paraId="1BDD284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5708F89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4CFD7381">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2．节能、环保产品采购政策</w:t>
      </w:r>
    </w:p>
    <w:p w14:paraId="60909F3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5835FFC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73A44A5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（3）《节能产品政府采购品目清单》见财政部、发展改革委《关于印发节能产品政府采购品目清单的通知》（财库〔2019〕19号）附件。</w:t>
      </w:r>
    </w:p>
    <w:p w14:paraId="2BE5875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（4）《环境标志产品政府采购品目清单》见财政部、生态环境部《关于印发环境标志产品政府采购品目清单的通知》（财库〔2019〕18号）附件。</w:t>
      </w:r>
    </w:p>
    <w:p w14:paraId="661902C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highlight w:val="none"/>
          <w:lang w:eastAsia="zh-CN"/>
        </w:rPr>
      </w:pPr>
      <w:r>
        <w:rPr>
          <w:rFonts w:hint="eastAsia" w:ascii="宋体" w:hAnsi="宋体" w:eastAsia="宋体" w:cs="宋体"/>
          <w:color w:val="auto"/>
          <w:sz w:val="24"/>
          <w:szCs w:val="24"/>
          <w:highlight w:val="none"/>
        </w:rPr>
        <w:t>（5）“国家确定的认证机构”名单见市场监管总局《关于发布参与实施政府采购节能产品、环境标志产品认证机构名录的公告》（2019年第16号）。</w:t>
      </w:r>
    </w:p>
    <w:p w14:paraId="5107EF54">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陕西省中小企业政府采购信用融资办法</w:t>
      </w:r>
    </w:p>
    <w:p w14:paraId="113AC53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70119761">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链接地址：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"http://www.ccgp-shaanxi.gov.cn/zcdservice/zcd/shanxi/article/zcdt/1390497710741917696"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http://www.ccgp-shaanxi.gov.cn/zcdservice/zcd/shanxi/article/zcdt/1390497710741917696</w:t>
      </w:r>
      <w:r>
        <w:rPr>
          <w:rStyle w:val="37"/>
          <w:rFonts w:hint="eastAsia" w:ascii="宋体" w:hAnsi="宋体" w:eastAsia="宋体" w:cs="宋体"/>
          <w:color w:val="auto"/>
          <w:sz w:val="24"/>
          <w:szCs w:val="24"/>
          <w:highlight w:val="none"/>
          <w:u w:val="none"/>
        </w:rPr>
        <w:fldChar w:fldCharType="end"/>
      </w:r>
    </w:p>
    <w:p w14:paraId="5E7FFB74">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（七）关于现场踏勘和集中答疑</w:t>
      </w:r>
    </w:p>
    <w:p w14:paraId="32BF2BE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采购人可以根据项目实际情况决定是否组织现场踏勘\标前集中答疑。投标邀请函中明确载明安排上述活动的，各供应商应派出技术、预算等相关人员，在招标文件约定的时间、地点参加现场踏勘\标前集中答疑。</w:t>
      </w:r>
    </w:p>
    <w:p w14:paraId="04DE27B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2329ED7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凡未参加现场踏勘和集中答疑的供应商，由此带来的不利后果由该供应商自行承担。</w:t>
      </w:r>
    </w:p>
    <w:p w14:paraId="6518BB7C">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（八）关于同一品牌产品的处理</w:t>
      </w:r>
    </w:p>
    <w:p w14:paraId="39CA0A1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6F76582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13955C8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3．非单一产品采购项目，采购人将根据采购项目技术构成、产品价格比重等因素确定核心产品（可能不止一种），并在采购文件中载明。多家供应商提供的核心产品全部采用相同品牌的，按一家供应商计算。</w:t>
      </w:r>
    </w:p>
    <w:p w14:paraId="719E1850">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（九）关于知识产权和保密事项</w:t>
      </w:r>
    </w:p>
    <w:p w14:paraId="7CF9740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1．所有涉及知识产权的产品及设计，供应商必须确保委托人、采购人拥有其合法的、不受限制的无偿使用权，并免受任何侵权诉讼或索偿；否则，由此产生的一切经济损失和法律责任由供应商承担。</w:t>
      </w:r>
    </w:p>
    <w:p w14:paraId="78471AF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708F19A6">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（十）关于信用记录的查询和使用</w:t>
      </w:r>
    </w:p>
    <w:p w14:paraId="7C26B52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1．根据财政部《关于在政府采购活动中查询及使用信用记录有关问题的通知》（财库〔2016〕125号）第二条有关要求，采购人将在资格审查阶段通过【信用中国】（</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"https://www.creditchina.gov.cn"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https://www.creditchina.gov.cn</w:t>
      </w:r>
      <w:r>
        <w:rPr>
          <w:rStyle w:val="37"/>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/）和【中国政府采购网】（</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"http://www.ccgp.gov.cn/"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http://www.ccgp.gov.cn/）</w:t>
      </w:r>
      <w:r>
        <w:rPr>
          <w:rStyle w:val="37"/>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对供应商的信用情况进行甄别。</w:t>
      </w:r>
    </w:p>
    <w:p w14:paraId="0192E35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2．对列入失信被执行人、</w:t>
      </w:r>
      <w:r>
        <w:rPr>
          <w:rFonts w:hint="eastAsia" w:ascii="宋体" w:hAnsi="宋体" w:eastAsia="宋体" w:cs="宋体"/>
          <w:color w:val="auto"/>
          <w:sz w:val="24"/>
          <w:szCs w:val="24"/>
          <w:highlight w:val="none"/>
          <w:lang w:eastAsia="zh-CN"/>
        </w:rPr>
        <w:t>重大税收违法失信主体</w:t>
      </w:r>
      <w:r>
        <w:rPr>
          <w:rFonts w:hint="eastAsia" w:ascii="宋体" w:hAnsi="宋体" w:eastAsia="宋体" w:cs="宋体"/>
          <w:color w:val="auto"/>
          <w:sz w:val="24"/>
          <w:szCs w:val="24"/>
          <w:highlight w:val="none"/>
        </w:rPr>
        <w:t>、政府采购严重违法失信行为记录名单及其他不符合《中华人民共和国政府采购法》第二十二条规定条件的供应商，将拒绝其参与政府采购活动。</w:t>
      </w:r>
    </w:p>
    <w:p w14:paraId="5A272A2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3．供应商在参加政府采购活动前3年内因违法经营被禁止在一定期限内参加政府采购活动，期限届满的，可以参加政府采购活动的，但供应商应提供相关证明材料。</w:t>
      </w:r>
    </w:p>
    <w:p w14:paraId="310C6A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4．信用记录查询结果打印后，将与其他采购文件一并保存。</w:t>
      </w:r>
    </w:p>
    <w:p w14:paraId="25D904A3">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（十一）其他重要事项</w:t>
      </w:r>
    </w:p>
    <w:p w14:paraId="0F278DA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1．招标文件内所附网络链接仅供参考，不保证其长期有效性。</w:t>
      </w:r>
    </w:p>
    <w:p w14:paraId="743A8F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2．供应商的投标费用自理。</w:t>
      </w:r>
    </w:p>
    <w:p w14:paraId="611CE4A4">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三、招标文件</w:t>
      </w:r>
    </w:p>
    <w:p w14:paraId="5C736032">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（一）招标文件的解释权</w:t>
      </w:r>
    </w:p>
    <w:p w14:paraId="39BE394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本项目招标文件的解释权归采购代理机构，评标委员会成员应根据政府采购法律法规和招标文件所载明的评审方法、标准进行评审。</w:t>
      </w:r>
    </w:p>
    <w:p w14:paraId="736AAC7F">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（二）招标文件主要内容</w:t>
      </w:r>
    </w:p>
    <w:p w14:paraId="3C9B277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第1章  </w:t>
      </w:r>
      <w:r>
        <w:rPr>
          <w:rFonts w:hint="eastAsia" w:ascii="宋体" w:hAnsi="宋体" w:eastAsia="宋体" w:cs="宋体"/>
          <w:color w:val="auto"/>
          <w:sz w:val="24"/>
          <w:szCs w:val="24"/>
          <w:highlight w:val="none"/>
          <w:lang w:eastAsia="zh-CN"/>
        </w:rPr>
        <w:t>招标公告</w:t>
      </w:r>
    </w:p>
    <w:p w14:paraId="36E7AAE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第2章  供应商须知</w:t>
      </w:r>
    </w:p>
    <w:p w14:paraId="706FEEF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第3章  招标内容及要求</w:t>
      </w:r>
    </w:p>
    <w:p w14:paraId="17100C6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第4章  </w:t>
      </w:r>
      <w:r>
        <w:rPr>
          <w:rFonts w:hint="eastAsia" w:ascii="宋体" w:hAnsi="宋体" w:eastAsia="宋体" w:cs="宋体"/>
          <w:color w:val="auto"/>
          <w:sz w:val="24"/>
          <w:szCs w:val="24"/>
          <w:highlight w:val="none"/>
          <w:lang w:eastAsia="zh-CN"/>
        </w:rPr>
        <w:t>商务及</w:t>
      </w:r>
      <w:r>
        <w:rPr>
          <w:rFonts w:hint="eastAsia" w:ascii="宋体" w:hAnsi="宋体" w:eastAsia="宋体" w:cs="宋体"/>
          <w:color w:val="auto"/>
          <w:sz w:val="24"/>
          <w:szCs w:val="24"/>
          <w:highlight w:val="none"/>
        </w:rPr>
        <w:t>合同文本</w:t>
      </w:r>
    </w:p>
    <w:p w14:paraId="5C938C3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第5章  投标文件构成及格式</w:t>
      </w:r>
    </w:p>
    <w:p w14:paraId="6749DC20">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（三）招标文件的检查及阅读</w:t>
      </w:r>
    </w:p>
    <w:p w14:paraId="0A1956C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供应商应认真阅读和充分理解招标文件中所有的事项、格式条款和规范要求，在投标文件中对招标文件做出全面响应，并按招标文件的要求提交全部资料。</w:t>
      </w:r>
    </w:p>
    <w:p w14:paraId="6A342E4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项目废标后重新组织招标的，采购代理机构将重新编制、发布新版招标文件，供应商应按新版招标文件重新编制投标文件。原招标文件及投标文件失效。</w:t>
      </w:r>
    </w:p>
    <w:p w14:paraId="3841B718">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（四）招标文件的修改、澄清</w:t>
      </w:r>
    </w:p>
    <w:p w14:paraId="6A42DD9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1．提交投标文件截止之日前，采购人或采购代理机构可能对已发出的招标文件进行澄清或者修改，澄清或者修改的内容为招标文件的组成部分。</w:t>
      </w:r>
    </w:p>
    <w:p w14:paraId="121A35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2．当需要澄清或修改时，采购代理机构将在提交投标文件截止之日15日前，在财政部门指定的“政府采购信息发布媒体”上发布变更公告；不足15日的，将顺延提交投标文件截止时间。</w:t>
      </w:r>
    </w:p>
    <w:p w14:paraId="584CC0D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7941D14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4．请各供应商在提交投标文件截止时间之前，务必随时关注“政府采购信息发布媒体”上发布的变更公告，采购代理机构不再另行通知，因供应商未及时关注所造成的一切后果由供应商自行承担：</w:t>
      </w:r>
    </w:p>
    <w:p w14:paraId="2503685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"http://www.ccgp-shaanxi.gov.cn"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陕西省政府采购网</w:t>
      </w:r>
      <w:r>
        <w:rPr>
          <w:rStyle w:val="37"/>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"http://www.ccgp-shaanxi.gov.cn/"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http://www.ccgp-shaanxi.gov.cn/</w:t>
      </w:r>
      <w:r>
        <w:rPr>
          <w:rStyle w:val="37"/>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）中的〖首页·〉信息公告·〉市级·〉西安市〗；</w:t>
      </w:r>
    </w:p>
    <w:p w14:paraId="430E783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"http://xa.sxggzyjy.cn/"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全国公共资源交易网（陕西省·西安市）</w:t>
      </w:r>
      <w:r>
        <w:rPr>
          <w:rStyle w:val="37"/>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"http://sxggzyjy.xa.gov.cn/"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http://sxggzyjy.xa.gov.cn/</w:t>
      </w:r>
      <w:r>
        <w:rPr>
          <w:rStyle w:val="37"/>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）中的〖首页·〉交易大厅·〉政府采购〗。</w:t>
      </w:r>
    </w:p>
    <w:p w14:paraId="13DA3909">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四、投标文件</w:t>
      </w:r>
    </w:p>
    <w:p w14:paraId="49051455">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（一）投标文件的式样</w:t>
      </w:r>
    </w:p>
    <w:p w14:paraId="01C6FE3F">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1．组成及格式</w:t>
      </w:r>
    </w:p>
    <w:p w14:paraId="2C11C11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供应商依照招标文件第五章《投标文件构成及格式》给定形式进行编制投标文件。项目分标段的，应按所投标段分别准备投标文件。</w:t>
      </w:r>
    </w:p>
    <w:p w14:paraId="6D4E60D6">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2．语言</w:t>
      </w:r>
    </w:p>
    <w:p w14:paraId="7919021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招标活动的所有文件、资料、函电文字均使用简体中文，确需提交用其他语言形成的资料，必须翻译成简体中文，如有差异，以简体中文为准。</w:t>
      </w:r>
    </w:p>
    <w:p w14:paraId="1A2A9A86">
      <w:pPr>
        <w:pStyle w:val="97"/>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3．计量单位</w:t>
      </w:r>
    </w:p>
    <w:p w14:paraId="4DB5DED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投标文件的计量单位应使用中华人民共和国法定计量单位，但招标文件另有规定的除外。</w:t>
      </w:r>
    </w:p>
    <w:p w14:paraId="09386F79">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（二）投标文件的有效期</w:t>
      </w:r>
    </w:p>
    <w:p w14:paraId="512EC0A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投标文件有效期为自开标之日起不少于90个日历日。如中标，延长至合同执行完毕时止。</w:t>
      </w:r>
    </w:p>
    <w:p w14:paraId="36EC0155">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（三）投标报价</w:t>
      </w:r>
    </w:p>
    <w:p w14:paraId="00B403A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color w:val="auto"/>
          <w:highlight w:val="none"/>
        </w:rPr>
      </w:pPr>
      <w:r>
        <w:rPr>
          <w:rFonts w:hint="eastAsia" w:ascii="宋体" w:hAnsi="宋体" w:eastAsia="宋体" w:cs="宋体"/>
          <w:color w:val="auto"/>
          <w:sz w:val="24"/>
          <w:szCs w:val="24"/>
          <w:highlight w:val="none"/>
          <w:lang w:val="en-US" w:eastAsia="zh-CN"/>
        </w:rPr>
        <w:t>本项目报价包括但不限于货物价款、人工费、包装费、运输费、装卸费、保险费、验收费、招标代理服务费、利润、风险、税金等在项目实施过程中所发生的所有费用，任何错报、漏报由供应商自行负责。</w:t>
      </w:r>
    </w:p>
    <w:p w14:paraId="1746854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供应商在报价时应充分考虑所有可能发生的费用，</w:t>
      </w:r>
      <w:r>
        <w:rPr>
          <w:rFonts w:hint="eastAsia" w:ascii="宋体" w:hAnsi="宋体" w:eastAsia="宋体" w:cs="宋体"/>
          <w:color w:val="auto"/>
          <w:sz w:val="24"/>
          <w:szCs w:val="24"/>
          <w:highlight w:val="none"/>
        </w:rPr>
        <w:t>招标文件未列明，而供应商认为应当计取的费用均应列入报价中。报价时不论是否计取，采购人均按已计取对待。</w:t>
      </w:r>
    </w:p>
    <w:p w14:paraId="42D33F3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14:paraId="308DABB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3．投标报价货币：人民币；单位：元。</w:t>
      </w:r>
    </w:p>
    <w:p w14:paraId="3AD26A6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4．投标文件报价出现前后不一致的，除招标文件另有规定外，按照下列规则修正：</w:t>
      </w:r>
    </w:p>
    <w:p w14:paraId="7021123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（1）投标文件中开标一览表内容与投标文件中其他位置相应内容表述不一致的，以开标一览表为准；</w:t>
      </w:r>
    </w:p>
    <w:p w14:paraId="5374CF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（2）大写金额和小写金额不一致的，以大写金额为准；</w:t>
      </w:r>
    </w:p>
    <w:p w14:paraId="50D3D3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（3）单价金额小数点或者百分比有明显错位的，以开标一览表的总价为准，并修改单价；</w:t>
      </w:r>
    </w:p>
    <w:p w14:paraId="79E936E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（4）总价金额与按单价汇总金额不一致的，以单价金额计算结果为准。</w:t>
      </w:r>
    </w:p>
    <w:p w14:paraId="30ED13E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同时出现两种以上不一致的，按照前款规定的顺序修正。修正后的报价经供应商确认后产生约束力，供应商不确认的，其投标无效。</w:t>
      </w:r>
    </w:p>
    <w:p w14:paraId="17C00B8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5．因供应商对招标文件理解不透、误解、疏漏或对市场行情了解不清造成的后果和风险，均由供应商自己负责。</w:t>
      </w:r>
    </w:p>
    <w:p w14:paraId="0F63C8DF">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（四）投标文件的制作和签章</w:t>
      </w:r>
    </w:p>
    <w:p w14:paraId="2147796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color w:val="auto"/>
          <w:sz w:val="24"/>
          <w:szCs w:val="24"/>
          <w:highlight w:val="none"/>
        </w:rPr>
        <w:t>政府采购项目投标文件制作软件及操作手册</w:t>
      </w:r>
      <w:r>
        <w:rPr>
          <w:rFonts w:hint="eastAsia" w:ascii="宋体" w:hAnsi="宋体" w:eastAsia="宋体" w:cs="宋体"/>
          <w:color w:val="auto"/>
          <w:sz w:val="24"/>
          <w:szCs w:val="24"/>
          <w:highlight w:val="none"/>
        </w:rPr>
        <w:t>》。</w:t>
      </w:r>
    </w:p>
    <w:p w14:paraId="786EF8C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链接地址：</w:t>
      </w:r>
    </w:p>
    <w:p w14:paraId="1CAA20E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"http://sxggzyjy.xa.gov.cn/fwzn/004003/20181115/4d59c184-e8f6-4d5a-a416-c2f6b0601e66.html"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rPr>
        <w:t>http://sxggzyjy.xa.gov.cn/fwzn/004003/20181115/4d59c184-e8f6-4d5a-a416-c2f6b0601e66.html</w:t>
      </w:r>
      <w:r>
        <w:rPr>
          <w:rStyle w:val="37"/>
          <w:rFonts w:hint="eastAsia" w:ascii="宋体" w:hAnsi="宋体" w:eastAsia="宋体" w:cs="宋体"/>
          <w:color w:val="auto"/>
          <w:sz w:val="24"/>
          <w:szCs w:val="24"/>
          <w:highlight w:val="none"/>
        </w:rPr>
        <w:fldChar w:fldCharType="end"/>
      </w:r>
    </w:p>
    <w:p w14:paraId="3C4425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2．编制电子投标文件前，</w:t>
      </w:r>
      <w:r>
        <w:rPr>
          <w:rFonts w:hint="eastAsia" w:ascii="宋体" w:hAnsi="宋体" w:eastAsia="宋体" w:cs="宋体"/>
          <w:b/>
          <w:bCs/>
          <w:color w:val="auto"/>
          <w:sz w:val="24"/>
          <w:szCs w:val="24"/>
          <w:highlight w:val="none"/>
        </w:rPr>
        <w:t>务必先做好电子招标文件的备份工作</w:t>
      </w:r>
      <w:r>
        <w:rPr>
          <w:rFonts w:hint="eastAsia" w:ascii="宋体" w:hAnsi="宋体" w:eastAsia="宋体" w:cs="宋体"/>
          <w:color w:val="auto"/>
          <w:sz w:val="24"/>
          <w:szCs w:val="24"/>
          <w:highlight w:val="none"/>
        </w:rPr>
        <w:t>。然后按操作手册中给出的方法将电子招标文件（*.SXSZF）或答疑文件（*.SXSCF，即更新后的电子招标文件）导入制作软件，最后按照章节分别编制投标文件各个部分。</w:t>
      </w:r>
    </w:p>
    <w:p w14:paraId="266BD74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再次提醒</w:t>
      </w:r>
      <w:r>
        <w:rPr>
          <w:rFonts w:hint="eastAsia" w:ascii="宋体" w:hAnsi="宋体" w:eastAsia="宋体" w:cs="宋体"/>
          <w:color w:val="auto"/>
          <w:sz w:val="24"/>
          <w:szCs w:val="24"/>
          <w:highlight w:val="none"/>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color w:val="auto"/>
          <w:sz w:val="24"/>
          <w:szCs w:val="24"/>
          <w:highlight w:val="none"/>
        </w:rPr>
        <w:t>使用旧版电子招标文件制作的电子投标文件（*.SXSTF），系统将拒绝接收。</w:t>
      </w:r>
    </w:p>
    <w:p w14:paraId="557C4BC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3．电子投标文件制作过程中，需要法定代表人签字或盖章的地方，请使用“法人CA锁”进行签章；需要加盖供应商公章的地方，请使用“企业CA锁”进行签章。</w:t>
      </w:r>
    </w:p>
    <w:p w14:paraId="2B6D74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14:paraId="129B63ED">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（五）投标文件的加密和提交</w:t>
      </w:r>
    </w:p>
    <w:p w14:paraId="4B8F264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1．在生成电子投标文件时，需要使用CA锁对投标文件进行加密。</w:t>
      </w:r>
    </w:p>
    <w:p w14:paraId="701F21C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注意：加密投标文件和开标时解密投标文件应当使用同一CA，否则将会导致解密失败。</w:t>
      </w:r>
    </w:p>
    <w:p w14:paraId="0DDF4D0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1AEAA1C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3．上传文件有误或需要重新提交的，可先撤销已经上传的文件，然后重新上传新文件。</w:t>
      </w:r>
    </w:p>
    <w:p w14:paraId="28F4A4A4">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（六）投标文件的补充、修改和撤回</w:t>
      </w:r>
    </w:p>
    <w:p w14:paraId="289081F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623AB6C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2．供应商在提交投标文件截止时间后，撤回投标文件的，投标保证金不予退还。</w:t>
      </w:r>
    </w:p>
    <w:p w14:paraId="5F0E3FD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1758C739">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（七）关于投标文件的雷同性分析</w:t>
      </w:r>
    </w:p>
    <w:p w14:paraId="42F6587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2D6B784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1CA052E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10E466C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若“文件创建标识码”一致，则表示不同投标供应商使用投标文件制作软件时，使用同一源工程文件，该情形建议由评标委员会结合项目情况综合判定。</w:t>
      </w:r>
    </w:p>
    <w:p w14:paraId="561FB4E3">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（八）投标文件被拒绝接收的情形</w:t>
      </w:r>
    </w:p>
    <w:p w14:paraId="48709E2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1．误投的或采用旧版电子招标文件制作的；</w:t>
      </w:r>
    </w:p>
    <w:p w14:paraId="6FF3673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2．逾期提交电子投标文件的。</w:t>
      </w:r>
    </w:p>
    <w:p w14:paraId="3E230976">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五、开标程序</w:t>
      </w:r>
    </w:p>
    <w:p w14:paraId="4526378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开标工作由采购代理机构组织实施，整个过程受同级政府采购监管机构的监督、管理。</w:t>
      </w:r>
    </w:p>
    <w:p w14:paraId="19FA1DD7">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[适用于不见面开标项目]</w:t>
      </w:r>
    </w:p>
    <w:p w14:paraId="5ACD92EB">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（一）“不见面开标”基本流程</w:t>
      </w:r>
    </w:p>
    <w:p w14:paraId="7CC8240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“不见面开标”是依托政府采购云平台实现的供应商在线参与开标的一种组织形式。供应商无需抵达开标现场，即可在线实现开标、解密、澄清等操作。</w:t>
      </w:r>
    </w:p>
    <w:p w14:paraId="68E1308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1．供应商登录：开标前，请各供应商至少提前半小时登录西安市公共资源交易平台〖首页·〉不见面开标〗系统。</w:t>
      </w:r>
    </w:p>
    <w:p w14:paraId="6561A77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2．主持人宣布开标：提交投标文件截止时间过后，系统将不再接收任何投标文件。</w:t>
      </w:r>
    </w:p>
    <w:p w14:paraId="18B066E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3．解密投标文件：供应商在收到主持人“开始解密”指令后，应使用“加密该投标文件的CA锁（</w:t>
      </w:r>
      <w:r>
        <w:rPr>
          <w:rFonts w:hint="eastAsia" w:ascii="宋体" w:hAnsi="宋体" w:eastAsia="宋体" w:cs="宋体"/>
          <w:b/>
          <w:bCs/>
          <w:color w:val="auto"/>
          <w:sz w:val="24"/>
          <w:szCs w:val="24"/>
          <w:highlight w:val="none"/>
        </w:rPr>
        <w:t>必须是同一把锁</w:t>
      </w:r>
      <w:r>
        <w:rPr>
          <w:rFonts w:hint="eastAsia" w:ascii="宋体" w:hAnsi="宋体" w:eastAsia="宋体" w:cs="宋体"/>
          <w:color w:val="auto"/>
          <w:sz w:val="24"/>
          <w:szCs w:val="24"/>
          <w:highlight w:val="none"/>
        </w:rPr>
        <w:t>）”在线完成投标文件解密。除因【西安市公共资源交易中心】断电、断网、系统故障及其他不可抗力等因素，导致“不见面开标”系统无法正常运行外，供应商应在规定的解密时间内完成解密。</w:t>
      </w:r>
    </w:p>
    <w:p w14:paraId="2F161FF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4．唱标：对于公开招标项目，“不见面开标”系统将自动展示供应商名单及其投标报价。</w:t>
      </w:r>
    </w:p>
    <w:p w14:paraId="6368916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5．开标结束：进入评审环节。供应商请保持在线，评审期间评标委员会可能会要求供应商做相应的澄清。因供应商擅自离席造成的不利后果，由供应商自行承担。</w:t>
      </w:r>
    </w:p>
    <w:p w14:paraId="3A37A61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“不见面开标”系统操作说明：详见西安市公共资源交易平台〖首页·〉服务指南·〉下载专区〗中的《</w:t>
      </w:r>
      <w:r>
        <w:rPr>
          <w:rFonts w:hint="eastAsia" w:ascii="宋体" w:hAnsi="宋体" w:eastAsia="宋体" w:cs="宋体"/>
          <w:b/>
          <w:bCs/>
          <w:color w:val="auto"/>
          <w:sz w:val="24"/>
          <w:szCs w:val="24"/>
          <w:highlight w:val="none"/>
        </w:rPr>
        <w:t>西安公共资源交易不见面开标大厅供应商操作手册</w:t>
      </w:r>
      <w:r>
        <w:rPr>
          <w:rFonts w:hint="eastAsia" w:ascii="宋体" w:hAnsi="宋体" w:eastAsia="宋体" w:cs="宋体"/>
          <w:color w:val="auto"/>
          <w:sz w:val="24"/>
          <w:szCs w:val="24"/>
          <w:highlight w:val="none"/>
        </w:rPr>
        <w:t>》。</w:t>
      </w:r>
    </w:p>
    <w:p w14:paraId="3FC4F5AB">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7"/>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rPr>
        <w:t>链接地址：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"http://sxggzyjy.xa.gov.cn/fwzn/004003/20200426/bc8b2c1e-abe2-4168-913c-68ff93345faf.html"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http://sxggzyjy.xa.gov.cn/fwzn/004003/20200426/bc8b2c1e-abe2-4168-913c-68ff93345faf.html</w:t>
      </w:r>
      <w:r>
        <w:rPr>
          <w:rStyle w:val="37"/>
          <w:rFonts w:hint="eastAsia" w:ascii="宋体" w:hAnsi="宋体" w:eastAsia="宋体" w:cs="宋体"/>
          <w:color w:val="auto"/>
          <w:sz w:val="24"/>
          <w:szCs w:val="24"/>
          <w:highlight w:val="none"/>
          <w:u w:val="none"/>
        </w:rPr>
        <w:fldChar w:fldCharType="end"/>
      </w:r>
    </w:p>
    <w:p w14:paraId="796612E3">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（二）开标环节投标文件视为无效的情形</w:t>
      </w:r>
    </w:p>
    <w:p w14:paraId="0382CAA1">
      <w:pPr>
        <w:pStyle w:val="2"/>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1．供应商放弃或拒绝对电子投标文件进行解密的；</w:t>
      </w:r>
    </w:p>
    <w:p w14:paraId="223B4104">
      <w:pPr>
        <w:pStyle w:val="2"/>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2．因供应商自身原因，导致未在规定的解密时限内完整解密的，如忘带CA锁、或携带的CA锁与加密文件的CA锁不同、或使用旧版招标文件编制投标文件等情形；</w:t>
      </w:r>
    </w:p>
    <w:p w14:paraId="3070731E">
      <w:pPr>
        <w:pStyle w:val="2"/>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3．上传的电子投标文件无法正常打开的；</w:t>
      </w:r>
    </w:p>
    <w:p w14:paraId="6CAB9827">
      <w:pPr>
        <w:pStyle w:val="2"/>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4．政府采购法律法规规定的其他无效情形。</w:t>
      </w:r>
    </w:p>
    <w:p w14:paraId="1FD8FB9A">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（三）开标环节投标文件视为无效的情形</w:t>
      </w:r>
    </w:p>
    <w:p w14:paraId="782DCCE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1．供应商放弃或拒绝对电子投标文件进行解密的；</w:t>
      </w:r>
    </w:p>
    <w:p w14:paraId="2708CC0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2．因供应商自身原因，导致未在规定的解密时限内完整解密的，如忘带CA锁、或携带的CA锁与加密文件的CA锁不同、或使用旧版招标文件编制投标文件等情形；</w:t>
      </w:r>
    </w:p>
    <w:p w14:paraId="5BCAF46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3．上传的电子投标文件无法正常打开的；</w:t>
      </w:r>
    </w:p>
    <w:p w14:paraId="2C8FF24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4．政府采购法律法规规定的其他无效情形。</w:t>
      </w:r>
    </w:p>
    <w:p w14:paraId="28B3305F">
      <w:pPr>
        <w:pStyle w:val="98"/>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（四）突发状况的应急处置</w:t>
      </w:r>
    </w:p>
    <w:p w14:paraId="0BA1353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在开评标过程中，如因停电、断网、电子化系统故障等特殊原因导致电子化开、评标工作无法正常进行时，采购代理机构将及时汇报政府采购监管部门，并等待或中止后续活动。</w:t>
      </w:r>
    </w:p>
    <w:p w14:paraId="1659BDE1">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六、资格审查</w:t>
      </w:r>
    </w:p>
    <w:p w14:paraId="02871D35">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7F180147">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供应商提供的资格证明文件缺少任何一项或有任何一项不满足，都将被视为无效投标。供应商所提供的资格证明文件应图文清晰、易于辨识，否则由此带来的不利后果由供应商自行承担。</w:t>
      </w:r>
    </w:p>
    <w:p w14:paraId="5B7EA3DA">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资格审查结束后，资格审查小组成员应当对审查结果进行签字确认；对未通过资格审查的供应商，资格审查小组应当场告知其未通过的原因。</w:t>
      </w:r>
    </w:p>
    <w:p w14:paraId="67CEC6DC">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合格供应商不足3家的，不得评标。</w:t>
      </w:r>
    </w:p>
    <w:p w14:paraId="23C22221">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〖资格性审查表〗</w:t>
      </w:r>
    </w:p>
    <w:tbl>
      <w:tblPr>
        <w:tblStyle w:val="30"/>
        <w:tblW w:w="499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5"/>
        <w:gridCol w:w="2790"/>
        <w:gridCol w:w="6411"/>
      </w:tblGrid>
      <w:tr w14:paraId="2DC2F9B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tcBorders>
              <w:top w:val="single" w:color="auto" w:sz="12" w:space="0"/>
              <w:bottom w:val="single" w:color="auto" w:sz="2" w:space="0"/>
            </w:tcBorders>
            <w:shd w:val="clear" w:color="auto" w:fill="F1F1F1"/>
            <w:noWrap w:val="0"/>
            <w:vAlign w:val="center"/>
          </w:tcPr>
          <w:p w14:paraId="3CED3C6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404" w:type="pct"/>
            <w:tcBorders>
              <w:top w:val="single" w:color="auto" w:sz="12" w:space="0"/>
              <w:bottom w:val="single" w:color="auto" w:sz="2" w:space="0"/>
            </w:tcBorders>
            <w:shd w:val="clear" w:color="auto" w:fill="F1F1F1"/>
            <w:noWrap w:val="0"/>
            <w:vAlign w:val="center"/>
          </w:tcPr>
          <w:p w14:paraId="3EA42F5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资格性审查项</w:t>
            </w:r>
          </w:p>
        </w:tc>
        <w:tc>
          <w:tcPr>
            <w:tcW w:w="3224" w:type="pct"/>
            <w:tcBorders>
              <w:top w:val="single" w:color="auto" w:sz="12" w:space="0"/>
              <w:bottom w:val="single" w:color="auto" w:sz="2" w:space="0"/>
            </w:tcBorders>
            <w:shd w:val="clear" w:color="auto" w:fill="F1F1F1"/>
            <w:noWrap w:val="0"/>
            <w:vAlign w:val="center"/>
          </w:tcPr>
          <w:p w14:paraId="432FAE6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通过条件</w:t>
            </w:r>
          </w:p>
        </w:tc>
      </w:tr>
      <w:tr w14:paraId="0A976D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5A128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404" w:type="pct"/>
            <w:noWrap w:val="0"/>
            <w:vAlign w:val="center"/>
          </w:tcPr>
          <w:p w14:paraId="18341F6E">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有效的主体资格证明</w:t>
            </w:r>
          </w:p>
        </w:tc>
        <w:tc>
          <w:tcPr>
            <w:tcW w:w="3224" w:type="pct"/>
            <w:noWrap w:val="0"/>
            <w:vAlign w:val="center"/>
          </w:tcPr>
          <w:p w14:paraId="2039B7B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269226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6F531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1404" w:type="pct"/>
            <w:noWrap w:val="0"/>
            <w:vAlign w:val="center"/>
          </w:tcPr>
          <w:p w14:paraId="04F7D0F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4" w:type="pct"/>
            <w:noWrap w:val="0"/>
            <w:vAlign w:val="center"/>
          </w:tcPr>
          <w:p w14:paraId="5B4EB8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符合《中华人民共和国政府采购法》第二十二条的规定（提供承诺函）；</w:t>
            </w:r>
          </w:p>
        </w:tc>
      </w:tr>
      <w:tr w14:paraId="0A20C6C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2DB91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404" w:type="pct"/>
            <w:noWrap w:val="0"/>
            <w:vAlign w:val="center"/>
          </w:tcPr>
          <w:p w14:paraId="7398E91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法定代表人委托授权书\身份证明</w:t>
            </w:r>
          </w:p>
        </w:tc>
        <w:tc>
          <w:tcPr>
            <w:tcW w:w="3224" w:type="pct"/>
            <w:noWrap w:val="0"/>
            <w:vAlign w:val="center"/>
          </w:tcPr>
          <w:p w14:paraId="609F84A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5C7989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40" w:hRule="atLeast"/>
          <w:jc w:val="center"/>
        </w:trPr>
        <w:tc>
          <w:tcPr>
            <w:tcW w:w="370" w:type="pct"/>
            <w:noWrap w:val="0"/>
            <w:vAlign w:val="center"/>
          </w:tcPr>
          <w:p w14:paraId="3F57D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404" w:type="pct"/>
            <w:noWrap w:val="0"/>
            <w:vAlign w:val="center"/>
          </w:tcPr>
          <w:p w14:paraId="13929CF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关联关系</w:t>
            </w:r>
          </w:p>
        </w:tc>
        <w:tc>
          <w:tcPr>
            <w:tcW w:w="3224" w:type="pct"/>
            <w:noWrap w:val="0"/>
            <w:vAlign w:val="center"/>
          </w:tcPr>
          <w:p w14:paraId="60C1D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1BA7776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64E03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404" w:type="pct"/>
            <w:noWrap w:val="0"/>
            <w:vAlign w:val="center"/>
          </w:tcPr>
          <w:p w14:paraId="7E66060F">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资质</w:t>
            </w:r>
          </w:p>
        </w:tc>
        <w:tc>
          <w:tcPr>
            <w:tcW w:w="3224" w:type="pct"/>
            <w:noWrap w:val="0"/>
            <w:vAlign w:val="center"/>
          </w:tcPr>
          <w:p w14:paraId="2D45C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提供肉蛋类厂家有效期内的《动物防疫条件合格证》。</w:t>
            </w:r>
          </w:p>
        </w:tc>
      </w:tr>
      <w:tr w14:paraId="4D40208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2BFB259A">
            <w:pPr>
              <w:spacing w:line="360" w:lineRule="auto"/>
              <w:ind w:left="0" w:leftChars="0" w:right="0" w:rightChars="0" w:firstLine="0" w:firstLineChars="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注意事项：</w:t>
            </w:r>
          </w:p>
          <w:p w14:paraId="28753BA3">
            <w:pPr>
              <w:spacing w:line="360" w:lineRule="auto"/>
              <w:ind w:left="0" w:leftChars="0" w:right="0" w:rightChars="0" w:firstLine="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0337CFA9">
            <w:pPr>
              <w:spacing w:line="360" w:lineRule="auto"/>
              <w:ind w:left="0" w:leftChars="0" w:right="0" w:rightChars="0" w:firstLine="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1C71DB9B">
            <w:pPr>
              <w:spacing w:line="360" w:lineRule="auto"/>
              <w:ind w:left="0" w:leftChars="0" w:right="0" w:rightChars="0" w:firstLine="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3．以联合体形式参与投标时，应提供有效的《联合体协议书》，并遵循招标文件第二章中“关于联合体”的相关规定。</w:t>
            </w:r>
          </w:p>
          <w:p w14:paraId="5E377005">
            <w:pPr>
              <w:spacing w:line="360" w:lineRule="auto"/>
              <w:ind w:left="0" w:leftChars="0" w:right="0" w:rightChars="0" w:firstLine="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4．《法定代表人委托授权书》、《法定代表人身份证明书》应按第五章《投标文件构成及格式》中给定的格式填写，并按要求签字、盖章。</w:t>
            </w:r>
          </w:p>
          <w:p w14:paraId="500FA3CC">
            <w:pPr>
              <w:spacing w:line="360" w:lineRule="auto"/>
              <w:ind w:left="0" w:leftChars="0" w:right="0" w:rightChars="0" w:firstLine="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3D2175AF">
      <w:pPr>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七、评审方法和程序</w:t>
      </w:r>
    </w:p>
    <w:p w14:paraId="6C6D90CA">
      <w:pPr>
        <w:pStyle w:val="98"/>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（一）评标方法</w:t>
      </w:r>
    </w:p>
    <w:p w14:paraId="1B568814">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本项目采用综合评分法，即投标文件满足招标文件全部实质性要求，且按照评审因素的量化指标评审得分最高的供应商为中标候选人。</w:t>
      </w:r>
    </w:p>
    <w:p w14:paraId="099BA96B">
      <w:pPr>
        <w:pStyle w:val="98"/>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（二）评标程序</w:t>
      </w:r>
    </w:p>
    <w:p w14:paraId="1939A61A">
      <w:pPr>
        <w:pStyle w:val="97"/>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1．组建评标委员会</w:t>
      </w:r>
    </w:p>
    <w:p w14:paraId="22541809">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42F596F7">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由采购代理机构组织评标委员会推选评标组长，采购人代表不得担任组长。</w:t>
      </w:r>
    </w:p>
    <w:p w14:paraId="18BA77EE">
      <w:pPr>
        <w:pStyle w:val="97"/>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2．投标文件的符合性审查</w:t>
      </w:r>
    </w:p>
    <w:p w14:paraId="0D9BA6C6">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供应商资格性审查通过后，评标委员会对符合资格的投标人的投标文件进行符合性审查，以确定其是否满足招标文件的实质性要求。</w:t>
      </w:r>
    </w:p>
    <w:p w14:paraId="2F652EA1">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对于投标文件中含义不明确、同类问题表述不一致或者有明显文字和计算错误的内容，评标委员会应当以书面形式要求投标人作出必要的澄清、说明或者补正。</w:t>
      </w:r>
    </w:p>
    <w:p w14:paraId="3E4C42F5">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14:paraId="37C3C5A7">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〖符合性审查表〗</w:t>
      </w:r>
    </w:p>
    <w:tbl>
      <w:tblPr>
        <w:tblStyle w:val="30"/>
        <w:tblW w:w="498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39"/>
        <w:gridCol w:w="2228"/>
        <w:gridCol w:w="6967"/>
      </w:tblGrid>
      <w:tr w14:paraId="5AE395E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12" w:space="0"/>
              <w:bottom w:val="single" w:color="auto" w:sz="2" w:space="0"/>
            </w:tcBorders>
            <w:shd w:val="clear" w:color="auto" w:fill="F1F1F1" w:themeFill="background1" w:themeFillShade="F2"/>
            <w:vAlign w:val="center"/>
          </w:tcPr>
          <w:p w14:paraId="6532167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121" w:type="pct"/>
            <w:tcBorders>
              <w:top w:val="single" w:color="auto" w:sz="12" w:space="0"/>
              <w:bottom w:val="single" w:color="auto" w:sz="2" w:space="0"/>
            </w:tcBorders>
            <w:shd w:val="clear" w:color="auto" w:fill="F1F1F1" w:themeFill="background1" w:themeFillShade="F2"/>
            <w:vAlign w:val="center"/>
          </w:tcPr>
          <w:p w14:paraId="7A2E7C74">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符合性审查项</w:t>
            </w:r>
          </w:p>
        </w:tc>
        <w:tc>
          <w:tcPr>
            <w:tcW w:w="3505" w:type="pct"/>
            <w:tcBorders>
              <w:top w:val="single" w:color="auto" w:sz="12" w:space="0"/>
              <w:bottom w:val="single" w:color="auto" w:sz="2" w:space="0"/>
            </w:tcBorders>
            <w:shd w:val="clear" w:color="auto" w:fill="F1F1F1" w:themeFill="background1" w:themeFillShade="F2"/>
            <w:vAlign w:val="center"/>
          </w:tcPr>
          <w:p w14:paraId="1A82C42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通过条件</w:t>
            </w:r>
          </w:p>
        </w:tc>
      </w:tr>
      <w:tr w14:paraId="383293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2" w:space="0"/>
            </w:tcBorders>
            <w:vAlign w:val="center"/>
          </w:tcPr>
          <w:p w14:paraId="088A043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121" w:type="pct"/>
            <w:tcBorders>
              <w:top w:val="single" w:color="auto" w:sz="2" w:space="0"/>
            </w:tcBorders>
            <w:vAlign w:val="center"/>
          </w:tcPr>
          <w:p w14:paraId="3674A09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与项目的一致性</w:t>
            </w:r>
          </w:p>
        </w:tc>
        <w:tc>
          <w:tcPr>
            <w:tcW w:w="3505" w:type="pct"/>
            <w:tcBorders>
              <w:top w:val="single" w:color="auto" w:sz="2" w:space="0"/>
            </w:tcBorders>
            <w:vAlign w:val="center"/>
          </w:tcPr>
          <w:p w14:paraId="56E8103A">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至少以下三处的项目名称、项目编号、标段（未分标段的除外）与本项目完全一致：</w:t>
            </w:r>
          </w:p>
          <w:p w14:paraId="59FE6BE2">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（1）投标文件封面</w:t>
            </w:r>
          </w:p>
          <w:p w14:paraId="23CAF624">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（2）投标函</w:t>
            </w:r>
          </w:p>
          <w:p w14:paraId="6C450ED6">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（3）法定代表人（主要负责人）委托授权书\身份证明</w:t>
            </w:r>
          </w:p>
        </w:tc>
      </w:tr>
      <w:tr w14:paraId="1AC303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53F32D1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1121" w:type="pct"/>
            <w:vAlign w:val="center"/>
          </w:tcPr>
          <w:p w14:paraId="1EAAF60C">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投标文件组成</w:t>
            </w:r>
          </w:p>
        </w:tc>
        <w:tc>
          <w:tcPr>
            <w:tcW w:w="3505" w:type="pct"/>
            <w:vAlign w:val="center"/>
          </w:tcPr>
          <w:p w14:paraId="4056E704">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投标文件应包含以下部分：</w:t>
            </w:r>
          </w:p>
          <w:p w14:paraId="42381595">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（1）投标函</w:t>
            </w:r>
          </w:p>
          <w:p w14:paraId="1B032B4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（2）开标一览表</w:t>
            </w:r>
          </w:p>
          <w:p w14:paraId="679882A1">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（3）资格证明文件</w:t>
            </w:r>
          </w:p>
          <w:p w14:paraId="7DB5735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（4）供应商概况</w:t>
            </w:r>
          </w:p>
          <w:p w14:paraId="008402A3">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（5）供应商参加政府采购活动承诺书</w:t>
            </w:r>
          </w:p>
          <w:p w14:paraId="4C232B2A">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（6）投标方案</w:t>
            </w:r>
          </w:p>
        </w:tc>
      </w:tr>
      <w:tr w14:paraId="5B737D5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1081F2B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121" w:type="pct"/>
            <w:vAlign w:val="center"/>
          </w:tcPr>
          <w:p w14:paraId="7C3BFED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签章</w:t>
            </w:r>
          </w:p>
        </w:tc>
        <w:tc>
          <w:tcPr>
            <w:tcW w:w="3505" w:type="pct"/>
            <w:vAlign w:val="center"/>
          </w:tcPr>
          <w:p w14:paraId="46EE95D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签章均符合招标文件要求，且无遗漏。</w:t>
            </w:r>
          </w:p>
        </w:tc>
      </w:tr>
      <w:tr w14:paraId="5BFC49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1EBA5AEA">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121" w:type="pct"/>
            <w:vAlign w:val="center"/>
          </w:tcPr>
          <w:p w14:paraId="3A89DB6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语言和计量单位</w:t>
            </w:r>
          </w:p>
        </w:tc>
        <w:tc>
          <w:tcPr>
            <w:tcW w:w="3505" w:type="pct"/>
            <w:vAlign w:val="center"/>
          </w:tcPr>
          <w:p w14:paraId="7E2B591E">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符合招标文件的要求</w:t>
            </w:r>
          </w:p>
        </w:tc>
      </w:tr>
      <w:tr w14:paraId="577E16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11EC321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121" w:type="pct"/>
            <w:vAlign w:val="center"/>
          </w:tcPr>
          <w:p w14:paraId="6F76A44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投标文件有效期</w:t>
            </w:r>
          </w:p>
        </w:tc>
        <w:tc>
          <w:tcPr>
            <w:tcW w:w="3505" w:type="pct"/>
            <w:vAlign w:val="center"/>
          </w:tcPr>
          <w:p w14:paraId="2FC3D6F0">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符合招标文件的要求</w:t>
            </w:r>
          </w:p>
        </w:tc>
      </w:tr>
      <w:tr w14:paraId="131138D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46941C64">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1121" w:type="pct"/>
            <w:vAlign w:val="center"/>
          </w:tcPr>
          <w:p w14:paraId="785AF9F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w:t>
            </w:r>
          </w:p>
        </w:tc>
        <w:tc>
          <w:tcPr>
            <w:tcW w:w="3505" w:type="pct"/>
            <w:vAlign w:val="center"/>
          </w:tcPr>
          <w:p w14:paraId="634FF32F">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同时满足以下条款：</w:t>
            </w:r>
          </w:p>
          <w:p w14:paraId="416494A2">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（1）货币单位符合招标文件要求</w:t>
            </w:r>
          </w:p>
          <w:p w14:paraId="4BF003FD">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（2）报价符合唯一性要求</w:t>
            </w:r>
          </w:p>
          <w:p w14:paraId="57FDB92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（3）未超出采购预算及最高限价</w:t>
            </w:r>
          </w:p>
          <w:p w14:paraId="71012A5B">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（4）符合《开标一览表》的填报要求</w:t>
            </w:r>
          </w:p>
        </w:tc>
      </w:tr>
      <w:tr w14:paraId="38AC99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5C98751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1121" w:type="pct"/>
            <w:vAlign w:val="center"/>
          </w:tcPr>
          <w:p w14:paraId="3CEAFEC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实质性条款响应</w:t>
            </w:r>
          </w:p>
        </w:tc>
        <w:tc>
          <w:tcPr>
            <w:tcW w:w="3505" w:type="pct"/>
            <w:vAlign w:val="center"/>
          </w:tcPr>
          <w:p w14:paraId="44F12F73">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完全响应招标文件要求的各项技术（服务）、商务实质性条款。</w:t>
            </w:r>
          </w:p>
        </w:tc>
      </w:tr>
      <w:tr w14:paraId="4A1F97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4510B21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1121" w:type="pct"/>
            <w:vAlign w:val="center"/>
          </w:tcPr>
          <w:p w14:paraId="53EE8AE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合同条款响应</w:t>
            </w:r>
          </w:p>
        </w:tc>
        <w:tc>
          <w:tcPr>
            <w:tcW w:w="3505" w:type="pct"/>
            <w:vAlign w:val="center"/>
          </w:tcPr>
          <w:p w14:paraId="4A74DD6B">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完全理解并响应招标文件合同条款的要求，且未含有采购人不能接受的附加条件的。</w:t>
            </w:r>
          </w:p>
        </w:tc>
      </w:tr>
      <w:tr w14:paraId="1C7902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4F0DDCA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1121" w:type="pct"/>
            <w:vAlign w:val="center"/>
          </w:tcPr>
          <w:p w14:paraId="3574D3A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电子投标文件雷同性分析</w:t>
            </w:r>
          </w:p>
        </w:tc>
        <w:tc>
          <w:tcPr>
            <w:tcW w:w="3505" w:type="pct"/>
            <w:vAlign w:val="center"/>
          </w:tcPr>
          <w:p w14:paraId="2F4C184E">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电子投标文件的“文件制作机器码”和“文件创建标识码”通过评标系统的雷同性分析。</w:t>
            </w:r>
          </w:p>
        </w:tc>
      </w:tr>
      <w:tr w14:paraId="3F49DA9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7B7D6A6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121" w:type="pct"/>
            <w:vAlign w:val="center"/>
          </w:tcPr>
          <w:p w14:paraId="14FA1C3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p>
        </w:tc>
        <w:tc>
          <w:tcPr>
            <w:tcW w:w="3505" w:type="pct"/>
            <w:vAlign w:val="center"/>
          </w:tcPr>
          <w:p w14:paraId="6D96E44B">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完全理解并接受法律法规和招标文件对供应商合法经营的各类规约和责任义务要求，没有出现法律法规或招标文件规定的其他无效情形。</w:t>
            </w:r>
          </w:p>
        </w:tc>
      </w:tr>
    </w:tbl>
    <w:p w14:paraId="49E611A5">
      <w:pPr>
        <w:pStyle w:val="97"/>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3．综合比较与评价</w:t>
      </w:r>
    </w:p>
    <w:p w14:paraId="0658C4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评标委员会按《评审要素及分值一览表》中规定的评标方法和标准，对通过符合性审查的投标文件进行商务和技术评估，综合比较与评价。</w:t>
      </w:r>
    </w:p>
    <w:p w14:paraId="736786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出现下列情形的，供应商投标无效：</w:t>
      </w:r>
    </w:p>
    <w:p w14:paraId="425690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（1）投标文件报价出现本章第五小节“投标报价”所列需要修正情形，但供应商对修正后的报价不予确认的；</w:t>
      </w:r>
    </w:p>
    <w:p w14:paraId="6493AD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159B4BB7">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560" w:firstLineChars="200"/>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〖评审要素及分值一览表〗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750"/>
        <w:gridCol w:w="6439"/>
      </w:tblGrid>
      <w:tr w14:paraId="296A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blHeader/>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45289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评标因素</w:t>
            </w:r>
          </w:p>
        </w:tc>
        <w:tc>
          <w:tcPr>
            <w:tcW w:w="750" w:type="dxa"/>
            <w:tcBorders>
              <w:top w:val="single" w:color="auto" w:sz="4" w:space="0"/>
              <w:left w:val="single" w:color="auto" w:sz="4" w:space="0"/>
              <w:right w:val="single" w:color="auto" w:sz="4" w:space="0"/>
            </w:tcBorders>
            <w:noWrap w:val="0"/>
            <w:vAlign w:val="center"/>
          </w:tcPr>
          <w:p w14:paraId="482D1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分值</w:t>
            </w:r>
          </w:p>
        </w:tc>
        <w:tc>
          <w:tcPr>
            <w:tcW w:w="6439" w:type="dxa"/>
            <w:tcBorders>
              <w:top w:val="single" w:color="auto" w:sz="4" w:space="0"/>
              <w:left w:val="single" w:color="auto" w:sz="4" w:space="0"/>
              <w:bottom w:val="single" w:color="auto" w:sz="4" w:space="0"/>
              <w:right w:val="single" w:color="auto" w:sz="4" w:space="0"/>
            </w:tcBorders>
            <w:noWrap w:val="0"/>
            <w:vAlign w:val="center"/>
          </w:tcPr>
          <w:p w14:paraId="52FF2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评价要素</w:t>
            </w:r>
          </w:p>
        </w:tc>
      </w:tr>
      <w:tr w14:paraId="387B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328FF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5325E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w:t>
            </w:r>
          </w:p>
        </w:tc>
        <w:tc>
          <w:tcPr>
            <w:tcW w:w="6439" w:type="dxa"/>
            <w:tcBorders>
              <w:top w:val="single" w:color="auto" w:sz="4" w:space="0"/>
              <w:left w:val="single" w:color="auto" w:sz="4" w:space="0"/>
              <w:bottom w:val="single" w:color="auto" w:sz="4" w:space="0"/>
              <w:right w:val="single" w:color="auto" w:sz="4" w:space="0"/>
            </w:tcBorders>
            <w:noWrap w:val="0"/>
            <w:vAlign w:val="center"/>
          </w:tcPr>
          <w:p w14:paraId="129EFF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满足招标文件要求且投标价格（折扣）最低的投标报价为评标基准价，其价格分为满分。其他投标人的价格分统一按照下列公式计算：投标报价得分=（评标基准价/投标报价）×价格分值（小微企业、监狱企业或残疾人福利性单位用投标报价扣除后的价格参加评审。专门面向中小企业采购的项目不进行价格扣除。）</w:t>
            </w:r>
          </w:p>
        </w:tc>
      </w:tr>
      <w:tr w14:paraId="2B2EC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6" w:hRule="atLeast"/>
          <w:jc w:val="center"/>
        </w:trPr>
        <w:tc>
          <w:tcPr>
            <w:tcW w:w="13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F10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业绩</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734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643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ED47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投标人2022年1月1日至今（以合同签订日期为准）具有类似项目业绩，投标文件中至少提供合同关键页（合同首页、服务内容页及双方签字盖章页）复印件并加盖投标人公章，提供1个得1分，满分5分，没有不得分。</w:t>
            </w:r>
          </w:p>
        </w:tc>
      </w:tr>
      <w:tr w14:paraId="1A79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13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634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供应商质量保证方案</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9D9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643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6B3AA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供应商针对食品质量、食品安全与卫生、安全执行标准、检验检查等提供方案；方案详细、合理可行的得5分，若上述内容存在缺陷，每出现一处缺陷扣1分，扣完为止。</w:t>
            </w:r>
          </w:p>
          <w:p w14:paraId="70B5D1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注：内容存在缺陷是指：</w:t>
            </w:r>
          </w:p>
          <w:p w14:paraId="068780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①方案生搬硬套，与实际情况明显不符；</w:t>
            </w:r>
          </w:p>
          <w:p w14:paraId="06B68B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②存在与项目明显无关的文字内容；</w:t>
            </w:r>
          </w:p>
          <w:p w14:paraId="722CEC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③内容不适用项目的实际情况；</w:t>
            </w:r>
          </w:p>
          <w:p w14:paraId="735A80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④对采购需求理解缺位混乱；</w:t>
            </w:r>
          </w:p>
          <w:p w14:paraId="0D0727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⑤描述的内容混乱，重点不突出；</w:t>
            </w:r>
          </w:p>
          <w:p w14:paraId="35E4A7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⑥内容缺失不完善，可操作性较差；</w:t>
            </w:r>
          </w:p>
          <w:p w14:paraId="43BA9A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⑦凭空编造，内容矛盾，前后逻辑错误；</w:t>
            </w:r>
          </w:p>
          <w:p w14:paraId="36B951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⑧适用（引用）的规范及标准错误或已废止；</w:t>
            </w:r>
          </w:p>
          <w:p w14:paraId="322E25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⑨地点区域错误，或相关名称错误等。</w:t>
            </w:r>
          </w:p>
        </w:tc>
      </w:tr>
      <w:tr w14:paraId="0962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9" w:hRule="atLeast"/>
          <w:jc w:val="center"/>
        </w:trPr>
        <w:tc>
          <w:tcPr>
            <w:tcW w:w="13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E66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肉类质量</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314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643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87BF9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提供肉类来自正规屠宰场的相关证明文件，供货均有有效的检疫证明，所供肉类符合《鲜、冻禽产品》国家标准（GB2707 - 2016）及其他相关食品安全标准，提供相关检测报告或其它相关证明材料，内容完整、无缺陷得10分，若上述内容存在缺陷，每出现一处缺陷扣1分，扣完为止。</w:t>
            </w:r>
          </w:p>
          <w:p w14:paraId="0F41A8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注：内容存在缺陷是指：</w:t>
            </w:r>
          </w:p>
          <w:p w14:paraId="75020C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①方案生搬硬套，与实际情况明显不符；</w:t>
            </w:r>
          </w:p>
          <w:p w14:paraId="64692F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②存在与项目明显无关的文字内容；</w:t>
            </w:r>
          </w:p>
          <w:p w14:paraId="56D970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③内容不适用项目的实际情况；</w:t>
            </w:r>
          </w:p>
          <w:p w14:paraId="0DCB6D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④对采购需求理解缺位混乱；</w:t>
            </w:r>
          </w:p>
          <w:p w14:paraId="04F947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⑤描述的内容混乱，重点不突出；</w:t>
            </w:r>
          </w:p>
          <w:p w14:paraId="17B372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⑥内容缺失不完善，可操作性较差；</w:t>
            </w:r>
          </w:p>
          <w:p w14:paraId="41FCFA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⑦凭空编造，内容矛盾，前后逻辑错误；</w:t>
            </w:r>
          </w:p>
          <w:p w14:paraId="1B4F82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⑧适用（引用）的规范及标准错误或已废止；</w:t>
            </w:r>
          </w:p>
          <w:p w14:paraId="5A712D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⑨地点区域错误，或相关名称错误等。</w:t>
            </w:r>
          </w:p>
        </w:tc>
      </w:tr>
      <w:tr w14:paraId="50C0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B13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蛋类质量</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E40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643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A76FB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明确蛋类来源，提供养殖场相关资质或合作证明，所供蛋类符合鲜蛋与蛋制品国家标准（GB21710 - 2016），及其他相关食品安全标准；描述蛋类外观检查标准及保证新鲜度的措施，如定期抽检、合适的储存条件等，措施合理；蛋类有包装，且包装上生产日期、保质期、产地等信息标识清晰，上述内容完整无缺陷得10分，若上述内容存在缺陷，每出现一处缺陷扣1分，扣完为止。</w:t>
            </w:r>
          </w:p>
          <w:p w14:paraId="052D0A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注：内容存在缺陷是指：</w:t>
            </w:r>
          </w:p>
          <w:p w14:paraId="5886D6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①方案生搬硬套，与实际情况明显不符；</w:t>
            </w:r>
          </w:p>
          <w:p w14:paraId="74035B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②存在与项目明显无关的文字内容；</w:t>
            </w:r>
          </w:p>
          <w:p w14:paraId="1AEB25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③内容不适用项目的实际情况；</w:t>
            </w:r>
          </w:p>
          <w:p w14:paraId="517DDC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④对采购需求理解缺位混乱；</w:t>
            </w:r>
          </w:p>
          <w:p w14:paraId="708887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⑤描述的内容混乱，重点不突出；</w:t>
            </w:r>
          </w:p>
          <w:p w14:paraId="3A012B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⑥内容缺失不完善，可操作性较差；</w:t>
            </w:r>
          </w:p>
          <w:p w14:paraId="72710C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⑦凭空编造，内容矛盾，前后逻辑错误；</w:t>
            </w:r>
          </w:p>
          <w:p w14:paraId="0654DD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⑧适用（引用）的规范及标准错误或已废止；</w:t>
            </w:r>
          </w:p>
          <w:p w14:paraId="202DD5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⑨地点区域错误，或相关名称错误等。</w:t>
            </w:r>
          </w:p>
        </w:tc>
      </w:tr>
      <w:tr w14:paraId="6454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3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292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食品</w:t>
            </w:r>
            <w:r>
              <w:rPr>
                <w:rFonts w:hint="eastAsia" w:ascii="宋体" w:hAnsi="宋体" w:eastAsia="宋体" w:cs="宋体"/>
                <w:color w:val="auto"/>
                <w:sz w:val="24"/>
                <w:szCs w:val="24"/>
                <w:highlight w:val="none"/>
              </w:rPr>
              <w:t>安全管理方案</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BB5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643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457AD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食品安全管理方案完整、规范，有详细的安全责任划分标准及安全事故的应对措施；安全管理方案针对性强，完整全面得10分，若上述内容存在缺陷，每出现一处缺陷扣1分，扣完为止。</w:t>
            </w:r>
          </w:p>
          <w:p w14:paraId="72E7BB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注：内容存在缺陷是指：</w:t>
            </w:r>
          </w:p>
          <w:p w14:paraId="31DBCA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①方案生搬硬套，与实际情况明显不符；</w:t>
            </w:r>
          </w:p>
          <w:p w14:paraId="401B61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②存在与项目明显无关的文字内容；</w:t>
            </w:r>
          </w:p>
          <w:p w14:paraId="508870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③内容不适用项目的实际情况；</w:t>
            </w:r>
          </w:p>
          <w:p w14:paraId="0FA261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④对采购需求理解缺位混乱；</w:t>
            </w:r>
          </w:p>
          <w:p w14:paraId="15E07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⑤描述的内容混乱，重点不突出；</w:t>
            </w:r>
          </w:p>
          <w:p w14:paraId="2103EC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⑥内容缺失不完善，可操作性较差；</w:t>
            </w:r>
          </w:p>
          <w:p w14:paraId="08C41E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⑦凭空编造，内容矛盾，前后逻辑错误；</w:t>
            </w:r>
          </w:p>
          <w:p w14:paraId="53781D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⑧适用（引用）的规范及标准错误或已废止；</w:t>
            </w:r>
          </w:p>
          <w:p w14:paraId="60A1DF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⑨地点区域错误，或相关名称错误等。</w:t>
            </w:r>
          </w:p>
        </w:tc>
      </w:tr>
      <w:tr w14:paraId="0453A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13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28F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应急方案</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B18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643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D6E08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针对本项目提供相关突发事件，配送过程、相关产品质量出现问题的应急预案及补救措施；具有完整、规范的应急方案，并有充足的应急资源储备及较强的应急调配响应能力，计10分，若上述内容存在缺陷，每出现一处缺陷扣1分，扣完为止。</w:t>
            </w:r>
          </w:p>
          <w:p w14:paraId="1C6AC7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注：内容存在缺陷是指：</w:t>
            </w:r>
          </w:p>
          <w:p w14:paraId="685D54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①方案生搬硬套，与实际情况明显不符；</w:t>
            </w:r>
          </w:p>
          <w:p w14:paraId="0AF98B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②存在与项目明显无关的文字内容；</w:t>
            </w:r>
          </w:p>
          <w:p w14:paraId="7F47AC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③内容不适用项目的实际情况；</w:t>
            </w:r>
          </w:p>
          <w:p w14:paraId="582B43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④对采购需求理解缺位混乱；</w:t>
            </w:r>
          </w:p>
          <w:p w14:paraId="328A12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⑤描述的内容混乱，重点不突出；</w:t>
            </w:r>
          </w:p>
          <w:p w14:paraId="56B77A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⑥内容缺失不完善，可操作性较差；</w:t>
            </w:r>
          </w:p>
          <w:p w14:paraId="4944F7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⑦凭空编造，内容矛盾，前后逻辑错误；</w:t>
            </w:r>
          </w:p>
          <w:p w14:paraId="1A08C4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⑧适用（引用）的规范及标准错误或已废止；</w:t>
            </w:r>
          </w:p>
          <w:p w14:paraId="795624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⑨地点区域错误，或相关名称错误等。</w:t>
            </w:r>
          </w:p>
        </w:tc>
      </w:tr>
      <w:tr w14:paraId="5344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13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B98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人员配备、</w:t>
            </w:r>
            <w:r>
              <w:rPr>
                <w:rFonts w:hint="eastAsia" w:ascii="宋体" w:hAnsi="宋体" w:eastAsia="宋体" w:cs="宋体"/>
                <w:color w:val="auto"/>
                <w:sz w:val="24"/>
                <w:szCs w:val="24"/>
                <w:highlight w:val="none"/>
              </w:rPr>
              <w:t>运输车辆配备</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时效保障措施</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897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643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9A04C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针对本项目特点提供组织计划、项目组成人员情况，组织计划合理、结构清晰，项目组成人员职责任务明确、人员数量和人员专业结构配备合理，完全满足本项目服务要求。并提供运输车辆配备情况，包括但不限于车辆类型、数量、用途、配置说明、保温保鲜条件、使用年限、车况等，提供车辆证明材料并针对本项目提供时效保障措施，包括但不限于：采买时间计划、运输路线规划、响应的及时性等；保障措施针对性强、全面完整、时效性强，计10分，若上述内容存在缺陷，每出现一处缺陷扣1分，扣完为止。</w:t>
            </w:r>
          </w:p>
          <w:p w14:paraId="7B0271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注：内容存在缺陷是指：</w:t>
            </w:r>
          </w:p>
          <w:p w14:paraId="048165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①方案生搬硬套，与实际情况明显不符；</w:t>
            </w:r>
          </w:p>
          <w:p w14:paraId="237A28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②存在与项目明显无关的文字内容；</w:t>
            </w:r>
          </w:p>
          <w:p w14:paraId="0147A0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③内容不适用项目的实际情况；</w:t>
            </w:r>
          </w:p>
          <w:p w14:paraId="4ED761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④对采购需求理解缺位混乱；</w:t>
            </w:r>
          </w:p>
          <w:p w14:paraId="06750D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⑤描述的内容混乱，重点不突出；</w:t>
            </w:r>
          </w:p>
          <w:p w14:paraId="30DF02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⑥内容缺失不完善，可操作性较差；</w:t>
            </w:r>
          </w:p>
          <w:p w14:paraId="68A555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⑦凭空编造，内容矛盾，前后逻辑错误；</w:t>
            </w:r>
          </w:p>
          <w:p w14:paraId="7CF8A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⑧适用（引用）的规范及标准错误或已废止；</w:t>
            </w:r>
          </w:p>
          <w:p w14:paraId="01D124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⑨地点区域错误，或相关名称错误等。</w:t>
            </w:r>
          </w:p>
        </w:tc>
      </w:tr>
      <w:tr w14:paraId="28B55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FA4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售后服务</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A1A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643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18F16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满足用户的实际要求，对服务期内所提供产品食品安全、质量等方面具有详细的服务承诺及保证措施；方案完善、科学合理、服务承诺明确得10分，若上述内容存在缺陷，每出现一处缺陷扣1分，扣完为止。</w:t>
            </w:r>
          </w:p>
          <w:p w14:paraId="005A1A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注：内容存在缺陷是指：</w:t>
            </w:r>
          </w:p>
          <w:p w14:paraId="634DB4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①方案生搬硬套，与实际情况明显不符；</w:t>
            </w:r>
          </w:p>
          <w:p w14:paraId="39F3D6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②存在与项目明显无关的文字内容；</w:t>
            </w:r>
          </w:p>
          <w:p w14:paraId="6E922E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③内容不适用项目的实际情况；</w:t>
            </w:r>
          </w:p>
          <w:p w14:paraId="4E2376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④对采购需求理解缺位混乱；</w:t>
            </w:r>
          </w:p>
          <w:p w14:paraId="04A819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⑤描述的内容混乱，重点不突出；</w:t>
            </w:r>
          </w:p>
          <w:p w14:paraId="40E6BA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⑥内容缺失不完善，可操作性较差；</w:t>
            </w:r>
          </w:p>
          <w:p w14:paraId="2CAF06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⑦凭空编造，内容矛盾，前后逻辑错误；</w:t>
            </w:r>
          </w:p>
          <w:p w14:paraId="25AD60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⑧适用（引用）的规范及标准错误或已废止；</w:t>
            </w:r>
          </w:p>
          <w:p w14:paraId="75EB95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⑨地点区域错误，或相关名称错误等。</w:t>
            </w:r>
          </w:p>
        </w:tc>
      </w:tr>
      <w:tr w14:paraId="397E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56" w:type="dxa"/>
            <w:gridSpan w:val="2"/>
            <w:tcBorders>
              <w:top w:val="single" w:color="auto" w:sz="4" w:space="0"/>
              <w:left w:val="single" w:color="auto" w:sz="4" w:space="0"/>
              <w:bottom w:val="single" w:color="auto" w:sz="4" w:space="0"/>
              <w:right w:val="single" w:color="auto" w:sz="4" w:space="0"/>
            </w:tcBorders>
            <w:noWrap w:val="0"/>
            <w:vAlign w:val="center"/>
          </w:tcPr>
          <w:p w14:paraId="5639A3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总分</w:t>
            </w:r>
          </w:p>
        </w:tc>
        <w:tc>
          <w:tcPr>
            <w:tcW w:w="6439" w:type="dxa"/>
            <w:tcBorders>
              <w:top w:val="single" w:color="auto" w:sz="4" w:space="0"/>
              <w:left w:val="single" w:color="auto" w:sz="4" w:space="0"/>
              <w:bottom w:val="single" w:color="auto" w:sz="4" w:space="0"/>
              <w:right w:val="single" w:color="auto" w:sz="4" w:space="0"/>
            </w:tcBorders>
            <w:noWrap w:val="0"/>
            <w:vAlign w:val="center"/>
          </w:tcPr>
          <w:p w14:paraId="639095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100分</w:t>
            </w:r>
          </w:p>
        </w:tc>
      </w:tr>
    </w:tbl>
    <w:p w14:paraId="65081412">
      <w:pPr>
        <w:pStyle w:val="2"/>
        <w:rPr>
          <w:rFonts w:hint="eastAsia"/>
          <w:color w:val="auto"/>
          <w:highlight w:val="none"/>
        </w:rPr>
      </w:pPr>
    </w:p>
    <w:p w14:paraId="07C113F4">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color w:val="auto"/>
          <w:highlight w:val="none"/>
        </w:rPr>
      </w:pPr>
      <w:r>
        <w:rPr>
          <w:rFonts w:hint="eastAsia" w:ascii="宋体" w:hAnsi="宋体" w:eastAsia="宋体" w:cs="宋体"/>
          <w:b/>
          <w:bCs/>
          <w:color w:val="auto"/>
          <w:sz w:val="24"/>
          <w:szCs w:val="24"/>
          <w:highlight w:val="none"/>
        </w:rPr>
        <w:t>说明</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：关于同品牌的说明：</w:t>
      </w:r>
    </w:p>
    <w:p w14:paraId="5BE08BA1">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eastAsia="zh-CN" w:bidi="ar-SA"/>
        </w:rPr>
        <w:t>若供应商所投核心产品为同一品牌，</w:t>
      </w:r>
      <w:r>
        <w:rPr>
          <w:rFonts w:hint="eastAsia" w:ascii="宋体" w:hAnsi="宋体" w:eastAsia="宋体" w:cs="宋体"/>
          <w:color w:val="auto"/>
          <w:sz w:val="24"/>
          <w:szCs w:val="24"/>
          <w:highlight w:val="none"/>
        </w:rPr>
        <w:t>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4"/>
          <w:szCs w:val="24"/>
          <w:highlight w:val="none"/>
          <w:lang w:eastAsia="zh-CN" w:bidi="ar-SA"/>
        </w:rPr>
        <w:t>其他同品牌供应商不作为中标候选人。</w:t>
      </w:r>
    </w:p>
    <w:p w14:paraId="17F146AD">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非单一产品采购项目中，采购人根据采购项目技术构成、产品价格比重等合理确定核心产品。多家供应商提供的核心产品品牌相同的，按上述规定处理。</w:t>
      </w:r>
    </w:p>
    <w:p w14:paraId="0C4F0A71">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说明</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rPr>
        <w:t>（1）评委打分超过得分界限或未按本方法赋分时，该评委的打分按废票处理。</w:t>
      </w:r>
    </w:p>
    <w:p w14:paraId="4EAACE9B">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（2）各种计算数字均保留两位小数，第三位“四舍五入”。</w:t>
      </w:r>
    </w:p>
    <w:p w14:paraId="469A98AB">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（3）评标委员会根据以上内容打分，由高到低进行，推荐出中标候选单位。评标委员会依据评审结果写出评审报告，送采购人审定。</w:t>
      </w:r>
    </w:p>
    <w:p w14:paraId="1F77B1FF">
      <w:pPr>
        <w:pStyle w:val="97"/>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4．推荐中标候选人</w:t>
      </w:r>
    </w:p>
    <w:p w14:paraId="13112DA3">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（1）采用最低评标价法的，评标结果按投标报价由低到高顺序排列。投标报价相同的并列。投标文件满足招标文件全部实质性要求且投标报价最低的投标人为排名第一的中标候选人。</w:t>
      </w:r>
    </w:p>
    <w:p w14:paraId="553072BF">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5247CFCC">
      <w:pPr>
        <w:pStyle w:val="97"/>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5</w:t>
      </w:r>
      <w:r>
        <w:rPr>
          <w:rFonts w:hint="eastAsia" w:ascii="宋体" w:hAnsi="宋体" w:eastAsia="宋体" w:cs="宋体"/>
          <w:b/>
          <w:bCs/>
          <w:color w:val="auto"/>
          <w:sz w:val="24"/>
          <w:szCs w:val="24"/>
          <w:highlight w:val="none"/>
        </w:rPr>
        <w:t>．编写</w:t>
      </w:r>
      <w:r>
        <w:rPr>
          <w:rFonts w:hint="eastAsia" w:ascii="宋体" w:hAnsi="宋体" w:eastAsia="宋体" w:cs="宋体"/>
          <w:b/>
          <w:bCs/>
          <w:color w:val="auto"/>
          <w:sz w:val="24"/>
          <w:szCs w:val="24"/>
          <w:highlight w:val="none"/>
          <w:lang w:eastAsia="zh-CN"/>
        </w:rPr>
        <w:t>评标报告</w:t>
      </w:r>
    </w:p>
    <w:p w14:paraId="2C1918A0">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评标报告</w:t>
      </w:r>
      <w:r>
        <w:rPr>
          <w:rFonts w:hint="eastAsia" w:ascii="宋体" w:hAnsi="宋体" w:eastAsia="宋体" w:cs="宋体"/>
          <w:color w:val="auto"/>
          <w:sz w:val="24"/>
          <w:szCs w:val="24"/>
          <w:highlight w:val="none"/>
        </w:rPr>
        <w:t>是评标委员会根据全体评标成员签字的原始评标记录和评标结果编写的报告，其主要内容包括：</w:t>
      </w:r>
    </w:p>
    <w:p w14:paraId="61444EBC">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（1）招标公告刊登的媒体名称、开标日期和地点；</w:t>
      </w:r>
    </w:p>
    <w:p w14:paraId="11095695">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（2）投标供应商名单和评标委员会成员名单；</w:t>
      </w:r>
    </w:p>
    <w:p w14:paraId="342D5B7E">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（3）评标方法；</w:t>
      </w:r>
    </w:p>
    <w:p w14:paraId="122C8191">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（4）开标记录和评标情况及说明，包括投标无效供应商名单及原因；</w:t>
      </w:r>
    </w:p>
    <w:p w14:paraId="6ABBC799">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（5）评标结果，确定的中标候选人名单或者经采购人委托直接确定的中标供应商；</w:t>
      </w:r>
    </w:p>
    <w:p w14:paraId="53604FF1">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（6）其他需要说明的情况，包括评标过程中投标供应商根据评标委员会要求进行的澄清、说明或者补正，评标委员会成员的更换等。</w:t>
      </w:r>
    </w:p>
    <w:p w14:paraId="70130962">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BCE70D9">
      <w:pPr>
        <w:pStyle w:val="98"/>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（三）评标争议处理规则</w:t>
      </w:r>
    </w:p>
    <w:p w14:paraId="17FB31D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0D953BB3">
      <w:pPr>
        <w:pStyle w:val="98"/>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（四）评审现场人员的保密责任</w:t>
      </w:r>
    </w:p>
    <w:p w14:paraId="36A1B4F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6C12AF21">
      <w:pPr>
        <w:pStyle w:val="98"/>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（五）视同供应商串通投标的情形，其投标无效：</w:t>
      </w:r>
    </w:p>
    <w:p w14:paraId="1103B2A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1．不同供应商的投标文件由同一单位或者个人编制；</w:t>
      </w:r>
    </w:p>
    <w:p w14:paraId="1D42277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2．不同供应商委托同一单位或者个人办理投标事宜；</w:t>
      </w:r>
    </w:p>
    <w:p w14:paraId="6A64A06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3．不同供应商的投标文件载明的项目管理成员或者联系人员为同一人；</w:t>
      </w:r>
    </w:p>
    <w:p w14:paraId="4E7EB3B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4．不同供应商的投标文件异常一致或者投标报价呈规律性差异。</w:t>
      </w:r>
    </w:p>
    <w:p w14:paraId="1AFBA6A9">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八、中标</w:t>
      </w:r>
    </w:p>
    <w:p w14:paraId="6E15CB6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1．采购代理机构在评标工作结束后2个工作日内将</w:t>
      </w:r>
      <w:r>
        <w:rPr>
          <w:rFonts w:hint="eastAsia" w:ascii="宋体" w:hAnsi="宋体" w:eastAsia="宋体" w:cs="宋体"/>
          <w:color w:val="auto"/>
          <w:sz w:val="24"/>
          <w:szCs w:val="24"/>
          <w:highlight w:val="none"/>
          <w:lang w:eastAsia="zh-CN"/>
        </w:rPr>
        <w:t>评标报告</w:t>
      </w:r>
      <w:r>
        <w:rPr>
          <w:rFonts w:hint="eastAsia" w:ascii="宋体" w:hAnsi="宋体" w:eastAsia="宋体" w:cs="宋体"/>
          <w:color w:val="auto"/>
          <w:sz w:val="24"/>
          <w:szCs w:val="24"/>
          <w:highlight w:val="none"/>
        </w:rPr>
        <w:t>送采购人。</w:t>
      </w:r>
    </w:p>
    <w:p w14:paraId="4A39AC3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31B350E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3．采购代理机构将在中标供应商确定之日起2个工作日内，在【</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"http://www.ccgp-shaanxi.gov.cn"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陕西省政府采购网</w:t>
      </w:r>
      <w:r>
        <w:rPr>
          <w:rStyle w:val="37"/>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"http://www.ccgp-shaanxi.gov.cn/" </w:instrText>
      </w:r>
      <w:r>
        <w:rPr>
          <w:rFonts w:hint="eastAsia" w:ascii="宋体" w:hAnsi="宋体" w:eastAsia="宋体" w:cs="宋体"/>
          <w:color w:val="auto"/>
          <w:sz w:val="24"/>
          <w:szCs w:val="24"/>
          <w:highlight w:val="none"/>
        </w:rPr>
        <w:fldChar w:fldCharType="separate"/>
      </w:r>
      <w:r>
        <w:rPr>
          <w:rStyle w:val="37"/>
          <w:rFonts w:hint="eastAsia" w:ascii="宋体" w:hAnsi="宋体" w:eastAsia="宋体" w:cs="宋体"/>
          <w:color w:val="auto"/>
          <w:sz w:val="24"/>
          <w:szCs w:val="24"/>
          <w:highlight w:val="none"/>
          <w:u w:val="none"/>
        </w:rPr>
        <w:t>http://www.ccgp-shaanxi.gov.cn/</w:t>
      </w:r>
      <w:r>
        <w:rPr>
          <w:rStyle w:val="37"/>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）上公布中标结果。中标公告期限为1个工作日。</w:t>
      </w:r>
    </w:p>
    <w:p w14:paraId="24A0175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4．在公告中标结果的同时，采购代理机构将向中标供应商发出中标通知书，中标供应商在领取中标通知书时提供一正两副纸质投标文件</w:t>
      </w:r>
      <w:r>
        <w:rPr>
          <w:rFonts w:hint="eastAsia" w:ascii="宋体" w:hAnsi="宋体" w:eastAsia="宋体" w:cs="宋体"/>
          <w:color w:val="auto"/>
          <w:sz w:val="24"/>
          <w:szCs w:val="24"/>
          <w:highlight w:val="none"/>
          <w:lang w:eastAsia="zh-CN"/>
        </w:rPr>
        <w:t>及电子版一份</w:t>
      </w:r>
      <w:r>
        <w:rPr>
          <w:rFonts w:hint="eastAsia" w:ascii="宋体" w:hAnsi="宋体" w:eastAsia="宋体" w:cs="宋体"/>
          <w:color w:val="auto"/>
          <w:sz w:val="24"/>
          <w:szCs w:val="24"/>
          <w:highlight w:val="none"/>
        </w:rPr>
        <w:t>用于备案。</w:t>
      </w:r>
    </w:p>
    <w:p w14:paraId="401DD01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413C300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6．采购代理机构按照相关规定将</w:t>
      </w:r>
      <w:r>
        <w:rPr>
          <w:rFonts w:hint="eastAsia" w:ascii="宋体" w:hAnsi="宋体" w:eastAsia="宋体" w:cs="宋体"/>
          <w:color w:val="auto"/>
          <w:sz w:val="24"/>
          <w:szCs w:val="24"/>
          <w:highlight w:val="none"/>
          <w:lang w:eastAsia="zh-CN"/>
        </w:rPr>
        <w:t>评标报告</w:t>
      </w:r>
      <w:r>
        <w:rPr>
          <w:rFonts w:hint="eastAsia" w:ascii="宋体" w:hAnsi="宋体" w:eastAsia="宋体" w:cs="宋体"/>
          <w:color w:val="auto"/>
          <w:sz w:val="24"/>
          <w:szCs w:val="24"/>
          <w:highlight w:val="none"/>
        </w:rPr>
        <w:t>送监管机构备案。</w:t>
      </w:r>
    </w:p>
    <w:p w14:paraId="7BCFDC3B">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九、合同签订、履行及验收</w:t>
      </w:r>
    </w:p>
    <w:p w14:paraId="0A2917E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招标文件、投标文件、澄清、补充合同等为政府采购合同的组成部分，具有同等法律效力。</w:t>
      </w:r>
    </w:p>
    <w:p w14:paraId="2E949AFC">
      <w:pPr>
        <w:pStyle w:val="98"/>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（一）签订政府采购合同</w:t>
      </w:r>
    </w:p>
    <w:p w14:paraId="38A68BA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1．自中标通知书发出之日起</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日内，采购人与中标供应商应按招标文件和中标供应商投标文件的约定，签订书面合同。</w:t>
      </w:r>
    </w:p>
    <w:p w14:paraId="247C599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2．中标供应商拒绝与采购人签订合同的，采购人可以按照《政府采购法实施条例》第四十九条规定，确定下一候选人为中标供应商，也可以重新开展政府采购活动。</w:t>
      </w:r>
    </w:p>
    <w:p w14:paraId="6024A39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47721DD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4．质疑或者投诉事项可能影响中标、成交结果的，采购人应当暂停签订合同，已经签订合同的，应当中止履行合同。</w:t>
      </w:r>
    </w:p>
    <w:p w14:paraId="6DB33FCD">
      <w:pPr>
        <w:pStyle w:val="98"/>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（二）合同公告及备案</w:t>
      </w:r>
    </w:p>
    <w:p w14:paraId="7CD9BF3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1．采购人应当自政府采购合同签订之日起2个工作日内，在陕西省政府采购网对合同进行公示，但政府采购合同中涉及国家秘密、商业秘密的内容除外。</w:t>
      </w:r>
    </w:p>
    <w:p w14:paraId="4F65250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2．采购人应自合同签订之日起7个工作日内将政府采购合同报送监管机构备案。</w:t>
      </w:r>
    </w:p>
    <w:p w14:paraId="4AE64E9C">
      <w:pPr>
        <w:pStyle w:val="98"/>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（三）履行合同</w:t>
      </w:r>
    </w:p>
    <w:p w14:paraId="02466DD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1．合同一经签订，双方应严格履行合同规定的义务。</w:t>
      </w:r>
    </w:p>
    <w:p w14:paraId="06CF459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2．在合同履行过程中，如发生合同纠纷，合同双方应按照《中华人民共和国民法典》及合同条款的有关规定进行处理。</w:t>
      </w:r>
    </w:p>
    <w:p w14:paraId="79A78FC4">
      <w:pPr>
        <w:pStyle w:val="98"/>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（四）验收或考核</w:t>
      </w:r>
    </w:p>
    <w:p w14:paraId="258D38B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1．采购人严格按照国家相关法律法规的要求及招标文件的要求组织验收或考核。</w:t>
      </w:r>
    </w:p>
    <w:p w14:paraId="0A71FBB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2．采购人按《关于促进政府采购公平竞争优化营商环境的通知》（财库〔2019〕38号）、《保障中小企业款项支付条例》（国务院令第728号）等规定及采购合同的约定进行支付合同款项。</w:t>
      </w:r>
    </w:p>
    <w:p w14:paraId="3C1B0238">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十、废标及重新招标</w:t>
      </w:r>
    </w:p>
    <w:p w14:paraId="02E3D0A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FE73FA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2．根据《政府采购法》第三十六条规定，在招标采购中，出现下列情形之一的，本项目按废标处理：</w:t>
      </w:r>
    </w:p>
    <w:p w14:paraId="1F717F4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（1）出现影响采购公正的违法、违规行为的；</w:t>
      </w:r>
    </w:p>
    <w:p w14:paraId="1368E26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（2）供应商的报价均超过了采购预算，采购人不能支付的；</w:t>
      </w:r>
    </w:p>
    <w:p w14:paraId="3613249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（3）因重大变故，采购任务取消的。</w:t>
      </w:r>
    </w:p>
    <w:p w14:paraId="1CFDA54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废标后，除采购任务取消外，本项目将重新组织招标。</w:t>
      </w:r>
    </w:p>
    <w:p w14:paraId="6DDFB4D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5B340CA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4．招标文件未明确的其他事项，按《政府采购法》及其相关法律法规执行。</w:t>
      </w:r>
    </w:p>
    <w:p w14:paraId="268DDF71">
      <w:pPr>
        <w:rPr>
          <w:rFonts w:hint="eastAsia" w:ascii="宋体" w:hAnsi="宋体" w:eastAsia="宋体" w:cs="宋体"/>
          <w:color w:val="auto"/>
          <w:sz w:val="32"/>
          <w:szCs w:val="32"/>
          <w:highlight w:val="none"/>
        </w:rPr>
      </w:pPr>
      <w:bookmarkStart w:id="14" w:name="_Toc100219614"/>
      <w:r>
        <w:rPr>
          <w:rFonts w:hint="eastAsia" w:ascii="宋体" w:hAnsi="宋体" w:eastAsia="宋体" w:cs="宋体"/>
          <w:color w:val="auto"/>
          <w:sz w:val="32"/>
          <w:szCs w:val="32"/>
          <w:highlight w:val="none"/>
        </w:rPr>
        <w:br w:type="page"/>
      </w:r>
    </w:p>
    <w:p w14:paraId="3A393314">
      <w:pPr>
        <w:spacing w:before="90" w:after="0" w:line="360" w:lineRule="auto"/>
        <w:ind w:right="0"/>
        <w:jc w:val="both"/>
        <w:rPr>
          <w:rFonts w:hint="eastAsia" w:asciiTheme="minorEastAsia" w:hAnsiTheme="minorEastAsia" w:eastAsiaTheme="minorEastAsia" w:cstheme="minorEastAsia"/>
          <w:color w:val="auto"/>
          <w:spacing w:val="0"/>
          <w:sz w:val="24"/>
          <w:szCs w:val="24"/>
          <w:highlight w:val="none"/>
        </w:rPr>
      </w:pPr>
      <w:r>
        <w:rPr>
          <w:rFonts w:hint="eastAsia" w:ascii="宋体" w:hAnsi="宋体"/>
          <w:b/>
          <w:color w:val="auto"/>
          <w:sz w:val="24"/>
          <w:highlight w:val="none"/>
          <w:lang w:eastAsia="zh-CN"/>
        </w:rPr>
        <w:t>附件一</w:t>
      </w:r>
      <w:r>
        <w:rPr>
          <w:rFonts w:hint="eastAsia" w:ascii="宋体" w:hAnsi="宋体"/>
          <w:b/>
          <w:color w:val="auto"/>
          <w:sz w:val="24"/>
          <w:highlight w:val="none"/>
          <w:lang w:val="en-US" w:eastAsia="zh-CN"/>
        </w:rPr>
        <w:t xml:space="preserve">                            </w:t>
      </w:r>
      <w:r>
        <w:rPr>
          <w:rFonts w:hint="eastAsia" w:asciiTheme="minorEastAsia" w:hAnsiTheme="minorEastAsia" w:eastAsiaTheme="minorEastAsia" w:cstheme="minorEastAsia"/>
          <w:color w:val="auto"/>
          <w:spacing w:val="-8"/>
          <w:sz w:val="24"/>
          <w:szCs w:val="24"/>
          <w:highlight w:val="none"/>
        </w:rPr>
        <w:t>“政采贷”业务介绍</w:t>
      </w:r>
    </w:p>
    <w:p w14:paraId="52A3ABC1">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auto"/>
          <w:spacing w:val="0"/>
          <w:sz w:val="24"/>
          <w:szCs w:val="24"/>
          <w:highlight w:val="none"/>
        </w:rPr>
      </w:pPr>
      <w:r>
        <w:rPr>
          <w:rFonts w:hint="eastAsia" w:asciiTheme="minorEastAsia" w:hAnsiTheme="minorEastAsia" w:eastAsiaTheme="minorEastAsia" w:cstheme="minorEastAsia"/>
          <w:color w:val="auto"/>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Theme="minorEastAsia" w:hAnsiTheme="minorEastAsia" w:eastAsiaTheme="minorEastAsia" w:cstheme="minorEastAsia"/>
          <w:color w:val="auto"/>
          <w:spacing w:val="5"/>
          <w:sz w:val="24"/>
          <w:szCs w:val="24"/>
          <w:highlight w:val="none"/>
        </w:rPr>
        <w:t>采贷以中小企业的政府采购信用和国库集中支付作为履约保障的政府采购合同</w:t>
      </w:r>
      <w:r>
        <w:rPr>
          <w:rFonts w:hint="eastAsia" w:asciiTheme="minorEastAsia" w:hAnsiTheme="minorEastAsia" w:eastAsiaTheme="minorEastAsia" w:cstheme="minorEastAsia"/>
          <w:color w:val="auto"/>
          <w:spacing w:val="0"/>
          <w:sz w:val="24"/>
          <w:szCs w:val="24"/>
          <w:highlight w:val="none"/>
        </w:rPr>
        <w:t>为基础，借力政府采购诚信保障，提供了银企对接的机会和相关的服务支持。</w:t>
      </w:r>
    </w:p>
    <w:p w14:paraId="6EED1F80">
      <w:pPr>
        <w:spacing w:line="360" w:lineRule="auto"/>
        <w:rPr>
          <w:rFonts w:hint="eastAsia" w:asciiTheme="minorEastAsia" w:hAnsiTheme="minorEastAsia" w:eastAsiaTheme="minorEastAsia" w:cstheme="minorEastAsia"/>
          <w:color w:val="auto"/>
          <w:spacing w:val="0"/>
          <w:sz w:val="24"/>
          <w:szCs w:val="24"/>
          <w:highlight w:val="none"/>
        </w:rPr>
      </w:pPr>
      <w:r>
        <w:rPr>
          <w:rFonts w:hint="eastAsia" w:asciiTheme="minorEastAsia" w:hAnsiTheme="minorEastAsia" w:eastAsiaTheme="minorEastAsia" w:cstheme="minorEastAsia"/>
          <w:color w:val="auto"/>
          <w:spacing w:val="0"/>
          <w:sz w:val="24"/>
          <w:szCs w:val="24"/>
          <w:highlight w:val="none"/>
        </w:rPr>
        <w:br w:type="page"/>
      </w:r>
    </w:p>
    <w:p w14:paraId="1C81517A">
      <w:pPr>
        <w:pStyle w:val="104"/>
        <w:spacing w:before="40" w:line="420" w:lineRule="exact"/>
        <w:rPr>
          <w:rFonts w:hint="eastAsia" w:ascii="宋体" w:hAnsi="宋体"/>
          <w:b/>
          <w:color w:val="auto"/>
          <w:sz w:val="24"/>
          <w:highlight w:val="none"/>
          <w:lang w:eastAsia="zh-CN"/>
        </w:rPr>
      </w:pPr>
      <w:r>
        <w:rPr>
          <w:rFonts w:hint="eastAsia" w:ascii="宋体" w:hAnsi="宋体"/>
          <w:b/>
          <w:color w:val="auto"/>
          <w:sz w:val="24"/>
          <w:highlight w:val="none"/>
          <w:lang w:eastAsia="zh-CN"/>
        </w:rPr>
        <w:t>附件二</w:t>
      </w:r>
    </w:p>
    <w:p w14:paraId="3A64A290">
      <w:pPr>
        <w:spacing w:before="281" w:after="0" w:line="360" w:lineRule="auto"/>
        <w:ind w:left="480" w:right="0" w:firstLine="0"/>
        <w:jc w:val="center"/>
        <w:rPr>
          <w:rFonts w:hint="eastAsia" w:asciiTheme="minorEastAsia" w:hAnsiTheme="minorEastAsia" w:eastAsiaTheme="minorEastAsia" w:cstheme="minorEastAsia"/>
          <w:color w:val="auto"/>
          <w:spacing w:val="-3"/>
          <w:sz w:val="24"/>
          <w:highlight w:val="none"/>
        </w:rPr>
      </w:pPr>
      <w:r>
        <w:rPr>
          <w:rFonts w:hint="eastAsia" w:asciiTheme="minorEastAsia" w:hAnsiTheme="minorEastAsia" w:eastAsiaTheme="minorEastAsia" w:cstheme="minorEastAsia"/>
          <w:color w:val="auto"/>
          <w:spacing w:val="-3"/>
          <w:sz w:val="24"/>
          <w:highlight w:val="none"/>
        </w:rPr>
        <w:t>陕西政府采购供应商信用融资信息服务平台操作手册</w:t>
      </w:r>
    </w:p>
    <w:p w14:paraId="733F4257">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auto"/>
          <w:spacing w:val="0"/>
          <w:sz w:val="24"/>
          <w:highlight w:val="none"/>
        </w:rPr>
      </w:pPr>
      <w:r>
        <w:rPr>
          <w:rFonts w:hint="eastAsia" w:asciiTheme="minorEastAsia" w:hAnsiTheme="minorEastAsia" w:eastAsiaTheme="minorEastAsia" w:cstheme="minorEastAsia"/>
          <w:color w:val="auto"/>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Theme="minorEastAsia" w:hAnsiTheme="minorEastAsia" w:eastAsiaTheme="minorEastAsia" w:cstheme="minorEastAsia"/>
          <w:color w:val="auto"/>
          <w:spacing w:val="0"/>
          <w:sz w:val="24"/>
          <w:highlight w:val="none"/>
        </w:rPr>
        <w:t>功能。</w:t>
      </w:r>
    </w:p>
    <w:p w14:paraId="448A99D8">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Theme="minorEastAsia" w:hAnsiTheme="minorEastAsia" w:eastAsiaTheme="minorEastAsia" w:cstheme="minorEastAsia"/>
          <w:color w:val="auto"/>
          <w:spacing w:val="0"/>
          <w:sz w:val="24"/>
          <w:highlight w:val="none"/>
        </w:rPr>
      </w:pPr>
      <w:r>
        <w:rPr>
          <w:rFonts w:hint="eastAsia" w:asciiTheme="minorEastAsia" w:hAnsiTheme="minorEastAsia" w:eastAsiaTheme="minorEastAsia" w:cstheme="minorEastAsia"/>
          <w:color w:val="auto"/>
          <w:spacing w:val="0"/>
          <w:sz w:val="24"/>
          <w:highlight w:val="none"/>
        </w:rPr>
        <w:t>1</w:t>
      </w:r>
      <w:r>
        <w:rPr>
          <w:rFonts w:hint="eastAsia" w:asciiTheme="minorEastAsia" w:hAnsiTheme="minorEastAsia" w:cstheme="minorEastAsia"/>
          <w:color w:val="auto"/>
          <w:spacing w:val="0"/>
          <w:sz w:val="24"/>
          <w:highlight w:val="none"/>
          <w:lang w:val="en-US" w:eastAsia="zh-CN"/>
        </w:rPr>
        <w:t>.</w:t>
      </w:r>
      <w:r>
        <w:rPr>
          <w:rFonts w:hint="eastAsia" w:asciiTheme="minorEastAsia" w:hAnsiTheme="minorEastAsia" w:eastAsiaTheme="minorEastAsia" w:cstheme="minorEastAsia"/>
          <w:color w:val="auto"/>
          <w:spacing w:val="0"/>
          <w:sz w:val="24"/>
          <w:highlight w:val="none"/>
        </w:rPr>
        <w:t>首页</w:t>
      </w:r>
    </w:p>
    <w:p w14:paraId="32980B43">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auto"/>
          <w:spacing w:val="-3"/>
          <w:sz w:val="24"/>
          <w:highlight w:val="none"/>
        </w:rPr>
      </w:pPr>
      <w:r>
        <w:rPr>
          <w:rFonts w:hint="eastAsia" w:asciiTheme="minorEastAsia" w:hAnsiTheme="minorEastAsia" w:eastAsiaTheme="minorEastAsia" w:cstheme="minorEastAsia"/>
          <w:color w:val="auto"/>
          <w:spacing w:val="-3"/>
          <w:sz w:val="24"/>
          <w:highlight w:val="none"/>
        </w:rPr>
        <w:t>平台首页主要呈现陕西政府采购信用融资相关政策法规、基本操作流程及供应商帮助内容，供应商企业可由登录注册模块登录平台。</w:t>
      </w:r>
    </w:p>
    <w:p w14:paraId="55CAEB46">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Theme="minorEastAsia" w:hAnsiTheme="minorEastAsia" w:eastAsiaTheme="minorEastAsia" w:cstheme="minorEastAsia"/>
          <w:color w:val="auto"/>
          <w:spacing w:val="0"/>
          <w:sz w:val="24"/>
          <w:highlight w:val="none"/>
        </w:rPr>
      </w:pPr>
      <w:r>
        <w:rPr>
          <w:rFonts w:hint="eastAsia" w:asciiTheme="minorEastAsia" w:hAnsiTheme="minorEastAsia" w:eastAsiaTheme="minorEastAsia" w:cstheme="minorEastAsia"/>
          <w:color w:val="auto"/>
          <w:spacing w:val="0"/>
          <w:sz w:val="24"/>
          <w:highlight w:val="none"/>
        </w:rPr>
        <w:t>2</w:t>
      </w:r>
      <w:r>
        <w:rPr>
          <w:rFonts w:hint="eastAsia" w:asciiTheme="minorEastAsia" w:hAnsiTheme="minorEastAsia" w:cstheme="minorEastAsia"/>
          <w:color w:val="auto"/>
          <w:spacing w:val="0"/>
          <w:sz w:val="24"/>
          <w:highlight w:val="none"/>
          <w:lang w:val="en-US" w:eastAsia="zh-CN"/>
        </w:rPr>
        <w:t>.</w:t>
      </w:r>
      <w:r>
        <w:rPr>
          <w:rFonts w:hint="eastAsia" w:asciiTheme="minorEastAsia" w:hAnsiTheme="minorEastAsia" w:eastAsiaTheme="minorEastAsia" w:cstheme="minorEastAsia"/>
          <w:color w:val="auto"/>
          <w:spacing w:val="0"/>
          <w:sz w:val="24"/>
          <w:highlight w:val="none"/>
        </w:rPr>
        <w:t>登录</w:t>
      </w:r>
    </w:p>
    <w:p w14:paraId="326272FC">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auto"/>
          <w:spacing w:val="-3"/>
          <w:sz w:val="24"/>
          <w:highlight w:val="none"/>
          <w:lang w:eastAsia="zh-CN"/>
        </w:rPr>
      </w:pPr>
      <w:r>
        <w:rPr>
          <w:rFonts w:hint="eastAsia" w:asciiTheme="minorEastAsia" w:hAnsiTheme="minorEastAsia" w:eastAsiaTheme="minorEastAsia" w:cstheme="minorEastAsia"/>
          <w:color w:val="auto"/>
          <w:spacing w:val="-3"/>
          <w:sz w:val="24"/>
          <w:highlight w:val="none"/>
        </w:rPr>
        <w:t>陕西政府采购网的中标企业可用手机号注册用户，注册时需要填写企业名称及社会统一信用代码等信息，如下图：</w:t>
      </w:r>
    </w:p>
    <w:p w14:paraId="31D90AE5">
      <w:pPr>
        <w:rPr>
          <w:rFonts w:hint="eastAsia" w:ascii="宋体" w:hAnsi="宋体"/>
          <w:b/>
          <w:color w:val="auto"/>
          <w:sz w:val="24"/>
          <w:highlight w:val="none"/>
          <w:lang w:eastAsia="zh-CN"/>
        </w:rPr>
      </w:pPr>
      <w:r>
        <w:rPr>
          <w:rFonts w:hint="eastAsia" w:ascii="宋体" w:hAnsi="宋体"/>
          <w:b/>
          <w:color w:val="auto"/>
          <w:sz w:val="24"/>
          <w:highlight w:val="none"/>
          <w:lang w:eastAsia="zh-CN"/>
        </w:rPr>
        <w:drawing>
          <wp:inline distT="0" distB="0" distL="114300" distR="114300">
            <wp:extent cx="6127750" cy="3615690"/>
            <wp:effectExtent l="0" t="0" r="635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3"/>
                    <a:stretch>
                      <a:fillRect/>
                    </a:stretch>
                  </pic:blipFill>
                  <pic:spPr>
                    <a:xfrm>
                      <a:off x="0" y="0"/>
                      <a:ext cx="6127750" cy="3615690"/>
                    </a:xfrm>
                    <a:prstGeom prst="rect">
                      <a:avLst/>
                    </a:prstGeom>
                  </pic:spPr>
                </pic:pic>
              </a:graphicData>
            </a:graphic>
          </wp:inline>
        </w:drawing>
      </w:r>
    </w:p>
    <w:p w14:paraId="65FA394E">
      <w:pPr>
        <w:rPr>
          <w:rFonts w:hint="eastAsia" w:ascii="宋体" w:hAnsi="宋体"/>
          <w:b/>
          <w:color w:val="auto"/>
          <w:sz w:val="24"/>
          <w:highlight w:val="none"/>
          <w:lang w:eastAsia="zh-CN"/>
        </w:rPr>
      </w:pPr>
      <w:r>
        <w:rPr>
          <w:rFonts w:hint="eastAsia" w:ascii="宋体" w:hAnsi="宋体"/>
          <w:b/>
          <w:color w:val="auto"/>
          <w:sz w:val="24"/>
          <w:highlight w:val="none"/>
          <w:lang w:eastAsia="zh-CN"/>
        </w:rPr>
        <w:br w:type="page"/>
      </w:r>
    </w:p>
    <w:p w14:paraId="18BDF3E3">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auto"/>
          <w:spacing w:val="-3"/>
          <w:sz w:val="24"/>
          <w:highlight w:val="none"/>
        </w:rPr>
      </w:pPr>
      <w:r>
        <w:rPr>
          <w:rFonts w:hint="eastAsia" w:asciiTheme="minorEastAsia" w:hAnsiTheme="minorEastAsia" w:eastAsiaTheme="minorEastAsia" w:cstheme="minorEastAsia"/>
          <w:color w:val="auto"/>
          <w:spacing w:val="-3"/>
          <w:sz w:val="24"/>
          <w:highlight w:val="none"/>
        </w:rPr>
        <w:t>注册成功后，凭手机登录平台，如下图，点击首页：</w:t>
      </w:r>
    </w:p>
    <w:p w14:paraId="729E33A0">
      <w:pPr>
        <w:rPr>
          <w:color w:val="auto"/>
          <w:highlight w:val="none"/>
          <w:lang w:eastAsia="zh-CN"/>
        </w:rPr>
      </w:pPr>
      <w:r>
        <w:rPr>
          <w:color w:val="auto"/>
          <w:highlight w:val="none"/>
          <w:lang w:eastAsia="zh-CN"/>
        </w:rPr>
        <w:drawing>
          <wp:inline distT="0" distB="0" distL="114300" distR="114300">
            <wp:extent cx="6071235" cy="3425190"/>
            <wp:effectExtent l="0" t="0" r="5715" b="381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4"/>
                    <a:stretch>
                      <a:fillRect/>
                    </a:stretch>
                  </pic:blipFill>
                  <pic:spPr>
                    <a:xfrm>
                      <a:off x="0" y="0"/>
                      <a:ext cx="6071235" cy="3425190"/>
                    </a:xfrm>
                    <a:prstGeom prst="rect">
                      <a:avLst/>
                    </a:prstGeom>
                  </pic:spPr>
                </pic:pic>
              </a:graphicData>
            </a:graphic>
          </wp:inline>
        </w:drawing>
      </w:r>
    </w:p>
    <w:p w14:paraId="14591D67">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auto"/>
          <w:spacing w:val="-3"/>
          <w:sz w:val="24"/>
          <w:highlight w:val="none"/>
        </w:rPr>
      </w:pPr>
      <w:r>
        <w:rPr>
          <w:rFonts w:hint="eastAsia" w:asciiTheme="minorEastAsia" w:hAnsiTheme="minorEastAsia" w:eastAsiaTheme="minorEastAsia" w:cstheme="minorEastAsia"/>
          <w:color w:val="auto"/>
          <w:spacing w:val="-3"/>
          <w:sz w:val="24"/>
          <w:highlight w:val="none"/>
        </w:rPr>
        <w:t>3.点击“可融资项目/合同”，再点击申请贷款：</w:t>
      </w:r>
    </w:p>
    <w:p w14:paraId="46DD29E4">
      <w:pPr>
        <w:rPr>
          <w:color w:val="auto"/>
          <w:highlight w:val="none"/>
          <w:lang w:eastAsia="zh-CN"/>
        </w:rPr>
      </w:pPr>
      <w:r>
        <w:rPr>
          <w:color w:val="auto"/>
          <w:highlight w:val="none"/>
          <w:lang w:eastAsia="zh-CN"/>
        </w:rPr>
        <w:drawing>
          <wp:inline distT="0" distB="0" distL="114300" distR="114300">
            <wp:extent cx="6101715" cy="3441065"/>
            <wp:effectExtent l="0" t="0" r="13335" b="6985"/>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5"/>
                    <a:stretch>
                      <a:fillRect/>
                    </a:stretch>
                  </pic:blipFill>
                  <pic:spPr>
                    <a:xfrm>
                      <a:off x="0" y="0"/>
                      <a:ext cx="6101715" cy="3441065"/>
                    </a:xfrm>
                    <a:prstGeom prst="rect">
                      <a:avLst/>
                    </a:prstGeom>
                  </pic:spPr>
                </pic:pic>
              </a:graphicData>
            </a:graphic>
          </wp:inline>
        </w:drawing>
      </w:r>
    </w:p>
    <w:p w14:paraId="4196BD95">
      <w:pPr>
        <w:rPr>
          <w:color w:val="auto"/>
          <w:highlight w:val="none"/>
          <w:lang w:eastAsia="zh-CN"/>
        </w:rPr>
      </w:pPr>
      <w:r>
        <w:rPr>
          <w:color w:val="auto"/>
          <w:highlight w:val="none"/>
          <w:lang w:eastAsia="zh-CN"/>
        </w:rPr>
        <w:br w:type="page"/>
      </w:r>
    </w:p>
    <w:p w14:paraId="797D8D46">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auto"/>
          <w:spacing w:val="-3"/>
          <w:sz w:val="24"/>
          <w:highlight w:val="none"/>
        </w:rPr>
      </w:pPr>
      <w:r>
        <w:rPr>
          <w:rFonts w:hint="eastAsia" w:asciiTheme="minorEastAsia" w:hAnsiTheme="minorEastAsia" w:eastAsiaTheme="minorEastAsia" w:cstheme="minorEastAsia"/>
          <w:color w:val="auto"/>
          <w:spacing w:val="-3"/>
          <w:sz w:val="24"/>
          <w:highlight w:val="none"/>
        </w:rPr>
        <w:t>4.勾选融资意向书：</w:t>
      </w:r>
    </w:p>
    <w:p w14:paraId="2E5CA4BC">
      <w:pPr>
        <w:rPr>
          <w:color w:val="auto"/>
          <w:highlight w:val="none"/>
          <w:lang w:eastAsia="zh-CN"/>
        </w:rPr>
      </w:pPr>
      <w:r>
        <w:rPr>
          <w:color w:val="auto"/>
          <w:highlight w:val="none"/>
          <w:lang w:eastAsia="zh-CN"/>
        </w:rPr>
        <w:drawing>
          <wp:inline distT="0" distB="0" distL="114300" distR="114300">
            <wp:extent cx="6142990" cy="3464560"/>
            <wp:effectExtent l="0" t="0" r="10160" b="254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6"/>
                    <a:stretch>
                      <a:fillRect/>
                    </a:stretch>
                  </pic:blipFill>
                  <pic:spPr>
                    <a:xfrm>
                      <a:off x="0" y="0"/>
                      <a:ext cx="6142990" cy="3464560"/>
                    </a:xfrm>
                    <a:prstGeom prst="rect">
                      <a:avLst/>
                    </a:prstGeom>
                  </pic:spPr>
                </pic:pic>
              </a:graphicData>
            </a:graphic>
          </wp:inline>
        </w:drawing>
      </w:r>
    </w:p>
    <w:p w14:paraId="252366D9">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Theme="minorEastAsia" w:hAnsiTheme="minorEastAsia" w:eastAsiaTheme="minorEastAsia" w:cstheme="minorEastAsia"/>
          <w:color w:val="auto"/>
          <w:spacing w:val="-3"/>
          <w:sz w:val="24"/>
          <w:highlight w:val="none"/>
        </w:rPr>
      </w:pPr>
      <w:r>
        <w:rPr>
          <w:rFonts w:hint="eastAsia" w:asciiTheme="minorEastAsia" w:hAnsiTheme="minorEastAsia" w:eastAsiaTheme="minorEastAsia" w:cstheme="minorEastAsia"/>
          <w:color w:val="auto"/>
          <w:spacing w:val="-3"/>
          <w:sz w:val="24"/>
          <w:highlight w:val="none"/>
        </w:rPr>
        <w:t>5.页面下拉，输入贷款金额、预计用款周期、可接受利率、贷款资金用途，点击保存，选择办理贷款机构所在地，然后点击下一步。</w:t>
      </w:r>
    </w:p>
    <w:p w14:paraId="01F0778F">
      <w:pPr>
        <w:rPr>
          <w:color w:val="auto"/>
          <w:highlight w:val="none"/>
          <w:lang w:eastAsia="zh-CN"/>
        </w:rPr>
      </w:pPr>
      <w:r>
        <w:rPr>
          <w:color w:val="auto"/>
          <w:highlight w:val="none"/>
          <w:lang w:eastAsia="zh-CN"/>
        </w:rPr>
        <w:drawing>
          <wp:inline distT="0" distB="0" distL="114300" distR="114300">
            <wp:extent cx="6176645" cy="3484880"/>
            <wp:effectExtent l="0" t="0" r="14605" b="1270"/>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7"/>
                    <a:stretch>
                      <a:fillRect/>
                    </a:stretch>
                  </pic:blipFill>
                  <pic:spPr>
                    <a:xfrm>
                      <a:off x="0" y="0"/>
                      <a:ext cx="6176645" cy="3484880"/>
                    </a:xfrm>
                    <a:prstGeom prst="rect">
                      <a:avLst/>
                    </a:prstGeom>
                  </pic:spPr>
                </pic:pic>
              </a:graphicData>
            </a:graphic>
          </wp:inline>
        </w:drawing>
      </w:r>
      <w:r>
        <w:rPr>
          <w:color w:val="auto"/>
          <w:highlight w:val="none"/>
          <w:lang w:eastAsia="zh-CN"/>
        </w:rPr>
        <w:br w:type="page"/>
      </w:r>
    </w:p>
    <w:p w14:paraId="5F0A5448">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auto"/>
          <w:spacing w:val="-3"/>
          <w:sz w:val="24"/>
          <w:highlight w:val="none"/>
        </w:rPr>
      </w:pPr>
      <w:r>
        <w:rPr>
          <w:rFonts w:hint="eastAsia" w:asciiTheme="minorEastAsia" w:hAnsiTheme="minorEastAsia" w:eastAsiaTheme="minorEastAsia" w:cstheme="minorEastAsia"/>
          <w:color w:val="auto"/>
          <w:spacing w:val="-3"/>
          <w:sz w:val="24"/>
          <w:highlight w:val="none"/>
        </w:rPr>
        <w:t>6.在意向银行列点击提交贷款意向并确定：</w:t>
      </w:r>
    </w:p>
    <w:p w14:paraId="3ACB9157">
      <w:pPr>
        <w:rPr>
          <w:color w:val="auto"/>
          <w:highlight w:val="none"/>
          <w:lang w:eastAsia="zh-CN"/>
        </w:rPr>
      </w:pPr>
      <w:r>
        <w:rPr>
          <w:color w:val="auto"/>
          <w:highlight w:val="none"/>
          <w:lang w:eastAsia="zh-CN"/>
        </w:rPr>
        <w:drawing>
          <wp:inline distT="0" distB="0" distL="114300" distR="114300">
            <wp:extent cx="6113780" cy="3449320"/>
            <wp:effectExtent l="0" t="0" r="1270" b="17780"/>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8"/>
                    <a:stretch>
                      <a:fillRect/>
                    </a:stretch>
                  </pic:blipFill>
                  <pic:spPr>
                    <a:xfrm>
                      <a:off x="0" y="0"/>
                      <a:ext cx="6113780" cy="3449320"/>
                    </a:xfrm>
                    <a:prstGeom prst="rect">
                      <a:avLst/>
                    </a:prstGeom>
                  </pic:spPr>
                </pic:pic>
              </a:graphicData>
            </a:graphic>
          </wp:inline>
        </w:drawing>
      </w:r>
    </w:p>
    <w:p w14:paraId="5FE48CAE">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Theme="minorEastAsia" w:hAnsiTheme="minorEastAsia" w:eastAsiaTheme="minorEastAsia" w:cstheme="minorEastAsia"/>
          <w:color w:val="auto"/>
          <w:spacing w:val="-3"/>
          <w:sz w:val="24"/>
          <w:highlight w:val="none"/>
        </w:rPr>
      </w:pPr>
      <w:r>
        <w:rPr>
          <w:rFonts w:hint="eastAsia" w:asciiTheme="minorEastAsia" w:hAnsiTheme="minorEastAsia" w:eastAsiaTheme="minorEastAsia" w:cstheme="minorEastAsia"/>
          <w:color w:val="auto"/>
          <w:spacing w:val="-3"/>
          <w:sz w:val="24"/>
          <w:highlight w:val="none"/>
        </w:rPr>
        <w:t>7.在申请进度栏即可查看本笔融资进度：</w:t>
      </w:r>
    </w:p>
    <w:p w14:paraId="59CB5B35">
      <w:pPr>
        <w:rPr>
          <w:color w:val="auto"/>
          <w:highlight w:val="none"/>
          <w:lang w:eastAsia="zh-CN"/>
        </w:rPr>
      </w:pPr>
      <w:r>
        <w:rPr>
          <w:color w:val="auto"/>
          <w:highlight w:val="none"/>
          <w:lang w:eastAsia="zh-CN"/>
        </w:rPr>
        <w:drawing>
          <wp:inline distT="0" distB="0" distL="114300" distR="114300">
            <wp:extent cx="6142990" cy="3464560"/>
            <wp:effectExtent l="0" t="0" r="10160" b="254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9"/>
                    <a:stretch>
                      <a:fillRect/>
                    </a:stretch>
                  </pic:blipFill>
                  <pic:spPr>
                    <a:xfrm>
                      <a:off x="0" y="0"/>
                      <a:ext cx="6142990" cy="3464560"/>
                    </a:xfrm>
                    <a:prstGeom prst="rect">
                      <a:avLst/>
                    </a:prstGeom>
                  </pic:spPr>
                </pic:pic>
              </a:graphicData>
            </a:graphic>
          </wp:inline>
        </w:drawing>
      </w:r>
    </w:p>
    <w:p w14:paraId="486C3513">
      <w:pPr>
        <w:rPr>
          <w:color w:val="auto"/>
          <w:highlight w:val="none"/>
          <w:lang w:eastAsia="zh-CN"/>
        </w:rPr>
      </w:pPr>
      <w:r>
        <w:rPr>
          <w:color w:val="auto"/>
          <w:highlight w:val="none"/>
          <w:lang w:eastAsia="zh-CN"/>
        </w:rPr>
        <w:br w:type="page"/>
      </w:r>
    </w:p>
    <w:p w14:paraId="2380FE0B">
      <w:pPr>
        <w:pStyle w:val="104"/>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color w:val="auto"/>
          <w:sz w:val="24"/>
          <w:highlight w:val="none"/>
          <w:lang w:eastAsia="zh-CN"/>
        </w:rPr>
      </w:pPr>
      <w:r>
        <w:rPr>
          <w:rFonts w:hint="eastAsia" w:ascii="宋体" w:hAnsi="宋体"/>
          <w:b/>
          <w:color w:val="auto"/>
          <w:sz w:val="24"/>
          <w:highlight w:val="none"/>
          <w:lang w:eastAsia="zh-CN"/>
        </w:rPr>
        <w:t>附件三</w:t>
      </w:r>
    </w:p>
    <w:p w14:paraId="0241F262">
      <w:pPr>
        <w:pStyle w:val="104"/>
        <w:spacing w:before="40" w:line="360" w:lineRule="auto"/>
        <w:jc w:val="center"/>
        <w:rPr>
          <w:rFonts w:hint="eastAsia" w:ascii="宋体" w:hAnsi="宋体" w:eastAsia="宋体" w:cs="宋体"/>
          <w:color w:val="auto"/>
          <w:spacing w:val="0"/>
          <w:sz w:val="24"/>
          <w:szCs w:val="22"/>
          <w:highlight w:val="none"/>
          <w:lang w:val="en-US" w:eastAsia="zh-CN" w:bidi="ar-SA"/>
        </w:rPr>
      </w:pPr>
      <w:r>
        <w:rPr>
          <w:rFonts w:hint="eastAsia" w:ascii="宋体" w:hAnsi="宋体" w:eastAsia="宋体" w:cs="宋体"/>
          <w:color w:val="auto"/>
          <w:sz w:val="24"/>
          <w:szCs w:val="24"/>
          <w:highlight w:val="none"/>
          <w:lang w:val="en-US" w:eastAsia="zh-CN"/>
        </w:rPr>
        <w:t>西安浐灞国际港</w:t>
      </w:r>
      <w:r>
        <w:rPr>
          <w:rFonts w:hint="eastAsia" w:ascii="宋体" w:hAnsi="宋体" w:eastAsia="宋体" w:cs="宋体"/>
          <w:color w:val="auto"/>
          <w:spacing w:val="0"/>
          <w:sz w:val="24"/>
          <w:szCs w:val="22"/>
          <w:highlight w:val="none"/>
          <w:lang w:val="en-US" w:eastAsia="en-US" w:bidi="ar-SA"/>
        </w:rPr>
        <w:t>开展政采贷业务</w:t>
      </w:r>
      <w:r>
        <w:rPr>
          <w:rFonts w:hint="eastAsia" w:ascii="宋体" w:hAnsi="宋体" w:eastAsia="宋体" w:cs="宋体"/>
          <w:color w:val="auto"/>
          <w:spacing w:val="0"/>
          <w:sz w:val="24"/>
          <w:highlight w:val="none"/>
        </w:rPr>
        <w:t>联系方式：</w:t>
      </w:r>
    </w:p>
    <w:p w14:paraId="7C5F3ACE">
      <w:pPr>
        <w:spacing w:before="165" w:after="0" w:line="360" w:lineRule="auto"/>
        <w:ind w:left="0" w:right="0" w:firstLine="0"/>
        <w:jc w:val="left"/>
        <w:rPr>
          <w:rFonts w:hint="eastAsia" w:ascii="宋体" w:hAnsi="宋体" w:eastAsia="宋体" w:cs="宋体"/>
          <w:color w:val="auto"/>
          <w:spacing w:val="0"/>
          <w:sz w:val="24"/>
          <w:highlight w:val="none"/>
        </w:rPr>
      </w:pPr>
    </w:p>
    <w:p w14:paraId="36F00B1C">
      <w:pPr>
        <w:spacing w:before="165" w:after="0" w:line="360" w:lineRule="auto"/>
        <w:ind w:left="0" w:right="0" w:firstLine="480" w:firstLineChars="200"/>
        <w:jc w:val="left"/>
        <w:rPr>
          <w:rFonts w:hint="eastAsia" w:ascii="宋体" w:hAnsi="宋体" w:eastAsia="宋体" w:cs="宋体"/>
          <w:color w:val="auto"/>
          <w:spacing w:val="0"/>
          <w:sz w:val="24"/>
          <w:highlight w:val="none"/>
        </w:rPr>
      </w:pPr>
      <w:r>
        <w:rPr>
          <w:rFonts w:hint="eastAsia" w:ascii="宋体" w:hAnsi="宋体" w:eastAsia="宋体" w:cs="宋体"/>
          <w:color w:val="auto"/>
          <w:sz w:val="24"/>
          <w:szCs w:val="24"/>
          <w:highlight w:val="none"/>
          <w:lang w:val="en-US" w:eastAsia="zh-CN"/>
        </w:rPr>
        <w:t>西安浐灞国际港</w:t>
      </w:r>
      <w:r>
        <w:rPr>
          <w:rFonts w:hint="eastAsia" w:ascii="宋体" w:hAnsi="宋体" w:eastAsia="宋体" w:cs="宋体"/>
          <w:color w:val="auto"/>
          <w:spacing w:val="0"/>
          <w:sz w:val="24"/>
          <w:highlight w:val="none"/>
        </w:rPr>
        <w:t>政府采购信用融资联系人：</w:t>
      </w:r>
      <w:r>
        <w:rPr>
          <w:rFonts w:hint="eastAsia" w:ascii="宋体" w:hAnsi="宋体" w:eastAsia="宋体" w:cs="宋体"/>
          <w:color w:val="auto"/>
          <w:spacing w:val="0"/>
          <w:sz w:val="24"/>
          <w:szCs w:val="24"/>
          <w:highlight w:val="none"/>
        </w:rPr>
        <w:t>王涛  15029991040</w:t>
      </w:r>
    </w:p>
    <w:p w14:paraId="31107AFD">
      <w:pPr>
        <w:rPr>
          <w:rFonts w:hint="eastAsia"/>
          <w:color w:val="auto"/>
          <w:highlight w:val="none"/>
        </w:rPr>
      </w:pPr>
    </w:p>
    <w:p w14:paraId="32CB5FC8">
      <w:pPr>
        <w:rPr>
          <w:rFonts w:hint="eastAsia" w:ascii="宋体" w:hAnsi="宋体"/>
          <w:color w:val="auto"/>
          <w:sz w:val="24"/>
          <w:szCs w:val="24"/>
          <w:highlight w:val="none"/>
          <w:lang w:val="zh-CN"/>
        </w:rPr>
      </w:pPr>
      <w:r>
        <w:rPr>
          <w:rFonts w:hint="eastAsia" w:ascii="宋体" w:hAnsi="宋体"/>
          <w:color w:val="auto"/>
          <w:sz w:val="24"/>
          <w:szCs w:val="24"/>
          <w:highlight w:val="none"/>
          <w:lang w:val="zh-CN"/>
        </w:rPr>
        <w:br w:type="page"/>
      </w:r>
    </w:p>
    <w:p w14:paraId="21FF403D">
      <w:pPr>
        <w:pStyle w:val="3"/>
        <w:numPr>
          <w:ilvl w:val="0"/>
          <w:numId w:val="2"/>
        </w:numPr>
        <w:rPr>
          <w:rFonts w:hint="eastAsia" w:ascii="宋体" w:hAnsi="宋体" w:eastAsia="宋体" w:cs="宋体"/>
          <w:b/>
          <w:bCs/>
          <w:color w:val="auto"/>
          <w:sz w:val="32"/>
          <w:szCs w:val="32"/>
          <w:highlight w:val="none"/>
        </w:rPr>
      </w:pPr>
      <w:bookmarkStart w:id="15" w:name="_Toc12670"/>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rPr>
        <w:t xml:space="preserve"> </w:t>
      </w:r>
      <w:bookmarkStart w:id="16" w:name="_Toc2616"/>
      <w:r>
        <w:rPr>
          <w:rFonts w:hint="eastAsia" w:ascii="宋体" w:hAnsi="宋体" w:eastAsia="宋体" w:cs="宋体"/>
          <w:b/>
          <w:bCs/>
          <w:color w:val="auto"/>
          <w:sz w:val="32"/>
          <w:szCs w:val="32"/>
          <w:highlight w:val="none"/>
        </w:rPr>
        <w:t>招标内容及要求</w:t>
      </w:r>
      <w:bookmarkEnd w:id="14"/>
      <w:bookmarkEnd w:id="15"/>
      <w:bookmarkEnd w:id="16"/>
    </w:p>
    <w:p w14:paraId="4EEB7CBB">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b/>
          <w:bCs w:val="0"/>
          <w:color w:val="auto"/>
          <w:sz w:val="24"/>
          <w:szCs w:val="24"/>
          <w:highlight w:val="none"/>
        </w:rPr>
      </w:pPr>
      <w:bookmarkStart w:id="17" w:name="_Toc100219615"/>
    </w:p>
    <w:p w14:paraId="5DA4CBF3">
      <w:pPr>
        <w:pStyle w:val="2"/>
        <w:spacing w:after="0" w:line="560" w:lineRule="exact"/>
        <w:ind w:firstLine="480" w:firstLineChars="200"/>
        <w:rPr>
          <w:rFonts w:hint="default"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 xml:space="preserve">                                 </w:t>
      </w:r>
      <w:r>
        <w:rPr>
          <w:rFonts w:hint="eastAsia" w:asciiTheme="minorEastAsia" w:hAnsiTheme="minorEastAsia" w:cstheme="minorEastAsia"/>
          <w:b/>
          <w:bCs/>
          <w:color w:val="auto"/>
          <w:sz w:val="24"/>
          <w:szCs w:val="24"/>
          <w:highlight w:val="none"/>
          <w:lang w:val="en-US" w:eastAsia="zh-CN"/>
        </w:rPr>
        <w:t>第一包</w:t>
      </w:r>
    </w:p>
    <w:p w14:paraId="294E999A">
      <w:pPr>
        <w:pStyle w:val="2"/>
        <w:spacing w:after="0" w:line="560" w:lineRule="exact"/>
        <w:ind w:firstLine="480" w:firstLineChars="200"/>
        <w:rPr>
          <w:rFonts w:hint="eastAsia" w:asciiTheme="minorEastAsia" w:hAnsiTheme="minorEastAsia" w:eastAsiaTheme="minorEastAsia" w:cstheme="minorEastAsia"/>
          <w:color w:val="auto"/>
          <w:sz w:val="24"/>
          <w:szCs w:val="24"/>
          <w:highlight w:val="none"/>
          <w:u w:val="single"/>
          <w:lang w:eastAsia="zh-CN"/>
        </w:rPr>
      </w:pPr>
      <w:r>
        <w:rPr>
          <w:rFonts w:hint="eastAsia" w:asciiTheme="minorEastAsia" w:hAnsiTheme="minorEastAsia" w:eastAsiaTheme="minorEastAsia" w:cstheme="minorEastAsia"/>
          <w:color w:val="auto"/>
          <w:sz w:val="24"/>
          <w:szCs w:val="24"/>
          <w:highlight w:val="none"/>
          <w:lang w:eastAsia="zh-CN"/>
        </w:rPr>
        <w:t>一、项目概况</w:t>
      </w:r>
    </w:p>
    <w:p w14:paraId="5B2C502D">
      <w:pPr>
        <w:pStyle w:val="2"/>
        <w:spacing w:after="0" w:line="56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为保障</w:t>
      </w:r>
      <w:r>
        <w:rPr>
          <w:rFonts w:hint="eastAsia" w:asciiTheme="minorEastAsia" w:hAnsiTheme="minorEastAsia" w:eastAsiaTheme="minorEastAsia" w:cstheme="minorEastAsia"/>
          <w:color w:val="auto"/>
          <w:sz w:val="24"/>
          <w:szCs w:val="24"/>
          <w:highlight w:val="none"/>
          <w:lang w:val="en-US" w:eastAsia="zh-CN"/>
        </w:rPr>
        <w:t>西安浐灞国际港辖区公办学校</w:t>
      </w:r>
      <w:r>
        <w:rPr>
          <w:rFonts w:hint="eastAsia" w:asciiTheme="minorEastAsia" w:hAnsiTheme="minorEastAsia" w:eastAsiaTheme="minorEastAsia" w:cstheme="minorEastAsia"/>
          <w:color w:val="auto"/>
          <w:sz w:val="24"/>
          <w:szCs w:val="24"/>
          <w:highlight w:val="none"/>
          <w:lang w:eastAsia="zh-CN"/>
        </w:rPr>
        <w:t>公办学校2025-2026学年“校园餐”工作顺利实施，需采购大宗食材（肉蛋）一批。</w:t>
      </w:r>
    </w:p>
    <w:p w14:paraId="19CDCB12">
      <w:pPr>
        <w:pStyle w:val="2"/>
        <w:spacing w:after="0" w:line="56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二、采购内容（包括采购品目、规格和数量）</w:t>
      </w:r>
    </w:p>
    <w:p w14:paraId="4D89B972">
      <w:pPr>
        <w:pStyle w:val="2"/>
        <w:spacing w:line="56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肉类:包括猪肉、牛肉、羊肉、鸡肉、鸭肉等</w:t>
      </w:r>
      <w:r>
        <w:rPr>
          <w:rFonts w:hint="eastAsia" w:asciiTheme="minorEastAsia" w:hAnsiTheme="minorEastAsia" w:cstheme="minorEastAsia"/>
          <w:color w:val="auto"/>
          <w:sz w:val="24"/>
          <w:szCs w:val="24"/>
          <w:highlight w:val="none"/>
          <w:lang w:eastAsia="zh-CN"/>
        </w:rPr>
        <w:t>。</w:t>
      </w:r>
    </w:p>
    <w:p w14:paraId="7071BBCE">
      <w:pPr>
        <w:pStyle w:val="2"/>
        <w:spacing w:line="560" w:lineRule="exact"/>
        <w:ind w:firstLine="480" w:firstLineChars="200"/>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蛋类:鸡蛋、鹌鹑蛋</w:t>
      </w:r>
      <w:r>
        <w:rPr>
          <w:rFonts w:hint="eastAsia" w:asciiTheme="minorEastAsia" w:hAnsiTheme="minorEastAsia" w:cstheme="minorEastAsia"/>
          <w:color w:val="auto"/>
          <w:sz w:val="24"/>
          <w:szCs w:val="24"/>
          <w:highlight w:val="none"/>
          <w:lang w:val="en-US" w:eastAsia="zh-CN"/>
        </w:rPr>
        <w:t>等。</w:t>
      </w:r>
    </w:p>
    <w:p w14:paraId="12C616A2">
      <w:pPr>
        <w:pStyle w:val="2"/>
        <w:spacing w:line="56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cstheme="minorEastAsia"/>
          <w:color w:val="auto"/>
          <w:sz w:val="24"/>
          <w:szCs w:val="24"/>
          <w:highlight w:val="none"/>
          <w:lang w:val="en-US" w:eastAsia="zh-CN"/>
        </w:rPr>
        <w:t xml:space="preserve">涉及学校： </w:t>
      </w:r>
      <w:r>
        <w:rPr>
          <w:rFonts w:hint="eastAsia" w:asciiTheme="minorEastAsia" w:hAnsiTheme="minorEastAsia" w:eastAsiaTheme="minorEastAsia" w:cstheme="minorEastAsia"/>
          <w:color w:val="auto"/>
          <w:sz w:val="24"/>
          <w:szCs w:val="24"/>
          <w:highlight w:val="none"/>
          <w:lang w:eastAsia="zh-CN"/>
        </w:rPr>
        <w:t>十幼、十七小、一幼、三幼、四幼、七幼、一中、二小、十九小</w:t>
      </w:r>
      <w:r>
        <w:rPr>
          <w:rFonts w:hint="eastAsia" w:asciiTheme="minorEastAsia" w:hAnsiTheme="minorEastAsia" w:cstheme="minorEastAsia"/>
          <w:color w:val="auto"/>
          <w:sz w:val="24"/>
          <w:szCs w:val="24"/>
          <w:highlight w:val="none"/>
          <w:lang w:val="en-US" w:eastAsia="zh-CN"/>
        </w:rPr>
        <w:t>等</w:t>
      </w:r>
      <w:r>
        <w:rPr>
          <w:rFonts w:hint="eastAsia" w:asciiTheme="minorEastAsia" w:hAnsiTheme="minorEastAsia" w:eastAsiaTheme="minorEastAsia" w:cstheme="minorEastAsia"/>
          <w:color w:val="auto"/>
          <w:sz w:val="24"/>
          <w:szCs w:val="24"/>
          <w:highlight w:val="none"/>
          <w:lang w:eastAsia="zh-CN"/>
        </w:rPr>
        <w:t>。</w:t>
      </w:r>
    </w:p>
    <w:p w14:paraId="36109B60">
      <w:pPr>
        <w:pStyle w:val="2"/>
        <w:spacing w:after="0" w:line="56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三、技术要求（包括对产品的认证、检验报告等）</w:t>
      </w:r>
    </w:p>
    <w:p w14:paraId="6DBC7D56">
      <w:pPr>
        <w:spacing w:after="0" w:line="560" w:lineRule="exact"/>
        <w:ind w:firstLine="480" w:firstLineChars="200"/>
        <w:jc w:val="both"/>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（一）肉类</w:t>
      </w:r>
    </w:p>
    <w:p w14:paraId="27F300B3">
      <w:pPr>
        <w:spacing w:after="0" w:line="560" w:lineRule="exact"/>
        <w:ind w:firstLine="480" w:firstLineChars="200"/>
        <w:jc w:val="both"/>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lang w:eastAsia="zh-CN"/>
        </w:rPr>
        <w:t>包括猪肉、牛肉、羊肉、鸡肉、鸭肉等。必须有定点屠宰场地，并在签订合同时提供生猪定点屠宰专用章、肉品检疫合格章、肉品品质检验合格章、动物产品检疫合格证明、陕西省畜禽产品品质检验合格证明（即“三章两证明”）。提供安全卫生包装物，每次送货携带动物检验合格证。色泽：色泽鲜艳，无注水</w:t>
      </w:r>
      <w:r>
        <w:rPr>
          <w:rFonts w:hint="eastAsia" w:asciiTheme="minorEastAsia" w:hAnsiTheme="minorEastAsia" w:eastAsiaTheme="minorEastAsia" w:cstheme="minorEastAsia"/>
          <w:bCs/>
          <w:color w:val="auto"/>
          <w:sz w:val="24"/>
          <w:szCs w:val="24"/>
          <w:highlight w:val="none"/>
          <w:lang w:eastAsia="zh-CN"/>
        </w:rPr>
        <w:t>，表面有一层微干薄膜，瘦肉新切面稍湿润，呈淡玫瑰色或淡红色；粘度：触摸有弹性，外表湿润，不粘手。气味：具有鲜肉固有的气味，无异味。</w:t>
      </w:r>
    </w:p>
    <w:p w14:paraId="56A7958E">
      <w:pPr>
        <w:spacing w:after="0" w:line="560" w:lineRule="exact"/>
        <w:ind w:firstLine="480" w:firstLineChars="200"/>
        <w:jc w:val="both"/>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（二）蛋类</w:t>
      </w:r>
    </w:p>
    <w:p w14:paraId="5818EDDA">
      <w:pPr>
        <w:spacing w:after="0" w:line="560" w:lineRule="exact"/>
        <w:ind w:firstLine="480" w:firstLineChars="200"/>
        <w:jc w:val="both"/>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鸡蛋：鸡蛋每个重量大于或等于60g，鸡蛋为无疫、无残留（兽药、饲料）、无违禁添加物、无异型蛋、脏蛋、血蛋。色泽鲜亮，蛋壳清洁完整无裂缝；确保为三日内新鲜鸡蛋。兽药残留合格（提供第三方检测报告）。</w:t>
      </w:r>
    </w:p>
    <w:p w14:paraId="02C20D98">
      <w:pPr>
        <w:spacing w:after="0" w:line="560" w:lineRule="exact"/>
        <w:ind w:firstLine="480" w:firstLineChars="200"/>
        <w:jc w:val="both"/>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鹌鹑蛋：单枚鹌鹑蛋重量≥9g。蛋形正常，大小均匀。鹌鹑蛋应来自健康鹌鹑群，无疫病；无兽药残留、无饲料有害物质残留；无抗生素残留；无任何违禁添加物。蛋壳清洁完整，无明显污物附着。蛋壳坚固，无破损、无裂纹、无砂壳、无畸形蛋。蛋壳表面可有正常褐色或青色斑纹（此为鹌鹑蛋特征），但无霉斑、无异常附着物。</w:t>
      </w:r>
    </w:p>
    <w:p w14:paraId="61B79C72">
      <w:pPr>
        <w:spacing w:after="0" w:line="560" w:lineRule="exact"/>
        <w:ind w:firstLine="480" w:firstLineChars="200"/>
        <w:jc w:val="both"/>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除以上要求外，肉蛋类还必须满足国家最新的相关标准中的其他内容。</w:t>
      </w:r>
    </w:p>
    <w:p w14:paraId="230FA9A5">
      <w:pPr>
        <w:pStyle w:val="130"/>
        <w:spacing w:line="540" w:lineRule="exact"/>
        <w:ind w:firstLine="482"/>
        <w:jc w:val="both"/>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lang w:eastAsia="zh-CN"/>
        </w:rPr>
        <w:t>肉蛋类采购，供应商根据自身情况，报出食材折扣，折扣以百分比形式报价，最终结算以“辛家庙摩尔农产品交易中心批发价格为基准价*投标人食材折扣。折扣后的价格包含将采购人所需食材配送到指定地点的所有费用。</w:t>
      </w:r>
    </w:p>
    <w:p w14:paraId="68D41D9C">
      <w:pPr>
        <w:pStyle w:val="130"/>
        <w:spacing w:line="540" w:lineRule="exact"/>
        <w:ind w:firstLine="482"/>
        <w:jc w:val="both"/>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lang w:eastAsia="zh-CN"/>
        </w:rPr>
        <w:t>例如：折扣报90%，则结算价格=辛家庙摩尔农产品交易中心调研的批发价格基准价*90%。</w:t>
      </w:r>
    </w:p>
    <w:p w14:paraId="4CA4F209">
      <w:pPr>
        <w:pStyle w:val="2"/>
        <w:spacing w:after="0" w:line="56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四、服务要求</w:t>
      </w:r>
    </w:p>
    <w:p w14:paraId="7964CEC0">
      <w:pPr>
        <w:pStyle w:val="12"/>
        <w:spacing w:line="560" w:lineRule="exact"/>
        <w:ind w:firstLine="640"/>
        <w:rPr>
          <w:rFonts w:hint="eastAsia" w:asciiTheme="minorEastAsia" w:hAnsiTheme="minorEastAsia" w:eastAsiaTheme="minorEastAsia" w:cstheme="minorEastAsia"/>
          <w:bCs/>
          <w:color w:val="auto"/>
          <w:kern w:val="0"/>
          <w:sz w:val="24"/>
          <w:szCs w:val="24"/>
          <w:highlight w:val="none"/>
        </w:rPr>
      </w:pPr>
      <w:r>
        <w:rPr>
          <w:rFonts w:hint="eastAsia" w:asciiTheme="minorEastAsia" w:hAnsiTheme="minorEastAsia" w:eastAsiaTheme="minorEastAsia" w:cstheme="minorEastAsia"/>
          <w:bCs/>
          <w:color w:val="auto"/>
          <w:kern w:val="0"/>
          <w:sz w:val="24"/>
          <w:szCs w:val="24"/>
          <w:highlight w:val="none"/>
        </w:rPr>
        <w:t>1、乙方须指派专人负责与甲方联系售后服务事宜；</w:t>
      </w:r>
    </w:p>
    <w:p w14:paraId="7ACA1788">
      <w:pPr>
        <w:pStyle w:val="12"/>
        <w:spacing w:line="560" w:lineRule="exact"/>
        <w:ind w:firstLine="640"/>
        <w:rPr>
          <w:rFonts w:hint="eastAsia" w:asciiTheme="minorEastAsia" w:hAnsiTheme="minorEastAsia" w:eastAsiaTheme="minorEastAsia" w:cstheme="minorEastAsia"/>
          <w:bCs/>
          <w:color w:val="auto"/>
          <w:kern w:val="0"/>
          <w:sz w:val="24"/>
          <w:szCs w:val="24"/>
          <w:highlight w:val="none"/>
        </w:rPr>
      </w:pPr>
      <w:r>
        <w:rPr>
          <w:rFonts w:hint="eastAsia" w:asciiTheme="minorEastAsia" w:hAnsiTheme="minorEastAsia" w:eastAsiaTheme="minorEastAsia" w:cstheme="minorEastAsia"/>
          <w:bCs/>
          <w:color w:val="auto"/>
          <w:kern w:val="0"/>
          <w:sz w:val="24"/>
          <w:szCs w:val="24"/>
          <w:highlight w:val="none"/>
        </w:rPr>
        <w:t>2、货物（产品）的现场卸货、摆放、存储、调配和启动监督；</w:t>
      </w:r>
    </w:p>
    <w:p w14:paraId="17A0B102">
      <w:pPr>
        <w:pStyle w:val="12"/>
        <w:spacing w:line="560" w:lineRule="exact"/>
        <w:ind w:firstLine="640"/>
        <w:rPr>
          <w:rFonts w:hint="eastAsia" w:asciiTheme="minorEastAsia" w:hAnsiTheme="minorEastAsia" w:eastAsiaTheme="minorEastAsia" w:cstheme="minorEastAsia"/>
          <w:bCs/>
          <w:color w:val="auto"/>
          <w:kern w:val="0"/>
          <w:sz w:val="24"/>
          <w:szCs w:val="24"/>
          <w:highlight w:val="none"/>
        </w:rPr>
      </w:pPr>
      <w:r>
        <w:rPr>
          <w:rFonts w:hint="eastAsia" w:asciiTheme="minorEastAsia" w:hAnsiTheme="minorEastAsia" w:eastAsiaTheme="minorEastAsia" w:cstheme="minorEastAsia"/>
          <w:bCs/>
          <w:color w:val="auto"/>
          <w:kern w:val="0"/>
          <w:sz w:val="24"/>
          <w:szCs w:val="24"/>
          <w:highlight w:val="none"/>
        </w:rPr>
        <w:t>3、就货物（产品）的存储、使用、保鲜等对甲方人员进行免费培训。主要培训内容为货物（产品）的基本结构、营养特性、如何科学营养均衡搭配、日常的保鲜及清理，常见问题的排除、紧急情况的处理等；</w:t>
      </w:r>
    </w:p>
    <w:p w14:paraId="7A26E769">
      <w:pPr>
        <w:pStyle w:val="12"/>
        <w:spacing w:line="560" w:lineRule="exact"/>
        <w:ind w:firstLine="640"/>
        <w:rPr>
          <w:rFonts w:hint="eastAsia" w:asciiTheme="minorEastAsia" w:hAnsiTheme="minorEastAsia" w:eastAsiaTheme="minorEastAsia" w:cstheme="minorEastAsia"/>
          <w:bCs/>
          <w:color w:val="auto"/>
          <w:kern w:val="0"/>
          <w:sz w:val="24"/>
          <w:szCs w:val="24"/>
          <w:highlight w:val="none"/>
        </w:rPr>
      </w:pPr>
      <w:r>
        <w:rPr>
          <w:rFonts w:hint="eastAsia" w:asciiTheme="minorEastAsia" w:hAnsiTheme="minorEastAsia" w:eastAsiaTheme="minorEastAsia" w:cstheme="minorEastAsia"/>
          <w:bCs/>
          <w:color w:val="auto"/>
          <w:kern w:val="0"/>
          <w:sz w:val="24"/>
          <w:szCs w:val="24"/>
          <w:highlight w:val="none"/>
        </w:rPr>
        <w:t>4、质保期内，乙方负责对其提供的货物（产品）出现包装严重变形、破损，食品污损、变异等情况时进行调换，并承诺不再收取任何费用；</w:t>
      </w:r>
    </w:p>
    <w:p w14:paraId="5F1E75FA">
      <w:pPr>
        <w:spacing w:after="0" w:line="560" w:lineRule="exact"/>
        <w:ind w:firstLine="480" w:firstLineChars="200"/>
        <w:jc w:val="both"/>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lang w:eastAsia="zh-CN"/>
        </w:rPr>
        <w:t>5、所有产品服务方式均为乙方上门服务，即由乙方派员到货物（产品）使用现场进行售后服务，由此产生的一切费用均由乙方承担；</w:t>
      </w:r>
    </w:p>
    <w:p w14:paraId="18FAC6AE">
      <w:pPr>
        <w:spacing w:line="560" w:lineRule="exact"/>
        <w:ind w:firstLine="480" w:firstLineChars="200"/>
        <w:rPr>
          <w:rFonts w:hint="eastAsia" w:asciiTheme="minorEastAsia" w:hAnsiTheme="minorEastAsia" w:cstheme="minorEastAsia"/>
          <w:bCs/>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lang w:eastAsia="zh-CN"/>
        </w:rPr>
        <w:t>6、肉类每天配送，蛋类每周至少配送二次，每次配送按照学校要求</w:t>
      </w:r>
      <w:r>
        <w:rPr>
          <w:rFonts w:hint="eastAsia" w:asciiTheme="minorEastAsia" w:hAnsiTheme="minorEastAsia" w:eastAsiaTheme="minorEastAsia" w:cstheme="minorEastAsia"/>
          <w:bCs/>
          <w:color w:val="auto"/>
          <w:sz w:val="24"/>
          <w:szCs w:val="24"/>
          <w:highlight w:val="none"/>
          <w:lang w:eastAsia="zh-Hans"/>
        </w:rPr>
        <w:t>时间</w:t>
      </w:r>
      <w:r>
        <w:rPr>
          <w:rFonts w:hint="eastAsia" w:asciiTheme="minorEastAsia" w:hAnsiTheme="minorEastAsia" w:eastAsiaTheme="minorEastAsia" w:cstheme="minorEastAsia"/>
          <w:bCs/>
          <w:color w:val="auto"/>
          <w:sz w:val="24"/>
          <w:szCs w:val="24"/>
          <w:highlight w:val="none"/>
          <w:lang w:eastAsia="zh-CN"/>
        </w:rPr>
        <w:t>准时送达。</w:t>
      </w:r>
      <w:r>
        <w:rPr>
          <w:rFonts w:hint="eastAsia" w:asciiTheme="minorEastAsia" w:hAnsiTheme="minorEastAsia" w:cstheme="minorEastAsia"/>
          <w:bCs/>
          <w:color w:val="auto"/>
          <w:sz w:val="24"/>
          <w:szCs w:val="24"/>
          <w:highlight w:val="none"/>
          <w:lang w:eastAsia="zh-CN"/>
        </w:rPr>
        <w:t>视天气温度和储存条件以及配送量，可协商提高配送频次。</w:t>
      </w:r>
    </w:p>
    <w:p w14:paraId="663F6ED3">
      <w:pPr>
        <w:spacing w:line="560" w:lineRule="exact"/>
        <w:ind w:firstLine="480" w:firstLineChars="200"/>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cstheme="minorEastAsia"/>
          <w:bCs/>
          <w:color w:val="auto"/>
          <w:sz w:val="24"/>
          <w:szCs w:val="24"/>
          <w:highlight w:val="none"/>
          <w:lang w:val="en-US" w:eastAsia="zh-CN"/>
        </w:rPr>
        <w:t>7、</w:t>
      </w:r>
      <w:r>
        <w:rPr>
          <w:rFonts w:hint="eastAsia" w:asciiTheme="minorEastAsia" w:hAnsiTheme="minorEastAsia" w:eastAsiaTheme="minorEastAsia" w:cstheme="minorEastAsia"/>
          <w:bCs/>
          <w:color w:val="auto"/>
          <w:sz w:val="24"/>
          <w:szCs w:val="24"/>
          <w:highlight w:val="none"/>
          <w:lang w:eastAsia="zh-CN"/>
        </w:rPr>
        <w:t>配送时需根据学校食谱,对所需的肉类进行必要加工。</w:t>
      </w:r>
    </w:p>
    <w:p w14:paraId="2ADD798D">
      <w:pPr>
        <w:pStyle w:val="2"/>
        <w:spacing w:after="0" w:line="56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五、商务要求</w:t>
      </w:r>
    </w:p>
    <w:p w14:paraId="72DFB875">
      <w:pPr>
        <w:pStyle w:val="12"/>
        <w:spacing w:line="560" w:lineRule="exact"/>
        <w:ind w:firstLine="640"/>
        <w:rPr>
          <w:rFonts w:hint="eastAsia" w:asciiTheme="minorEastAsia" w:hAnsiTheme="minorEastAsia" w:eastAsiaTheme="minorEastAsia" w:cstheme="minorEastAsia"/>
          <w:bCs/>
          <w:color w:val="auto"/>
          <w:kern w:val="0"/>
          <w:sz w:val="24"/>
          <w:szCs w:val="24"/>
          <w:highlight w:val="none"/>
        </w:rPr>
      </w:pPr>
      <w:r>
        <w:rPr>
          <w:rFonts w:hint="eastAsia" w:asciiTheme="minorEastAsia" w:hAnsiTheme="minorEastAsia" w:eastAsiaTheme="minorEastAsia" w:cstheme="minorEastAsia"/>
          <w:bCs/>
          <w:color w:val="auto"/>
          <w:kern w:val="0"/>
          <w:sz w:val="24"/>
          <w:szCs w:val="24"/>
          <w:highlight w:val="none"/>
        </w:rPr>
        <w:t>1.</w:t>
      </w:r>
      <w:r>
        <w:rPr>
          <w:rFonts w:hint="eastAsia" w:asciiTheme="minorEastAsia" w:hAnsiTheme="minorEastAsia" w:eastAsiaTheme="minorEastAsia" w:cstheme="minorEastAsia"/>
          <w:bCs/>
          <w:color w:val="auto"/>
          <w:kern w:val="0"/>
          <w:sz w:val="24"/>
          <w:szCs w:val="24"/>
          <w:highlight w:val="none"/>
          <w:lang w:val="en-US" w:eastAsia="zh-CN"/>
        </w:rPr>
        <w:t>配送周期</w:t>
      </w:r>
      <w:r>
        <w:rPr>
          <w:rFonts w:hint="eastAsia" w:asciiTheme="minorEastAsia" w:hAnsiTheme="minorEastAsia" w:eastAsiaTheme="minorEastAsia" w:cstheme="minorEastAsia"/>
          <w:bCs/>
          <w:color w:val="auto"/>
          <w:kern w:val="0"/>
          <w:sz w:val="24"/>
          <w:szCs w:val="24"/>
          <w:highlight w:val="none"/>
        </w:rPr>
        <w:t>：</w:t>
      </w:r>
      <w:r>
        <w:rPr>
          <w:rFonts w:hint="eastAsia" w:asciiTheme="minorEastAsia" w:hAnsiTheme="minorEastAsia" w:eastAsiaTheme="minorEastAsia" w:cstheme="minorEastAsia"/>
          <w:bCs/>
          <w:color w:val="auto"/>
          <w:kern w:val="0"/>
          <w:sz w:val="24"/>
          <w:szCs w:val="24"/>
          <w:highlight w:val="none"/>
          <w:lang w:eastAsia="zh-CN"/>
        </w:rPr>
        <w:t>2025年9月1日—2026年7月15日（以学校放假时间为准）</w:t>
      </w:r>
      <w:r>
        <w:rPr>
          <w:rFonts w:hint="eastAsia" w:asciiTheme="minorEastAsia" w:hAnsiTheme="minorEastAsia" w:eastAsiaTheme="minorEastAsia" w:cstheme="minorEastAsia"/>
          <w:bCs/>
          <w:color w:val="auto"/>
          <w:kern w:val="0"/>
          <w:sz w:val="24"/>
          <w:szCs w:val="24"/>
          <w:highlight w:val="none"/>
        </w:rPr>
        <w:t>。</w:t>
      </w:r>
    </w:p>
    <w:p w14:paraId="01195D7C">
      <w:pPr>
        <w:pStyle w:val="12"/>
        <w:spacing w:line="560" w:lineRule="exact"/>
        <w:ind w:firstLine="640"/>
        <w:rPr>
          <w:rFonts w:hint="eastAsia" w:asciiTheme="minorEastAsia" w:hAnsiTheme="minorEastAsia" w:eastAsiaTheme="minorEastAsia" w:cstheme="minorEastAsia"/>
          <w:bCs/>
          <w:color w:val="auto"/>
          <w:kern w:val="0"/>
          <w:sz w:val="24"/>
          <w:szCs w:val="24"/>
          <w:highlight w:val="none"/>
        </w:rPr>
      </w:pPr>
      <w:r>
        <w:rPr>
          <w:rFonts w:hint="eastAsia" w:asciiTheme="minorEastAsia" w:hAnsiTheme="minorEastAsia" w:eastAsiaTheme="minorEastAsia" w:cstheme="minorEastAsia"/>
          <w:bCs/>
          <w:color w:val="auto"/>
          <w:kern w:val="0"/>
          <w:sz w:val="24"/>
          <w:szCs w:val="24"/>
          <w:highlight w:val="none"/>
        </w:rPr>
        <w:t>2.交货时间：</w:t>
      </w:r>
      <w:r>
        <w:rPr>
          <w:rFonts w:hint="eastAsia" w:asciiTheme="minorEastAsia" w:hAnsiTheme="minorEastAsia" w:eastAsiaTheme="minorEastAsia" w:cstheme="minorEastAsia"/>
          <w:bCs/>
          <w:color w:val="auto"/>
          <w:kern w:val="0"/>
          <w:sz w:val="24"/>
          <w:szCs w:val="24"/>
          <w:highlight w:val="none"/>
          <w:lang w:eastAsia="zh-CN"/>
        </w:rPr>
        <w:t>肉类每天配送，蛋类每周至少配送二次，每次配送按照学校要求时间准时送达。视天气温度和储存条件以及配送量，可协商提高配送频次。</w:t>
      </w:r>
    </w:p>
    <w:p w14:paraId="70AFCC19">
      <w:pPr>
        <w:autoSpaceDE w:val="0"/>
        <w:autoSpaceDN w:val="0"/>
        <w:adjustRightInd w:val="0"/>
        <w:spacing w:line="560" w:lineRule="exact"/>
        <w:ind w:firstLine="480" w:firstLineChars="200"/>
        <w:rPr>
          <w:rFonts w:hint="eastAsia" w:asciiTheme="minorEastAsia" w:hAnsiTheme="minorEastAsia" w:eastAsiaTheme="minorEastAsia" w:cstheme="minorEastAsia"/>
          <w:bCs/>
          <w:color w:val="auto"/>
          <w:kern w:val="0"/>
          <w:sz w:val="24"/>
          <w:szCs w:val="24"/>
          <w:highlight w:val="none"/>
        </w:rPr>
      </w:pPr>
      <w:r>
        <w:rPr>
          <w:rFonts w:hint="eastAsia" w:asciiTheme="minorEastAsia" w:hAnsiTheme="minorEastAsia" w:eastAsiaTheme="minorEastAsia" w:cstheme="minorEastAsia"/>
          <w:bCs/>
          <w:color w:val="auto"/>
          <w:kern w:val="0"/>
          <w:sz w:val="24"/>
          <w:szCs w:val="24"/>
          <w:highlight w:val="none"/>
        </w:rPr>
        <w:t>3.款项结算：</w:t>
      </w:r>
    </w:p>
    <w:p w14:paraId="22D64BCD">
      <w:pPr>
        <w:autoSpaceDE w:val="0"/>
        <w:autoSpaceDN w:val="0"/>
        <w:adjustRightInd w:val="0"/>
        <w:spacing w:line="560" w:lineRule="exact"/>
        <w:ind w:firstLine="480" w:firstLineChars="200"/>
        <w:rPr>
          <w:rFonts w:hint="eastAsia" w:asciiTheme="minorEastAsia" w:hAnsiTheme="minorEastAsia" w:eastAsiaTheme="minorEastAsia" w:cstheme="minorEastAsia"/>
          <w:bCs/>
          <w:color w:val="auto"/>
          <w:kern w:val="0"/>
          <w:sz w:val="24"/>
          <w:szCs w:val="24"/>
          <w:highlight w:val="none"/>
          <w:lang w:val="zh-CN" w:eastAsia="zh-CN" w:bidi="ar-SA"/>
        </w:rPr>
      </w:pPr>
      <w:r>
        <w:rPr>
          <w:rFonts w:hint="eastAsia" w:asciiTheme="minorEastAsia" w:hAnsiTheme="minorEastAsia" w:eastAsiaTheme="minorEastAsia" w:cstheme="minorEastAsia"/>
          <w:bCs/>
          <w:color w:val="auto"/>
          <w:kern w:val="0"/>
          <w:sz w:val="24"/>
          <w:szCs w:val="24"/>
          <w:highlight w:val="none"/>
          <w:lang w:val="zh-CN" w:eastAsia="zh-CN" w:bidi="ar-SA"/>
        </w:rPr>
        <w:t>（一）结算方式：乙方应按照双方签订的合同，按照区内各学校需求定期配送，配送量由甲方各学校通知确定。各学校每月据实结算货款。</w:t>
      </w:r>
    </w:p>
    <w:p w14:paraId="56E89FAD">
      <w:pPr>
        <w:autoSpaceDE w:val="0"/>
        <w:autoSpaceDN w:val="0"/>
        <w:adjustRightInd w:val="0"/>
        <w:spacing w:line="560" w:lineRule="exact"/>
        <w:ind w:firstLine="480" w:firstLineChars="200"/>
        <w:rPr>
          <w:rFonts w:hint="eastAsia" w:asciiTheme="minorEastAsia" w:hAnsiTheme="minorEastAsia" w:eastAsiaTheme="minorEastAsia" w:cstheme="minorEastAsia"/>
          <w:bCs/>
          <w:color w:val="auto"/>
          <w:kern w:val="0"/>
          <w:sz w:val="24"/>
          <w:szCs w:val="24"/>
          <w:highlight w:val="none"/>
          <w:lang w:val="en-US" w:eastAsia="zh-CN" w:bidi="ar-SA"/>
        </w:rPr>
      </w:pPr>
      <w:r>
        <w:rPr>
          <w:rFonts w:hint="eastAsia" w:asciiTheme="minorEastAsia" w:hAnsiTheme="minorEastAsia" w:eastAsiaTheme="minorEastAsia" w:cstheme="minorEastAsia"/>
          <w:bCs/>
          <w:color w:val="auto"/>
          <w:kern w:val="0"/>
          <w:sz w:val="24"/>
          <w:szCs w:val="24"/>
          <w:highlight w:val="none"/>
          <w:lang w:val="en-US" w:eastAsia="zh-CN" w:bidi="ar-SA"/>
        </w:rPr>
        <w:t>（二）支付方式：银行转账。</w:t>
      </w:r>
    </w:p>
    <w:p w14:paraId="1203EF6C">
      <w:pPr>
        <w:spacing w:line="560" w:lineRule="exact"/>
        <w:ind w:firstLine="480" w:firstLineChars="200"/>
        <w:rPr>
          <w:rFonts w:hint="eastAsia" w:asciiTheme="minorEastAsia" w:hAnsiTheme="minorEastAsia" w:eastAsiaTheme="minorEastAsia" w:cstheme="minorEastAsia"/>
          <w:bCs/>
          <w:color w:val="auto"/>
          <w:kern w:val="0"/>
          <w:sz w:val="24"/>
          <w:szCs w:val="24"/>
          <w:highlight w:val="none"/>
          <w:lang w:val="zh-CN" w:eastAsia="zh-CN" w:bidi="ar-SA"/>
        </w:rPr>
      </w:pPr>
      <w:r>
        <w:rPr>
          <w:rFonts w:hint="eastAsia" w:asciiTheme="minorEastAsia" w:hAnsiTheme="minorEastAsia" w:eastAsiaTheme="minorEastAsia" w:cstheme="minorEastAsia"/>
          <w:bCs/>
          <w:color w:val="auto"/>
          <w:kern w:val="0"/>
          <w:sz w:val="24"/>
          <w:szCs w:val="24"/>
          <w:highlight w:val="none"/>
          <w:lang w:val="zh-CN" w:eastAsia="zh-CN" w:bidi="ar-SA"/>
        </w:rPr>
        <w:t>由</w:t>
      </w:r>
      <w:r>
        <w:rPr>
          <w:rFonts w:hint="eastAsia" w:asciiTheme="minorEastAsia" w:hAnsiTheme="minorEastAsia" w:eastAsiaTheme="minorEastAsia" w:cstheme="minorEastAsia"/>
          <w:bCs/>
          <w:color w:val="auto"/>
          <w:kern w:val="0"/>
          <w:sz w:val="24"/>
          <w:szCs w:val="24"/>
          <w:highlight w:val="none"/>
          <w:lang w:val="en-US" w:eastAsia="zh-CN" w:bidi="ar-SA"/>
        </w:rPr>
        <w:t>接受供货的具体学校</w:t>
      </w:r>
      <w:r>
        <w:rPr>
          <w:rFonts w:hint="eastAsia" w:asciiTheme="minorEastAsia" w:hAnsiTheme="minorEastAsia" w:eastAsiaTheme="minorEastAsia" w:cstheme="minorEastAsia"/>
          <w:bCs/>
          <w:color w:val="auto"/>
          <w:kern w:val="0"/>
          <w:sz w:val="24"/>
          <w:szCs w:val="24"/>
          <w:highlight w:val="none"/>
          <w:lang w:val="zh-CN" w:eastAsia="zh-CN" w:bidi="ar-SA"/>
        </w:rPr>
        <w:t>负责结算，合同签订后，中标人在每次接受付款前，</w:t>
      </w:r>
      <w:r>
        <w:rPr>
          <w:rFonts w:hint="eastAsia" w:asciiTheme="minorEastAsia" w:hAnsiTheme="minorEastAsia" w:eastAsiaTheme="minorEastAsia" w:cstheme="minorEastAsia"/>
          <w:bCs/>
          <w:color w:val="auto"/>
          <w:kern w:val="0"/>
          <w:sz w:val="24"/>
          <w:szCs w:val="24"/>
          <w:highlight w:val="none"/>
          <w:lang w:val="en-US" w:eastAsia="zh-CN" w:bidi="ar-SA"/>
        </w:rPr>
        <w:t>应先</w:t>
      </w:r>
      <w:r>
        <w:rPr>
          <w:rFonts w:hint="eastAsia" w:asciiTheme="minorEastAsia" w:hAnsiTheme="minorEastAsia" w:eastAsiaTheme="minorEastAsia" w:cstheme="minorEastAsia"/>
          <w:bCs/>
          <w:color w:val="auto"/>
          <w:kern w:val="0"/>
          <w:sz w:val="24"/>
          <w:szCs w:val="24"/>
          <w:highlight w:val="none"/>
          <w:lang w:val="zh-CN" w:eastAsia="zh-CN" w:bidi="ar-SA"/>
        </w:rPr>
        <w:t>开具</w:t>
      </w:r>
      <w:r>
        <w:rPr>
          <w:rFonts w:hint="eastAsia" w:asciiTheme="minorEastAsia" w:hAnsiTheme="minorEastAsia" w:eastAsiaTheme="minorEastAsia" w:cstheme="minorEastAsia"/>
          <w:bCs/>
          <w:color w:val="auto"/>
          <w:kern w:val="0"/>
          <w:sz w:val="24"/>
          <w:szCs w:val="24"/>
          <w:highlight w:val="none"/>
          <w:lang w:val="en-US" w:eastAsia="zh-CN" w:bidi="ar-SA"/>
        </w:rPr>
        <w:t>符合法律规定的等</w:t>
      </w:r>
      <w:r>
        <w:rPr>
          <w:rFonts w:hint="eastAsia" w:asciiTheme="minorEastAsia" w:hAnsiTheme="minorEastAsia" w:eastAsiaTheme="minorEastAsia" w:cstheme="minorEastAsia"/>
          <w:bCs/>
          <w:color w:val="auto"/>
          <w:kern w:val="0"/>
          <w:sz w:val="24"/>
          <w:szCs w:val="24"/>
          <w:highlight w:val="none"/>
          <w:lang w:val="zh-CN" w:eastAsia="zh-CN" w:bidi="ar-SA"/>
        </w:rPr>
        <w:t>额发票给学校。</w:t>
      </w:r>
    </w:p>
    <w:p w14:paraId="4A741C16">
      <w:pPr>
        <w:pStyle w:val="2"/>
        <w:spacing w:after="0" w:line="560" w:lineRule="exact"/>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六、违约责任</w:t>
      </w:r>
    </w:p>
    <w:p w14:paraId="7D9180DC">
      <w:pPr>
        <w:pStyle w:val="2"/>
        <w:spacing w:after="0" w:line="560" w:lineRule="exact"/>
        <w:ind w:firstLine="480" w:firstLineChars="200"/>
        <w:jc w:val="both"/>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lang w:eastAsia="zh-CN"/>
        </w:rPr>
        <w:t>（一）按《中华人民共和国民法典》中的相关条款执行。</w:t>
      </w:r>
    </w:p>
    <w:p w14:paraId="5F33DEFE">
      <w:pPr>
        <w:pStyle w:val="2"/>
        <w:spacing w:after="0" w:line="560" w:lineRule="exact"/>
        <w:ind w:firstLine="480" w:firstLineChars="200"/>
        <w:jc w:val="both"/>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lang w:eastAsia="zh-CN"/>
        </w:rPr>
        <w:t>（二）按合同要求提供服务或服务质量不能满足采购技术要求，乙方必须无条件提高技术，完善服务质量，否则，甲方有权会同监督机构、采购代理机构终止合同并对乙方违约行为进行追究，同时按政府采购供应商管理办法进行相应的处罚。</w:t>
      </w:r>
    </w:p>
    <w:p w14:paraId="0D923264">
      <w:pPr>
        <w:pStyle w:val="2"/>
        <w:spacing w:after="0" w:line="560" w:lineRule="exact"/>
        <w:ind w:firstLine="480" w:firstLineChars="200"/>
        <w:jc w:val="both"/>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lang w:eastAsia="zh-CN"/>
        </w:rPr>
        <w:t>（三）如果任何一方当事人受到不能预见、不能避免且不能克服的外部环境因素或上级政策变化导致的不可抗力事件的影响而无法履行或无法完整履行合同条款的需提前通知对方。</w:t>
      </w:r>
    </w:p>
    <w:p w14:paraId="265BA41F">
      <w:pPr>
        <w:pStyle w:val="2"/>
        <w:spacing w:after="0" w:line="560" w:lineRule="exact"/>
        <w:ind w:firstLine="480" w:firstLineChars="200"/>
        <w:jc w:val="both"/>
        <w:rPr>
          <w:rFonts w:hint="eastAsia" w:asciiTheme="minorEastAsia" w:hAnsiTheme="minorEastAsia" w:eastAsiaTheme="minorEastAsia" w:cstheme="minorEastAsia"/>
          <w:b/>
          <w:bCs w:val="0"/>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t>（四）乙方应确保所供产品符合要求，在产品保质期内，若因产品质量瑕疵造成的甲方或者第三方即食者损害，乙方应承担全部责任和损失赔偿，损失包括但不限于当日事故项目学校订单总金额5%的违约金、调查费、鉴定费、医疗费、律师费、诉讼费、保全费等直接损失、间接损失，该赔偿不足以满足所有损失的，乙方应对其他损失继续承担赔偿责任。若发生食品安全事故造成的一切社会影响，甲方有权终止合同，并追究乙方法律责任。</w:t>
      </w:r>
    </w:p>
    <w:p w14:paraId="7B9FEE25">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Theme="minorEastAsia" w:hAnsiTheme="minorEastAsia" w:eastAsiaTheme="minorEastAsia" w:cstheme="minorEastAsia"/>
          <w:b/>
          <w:bCs w:val="0"/>
          <w:color w:val="auto"/>
          <w:sz w:val="24"/>
          <w:szCs w:val="24"/>
          <w:highlight w:val="none"/>
        </w:rPr>
      </w:pPr>
    </w:p>
    <w:p w14:paraId="2C6CA6F8">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Theme="minorEastAsia" w:hAnsiTheme="minorEastAsia" w:eastAsiaTheme="minorEastAsia" w:cstheme="minorEastAsia"/>
          <w:b/>
          <w:bCs w:val="0"/>
          <w:color w:val="auto"/>
          <w:sz w:val="24"/>
          <w:szCs w:val="24"/>
          <w:highlight w:val="none"/>
        </w:rPr>
      </w:pPr>
      <w:r>
        <w:rPr>
          <w:rFonts w:hint="eastAsia" w:asciiTheme="minorEastAsia" w:hAnsiTheme="minorEastAsia" w:eastAsiaTheme="minorEastAsia" w:cstheme="minorEastAsia"/>
          <w:b/>
          <w:bCs w:val="0"/>
          <w:color w:val="auto"/>
          <w:sz w:val="24"/>
          <w:szCs w:val="24"/>
          <w:highlight w:val="none"/>
        </w:rPr>
        <w:t>注：</w:t>
      </w:r>
      <w:r>
        <w:rPr>
          <w:rFonts w:hint="eastAsia" w:asciiTheme="minorEastAsia" w:hAnsiTheme="minorEastAsia" w:eastAsiaTheme="minorEastAsia" w:cstheme="minorEastAsia"/>
          <w:b/>
          <w:bCs w:val="0"/>
          <w:color w:val="auto"/>
          <w:sz w:val="24"/>
          <w:szCs w:val="24"/>
          <w:highlight w:val="none"/>
          <w:lang w:val="en-US" w:eastAsia="zh-CN"/>
        </w:rPr>
        <w:t>1.</w:t>
      </w:r>
      <w:r>
        <w:rPr>
          <w:rFonts w:hint="eastAsia" w:asciiTheme="minorEastAsia" w:hAnsiTheme="minorEastAsia" w:eastAsiaTheme="minorEastAsia" w:cstheme="minorEastAsia"/>
          <w:b/>
          <w:bCs w:val="0"/>
          <w:color w:val="auto"/>
          <w:sz w:val="24"/>
          <w:szCs w:val="24"/>
          <w:highlight w:val="none"/>
        </w:rPr>
        <w:t>核心产品</w:t>
      </w:r>
      <w:r>
        <w:rPr>
          <w:rFonts w:hint="eastAsia" w:asciiTheme="minorEastAsia" w:hAnsiTheme="minorEastAsia" w:eastAsiaTheme="minorEastAsia" w:cstheme="minorEastAsia"/>
          <w:b/>
          <w:bCs w:val="0"/>
          <w:color w:val="auto"/>
          <w:sz w:val="24"/>
          <w:szCs w:val="24"/>
          <w:highlight w:val="none"/>
          <w:lang w:val="en-US" w:eastAsia="zh-CN"/>
        </w:rPr>
        <w:t>：</w:t>
      </w:r>
      <w:r>
        <w:rPr>
          <w:rFonts w:hint="eastAsia" w:asciiTheme="minorEastAsia" w:hAnsiTheme="minorEastAsia" w:cstheme="minorEastAsia"/>
          <w:b/>
          <w:bCs w:val="0"/>
          <w:color w:val="auto"/>
          <w:sz w:val="24"/>
          <w:szCs w:val="24"/>
          <w:highlight w:val="none"/>
          <w:lang w:val="en-US" w:eastAsia="zh-CN"/>
        </w:rPr>
        <w:t>猪肉</w:t>
      </w:r>
      <w:r>
        <w:rPr>
          <w:rFonts w:hint="eastAsia" w:asciiTheme="minorEastAsia" w:hAnsiTheme="minorEastAsia" w:eastAsiaTheme="minorEastAsia" w:cstheme="minorEastAsia"/>
          <w:b/>
          <w:bCs w:val="0"/>
          <w:color w:val="auto"/>
          <w:sz w:val="24"/>
          <w:szCs w:val="24"/>
          <w:highlight w:val="none"/>
        </w:rPr>
        <w:t>。如核心产品出现同品牌，按照评审标准“说明</w:t>
      </w:r>
      <w:r>
        <w:rPr>
          <w:rFonts w:hint="eastAsia" w:asciiTheme="minorEastAsia" w:hAnsiTheme="minorEastAsia" w:eastAsiaTheme="minorEastAsia" w:cstheme="minorEastAsia"/>
          <w:b/>
          <w:bCs w:val="0"/>
          <w:color w:val="auto"/>
          <w:sz w:val="24"/>
          <w:szCs w:val="24"/>
          <w:highlight w:val="none"/>
          <w:lang w:val="en-US" w:eastAsia="zh-CN"/>
        </w:rPr>
        <w:t>1</w:t>
      </w:r>
      <w:r>
        <w:rPr>
          <w:rFonts w:hint="eastAsia" w:asciiTheme="minorEastAsia" w:hAnsiTheme="minorEastAsia" w:eastAsiaTheme="minorEastAsia" w:cstheme="minorEastAsia"/>
          <w:b/>
          <w:bCs w:val="0"/>
          <w:color w:val="auto"/>
          <w:sz w:val="24"/>
          <w:szCs w:val="24"/>
          <w:highlight w:val="none"/>
        </w:rPr>
        <w:t>”执行。</w:t>
      </w:r>
    </w:p>
    <w:p w14:paraId="565DA9C2">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960" w:firstLineChars="400"/>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szCs w:val="24"/>
          <w:highlight w:val="none"/>
          <w:lang w:val="en-US" w:eastAsia="zh-CN" w:bidi="ar-SA"/>
        </w:rPr>
        <w:t>2</w:t>
      </w:r>
      <w:r>
        <w:rPr>
          <w:rFonts w:hint="eastAsia" w:asciiTheme="minorEastAsia" w:hAnsiTheme="minorEastAsia" w:cstheme="minorEastAsia"/>
          <w:b/>
          <w:bCs w:val="0"/>
          <w:color w:val="auto"/>
          <w:sz w:val="24"/>
          <w:szCs w:val="24"/>
          <w:highlight w:val="none"/>
          <w:lang w:val="en-US" w:eastAsia="zh-CN" w:bidi="ar-SA"/>
        </w:rPr>
        <w:t>.</w:t>
      </w:r>
      <w:r>
        <w:rPr>
          <w:rFonts w:hint="eastAsia" w:asciiTheme="minorEastAsia" w:hAnsiTheme="minorEastAsia" w:eastAsiaTheme="minorEastAsia" w:cstheme="minorEastAsia"/>
          <w:b/>
          <w:bCs w:val="0"/>
          <w:color w:val="auto"/>
          <w:sz w:val="24"/>
          <w:szCs w:val="24"/>
          <w:highlight w:val="none"/>
          <w:lang w:val="en-US" w:eastAsia="zh-CN" w:bidi="ar-SA"/>
        </w:rPr>
        <w:t>中标人应当自发出中标通知书之日起 30 日内,与采购人签订合同，本项目由西安浐灞国际港教育局统一组织实施采购，确定中标供应商后由中标供应商与各学校分别签订采购合同。</w:t>
      </w:r>
    </w:p>
    <w:p w14:paraId="7458FE5D">
      <w:pPr>
        <w:pStyle w:val="2"/>
        <w:spacing w:after="0" w:line="560" w:lineRule="exact"/>
        <w:ind w:firstLine="640" w:firstLineChars="200"/>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br w:type="page"/>
      </w:r>
    </w:p>
    <w:p w14:paraId="5C3C1A87">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1280" w:firstLineChars="400"/>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cstheme="minorEastAsia"/>
          <w:color w:val="auto"/>
          <w:sz w:val="32"/>
          <w:szCs w:val="32"/>
          <w:highlight w:val="none"/>
          <w:lang w:val="en-US" w:eastAsia="zh-CN"/>
        </w:rPr>
        <w:t xml:space="preserve">                       </w:t>
      </w:r>
    </w:p>
    <w:bookmarkEnd w:id="17"/>
    <w:p w14:paraId="2F3AC72A">
      <w:pPr>
        <w:pStyle w:val="3"/>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宋体" w:hAnsi="宋体" w:eastAsia="宋体" w:cs="宋体"/>
          <w:b/>
          <w:bCs/>
          <w:color w:val="auto"/>
          <w:sz w:val="32"/>
          <w:szCs w:val="32"/>
          <w:highlight w:val="none"/>
        </w:rPr>
      </w:pPr>
      <w:bookmarkStart w:id="18" w:name="_Toc5471"/>
      <w:bookmarkStart w:id="19" w:name="_Toc28235"/>
      <w:bookmarkStart w:id="20" w:name="_Toc7322"/>
      <w:bookmarkStart w:id="21" w:name="_Toc100219616"/>
      <w:r>
        <w:rPr>
          <w:rFonts w:hint="eastAsia" w:ascii="宋体" w:hAnsi="宋体" w:eastAsia="宋体" w:cs="宋体"/>
          <w:b/>
          <w:bCs/>
          <w:color w:val="auto"/>
          <w:sz w:val="32"/>
          <w:szCs w:val="32"/>
          <w:highlight w:val="none"/>
        </w:rPr>
        <w:t xml:space="preserve">第四章  </w:t>
      </w:r>
      <w:bookmarkEnd w:id="18"/>
      <w:r>
        <w:rPr>
          <w:rFonts w:hint="eastAsia" w:ascii="宋体" w:hAnsi="宋体" w:eastAsia="宋体" w:cs="宋体"/>
          <w:b/>
          <w:bCs/>
          <w:color w:val="auto"/>
          <w:sz w:val="32"/>
          <w:szCs w:val="32"/>
          <w:highlight w:val="none"/>
        </w:rPr>
        <w:t>商务及合同文本</w:t>
      </w:r>
      <w:bookmarkEnd w:id="19"/>
    </w:p>
    <w:p w14:paraId="73194350">
      <w:pPr>
        <w:keepNext w:val="0"/>
        <w:keepLines w:val="0"/>
        <w:pageBreakBefore w:val="0"/>
        <w:widowControl/>
        <w:kinsoku/>
        <w:wordWrap/>
        <w:overflowPunct/>
        <w:topLinePunct w:val="0"/>
        <w:autoSpaceDE/>
        <w:autoSpaceDN/>
        <w:bidi w:val="0"/>
        <w:adjustRightInd/>
        <w:snapToGrid/>
        <w:spacing w:after="0" w:line="288" w:lineRule="auto"/>
        <w:ind w:left="0" w:right="0" w:firstLine="560" w:firstLineChars="200"/>
        <w:jc w:val="center"/>
        <w:textAlignment w:val="auto"/>
        <w:rPr>
          <w:rFonts w:hint="eastAsia" w:ascii="宋体" w:hAnsi="宋体" w:eastAsia="宋体" w:cs="宋体"/>
          <w:b/>
          <w:bCs/>
          <w:color w:val="auto"/>
          <w:spacing w:val="0"/>
          <w:sz w:val="28"/>
          <w:szCs w:val="28"/>
          <w:highlight w:val="none"/>
          <w:lang w:eastAsia="zh-CN"/>
        </w:rPr>
      </w:pPr>
      <w:r>
        <w:rPr>
          <w:rFonts w:hint="eastAsia" w:ascii="宋体" w:hAnsi="宋体" w:eastAsia="宋体" w:cs="宋体"/>
          <w:b/>
          <w:bCs/>
          <w:color w:val="auto"/>
          <w:spacing w:val="0"/>
          <w:sz w:val="28"/>
          <w:szCs w:val="28"/>
          <w:highlight w:val="none"/>
          <w:lang w:eastAsia="zh-CN"/>
        </w:rPr>
        <w:t>一、商务要求</w:t>
      </w:r>
    </w:p>
    <w:p w14:paraId="7711435E">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（一）配送周期：2025年9月1日—2026年7月15日（以学校放假时间为准）</w:t>
      </w:r>
    </w:p>
    <w:p w14:paraId="54AA2F26">
      <w:pPr>
        <w:pStyle w:val="29"/>
        <w:keepNext w:val="0"/>
        <w:keepLines w:val="0"/>
        <w:pageBreakBefore w:val="0"/>
        <w:widowControl/>
        <w:kinsoku/>
        <w:wordWrap/>
        <w:overflowPunct/>
        <w:topLinePunct w:val="0"/>
        <w:autoSpaceDE/>
        <w:autoSpaceDN/>
        <w:bidi w:val="0"/>
        <w:adjustRightInd/>
        <w:snapToGrid/>
        <w:spacing w:after="0" w:line="288" w:lineRule="auto"/>
        <w:ind w:left="0" w:leftChars="0" w:firstLine="480" w:firstLineChars="200"/>
        <w:textAlignment w:val="auto"/>
        <w:rPr>
          <w:rFonts w:hint="default"/>
          <w:color w:val="auto"/>
          <w:highlight w:val="none"/>
          <w:lang w:val="en-US" w:eastAsia="zh-CN"/>
        </w:rPr>
      </w:pPr>
      <w:r>
        <w:rPr>
          <w:rFonts w:hint="eastAsia" w:ascii="宋体" w:hAnsi="宋体" w:eastAsia="宋体" w:cs="宋体"/>
          <w:color w:val="auto"/>
          <w:sz w:val="24"/>
          <w:szCs w:val="24"/>
          <w:highlight w:val="none"/>
          <w:lang w:val="en-US" w:eastAsia="zh-CN"/>
        </w:rPr>
        <w:t>（二）交货时间：</w:t>
      </w:r>
      <w:r>
        <w:rPr>
          <w:rFonts w:hint="eastAsia" w:ascii="宋体" w:hAnsi="宋体" w:eastAsia="宋体" w:cs="宋体"/>
          <w:i w:val="0"/>
          <w:iCs w:val="0"/>
          <w:caps w:val="0"/>
          <w:color w:val="auto"/>
          <w:spacing w:val="0"/>
          <w:kern w:val="0"/>
          <w:sz w:val="24"/>
          <w:szCs w:val="24"/>
          <w:highlight w:val="none"/>
          <w:u w:val="none"/>
          <w:lang w:val="en-US" w:eastAsia="zh-CN" w:bidi="ar-SA"/>
        </w:rPr>
        <w:t>肉类每天配送，蛋类每周至少配送二次，每次配送按照学校要求时间准时送达。视天气温度和储存条件以及配送量，可协商提高配送频次。</w:t>
      </w:r>
    </w:p>
    <w:p w14:paraId="1B2C9894">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（三）交货地点：甲方提供的各学校。</w:t>
      </w:r>
    </w:p>
    <w:p w14:paraId="46B45E8F">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（四）质量要求：符合国家及行业有关现行规范、标准的要求。</w:t>
      </w:r>
    </w:p>
    <w:p w14:paraId="55C12B0C">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（五）合同价款</w:t>
      </w:r>
    </w:p>
    <w:p w14:paraId="2B915376">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（1）合同最后结算总价以实际配送量核算为准。</w:t>
      </w:r>
    </w:p>
    <w:p w14:paraId="2A8049FE">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（2）本合同价款是产品、产品原辅料、生产、包装、运输、配送、检测等各项的含税费用。</w:t>
      </w:r>
    </w:p>
    <w:p w14:paraId="77BD1C08">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（3）本合同价款还包含乙方应当提供的伴随服务和售后服务费用。</w:t>
      </w:r>
    </w:p>
    <w:p w14:paraId="1A4B09EF">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（4）本合同执行期间合同单价按照辛家庙摩尔农产品交易中心市场询价价格×成交折扣计算，每半月询价一次，</w:t>
      </w:r>
      <w:r>
        <w:rPr>
          <w:rFonts w:hint="eastAsia" w:ascii="宋体" w:hAnsi="宋体" w:eastAsia="宋体" w:cs="宋体"/>
          <w:i w:val="0"/>
          <w:iCs w:val="0"/>
          <w:caps w:val="0"/>
          <w:color w:val="auto"/>
          <w:spacing w:val="0"/>
          <w:kern w:val="0"/>
          <w:sz w:val="24"/>
          <w:szCs w:val="24"/>
          <w:highlight w:val="none"/>
          <w:u w:val="none"/>
          <w:lang w:val="en-US" w:eastAsia="zh-CN" w:bidi="ar-SA"/>
        </w:rPr>
        <w:t>作为询价后半个月的指导价格</w:t>
      </w:r>
      <w:r>
        <w:rPr>
          <w:rFonts w:hint="eastAsia" w:ascii="宋体" w:hAnsi="宋体" w:eastAsia="宋体" w:cs="宋体"/>
          <w:color w:val="auto"/>
          <w:sz w:val="24"/>
          <w:szCs w:val="24"/>
          <w:highlight w:val="none"/>
          <w:lang w:val="en-US" w:eastAsia="zh-CN"/>
        </w:rPr>
        <w:t>，如市场环境发生重大变化可提高询价频率。</w:t>
      </w:r>
    </w:p>
    <w:p w14:paraId="62F9A4B4">
      <w:pPr>
        <w:keepNext w:val="0"/>
        <w:keepLines w:val="0"/>
        <w:pageBreakBefore w:val="0"/>
        <w:widowControl/>
        <w:kinsoku/>
        <w:wordWrap/>
        <w:overflowPunct/>
        <w:topLinePunct w:val="0"/>
        <w:autoSpaceDE/>
        <w:autoSpaceDN/>
        <w:bidi w:val="0"/>
        <w:adjustRightInd/>
        <w:snapToGrid/>
        <w:spacing w:after="0" w:line="288"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（六）款项结算</w:t>
      </w:r>
    </w:p>
    <w:p w14:paraId="11DBA2BE">
      <w:pPr>
        <w:pStyle w:val="29"/>
        <w:keepNext w:val="0"/>
        <w:keepLines w:val="0"/>
        <w:pageBreakBefore w:val="0"/>
        <w:widowControl/>
        <w:kinsoku/>
        <w:wordWrap/>
        <w:overflowPunct/>
        <w:topLinePunct w:val="0"/>
        <w:autoSpaceDE/>
        <w:autoSpaceDN/>
        <w:bidi w:val="0"/>
        <w:adjustRightInd/>
        <w:snapToGrid/>
        <w:spacing w:after="0" w:line="288" w:lineRule="auto"/>
        <w:ind w:left="0" w:leftChars="0"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eastAsia="zh-CN"/>
        </w:rPr>
        <w:t>）结算方式：乙方应按照双方签订的合同，按照区内各学校需求定期配送，配送量由甲方各学校通知确定。各学校每月据实结算货款。</w:t>
      </w:r>
    </w:p>
    <w:p w14:paraId="64B17A11">
      <w:pPr>
        <w:pStyle w:val="29"/>
        <w:keepNext w:val="0"/>
        <w:keepLines w:val="0"/>
        <w:pageBreakBefore w:val="0"/>
        <w:widowControl/>
        <w:kinsoku/>
        <w:wordWrap/>
        <w:overflowPunct/>
        <w:topLinePunct w:val="0"/>
        <w:autoSpaceDE/>
        <w:autoSpaceDN/>
        <w:bidi w:val="0"/>
        <w:adjustRightInd/>
        <w:snapToGrid/>
        <w:spacing w:after="0" w:line="288" w:lineRule="auto"/>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（2）支付方式：银行转账。</w:t>
      </w:r>
    </w:p>
    <w:p w14:paraId="32AF98E2">
      <w:pPr>
        <w:pStyle w:val="29"/>
        <w:keepNext w:val="0"/>
        <w:keepLines w:val="0"/>
        <w:pageBreakBefore w:val="0"/>
        <w:widowControl/>
        <w:kinsoku/>
        <w:wordWrap/>
        <w:overflowPunct/>
        <w:topLinePunct w:val="0"/>
        <w:autoSpaceDE/>
        <w:autoSpaceDN/>
        <w:bidi w:val="0"/>
        <w:adjustRightInd/>
        <w:snapToGrid/>
        <w:spacing w:after="0" w:line="288" w:lineRule="auto"/>
        <w:ind w:left="0" w:leftChars="0"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由</w:t>
      </w:r>
      <w:r>
        <w:rPr>
          <w:rFonts w:hint="eastAsia" w:ascii="宋体" w:hAnsi="宋体" w:eastAsia="宋体" w:cs="宋体"/>
          <w:color w:val="auto"/>
          <w:sz w:val="24"/>
          <w:szCs w:val="24"/>
          <w:highlight w:val="none"/>
          <w:lang w:val="en-US" w:eastAsia="zh-CN"/>
        </w:rPr>
        <w:t>接受供货的具体学校</w:t>
      </w:r>
      <w:r>
        <w:rPr>
          <w:rFonts w:hint="eastAsia" w:ascii="宋体" w:hAnsi="宋体" w:eastAsia="宋体" w:cs="宋体"/>
          <w:color w:val="auto"/>
          <w:sz w:val="24"/>
          <w:szCs w:val="24"/>
          <w:highlight w:val="none"/>
          <w:lang w:val="zh-CN" w:eastAsia="zh-CN"/>
        </w:rPr>
        <w:t>负责结算，合同签订后，中标人在每次接受付款前，</w:t>
      </w:r>
      <w:r>
        <w:rPr>
          <w:rFonts w:hint="eastAsia" w:ascii="宋体" w:hAnsi="宋体" w:eastAsia="宋体" w:cs="宋体"/>
          <w:color w:val="auto"/>
          <w:sz w:val="24"/>
          <w:szCs w:val="24"/>
          <w:highlight w:val="none"/>
          <w:lang w:val="en-US" w:eastAsia="zh-CN"/>
        </w:rPr>
        <w:t>应先</w:t>
      </w:r>
      <w:r>
        <w:rPr>
          <w:rFonts w:hint="eastAsia" w:ascii="宋体" w:hAnsi="宋体" w:eastAsia="宋体" w:cs="宋体"/>
          <w:color w:val="auto"/>
          <w:sz w:val="24"/>
          <w:szCs w:val="24"/>
          <w:highlight w:val="none"/>
          <w:lang w:val="zh-CN" w:eastAsia="zh-CN"/>
        </w:rPr>
        <w:t>开具</w:t>
      </w:r>
      <w:r>
        <w:rPr>
          <w:rFonts w:hint="eastAsia" w:ascii="宋体" w:hAnsi="宋体" w:eastAsia="宋体" w:cs="宋体"/>
          <w:color w:val="auto"/>
          <w:sz w:val="24"/>
          <w:szCs w:val="24"/>
          <w:highlight w:val="none"/>
          <w:lang w:val="en-US" w:eastAsia="zh-CN"/>
        </w:rPr>
        <w:t>符合法律规定的等</w:t>
      </w:r>
      <w:r>
        <w:rPr>
          <w:rFonts w:hint="eastAsia" w:ascii="宋体" w:hAnsi="宋体" w:eastAsia="宋体" w:cs="宋体"/>
          <w:color w:val="auto"/>
          <w:sz w:val="24"/>
          <w:szCs w:val="24"/>
          <w:highlight w:val="none"/>
          <w:lang w:val="zh-CN" w:eastAsia="zh-CN"/>
        </w:rPr>
        <w:t>额发票给学校。</w:t>
      </w:r>
    </w:p>
    <w:p w14:paraId="502DA176">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宋体" w:hAnsi="宋体" w:eastAsia="宋体" w:cs="宋体"/>
          <w:b/>
          <w:color w:val="auto"/>
          <w:sz w:val="52"/>
          <w:szCs w:val="52"/>
          <w:highlight w:val="none"/>
          <w:lang w:val="en-US" w:eastAsia="zh-CN"/>
        </w:rPr>
      </w:pPr>
    </w:p>
    <w:p w14:paraId="5F963A58">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宋体" w:hAnsi="宋体" w:eastAsia="宋体" w:cs="宋体"/>
          <w:b/>
          <w:color w:val="auto"/>
          <w:sz w:val="52"/>
          <w:szCs w:val="52"/>
          <w:highlight w:val="none"/>
          <w:lang w:val="en-US" w:eastAsia="zh-CN"/>
        </w:rPr>
      </w:pPr>
    </w:p>
    <w:p w14:paraId="25043F6F">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宋体" w:hAnsi="宋体" w:eastAsia="宋体" w:cs="宋体"/>
          <w:b/>
          <w:color w:val="auto"/>
          <w:sz w:val="52"/>
          <w:szCs w:val="52"/>
          <w:highlight w:val="none"/>
          <w:lang w:val="en-US" w:eastAsia="zh-CN"/>
        </w:rPr>
      </w:pPr>
    </w:p>
    <w:p w14:paraId="538A235F">
      <w:pPr>
        <w:pStyle w:val="3"/>
        <w:jc w:val="both"/>
        <w:rPr>
          <w:rFonts w:hint="eastAsia" w:ascii="宋体" w:hAnsi="宋体" w:eastAsia="宋体" w:cs="宋体"/>
          <w:b/>
          <w:bCs/>
          <w:color w:val="auto"/>
          <w:sz w:val="32"/>
          <w:szCs w:val="32"/>
          <w:highlight w:val="none"/>
        </w:rPr>
      </w:pPr>
      <w:bookmarkStart w:id="22" w:name="_Toc22592"/>
    </w:p>
    <w:p w14:paraId="13342D90">
      <w:pPr>
        <w:rPr>
          <w:rFonts w:hint="default"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 xml:space="preserve">                         合同文本</w:t>
      </w:r>
    </w:p>
    <w:p w14:paraId="24A9090C">
      <w:pPr>
        <w:rPr>
          <w:rFonts w:hint="eastAsia" w:ascii="宋体" w:hAnsi="宋体" w:eastAsia="宋体" w:cs="宋体"/>
          <w:b/>
          <w:bCs/>
          <w:color w:val="auto"/>
          <w:sz w:val="32"/>
          <w:szCs w:val="32"/>
          <w:highlight w:val="none"/>
        </w:rPr>
      </w:pPr>
    </w:p>
    <w:p w14:paraId="0A75B306">
      <w:pPr>
        <w:autoSpaceDE w:val="0"/>
        <w:autoSpaceDN w:val="0"/>
        <w:adjustRightInd w:val="0"/>
        <w:snapToGrid w:val="0"/>
        <w:spacing w:line="560" w:lineRule="exact"/>
        <w:jc w:val="center"/>
        <w:outlineLvl w:val="0"/>
        <w:rPr>
          <w:rFonts w:hint="eastAsia" w:ascii="方正小标宋简体" w:hAnsi="宋体" w:eastAsia="方正小标宋简体" w:cs="宋体"/>
          <w:color w:val="auto"/>
          <w:sz w:val="44"/>
          <w:szCs w:val="44"/>
          <w:highlight w:val="none"/>
          <w:lang w:val="zh-CN"/>
        </w:rPr>
      </w:pPr>
      <w:bookmarkStart w:id="23" w:name="_Toc14886427"/>
      <w:r>
        <w:rPr>
          <w:rFonts w:hint="eastAsia" w:ascii="方正小标宋简体" w:eastAsia="方正小标宋简体"/>
          <w:color w:val="auto"/>
          <w:sz w:val="44"/>
          <w:szCs w:val="44"/>
          <w:highlight w:val="none"/>
          <w:lang w:val="zh-CN"/>
        </w:rPr>
        <w:t>西安</w:t>
      </w:r>
      <w:r>
        <w:rPr>
          <w:rFonts w:hint="eastAsia" w:ascii="宋体" w:hAnsi="宋体" w:cs="宋体"/>
          <w:b/>
          <w:color w:val="auto"/>
          <w:sz w:val="44"/>
          <w:szCs w:val="44"/>
          <w:highlight w:val="none"/>
          <w:lang w:val="zh-CN"/>
        </w:rPr>
        <w:t>浐</w:t>
      </w:r>
      <w:r>
        <w:rPr>
          <w:rFonts w:hint="eastAsia" w:ascii="方正小标宋简体" w:hAnsi="方正小标宋简体" w:eastAsia="方正小标宋简体" w:cs="方正小标宋简体"/>
          <w:color w:val="auto"/>
          <w:sz w:val="44"/>
          <w:szCs w:val="44"/>
          <w:highlight w:val="none"/>
          <w:lang w:val="zh-CN"/>
        </w:rPr>
        <w:t>灞</w:t>
      </w:r>
      <w:r>
        <w:rPr>
          <w:rFonts w:hint="eastAsia" w:ascii="方正小标宋简体" w:hAnsi="宋体" w:eastAsia="方正小标宋简体" w:cs="宋体"/>
          <w:color w:val="auto"/>
          <w:sz w:val="44"/>
          <w:szCs w:val="44"/>
          <w:highlight w:val="none"/>
          <w:lang w:val="zh-CN"/>
        </w:rPr>
        <w:t>国际港</w:t>
      </w:r>
    </w:p>
    <w:p w14:paraId="73909C44">
      <w:pPr>
        <w:autoSpaceDE w:val="0"/>
        <w:autoSpaceDN w:val="0"/>
        <w:adjustRightInd w:val="0"/>
        <w:snapToGrid w:val="0"/>
        <w:spacing w:line="560" w:lineRule="exact"/>
        <w:jc w:val="center"/>
        <w:outlineLvl w:val="0"/>
        <w:rPr>
          <w:rFonts w:ascii="方正小标宋简体" w:eastAsia="方正小标宋简体"/>
          <w:color w:val="auto"/>
          <w:sz w:val="44"/>
          <w:szCs w:val="44"/>
          <w:highlight w:val="none"/>
          <w:lang w:val="zh-CN"/>
        </w:rPr>
      </w:pPr>
      <w:r>
        <w:rPr>
          <w:rFonts w:hint="eastAsia" w:ascii="方正小标宋简体" w:eastAsia="方正小标宋简体"/>
          <w:color w:val="auto"/>
          <w:sz w:val="44"/>
          <w:szCs w:val="44"/>
          <w:highlight w:val="none"/>
          <w:lang w:val="zh-CN"/>
        </w:rPr>
        <w:t>2</w:t>
      </w:r>
      <w:r>
        <w:rPr>
          <w:rFonts w:ascii="方正小标宋简体" w:eastAsia="方正小标宋简体"/>
          <w:color w:val="auto"/>
          <w:sz w:val="44"/>
          <w:szCs w:val="44"/>
          <w:highlight w:val="none"/>
          <w:lang w:val="zh-CN"/>
        </w:rPr>
        <w:t>025</w:t>
      </w:r>
      <w:r>
        <w:rPr>
          <w:rFonts w:hint="eastAsia" w:ascii="方正小标宋简体" w:eastAsia="方正小标宋简体"/>
          <w:color w:val="auto"/>
          <w:sz w:val="44"/>
          <w:szCs w:val="44"/>
          <w:highlight w:val="none"/>
          <w:lang w:val="en-US" w:eastAsia="zh-CN"/>
        </w:rPr>
        <w:t>-2026学</w:t>
      </w:r>
      <w:r>
        <w:rPr>
          <w:rFonts w:ascii="方正小标宋简体" w:eastAsia="方正小标宋简体"/>
          <w:color w:val="auto"/>
          <w:sz w:val="44"/>
          <w:szCs w:val="44"/>
          <w:highlight w:val="none"/>
          <w:lang w:val="zh-CN"/>
        </w:rPr>
        <w:t>年</w:t>
      </w:r>
      <w:r>
        <w:rPr>
          <w:rFonts w:hint="eastAsia" w:ascii="方正小标宋简体" w:eastAsia="方正小标宋简体"/>
          <w:color w:val="auto"/>
          <w:sz w:val="44"/>
          <w:szCs w:val="44"/>
          <w:highlight w:val="none"/>
          <w:lang w:val="zh-CN"/>
        </w:rPr>
        <w:t>肉蛋类采购供货合同</w:t>
      </w:r>
    </w:p>
    <w:bookmarkEnd w:id="23"/>
    <w:p w14:paraId="780914B2">
      <w:pPr>
        <w:autoSpaceDE w:val="0"/>
        <w:autoSpaceDN w:val="0"/>
        <w:adjustRightInd w:val="0"/>
        <w:spacing w:line="560" w:lineRule="exact"/>
        <w:ind w:firstLine="640" w:firstLineChars="200"/>
        <w:rPr>
          <w:rFonts w:eastAsia="方正小标宋简体"/>
          <w:bCs/>
          <w:color w:val="auto"/>
          <w:sz w:val="32"/>
          <w:szCs w:val="32"/>
          <w:highlight w:val="none"/>
        </w:rPr>
      </w:pPr>
    </w:p>
    <w:p w14:paraId="175F15EB">
      <w:pPr>
        <w:autoSpaceDE w:val="0"/>
        <w:autoSpaceDN w:val="0"/>
        <w:adjustRightInd w:val="0"/>
        <w:spacing w:line="560" w:lineRule="exact"/>
        <w:rPr>
          <w:rFonts w:ascii="仿宋" w:hAnsi="仿宋" w:eastAsia="仿宋"/>
          <w:bCs/>
          <w:color w:val="auto"/>
          <w:sz w:val="32"/>
          <w:szCs w:val="32"/>
          <w:highlight w:val="none"/>
        </w:rPr>
      </w:pPr>
      <w:r>
        <w:rPr>
          <w:rFonts w:hint="eastAsia" w:ascii="仿宋" w:hAnsi="仿宋" w:eastAsia="仿宋"/>
          <w:bCs/>
          <w:color w:val="auto"/>
          <w:sz w:val="32"/>
          <w:szCs w:val="32"/>
          <w:highlight w:val="none"/>
        </w:rPr>
        <w:t>甲方（采购人）：</w:t>
      </w:r>
    </w:p>
    <w:p w14:paraId="3AD9D256">
      <w:pPr>
        <w:autoSpaceDE w:val="0"/>
        <w:autoSpaceDN w:val="0"/>
        <w:adjustRightInd w:val="0"/>
        <w:spacing w:line="560" w:lineRule="exact"/>
        <w:rPr>
          <w:rFonts w:hint="eastAsia" w:ascii="仿宋" w:hAnsi="仿宋" w:eastAsia="仿宋"/>
          <w:bCs/>
          <w:color w:val="auto"/>
          <w:sz w:val="32"/>
          <w:szCs w:val="32"/>
          <w:highlight w:val="none"/>
          <w:lang w:val="en-US" w:eastAsia="zh-CN"/>
        </w:rPr>
      </w:pPr>
      <w:r>
        <w:rPr>
          <w:rFonts w:hint="eastAsia" w:ascii="仿宋" w:hAnsi="仿宋" w:eastAsia="仿宋"/>
          <w:bCs/>
          <w:color w:val="auto"/>
          <w:sz w:val="32"/>
          <w:szCs w:val="32"/>
          <w:highlight w:val="none"/>
        </w:rPr>
        <w:t>乙方（中标人）：</w:t>
      </w:r>
      <w:r>
        <w:rPr>
          <w:rFonts w:hint="eastAsia" w:ascii="仿宋" w:hAnsi="仿宋" w:eastAsia="仿宋"/>
          <w:bCs/>
          <w:color w:val="auto"/>
          <w:sz w:val="32"/>
          <w:szCs w:val="32"/>
          <w:highlight w:val="none"/>
          <w:lang w:val="en-US" w:eastAsia="zh-CN"/>
        </w:rPr>
        <w:t xml:space="preserve"> </w:t>
      </w:r>
    </w:p>
    <w:p w14:paraId="5C16ABAE">
      <w:pPr>
        <w:autoSpaceDE w:val="0"/>
        <w:autoSpaceDN w:val="0"/>
        <w:adjustRightInd w:val="0"/>
        <w:spacing w:line="560" w:lineRule="exact"/>
        <w:ind w:firstLine="640" w:firstLineChars="200"/>
        <w:rPr>
          <w:rFonts w:ascii="仿宋" w:hAnsi="仿宋" w:eastAsia="仿宋" w:cstheme="minorEastAsia"/>
          <w:b/>
          <w:color w:val="auto"/>
          <w:sz w:val="32"/>
          <w:szCs w:val="32"/>
          <w:highlight w:val="none"/>
          <w:lang w:bidi="ar"/>
        </w:rPr>
      </w:pPr>
      <w:r>
        <w:rPr>
          <w:rFonts w:hint="eastAsia" w:ascii="仿宋" w:hAnsi="仿宋" w:eastAsia="仿宋" w:cstheme="minorEastAsia"/>
          <w:color w:val="auto"/>
          <w:sz w:val="32"/>
          <w:szCs w:val="32"/>
          <w:highlight w:val="none"/>
          <w:lang w:eastAsia="zh-CN" w:bidi="ar"/>
        </w:rPr>
        <w:t>西安浐灞国际港辖区公办学校2025-2026学年大宗食材（肉蛋）采购项目第二批次（浐灞十幼等19所学校）</w:t>
      </w:r>
      <w:r>
        <w:rPr>
          <w:rFonts w:hint="eastAsia" w:ascii="仿宋" w:hAnsi="仿宋" w:eastAsia="仿宋" w:cstheme="minorEastAsia"/>
          <w:color w:val="auto"/>
          <w:sz w:val="32"/>
          <w:szCs w:val="32"/>
          <w:highlight w:val="none"/>
          <w:lang w:val="en-US" w:eastAsia="zh-CN" w:bidi="ar"/>
        </w:rPr>
        <w:t>第一包</w:t>
      </w:r>
      <w:r>
        <w:rPr>
          <w:rFonts w:hint="eastAsia" w:ascii="仿宋" w:hAnsi="仿宋" w:eastAsia="仿宋" w:cstheme="minorEastAsia"/>
          <w:color w:val="auto"/>
          <w:sz w:val="32"/>
          <w:szCs w:val="32"/>
          <w:highlight w:val="none"/>
          <w:lang w:bidi="ar"/>
        </w:rPr>
        <w:t>由</w:t>
      </w:r>
      <w:r>
        <w:rPr>
          <w:rFonts w:hint="eastAsia" w:ascii="仿宋" w:hAnsi="仿宋" w:eastAsia="仿宋" w:cs="仿宋"/>
          <w:color w:val="auto"/>
          <w:sz w:val="32"/>
          <w:szCs w:val="32"/>
          <w:highlight w:val="none"/>
          <w:lang w:val="en-US" w:eastAsia="zh-CN" w:bidi="ar"/>
        </w:rPr>
        <w:t>华晟国际项目管理有限</w:t>
      </w:r>
      <w:r>
        <w:rPr>
          <w:rFonts w:hint="eastAsia" w:ascii="仿宋" w:hAnsi="仿宋" w:eastAsia="仿宋" w:cstheme="minorEastAsia"/>
          <w:color w:val="auto"/>
          <w:sz w:val="32"/>
          <w:szCs w:val="32"/>
          <w:highlight w:val="none"/>
          <w:lang w:bidi="ar"/>
        </w:rPr>
        <w:t>公司按照政府采购程序依法组织</w:t>
      </w:r>
      <w:r>
        <w:rPr>
          <w:rFonts w:hint="eastAsia" w:ascii="仿宋" w:hAnsi="仿宋" w:eastAsia="仿宋" w:cstheme="minorEastAsia"/>
          <w:color w:val="auto"/>
          <w:sz w:val="32"/>
          <w:szCs w:val="32"/>
          <w:highlight w:val="none"/>
          <w:lang w:eastAsia="zh-CN" w:bidi="ar"/>
        </w:rPr>
        <w:t>公开招标</w:t>
      </w:r>
      <w:r>
        <w:rPr>
          <w:rFonts w:hint="eastAsia" w:ascii="仿宋" w:hAnsi="仿宋" w:eastAsia="仿宋" w:cstheme="minorEastAsia"/>
          <w:color w:val="auto"/>
          <w:sz w:val="32"/>
          <w:szCs w:val="32"/>
          <w:highlight w:val="none"/>
          <w:lang w:bidi="ar"/>
        </w:rPr>
        <w:t>（项目编号：</w:t>
      </w:r>
      <w:r>
        <w:rPr>
          <w:rFonts w:hint="eastAsia" w:ascii="仿宋" w:hAnsi="仿宋" w:eastAsia="仿宋" w:cstheme="minorEastAsia"/>
          <w:color w:val="auto"/>
          <w:sz w:val="32"/>
          <w:szCs w:val="32"/>
          <w:highlight w:val="none"/>
          <w:lang w:val="en-US" w:eastAsia="zh-CN" w:bidi="ar"/>
        </w:rPr>
        <w:t>HSGJ2025-196）</w:t>
      </w:r>
      <w:r>
        <w:rPr>
          <w:rFonts w:hint="eastAsia" w:ascii="仿宋" w:hAnsi="仿宋" w:eastAsia="仿宋" w:cstheme="minorEastAsia"/>
          <w:color w:val="auto"/>
          <w:sz w:val="32"/>
          <w:szCs w:val="32"/>
          <w:highlight w:val="none"/>
          <w:lang w:bidi="ar"/>
        </w:rPr>
        <w:t>，</w:t>
      </w:r>
      <w:r>
        <w:rPr>
          <w:rFonts w:hint="eastAsia" w:ascii="仿宋" w:hAnsi="仿宋" w:eastAsia="仿宋" w:cstheme="minorEastAsia"/>
          <w:color w:val="auto"/>
          <w:sz w:val="32"/>
          <w:szCs w:val="32"/>
          <w:highlight w:val="none"/>
          <w:lang w:val="en-US" w:eastAsia="zh-CN" w:bidi="ar"/>
        </w:rPr>
        <w:t xml:space="preserve">               </w:t>
      </w:r>
      <w:r>
        <w:rPr>
          <w:rFonts w:hint="eastAsia" w:ascii="仿宋" w:hAnsi="仿宋" w:eastAsia="仿宋" w:cstheme="minorEastAsia"/>
          <w:color w:val="auto"/>
          <w:sz w:val="32"/>
          <w:szCs w:val="32"/>
          <w:highlight w:val="none"/>
          <w:lang w:bidi="ar"/>
        </w:rPr>
        <w:t>(</w:t>
      </w:r>
      <w:r>
        <w:rPr>
          <w:rFonts w:hint="eastAsia" w:ascii="仿宋" w:hAnsi="仿宋" w:eastAsia="仿宋" w:cstheme="minorEastAsia"/>
          <w:color w:val="auto"/>
          <w:sz w:val="32"/>
          <w:szCs w:val="32"/>
          <w:highlight w:val="none"/>
          <w:lang w:val="en-US" w:eastAsia="zh-CN" w:bidi="ar"/>
        </w:rPr>
        <w:t xml:space="preserve"> </w:t>
      </w:r>
      <w:r>
        <w:rPr>
          <w:rFonts w:hint="eastAsia" w:ascii="仿宋" w:hAnsi="仿宋" w:eastAsia="仿宋" w:cstheme="minorEastAsia"/>
          <w:color w:val="auto"/>
          <w:sz w:val="32"/>
          <w:szCs w:val="32"/>
          <w:highlight w:val="none"/>
          <w:u w:val="single"/>
          <w:lang w:val="en-US" w:eastAsia="zh-CN" w:bidi="ar"/>
        </w:rPr>
        <w:t xml:space="preserve">              </w:t>
      </w:r>
      <w:r>
        <w:rPr>
          <w:rFonts w:hint="eastAsia" w:ascii="仿宋" w:hAnsi="仿宋" w:eastAsia="仿宋" w:cstheme="minorEastAsia"/>
          <w:color w:val="auto"/>
          <w:sz w:val="32"/>
          <w:szCs w:val="32"/>
          <w:highlight w:val="none"/>
          <w:lang w:bidi="ar"/>
        </w:rPr>
        <w:t>以下简称“甲方”)确定</w:t>
      </w:r>
      <w:r>
        <w:rPr>
          <w:rFonts w:hint="eastAsia" w:ascii="仿宋" w:hAnsi="仿宋" w:eastAsia="仿宋" w:cs="仿宋"/>
          <w:color w:val="auto"/>
          <w:sz w:val="32"/>
          <w:szCs w:val="32"/>
          <w:highlight w:val="none"/>
          <w:lang w:bidi="ar"/>
        </w:rPr>
        <w:t>××××××</w:t>
      </w:r>
      <w:r>
        <w:rPr>
          <w:rFonts w:hint="eastAsia" w:ascii="仿宋" w:hAnsi="仿宋" w:eastAsia="仿宋"/>
          <w:bCs/>
          <w:color w:val="auto"/>
          <w:sz w:val="32"/>
          <w:szCs w:val="32"/>
          <w:highlight w:val="none"/>
        </w:rPr>
        <w:t>公司</w:t>
      </w:r>
      <w:r>
        <w:rPr>
          <w:rFonts w:hint="eastAsia" w:ascii="仿宋" w:hAnsi="仿宋" w:eastAsia="仿宋" w:cstheme="minorEastAsia"/>
          <w:color w:val="auto"/>
          <w:sz w:val="32"/>
          <w:szCs w:val="32"/>
          <w:highlight w:val="none"/>
          <w:lang w:bidi="ar"/>
        </w:rPr>
        <w:t xml:space="preserve">（以下简称“乙方”）为成交供应商。 </w:t>
      </w:r>
    </w:p>
    <w:p w14:paraId="2AD0C1FB">
      <w:pPr>
        <w:autoSpaceDE w:val="0"/>
        <w:autoSpaceDN w:val="0"/>
        <w:adjustRightInd w:val="0"/>
        <w:spacing w:line="560" w:lineRule="exact"/>
        <w:ind w:firstLine="640" w:firstLineChars="200"/>
        <w:rPr>
          <w:rFonts w:ascii="仿宋" w:hAnsi="仿宋" w:eastAsia="仿宋" w:cstheme="minorEastAsia"/>
          <w:bCs/>
          <w:color w:val="auto"/>
          <w:kern w:val="0"/>
          <w:sz w:val="32"/>
          <w:szCs w:val="32"/>
          <w:highlight w:val="none"/>
          <w:lang w:bidi="ar"/>
        </w:rPr>
      </w:pPr>
      <w:r>
        <w:rPr>
          <w:rFonts w:hint="eastAsia" w:ascii="仿宋" w:hAnsi="仿宋" w:eastAsia="仿宋" w:cstheme="minorEastAsia"/>
          <w:bCs/>
          <w:color w:val="auto"/>
          <w:kern w:val="0"/>
          <w:sz w:val="32"/>
          <w:szCs w:val="32"/>
          <w:highlight w:val="none"/>
          <w:lang w:bidi="ar"/>
        </w:rPr>
        <w:t>依据《中华人民共和国民法典》和《中华人民共和国政府采购法》，经双方协商按下述条款和条件签署本合同。</w:t>
      </w:r>
    </w:p>
    <w:p w14:paraId="47E09F3E">
      <w:pPr>
        <w:pStyle w:val="20"/>
        <w:spacing w:line="560" w:lineRule="exact"/>
        <w:ind w:firstLine="640" w:firstLineChars="200"/>
        <w:jc w:val="both"/>
        <w:rPr>
          <w:rFonts w:ascii="黑体" w:hAnsi="黑体" w:eastAsia="黑体" w:cstheme="minorEastAsia"/>
          <w:bCs/>
          <w:color w:val="auto"/>
          <w:kern w:val="0"/>
          <w:sz w:val="32"/>
          <w:szCs w:val="32"/>
          <w:highlight w:val="none"/>
          <w:lang w:bidi="ar"/>
        </w:rPr>
      </w:pPr>
      <w:r>
        <w:rPr>
          <w:rFonts w:ascii="黑体" w:hAnsi="黑体" w:eastAsia="黑体" w:cstheme="minorEastAsia"/>
          <w:bCs/>
          <w:color w:val="auto"/>
          <w:kern w:val="0"/>
          <w:sz w:val="32"/>
          <w:szCs w:val="32"/>
          <w:highlight w:val="none"/>
          <w:lang w:bidi="ar"/>
        </w:rPr>
        <w:t>一、合同内容</w:t>
      </w:r>
    </w:p>
    <w:p w14:paraId="34E400FB">
      <w:pPr>
        <w:pStyle w:val="20"/>
        <w:spacing w:line="560" w:lineRule="exact"/>
        <w:ind w:firstLine="640" w:firstLineChars="200"/>
        <w:jc w:val="both"/>
        <w:rPr>
          <w:rFonts w:ascii="仿宋" w:hAnsi="仿宋" w:eastAsia="仿宋"/>
          <w:bCs/>
          <w:color w:val="auto"/>
          <w:sz w:val="32"/>
          <w:szCs w:val="32"/>
          <w:highlight w:val="none"/>
        </w:rPr>
      </w:pPr>
      <w:r>
        <w:rPr>
          <w:rFonts w:hint="eastAsia" w:ascii="仿宋" w:hAnsi="仿宋" w:eastAsia="仿宋"/>
          <w:bCs/>
          <w:color w:val="auto"/>
          <w:sz w:val="32"/>
          <w:szCs w:val="32"/>
          <w:highlight w:val="none"/>
        </w:rPr>
        <w:t>（一）</w:t>
      </w:r>
      <w:r>
        <w:rPr>
          <w:rFonts w:ascii="仿宋" w:hAnsi="仿宋" w:eastAsia="仿宋"/>
          <w:bCs/>
          <w:color w:val="auto"/>
          <w:sz w:val="32"/>
          <w:szCs w:val="32"/>
          <w:highlight w:val="none"/>
        </w:rPr>
        <w:t>标底清单</w:t>
      </w:r>
    </w:p>
    <w:tbl>
      <w:tblPr>
        <w:tblStyle w:val="31"/>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384"/>
        <w:gridCol w:w="1535"/>
        <w:gridCol w:w="1700"/>
        <w:gridCol w:w="2551"/>
        <w:gridCol w:w="851"/>
      </w:tblGrid>
      <w:tr w14:paraId="32DA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876" w:type="dxa"/>
            <w:vAlign w:val="center"/>
          </w:tcPr>
          <w:p w14:paraId="2B87B03F">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序号</w:t>
            </w:r>
          </w:p>
        </w:tc>
        <w:tc>
          <w:tcPr>
            <w:tcW w:w="1384" w:type="dxa"/>
            <w:vAlign w:val="center"/>
          </w:tcPr>
          <w:p w14:paraId="51276F9B">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品目名称</w:t>
            </w:r>
          </w:p>
        </w:tc>
        <w:tc>
          <w:tcPr>
            <w:tcW w:w="1535" w:type="dxa"/>
            <w:vAlign w:val="center"/>
          </w:tcPr>
          <w:p w14:paraId="797FF014">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品牌/商标</w:t>
            </w:r>
          </w:p>
        </w:tc>
        <w:tc>
          <w:tcPr>
            <w:tcW w:w="1700" w:type="dxa"/>
            <w:vAlign w:val="center"/>
          </w:tcPr>
          <w:p w14:paraId="0E1BF59D">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规格</w:t>
            </w:r>
          </w:p>
        </w:tc>
        <w:tc>
          <w:tcPr>
            <w:tcW w:w="2551" w:type="dxa"/>
            <w:vAlign w:val="center"/>
          </w:tcPr>
          <w:p w14:paraId="6B50DA41">
            <w:pPr>
              <w:spacing w:line="400" w:lineRule="exact"/>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折扣</w:t>
            </w:r>
          </w:p>
        </w:tc>
        <w:tc>
          <w:tcPr>
            <w:tcW w:w="851" w:type="dxa"/>
            <w:vAlign w:val="center"/>
          </w:tcPr>
          <w:p w14:paraId="3FB8FADF">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备注</w:t>
            </w:r>
          </w:p>
        </w:tc>
      </w:tr>
      <w:tr w14:paraId="1B49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76" w:type="dxa"/>
            <w:vAlign w:val="center"/>
          </w:tcPr>
          <w:p w14:paraId="14990497">
            <w:pPr>
              <w:spacing w:line="400" w:lineRule="exact"/>
              <w:jc w:val="center"/>
              <w:rPr>
                <w:rFonts w:hint="eastAsia" w:ascii="仿宋" w:hAnsi="仿宋" w:eastAsia="仿宋" w:cs="仿宋"/>
                <w:color w:val="auto"/>
                <w:kern w:val="0"/>
                <w:sz w:val="24"/>
                <w:highlight w:val="none"/>
              </w:rPr>
            </w:pPr>
            <w:bookmarkStart w:id="24" w:name="OLE_LINK3" w:colFirst="1" w:colLast="1"/>
            <w:r>
              <w:rPr>
                <w:rFonts w:hint="eastAsia" w:ascii="仿宋" w:hAnsi="仿宋" w:eastAsia="仿宋" w:cs="仿宋"/>
                <w:color w:val="auto"/>
                <w:kern w:val="0"/>
                <w:sz w:val="24"/>
                <w:highlight w:val="none"/>
              </w:rPr>
              <w:t>1</w:t>
            </w:r>
          </w:p>
        </w:tc>
        <w:tc>
          <w:tcPr>
            <w:tcW w:w="1384" w:type="dxa"/>
            <w:vAlign w:val="center"/>
          </w:tcPr>
          <w:p w14:paraId="0376E983">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猪肉</w:t>
            </w:r>
          </w:p>
        </w:tc>
        <w:tc>
          <w:tcPr>
            <w:tcW w:w="1535" w:type="dxa"/>
            <w:vAlign w:val="center"/>
          </w:tcPr>
          <w:p w14:paraId="5466DABD">
            <w:pPr>
              <w:spacing w:line="400" w:lineRule="exact"/>
              <w:jc w:val="center"/>
              <w:rPr>
                <w:rFonts w:hint="eastAsia" w:ascii="仿宋" w:hAnsi="仿宋" w:eastAsia="仿宋" w:cs="仿宋"/>
                <w:color w:val="auto"/>
                <w:kern w:val="0"/>
                <w:sz w:val="24"/>
                <w:highlight w:val="none"/>
              </w:rPr>
            </w:pPr>
          </w:p>
        </w:tc>
        <w:tc>
          <w:tcPr>
            <w:tcW w:w="1700" w:type="dxa"/>
            <w:vAlign w:val="center"/>
          </w:tcPr>
          <w:p w14:paraId="258307A3">
            <w:pPr>
              <w:spacing w:line="400" w:lineRule="exact"/>
              <w:jc w:val="center"/>
              <w:rPr>
                <w:rFonts w:hint="eastAsia" w:ascii="仿宋" w:hAnsi="仿宋" w:eastAsia="仿宋" w:cs="仿宋"/>
                <w:color w:val="auto"/>
                <w:kern w:val="0"/>
                <w:sz w:val="24"/>
                <w:highlight w:val="none"/>
              </w:rPr>
            </w:pPr>
          </w:p>
        </w:tc>
        <w:tc>
          <w:tcPr>
            <w:tcW w:w="2551" w:type="dxa"/>
            <w:vAlign w:val="center"/>
          </w:tcPr>
          <w:p w14:paraId="0017278B">
            <w:pPr>
              <w:spacing w:line="400" w:lineRule="exact"/>
              <w:jc w:val="left"/>
              <w:rPr>
                <w:rFonts w:hint="eastAsia" w:ascii="仿宋" w:hAnsi="仿宋" w:eastAsia="仿宋" w:cs="仿宋"/>
                <w:color w:val="auto"/>
                <w:kern w:val="0"/>
                <w:sz w:val="24"/>
                <w:highlight w:val="none"/>
              </w:rPr>
            </w:pPr>
          </w:p>
        </w:tc>
        <w:tc>
          <w:tcPr>
            <w:tcW w:w="851" w:type="dxa"/>
            <w:vAlign w:val="center"/>
          </w:tcPr>
          <w:p w14:paraId="483DB334">
            <w:pPr>
              <w:spacing w:line="400" w:lineRule="exact"/>
              <w:jc w:val="center"/>
              <w:rPr>
                <w:rFonts w:hint="eastAsia" w:ascii="仿宋" w:hAnsi="仿宋" w:eastAsia="仿宋" w:cs="仿宋"/>
                <w:color w:val="auto"/>
                <w:kern w:val="0"/>
                <w:sz w:val="24"/>
                <w:highlight w:val="none"/>
              </w:rPr>
            </w:pPr>
          </w:p>
        </w:tc>
      </w:tr>
      <w:tr w14:paraId="2596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76" w:type="dxa"/>
            <w:vAlign w:val="center"/>
          </w:tcPr>
          <w:p w14:paraId="59F2AC9B">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384" w:type="dxa"/>
            <w:vAlign w:val="center"/>
          </w:tcPr>
          <w:p w14:paraId="5E9A5878">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牛肉</w:t>
            </w:r>
          </w:p>
        </w:tc>
        <w:tc>
          <w:tcPr>
            <w:tcW w:w="1535" w:type="dxa"/>
            <w:vAlign w:val="center"/>
          </w:tcPr>
          <w:p w14:paraId="4D99D609">
            <w:pPr>
              <w:spacing w:line="400" w:lineRule="exact"/>
              <w:jc w:val="center"/>
              <w:rPr>
                <w:rFonts w:hint="eastAsia" w:ascii="仿宋" w:hAnsi="仿宋" w:eastAsia="仿宋" w:cs="仿宋"/>
                <w:color w:val="auto"/>
                <w:kern w:val="0"/>
                <w:sz w:val="24"/>
                <w:highlight w:val="none"/>
              </w:rPr>
            </w:pPr>
          </w:p>
        </w:tc>
        <w:tc>
          <w:tcPr>
            <w:tcW w:w="1700" w:type="dxa"/>
            <w:vAlign w:val="center"/>
          </w:tcPr>
          <w:p w14:paraId="2F7C80E0">
            <w:pPr>
              <w:spacing w:line="400" w:lineRule="exact"/>
              <w:jc w:val="center"/>
              <w:rPr>
                <w:rFonts w:hint="eastAsia" w:ascii="仿宋" w:hAnsi="仿宋" w:eastAsia="仿宋" w:cs="仿宋"/>
                <w:color w:val="auto"/>
                <w:kern w:val="0"/>
                <w:sz w:val="24"/>
                <w:highlight w:val="none"/>
              </w:rPr>
            </w:pPr>
          </w:p>
        </w:tc>
        <w:tc>
          <w:tcPr>
            <w:tcW w:w="2551" w:type="dxa"/>
          </w:tcPr>
          <w:p w14:paraId="450F321D">
            <w:pPr>
              <w:rPr>
                <w:rFonts w:hint="eastAsia" w:ascii="仿宋" w:hAnsi="仿宋" w:eastAsia="仿宋" w:cs="仿宋"/>
                <w:color w:val="auto"/>
                <w:highlight w:val="none"/>
              </w:rPr>
            </w:pPr>
          </w:p>
        </w:tc>
        <w:tc>
          <w:tcPr>
            <w:tcW w:w="851" w:type="dxa"/>
            <w:vAlign w:val="center"/>
          </w:tcPr>
          <w:p w14:paraId="27A22B6C">
            <w:pPr>
              <w:spacing w:line="400" w:lineRule="exact"/>
              <w:jc w:val="center"/>
              <w:rPr>
                <w:rFonts w:hint="eastAsia" w:ascii="仿宋" w:hAnsi="仿宋" w:eastAsia="仿宋" w:cs="仿宋"/>
                <w:color w:val="auto"/>
                <w:kern w:val="0"/>
                <w:sz w:val="24"/>
                <w:highlight w:val="none"/>
              </w:rPr>
            </w:pPr>
          </w:p>
        </w:tc>
      </w:tr>
      <w:tr w14:paraId="2692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76" w:type="dxa"/>
            <w:vAlign w:val="center"/>
          </w:tcPr>
          <w:p w14:paraId="541988FD">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384" w:type="dxa"/>
            <w:vAlign w:val="center"/>
          </w:tcPr>
          <w:p w14:paraId="264D433C">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羊肉</w:t>
            </w:r>
          </w:p>
        </w:tc>
        <w:tc>
          <w:tcPr>
            <w:tcW w:w="1535" w:type="dxa"/>
            <w:vAlign w:val="center"/>
          </w:tcPr>
          <w:p w14:paraId="45DD5721">
            <w:pPr>
              <w:spacing w:line="400" w:lineRule="exact"/>
              <w:jc w:val="center"/>
              <w:rPr>
                <w:rFonts w:hint="eastAsia" w:ascii="仿宋" w:hAnsi="仿宋" w:eastAsia="仿宋" w:cs="仿宋"/>
                <w:color w:val="auto"/>
                <w:kern w:val="0"/>
                <w:sz w:val="24"/>
                <w:highlight w:val="none"/>
              </w:rPr>
            </w:pPr>
          </w:p>
        </w:tc>
        <w:tc>
          <w:tcPr>
            <w:tcW w:w="1700" w:type="dxa"/>
            <w:vAlign w:val="center"/>
          </w:tcPr>
          <w:p w14:paraId="6ED9138D">
            <w:pPr>
              <w:spacing w:line="400" w:lineRule="exact"/>
              <w:jc w:val="center"/>
              <w:rPr>
                <w:rFonts w:hint="eastAsia" w:ascii="仿宋" w:hAnsi="仿宋" w:eastAsia="仿宋" w:cs="仿宋"/>
                <w:color w:val="auto"/>
                <w:kern w:val="0"/>
                <w:sz w:val="24"/>
                <w:highlight w:val="none"/>
              </w:rPr>
            </w:pPr>
          </w:p>
        </w:tc>
        <w:tc>
          <w:tcPr>
            <w:tcW w:w="2551" w:type="dxa"/>
          </w:tcPr>
          <w:p w14:paraId="5DD5BB72">
            <w:pPr>
              <w:rPr>
                <w:rFonts w:hint="eastAsia" w:ascii="仿宋" w:hAnsi="仿宋" w:eastAsia="仿宋" w:cs="仿宋"/>
                <w:color w:val="auto"/>
                <w:highlight w:val="none"/>
              </w:rPr>
            </w:pPr>
          </w:p>
        </w:tc>
        <w:tc>
          <w:tcPr>
            <w:tcW w:w="851" w:type="dxa"/>
            <w:vAlign w:val="center"/>
          </w:tcPr>
          <w:p w14:paraId="453AEC4B">
            <w:pPr>
              <w:spacing w:line="400" w:lineRule="exact"/>
              <w:jc w:val="center"/>
              <w:rPr>
                <w:rFonts w:hint="eastAsia" w:ascii="仿宋" w:hAnsi="仿宋" w:eastAsia="仿宋" w:cs="仿宋"/>
                <w:color w:val="auto"/>
                <w:kern w:val="0"/>
                <w:sz w:val="24"/>
                <w:highlight w:val="none"/>
              </w:rPr>
            </w:pPr>
          </w:p>
        </w:tc>
      </w:tr>
      <w:tr w14:paraId="7F7D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76" w:type="dxa"/>
            <w:vAlign w:val="center"/>
          </w:tcPr>
          <w:p w14:paraId="078EC8BB">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384" w:type="dxa"/>
            <w:vAlign w:val="center"/>
          </w:tcPr>
          <w:p w14:paraId="10924AF6">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鸡肉</w:t>
            </w:r>
          </w:p>
        </w:tc>
        <w:tc>
          <w:tcPr>
            <w:tcW w:w="1535" w:type="dxa"/>
            <w:vAlign w:val="center"/>
          </w:tcPr>
          <w:p w14:paraId="626F3B94">
            <w:pPr>
              <w:spacing w:line="400" w:lineRule="exact"/>
              <w:jc w:val="center"/>
              <w:rPr>
                <w:rFonts w:hint="eastAsia" w:ascii="仿宋" w:hAnsi="仿宋" w:eastAsia="仿宋" w:cs="仿宋"/>
                <w:color w:val="auto"/>
                <w:kern w:val="0"/>
                <w:sz w:val="24"/>
                <w:highlight w:val="none"/>
              </w:rPr>
            </w:pPr>
          </w:p>
        </w:tc>
        <w:tc>
          <w:tcPr>
            <w:tcW w:w="1700" w:type="dxa"/>
            <w:vAlign w:val="center"/>
          </w:tcPr>
          <w:p w14:paraId="39413E9B">
            <w:pPr>
              <w:spacing w:line="400" w:lineRule="exact"/>
              <w:jc w:val="center"/>
              <w:rPr>
                <w:rFonts w:hint="eastAsia" w:ascii="仿宋" w:hAnsi="仿宋" w:eastAsia="仿宋" w:cs="仿宋"/>
                <w:color w:val="auto"/>
                <w:kern w:val="0"/>
                <w:sz w:val="24"/>
                <w:highlight w:val="none"/>
              </w:rPr>
            </w:pPr>
          </w:p>
        </w:tc>
        <w:tc>
          <w:tcPr>
            <w:tcW w:w="2551" w:type="dxa"/>
          </w:tcPr>
          <w:p w14:paraId="774B8D74">
            <w:pPr>
              <w:rPr>
                <w:rFonts w:hint="eastAsia" w:ascii="仿宋" w:hAnsi="仿宋" w:eastAsia="仿宋" w:cs="仿宋"/>
                <w:color w:val="auto"/>
                <w:highlight w:val="none"/>
              </w:rPr>
            </w:pPr>
          </w:p>
        </w:tc>
        <w:tc>
          <w:tcPr>
            <w:tcW w:w="851" w:type="dxa"/>
            <w:vAlign w:val="center"/>
          </w:tcPr>
          <w:p w14:paraId="70D88B99">
            <w:pPr>
              <w:spacing w:line="400" w:lineRule="exact"/>
              <w:jc w:val="center"/>
              <w:rPr>
                <w:rFonts w:hint="eastAsia" w:ascii="仿宋" w:hAnsi="仿宋" w:eastAsia="仿宋" w:cs="仿宋"/>
                <w:color w:val="auto"/>
                <w:kern w:val="0"/>
                <w:sz w:val="24"/>
                <w:highlight w:val="none"/>
              </w:rPr>
            </w:pPr>
          </w:p>
        </w:tc>
      </w:tr>
      <w:bookmarkEnd w:id="24"/>
      <w:tr w14:paraId="7FDA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76" w:type="dxa"/>
            <w:vAlign w:val="center"/>
          </w:tcPr>
          <w:p w14:paraId="44B89766">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384" w:type="dxa"/>
            <w:vAlign w:val="center"/>
          </w:tcPr>
          <w:p w14:paraId="2627AE2A">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鸭肉</w:t>
            </w:r>
          </w:p>
        </w:tc>
        <w:tc>
          <w:tcPr>
            <w:tcW w:w="1535" w:type="dxa"/>
            <w:vAlign w:val="center"/>
          </w:tcPr>
          <w:p w14:paraId="3F961E48">
            <w:pPr>
              <w:spacing w:line="400" w:lineRule="exact"/>
              <w:jc w:val="center"/>
              <w:rPr>
                <w:rFonts w:hint="eastAsia" w:ascii="仿宋" w:hAnsi="仿宋" w:eastAsia="仿宋" w:cs="仿宋"/>
                <w:color w:val="auto"/>
                <w:kern w:val="0"/>
                <w:sz w:val="24"/>
                <w:highlight w:val="none"/>
              </w:rPr>
            </w:pPr>
          </w:p>
        </w:tc>
        <w:tc>
          <w:tcPr>
            <w:tcW w:w="1700" w:type="dxa"/>
            <w:vAlign w:val="center"/>
          </w:tcPr>
          <w:p w14:paraId="359CC11F">
            <w:pPr>
              <w:spacing w:line="400" w:lineRule="exact"/>
              <w:jc w:val="center"/>
              <w:rPr>
                <w:rFonts w:hint="eastAsia" w:ascii="仿宋" w:hAnsi="仿宋" w:eastAsia="仿宋" w:cs="仿宋"/>
                <w:color w:val="auto"/>
                <w:kern w:val="0"/>
                <w:sz w:val="24"/>
                <w:highlight w:val="none"/>
              </w:rPr>
            </w:pPr>
          </w:p>
        </w:tc>
        <w:tc>
          <w:tcPr>
            <w:tcW w:w="2551" w:type="dxa"/>
          </w:tcPr>
          <w:p w14:paraId="19F0D12B">
            <w:pPr>
              <w:rPr>
                <w:rFonts w:hint="eastAsia" w:ascii="仿宋" w:hAnsi="仿宋" w:eastAsia="仿宋" w:cs="仿宋"/>
                <w:color w:val="auto"/>
                <w:highlight w:val="none"/>
              </w:rPr>
            </w:pPr>
          </w:p>
        </w:tc>
        <w:tc>
          <w:tcPr>
            <w:tcW w:w="851" w:type="dxa"/>
            <w:vAlign w:val="center"/>
          </w:tcPr>
          <w:p w14:paraId="512EF4AE">
            <w:pPr>
              <w:spacing w:line="400" w:lineRule="exact"/>
              <w:jc w:val="center"/>
              <w:rPr>
                <w:rFonts w:hint="eastAsia" w:ascii="仿宋" w:hAnsi="仿宋" w:eastAsia="仿宋" w:cs="仿宋"/>
                <w:color w:val="auto"/>
                <w:kern w:val="0"/>
                <w:sz w:val="24"/>
                <w:highlight w:val="none"/>
              </w:rPr>
            </w:pPr>
          </w:p>
        </w:tc>
      </w:tr>
      <w:tr w14:paraId="5498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76" w:type="dxa"/>
            <w:vAlign w:val="center"/>
          </w:tcPr>
          <w:p w14:paraId="37A48645">
            <w:pPr>
              <w:spacing w:line="400" w:lineRule="exact"/>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6</w:t>
            </w:r>
          </w:p>
        </w:tc>
        <w:tc>
          <w:tcPr>
            <w:tcW w:w="1384" w:type="dxa"/>
            <w:vAlign w:val="center"/>
          </w:tcPr>
          <w:p w14:paraId="6D01BEF3">
            <w:pPr>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鸡蛋</w:t>
            </w:r>
          </w:p>
        </w:tc>
        <w:tc>
          <w:tcPr>
            <w:tcW w:w="1535" w:type="dxa"/>
            <w:vAlign w:val="center"/>
          </w:tcPr>
          <w:p w14:paraId="26B5F15E">
            <w:pPr>
              <w:spacing w:line="400" w:lineRule="exact"/>
              <w:jc w:val="center"/>
              <w:rPr>
                <w:rFonts w:hint="eastAsia" w:ascii="仿宋" w:hAnsi="仿宋" w:eastAsia="仿宋" w:cs="仿宋"/>
                <w:color w:val="auto"/>
                <w:kern w:val="0"/>
                <w:sz w:val="24"/>
                <w:highlight w:val="none"/>
              </w:rPr>
            </w:pPr>
          </w:p>
        </w:tc>
        <w:tc>
          <w:tcPr>
            <w:tcW w:w="1700" w:type="dxa"/>
            <w:vAlign w:val="center"/>
          </w:tcPr>
          <w:p w14:paraId="70591881">
            <w:pPr>
              <w:spacing w:line="400" w:lineRule="exact"/>
              <w:jc w:val="center"/>
              <w:rPr>
                <w:rFonts w:hint="eastAsia" w:ascii="仿宋" w:hAnsi="仿宋" w:eastAsia="仿宋" w:cs="仿宋"/>
                <w:color w:val="auto"/>
                <w:kern w:val="0"/>
                <w:sz w:val="24"/>
                <w:highlight w:val="none"/>
              </w:rPr>
            </w:pPr>
          </w:p>
        </w:tc>
        <w:tc>
          <w:tcPr>
            <w:tcW w:w="2551" w:type="dxa"/>
          </w:tcPr>
          <w:p w14:paraId="636E960C">
            <w:pPr>
              <w:rPr>
                <w:rFonts w:hint="eastAsia" w:ascii="仿宋" w:hAnsi="仿宋" w:eastAsia="仿宋" w:cs="仿宋"/>
                <w:color w:val="auto"/>
                <w:highlight w:val="none"/>
              </w:rPr>
            </w:pPr>
          </w:p>
        </w:tc>
        <w:tc>
          <w:tcPr>
            <w:tcW w:w="851" w:type="dxa"/>
            <w:vAlign w:val="center"/>
          </w:tcPr>
          <w:p w14:paraId="124E996B">
            <w:pPr>
              <w:spacing w:line="400" w:lineRule="exact"/>
              <w:jc w:val="center"/>
              <w:rPr>
                <w:rFonts w:hint="eastAsia" w:ascii="仿宋" w:hAnsi="仿宋" w:eastAsia="仿宋" w:cs="仿宋"/>
                <w:color w:val="auto"/>
                <w:kern w:val="0"/>
                <w:sz w:val="24"/>
                <w:highlight w:val="none"/>
              </w:rPr>
            </w:pPr>
          </w:p>
        </w:tc>
      </w:tr>
      <w:tr w14:paraId="2B8A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76" w:type="dxa"/>
            <w:vAlign w:val="center"/>
          </w:tcPr>
          <w:p w14:paraId="40482486">
            <w:pPr>
              <w:spacing w:line="400" w:lineRule="exact"/>
              <w:jc w:val="center"/>
              <w:rPr>
                <w:rFonts w:hint="eastAsia" w:ascii="仿宋" w:hAnsi="仿宋" w:eastAsia="仿宋" w:cs="仿宋"/>
                <w:color w:val="auto"/>
                <w:kern w:val="0"/>
                <w:sz w:val="24"/>
                <w:szCs w:val="22"/>
                <w:highlight w:val="none"/>
                <w:lang w:val="en-US" w:eastAsia="zh-CN"/>
              </w:rPr>
            </w:pPr>
            <w:r>
              <w:rPr>
                <w:rFonts w:hint="eastAsia" w:ascii="仿宋" w:hAnsi="仿宋" w:eastAsia="仿宋" w:cs="仿宋"/>
                <w:color w:val="auto"/>
                <w:kern w:val="0"/>
                <w:sz w:val="24"/>
                <w:szCs w:val="22"/>
                <w:highlight w:val="none"/>
                <w:lang w:val="en-US" w:eastAsia="zh-CN"/>
              </w:rPr>
              <w:t>7</w:t>
            </w:r>
          </w:p>
        </w:tc>
        <w:tc>
          <w:tcPr>
            <w:tcW w:w="1384" w:type="dxa"/>
            <w:vAlign w:val="center"/>
          </w:tcPr>
          <w:p w14:paraId="4655F279">
            <w:pPr>
              <w:spacing w:line="400" w:lineRule="exact"/>
              <w:jc w:val="center"/>
              <w:rPr>
                <w:rFonts w:hint="eastAsia" w:ascii="仿宋" w:hAnsi="仿宋" w:eastAsia="仿宋" w:cs="仿宋"/>
                <w:color w:val="auto"/>
                <w:kern w:val="0"/>
                <w:sz w:val="24"/>
                <w:szCs w:val="22"/>
                <w:highlight w:val="none"/>
              </w:rPr>
            </w:pPr>
            <w:r>
              <w:rPr>
                <w:rFonts w:hint="eastAsia" w:ascii="仿宋" w:hAnsi="仿宋" w:eastAsia="仿宋" w:cs="仿宋"/>
                <w:color w:val="auto"/>
                <w:kern w:val="0"/>
                <w:sz w:val="24"/>
                <w:szCs w:val="22"/>
                <w:highlight w:val="none"/>
                <w:lang w:eastAsia="zh-CN"/>
              </w:rPr>
              <w:t>鹌鹑蛋</w:t>
            </w:r>
          </w:p>
        </w:tc>
        <w:tc>
          <w:tcPr>
            <w:tcW w:w="1535" w:type="dxa"/>
            <w:vAlign w:val="center"/>
          </w:tcPr>
          <w:p w14:paraId="6FA14880">
            <w:pPr>
              <w:spacing w:line="400" w:lineRule="exact"/>
              <w:jc w:val="center"/>
              <w:rPr>
                <w:rFonts w:hint="eastAsia" w:ascii="仿宋" w:hAnsi="仿宋" w:eastAsia="仿宋" w:cs="仿宋"/>
                <w:color w:val="auto"/>
                <w:kern w:val="0"/>
                <w:sz w:val="24"/>
                <w:szCs w:val="22"/>
                <w:highlight w:val="none"/>
              </w:rPr>
            </w:pPr>
          </w:p>
        </w:tc>
        <w:tc>
          <w:tcPr>
            <w:tcW w:w="1700" w:type="dxa"/>
            <w:vAlign w:val="center"/>
          </w:tcPr>
          <w:p w14:paraId="1DABCF5A">
            <w:pPr>
              <w:spacing w:line="400" w:lineRule="exact"/>
              <w:jc w:val="center"/>
              <w:rPr>
                <w:rFonts w:hint="eastAsia" w:ascii="仿宋" w:hAnsi="仿宋" w:eastAsia="仿宋" w:cs="仿宋"/>
                <w:color w:val="auto"/>
                <w:kern w:val="0"/>
                <w:sz w:val="24"/>
                <w:szCs w:val="22"/>
                <w:highlight w:val="none"/>
              </w:rPr>
            </w:pPr>
          </w:p>
        </w:tc>
        <w:tc>
          <w:tcPr>
            <w:tcW w:w="2551" w:type="dxa"/>
          </w:tcPr>
          <w:p w14:paraId="4113E9F9">
            <w:pPr>
              <w:spacing w:line="400" w:lineRule="exact"/>
              <w:jc w:val="center"/>
              <w:rPr>
                <w:rFonts w:hint="eastAsia" w:ascii="仿宋" w:hAnsi="仿宋" w:eastAsia="仿宋" w:cs="仿宋"/>
                <w:color w:val="auto"/>
                <w:kern w:val="0"/>
                <w:sz w:val="24"/>
                <w:szCs w:val="22"/>
                <w:highlight w:val="none"/>
              </w:rPr>
            </w:pPr>
          </w:p>
        </w:tc>
        <w:tc>
          <w:tcPr>
            <w:tcW w:w="851" w:type="dxa"/>
            <w:vAlign w:val="center"/>
          </w:tcPr>
          <w:p w14:paraId="3E2AA821">
            <w:pPr>
              <w:spacing w:line="400" w:lineRule="exact"/>
              <w:jc w:val="center"/>
              <w:rPr>
                <w:rFonts w:hint="eastAsia" w:ascii="仿宋" w:hAnsi="仿宋" w:eastAsia="仿宋" w:cs="仿宋"/>
                <w:color w:val="auto"/>
                <w:kern w:val="0"/>
                <w:sz w:val="24"/>
                <w:szCs w:val="22"/>
                <w:highlight w:val="none"/>
              </w:rPr>
            </w:pPr>
          </w:p>
        </w:tc>
      </w:tr>
    </w:tbl>
    <w:p w14:paraId="21A8FF2D">
      <w:pPr>
        <w:pStyle w:val="20"/>
        <w:spacing w:line="560" w:lineRule="exact"/>
        <w:ind w:firstLine="640" w:firstLineChars="200"/>
        <w:jc w:val="both"/>
        <w:rPr>
          <w:rFonts w:ascii="仿宋" w:hAnsi="仿宋" w:eastAsia="仿宋"/>
          <w:bCs/>
          <w:color w:val="auto"/>
          <w:sz w:val="32"/>
          <w:szCs w:val="32"/>
          <w:highlight w:val="none"/>
        </w:rPr>
      </w:pPr>
      <w:r>
        <w:rPr>
          <w:rFonts w:hint="eastAsia" w:ascii="仿宋" w:hAnsi="仿宋" w:eastAsia="仿宋"/>
          <w:bCs/>
          <w:color w:val="auto"/>
          <w:sz w:val="32"/>
          <w:szCs w:val="32"/>
          <w:highlight w:val="none"/>
        </w:rPr>
        <w:t>（二）</w:t>
      </w:r>
      <w:r>
        <w:rPr>
          <w:rFonts w:ascii="仿宋" w:hAnsi="仿宋" w:eastAsia="仿宋"/>
          <w:bCs/>
          <w:color w:val="auto"/>
          <w:sz w:val="32"/>
          <w:szCs w:val="32"/>
          <w:highlight w:val="none"/>
        </w:rPr>
        <w:t>标底货物要求：</w:t>
      </w:r>
    </w:p>
    <w:p w14:paraId="00CB995E">
      <w:pPr>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w:t>
      </w:r>
      <w:r>
        <w:rPr>
          <w:rFonts w:ascii="仿宋" w:hAnsi="仿宋" w:eastAsia="仿宋"/>
          <w:color w:val="auto"/>
          <w:sz w:val="32"/>
          <w:szCs w:val="32"/>
          <w:highlight w:val="none"/>
        </w:rPr>
        <w:t>. 猪肉</w:t>
      </w:r>
    </w:p>
    <w:p w14:paraId="4539020D">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色泽：鲜红或暗红色，脂肪洁白或乳白，无发绿或发灰。</w:t>
      </w:r>
    </w:p>
    <w:p w14:paraId="056EF119">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气味：正常猪肉气味，无腐臭或药水味。</w:t>
      </w:r>
    </w:p>
    <w:p w14:paraId="4FECC012">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组织状态：肉质紧实，按压后凹陷迅速恢复。</w:t>
      </w:r>
    </w:p>
    <w:p w14:paraId="4BAC6FC5">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表面状态：无血污、病变组织或注水迹象。</w:t>
      </w:r>
    </w:p>
    <w:p w14:paraId="3B3BC41E">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安全指标：不得检出瘦肉精（如克伦特罗）等违禁物，抗生素、重金属：符合国家限量标准。</w:t>
      </w:r>
    </w:p>
    <w:p w14:paraId="73749CCB">
      <w:pPr>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w:t>
      </w:r>
      <w:r>
        <w:rPr>
          <w:rFonts w:ascii="仿宋" w:hAnsi="仿宋" w:eastAsia="仿宋"/>
          <w:color w:val="auto"/>
          <w:sz w:val="32"/>
          <w:szCs w:val="32"/>
          <w:highlight w:val="none"/>
        </w:rPr>
        <w:t>.牛肉</w:t>
      </w:r>
    </w:p>
    <w:p w14:paraId="5F4A9638">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色泽：鲜牛肉呈暗红至深红色，脂肪乳白或淡黄色，无氧化变褐或发绿。</w:t>
      </w:r>
    </w:p>
    <w:p w14:paraId="34EF0157">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气味：正常牛肉气味，无酸败或腐臭味。</w:t>
      </w:r>
    </w:p>
    <w:p w14:paraId="557657CA">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组织状态：肌肉纤维清晰，按压有弹性，无黏液。</w:t>
      </w:r>
    </w:p>
    <w:p w14:paraId="0A26B0A3">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表面状态：无血污、病变组织或寄生虫结节。</w:t>
      </w:r>
    </w:p>
    <w:p w14:paraId="3E424768">
      <w:pPr>
        <w:spacing w:line="560" w:lineRule="exact"/>
        <w:ind w:firstLine="640" w:firstLineChars="200"/>
        <w:rPr>
          <w:rFonts w:hint="eastAsia" w:ascii="仿宋" w:hAnsi="仿宋" w:eastAsia="仿宋"/>
          <w:color w:val="auto"/>
          <w:sz w:val="32"/>
          <w:szCs w:val="32"/>
          <w:highlight w:val="none"/>
          <w:lang w:eastAsia="zh-CN"/>
        </w:rPr>
      </w:pPr>
      <w:r>
        <w:rPr>
          <w:rFonts w:ascii="仿宋" w:hAnsi="仿宋" w:eastAsia="仿宋"/>
          <w:color w:val="auto"/>
          <w:sz w:val="32"/>
          <w:szCs w:val="32"/>
          <w:highlight w:val="none"/>
        </w:rPr>
        <w:t>安全指标：抗生素、激素、重金属等符合国家限量标准</w:t>
      </w:r>
      <w:r>
        <w:rPr>
          <w:rFonts w:hint="eastAsia" w:ascii="仿宋" w:hAnsi="仿宋" w:eastAsia="仿宋"/>
          <w:color w:val="auto"/>
          <w:sz w:val="32"/>
          <w:szCs w:val="32"/>
          <w:highlight w:val="none"/>
          <w:lang w:eastAsia="zh-CN"/>
        </w:rPr>
        <w:t>。</w:t>
      </w:r>
    </w:p>
    <w:p w14:paraId="215A0109">
      <w:pPr>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w:t>
      </w:r>
      <w:r>
        <w:rPr>
          <w:rFonts w:ascii="仿宋" w:hAnsi="仿宋" w:eastAsia="仿宋"/>
          <w:color w:val="auto"/>
          <w:sz w:val="32"/>
          <w:szCs w:val="32"/>
          <w:highlight w:val="none"/>
        </w:rPr>
        <w:t>.羊肉</w:t>
      </w:r>
    </w:p>
    <w:p w14:paraId="7EA1BB76">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色泽：鲜红至暗</w:t>
      </w:r>
      <w:r>
        <w:rPr>
          <w:rFonts w:ascii="仿宋" w:hAnsi="仿宋" w:eastAsia="仿宋"/>
          <w:color w:val="auto"/>
          <w:sz w:val="32"/>
          <w:szCs w:val="32"/>
          <w:highlight w:val="none"/>
        </w:rPr>
        <w:t>红色，脂肪白色或乳白色。</w:t>
      </w:r>
    </w:p>
    <w:p w14:paraId="2A089AF2">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气味：正常羊肉膻味，无腐败或酸败味。</w:t>
      </w:r>
    </w:p>
    <w:p w14:paraId="06F25DE2">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组织状态：肌肉纤维细腻，按压有弹性。</w:t>
      </w:r>
    </w:p>
    <w:p w14:paraId="1610F97F">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表面状态：无血污或寄生虫结节。</w:t>
      </w:r>
    </w:p>
    <w:p w14:paraId="5377713E">
      <w:pPr>
        <w:spacing w:line="560" w:lineRule="exact"/>
        <w:ind w:firstLine="640" w:firstLineChars="200"/>
        <w:rPr>
          <w:rFonts w:hint="eastAsia" w:ascii="仿宋" w:hAnsi="仿宋" w:eastAsia="仿宋"/>
          <w:color w:val="auto"/>
          <w:sz w:val="32"/>
          <w:szCs w:val="32"/>
          <w:highlight w:val="none"/>
          <w:lang w:eastAsia="zh-CN"/>
        </w:rPr>
      </w:pPr>
      <w:r>
        <w:rPr>
          <w:rFonts w:ascii="仿宋" w:hAnsi="仿宋" w:eastAsia="仿宋"/>
          <w:color w:val="auto"/>
          <w:sz w:val="32"/>
          <w:szCs w:val="32"/>
          <w:highlight w:val="none"/>
        </w:rPr>
        <w:t>抗生素、激素、重金属等符合国家限量标准</w:t>
      </w:r>
      <w:r>
        <w:rPr>
          <w:rFonts w:hint="eastAsia" w:ascii="仿宋" w:hAnsi="仿宋" w:eastAsia="仿宋"/>
          <w:color w:val="auto"/>
          <w:sz w:val="32"/>
          <w:szCs w:val="32"/>
          <w:highlight w:val="none"/>
          <w:lang w:eastAsia="zh-CN"/>
        </w:rPr>
        <w:t>。</w:t>
      </w:r>
    </w:p>
    <w:p w14:paraId="6F21E2E4">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4.</w:t>
      </w:r>
      <w:r>
        <w:rPr>
          <w:rFonts w:hint="eastAsia" w:ascii="仿宋" w:hAnsi="仿宋" w:eastAsia="仿宋"/>
          <w:color w:val="auto"/>
          <w:sz w:val="32"/>
          <w:szCs w:val="32"/>
          <w:highlight w:val="none"/>
        </w:rPr>
        <w:t>鸡肉</w:t>
      </w:r>
    </w:p>
    <w:p w14:paraId="5CDC06C2">
      <w:pPr>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色泽：</w:t>
      </w:r>
      <w:r>
        <w:rPr>
          <w:rFonts w:hint="eastAsia" w:ascii="仿宋" w:hAnsi="仿宋" w:eastAsia="仿宋"/>
          <w:color w:val="auto"/>
          <w:sz w:val="32"/>
          <w:szCs w:val="32"/>
          <w:highlight w:val="none"/>
          <w:lang w:val="en-US" w:eastAsia="zh-CN"/>
        </w:rPr>
        <w:t>鸡</w:t>
      </w:r>
      <w:r>
        <w:rPr>
          <w:rFonts w:hint="eastAsia" w:ascii="仿宋" w:hAnsi="仿宋" w:eastAsia="仿宋"/>
          <w:color w:val="auto"/>
          <w:sz w:val="32"/>
          <w:szCs w:val="32"/>
          <w:highlight w:val="none"/>
        </w:rPr>
        <w:t>肉呈粉红或淡红色，脂肪洁白，无灰白或暗红。</w:t>
      </w:r>
    </w:p>
    <w:p w14:paraId="3ACD04BE">
      <w:pPr>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气味：正常鸡肉腥味，无腐臭或药水味。</w:t>
      </w:r>
    </w:p>
    <w:p w14:paraId="2E2C8A2C">
      <w:pPr>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组织状态：肌肉紧实有弹性，无黏液。</w:t>
      </w:r>
    </w:p>
    <w:p w14:paraId="2A22B714">
      <w:pPr>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表面状态：无血污、羽毛残留或病变组织。</w:t>
      </w:r>
    </w:p>
    <w:p w14:paraId="05077BC2">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安全指标：不得检出氯霉素、瘦肉精等违禁物，抗生素、重金属等符合国家限量标准。</w:t>
      </w:r>
    </w:p>
    <w:p w14:paraId="6F85DD8F">
      <w:pPr>
        <w:numPr>
          <w:ilvl w:val="0"/>
          <w:numId w:val="0"/>
        </w:numPr>
        <w:spacing w:line="56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5.</w:t>
      </w:r>
      <w:r>
        <w:rPr>
          <w:rFonts w:hint="eastAsia" w:ascii="仿宋" w:hAnsi="仿宋" w:eastAsia="仿宋"/>
          <w:color w:val="auto"/>
          <w:sz w:val="32"/>
          <w:szCs w:val="32"/>
          <w:highlight w:val="none"/>
        </w:rPr>
        <w:t>鸭肉</w:t>
      </w:r>
    </w:p>
    <w:p w14:paraId="19C9348B">
      <w:pPr>
        <w:numPr>
          <w:ilvl w:val="0"/>
          <w:numId w:val="0"/>
        </w:num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色泽：表皮乳白至淡黄色，肌肉淡红至暗红色。</w:t>
      </w:r>
    </w:p>
    <w:p w14:paraId="3E48673B">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气味：正常鸭肉腥味，无腐败或酸败味。</w:t>
      </w:r>
    </w:p>
    <w:p w14:paraId="6A55FBB7">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组织状态：肌肉紧实有弹性。</w:t>
      </w:r>
    </w:p>
    <w:p w14:paraId="4BED6838">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表面状态：无羽毛残留、血污或病变组织。</w:t>
      </w:r>
    </w:p>
    <w:p w14:paraId="6E8AE9BE">
      <w:pPr>
        <w:spacing w:line="56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安全指标：抗生素、激素、重金属等符合国家限量标准</w:t>
      </w:r>
    </w:p>
    <w:p w14:paraId="256BE584">
      <w:pPr>
        <w:pStyle w:val="20"/>
        <w:numPr>
          <w:ilvl w:val="0"/>
          <w:numId w:val="0"/>
        </w:numPr>
        <w:spacing w:line="560" w:lineRule="exact"/>
        <w:ind w:firstLine="640" w:firstLineChars="200"/>
        <w:jc w:val="both"/>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lang w:val="en-US" w:eastAsia="zh-CN"/>
        </w:rPr>
        <w:t>6.</w:t>
      </w:r>
      <w:r>
        <w:rPr>
          <w:rFonts w:hint="eastAsia" w:ascii="仿宋" w:hAnsi="仿宋" w:eastAsia="仿宋"/>
          <w:bCs/>
          <w:color w:val="auto"/>
          <w:sz w:val="32"/>
          <w:szCs w:val="32"/>
          <w:highlight w:val="none"/>
        </w:rPr>
        <w:t>鸡蛋</w:t>
      </w:r>
    </w:p>
    <w:p w14:paraId="6451E2B0">
      <w:pPr>
        <w:pStyle w:val="20"/>
        <w:numPr>
          <w:ilvl w:val="0"/>
          <w:numId w:val="0"/>
        </w:numPr>
        <w:spacing w:line="560" w:lineRule="exact"/>
        <w:ind w:firstLine="640" w:firstLineChars="200"/>
        <w:jc w:val="both"/>
        <w:rPr>
          <w:rFonts w:ascii="仿宋" w:hAnsi="仿宋" w:eastAsia="仿宋"/>
          <w:bCs/>
          <w:color w:val="auto"/>
          <w:sz w:val="32"/>
          <w:szCs w:val="32"/>
          <w:highlight w:val="none"/>
        </w:rPr>
      </w:pPr>
      <w:r>
        <w:rPr>
          <w:rFonts w:hint="eastAsia" w:ascii="仿宋" w:hAnsi="仿宋" w:eastAsia="仿宋"/>
          <w:bCs/>
          <w:color w:val="auto"/>
          <w:sz w:val="32"/>
          <w:szCs w:val="32"/>
          <w:highlight w:val="none"/>
        </w:rPr>
        <w:t>单个鸡蛋重量≥6</w:t>
      </w:r>
      <w:r>
        <w:rPr>
          <w:rFonts w:ascii="仿宋" w:hAnsi="仿宋" w:eastAsia="仿宋"/>
          <w:bCs/>
          <w:color w:val="auto"/>
          <w:sz w:val="32"/>
          <w:szCs w:val="32"/>
          <w:highlight w:val="none"/>
        </w:rPr>
        <w:t>0g，鸡蛋为无疫、无残留（兽药、饲料）、无抗生素、无违禁添加物</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无异</w:t>
      </w:r>
      <w:r>
        <w:rPr>
          <w:rFonts w:hint="eastAsia" w:ascii="仿宋" w:hAnsi="仿宋" w:eastAsia="仿宋"/>
          <w:bCs/>
          <w:color w:val="auto"/>
          <w:sz w:val="32"/>
          <w:szCs w:val="32"/>
          <w:highlight w:val="none"/>
        </w:rPr>
        <w:t>型</w:t>
      </w:r>
      <w:r>
        <w:rPr>
          <w:rFonts w:ascii="仿宋" w:hAnsi="仿宋" w:eastAsia="仿宋"/>
          <w:bCs/>
          <w:color w:val="auto"/>
          <w:sz w:val="32"/>
          <w:szCs w:val="32"/>
          <w:highlight w:val="none"/>
        </w:rPr>
        <w:t>蛋、血蛋、脏蛋。色泽鲜亮，蛋壳清洁完整无裂缝，无霉斑、灯光透视无黑点及异物，去壳后蛋黄突起完整并带有韧性，蛋液无蛋腥味、无异味。</w:t>
      </w:r>
    </w:p>
    <w:p w14:paraId="32460F0D">
      <w:pPr>
        <w:numPr>
          <w:ilvl w:val="0"/>
          <w:numId w:val="0"/>
        </w:numPr>
        <w:spacing w:after="0" w:line="560" w:lineRule="exact"/>
        <w:ind w:firstLine="640" w:firstLineChars="200"/>
        <w:jc w:val="both"/>
        <w:rPr>
          <w:rFonts w:hint="eastAsia" w:ascii="仿宋" w:hAnsi="仿宋" w:eastAsia="仿宋" w:cs="仿宋_GB2312"/>
          <w:color w:val="auto"/>
          <w:sz w:val="32"/>
          <w:szCs w:val="32"/>
          <w:highlight w:val="none"/>
          <w:lang w:eastAsia="zh-CN"/>
        </w:rPr>
      </w:pPr>
      <w:bookmarkStart w:id="25" w:name="OLE_LINK5"/>
      <w:r>
        <w:rPr>
          <w:rFonts w:hint="eastAsia" w:ascii="仿宋" w:hAnsi="仿宋" w:eastAsia="仿宋" w:cs="仿宋_GB2312"/>
          <w:color w:val="auto"/>
          <w:sz w:val="32"/>
          <w:szCs w:val="32"/>
          <w:highlight w:val="none"/>
          <w:lang w:val="en-US" w:eastAsia="zh-CN"/>
        </w:rPr>
        <w:t>7.</w:t>
      </w:r>
      <w:r>
        <w:rPr>
          <w:rFonts w:hint="eastAsia" w:ascii="仿宋" w:hAnsi="仿宋" w:eastAsia="仿宋" w:cs="仿宋_GB2312"/>
          <w:color w:val="auto"/>
          <w:sz w:val="32"/>
          <w:szCs w:val="32"/>
          <w:highlight w:val="none"/>
          <w:lang w:eastAsia="zh-CN"/>
        </w:rPr>
        <w:t>鹌鹑蛋</w:t>
      </w:r>
      <w:bookmarkEnd w:id="25"/>
    </w:p>
    <w:p w14:paraId="5CED6FE0">
      <w:pPr>
        <w:numPr>
          <w:ilvl w:val="0"/>
          <w:numId w:val="0"/>
        </w:numPr>
        <w:spacing w:after="0" w:line="560" w:lineRule="exact"/>
        <w:ind w:firstLine="640" w:firstLineChars="200"/>
        <w:jc w:val="both"/>
        <w:rPr>
          <w:rFonts w:ascii="仿宋" w:hAnsi="仿宋" w:eastAsia="仿宋" w:cs="仿宋_GB2312"/>
          <w:color w:val="auto"/>
          <w:sz w:val="32"/>
          <w:szCs w:val="32"/>
          <w:highlight w:val="none"/>
          <w:lang w:eastAsia="zh-CN"/>
        </w:rPr>
      </w:pPr>
      <w:r>
        <w:rPr>
          <w:rFonts w:hint="eastAsia" w:ascii="仿宋" w:hAnsi="仿宋" w:eastAsia="仿宋" w:cs="仿宋_GB2312"/>
          <w:color w:val="auto"/>
          <w:sz w:val="32"/>
          <w:szCs w:val="32"/>
          <w:highlight w:val="none"/>
          <w:lang w:eastAsia="zh-CN"/>
        </w:rPr>
        <w:t>单枚鹌鹑蛋重量≥9g。蛋形正常，大小均匀。鹌鹑蛋应来自健康鹌鹑群，无疫病；无兽药残留、无饲料有害物质残留；无抗生素残留；无任何违禁添加物。蛋壳清洁完整，无明显污物附着。蛋壳坚固，无破损、无裂纹、无砂壳、无畸形蛋。蛋壳表面可有正常褐色或青色斑纹（此为鹌鹑蛋特征），但无霉斑、无异常附着物。</w:t>
      </w:r>
    </w:p>
    <w:p w14:paraId="23FFF44D">
      <w:pPr>
        <w:pStyle w:val="20"/>
        <w:spacing w:line="560" w:lineRule="exact"/>
        <w:ind w:firstLine="640" w:firstLineChars="200"/>
        <w:jc w:val="both"/>
        <w:rPr>
          <w:rFonts w:ascii="仿宋" w:hAnsi="仿宋" w:eastAsia="仿宋"/>
          <w:bCs/>
          <w:color w:val="auto"/>
          <w:sz w:val="32"/>
          <w:szCs w:val="32"/>
          <w:highlight w:val="none"/>
        </w:rPr>
      </w:pPr>
      <w:r>
        <w:rPr>
          <w:rFonts w:ascii="仿宋" w:hAnsi="仿宋" w:eastAsia="仿宋"/>
          <w:bCs/>
          <w:color w:val="auto"/>
          <w:sz w:val="32"/>
          <w:szCs w:val="32"/>
          <w:highlight w:val="none"/>
        </w:rPr>
        <w:t>乙方向甲方所供应</w:t>
      </w:r>
      <w:r>
        <w:rPr>
          <w:rFonts w:hint="eastAsia" w:ascii="仿宋" w:hAnsi="仿宋" w:eastAsia="仿宋"/>
          <w:bCs/>
          <w:color w:val="auto"/>
          <w:sz w:val="32"/>
          <w:szCs w:val="32"/>
          <w:highlight w:val="none"/>
          <w:lang w:eastAsia="zh-CN"/>
        </w:rPr>
        <w:t>鸡</w:t>
      </w:r>
      <w:r>
        <w:rPr>
          <w:rFonts w:ascii="仿宋" w:hAnsi="仿宋" w:eastAsia="仿宋"/>
          <w:bCs/>
          <w:color w:val="auto"/>
          <w:sz w:val="32"/>
          <w:szCs w:val="32"/>
          <w:highlight w:val="none"/>
        </w:rPr>
        <w:t>蛋应为</w:t>
      </w:r>
      <w:r>
        <w:rPr>
          <w:rFonts w:hint="eastAsia" w:ascii="仿宋" w:hAnsi="仿宋" w:eastAsia="仿宋"/>
          <w:bCs/>
          <w:color w:val="auto"/>
          <w:sz w:val="32"/>
          <w:szCs w:val="32"/>
          <w:highlight w:val="none"/>
        </w:rPr>
        <w:t>3日以内鸡蛋（提供证明材料），蛋类应满足GB</w:t>
      </w:r>
      <w:r>
        <w:rPr>
          <w:rFonts w:ascii="仿宋" w:hAnsi="仿宋" w:eastAsia="仿宋"/>
          <w:bCs/>
          <w:color w:val="auto"/>
          <w:sz w:val="32"/>
          <w:szCs w:val="32"/>
          <w:highlight w:val="none"/>
        </w:rPr>
        <w:t>2749-2015、GB2762-2017、GB2763-2019标准。</w:t>
      </w:r>
    </w:p>
    <w:p w14:paraId="47733E3D">
      <w:pPr>
        <w:autoSpaceDE w:val="0"/>
        <w:autoSpaceDN w:val="0"/>
        <w:adjustRightInd w:val="0"/>
        <w:spacing w:line="560" w:lineRule="exact"/>
        <w:ind w:firstLine="640" w:firstLineChars="200"/>
        <w:rPr>
          <w:rFonts w:eastAsia="黑体"/>
          <w:color w:val="auto"/>
          <w:sz w:val="32"/>
          <w:szCs w:val="32"/>
          <w:highlight w:val="none"/>
        </w:rPr>
      </w:pPr>
      <w:r>
        <w:rPr>
          <w:rFonts w:hint="eastAsia" w:eastAsia="黑体"/>
          <w:color w:val="auto"/>
          <w:sz w:val="32"/>
          <w:szCs w:val="32"/>
          <w:highlight w:val="none"/>
        </w:rPr>
        <w:t>第二条</w:t>
      </w:r>
      <w:r>
        <w:rPr>
          <w:rFonts w:eastAsia="黑体"/>
          <w:color w:val="auto"/>
          <w:sz w:val="32"/>
          <w:szCs w:val="32"/>
          <w:highlight w:val="none"/>
        </w:rPr>
        <w:t xml:space="preserve">  </w:t>
      </w:r>
      <w:r>
        <w:rPr>
          <w:rFonts w:hint="eastAsia" w:eastAsia="黑体"/>
          <w:color w:val="auto"/>
          <w:sz w:val="32"/>
          <w:szCs w:val="32"/>
          <w:highlight w:val="none"/>
        </w:rPr>
        <w:t>合同价款</w:t>
      </w:r>
    </w:p>
    <w:p w14:paraId="795C781D">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（一）合同最后结算总价以实际配送量核算为准。</w:t>
      </w:r>
    </w:p>
    <w:p w14:paraId="08D70631">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（二）本合同价款是产品、产品原辅料、生产、包装、运输、配送、检测等各项的含税费用。</w:t>
      </w:r>
    </w:p>
    <w:p w14:paraId="64DFF69C">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（三）本合同价款还包含乙方应当提供的伴随服务和售后服务费用。</w:t>
      </w:r>
    </w:p>
    <w:p w14:paraId="13AB3FD7">
      <w:pPr>
        <w:autoSpaceDE w:val="0"/>
        <w:autoSpaceDN w:val="0"/>
        <w:adjustRightInd w:val="0"/>
        <w:spacing w:line="560" w:lineRule="exact"/>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（四）本合同执行期间合同单价按照</w:t>
      </w:r>
      <w:r>
        <w:rPr>
          <w:rFonts w:ascii="仿宋" w:hAnsi="仿宋" w:eastAsia="仿宋"/>
          <w:bCs/>
          <w:color w:val="auto"/>
          <w:sz w:val="32"/>
          <w:szCs w:val="32"/>
          <w:highlight w:val="none"/>
          <w:lang w:eastAsia="zh-CN"/>
        </w:rPr>
        <w:t>辛家庙摩尔农产品交易中心</w:t>
      </w:r>
      <w:r>
        <w:rPr>
          <w:rFonts w:hint="eastAsia" w:ascii="仿宋" w:hAnsi="仿宋" w:eastAsia="仿宋"/>
          <w:bCs/>
          <w:color w:val="auto"/>
          <w:sz w:val="32"/>
          <w:szCs w:val="32"/>
          <w:highlight w:val="none"/>
        </w:rPr>
        <w:t>市场询价价格×</w:t>
      </w:r>
      <w:r>
        <w:rPr>
          <w:rFonts w:ascii="仿宋" w:hAnsi="仿宋" w:eastAsia="仿宋"/>
          <w:bCs/>
          <w:color w:val="auto"/>
          <w:sz w:val="32"/>
          <w:szCs w:val="32"/>
          <w:highlight w:val="none"/>
        </w:rPr>
        <w:t>成交折扣计算，每半月询</w:t>
      </w:r>
      <w:r>
        <w:rPr>
          <w:rFonts w:hint="eastAsia" w:ascii="仿宋" w:hAnsi="仿宋" w:eastAsia="仿宋"/>
          <w:bCs/>
          <w:color w:val="auto"/>
          <w:sz w:val="32"/>
          <w:szCs w:val="32"/>
          <w:highlight w:val="none"/>
        </w:rPr>
        <w:t>价一次，</w:t>
      </w:r>
      <w:r>
        <w:rPr>
          <w:rFonts w:hint="eastAsia" w:ascii="仿宋" w:hAnsi="仿宋" w:eastAsia="仿宋"/>
          <w:bCs/>
          <w:color w:val="auto"/>
          <w:sz w:val="32"/>
          <w:szCs w:val="32"/>
          <w:highlight w:val="none"/>
          <w:lang w:val="en-US" w:eastAsia="zh-CN"/>
        </w:rPr>
        <w:t>作为询价后半个月的指导价格</w:t>
      </w:r>
      <w:r>
        <w:rPr>
          <w:rFonts w:hint="eastAsia" w:ascii="仿宋" w:hAnsi="仿宋" w:eastAsia="仿宋"/>
          <w:bCs/>
          <w:color w:val="auto"/>
          <w:sz w:val="32"/>
          <w:szCs w:val="32"/>
          <w:highlight w:val="none"/>
        </w:rPr>
        <w:t>，如市场环境发生重大变化可提高询价频率。</w:t>
      </w:r>
    </w:p>
    <w:p w14:paraId="6BE6F409">
      <w:pPr>
        <w:autoSpaceDE w:val="0"/>
        <w:autoSpaceDN w:val="0"/>
        <w:adjustRightInd w:val="0"/>
        <w:spacing w:line="560" w:lineRule="exact"/>
        <w:ind w:firstLine="640" w:firstLineChars="200"/>
        <w:rPr>
          <w:rFonts w:eastAsia="黑体"/>
          <w:color w:val="auto"/>
          <w:sz w:val="32"/>
          <w:szCs w:val="32"/>
          <w:highlight w:val="none"/>
        </w:rPr>
      </w:pPr>
      <w:r>
        <w:rPr>
          <w:rFonts w:hint="eastAsia" w:eastAsia="黑体"/>
          <w:color w:val="auto"/>
          <w:sz w:val="32"/>
          <w:szCs w:val="32"/>
          <w:highlight w:val="none"/>
        </w:rPr>
        <w:t>第三条</w:t>
      </w:r>
      <w:r>
        <w:rPr>
          <w:rFonts w:eastAsia="黑体"/>
          <w:color w:val="auto"/>
          <w:sz w:val="32"/>
          <w:szCs w:val="32"/>
          <w:highlight w:val="none"/>
        </w:rPr>
        <w:t xml:space="preserve">  </w:t>
      </w:r>
      <w:r>
        <w:rPr>
          <w:rFonts w:hint="eastAsia" w:eastAsia="黑体"/>
          <w:color w:val="auto"/>
          <w:sz w:val="32"/>
          <w:szCs w:val="32"/>
          <w:highlight w:val="none"/>
        </w:rPr>
        <w:t>款项结算</w:t>
      </w:r>
    </w:p>
    <w:p w14:paraId="15194F34">
      <w:pPr>
        <w:autoSpaceDE w:val="0"/>
        <w:autoSpaceDN w:val="0"/>
        <w:adjustRightInd w:val="0"/>
        <w:spacing w:line="560" w:lineRule="exact"/>
        <w:ind w:firstLine="640" w:firstLineChars="200"/>
        <w:rPr>
          <w:rFonts w:ascii="仿宋" w:hAnsi="仿宋" w:eastAsia="仿宋"/>
          <w:bCs/>
          <w:color w:val="auto"/>
          <w:sz w:val="32"/>
          <w:szCs w:val="32"/>
          <w:highlight w:val="none"/>
          <w:lang w:val="zh-CN"/>
        </w:rPr>
      </w:pPr>
      <w:r>
        <w:rPr>
          <w:rFonts w:hint="eastAsia" w:ascii="仿宋" w:hAnsi="仿宋" w:eastAsia="仿宋"/>
          <w:bCs/>
          <w:color w:val="auto"/>
          <w:sz w:val="32"/>
          <w:szCs w:val="32"/>
          <w:highlight w:val="none"/>
          <w:lang w:val="zh-CN"/>
        </w:rPr>
        <w:t>（一）结算方式：乙方应按照双方签订的合同，按照区内各学校需求定期配送，配送量由甲方各学校通知确定。各学校每月据实结算货款。</w:t>
      </w:r>
    </w:p>
    <w:p w14:paraId="5D751CF0">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（二）支付方式：银行转账。</w:t>
      </w:r>
    </w:p>
    <w:p w14:paraId="72817C8E">
      <w:pPr>
        <w:spacing w:line="560" w:lineRule="exact"/>
        <w:ind w:firstLine="640" w:firstLineChars="200"/>
        <w:rPr>
          <w:rFonts w:ascii="仿宋" w:hAnsi="仿宋" w:eastAsia="仿宋"/>
          <w:color w:val="auto"/>
          <w:sz w:val="32"/>
          <w:szCs w:val="32"/>
          <w:highlight w:val="none"/>
          <w:lang w:val="zh-CN"/>
        </w:rPr>
      </w:pPr>
      <w:r>
        <w:rPr>
          <w:rFonts w:hint="eastAsia" w:ascii="仿宋" w:hAnsi="仿宋" w:eastAsia="仿宋"/>
          <w:color w:val="auto"/>
          <w:sz w:val="32"/>
          <w:szCs w:val="32"/>
          <w:highlight w:val="none"/>
          <w:lang w:val="zh-CN"/>
        </w:rPr>
        <w:t>由</w:t>
      </w:r>
      <w:r>
        <w:rPr>
          <w:rFonts w:hint="eastAsia" w:ascii="仿宋" w:hAnsi="仿宋" w:eastAsia="仿宋"/>
          <w:color w:val="auto"/>
          <w:sz w:val="32"/>
          <w:szCs w:val="32"/>
          <w:highlight w:val="none"/>
        </w:rPr>
        <w:t>接受供货的具体学校</w:t>
      </w:r>
      <w:r>
        <w:rPr>
          <w:rFonts w:hint="eastAsia" w:ascii="仿宋" w:hAnsi="仿宋" w:eastAsia="仿宋"/>
          <w:color w:val="auto"/>
          <w:sz w:val="32"/>
          <w:szCs w:val="32"/>
          <w:highlight w:val="none"/>
          <w:lang w:val="zh-CN"/>
        </w:rPr>
        <w:t>负责结算，合同签订后，中标人在每次接受付款前，</w:t>
      </w:r>
      <w:r>
        <w:rPr>
          <w:rFonts w:hint="eastAsia" w:ascii="仿宋" w:hAnsi="仿宋" w:eastAsia="仿宋"/>
          <w:color w:val="auto"/>
          <w:sz w:val="32"/>
          <w:szCs w:val="32"/>
          <w:highlight w:val="none"/>
        </w:rPr>
        <w:t>应先</w:t>
      </w:r>
      <w:r>
        <w:rPr>
          <w:rFonts w:hint="eastAsia" w:ascii="仿宋" w:hAnsi="仿宋" w:eastAsia="仿宋"/>
          <w:color w:val="auto"/>
          <w:sz w:val="32"/>
          <w:szCs w:val="32"/>
          <w:highlight w:val="none"/>
          <w:lang w:val="zh-CN"/>
        </w:rPr>
        <w:t>开具</w:t>
      </w:r>
      <w:r>
        <w:rPr>
          <w:rFonts w:hint="eastAsia" w:ascii="仿宋" w:hAnsi="仿宋" w:eastAsia="仿宋"/>
          <w:color w:val="auto"/>
          <w:sz w:val="32"/>
          <w:szCs w:val="32"/>
          <w:highlight w:val="none"/>
        </w:rPr>
        <w:t>符合法律规定的等</w:t>
      </w:r>
      <w:r>
        <w:rPr>
          <w:rFonts w:hint="eastAsia" w:ascii="仿宋" w:hAnsi="仿宋" w:eastAsia="仿宋"/>
          <w:color w:val="auto"/>
          <w:sz w:val="32"/>
          <w:szCs w:val="32"/>
          <w:highlight w:val="none"/>
          <w:lang w:val="zh-CN"/>
        </w:rPr>
        <w:t>额发票给学校。</w:t>
      </w:r>
    </w:p>
    <w:p w14:paraId="459178A8">
      <w:pPr>
        <w:pStyle w:val="20"/>
        <w:spacing w:line="560" w:lineRule="exact"/>
        <w:rPr>
          <w:rFonts w:ascii="仿宋" w:hAnsi="仿宋" w:eastAsia="仿宋"/>
          <w:color w:val="auto"/>
          <w:sz w:val="32"/>
          <w:szCs w:val="32"/>
          <w:highlight w:val="none"/>
          <w:lang w:val="zh-CN"/>
        </w:rPr>
      </w:pPr>
      <w:r>
        <w:rPr>
          <w:rFonts w:hint="eastAsia"/>
          <w:color w:val="auto"/>
          <w:highlight w:val="none"/>
          <w:lang w:val="zh-CN"/>
        </w:rPr>
        <w:t xml:space="preserve"> </w:t>
      </w:r>
      <w:r>
        <w:rPr>
          <w:color w:val="auto"/>
          <w:highlight w:val="none"/>
          <w:lang w:val="zh-CN"/>
        </w:rPr>
        <w:t xml:space="preserve">      </w:t>
      </w:r>
      <w:r>
        <w:rPr>
          <w:rFonts w:ascii="仿宋" w:hAnsi="仿宋" w:eastAsia="仿宋"/>
          <w:color w:val="auto"/>
          <w:sz w:val="32"/>
          <w:szCs w:val="32"/>
          <w:highlight w:val="none"/>
          <w:lang w:val="zh-CN"/>
        </w:rPr>
        <w:t>（</w:t>
      </w:r>
      <w:r>
        <w:rPr>
          <w:rFonts w:hint="eastAsia" w:ascii="仿宋" w:hAnsi="仿宋" w:eastAsia="仿宋"/>
          <w:color w:val="auto"/>
          <w:sz w:val="32"/>
          <w:szCs w:val="32"/>
          <w:highlight w:val="none"/>
          <w:lang w:val="zh-CN"/>
        </w:rPr>
        <w:t>三</w:t>
      </w:r>
      <w:r>
        <w:rPr>
          <w:rFonts w:ascii="仿宋" w:hAnsi="仿宋" w:eastAsia="仿宋"/>
          <w:color w:val="auto"/>
          <w:sz w:val="32"/>
          <w:szCs w:val="32"/>
          <w:highlight w:val="none"/>
          <w:lang w:val="zh-CN"/>
        </w:rPr>
        <w:t>）乙方账户信息：</w:t>
      </w:r>
    </w:p>
    <w:p w14:paraId="1F7C4666">
      <w:pPr>
        <w:widowControl/>
        <w:spacing w:line="560" w:lineRule="exact"/>
        <w:ind w:firstLine="640" w:firstLineChars="200"/>
        <w:jc w:val="left"/>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zh-CN"/>
        </w:rPr>
        <w:t xml:space="preserve">户 </w:t>
      </w:r>
      <w:r>
        <w:rPr>
          <w:rFonts w:ascii="仿宋" w:hAnsi="仿宋" w:eastAsia="仿宋"/>
          <w:color w:val="auto"/>
          <w:sz w:val="32"/>
          <w:szCs w:val="32"/>
          <w:highlight w:val="none"/>
          <w:lang w:val="zh-CN"/>
        </w:rPr>
        <w:t xml:space="preserve"> </w:t>
      </w:r>
      <w:r>
        <w:rPr>
          <w:rFonts w:hint="eastAsia" w:ascii="仿宋" w:hAnsi="仿宋" w:eastAsia="仿宋"/>
          <w:color w:val="auto"/>
          <w:sz w:val="32"/>
          <w:szCs w:val="32"/>
          <w:highlight w:val="none"/>
          <w:lang w:val="zh-CN"/>
        </w:rPr>
        <w:t>名：</w:t>
      </w:r>
      <w:r>
        <w:rPr>
          <w:rFonts w:hint="eastAsia" w:ascii="仿宋" w:hAnsi="仿宋" w:eastAsia="仿宋"/>
          <w:color w:val="auto"/>
          <w:sz w:val="32"/>
          <w:szCs w:val="32"/>
          <w:highlight w:val="none"/>
          <w:lang w:val="en-US" w:eastAsia="zh-CN"/>
        </w:rPr>
        <w:t xml:space="preserve"> </w:t>
      </w:r>
    </w:p>
    <w:p w14:paraId="66031A4D">
      <w:pPr>
        <w:widowControl/>
        <w:spacing w:line="560" w:lineRule="exact"/>
        <w:ind w:firstLine="640" w:firstLineChars="200"/>
        <w:jc w:val="left"/>
        <w:rPr>
          <w:rFonts w:hint="eastAsia" w:ascii="仿宋" w:hAnsi="仿宋" w:eastAsia="仿宋"/>
          <w:color w:val="auto"/>
          <w:sz w:val="32"/>
          <w:szCs w:val="32"/>
          <w:highlight w:val="none"/>
          <w:lang w:val="zh-CN"/>
        </w:rPr>
      </w:pPr>
      <w:r>
        <w:rPr>
          <w:rFonts w:hint="eastAsia" w:ascii="仿宋" w:hAnsi="仿宋" w:eastAsia="仿宋"/>
          <w:color w:val="auto"/>
          <w:sz w:val="32"/>
          <w:szCs w:val="32"/>
          <w:highlight w:val="none"/>
          <w:lang w:val="zh-CN"/>
        </w:rPr>
        <w:t>开户行：</w:t>
      </w:r>
    </w:p>
    <w:p w14:paraId="07C4DA6B">
      <w:pPr>
        <w:widowControl/>
        <w:spacing w:line="560" w:lineRule="exact"/>
        <w:ind w:firstLine="640" w:firstLineChars="200"/>
        <w:jc w:val="left"/>
        <w:rPr>
          <w:rFonts w:ascii="仿宋" w:hAnsi="仿宋" w:eastAsia="仿宋"/>
          <w:color w:val="auto"/>
          <w:sz w:val="32"/>
          <w:szCs w:val="32"/>
          <w:highlight w:val="none"/>
          <w:lang w:val="zh-CN"/>
        </w:rPr>
      </w:pPr>
      <w:r>
        <w:rPr>
          <w:rFonts w:hint="eastAsia" w:ascii="仿宋" w:hAnsi="仿宋" w:eastAsia="仿宋"/>
          <w:color w:val="auto"/>
          <w:sz w:val="32"/>
          <w:szCs w:val="32"/>
          <w:highlight w:val="none"/>
          <w:lang w:val="zh-CN"/>
        </w:rPr>
        <w:t xml:space="preserve">账 </w:t>
      </w:r>
      <w:r>
        <w:rPr>
          <w:rFonts w:ascii="仿宋" w:hAnsi="仿宋" w:eastAsia="仿宋"/>
          <w:color w:val="auto"/>
          <w:sz w:val="32"/>
          <w:szCs w:val="32"/>
          <w:highlight w:val="none"/>
          <w:lang w:val="zh-CN"/>
        </w:rPr>
        <w:t xml:space="preserve"> </w:t>
      </w:r>
      <w:r>
        <w:rPr>
          <w:rFonts w:hint="eastAsia" w:ascii="仿宋" w:hAnsi="仿宋" w:eastAsia="仿宋"/>
          <w:color w:val="auto"/>
          <w:sz w:val="32"/>
          <w:szCs w:val="32"/>
          <w:highlight w:val="none"/>
          <w:lang w:val="zh-CN"/>
        </w:rPr>
        <w:t>号：</w:t>
      </w:r>
    </w:p>
    <w:p w14:paraId="3F50393D">
      <w:pPr>
        <w:autoSpaceDE w:val="0"/>
        <w:autoSpaceDN w:val="0"/>
        <w:adjustRightInd w:val="0"/>
        <w:spacing w:line="560" w:lineRule="exact"/>
        <w:ind w:left="640"/>
        <w:rPr>
          <w:rFonts w:eastAsia="方正仿宋简体"/>
          <w:color w:val="auto"/>
          <w:sz w:val="32"/>
          <w:szCs w:val="32"/>
          <w:highlight w:val="none"/>
        </w:rPr>
      </w:pPr>
      <w:r>
        <w:rPr>
          <w:rFonts w:eastAsia="黑体"/>
          <w:color w:val="auto"/>
          <w:sz w:val="32"/>
          <w:szCs w:val="32"/>
          <w:highlight w:val="none"/>
        </w:rPr>
        <w:t>第四条</w:t>
      </w:r>
      <w:r>
        <w:rPr>
          <w:rFonts w:hint="eastAsia" w:eastAsia="黑体"/>
          <w:color w:val="auto"/>
          <w:sz w:val="32"/>
          <w:szCs w:val="32"/>
          <w:highlight w:val="none"/>
        </w:rPr>
        <w:t xml:space="preserve"> </w:t>
      </w:r>
      <w:r>
        <w:rPr>
          <w:rFonts w:eastAsia="黑体"/>
          <w:color w:val="auto"/>
          <w:sz w:val="32"/>
          <w:szCs w:val="32"/>
          <w:highlight w:val="none"/>
        </w:rPr>
        <w:t xml:space="preserve"> </w:t>
      </w:r>
      <w:r>
        <w:rPr>
          <w:rFonts w:hint="eastAsia" w:eastAsia="黑体"/>
          <w:color w:val="auto"/>
          <w:sz w:val="32"/>
          <w:szCs w:val="32"/>
          <w:highlight w:val="none"/>
        </w:rPr>
        <w:t>配送周期</w:t>
      </w:r>
    </w:p>
    <w:p w14:paraId="2EC497F7">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202</w:t>
      </w:r>
      <w:r>
        <w:rPr>
          <w:rFonts w:hint="eastAsia" w:ascii="仿宋" w:hAnsi="仿宋" w:eastAsia="仿宋"/>
          <w:bCs/>
          <w:color w:val="auto"/>
          <w:sz w:val="32"/>
          <w:szCs w:val="32"/>
          <w:highlight w:val="none"/>
          <w:lang w:val="en-US" w:eastAsia="zh-CN"/>
        </w:rPr>
        <w:t>5</w:t>
      </w:r>
      <w:r>
        <w:rPr>
          <w:rFonts w:hint="eastAsia" w:ascii="仿宋" w:hAnsi="仿宋" w:eastAsia="仿宋"/>
          <w:bCs/>
          <w:color w:val="auto"/>
          <w:sz w:val="32"/>
          <w:szCs w:val="32"/>
          <w:highlight w:val="none"/>
        </w:rPr>
        <w:t>年</w:t>
      </w:r>
      <w:r>
        <w:rPr>
          <w:rFonts w:hint="eastAsia" w:ascii="仿宋" w:hAnsi="仿宋" w:eastAsia="仿宋"/>
          <w:bCs/>
          <w:color w:val="auto"/>
          <w:sz w:val="32"/>
          <w:szCs w:val="32"/>
          <w:highlight w:val="none"/>
          <w:lang w:val="en-US" w:eastAsia="zh-CN"/>
        </w:rPr>
        <w:t>9</w:t>
      </w:r>
      <w:r>
        <w:rPr>
          <w:rFonts w:hint="eastAsia" w:ascii="仿宋" w:hAnsi="仿宋" w:eastAsia="仿宋"/>
          <w:bCs/>
          <w:color w:val="auto"/>
          <w:sz w:val="32"/>
          <w:szCs w:val="32"/>
          <w:highlight w:val="none"/>
        </w:rPr>
        <w:t>月</w:t>
      </w:r>
      <w:r>
        <w:rPr>
          <w:rFonts w:hint="eastAsia" w:ascii="仿宋" w:hAnsi="仿宋" w:eastAsia="仿宋"/>
          <w:bCs/>
          <w:color w:val="auto"/>
          <w:sz w:val="32"/>
          <w:szCs w:val="32"/>
          <w:highlight w:val="none"/>
          <w:lang w:val="en-US" w:eastAsia="zh-CN"/>
        </w:rPr>
        <w:t>1</w:t>
      </w:r>
      <w:r>
        <w:rPr>
          <w:rFonts w:hint="eastAsia" w:ascii="仿宋" w:hAnsi="仿宋" w:eastAsia="仿宋"/>
          <w:bCs/>
          <w:color w:val="auto"/>
          <w:sz w:val="32"/>
          <w:szCs w:val="32"/>
          <w:highlight w:val="none"/>
        </w:rPr>
        <w:t>日</w:t>
      </w:r>
      <w:r>
        <w:rPr>
          <w:rFonts w:ascii="仿宋" w:hAnsi="仿宋" w:eastAsia="仿宋"/>
          <w:bCs/>
          <w:color w:val="auto"/>
          <w:sz w:val="32"/>
          <w:szCs w:val="32"/>
          <w:highlight w:val="none"/>
        </w:rPr>
        <w:t>—202</w:t>
      </w:r>
      <w:r>
        <w:rPr>
          <w:rFonts w:hint="eastAsia" w:ascii="仿宋" w:hAnsi="仿宋" w:eastAsia="仿宋"/>
          <w:bCs/>
          <w:color w:val="auto"/>
          <w:sz w:val="32"/>
          <w:szCs w:val="32"/>
          <w:highlight w:val="none"/>
          <w:lang w:val="en-US" w:eastAsia="zh-CN"/>
        </w:rPr>
        <w:t>6</w:t>
      </w:r>
      <w:r>
        <w:rPr>
          <w:rFonts w:hint="eastAsia" w:ascii="仿宋" w:hAnsi="仿宋" w:eastAsia="仿宋"/>
          <w:bCs/>
          <w:color w:val="auto"/>
          <w:sz w:val="32"/>
          <w:szCs w:val="32"/>
          <w:highlight w:val="none"/>
        </w:rPr>
        <w:t>年</w:t>
      </w:r>
      <w:r>
        <w:rPr>
          <w:rFonts w:ascii="仿宋" w:hAnsi="仿宋" w:eastAsia="仿宋"/>
          <w:bCs/>
          <w:color w:val="auto"/>
          <w:sz w:val="32"/>
          <w:szCs w:val="32"/>
          <w:highlight w:val="none"/>
        </w:rPr>
        <w:t>7</w:t>
      </w:r>
      <w:r>
        <w:rPr>
          <w:rFonts w:hint="eastAsia" w:ascii="仿宋" w:hAnsi="仿宋" w:eastAsia="仿宋"/>
          <w:bCs/>
          <w:color w:val="auto"/>
          <w:sz w:val="32"/>
          <w:szCs w:val="32"/>
          <w:highlight w:val="none"/>
        </w:rPr>
        <w:t>月</w:t>
      </w:r>
      <w:r>
        <w:rPr>
          <w:rFonts w:hint="eastAsia" w:ascii="仿宋" w:hAnsi="仿宋" w:eastAsia="仿宋"/>
          <w:bCs/>
          <w:color w:val="auto"/>
          <w:sz w:val="32"/>
          <w:szCs w:val="32"/>
          <w:highlight w:val="none"/>
          <w:lang w:val="en-US" w:eastAsia="zh-CN"/>
        </w:rPr>
        <w:t>15</w:t>
      </w:r>
      <w:r>
        <w:rPr>
          <w:rFonts w:hint="eastAsia" w:ascii="仿宋" w:hAnsi="仿宋" w:eastAsia="仿宋"/>
          <w:bCs/>
          <w:color w:val="auto"/>
          <w:sz w:val="32"/>
          <w:szCs w:val="32"/>
          <w:highlight w:val="none"/>
        </w:rPr>
        <w:t>日（</w:t>
      </w:r>
      <w:r>
        <w:rPr>
          <w:rFonts w:hint="eastAsia" w:ascii="仿宋" w:hAnsi="仿宋" w:eastAsia="仿宋"/>
          <w:bCs/>
          <w:color w:val="auto"/>
          <w:sz w:val="32"/>
          <w:szCs w:val="32"/>
          <w:highlight w:val="none"/>
          <w:lang w:eastAsia="zh-CN"/>
        </w:rPr>
        <w:t>以</w:t>
      </w:r>
      <w:r>
        <w:rPr>
          <w:rFonts w:hint="eastAsia" w:ascii="仿宋" w:hAnsi="仿宋" w:eastAsia="仿宋"/>
          <w:bCs/>
          <w:color w:val="auto"/>
          <w:sz w:val="32"/>
          <w:szCs w:val="32"/>
          <w:highlight w:val="none"/>
        </w:rPr>
        <w:t>学校放假时间为准）。</w:t>
      </w:r>
    </w:p>
    <w:p w14:paraId="15D1CEAB">
      <w:pPr>
        <w:autoSpaceDE w:val="0"/>
        <w:autoSpaceDN w:val="0"/>
        <w:adjustRightInd w:val="0"/>
        <w:spacing w:line="560" w:lineRule="exact"/>
        <w:ind w:firstLine="640" w:firstLineChars="200"/>
        <w:rPr>
          <w:rFonts w:eastAsia="黑体"/>
          <w:color w:val="auto"/>
          <w:sz w:val="32"/>
          <w:szCs w:val="32"/>
          <w:highlight w:val="none"/>
        </w:rPr>
      </w:pPr>
      <w:r>
        <w:rPr>
          <w:rFonts w:hint="eastAsia" w:eastAsia="黑体"/>
          <w:color w:val="auto"/>
          <w:sz w:val="32"/>
          <w:szCs w:val="32"/>
          <w:highlight w:val="none"/>
        </w:rPr>
        <w:t>第五条</w:t>
      </w:r>
      <w:r>
        <w:rPr>
          <w:rFonts w:eastAsia="黑体"/>
          <w:color w:val="auto"/>
          <w:sz w:val="32"/>
          <w:szCs w:val="32"/>
          <w:highlight w:val="none"/>
        </w:rPr>
        <w:t xml:space="preserve">  </w:t>
      </w:r>
      <w:r>
        <w:rPr>
          <w:rFonts w:hint="eastAsia" w:eastAsia="黑体"/>
          <w:color w:val="auto"/>
          <w:sz w:val="32"/>
          <w:szCs w:val="32"/>
          <w:highlight w:val="none"/>
        </w:rPr>
        <w:t>其他要求</w:t>
      </w:r>
    </w:p>
    <w:p w14:paraId="7413068C">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采购数量属于暂定数量，结合实际情况，甲方有权对因学校拆迁分流等特殊情况导致学生人数变化的学校进行供餐模式的调整，乙方应当按照甲方相关要求，做好人数调整及配送服务，根据实际供</w:t>
      </w:r>
      <w:r>
        <w:rPr>
          <w:rFonts w:ascii="仿宋" w:hAnsi="仿宋" w:eastAsia="仿宋"/>
          <w:bCs/>
          <w:color w:val="auto"/>
          <w:sz w:val="32"/>
          <w:szCs w:val="32"/>
          <w:highlight w:val="none"/>
        </w:rPr>
        <w:t>货</w:t>
      </w:r>
      <w:r>
        <w:rPr>
          <w:rFonts w:hint="eastAsia" w:ascii="仿宋" w:hAnsi="仿宋" w:eastAsia="仿宋"/>
          <w:bCs/>
          <w:color w:val="auto"/>
          <w:sz w:val="32"/>
          <w:szCs w:val="32"/>
          <w:highlight w:val="none"/>
        </w:rPr>
        <w:t>数量据实结算。</w:t>
      </w:r>
    </w:p>
    <w:p w14:paraId="5F3EC2EF">
      <w:pPr>
        <w:spacing w:line="560" w:lineRule="exact"/>
        <w:ind w:firstLine="640" w:firstLineChars="200"/>
        <w:rPr>
          <w:rFonts w:eastAsia="黑体"/>
          <w:bCs/>
          <w:color w:val="auto"/>
          <w:sz w:val="32"/>
          <w:szCs w:val="32"/>
          <w:highlight w:val="none"/>
        </w:rPr>
      </w:pPr>
      <w:r>
        <w:rPr>
          <w:rFonts w:hint="eastAsia" w:eastAsia="黑体"/>
          <w:bCs/>
          <w:color w:val="auto"/>
          <w:sz w:val="32"/>
          <w:szCs w:val="32"/>
          <w:highlight w:val="none"/>
        </w:rPr>
        <w:t>第六条</w:t>
      </w:r>
      <w:r>
        <w:rPr>
          <w:rFonts w:eastAsia="黑体"/>
          <w:bCs/>
          <w:color w:val="auto"/>
          <w:sz w:val="32"/>
          <w:szCs w:val="32"/>
          <w:highlight w:val="none"/>
        </w:rPr>
        <w:t xml:space="preserve">  </w:t>
      </w:r>
      <w:r>
        <w:rPr>
          <w:rFonts w:hint="eastAsia" w:eastAsia="黑体"/>
          <w:bCs/>
          <w:color w:val="auto"/>
          <w:sz w:val="32"/>
          <w:szCs w:val="32"/>
          <w:highlight w:val="none"/>
        </w:rPr>
        <w:t>交货时间与供货地点</w:t>
      </w:r>
    </w:p>
    <w:p w14:paraId="54C11E2F">
      <w:pPr>
        <w:spacing w:line="560" w:lineRule="exact"/>
        <w:ind w:firstLine="640" w:firstLineChars="200"/>
        <w:rPr>
          <w:rFonts w:hint="eastAsia" w:ascii="仿宋" w:hAnsi="仿宋" w:eastAsia="仿宋"/>
          <w:bCs/>
          <w:color w:val="auto"/>
          <w:sz w:val="32"/>
          <w:szCs w:val="32"/>
          <w:highlight w:val="none"/>
          <w:lang w:eastAsia="zh-CN"/>
        </w:rPr>
      </w:pPr>
      <w:r>
        <w:rPr>
          <w:rFonts w:hint="eastAsia" w:ascii="仿宋" w:hAnsi="仿宋" w:eastAsia="仿宋"/>
          <w:bCs/>
          <w:color w:val="auto"/>
          <w:sz w:val="32"/>
          <w:szCs w:val="32"/>
          <w:highlight w:val="none"/>
        </w:rPr>
        <w:t>（一）交货时间（期限）：</w:t>
      </w:r>
      <w:r>
        <w:rPr>
          <w:rFonts w:hint="eastAsia" w:ascii="仿宋" w:hAnsi="仿宋" w:eastAsia="仿宋"/>
          <w:bCs/>
          <w:color w:val="auto"/>
          <w:sz w:val="32"/>
          <w:szCs w:val="32"/>
          <w:highlight w:val="none"/>
          <w:lang w:eastAsia="zh-CN"/>
        </w:rPr>
        <w:t>肉类每天配送，</w:t>
      </w:r>
      <w:r>
        <w:rPr>
          <w:rFonts w:hint="eastAsia" w:ascii="仿宋" w:hAnsi="仿宋" w:eastAsia="仿宋"/>
          <w:bCs/>
          <w:color w:val="auto"/>
          <w:sz w:val="32"/>
          <w:szCs w:val="32"/>
          <w:highlight w:val="none"/>
        </w:rPr>
        <w:t>蛋类每周</w:t>
      </w:r>
      <w:r>
        <w:rPr>
          <w:rFonts w:hint="eastAsia" w:ascii="仿宋" w:hAnsi="仿宋" w:eastAsia="仿宋"/>
          <w:bCs/>
          <w:color w:val="auto"/>
          <w:sz w:val="32"/>
          <w:szCs w:val="32"/>
          <w:highlight w:val="none"/>
          <w:lang w:eastAsia="zh-CN"/>
        </w:rPr>
        <w:t>至少</w:t>
      </w:r>
      <w:r>
        <w:rPr>
          <w:rFonts w:hint="eastAsia" w:ascii="仿宋" w:hAnsi="仿宋" w:eastAsia="仿宋"/>
          <w:bCs/>
          <w:color w:val="auto"/>
          <w:sz w:val="32"/>
          <w:szCs w:val="32"/>
          <w:highlight w:val="none"/>
        </w:rPr>
        <w:t>配送二次，每次配送按照学校要求</w:t>
      </w:r>
      <w:r>
        <w:rPr>
          <w:rFonts w:hint="eastAsia" w:ascii="仿宋" w:hAnsi="仿宋" w:eastAsia="仿宋"/>
          <w:bCs/>
          <w:color w:val="auto"/>
          <w:sz w:val="32"/>
          <w:szCs w:val="32"/>
          <w:highlight w:val="none"/>
          <w:lang w:eastAsia="zh-Hans"/>
        </w:rPr>
        <w:t>时间</w:t>
      </w:r>
      <w:r>
        <w:rPr>
          <w:rFonts w:hint="eastAsia" w:ascii="仿宋" w:hAnsi="仿宋" w:eastAsia="仿宋"/>
          <w:bCs/>
          <w:color w:val="auto"/>
          <w:sz w:val="32"/>
          <w:szCs w:val="32"/>
          <w:highlight w:val="none"/>
        </w:rPr>
        <w:t>准时送达。</w:t>
      </w:r>
      <w:r>
        <w:rPr>
          <w:rFonts w:hint="eastAsia" w:ascii="仿宋" w:hAnsi="仿宋" w:eastAsia="仿宋"/>
          <w:bCs/>
          <w:color w:val="auto"/>
          <w:sz w:val="32"/>
          <w:szCs w:val="32"/>
          <w:highlight w:val="none"/>
          <w:lang w:eastAsia="zh-CN"/>
        </w:rPr>
        <w:t>视天气温度和储存条件以及配送量，可协商提高配送频次。</w:t>
      </w:r>
    </w:p>
    <w:p w14:paraId="329BB5D9">
      <w:pPr>
        <w:spacing w:line="560" w:lineRule="exact"/>
        <w:ind w:firstLine="640" w:firstLineChars="200"/>
        <w:rPr>
          <w:rFonts w:ascii="仿宋" w:hAnsi="仿宋" w:eastAsia="仿宋"/>
          <w:color w:val="auto"/>
          <w:sz w:val="32"/>
          <w:szCs w:val="32"/>
          <w:highlight w:val="none"/>
        </w:rPr>
      </w:pPr>
      <w:r>
        <w:rPr>
          <w:rFonts w:hint="eastAsia" w:ascii="仿宋" w:hAnsi="仿宋" w:eastAsia="仿宋"/>
          <w:bCs/>
          <w:color w:val="auto"/>
          <w:sz w:val="32"/>
          <w:szCs w:val="32"/>
          <w:highlight w:val="none"/>
        </w:rPr>
        <w:t>（二）交货地点：甲方提供的各学校。</w:t>
      </w:r>
    </w:p>
    <w:p w14:paraId="5FF3FE16">
      <w:pPr>
        <w:adjustRightInd w:val="0"/>
        <w:snapToGrid w:val="0"/>
        <w:spacing w:line="560" w:lineRule="exact"/>
        <w:ind w:firstLine="640" w:firstLineChars="200"/>
        <w:rPr>
          <w:rFonts w:eastAsia="黑体"/>
          <w:bCs/>
          <w:color w:val="auto"/>
          <w:sz w:val="32"/>
          <w:szCs w:val="32"/>
          <w:highlight w:val="none"/>
        </w:rPr>
      </w:pPr>
      <w:r>
        <w:rPr>
          <w:rFonts w:hint="eastAsia" w:eastAsia="黑体"/>
          <w:bCs/>
          <w:color w:val="auto"/>
          <w:sz w:val="32"/>
          <w:szCs w:val="32"/>
          <w:highlight w:val="none"/>
        </w:rPr>
        <w:t>第七条</w:t>
      </w:r>
      <w:r>
        <w:rPr>
          <w:rFonts w:eastAsia="黑体"/>
          <w:bCs/>
          <w:color w:val="auto"/>
          <w:sz w:val="32"/>
          <w:szCs w:val="32"/>
          <w:highlight w:val="none"/>
        </w:rPr>
        <w:t xml:space="preserve">  </w:t>
      </w:r>
      <w:r>
        <w:rPr>
          <w:rFonts w:hint="eastAsia" w:eastAsia="黑体"/>
          <w:bCs/>
          <w:color w:val="auto"/>
          <w:sz w:val="32"/>
          <w:szCs w:val="32"/>
          <w:highlight w:val="none"/>
        </w:rPr>
        <w:t>配送方式</w:t>
      </w:r>
    </w:p>
    <w:p w14:paraId="7DD874AF">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（一）乙方应单独组织专业配送人员及专用车辆对货物进行统一配送。</w:t>
      </w:r>
    </w:p>
    <w:p w14:paraId="27BFCABB">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（二）货物配送必须</w:t>
      </w:r>
      <w:r>
        <w:rPr>
          <w:rFonts w:hint="eastAsia" w:ascii="仿宋" w:hAnsi="仿宋" w:eastAsia="仿宋"/>
          <w:bCs/>
          <w:color w:val="auto"/>
          <w:sz w:val="32"/>
          <w:szCs w:val="32"/>
          <w:highlight w:val="none"/>
          <w:lang w:eastAsia="zh-Hans"/>
        </w:rPr>
        <w:t>由</w:t>
      </w:r>
      <w:r>
        <w:rPr>
          <w:rFonts w:hint="eastAsia" w:ascii="仿宋" w:hAnsi="仿宋" w:eastAsia="仿宋"/>
          <w:bCs/>
          <w:color w:val="auto"/>
          <w:sz w:val="32"/>
          <w:szCs w:val="32"/>
          <w:highlight w:val="none"/>
        </w:rPr>
        <w:t>乙方直接一次性配送到位，不得中转，不得采取委托、承包、转让、转包给其他公司、区域代理商或者个人进行配送，配送车辆必须采</w:t>
      </w:r>
      <w:r>
        <w:rPr>
          <w:rFonts w:hint="eastAsia" w:ascii="仿宋" w:hAnsi="仿宋" w:eastAsia="仿宋"/>
          <w:bCs/>
          <w:color w:val="auto"/>
          <w:sz w:val="32"/>
          <w:szCs w:val="32"/>
          <w:highlight w:val="none"/>
          <w:lang w:eastAsia="zh-Hans"/>
        </w:rPr>
        <w:t>用</w:t>
      </w:r>
      <w:r>
        <w:rPr>
          <w:rFonts w:hint="eastAsia" w:ascii="仿宋" w:hAnsi="仿宋" w:eastAsia="仿宋"/>
          <w:bCs/>
          <w:color w:val="auto"/>
          <w:sz w:val="32"/>
          <w:szCs w:val="32"/>
          <w:highlight w:val="none"/>
        </w:rPr>
        <w:t>密闭车辆。</w:t>
      </w:r>
    </w:p>
    <w:p w14:paraId="14CDC058">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（三）乙方负责所有货物的运输。确保货物安全、完整到达使用地点，运杂费用包含在总价内，包括货物从供货地点到使用地点的运输费、保险费、搬运费等。</w:t>
      </w:r>
    </w:p>
    <w:p w14:paraId="127DE19D">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（四）乙方在按相关规定送货到位后，学校应及时配合配送人员接货并对合同指定的产品进行验收，对破损、</w:t>
      </w:r>
      <w:r>
        <w:rPr>
          <w:rFonts w:ascii="仿宋" w:hAnsi="仿宋" w:eastAsia="仿宋"/>
          <w:bCs/>
          <w:color w:val="auto"/>
          <w:sz w:val="32"/>
          <w:szCs w:val="32"/>
          <w:highlight w:val="none"/>
        </w:rPr>
        <w:t>变质、</w:t>
      </w:r>
      <w:r>
        <w:rPr>
          <w:rFonts w:hint="eastAsia" w:ascii="仿宋" w:hAnsi="仿宋" w:eastAsia="仿宋"/>
          <w:bCs/>
          <w:color w:val="auto"/>
          <w:sz w:val="32"/>
          <w:szCs w:val="32"/>
          <w:highlight w:val="none"/>
        </w:rPr>
        <w:t>受污染的产品拒绝接收。</w:t>
      </w:r>
    </w:p>
    <w:p w14:paraId="476FBF72">
      <w:pPr>
        <w:autoSpaceDE w:val="0"/>
        <w:autoSpaceDN w:val="0"/>
        <w:adjustRightInd w:val="0"/>
        <w:spacing w:line="560" w:lineRule="exact"/>
        <w:ind w:firstLine="640" w:firstLineChars="200"/>
        <w:rPr>
          <w:rFonts w:eastAsia="方正仿宋简体"/>
          <w:b/>
          <w:color w:val="auto"/>
          <w:sz w:val="32"/>
          <w:szCs w:val="32"/>
          <w:highlight w:val="none"/>
        </w:rPr>
      </w:pPr>
      <w:r>
        <w:rPr>
          <w:rFonts w:hint="eastAsia" w:ascii="仿宋" w:hAnsi="仿宋" w:eastAsia="仿宋"/>
          <w:bCs/>
          <w:color w:val="auto"/>
          <w:sz w:val="32"/>
          <w:szCs w:val="32"/>
          <w:highlight w:val="none"/>
        </w:rPr>
        <w:t>（五）在</w:t>
      </w:r>
      <w:r>
        <w:rPr>
          <w:rFonts w:hint="eastAsia" w:ascii="仿宋" w:hAnsi="仿宋" w:eastAsia="仿宋"/>
          <w:bCs/>
          <w:color w:val="auto"/>
          <w:sz w:val="32"/>
          <w:szCs w:val="32"/>
          <w:highlight w:val="none"/>
          <w:lang w:eastAsia="zh-Hans"/>
        </w:rPr>
        <w:t>乙方配送人员</w:t>
      </w:r>
      <w:r>
        <w:rPr>
          <w:rFonts w:hint="eastAsia" w:ascii="仿宋" w:hAnsi="仿宋" w:eastAsia="仿宋"/>
          <w:bCs/>
          <w:color w:val="auto"/>
          <w:sz w:val="32"/>
          <w:szCs w:val="32"/>
          <w:highlight w:val="none"/>
        </w:rPr>
        <w:t>运输</w:t>
      </w:r>
      <w:bookmarkStart w:id="26" w:name="OLE_LINK2"/>
      <w:bookmarkStart w:id="27" w:name="OLE_LINK1"/>
      <w:r>
        <w:rPr>
          <w:rFonts w:hint="eastAsia" w:ascii="仿宋" w:hAnsi="仿宋" w:eastAsia="仿宋"/>
          <w:bCs/>
          <w:color w:val="auto"/>
          <w:sz w:val="32"/>
          <w:szCs w:val="32"/>
          <w:highlight w:val="none"/>
        </w:rPr>
        <w:t>、</w:t>
      </w:r>
      <w:bookmarkEnd w:id="26"/>
      <w:bookmarkEnd w:id="27"/>
      <w:r>
        <w:rPr>
          <w:rFonts w:hint="eastAsia" w:ascii="仿宋" w:hAnsi="仿宋" w:eastAsia="仿宋"/>
          <w:bCs/>
          <w:color w:val="auto"/>
          <w:sz w:val="32"/>
          <w:szCs w:val="32"/>
          <w:highlight w:val="none"/>
        </w:rPr>
        <w:t>搬运、安装的过程中，造成</w:t>
      </w:r>
      <w:r>
        <w:rPr>
          <w:rFonts w:ascii="仿宋" w:hAnsi="仿宋" w:eastAsia="仿宋"/>
          <w:bCs/>
          <w:color w:val="auto"/>
          <w:sz w:val="32"/>
          <w:szCs w:val="32"/>
          <w:highlight w:val="none"/>
        </w:rPr>
        <w:t>使用学校设施设备等资产</w:t>
      </w:r>
      <w:r>
        <w:rPr>
          <w:rFonts w:hint="eastAsia" w:ascii="仿宋" w:hAnsi="仿宋" w:eastAsia="仿宋"/>
          <w:bCs/>
          <w:color w:val="auto"/>
          <w:sz w:val="32"/>
          <w:szCs w:val="32"/>
          <w:highlight w:val="none"/>
        </w:rPr>
        <w:t>损失的，由乙方为</w:t>
      </w:r>
      <w:r>
        <w:rPr>
          <w:rFonts w:ascii="仿宋" w:hAnsi="仿宋" w:eastAsia="仿宋"/>
          <w:bCs/>
          <w:color w:val="auto"/>
          <w:sz w:val="32"/>
          <w:szCs w:val="32"/>
          <w:highlight w:val="none"/>
        </w:rPr>
        <w:t>使用学校</w:t>
      </w:r>
      <w:r>
        <w:rPr>
          <w:rFonts w:hint="eastAsia" w:ascii="仿宋" w:hAnsi="仿宋" w:eastAsia="仿宋"/>
          <w:bCs/>
          <w:color w:val="auto"/>
          <w:sz w:val="32"/>
          <w:szCs w:val="32"/>
          <w:highlight w:val="none"/>
        </w:rPr>
        <w:t>修复或更新。</w:t>
      </w:r>
    </w:p>
    <w:p w14:paraId="3604F3D8">
      <w:pPr>
        <w:spacing w:line="560" w:lineRule="exact"/>
        <w:ind w:firstLine="640" w:firstLineChars="200"/>
        <w:rPr>
          <w:rFonts w:eastAsia="黑体"/>
          <w:bCs/>
          <w:color w:val="auto"/>
          <w:sz w:val="32"/>
          <w:szCs w:val="32"/>
          <w:highlight w:val="none"/>
        </w:rPr>
      </w:pPr>
      <w:r>
        <w:rPr>
          <w:rFonts w:hint="eastAsia" w:eastAsia="黑体"/>
          <w:bCs/>
          <w:color w:val="auto"/>
          <w:sz w:val="32"/>
          <w:szCs w:val="32"/>
          <w:highlight w:val="none"/>
        </w:rPr>
        <w:t>第八条</w:t>
      </w:r>
      <w:r>
        <w:rPr>
          <w:rFonts w:eastAsia="黑体"/>
          <w:bCs/>
          <w:color w:val="auto"/>
          <w:sz w:val="32"/>
          <w:szCs w:val="32"/>
          <w:highlight w:val="none"/>
        </w:rPr>
        <w:t xml:space="preserve">  </w:t>
      </w:r>
      <w:r>
        <w:rPr>
          <w:rFonts w:hint="eastAsia" w:eastAsia="黑体"/>
          <w:bCs/>
          <w:color w:val="auto"/>
          <w:sz w:val="32"/>
          <w:szCs w:val="32"/>
          <w:highlight w:val="none"/>
        </w:rPr>
        <w:t>质量保证</w:t>
      </w:r>
    </w:p>
    <w:p w14:paraId="7FB2FD3E">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（一）乙方提供的产品必须是所投标品牌企业正规生产的产品，符合国家及行业相关要求。</w:t>
      </w:r>
    </w:p>
    <w:p w14:paraId="7EABA25B">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（二）乙方所供货物是经过国家相关部门检验认可的或检测机构检验、注册、准许市场销售的合法产品。</w:t>
      </w:r>
    </w:p>
    <w:p w14:paraId="6AB8923B">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（三）对有质量问题及重量不达标的食品，乙方应及时更换。如</w:t>
      </w:r>
      <w:r>
        <w:rPr>
          <w:rFonts w:hint="eastAsia" w:ascii="仿宋" w:hAnsi="仿宋" w:eastAsia="仿宋"/>
          <w:bCs/>
          <w:color w:val="auto"/>
          <w:sz w:val="32"/>
          <w:szCs w:val="32"/>
          <w:highlight w:val="none"/>
          <w:lang w:eastAsia="zh-Hans"/>
        </w:rPr>
        <w:t>每</w:t>
      </w:r>
      <w:r>
        <w:rPr>
          <w:rFonts w:hint="eastAsia" w:ascii="仿宋" w:hAnsi="仿宋" w:eastAsia="仿宋"/>
          <w:bCs/>
          <w:color w:val="auto"/>
          <w:sz w:val="32"/>
          <w:szCs w:val="32"/>
          <w:highlight w:val="none"/>
        </w:rPr>
        <w:t>发现</w:t>
      </w:r>
      <w:r>
        <w:rPr>
          <w:rFonts w:hint="eastAsia" w:ascii="仿宋" w:hAnsi="仿宋" w:eastAsia="仿宋"/>
          <w:bCs/>
          <w:color w:val="auto"/>
          <w:sz w:val="32"/>
          <w:szCs w:val="32"/>
          <w:highlight w:val="none"/>
          <w:lang w:eastAsia="zh-Hans"/>
        </w:rPr>
        <w:t>一次</w:t>
      </w:r>
      <w:r>
        <w:rPr>
          <w:rFonts w:hint="eastAsia" w:ascii="仿宋" w:hAnsi="仿宋" w:eastAsia="仿宋"/>
          <w:bCs/>
          <w:color w:val="auto"/>
          <w:sz w:val="32"/>
          <w:szCs w:val="32"/>
          <w:highlight w:val="none"/>
        </w:rPr>
        <w:t>质量问题，乙方向甲方支付违约金</w:t>
      </w:r>
      <w:r>
        <w:rPr>
          <w:rFonts w:ascii="仿宋" w:hAnsi="仿宋" w:eastAsia="仿宋"/>
          <w:bCs/>
          <w:color w:val="auto"/>
          <w:sz w:val="32"/>
          <w:szCs w:val="32"/>
          <w:highlight w:val="none"/>
        </w:rPr>
        <w:t>2000</w:t>
      </w:r>
      <w:r>
        <w:rPr>
          <w:rFonts w:hint="eastAsia" w:ascii="仿宋" w:hAnsi="仿宋" w:eastAsia="仿宋"/>
          <w:bCs/>
          <w:color w:val="auto"/>
          <w:sz w:val="32"/>
          <w:szCs w:val="32"/>
          <w:highlight w:val="none"/>
        </w:rPr>
        <w:t>元；一个学校累计发现三次供应食品有质量问题或重量不达标，甲方有权取消乙方的配送权，乙方向甲方支付违约金</w:t>
      </w:r>
      <w:r>
        <w:rPr>
          <w:rFonts w:ascii="仿宋" w:hAnsi="仿宋" w:eastAsia="仿宋"/>
          <w:bCs/>
          <w:color w:val="auto"/>
          <w:sz w:val="32"/>
          <w:szCs w:val="32"/>
          <w:highlight w:val="none"/>
        </w:rPr>
        <w:t>3</w:t>
      </w:r>
      <w:r>
        <w:rPr>
          <w:rFonts w:hint="eastAsia" w:ascii="仿宋" w:hAnsi="仿宋" w:eastAsia="仿宋"/>
          <w:bCs/>
          <w:color w:val="auto"/>
          <w:sz w:val="32"/>
          <w:szCs w:val="32"/>
          <w:highlight w:val="none"/>
        </w:rPr>
        <w:t>万元，并取消乙方下年度的投标资格。</w:t>
      </w:r>
    </w:p>
    <w:p w14:paraId="1EEE9F23">
      <w:pPr>
        <w:pStyle w:val="20"/>
        <w:spacing w:line="560" w:lineRule="exact"/>
        <w:ind w:firstLine="640" w:firstLineChars="200"/>
        <w:rPr>
          <w:rFonts w:eastAsia="黑体"/>
          <w:bCs/>
          <w:color w:val="auto"/>
          <w:sz w:val="32"/>
          <w:szCs w:val="32"/>
          <w:highlight w:val="none"/>
        </w:rPr>
      </w:pPr>
      <w:r>
        <w:rPr>
          <w:rFonts w:hint="eastAsia" w:eastAsia="黑体"/>
          <w:bCs/>
          <w:color w:val="auto"/>
          <w:sz w:val="32"/>
          <w:szCs w:val="32"/>
          <w:highlight w:val="none"/>
        </w:rPr>
        <w:t>第九条</w:t>
      </w:r>
      <w:r>
        <w:rPr>
          <w:rFonts w:eastAsia="黑体"/>
          <w:bCs/>
          <w:color w:val="auto"/>
          <w:sz w:val="32"/>
          <w:szCs w:val="32"/>
          <w:highlight w:val="none"/>
        </w:rPr>
        <w:t xml:space="preserve">  </w:t>
      </w:r>
      <w:r>
        <w:rPr>
          <w:rFonts w:hint="eastAsia" w:eastAsia="黑体"/>
          <w:bCs/>
          <w:color w:val="auto"/>
          <w:sz w:val="32"/>
          <w:szCs w:val="32"/>
          <w:highlight w:val="none"/>
        </w:rPr>
        <w:t>权利保证</w:t>
      </w:r>
    </w:p>
    <w:p w14:paraId="120D97F1">
      <w:pPr>
        <w:pStyle w:val="2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（一）乙方保证对其出售的产品享有合法的权利。</w:t>
      </w:r>
    </w:p>
    <w:p w14:paraId="0BCECA66">
      <w:pPr>
        <w:pStyle w:val="2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（二）乙方保证对其出售的产品上不存在任何未曾向甲方透露的担保物权，如抵押权、质押权、留置权。</w:t>
      </w:r>
    </w:p>
    <w:p w14:paraId="15FFAD35">
      <w:pPr>
        <w:pStyle w:val="2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（三）乙方保证对其出售的产品或其任何一部分没有侵犯第三方的专利权、版权、商标权或其他权利。</w:t>
      </w:r>
    </w:p>
    <w:p w14:paraId="16F96B6F">
      <w:pPr>
        <w:pStyle w:val="2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（四）如甲方使用该产品构成上述侵权的，则由乙方承担全部责任。</w:t>
      </w:r>
    </w:p>
    <w:p w14:paraId="2C12444E">
      <w:pPr>
        <w:spacing w:line="560" w:lineRule="exact"/>
        <w:ind w:firstLine="640" w:firstLineChars="200"/>
        <w:rPr>
          <w:rFonts w:ascii="黑体" w:hAnsi="黑体" w:eastAsia="黑体" w:cs="黑体"/>
          <w:bCs/>
          <w:color w:val="auto"/>
          <w:sz w:val="32"/>
          <w:szCs w:val="32"/>
          <w:highlight w:val="none"/>
        </w:rPr>
      </w:pPr>
      <w:r>
        <w:rPr>
          <w:rFonts w:hint="eastAsia" w:ascii="黑体" w:hAnsi="黑体" w:eastAsia="黑体" w:cs="黑体"/>
          <w:bCs/>
          <w:color w:val="auto"/>
          <w:sz w:val="32"/>
          <w:szCs w:val="32"/>
          <w:highlight w:val="none"/>
        </w:rPr>
        <w:t>第十条  包装要求与运输方式</w:t>
      </w:r>
    </w:p>
    <w:p w14:paraId="4B6660E9">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（一）除合同另有规定外，乙方提供的全部货物，均应按标准保护措施进行包装，并确保货物安全无损运抵甲方或甲方下属学校指定地点。</w:t>
      </w:r>
    </w:p>
    <w:p w14:paraId="7354AB06">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（二）每一配送批次应附一份详细配送单、质量合格证和检验检疫报告。</w:t>
      </w:r>
    </w:p>
    <w:p w14:paraId="0DDE78D0">
      <w:pPr>
        <w:pStyle w:val="2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三</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固定专人、专车配送，</w:t>
      </w:r>
      <w:r>
        <w:rPr>
          <w:rFonts w:hint="eastAsia" w:ascii="仿宋" w:hAnsi="仿宋" w:eastAsia="仿宋"/>
          <w:bCs/>
          <w:color w:val="auto"/>
          <w:sz w:val="32"/>
          <w:szCs w:val="32"/>
          <w:highlight w:val="none"/>
        </w:rPr>
        <w:t>乙方用于配送食品的车辆要有合法手续，</w:t>
      </w:r>
      <w:r>
        <w:rPr>
          <w:rFonts w:ascii="仿宋" w:hAnsi="仿宋" w:eastAsia="仿宋"/>
          <w:bCs/>
          <w:color w:val="auto"/>
          <w:sz w:val="32"/>
          <w:szCs w:val="32"/>
          <w:highlight w:val="none"/>
        </w:rPr>
        <w:t>配送车辆行驶证、司机驾驶证、配送人员健康证等手续需在教育局备案，</w:t>
      </w:r>
      <w:r>
        <w:rPr>
          <w:rFonts w:hint="eastAsia" w:ascii="仿宋" w:hAnsi="仿宋" w:eastAsia="仿宋"/>
          <w:bCs/>
          <w:color w:val="auto"/>
          <w:sz w:val="32"/>
          <w:szCs w:val="32"/>
          <w:highlight w:val="none"/>
        </w:rPr>
        <w:t>配送货物途中发生一切事故由乙方全权承担。配送车辆、人员要有明显标志。每次配送到校，需认真做好交接手续。</w:t>
      </w:r>
    </w:p>
    <w:p w14:paraId="270FF5F4">
      <w:pPr>
        <w:pStyle w:val="2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（四）配送要求：乙方不应在学生来校、离校时间配送，以免造成校门口拥堵混乱。</w:t>
      </w:r>
    </w:p>
    <w:p w14:paraId="76D10E8F">
      <w:pPr>
        <w:spacing w:line="560" w:lineRule="exact"/>
        <w:ind w:firstLine="640" w:firstLineChars="200"/>
        <w:rPr>
          <w:rFonts w:eastAsia="黑体"/>
          <w:bCs/>
          <w:color w:val="auto"/>
          <w:sz w:val="32"/>
          <w:szCs w:val="32"/>
          <w:highlight w:val="none"/>
        </w:rPr>
      </w:pPr>
      <w:r>
        <w:rPr>
          <w:rFonts w:hint="eastAsia" w:eastAsia="黑体"/>
          <w:bCs/>
          <w:color w:val="auto"/>
          <w:sz w:val="32"/>
          <w:szCs w:val="32"/>
          <w:highlight w:val="none"/>
        </w:rPr>
        <w:t>第十一条</w:t>
      </w:r>
      <w:r>
        <w:rPr>
          <w:rFonts w:eastAsia="黑体"/>
          <w:bCs/>
          <w:color w:val="auto"/>
          <w:sz w:val="32"/>
          <w:szCs w:val="32"/>
          <w:highlight w:val="none"/>
        </w:rPr>
        <w:t xml:space="preserve">  </w:t>
      </w:r>
      <w:r>
        <w:rPr>
          <w:rFonts w:hint="eastAsia" w:eastAsia="黑体"/>
          <w:bCs/>
          <w:color w:val="auto"/>
          <w:sz w:val="32"/>
          <w:szCs w:val="32"/>
          <w:highlight w:val="none"/>
        </w:rPr>
        <w:t>产品验收</w:t>
      </w:r>
    </w:p>
    <w:p w14:paraId="50E39D3E">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（一）货物到货后，由甲方或甲方下属各项目学校与乙方共同进行外观验收，验收内容包括</w:t>
      </w:r>
      <w:r>
        <w:rPr>
          <w:rFonts w:ascii="仿宋" w:hAnsi="仿宋" w:eastAsia="仿宋"/>
          <w:bCs/>
          <w:color w:val="auto"/>
          <w:sz w:val="32"/>
          <w:szCs w:val="32"/>
          <w:highlight w:val="none"/>
        </w:rPr>
        <w:t>：</w:t>
      </w:r>
      <w:r>
        <w:rPr>
          <w:rFonts w:hint="eastAsia" w:ascii="仿宋" w:hAnsi="仿宋" w:eastAsia="仿宋"/>
          <w:bCs/>
          <w:color w:val="auto"/>
          <w:sz w:val="32"/>
          <w:szCs w:val="32"/>
          <w:highlight w:val="none"/>
        </w:rPr>
        <w:t>外包装的完好性，肉类感官性状、产品规格、数量及产地与合同要求的一致性。</w:t>
      </w:r>
    </w:p>
    <w:p w14:paraId="39B0AFE6">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（二）验收依据</w:t>
      </w:r>
    </w:p>
    <w:p w14:paraId="2ABB8DC2">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各使用学校根据国内相应的标准、规范及甲方根据合同文本、合同附件、招标文件、投标文件进行验收。</w:t>
      </w:r>
    </w:p>
    <w:p w14:paraId="75AC6971">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（三）货物（产品）验收时发现问题的处理办法：</w:t>
      </w:r>
    </w:p>
    <w:p w14:paraId="60452976">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1.</w:t>
      </w:r>
      <w:r>
        <w:rPr>
          <w:rFonts w:hint="eastAsia" w:ascii="仿宋" w:hAnsi="仿宋" w:eastAsia="仿宋"/>
          <w:bCs/>
          <w:color w:val="auto"/>
          <w:sz w:val="32"/>
          <w:szCs w:val="32"/>
          <w:highlight w:val="none"/>
        </w:rPr>
        <w:t>乙方提供不符合招标文件和本合同规定的货物（产品），甲方有权拒绝接收。</w:t>
      </w:r>
    </w:p>
    <w:p w14:paraId="20916C7C">
      <w:pPr>
        <w:autoSpaceDE w:val="0"/>
        <w:autoSpaceDN w:val="0"/>
        <w:adjustRightInd w:val="0"/>
        <w:spacing w:line="560" w:lineRule="exact"/>
        <w:ind w:firstLine="640" w:firstLineChars="200"/>
        <w:rPr>
          <w:rFonts w:eastAsia="方正仿宋简体"/>
          <w:bCs/>
          <w:color w:val="auto"/>
          <w:sz w:val="32"/>
          <w:szCs w:val="32"/>
          <w:highlight w:val="none"/>
        </w:rPr>
      </w:pPr>
      <w:r>
        <w:rPr>
          <w:rFonts w:ascii="仿宋" w:hAnsi="仿宋" w:eastAsia="仿宋"/>
          <w:bCs/>
          <w:color w:val="auto"/>
          <w:sz w:val="32"/>
          <w:szCs w:val="32"/>
          <w:highlight w:val="none"/>
        </w:rPr>
        <w:t>2.</w:t>
      </w:r>
      <w:r>
        <w:rPr>
          <w:rFonts w:hint="eastAsia" w:ascii="仿宋" w:hAnsi="仿宋" w:eastAsia="仿宋"/>
          <w:bCs/>
          <w:color w:val="auto"/>
          <w:sz w:val="32"/>
          <w:szCs w:val="32"/>
          <w:highlight w:val="none"/>
        </w:rPr>
        <w:t>如发现所交付的货物有短装、损坏</w:t>
      </w:r>
      <w:r>
        <w:rPr>
          <w:rFonts w:ascii="仿宋" w:hAnsi="仿宋" w:eastAsia="仿宋"/>
          <w:bCs/>
          <w:color w:val="auto"/>
          <w:sz w:val="32"/>
          <w:szCs w:val="32"/>
          <w:highlight w:val="none"/>
        </w:rPr>
        <w:t>、变质</w:t>
      </w:r>
      <w:r>
        <w:rPr>
          <w:rFonts w:hint="eastAsia" w:ascii="仿宋" w:hAnsi="仿宋" w:eastAsia="仿宋"/>
          <w:bCs/>
          <w:color w:val="auto"/>
          <w:sz w:val="32"/>
          <w:szCs w:val="32"/>
          <w:highlight w:val="none"/>
        </w:rPr>
        <w:t>或其他不符合标准及本合同规定之情形者，甲方有权要求更换货物，乙方要无条件第一时间进行更换配送。由此产生的时间延误与有关费用由乙方承担。</w:t>
      </w:r>
    </w:p>
    <w:p w14:paraId="53D86F43">
      <w:pPr>
        <w:spacing w:line="560" w:lineRule="exact"/>
        <w:ind w:firstLine="640" w:firstLineChars="200"/>
        <w:rPr>
          <w:rFonts w:eastAsia="黑体"/>
          <w:bCs/>
          <w:color w:val="auto"/>
          <w:sz w:val="32"/>
          <w:szCs w:val="32"/>
          <w:highlight w:val="none"/>
        </w:rPr>
      </w:pPr>
      <w:r>
        <w:rPr>
          <w:rFonts w:hint="eastAsia" w:eastAsia="黑体"/>
          <w:bCs/>
          <w:color w:val="auto"/>
          <w:sz w:val="32"/>
          <w:szCs w:val="32"/>
          <w:highlight w:val="none"/>
        </w:rPr>
        <w:t>第十二条</w:t>
      </w:r>
      <w:r>
        <w:rPr>
          <w:rFonts w:eastAsia="黑体"/>
          <w:bCs/>
          <w:color w:val="auto"/>
          <w:sz w:val="32"/>
          <w:szCs w:val="32"/>
          <w:highlight w:val="none"/>
        </w:rPr>
        <w:t xml:space="preserve">  </w:t>
      </w:r>
      <w:r>
        <w:rPr>
          <w:rFonts w:hint="eastAsia" w:eastAsia="黑体"/>
          <w:bCs/>
          <w:color w:val="auto"/>
          <w:sz w:val="32"/>
          <w:szCs w:val="32"/>
          <w:highlight w:val="none"/>
        </w:rPr>
        <w:t>免费技术培训</w:t>
      </w:r>
    </w:p>
    <w:p w14:paraId="06DD74F1">
      <w:pPr>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（一）培训内容：膳食营养、食品安全等知识。</w:t>
      </w:r>
    </w:p>
    <w:p w14:paraId="045AEEDD">
      <w:pPr>
        <w:spacing w:line="560" w:lineRule="exact"/>
        <w:ind w:firstLine="640" w:firstLineChars="200"/>
        <w:rPr>
          <w:rFonts w:ascii="仿宋" w:hAnsi="仿宋" w:eastAsia="仿宋"/>
          <w:b/>
          <w:color w:val="auto"/>
          <w:sz w:val="32"/>
          <w:szCs w:val="32"/>
          <w:highlight w:val="none"/>
        </w:rPr>
      </w:pPr>
      <w:r>
        <w:rPr>
          <w:rFonts w:hint="eastAsia" w:ascii="仿宋" w:hAnsi="仿宋" w:eastAsia="仿宋"/>
          <w:color w:val="auto"/>
          <w:sz w:val="32"/>
          <w:szCs w:val="32"/>
          <w:highlight w:val="none"/>
        </w:rPr>
        <w:t>（二）乙方必须按照甲方的要求组织人员，采用指定地点集中培训和各项目学校分散培训相结合的方式。</w:t>
      </w:r>
    </w:p>
    <w:p w14:paraId="0FE92ABE">
      <w:pPr>
        <w:spacing w:line="560" w:lineRule="exact"/>
        <w:ind w:firstLine="640" w:firstLineChars="200"/>
        <w:rPr>
          <w:color w:val="auto"/>
          <w:highlight w:val="none"/>
        </w:rPr>
      </w:pPr>
      <w:r>
        <w:rPr>
          <w:rFonts w:hint="eastAsia" w:ascii="仿宋" w:hAnsi="仿宋" w:eastAsia="仿宋"/>
          <w:color w:val="auto"/>
          <w:sz w:val="32"/>
          <w:szCs w:val="32"/>
          <w:highlight w:val="none"/>
        </w:rPr>
        <w:t>（三）培训地点：甲方指定地点或各项目学校。</w:t>
      </w:r>
    </w:p>
    <w:p w14:paraId="47C76CEC">
      <w:pPr>
        <w:pStyle w:val="20"/>
        <w:spacing w:line="560" w:lineRule="exact"/>
        <w:ind w:firstLine="640" w:firstLineChars="200"/>
        <w:rPr>
          <w:rFonts w:eastAsia="黑体"/>
          <w:color w:val="auto"/>
          <w:sz w:val="32"/>
          <w:szCs w:val="32"/>
          <w:highlight w:val="none"/>
        </w:rPr>
      </w:pPr>
      <w:r>
        <w:rPr>
          <w:rFonts w:hint="eastAsia" w:eastAsia="黑体"/>
          <w:color w:val="auto"/>
          <w:sz w:val="32"/>
          <w:szCs w:val="32"/>
          <w:highlight w:val="none"/>
        </w:rPr>
        <w:t>第十三条</w:t>
      </w:r>
      <w:r>
        <w:rPr>
          <w:rFonts w:eastAsia="黑体"/>
          <w:color w:val="auto"/>
          <w:sz w:val="32"/>
          <w:szCs w:val="32"/>
          <w:highlight w:val="none"/>
        </w:rPr>
        <w:t xml:space="preserve">  </w:t>
      </w:r>
      <w:r>
        <w:rPr>
          <w:rFonts w:hint="eastAsia" w:eastAsia="黑体"/>
          <w:color w:val="auto"/>
          <w:sz w:val="32"/>
          <w:szCs w:val="32"/>
          <w:highlight w:val="none"/>
        </w:rPr>
        <w:t>售后服务及应急处理</w:t>
      </w:r>
    </w:p>
    <w:p w14:paraId="157A17E0">
      <w:pPr>
        <w:pStyle w:val="20"/>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（一）乙方应按照国家有关法律法规和</w:t>
      </w:r>
      <w:r>
        <w:rPr>
          <w:rFonts w:ascii="仿宋" w:hAnsi="仿宋" w:eastAsia="仿宋"/>
          <w:color w:val="auto"/>
          <w:sz w:val="32"/>
          <w:szCs w:val="32"/>
          <w:highlight w:val="none"/>
        </w:rPr>
        <w:t>“</w:t>
      </w:r>
      <w:r>
        <w:rPr>
          <w:rFonts w:hint="eastAsia" w:ascii="仿宋" w:hAnsi="仿宋" w:eastAsia="仿宋"/>
          <w:color w:val="auto"/>
          <w:sz w:val="32"/>
          <w:szCs w:val="32"/>
          <w:highlight w:val="none"/>
        </w:rPr>
        <w:t>三包</w:t>
      </w:r>
      <w:r>
        <w:rPr>
          <w:rFonts w:ascii="仿宋" w:hAnsi="仿宋" w:eastAsia="仿宋"/>
          <w:color w:val="auto"/>
          <w:sz w:val="32"/>
          <w:szCs w:val="32"/>
          <w:highlight w:val="none"/>
        </w:rPr>
        <w:t>”</w:t>
      </w:r>
      <w:r>
        <w:rPr>
          <w:rFonts w:hint="eastAsia" w:ascii="仿宋" w:hAnsi="仿宋" w:eastAsia="仿宋"/>
          <w:color w:val="auto"/>
          <w:sz w:val="32"/>
          <w:szCs w:val="32"/>
          <w:highlight w:val="none"/>
        </w:rPr>
        <w:t>规定以及招标文件要求和投标文件的</w:t>
      </w:r>
      <w:r>
        <w:rPr>
          <w:rFonts w:ascii="仿宋" w:hAnsi="仿宋" w:eastAsia="仿宋"/>
          <w:color w:val="auto"/>
          <w:sz w:val="32"/>
          <w:szCs w:val="32"/>
          <w:highlight w:val="none"/>
        </w:rPr>
        <w:t>“</w:t>
      </w:r>
      <w:r>
        <w:rPr>
          <w:rFonts w:hint="eastAsia" w:ascii="仿宋" w:hAnsi="仿宋" w:eastAsia="仿宋"/>
          <w:color w:val="auto"/>
          <w:sz w:val="32"/>
          <w:szCs w:val="32"/>
          <w:highlight w:val="none"/>
        </w:rPr>
        <w:t>服务承诺</w:t>
      </w:r>
      <w:r>
        <w:rPr>
          <w:rFonts w:ascii="仿宋" w:hAnsi="仿宋" w:eastAsia="仿宋"/>
          <w:color w:val="auto"/>
          <w:sz w:val="32"/>
          <w:szCs w:val="32"/>
          <w:highlight w:val="none"/>
        </w:rPr>
        <w:t>”</w:t>
      </w:r>
      <w:r>
        <w:rPr>
          <w:rFonts w:hint="eastAsia" w:ascii="仿宋" w:hAnsi="仿宋" w:eastAsia="仿宋"/>
          <w:color w:val="auto"/>
          <w:sz w:val="32"/>
          <w:szCs w:val="32"/>
          <w:highlight w:val="none"/>
        </w:rPr>
        <w:t>提供服务。</w:t>
      </w:r>
    </w:p>
    <w:p w14:paraId="53556A14">
      <w:pPr>
        <w:pStyle w:val="20"/>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二）紧急情况处理：因乙方提供食材问题，导致学生食用后出现头晕、呕吐、腹痛等不适时，应立即送到校医务室或就近医院检查治疗，并立即通知乙方，乙方接到通知后应立即前往现场，进行应急处置，由双方将食材样品送交卫生、质检部门进行检验，因乙方产品质量产生的所有责任全部由乙方承担。</w:t>
      </w:r>
    </w:p>
    <w:p w14:paraId="2E4B0CDF">
      <w:pPr>
        <w:pStyle w:val="20"/>
        <w:spacing w:line="560" w:lineRule="exact"/>
        <w:ind w:firstLine="640" w:firstLineChars="200"/>
        <w:rPr>
          <w:color w:val="auto"/>
          <w:highlight w:val="none"/>
        </w:rPr>
      </w:pPr>
      <w:r>
        <w:rPr>
          <w:rFonts w:hint="eastAsia" w:ascii="仿宋" w:hAnsi="仿宋" w:eastAsia="仿宋"/>
          <w:color w:val="auto"/>
          <w:sz w:val="32"/>
          <w:szCs w:val="32"/>
          <w:highlight w:val="none"/>
        </w:rPr>
        <w:t>（三）产品坏包处理：甲方所辖学校若发现产品出现胀包</w:t>
      </w:r>
      <w:r>
        <w:rPr>
          <w:rFonts w:ascii="仿宋" w:hAnsi="仿宋" w:eastAsia="仿宋"/>
          <w:color w:val="auto"/>
          <w:sz w:val="32"/>
          <w:szCs w:val="32"/>
          <w:highlight w:val="none"/>
        </w:rPr>
        <w:t>、</w:t>
      </w:r>
      <w:r>
        <w:rPr>
          <w:rFonts w:hint="eastAsia" w:ascii="仿宋" w:hAnsi="仿宋" w:eastAsia="仿宋"/>
          <w:color w:val="auto"/>
          <w:sz w:val="32"/>
          <w:szCs w:val="32"/>
          <w:highlight w:val="none"/>
        </w:rPr>
        <w:t>破损</w:t>
      </w:r>
      <w:r>
        <w:rPr>
          <w:rFonts w:ascii="仿宋" w:hAnsi="仿宋" w:eastAsia="仿宋"/>
          <w:color w:val="auto"/>
          <w:sz w:val="32"/>
          <w:szCs w:val="32"/>
          <w:highlight w:val="none"/>
        </w:rPr>
        <w:t>、</w:t>
      </w:r>
      <w:r>
        <w:rPr>
          <w:rFonts w:hint="eastAsia" w:ascii="仿宋" w:hAnsi="仿宋" w:eastAsia="仿宋"/>
          <w:color w:val="auto"/>
          <w:sz w:val="32"/>
          <w:szCs w:val="32"/>
          <w:highlight w:val="none"/>
        </w:rPr>
        <w:t>变质等问题应立即制止学生食用，并及时通知乙方对产品进行退换，乙方要实行无条件一比一退换，并且乙方承担由此造成的全部损失。</w:t>
      </w:r>
    </w:p>
    <w:p w14:paraId="42654B32">
      <w:pPr>
        <w:spacing w:line="560" w:lineRule="exact"/>
        <w:ind w:firstLine="640" w:firstLineChars="200"/>
        <w:rPr>
          <w:rFonts w:eastAsia="黑体"/>
          <w:bCs/>
          <w:color w:val="auto"/>
          <w:sz w:val="32"/>
          <w:szCs w:val="32"/>
          <w:highlight w:val="none"/>
        </w:rPr>
      </w:pPr>
      <w:r>
        <w:rPr>
          <w:rFonts w:hint="eastAsia" w:eastAsia="黑体"/>
          <w:bCs/>
          <w:color w:val="auto"/>
          <w:sz w:val="32"/>
          <w:szCs w:val="32"/>
          <w:highlight w:val="none"/>
        </w:rPr>
        <w:t>第十四条</w:t>
      </w:r>
      <w:r>
        <w:rPr>
          <w:rFonts w:eastAsia="黑体"/>
          <w:bCs/>
          <w:color w:val="auto"/>
          <w:sz w:val="32"/>
          <w:szCs w:val="32"/>
          <w:highlight w:val="none"/>
        </w:rPr>
        <w:t xml:space="preserve">  </w:t>
      </w:r>
      <w:r>
        <w:rPr>
          <w:rFonts w:hint="eastAsia" w:eastAsia="黑体"/>
          <w:bCs/>
          <w:color w:val="auto"/>
          <w:sz w:val="32"/>
          <w:szCs w:val="32"/>
          <w:highlight w:val="none"/>
        </w:rPr>
        <w:t>其它事项</w:t>
      </w:r>
    </w:p>
    <w:p w14:paraId="5ABA3D20">
      <w:pPr>
        <w:spacing w:line="560" w:lineRule="exact"/>
        <w:ind w:left="480" w:leftChars="200"/>
        <w:rPr>
          <w:rFonts w:ascii="仿宋" w:hAnsi="仿宋" w:eastAsia="仿宋"/>
          <w:color w:val="auto"/>
          <w:sz w:val="32"/>
          <w:szCs w:val="32"/>
          <w:highlight w:val="none"/>
        </w:rPr>
      </w:pPr>
      <w:r>
        <w:rPr>
          <w:rFonts w:hint="eastAsia" w:ascii="仿宋" w:hAnsi="仿宋" w:eastAsia="仿宋"/>
          <w:color w:val="auto"/>
          <w:sz w:val="32"/>
          <w:szCs w:val="32"/>
          <w:highlight w:val="none"/>
        </w:rPr>
        <w:t>（一）乙方不得将项目转让、分包给其它单位或个人。</w:t>
      </w:r>
    </w:p>
    <w:p w14:paraId="03FB4527">
      <w:pPr>
        <w:spacing w:line="560" w:lineRule="exact"/>
        <w:ind w:left="480" w:leftChars="200"/>
        <w:rPr>
          <w:rFonts w:ascii="仿宋" w:hAnsi="仿宋" w:eastAsia="仿宋"/>
          <w:color w:val="auto"/>
          <w:sz w:val="32"/>
          <w:szCs w:val="32"/>
          <w:highlight w:val="none"/>
        </w:rPr>
      </w:pPr>
      <w:r>
        <w:rPr>
          <w:rFonts w:hint="eastAsia" w:ascii="仿宋" w:hAnsi="仿宋" w:eastAsia="仿宋"/>
          <w:color w:val="auto"/>
          <w:sz w:val="32"/>
          <w:szCs w:val="32"/>
          <w:highlight w:val="none"/>
        </w:rPr>
        <w:t>（二）乙方的投标文件和承诺等内容将列入合同。</w:t>
      </w:r>
    </w:p>
    <w:p w14:paraId="2F87634A">
      <w:pPr>
        <w:pStyle w:val="20"/>
        <w:ind w:left="720" w:leftChars="300"/>
        <w:jc w:val="both"/>
        <w:rPr>
          <w:rFonts w:ascii="仿宋" w:hAnsi="仿宋" w:eastAsia="仿宋"/>
          <w:color w:val="auto"/>
          <w:sz w:val="32"/>
          <w:szCs w:val="32"/>
          <w:highlight w:val="none"/>
        </w:rPr>
      </w:pPr>
      <w:r>
        <w:rPr>
          <w:rFonts w:hint="eastAsia" w:ascii="仿宋" w:hAnsi="仿宋" w:eastAsia="仿宋"/>
          <w:color w:val="auto"/>
          <w:sz w:val="32"/>
          <w:szCs w:val="32"/>
          <w:highlight w:val="none"/>
        </w:rPr>
        <w:t>(三）合同为框架合同，具体事宜由乙方和学校另行签订</w:t>
      </w:r>
    </w:p>
    <w:p w14:paraId="3CEFAA36">
      <w:pPr>
        <w:pStyle w:val="20"/>
        <w:jc w:val="both"/>
        <w:rPr>
          <w:rFonts w:eastAsia="仿宋"/>
          <w:color w:val="auto"/>
          <w:highlight w:val="none"/>
        </w:rPr>
      </w:pPr>
      <w:r>
        <w:rPr>
          <w:rFonts w:hint="eastAsia" w:ascii="仿宋" w:hAnsi="仿宋" w:eastAsia="仿宋"/>
          <w:color w:val="auto"/>
          <w:sz w:val="32"/>
          <w:szCs w:val="32"/>
          <w:highlight w:val="none"/>
        </w:rPr>
        <w:t>合同。</w:t>
      </w:r>
    </w:p>
    <w:p w14:paraId="7FFB98EE">
      <w:pPr>
        <w:autoSpaceDE w:val="0"/>
        <w:autoSpaceDN w:val="0"/>
        <w:adjustRightInd w:val="0"/>
        <w:spacing w:line="560" w:lineRule="exact"/>
        <w:ind w:firstLine="640" w:firstLineChars="200"/>
        <w:rPr>
          <w:rFonts w:eastAsia="黑体"/>
          <w:color w:val="auto"/>
          <w:sz w:val="32"/>
          <w:szCs w:val="32"/>
          <w:highlight w:val="none"/>
        </w:rPr>
      </w:pPr>
      <w:r>
        <w:rPr>
          <w:rFonts w:hint="eastAsia" w:eastAsia="黑体"/>
          <w:color w:val="auto"/>
          <w:sz w:val="32"/>
          <w:szCs w:val="32"/>
          <w:highlight w:val="none"/>
        </w:rPr>
        <w:t>第十五条</w:t>
      </w:r>
      <w:r>
        <w:rPr>
          <w:rFonts w:eastAsia="黑体"/>
          <w:color w:val="auto"/>
          <w:sz w:val="32"/>
          <w:szCs w:val="32"/>
          <w:highlight w:val="none"/>
        </w:rPr>
        <w:t xml:space="preserve">  </w:t>
      </w:r>
      <w:r>
        <w:rPr>
          <w:rFonts w:hint="eastAsia" w:eastAsia="黑体"/>
          <w:color w:val="auto"/>
          <w:sz w:val="32"/>
          <w:szCs w:val="32"/>
          <w:highlight w:val="none"/>
        </w:rPr>
        <w:t>违约责任</w:t>
      </w:r>
    </w:p>
    <w:p w14:paraId="5B8EA02D">
      <w:pPr>
        <w:autoSpaceDE w:val="0"/>
        <w:autoSpaceDN w:val="0"/>
        <w:adjustRightInd w:val="0"/>
        <w:snapToGrid w:val="0"/>
        <w:spacing w:line="560" w:lineRule="exact"/>
        <w:ind w:firstLine="630"/>
        <w:rPr>
          <w:rFonts w:ascii="仿宋" w:hAnsi="仿宋" w:eastAsia="仿宋"/>
          <w:bCs/>
          <w:color w:val="auto"/>
          <w:sz w:val="32"/>
          <w:szCs w:val="32"/>
          <w:highlight w:val="none"/>
        </w:rPr>
      </w:pPr>
      <w:r>
        <w:rPr>
          <w:rFonts w:hint="eastAsia" w:ascii="仿宋" w:hAnsi="仿宋" w:eastAsia="仿宋"/>
          <w:bCs/>
          <w:color w:val="auto"/>
          <w:sz w:val="32"/>
          <w:szCs w:val="32"/>
          <w:highlight w:val="none"/>
        </w:rPr>
        <w:t>（一）按《中华人民共和国民法典》中的相关条款执行。</w:t>
      </w:r>
    </w:p>
    <w:p w14:paraId="5E5DF30C">
      <w:pPr>
        <w:autoSpaceDE w:val="0"/>
        <w:autoSpaceDN w:val="0"/>
        <w:adjustRightInd w:val="0"/>
        <w:snapToGrid w:val="0"/>
        <w:spacing w:line="560" w:lineRule="exact"/>
        <w:ind w:firstLine="630"/>
        <w:rPr>
          <w:rFonts w:ascii="仿宋" w:hAnsi="仿宋" w:eastAsia="仿宋"/>
          <w:bCs/>
          <w:color w:val="auto"/>
          <w:sz w:val="32"/>
          <w:szCs w:val="32"/>
          <w:highlight w:val="none"/>
        </w:rPr>
      </w:pPr>
      <w:r>
        <w:rPr>
          <w:rFonts w:hint="eastAsia" w:ascii="仿宋" w:hAnsi="仿宋" w:eastAsia="仿宋"/>
          <w:bCs/>
          <w:color w:val="auto"/>
          <w:sz w:val="32"/>
          <w:szCs w:val="32"/>
          <w:highlight w:val="none"/>
        </w:rPr>
        <w:t>（二）按合同要求提供服务或服务质量不能满足采购技术要求，乙方必须无条件提高技术，完善服务质量，否则，甲方有权会同监督机构、采购代理机构终止合同并对乙方违约行为进行追究，同时按政府采购供应商管理办法进行相应的处罚。</w:t>
      </w:r>
    </w:p>
    <w:p w14:paraId="39B711BC">
      <w:pPr>
        <w:autoSpaceDE w:val="0"/>
        <w:autoSpaceDN w:val="0"/>
        <w:adjustRightInd w:val="0"/>
        <w:snapToGrid w:val="0"/>
        <w:spacing w:line="560" w:lineRule="exact"/>
        <w:ind w:firstLine="630"/>
        <w:rPr>
          <w:rFonts w:ascii="仿宋" w:hAnsi="仿宋" w:eastAsia="仿宋"/>
          <w:color w:val="auto"/>
          <w:sz w:val="32"/>
          <w:szCs w:val="32"/>
          <w:highlight w:val="none"/>
        </w:rPr>
      </w:pPr>
      <w:r>
        <w:rPr>
          <w:rFonts w:hint="eastAsia" w:ascii="仿宋" w:hAnsi="仿宋" w:eastAsia="仿宋"/>
          <w:bCs/>
          <w:color w:val="auto"/>
          <w:sz w:val="32"/>
          <w:szCs w:val="32"/>
          <w:highlight w:val="none"/>
        </w:rPr>
        <w:t>（三）</w:t>
      </w:r>
      <w:r>
        <w:rPr>
          <w:rFonts w:hint="eastAsia" w:ascii="仿宋" w:hAnsi="仿宋" w:eastAsia="仿宋"/>
          <w:color w:val="auto"/>
          <w:sz w:val="32"/>
          <w:szCs w:val="32"/>
          <w:highlight w:val="none"/>
        </w:rPr>
        <w:t>如果任何一方当事人受到不能预见、不能避免且不能克服的外部环境因素或上级政策变化导致的不可抗力事件的影响而无法履行或无法完整履行合同条款的需提前通知对方。</w:t>
      </w:r>
    </w:p>
    <w:p w14:paraId="7DF5C31A">
      <w:pPr>
        <w:autoSpaceDE w:val="0"/>
        <w:autoSpaceDN w:val="0"/>
        <w:adjustRightInd w:val="0"/>
        <w:snapToGrid w:val="0"/>
        <w:spacing w:line="560" w:lineRule="exact"/>
        <w:ind w:firstLine="630"/>
        <w:rPr>
          <w:rFonts w:ascii="仿宋" w:hAnsi="仿宋" w:eastAsia="仿宋"/>
          <w:bCs/>
          <w:color w:val="auto"/>
          <w:sz w:val="32"/>
          <w:szCs w:val="32"/>
          <w:highlight w:val="none"/>
        </w:rPr>
      </w:pPr>
      <w:r>
        <w:rPr>
          <w:rFonts w:hint="eastAsia" w:ascii="仿宋" w:hAnsi="仿宋" w:eastAsia="仿宋"/>
          <w:bCs/>
          <w:color w:val="auto"/>
          <w:sz w:val="32"/>
          <w:szCs w:val="32"/>
          <w:highlight w:val="none"/>
        </w:rPr>
        <w:t>（四）乙方应确保所供产品符合要求，在产品保质期内，若因产品质量瑕疵造成的甲方或者第三方即食者损害，乙方应承担全部责任和损失赔偿，损失包括但不限于当日事故项目学校订单总金额</w:t>
      </w:r>
      <w:r>
        <w:rPr>
          <w:rFonts w:ascii="仿宋" w:hAnsi="仿宋" w:eastAsia="仿宋"/>
          <w:bCs/>
          <w:color w:val="auto"/>
          <w:sz w:val="32"/>
          <w:szCs w:val="32"/>
          <w:highlight w:val="none"/>
        </w:rPr>
        <w:t>5%</w:t>
      </w:r>
      <w:r>
        <w:rPr>
          <w:rFonts w:hint="eastAsia" w:ascii="仿宋" w:hAnsi="仿宋" w:eastAsia="仿宋"/>
          <w:bCs/>
          <w:color w:val="auto"/>
          <w:sz w:val="32"/>
          <w:szCs w:val="32"/>
          <w:highlight w:val="none"/>
        </w:rPr>
        <w:t>的违约金、调查费、鉴定费、医疗费、律师费、诉讼费、保全费等直接损失、间接损失，该赔偿不足以满足所有损失的，乙方应对其他损失继续承担赔偿责任。若发生食品安全事故造成的一切社会影响，甲方有权终止合同，并追究乙方法律责任。</w:t>
      </w:r>
    </w:p>
    <w:p w14:paraId="3A300BC6">
      <w:pPr>
        <w:autoSpaceDE w:val="0"/>
        <w:autoSpaceDN w:val="0"/>
        <w:adjustRightInd w:val="0"/>
        <w:spacing w:line="560" w:lineRule="exact"/>
        <w:ind w:firstLine="640" w:firstLineChars="200"/>
        <w:rPr>
          <w:rFonts w:eastAsia="黑体"/>
          <w:color w:val="auto"/>
          <w:sz w:val="32"/>
          <w:szCs w:val="32"/>
          <w:highlight w:val="none"/>
        </w:rPr>
      </w:pPr>
      <w:r>
        <w:rPr>
          <w:rFonts w:hint="eastAsia" w:eastAsia="黑体"/>
          <w:color w:val="auto"/>
          <w:sz w:val="32"/>
          <w:szCs w:val="32"/>
          <w:highlight w:val="none"/>
        </w:rPr>
        <w:t>第十六条</w:t>
      </w:r>
      <w:r>
        <w:rPr>
          <w:rFonts w:eastAsia="黑体"/>
          <w:color w:val="auto"/>
          <w:sz w:val="32"/>
          <w:szCs w:val="32"/>
          <w:highlight w:val="none"/>
        </w:rPr>
        <w:t xml:space="preserve">  </w:t>
      </w:r>
      <w:r>
        <w:rPr>
          <w:rFonts w:hint="eastAsia" w:eastAsia="黑体"/>
          <w:color w:val="auto"/>
          <w:sz w:val="32"/>
          <w:szCs w:val="32"/>
          <w:highlight w:val="none"/>
        </w:rPr>
        <w:t>合同争议解决的方式</w:t>
      </w:r>
    </w:p>
    <w:p w14:paraId="5E4C7828">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本合同在履行过程中发生的争议，由甲、乙双方当事人协商解决，协商不成的按下列第</w:t>
      </w:r>
      <w:r>
        <w:rPr>
          <w:rFonts w:hint="eastAsia" w:ascii="仿宋" w:hAnsi="仿宋" w:eastAsia="仿宋"/>
          <w:bCs/>
          <w:color w:val="auto"/>
          <w:sz w:val="32"/>
          <w:szCs w:val="32"/>
          <w:highlight w:val="none"/>
          <w:u w:val="single"/>
        </w:rPr>
        <w:t>（二）</w:t>
      </w:r>
      <w:r>
        <w:rPr>
          <w:rFonts w:hint="eastAsia" w:ascii="仿宋" w:hAnsi="仿宋" w:eastAsia="仿宋"/>
          <w:bCs/>
          <w:color w:val="auto"/>
          <w:sz w:val="32"/>
          <w:szCs w:val="32"/>
          <w:highlight w:val="none"/>
        </w:rPr>
        <w:t>种方式解决：</w:t>
      </w:r>
    </w:p>
    <w:p w14:paraId="43FCF70E">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（一）提交西安仲裁委员会仲裁；</w:t>
      </w:r>
    </w:p>
    <w:p w14:paraId="4DDC63E9">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（二）依法向甲方所在地人民法院起诉。</w:t>
      </w:r>
    </w:p>
    <w:p w14:paraId="05267603">
      <w:pPr>
        <w:pStyle w:val="20"/>
        <w:spacing w:line="560" w:lineRule="exact"/>
        <w:ind w:firstLine="640" w:firstLineChars="200"/>
        <w:rPr>
          <w:rFonts w:eastAsia="黑体"/>
          <w:color w:val="auto"/>
          <w:sz w:val="32"/>
          <w:szCs w:val="32"/>
          <w:highlight w:val="none"/>
        </w:rPr>
      </w:pPr>
      <w:r>
        <w:rPr>
          <w:rFonts w:hint="eastAsia" w:eastAsia="黑体"/>
          <w:color w:val="auto"/>
          <w:sz w:val="32"/>
          <w:szCs w:val="32"/>
          <w:highlight w:val="none"/>
        </w:rPr>
        <w:t>第十七条</w:t>
      </w:r>
      <w:r>
        <w:rPr>
          <w:rFonts w:eastAsia="黑体"/>
          <w:color w:val="auto"/>
          <w:sz w:val="32"/>
          <w:szCs w:val="32"/>
          <w:highlight w:val="none"/>
        </w:rPr>
        <w:t xml:space="preserve">  </w:t>
      </w:r>
      <w:r>
        <w:rPr>
          <w:rFonts w:hint="eastAsia" w:eastAsia="黑体"/>
          <w:color w:val="auto"/>
          <w:sz w:val="32"/>
          <w:szCs w:val="32"/>
          <w:highlight w:val="none"/>
        </w:rPr>
        <w:t>合同文件</w:t>
      </w:r>
    </w:p>
    <w:p w14:paraId="774E7EB0">
      <w:pPr>
        <w:pStyle w:val="20"/>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详细技术说明及其他有关合同项目的特定信息由合同附件予以说明，下列文件构成本合同的组成部分，应该认为是一个整体，彼此相互解释，相互补充。组成合同的多个文件的优先支配地位的次序如下：</w:t>
      </w:r>
    </w:p>
    <w:p w14:paraId="469D7255">
      <w:pPr>
        <w:pStyle w:val="20"/>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（一）本合同书</w:t>
      </w:r>
    </w:p>
    <w:p w14:paraId="66937113">
      <w:pPr>
        <w:pStyle w:val="20"/>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（二）中标通知书</w:t>
      </w:r>
    </w:p>
    <w:p w14:paraId="12ADD85B">
      <w:pPr>
        <w:pStyle w:val="20"/>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（三）协议</w:t>
      </w:r>
    </w:p>
    <w:p w14:paraId="6FC289C2">
      <w:pPr>
        <w:pStyle w:val="20"/>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（四）招标文件（含澄清文件）</w:t>
      </w:r>
    </w:p>
    <w:p w14:paraId="0E7665FF">
      <w:pPr>
        <w:pStyle w:val="20"/>
        <w:spacing w:line="56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（五）投标文件</w:t>
      </w:r>
    </w:p>
    <w:p w14:paraId="351F429E">
      <w:pPr>
        <w:autoSpaceDE w:val="0"/>
        <w:autoSpaceDN w:val="0"/>
        <w:adjustRightInd w:val="0"/>
        <w:spacing w:line="560" w:lineRule="exact"/>
        <w:ind w:firstLine="640" w:firstLineChars="200"/>
        <w:rPr>
          <w:rFonts w:eastAsia="黑体"/>
          <w:color w:val="auto"/>
          <w:sz w:val="32"/>
          <w:szCs w:val="32"/>
          <w:highlight w:val="none"/>
        </w:rPr>
      </w:pPr>
      <w:r>
        <w:rPr>
          <w:rFonts w:hint="eastAsia" w:eastAsia="黑体"/>
          <w:color w:val="auto"/>
          <w:sz w:val="32"/>
          <w:szCs w:val="32"/>
          <w:highlight w:val="none"/>
        </w:rPr>
        <w:t>第十八条</w:t>
      </w:r>
      <w:r>
        <w:rPr>
          <w:rFonts w:eastAsia="黑体"/>
          <w:color w:val="auto"/>
          <w:sz w:val="32"/>
          <w:szCs w:val="32"/>
          <w:highlight w:val="none"/>
        </w:rPr>
        <w:t xml:space="preserve">  </w:t>
      </w:r>
      <w:r>
        <w:rPr>
          <w:rFonts w:hint="eastAsia" w:eastAsia="黑体"/>
          <w:color w:val="auto"/>
          <w:sz w:val="32"/>
          <w:szCs w:val="32"/>
          <w:highlight w:val="none"/>
        </w:rPr>
        <w:t>合同生效</w:t>
      </w:r>
    </w:p>
    <w:p w14:paraId="7374C61E">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（一）本合同须经甲、乙双方的法定代表人（授权代理人）在合同书上签字并加盖本单位公章后正式生效。</w:t>
      </w:r>
    </w:p>
    <w:p w14:paraId="5D1BEFF5">
      <w:pPr>
        <w:autoSpaceDE w:val="0"/>
        <w:autoSpaceDN w:val="0"/>
        <w:adjustRightInd w:val="0"/>
        <w:spacing w:line="560" w:lineRule="exact"/>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（二）合同生效后，甲、乙双方须严格执行本合同条款的规定，全面履行合同，违者按《中华人民共和国民法典》的有关规定承担相应责任。</w:t>
      </w:r>
    </w:p>
    <w:p w14:paraId="18FAC466">
      <w:pPr>
        <w:spacing w:line="560" w:lineRule="exact"/>
        <w:ind w:firstLine="640" w:firstLineChars="200"/>
        <w:rPr>
          <w:rFonts w:ascii="仿宋" w:hAnsi="仿宋" w:eastAsia="仿宋"/>
          <w:color w:val="auto"/>
          <w:sz w:val="32"/>
          <w:szCs w:val="32"/>
          <w:highlight w:val="none"/>
        </w:rPr>
      </w:pPr>
      <w:r>
        <w:rPr>
          <w:rFonts w:hint="eastAsia" w:ascii="仿宋" w:hAnsi="仿宋" w:eastAsia="仿宋"/>
          <w:bCs/>
          <w:color w:val="auto"/>
          <w:sz w:val="32"/>
          <w:szCs w:val="32"/>
          <w:highlight w:val="none"/>
        </w:rPr>
        <w:t>（三）</w:t>
      </w:r>
      <w:r>
        <w:rPr>
          <w:rFonts w:hint="eastAsia" w:ascii="仿宋" w:hAnsi="仿宋" w:eastAsia="仿宋"/>
          <w:color w:val="auto"/>
          <w:sz w:val="32"/>
          <w:szCs w:val="32"/>
          <w:highlight w:val="none"/>
        </w:rPr>
        <w:t>本合同正本一式二份，副本一式四份，均以中文书写。甲方执正本一份、副本二份；乙方执正本一份，副本一份；政府采购管理部门备案副本一份</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Hans"/>
        </w:rPr>
        <w:t>具有同等的法律效力</w:t>
      </w:r>
      <w:r>
        <w:rPr>
          <w:rFonts w:hint="eastAsia" w:ascii="仿宋" w:hAnsi="仿宋" w:eastAsia="仿宋"/>
          <w:color w:val="auto"/>
          <w:sz w:val="32"/>
          <w:szCs w:val="32"/>
          <w:highlight w:val="none"/>
        </w:rPr>
        <w:t>。</w:t>
      </w:r>
    </w:p>
    <w:p w14:paraId="3FDB9507">
      <w:pPr>
        <w:tabs>
          <w:tab w:val="center" w:pos="4153"/>
          <w:tab w:val="right" w:pos="8306"/>
        </w:tabs>
        <w:autoSpaceDE w:val="0"/>
        <w:autoSpaceDN w:val="0"/>
        <w:adjustRightInd w:val="0"/>
        <w:spacing w:line="560" w:lineRule="exact"/>
        <w:ind w:firstLine="640" w:firstLineChars="200"/>
        <w:rPr>
          <w:rFonts w:ascii="仿宋" w:hAnsi="仿宋" w:eastAsia="仿宋"/>
          <w:color w:val="auto"/>
          <w:highlight w:val="none"/>
        </w:rPr>
      </w:pPr>
      <w:r>
        <w:rPr>
          <w:rFonts w:hint="eastAsia" w:ascii="仿宋" w:hAnsi="仿宋" w:eastAsia="仿宋"/>
          <w:bCs/>
          <w:color w:val="auto"/>
          <w:sz w:val="32"/>
          <w:szCs w:val="32"/>
          <w:highlight w:val="none"/>
        </w:rPr>
        <w:t>（四）本合同如有未尽事宜，甲、乙双方协商解决。</w:t>
      </w:r>
    </w:p>
    <w:p w14:paraId="1F1CE8A4">
      <w:pPr>
        <w:spacing w:line="560" w:lineRule="exact"/>
        <w:rPr>
          <w:rFonts w:eastAsia="方正仿宋简体"/>
          <w:color w:val="auto"/>
          <w:highlight w:val="none"/>
        </w:rPr>
      </w:pPr>
    </w:p>
    <w:p w14:paraId="1CD6C4D1">
      <w:pPr>
        <w:pStyle w:val="20"/>
        <w:spacing w:line="560" w:lineRule="exact"/>
        <w:rPr>
          <w:color w:val="auto"/>
          <w:highlight w:val="none"/>
        </w:rPr>
      </w:pPr>
    </w:p>
    <w:p w14:paraId="72104CEA">
      <w:pPr>
        <w:pStyle w:val="20"/>
        <w:spacing w:line="560" w:lineRule="exact"/>
        <w:rPr>
          <w:color w:val="auto"/>
          <w:highlight w:val="none"/>
        </w:rPr>
      </w:pPr>
    </w:p>
    <w:p w14:paraId="5D4AB5CD">
      <w:pPr>
        <w:pStyle w:val="20"/>
        <w:spacing w:line="560" w:lineRule="exact"/>
        <w:rPr>
          <w:color w:val="auto"/>
          <w:highlight w:val="none"/>
        </w:rPr>
      </w:pPr>
    </w:p>
    <w:p w14:paraId="298D7519">
      <w:pPr>
        <w:pStyle w:val="20"/>
        <w:spacing w:line="560" w:lineRule="exact"/>
        <w:rPr>
          <w:color w:val="auto"/>
          <w:highlight w:val="none"/>
        </w:rPr>
      </w:pPr>
    </w:p>
    <w:p w14:paraId="2D6FAC8A">
      <w:pPr>
        <w:spacing w:line="56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甲方单位：（盖章）  </w:t>
      </w:r>
      <w:r>
        <w:rPr>
          <w:rFonts w:ascii="仿宋" w:hAnsi="仿宋" w:eastAsia="仿宋"/>
          <w:color w:val="auto"/>
          <w:sz w:val="32"/>
          <w:szCs w:val="32"/>
          <w:highlight w:val="none"/>
        </w:rPr>
        <w:t xml:space="preserve">             </w:t>
      </w:r>
      <w:r>
        <w:rPr>
          <w:rFonts w:hint="eastAsia" w:ascii="仿宋" w:hAnsi="仿宋" w:eastAsia="仿宋"/>
          <w:color w:val="auto"/>
          <w:sz w:val="32"/>
          <w:szCs w:val="32"/>
          <w:highlight w:val="none"/>
        </w:rPr>
        <w:t>乙方单位：（盖章）</w:t>
      </w:r>
    </w:p>
    <w:p w14:paraId="19512941">
      <w:pPr>
        <w:spacing w:line="560" w:lineRule="exact"/>
        <w:rPr>
          <w:color w:val="auto"/>
          <w:highlight w:val="none"/>
        </w:rPr>
      </w:pPr>
      <w:r>
        <w:rPr>
          <w:rFonts w:hint="eastAsia" w:ascii="仿宋" w:hAnsi="仿宋" w:eastAsia="仿宋"/>
          <w:color w:val="auto"/>
          <w:sz w:val="32"/>
          <w:szCs w:val="32"/>
          <w:highlight w:val="none"/>
        </w:rPr>
        <w:t>名    称：</w:t>
      </w:r>
      <w:r>
        <w:rPr>
          <w:rFonts w:hint="eastAsia" w:ascii="仿宋" w:hAnsi="仿宋" w:eastAsia="仿宋"/>
          <w:color w:val="auto"/>
          <w:sz w:val="32"/>
          <w:szCs w:val="32"/>
          <w:highlight w:val="none"/>
          <w:lang w:val="en-US" w:eastAsia="zh-CN"/>
        </w:rPr>
        <w:t xml:space="preserve"> </w:t>
      </w:r>
      <w:r>
        <w:rPr>
          <w:rFonts w:hint="eastAsia" w:ascii="仿宋" w:hAnsi="仿宋" w:eastAsia="仿宋" w:cs="微软雅黑"/>
          <w:color w:val="auto"/>
          <w:spacing w:val="-20"/>
          <w:sz w:val="32"/>
          <w:szCs w:val="32"/>
          <w:highlight w:val="none"/>
        </w:rPr>
        <w:t xml:space="preserve">   </w:t>
      </w:r>
      <w:r>
        <w:rPr>
          <w:rFonts w:hint="eastAsia" w:ascii="仿宋" w:hAnsi="仿宋" w:eastAsia="仿宋" w:cs="微软雅黑"/>
          <w:color w:val="auto"/>
          <w:spacing w:val="-20"/>
          <w:sz w:val="32"/>
          <w:szCs w:val="32"/>
          <w:highlight w:val="none"/>
          <w:lang w:val="en-US" w:eastAsia="zh-CN"/>
        </w:rPr>
        <w:t xml:space="preserve">                         </w:t>
      </w:r>
      <w:r>
        <w:rPr>
          <w:rFonts w:hint="eastAsia" w:ascii="仿宋" w:hAnsi="仿宋" w:eastAsia="仿宋" w:cs="微软雅黑"/>
          <w:color w:val="auto"/>
          <w:sz w:val="32"/>
          <w:szCs w:val="32"/>
          <w:highlight w:val="none"/>
        </w:rPr>
        <w:t>名称：</w:t>
      </w:r>
      <w:r>
        <w:rPr>
          <w:color w:val="auto"/>
          <w:highlight w:val="none"/>
        </w:rPr>
        <w:t xml:space="preserve"> </w:t>
      </w:r>
    </w:p>
    <w:p w14:paraId="30054847">
      <w:pPr>
        <w:spacing w:line="56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法定代表人：        </w:t>
      </w:r>
      <w:r>
        <w:rPr>
          <w:rFonts w:ascii="仿宋" w:hAnsi="仿宋" w:eastAsia="仿宋"/>
          <w:color w:val="auto"/>
          <w:sz w:val="32"/>
          <w:szCs w:val="32"/>
          <w:highlight w:val="none"/>
        </w:rPr>
        <w:t xml:space="preserve">           </w:t>
      </w:r>
      <w:r>
        <w:rPr>
          <w:rFonts w:hint="eastAsia" w:ascii="仿宋" w:hAnsi="仿宋" w:eastAsia="仿宋"/>
          <w:color w:val="auto"/>
          <w:sz w:val="32"/>
          <w:szCs w:val="32"/>
          <w:highlight w:val="none"/>
        </w:rPr>
        <w:t>法定代表人/授权代表：</w:t>
      </w:r>
    </w:p>
    <w:p w14:paraId="5CF0CA25">
      <w:pPr>
        <w:spacing w:line="560" w:lineRule="exact"/>
        <w:ind w:firstLine="1600" w:firstLineChars="500"/>
        <w:rPr>
          <w:rFonts w:ascii="仿宋" w:hAnsi="仿宋" w:eastAsia="仿宋"/>
          <w:color w:val="auto"/>
          <w:spacing w:val="-30"/>
          <w:sz w:val="32"/>
          <w:szCs w:val="32"/>
          <w:highlight w:val="none"/>
        </w:rPr>
      </w:pPr>
      <w:r>
        <w:rPr>
          <w:rFonts w:ascii="仿宋" w:hAnsi="仿宋" w:eastAsia="仿宋"/>
          <w:color w:val="auto"/>
          <w:sz w:val="32"/>
          <w:szCs w:val="32"/>
          <w:highlight w:val="none"/>
        </w:rPr>
        <w:t xml:space="preserve">                        </w:t>
      </w:r>
      <w:r>
        <w:rPr>
          <w:rFonts w:ascii="仿宋" w:hAnsi="仿宋" w:eastAsia="仿宋"/>
          <w:color w:val="auto"/>
          <w:spacing w:val="-30"/>
          <w:sz w:val="32"/>
          <w:szCs w:val="32"/>
          <w:highlight w:val="none"/>
        </w:rPr>
        <w:t xml:space="preserve"> </w:t>
      </w:r>
      <w:r>
        <w:rPr>
          <w:rFonts w:ascii="仿宋" w:hAnsi="仿宋" w:eastAsia="仿宋"/>
          <w:color w:val="auto"/>
          <w:sz w:val="32"/>
          <w:szCs w:val="32"/>
          <w:highlight w:val="none"/>
        </w:rPr>
        <w:t xml:space="preserve">                      </w:t>
      </w:r>
    </w:p>
    <w:p w14:paraId="0B11E732">
      <w:pPr>
        <w:spacing w:line="560" w:lineRule="exact"/>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签约日期：   年  月  日      </w:t>
      </w:r>
      <w:r>
        <w:rPr>
          <w:rFonts w:ascii="仿宋" w:hAnsi="仿宋" w:eastAsia="仿宋"/>
          <w:color w:val="auto"/>
          <w:sz w:val="32"/>
          <w:szCs w:val="32"/>
          <w:highlight w:val="none"/>
        </w:rPr>
        <w:t xml:space="preserve"> </w:t>
      </w:r>
      <w:r>
        <w:rPr>
          <w:rFonts w:hint="eastAsia" w:ascii="仿宋" w:hAnsi="仿宋" w:eastAsia="仿宋"/>
          <w:color w:val="auto"/>
          <w:sz w:val="32"/>
          <w:szCs w:val="32"/>
          <w:highlight w:val="none"/>
        </w:rPr>
        <w:t xml:space="preserve">签约日期： 年  月 </w:t>
      </w:r>
      <w:r>
        <w:rPr>
          <w:rFonts w:ascii="仿宋" w:hAnsi="仿宋" w:eastAsia="仿宋"/>
          <w:color w:val="auto"/>
          <w:sz w:val="32"/>
          <w:szCs w:val="32"/>
          <w:highlight w:val="none"/>
        </w:rPr>
        <w:t xml:space="preserve"> </w:t>
      </w:r>
      <w:r>
        <w:rPr>
          <w:rFonts w:hint="eastAsia" w:ascii="仿宋" w:hAnsi="仿宋" w:eastAsia="仿宋"/>
          <w:color w:val="auto"/>
          <w:sz w:val="32"/>
          <w:szCs w:val="32"/>
          <w:highlight w:val="none"/>
        </w:rPr>
        <w:t>日</w:t>
      </w:r>
    </w:p>
    <w:p w14:paraId="52901DBE">
      <w:pPr>
        <w:rPr>
          <w:color w:val="auto"/>
          <w:highlight w:val="none"/>
        </w:rPr>
      </w:pPr>
    </w:p>
    <w:p w14:paraId="4D69E663">
      <w:pPr>
        <w:pStyle w:val="3"/>
        <w:rPr>
          <w:rFonts w:hint="eastAsia" w:ascii="宋体" w:hAnsi="宋体" w:eastAsia="宋体" w:cs="宋体"/>
          <w:b/>
          <w:bCs/>
          <w:color w:val="auto"/>
          <w:sz w:val="32"/>
          <w:szCs w:val="32"/>
          <w:highlight w:val="none"/>
        </w:rPr>
      </w:pPr>
    </w:p>
    <w:p w14:paraId="2E61791F">
      <w:pPr>
        <w:pStyle w:val="3"/>
        <w:rPr>
          <w:rFonts w:hint="eastAsia" w:ascii="宋体" w:hAnsi="宋体" w:eastAsia="宋体" w:cs="宋体"/>
          <w:b/>
          <w:bCs/>
          <w:color w:val="auto"/>
          <w:sz w:val="32"/>
          <w:szCs w:val="32"/>
          <w:highlight w:val="none"/>
        </w:rPr>
      </w:pPr>
    </w:p>
    <w:p w14:paraId="41B90D2B">
      <w:pPr>
        <w:pStyle w:val="3"/>
        <w:rPr>
          <w:rFonts w:hint="eastAsia" w:ascii="宋体" w:hAnsi="宋体" w:eastAsia="宋体" w:cs="宋体"/>
          <w:b/>
          <w:bCs/>
          <w:color w:val="auto"/>
          <w:sz w:val="32"/>
          <w:szCs w:val="32"/>
          <w:highlight w:val="none"/>
        </w:rPr>
      </w:pPr>
    </w:p>
    <w:p w14:paraId="3264CFC8">
      <w:pPr>
        <w:pStyle w:val="3"/>
        <w:rPr>
          <w:rFonts w:hint="eastAsia" w:ascii="宋体" w:hAnsi="宋体" w:eastAsia="宋体" w:cs="宋体"/>
          <w:b/>
          <w:bCs/>
          <w:color w:val="auto"/>
          <w:sz w:val="32"/>
          <w:szCs w:val="32"/>
          <w:highlight w:val="none"/>
        </w:rPr>
      </w:pPr>
    </w:p>
    <w:p w14:paraId="543C6DC9">
      <w:pPr>
        <w:pStyle w:val="3"/>
        <w:rPr>
          <w:rFonts w:hint="eastAsia" w:ascii="宋体" w:hAnsi="宋体" w:eastAsia="宋体" w:cs="宋体"/>
          <w:b/>
          <w:bCs/>
          <w:color w:val="auto"/>
          <w:sz w:val="32"/>
          <w:szCs w:val="32"/>
          <w:highlight w:val="none"/>
        </w:rPr>
      </w:pPr>
    </w:p>
    <w:p w14:paraId="495576FB">
      <w:pPr>
        <w:pStyle w:val="3"/>
        <w:jc w:val="both"/>
        <w:rPr>
          <w:rFonts w:hint="eastAsia" w:ascii="宋体" w:hAnsi="宋体" w:eastAsia="宋体" w:cs="宋体"/>
          <w:b/>
          <w:bCs/>
          <w:color w:val="auto"/>
          <w:sz w:val="32"/>
          <w:szCs w:val="32"/>
          <w:highlight w:val="none"/>
        </w:rPr>
      </w:pPr>
    </w:p>
    <w:p w14:paraId="7EC4C11D">
      <w:pPr>
        <w:pStyle w:val="3"/>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第五章  投标文件构成及格式</w:t>
      </w:r>
      <w:bookmarkEnd w:id="20"/>
      <w:bookmarkEnd w:id="21"/>
      <w:bookmarkEnd w:id="22"/>
    </w:p>
    <w:p w14:paraId="1D00BBF4">
      <w:pPr>
        <w:spacing w:line="560" w:lineRule="exact"/>
        <w:ind w:firstLine="640" w:firstLineChars="200"/>
        <w:jc w:val="both"/>
        <w:rPr>
          <w:rFonts w:hint="eastAsia" w:ascii="宋体" w:hAnsi="宋体" w:eastAsia="宋体" w:cs="宋体"/>
          <w:color w:val="auto"/>
          <w:sz w:val="32"/>
          <w:szCs w:val="32"/>
          <w:highlight w:val="none"/>
        </w:rPr>
      </w:pPr>
    </w:p>
    <w:p w14:paraId="05C24F35">
      <w:pPr>
        <w:spacing w:line="560" w:lineRule="exact"/>
        <w:ind w:firstLine="640" w:firstLineChars="200"/>
        <w:jc w:val="both"/>
        <w:rPr>
          <w:rFonts w:hint="eastAsia" w:ascii="宋体" w:hAnsi="宋体" w:eastAsia="宋体" w:cs="宋体"/>
          <w:color w:val="auto"/>
          <w:sz w:val="32"/>
          <w:szCs w:val="32"/>
          <w:highlight w:val="none"/>
        </w:rPr>
      </w:pPr>
    </w:p>
    <w:p w14:paraId="2DABF843">
      <w:pPr>
        <w:spacing w:line="560" w:lineRule="exact"/>
        <w:jc w:val="both"/>
        <w:rPr>
          <w:rFonts w:hint="eastAsia" w:ascii="宋体" w:hAnsi="宋体" w:eastAsia="宋体" w:cs="宋体"/>
          <w:b/>
          <w:bCs/>
          <w:color w:val="auto"/>
          <w:sz w:val="32"/>
          <w:szCs w:val="32"/>
          <w:highlight w:val="none"/>
        </w:rPr>
      </w:pPr>
    </w:p>
    <w:p w14:paraId="6BC7CE5B">
      <w:pPr>
        <w:bidi w:val="0"/>
        <w:jc w:val="center"/>
        <w:rPr>
          <w:rFonts w:hint="eastAsia" w:ascii="宋体" w:hAnsi="宋体" w:eastAsia="宋体" w:cs="宋体"/>
          <w:b/>
          <w:bCs/>
          <w:color w:val="auto"/>
          <w:sz w:val="52"/>
          <w:szCs w:val="52"/>
          <w:highlight w:val="none"/>
          <w:lang w:val="en-US" w:eastAsia="zh-CN"/>
        </w:rPr>
      </w:pPr>
    </w:p>
    <w:p w14:paraId="14F56E43">
      <w:pPr>
        <w:bidi w:val="0"/>
        <w:jc w:val="center"/>
        <w:rPr>
          <w:rFonts w:hint="default" w:ascii="宋体" w:hAnsi="宋体" w:eastAsia="宋体" w:cs="宋体"/>
          <w:b/>
          <w:bCs/>
          <w:color w:val="auto"/>
          <w:sz w:val="48"/>
          <w:szCs w:val="48"/>
          <w:highlight w:val="none"/>
          <w:lang w:val="en-US" w:eastAsia="zh-CN"/>
        </w:rPr>
      </w:pPr>
      <w:r>
        <w:rPr>
          <w:rFonts w:hint="eastAsia" w:ascii="宋体" w:hAnsi="宋体" w:eastAsia="宋体" w:cs="宋体"/>
          <w:b/>
          <w:bCs/>
          <w:color w:val="auto"/>
          <w:sz w:val="48"/>
          <w:szCs w:val="48"/>
          <w:highlight w:val="none"/>
          <w:lang w:eastAsia="zh-CN"/>
        </w:rPr>
        <w:t>西安浐灞国际港辖区公办学校2025-2026学年大宗食材（肉蛋）采购项目第二批次（浐灞十幼等19所学校）</w:t>
      </w:r>
      <w:r>
        <w:rPr>
          <w:rFonts w:hint="eastAsia" w:ascii="宋体" w:hAnsi="宋体" w:eastAsia="宋体" w:cs="宋体"/>
          <w:b/>
          <w:bCs/>
          <w:color w:val="auto"/>
          <w:sz w:val="48"/>
          <w:szCs w:val="48"/>
          <w:highlight w:val="none"/>
          <w:lang w:val="en-US" w:eastAsia="zh-CN"/>
        </w:rPr>
        <w:t>第一包</w:t>
      </w:r>
    </w:p>
    <w:p w14:paraId="454FB9A4">
      <w:pPr>
        <w:outlineLvl w:val="9"/>
        <w:rPr>
          <w:rFonts w:hint="eastAsia" w:ascii="宋体" w:hAnsi="宋体" w:eastAsia="宋体" w:cs="宋体"/>
          <w:b/>
          <w:bCs/>
          <w:color w:val="auto"/>
          <w:sz w:val="52"/>
          <w:szCs w:val="52"/>
          <w:highlight w:val="none"/>
        </w:rPr>
      </w:pPr>
    </w:p>
    <w:p w14:paraId="5CBCCABE">
      <w:pPr>
        <w:jc w:val="center"/>
        <w:outlineLvl w:val="9"/>
        <w:rPr>
          <w:rFonts w:hint="eastAsia" w:ascii="宋体" w:hAnsi="宋体" w:eastAsia="宋体" w:cs="宋体"/>
          <w:color w:val="auto"/>
          <w:highlight w:val="none"/>
        </w:rPr>
      </w:pPr>
      <w:r>
        <w:rPr>
          <w:rFonts w:hint="eastAsia" w:ascii="宋体" w:hAnsi="宋体" w:eastAsia="宋体" w:cs="宋体"/>
          <w:b/>
          <w:bCs/>
          <w:color w:val="auto"/>
          <w:sz w:val="52"/>
          <w:szCs w:val="52"/>
          <w:highlight w:val="none"/>
        </w:rPr>
        <w:t>投标文件</w:t>
      </w:r>
    </w:p>
    <w:p w14:paraId="52E31E11">
      <w:pPr>
        <w:rPr>
          <w:rFonts w:hint="eastAsia" w:ascii="宋体" w:hAnsi="宋体" w:eastAsia="宋体" w:cs="宋体"/>
          <w:color w:val="auto"/>
          <w:highlight w:val="none"/>
        </w:rPr>
      </w:pPr>
    </w:p>
    <w:p w14:paraId="68BC584E">
      <w:pPr>
        <w:ind w:left="0" w:leftChars="0" w:firstLine="0" w:firstLineChars="0"/>
        <w:jc w:val="center"/>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（项目编号：</w:t>
      </w:r>
      <w:r>
        <w:rPr>
          <w:rFonts w:hint="eastAsia" w:ascii="宋体" w:hAnsi="宋体" w:eastAsia="宋体" w:cs="宋体"/>
          <w:b/>
          <w:bCs/>
          <w:color w:val="auto"/>
          <w:sz w:val="32"/>
          <w:szCs w:val="32"/>
          <w:highlight w:val="none"/>
          <w:lang w:eastAsia="zh-CN"/>
        </w:rPr>
        <w:t>HSGJ2025-196</w:t>
      </w:r>
      <w:r>
        <w:rPr>
          <w:rFonts w:hint="eastAsia" w:ascii="宋体" w:hAnsi="宋体" w:eastAsia="宋体" w:cs="宋体"/>
          <w:b/>
          <w:bCs/>
          <w:color w:val="auto"/>
          <w:sz w:val="32"/>
          <w:szCs w:val="32"/>
          <w:highlight w:val="none"/>
        </w:rPr>
        <w:t>）</w:t>
      </w:r>
    </w:p>
    <w:p w14:paraId="7E73114B">
      <w:pPr>
        <w:spacing w:line="560" w:lineRule="exact"/>
        <w:jc w:val="both"/>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 xml:space="preserve">                        </w:t>
      </w:r>
    </w:p>
    <w:p w14:paraId="296A7D8E">
      <w:pPr>
        <w:spacing w:line="560" w:lineRule="exact"/>
        <w:ind w:firstLine="2880" w:firstLineChars="800"/>
        <w:jc w:val="both"/>
        <w:rPr>
          <w:rFonts w:hint="default" w:ascii="宋体" w:hAnsi="宋体" w:eastAsia="宋体" w:cs="宋体"/>
          <w:b/>
          <w:bCs/>
          <w:color w:val="auto"/>
          <w:sz w:val="32"/>
          <w:szCs w:val="32"/>
          <w:highlight w:val="none"/>
          <w:lang w:val="en-US" w:eastAsia="zh-CN"/>
        </w:rPr>
      </w:pPr>
      <w:r>
        <w:rPr>
          <w:rFonts w:hint="eastAsia" w:ascii="宋体" w:hAnsi="宋体" w:eastAsia="宋体" w:cs="宋体"/>
          <w:b/>
          <w:bCs/>
          <w:color w:val="auto"/>
          <w:sz w:val="36"/>
          <w:szCs w:val="36"/>
          <w:highlight w:val="none"/>
          <w:lang w:val="en-US" w:eastAsia="zh-CN"/>
        </w:rPr>
        <w:t xml:space="preserve">（包号：第 </w:t>
      </w:r>
      <w:r>
        <w:rPr>
          <w:rFonts w:hint="eastAsia" w:ascii="宋体" w:hAnsi="宋体" w:eastAsia="宋体" w:cs="宋体"/>
          <w:b/>
          <w:bCs/>
          <w:color w:val="auto"/>
          <w:sz w:val="36"/>
          <w:szCs w:val="36"/>
          <w:highlight w:val="none"/>
          <w:u w:val="single"/>
          <w:lang w:val="en-US" w:eastAsia="zh-CN"/>
        </w:rPr>
        <w:t xml:space="preserve">  </w:t>
      </w:r>
      <w:r>
        <w:rPr>
          <w:rFonts w:hint="eastAsia" w:ascii="宋体" w:hAnsi="宋体" w:eastAsia="宋体" w:cs="宋体"/>
          <w:b/>
          <w:bCs/>
          <w:color w:val="auto"/>
          <w:sz w:val="36"/>
          <w:szCs w:val="36"/>
          <w:highlight w:val="none"/>
          <w:lang w:val="en-US" w:eastAsia="zh-CN"/>
        </w:rPr>
        <w:t>包）</w:t>
      </w:r>
    </w:p>
    <w:p w14:paraId="1F203255">
      <w:pPr>
        <w:pStyle w:val="2"/>
        <w:rPr>
          <w:rFonts w:hint="eastAsia"/>
          <w:color w:val="auto"/>
          <w:highlight w:val="none"/>
        </w:rPr>
      </w:pPr>
    </w:p>
    <w:p w14:paraId="23060132">
      <w:pPr>
        <w:pStyle w:val="6"/>
        <w:numPr>
          <w:ilvl w:val="3"/>
          <w:numId w:val="0"/>
        </w:numPr>
        <w:ind w:leftChars="0"/>
        <w:rPr>
          <w:rFonts w:hint="eastAsia"/>
          <w:color w:val="auto"/>
          <w:highlight w:val="none"/>
        </w:rPr>
      </w:pPr>
    </w:p>
    <w:p w14:paraId="2294C01C">
      <w:pPr>
        <w:spacing w:line="360" w:lineRule="auto"/>
        <w:ind w:firstLine="1800" w:firstLineChars="6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供 应 商：</w:t>
      </w:r>
      <w:r>
        <w:rPr>
          <w:rFonts w:hint="eastAsia" w:ascii="宋体" w:hAnsi="宋体" w:eastAsia="宋体" w:cs="宋体"/>
          <w:b/>
          <w:color w:val="auto"/>
          <w:sz w:val="30"/>
          <w:szCs w:val="30"/>
          <w:highlight w:val="none"/>
          <w:u w:val="single"/>
        </w:rPr>
        <w:t xml:space="preserve">                 （盖章）</w:t>
      </w:r>
    </w:p>
    <w:p w14:paraId="16A90C58">
      <w:pPr>
        <w:spacing w:line="360" w:lineRule="auto"/>
        <w:ind w:firstLine="1800" w:firstLineChars="6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日    期：     年  月  日</w:t>
      </w:r>
    </w:p>
    <w:p w14:paraId="3434A841">
      <w:pPr>
        <w:spacing w:line="560" w:lineRule="exact"/>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3D595CEC">
      <w:pPr>
        <w:spacing w:line="560" w:lineRule="exact"/>
        <w:ind w:firstLine="880" w:firstLineChars="200"/>
        <w:jc w:val="center"/>
        <w:rPr>
          <w:rFonts w:hint="eastAsia" w:ascii="宋体" w:hAnsi="宋体" w:eastAsia="宋体" w:cs="宋体"/>
          <w:color w:val="auto"/>
          <w:sz w:val="44"/>
          <w:szCs w:val="44"/>
          <w:highlight w:val="none"/>
        </w:rPr>
      </w:pPr>
    </w:p>
    <w:p w14:paraId="502F0636">
      <w:pPr>
        <w:spacing w:line="560" w:lineRule="exact"/>
        <w:ind w:firstLine="880" w:firstLineChars="200"/>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目    录</w:t>
      </w:r>
    </w:p>
    <w:p w14:paraId="62270476">
      <w:pPr>
        <w:spacing w:line="560" w:lineRule="exact"/>
        <w:ind w:firstLine="640" w:firstLineChars="200"/>
        <w:jc w:val="both"/>
        <w:rPr>
          <w:rFonts w:hint="eastAsia" w:ascii="宋体" w:hAnsi="宋体" w:eastAsia="宋体" w:cs="宋体"/>
          <w:color w:val="auto"/>
          <w:sz w:val="32"/>
          <w:szCs w:val="32"/>
          <w:highlight w:val="none"/>
        </w:rPr>
      </w:pPr>
    </w:p>
    <w:p w14:paraId="4341EDBD">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投标函</w:t>
      </w:r>
    </w:p>
    <w:p w14:paraId="7C06FECB">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开标一览表</w:t>
      </w:r>
    </w:p>
    <w:p w14:paraId="484C15FE">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资格证明文件</w:t>
      </w:r>
    </w:p>
    <w:p w14:paraId="3983F34B">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供应商概况</w:t>
      </w:r>
    </w:p>
    <w:p w14:paraId="488F30F6">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供应商参加政府采购活动承诺书</w:t>
      </w:r>
    </w:p>
    <w:p w14:paraId="6D0F0C04">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投标方案</w:t>
      </w:r>
    </w:p>
    <w:p w14:paraId="73D2E91A">
      <w:pPr>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14:paraId="5A92B640">
      <w:pPr>
        <w:pStyle w:val="4"/>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第一部分  投标函</w:t>
      </w:r>
    </w:p>
    <w:p w14:paraId="67674C53">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致</w:t>
      </w:r>
      <w:r>
        <w:rPr>
          <w:rFonts w:hint="eastAsia" w:ascii="宋体" w:hAnsi="宋体" w:eastAsia="宋体" w:cs="宋体"/>
          <w:color w:val="auto"/>
          <w:sz w:val="24"/>
          <w:szCs w:val="24"/>
          <w:highlight w:val="none"/>
          <w:u w:val="single" w:color="000000"/>
          <w:lang w:val="en-US" w:eastAsia="zh-CN" w:bidi="ar-SA"/>
        </w:rPr>
        <w:t xml:space="preserve">           </w:t>
      </w:r>
      <w:r>
        <w:rPr>
          <w:rFonts w:hint="eastAsia" w:ascii="宋体" w:hAnsi="宋体" w:eastAsia="宋体" w:cs="宋体"/>
          <w:color w:val="auto"/>
          <w:sz w:val="24"/>
          <w:szCs w:val="24"/>
          <w:highlight w:val="none"/>
          <w:lang w:val="en-US" w:eastAsia="zh-CN" w:bidi="ar-SA"/>
        </w:rPr>
        <w:t>(采购人或采购代理机构)：</w:t>
      </w:r>
    </w:p>
    <w:p w14:paraId="2A492D26">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我公司收到贵单位</w:t>
      </w:r>
      <w:r>
        <w:rPr>
          <w:rFonts w:hint="eastAsia" w:ascii="宋体" w:hAnsi="宋体" w:eastAsia="宋体" w:cs="宋体"/>
          <w:color w:val="auto"/>
          <w:highlight w:val="none"/>
          <w:u w:val="single"/>
        </w:rPr>
        <w:t>〈项目名称〉</w:t>
      </w:r>
      <w:r>
        <w:rPr>
          <w:rFonts w:hint="eastAsia" w:ascii="宋体" w:hAnsi="宋体" w:eastAsia="宋体" w:cs="宋体"/>
          <w:color w:val="auto"/>
          <w:highlight w:val="none"/>
        </w:rPr>
        <w:t>（项目编号：</w:t>
      </w:r>
      <w:r>
        <w:rPr>
          <w:rFonts w:hint="eastAsia" w:ascii="宋体" w:hAnsi="宋体" w:eastAsia="宋体" w:cs="宋体"/>
          <w:color w:val="auto"/>
          <w:highlight w:val="none"/>
          <w:u w:val="single"/>
        </w:rPr>
        <w:t>〈项目编号〉</w:t>
      </w:r>
      <w:r>
        <w:rPr>
          <w:rFonts w:hint="eastAsia" w:ascii="宋体" w:hAnsi="宋体" w:eastAsia="宋体" w:cs="宋体"/>
          <w:color w:val="auto"/>
          <w:highlight w:val="none"/>
        </w:rPr>
        <w:t>）招标文件，经详细研究，我方决定参加该项目的招标活动。为此，我方郑重声明以下诸点，并负法律责任。</w:t>
      </w:r>
    </w:p>
    <w:p w14:paraId="008C9B52">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1．我方已详细阅读了招标文件，完全理解并同意招标文件的所有事项及内容。</w:t>
      </w:r>
    </w:p>
    <w:p w14:paraId="15D1C920">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6BE15134">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3．我方同意向贵中心提供与本次招标有关的全部证明材料，并保证所提交的证明材料真实、合法、有效。</w:t>
      </w:r>
    </w:p>
    <w:p w14:paraId="68E0EF6D">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4．我方理解最低价不是成交的唯一条件，并尊重评标委员会的评审结果。</w:t>
      </w:r>
    </w:p>
    <w:p w14:paraId="39F63F1C">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5．我方投标文件在开启之日起</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个日历日（应不少于90个日历日）内有效。</w:t>
      </w:r>
    </w:p>
    <w:p w14:paraId="65B9A592">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6．若我方成交，我方承诺：（1）将投标文件有效期延长至合同执行完毕；（2）收到</w:t>
      </w:r>
      <w:r>
        <w:rPr>
          <w:rFonts w:hint="eastAsia" w:ascii="宋体" w:hAnsi="宋体" w:eastAsia="宋体" w:cs="宋体"/>
          <w:color w:val="auto"/>
          <w:highlight w:val="none"/>
          <w:lang w:eastAsia="zh-CN"/>
        </w:rPr>
        <w:t>中标</w:t>
      </w:r>
      <w:r>
        <w:rPr>
          <w:rFonts w:hint="eastAsia" w:ascii="宋体" w:hAnsi="宋体" w:eastAsia="宋体" w:cs="宋体"/>
          <w:color w:val="auto"/>
          <w:highlight w:val="none"/>
        </w:rPr>
        <w:t>通知书后提交纸质投标文件一正两副；（3）遵照招标文件中的要求，完成本项目的合同责任和义务。</w:t>
      </w:r>
    </w:p>
    <w:p w14:paraId="6F3A2C11">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7．所有关于此次招标活动的函电，请按下列方式联系：</w:t>
      </w:r>
    </w:p>
    <w:p w14:paraId="545FB447">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spacing w:val="60"/>
          <w:kern w:val="0"/>
          <w:highlight w:val="none"/>
          <w:fitText w:val="960" w:id="612109122"/>
        </w:rPr>
        <w:t>供应</w:t>
      </w:r>
      <w:r>
        <w:rPr>
          <w:rFonts w:hint="eastAsia" w:ascii="宋体" w:hAnsi="宋体" w:eastAsia="宋体" w:cs="宋体"/>
          <w:color w:val="auto"/>
          <w:spacing w:val="0"/>
          <w:kern w:val="0"/>
          <w:highlight w:val="none"/>
          <w:fitText w:val="960" w:id="612109122"/>
        </w:rPr>
        <w:t>商</w:t>
      </w:r>
      <w:r>
        <w:rPr>
          <w:rFonts w:hint="eastAsia" w:ascii="宋体" w:hAnsi="宋体" w:eastAsia="宋体" w:cs="宋体"/>
          <w:color w:val="auto"/>
          <w:highlight w:val="none"/>
        </w:rPr>
        <w:t>：（供应商全称并加盖公章）</w:t>
      </w:r>
    </w:p>
    <w:p w14:paraId="13BCDC50">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法定代表人（主要负责人）或委托代理人：（签字或盖章）</w:t>
      </w:r>
    </w:p>
    <w:p w14:paraId="6E65C192">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联系电话：</w:t>
      </w:r>
    </w:p>
    <w:p w14:paraId="24D0ADBC">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通讯地址：</w:t>
      </w:r>
    </w:p>
    <w:p w14:paraId="195A7F71">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邮</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编：</w:t>
      </w:r>
    </w:p>
    <w:p w14:paraId="4192DFD2">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电子邮箱：</w:t>
      </w:r>
    </w:p>
    <w:p w14:paraId="49E08A28">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日</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期：</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日</w:t>
      </w:r>
    </w:p>
    <w:p w14:paraId="34D2AED4">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438817CA">
      <w:pPr>
        <w:tabs>
          <w:tab w:val="left" w:pos="3565"/>
        </w:tabs>
        <w:bidi w:val="0"/>
        <w:jc w:val="left"/>
        <w:rPr>
          <w:rFonts w:hint="eastAsia"/>
          <w:color w:val="auto"/>
          <w:highlight w:val="none"/>
          <w:lang w:val="en-US" w:eastAsia="zh-CN"/>
        </w:rPr>
      </w:pPr>
    </w:p>
    <w:p w14:paraId="72C03B06">
      <w:pPr>
        <w:pStyle w:val="4"/>
        <w:numPr>
          <w:ilvl w:val="0"/>
          <w:numId w:val="0"/>
        </w:numPr>
        <w:ind w:firstLine="640" w:firstLineChars="200"/>
        <w:jc w:val="center"/>
        <w:rPr>
          <w:rFonts w:hint="eastAsia" w:ascii="宋体" w:hAnsi="宋体" w:eastAsia="宋体" w:cs="宋体"/>
          <w:b/>
          <w:bCs/>
          <w:color w:val="auto"/>
          <w:highlight w:val="none"/>
        </w:rPr>
      </w:pPr>
      <w:r>
        <w:rPr>
          <w:rFonts w:hint="eastAsia" w:ascii="宋体" w:hAnsi="宋体" w:eastAsia="宋体" w:cs="宋体"/>
          <w:b/>
          <w:bCs/>
          <w:color w:val="auto"/>
          <w:sz w:val="32"/>
          <w:szCs w:val="32"/>
          <w:highlight w:val="none"/>
          <w:lang w:val="en-US" w:eastAsia="zh-CN" w:bidi="ar-SA"/>
        </w:rPr>
        <w:t>第二部分</w:t>
      </w:r>
      <w:r>
        <w:rPr>
          <w:rFonts w:hint="eastAsia" w:ascii="宋体" w:hAnsi="宋体" w:eastAsia="宋体" w:cs="宋体"/>
          <w:b/>
          <w:bCs/>
          <w:color w:val="auto"/>
          <w:highlight w:val="none"/>
        </w:rPr>
        <w:t xml:space="preserve"> </w:t>
      </w:r>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rPr>
        <w:t>开标一览表</w:t>
      </w:r>
    </w:p>
    <w:p w14:paraId="7D584CB0">
      <w:pPr>
        <w:pStyle w:val="2"/>
        <w:shd w:val="clear" w:color="auto" w:fill="auto"/>
        <w:tabs>
          <w:tab w:val="left" w:pos="567"/>
        </w:tabs>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项目名称：</w:t>
      </w:r>
    </w:p>
    <w:p w14:paraId="3A02ABE6">
      <w:pPr>
        <w:pStyle w:val="2"/>
        <w:shd w:val="clear" w:color="auto" w:fill="auto"/>
        <w:tabs>
          <w:tab w:val="left" w:pos="567"/>
        </w:tabs>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项目编号：</w:t>
      </w:r>
    </w:p>
    <w:p w14:paraId="3FD47568">
      <w:pPr>
        <w:pStyle w:val="2"/>
        <w:shd w:val="clear" w:color="auto" w:fill="auto"/>
        <w:tabs>
          <w:tab w:val="left" w:pos="567"/>
        </w:tabs>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包号：</w:t>
      </w:r>
    </w:p>
    <w:tbl>
      <w:tblPr>
        <w:tblStyle w:val="30"/>
        <w:tblW w:w="0" w:type="auto"/>
        <w:tblInd w:w="-26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739"/>
        <w:gridCol w:w="2205"/>
        <w:gridCol w:w="1883"/>
        <w:gridCol w:w="1200"/>
        <w:gridCol w:w="1320"/>
        <w:gridCol w:w="1350"/>
      </w:tblGrid>
      <w:tr w14:paraId="47D83A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0" w:hRule="atLeast"/>
        </w:trPr>
        <w:tc>
          <w:tcPr>
            <w:tcW w:w="1739" w:type="dxa"/>
            <w:noWrap w:val="0"/>
            <w:vAlign w:val="center"/>
          </w:tcPr>
          <w:p w14:paraId="62F0A437">
            <w:pPr>
              <w:shd w:val="clear" w:color="auto" w:fill="auto"/>
              <w:spacing w:after="12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项目名称</w:t>
            </w:r>
          </w:p>
        </w:tc>
        <w:tc>
          <w:tcPr>
            <w:tcW w:w="2205" w:type="dxa"/>
            <w:noWrap w:val="0"/>
            <w:vAlign w:val="center"/>
          </w:tcPr>
          <w:p w14:paraId="2C519F16">
            <w:pPr>
              <w:shd w:val="clear" w:color="auto" w:fill="auto"/>
              <w:spacing w:after="12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投标报价</w:t>
            </w:r>
          </w:p>
          <w:p w14:paraId="656205AB">
            <w:pPr>
              <w:shd w:val="clear" w:color="auto" w:fill="auto"/>
              <w:spacing w:after="12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综合折扣（单位：%）</w:t>
            </w:r>
          </w:p>
        </w:tc>
        <w:tc>
          <w:tcPr>
            <w:tcW w:w="1883" w:type="dxa"/>
            <w:noWrap w:val="0"/>
            <w:vAlign w:val="center"/>
          </w:tcPr>
          <w:p w14:paraId="05CFE19F">
            <w:pPr>
              <w:shd w:val="clear" w:color="auto" w:fill="auto"/>
              <w:spacing w:after="120"/>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配送周期</w:t>
            </w:r>
          </w:p>
        </w:tc>
        <w:tc>
          <w:tcPr>
            <w:tcW w:w="1200" w:type="dxa"/>
            <w:noWrap w:val="0"/>
            <w:vAlign w:val="center"/>
          </w:tcPr>
          <w:p w14:paraId="00B7F41F">
            <w:pPr>
              <w:shd w:val="clear" w:color="auto" w:fill="auto"/>
              <w:spacing w:after="120"/>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交货时间</w:t>
            </w:r>
          </w:p>
        </w:tc>
        <w:tc>
          <w:tcPr>
            <w:tcW w:w="1320" w:type="dxa"/>
            <w:noWrap w:val="0"/>
            <w:vAlign w:val="center"/>
          </w:tcPr>
          <w:p w14:paraId="4CA5686C">
            <w:pPr>
              <w:shd w:val="clear" w:color="auto" w:fill="auto"/>
              <w:spacing w:after="120"/>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交货地点</w:t>
            </w:r>
          </w:p>
        </w:tc>
        <w:tc>
          <w:tcPr>
            <w:tcW w:w="1350" w:type="dxa"/>
            <w:noWrap w:val="0"/>
            <w:vAlign w:val="center"/>
          </w:tcPr>
          <w:p w14:paraId="06B0CD2E">
            <w:pPr>
              <w:shd w:val="clear" w:color="auto" w:fill="auto"/>
              <w:spacing w:after="12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备注</w:t>
            </w:r>
          </w:p>
        </w:tc>
      </w:tr>
      <w:tr w14:paraId="2C6D13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87" w:hRule="atLeast"/>
        </w:trPr>
        <w:tc>
          <w:tcPr>
            <w:tcW w:w="1739" w:type="dxa"/>
            <w:noWrap w:val="0"/>
            <w:vAlign w:val="center"/>
          </w:tcPr>
          <w:p w14:paraId="77A04BB4">
            <w:pPr>
              <w:shd w:val="clear" w:color="auto" w:fill="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西安浐灞国际港辖区公办学校2025-2026学年大宗食材（肉蛋）采购项目第二批次（浐灞十幼等19所学校）</w:t>
            </w:r>
            <w:r>
              <w:rPr>
                <w:rFonts w:hint="eastAsia" w:ascii="宋体" w:hAnsi="宋体" w:cs="宋体" w:eastAsiaTheme="minorEastAsia"/>
                <w:color w:val="auto"/>
                <w:spacing w:val="0"/>
                <w:sz w:val="18"/>
                <w:szCs w:val="18"/>
                <w:highlight w:val="none"/>
                <w:lang w:val="en-US" w:eastAsia="zh-CN"/>
              </w:rPr>
              <w:t xml:space="preserve"> </w:t>
            </w:r>
            <w:r>
              <w:rPr>
                <w:rFonts w:hint="eastAsia" w:ascii="宋体" w:hAnsi="宋体" w:cs="宋体"/>
                <w:color w:val="auto"/>
                <w:spacing w:val="0"/>
                <w:sz w:val="18"/>
                <w:szCs w:val="18"/>
                <w:highlight w:val="none"/>
                <w:lang w:val="en-US" w:eastAsia="zh-CN"/>
              </w:rPr>
              <w:t xml:space="preserve">  </w:t>
            </w:r>
          </w:p>
        </w:tc>
        <w:tc>
          <w:tcPr>
            <w:tcW w:w="2205" w:type="dxa"/>
            <w:noWrap w:val="0"/>
            <w:vAlign w:val="center"/>
          </w:tcPr>
          <w:p w14:paraId="604AD369">
            <w:pPr>
              <w:shd w:val="clear" w:color="auto" w:fill="auto"/>
              <w:tabs>
                <w:tab w:val="left" w:pos="5580"/>
              </w:tabs>
              <w:spacing w:line="360" w:lineRule="auto"/>
              <w:jc w:val="left"/>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大写：百分之</w:t>
            </w:r>
            <w:r>
              <w:rPr>
                <w:rFonts w:hint="eastAsia" w:ascii="宋体" w:hAnsi="宋体" w:eastAsia="宋体" w:cs="宋体"/>
                <w:color w:val="auto"/>
                <w:sz w:val="24"/>
                <w:szCs w:val="24"/>
                <w:highlight w:val="none"/>
                <w:u w:val="single"/>
                <w:lang w:val="en-US" w:eastAsia="zh-CN" w:bidi="ar-SA"/>
              </w:rPr>
              <w:t xml:space="preserve">      </w:t>
            </w:r>
          </w:p>
          <w:p w14:paraId="73226D80">
            <w:pPr>
              <w:shd w:val="clear" w:color="auto" w:fill="auto"/>
              <w:jc w:val="left"/>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小写：</w:t>
            </w:r>
            <w:r>
              <w:rPr>
                <w:rFonts w:hint="eastAsia" w:ascii="宋体" w:hAnsi="宋体"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lang w:val="en-US" w:eastAsia="zh-CN" w:bidi="ar-SA"/>
              </w:rPr>
              <w:t xml:space="preserve">%  </w:t>
            </w:r>
          </w:p>
        </w:tc>
        <w:tc>
          <w:tcPr>
            <w:tcW w:w="1883" w:type="dxa"/>
            <w:noWrap w:val="0"/>
            <w:vAlign w:val="center"/>
          </w:tcPr>
          <w:p w14:paraId="777A2B1D">
            <w:pPr>
              <w:shd w:val="clear" w:color="auto" w:fill="auto"/>
              <w:jc w:val="center"/>
              <w:rPr>
                <w:rFonts w:hint="eastAsia" w:ascii="宋体" w:hAnsi="宋体" w:eastAsia="宋体" w:cs="宋体"/>
                <w:color w:val="auto"/>
                <w:sz w:val="24"/>
                <w:szCs w:val="24"/>
                <w:highlight w:val="none"/>
                <w:lang w:val="en-US" w:eastAsia="zh-CN" w:bidi="ar-SA"/>
              </w:rPr>
            </w:pPr>
          </w:p>
        </w:tc>
        <w:tc>
          <w:tcPr>
            <w:tcW w:w="1200" w:type="dxa"/>
            <w:noWrap w:val="0"/>
            <w:vAlign w:val="center"/>
          </w:tcPr>
          <w:p w14:paraId="0196C53D">
            <w:pPr>
              <w:shd w:val="clear" w:color="auto" w:fill="auto"/>
              <w:jc w:val="center"/>
              <w:rPr>
                <w:rFonts w:hint="eastAsia" w:ascii="宋体" w:hAnsi="宋体" w:eastAsia="宋体" w:cs="宋体"/>
                <w:color w:val="auto"/>
                <w:sz w:val="24"/>
                <w:szCs w:val="24"/>
                <w:highlight w:val="none"/>
                <w:lang w:val="en-US" w:eastAsia="zh-CN" w:bidi="ar-SA"/>
              </w:rPr>
            </w:pPr>
          </w:p>
        </w:tc>
        <w:tc>
          <w:tcPr>
            <w:tcW w:w="1320" w:type="dxa"/>
            <w:noWrap w:val="0"/>
            <w:vAlign w:val="center"/>
          </w:tcPr>
          <w:p w14:paraId="51AB7A15">
            <w:pPr>
              <w:shd w:val="clear" w:color="auto" w:fill="auto"/>
              <w:jc w:val="center"/>
              <w:rPr>
                <w:rFonts w:hint="eastAsia" w:ascii="宋体" w:hAnsi="宋体" w:eastAsia="宋体" w:cs="宋体"/>
                <w:color w:val="auto"/>
                <w:sz w:val="24"/>
                <w:szCs w:val="24"/>
                <w:highlight w:val="none"/>
                <w:lang w:val="en-US" w:eastAsia="zh-CN" w:bidi="ar-SA"/>
              </w:rPr>
            </w:pPr>
          </w:p>
        </w:tc>
        <w:tc>
          <w:tcPr>
            <w:tcW w:w="1350" w:type="dxa"/>
            <w:noWrap w:val="0"/>
            <w:vAlign w:val="center"/>
          </w:tcPr>
          <w:p w14:paraId="08A8948B">
            <w:pPr>
              <w:shd w:val="clear" w:color="auto" w:fill="auto"/>
              <w:jc w:val="center"/>
              <w:rPr>
                <w:rFonts w:hint="eastAsia" w:ascii="宋体" w:hAnsi="宋体" w:eastAsia="宋体" w:cs="宋体"/>
                <w:color w:val="auto"/>
                <w:sz w:val="24"/>
                <w:szCs w:val="24"/>
                <w:highlight w:val="none"/>
                <w:lang w:val="en-US" w:eastAsia="zh-CN" w:bidi="ar-SA"/>
              </w:rPr>
            </w:pPr>
          </w:p>
        </w:tc>
      </w:tr>
    </w:tbl>
    <w:p w14:paraId="13FA6FAF">
      <w:pPr>
        <w:pStyle w:val="28"/>
        <w:shd w:val="clear" w:color="auto" w:fill="auto"/>
        <w:tabs>
          <w:tab w:val="left" w:pos="567"/>
        </w:tabs>
        <w:ind w:left="0" w:leftChars="0" w:firstLine="0" w:firstLineChars="0"/>
        <w:rPr>
          <w:rFonts w:hint="eastAsia" w:ascii="宋体" w:hAnsi="宋体" w:eastAsia="宋体" w:cs="宋体"/>
          <w:color w:val="auto"/>
          <w:sz w:val="24"/>
          <w:szCs w:val="24"/>
          <w:highlight w:val="none"/>
          <w:lang w:val="en-US" w:eastAsia="zh-CN" w:bidi="ar-SA"/>
        </w:rPr>
      </w:pPr>
    </w:p>
    <w:p w14:paraId="2CB44835">
      <w:pPr>
        <w:pStyle w:val="130"/>
        <w:spacing w:line="540" w:lineRule="exact"/>
        <w:ind w:firstLine="482"/>
        <w:jc w:val="both"/>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注</w:t>
      </w:r>
      <w:r>
        <w:rPr>
          <w:rFonts w:hint="eastAsia" w:ascii="宋体" w:hAnsi="宋体" w:cs="宋体"/>
          <w:b/>
          <w:bCs/>
          <w:color w:val="auto"/>
          <w:sz w:val="24"/>
          <w:szCs w:val="24"/>
          <w:highlight w:val="none"/>
          <w:lang w:val="en-US" w:eastAsia="zh-CN" w:bidi="ar-SA"/>
        </w:rPr>
        <w:t>1</w:t>
      </w:r>
      <w:r>
        <w:rPr>
          <w:rFonts w:hint="eastAsia" w:ascii="宋体" w:hAnsi="宋体" w:eastAsia="宋体" w:cs="宋体"/>
          <w:b/>
          <w:bCs/>
          <w:color w:val="auto"/>
          <w:sz w:val="24"/>
          <w:szCs w:val="24"/>
          <w:highlight w:val="none"/>
          <w:lang w:val="en-US" w:eastAsia="zh-CN" w:bidi="ar-SA"/>
        </w:rPr>
        <w:t>：肉蛋类采购，供应商根据自身情况，报出食材折扣，折扣以百分比形式报价，最终结算以“辛家庙摩尔农产品交易中心批发价格为基准价*投标人食材折扣。折扣后的价格包含将采购人所需食材配送到指定地点的所有费用。例如：折扣报90%，则结算价格=辛家庙摩尔农产品交易中心调研的批发价格基准价*90%。</w:t>
      </w:r>
    </w:p>
    <w:p w14:paraId="4E43B13E">
      <w:pPr>
        <w:shd w:val="clear" w:color="auto" w:fill="auto"/>
        <w:ind w:firstLine="480" w:firstLineChars="200"/>
        <w:jc w:val="left"/>
        <w:rPr>
          <w:rFonts w:hint="eastAsia" w:ascii="宋体" w:hAnsi="宋体" w:eastAsia="宋体" w:cs="宋体"/>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 xml:space="preserve">注2：编标工具系统中填报投标报价时单位默认为“元”，请投标人直接按折扣进行填报。如折扣报90%，则填写90。若填写错误，评标委员会将根据此开标一览表对投标人的报价进行修正。   </w:t>
      </w:r>
      <w:r>
        <w:rPr>
          <w:rFonts w:hint="eastAsia" w:ascii="宋体" w:hAnsi="宋体" w:eastAsia="宋体" w:cs="宋体"/>
          <w:color w:val="auto"/>
          <w:sz w:val="24"/>
          <w:szCs w:val="24"/>
          <w:highlight w:val="none"/>
          <w:lang w:val="en-US" w:eastAsia="zh-CN" w:bidi="ar-SA"/>
        </w:rPr>
        <w:t xml:space="preserve">                     </w:t>
      </w:r>
    </w:p>
    <w:p w14:paraId="35CC35AD">
      <w:pPr>
        <w:shd w:val="clear" w:color="auto" w:fill="auto"/>
        <w:ind w:firstLine="3840" w:firstLineChars="1600"/>
        <w:jc w:val="left"/>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4D974D9E">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0584E6A5">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0F7D9978">
      <w:pPr>
        <w:rPr>
          <w:rFonts w:hint="eastAsia" w:ascii="宋体" w:hAnsi="宋体" w:eastAsia="宋体" w:cs="宋体"/>
          <w:color w:val="auto"/>
          <w:sz w:val="24"/>
          <w:highlight w:val="none"/>
        </w:rPr>
      </w:pPr>
      <w:r>
        <w:rPr>
          <w:rFonts w:hint="eastAsia" w:ascii="宋体" w:hAnsi="宋体" w:eastAsia="宋体" w:cs="宋体"/>
          <w:color w:val="auto"/>
          <w:sz w:val="32"/>
          <w:szCs w:val="32"/>
          <w:highlight w:val="none"/>
        </w:rPr>
        <w:br w:type="page"/>
      </w:r>
    </w:p>
    <w:p w14:paraId="5FA33B08">
      <w:pPr>
        <w:pStyle w:val="5"/>
        <w:tabs>
          <w:tab w:val="left" w:pos="588"/>
        </w:tabs>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分项报价表</w:t>
      </w:r>
    </w:p>
    <w:p w14:paraId="0344A53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p>
    <w:p w14:paraId="519CBF7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p w14:paraId="3028DFBA">
      <w:pPr>
        <w:pStyle w:val="2"/>
        <w:rPr>
          <w:rFonts w:hint="eastAsia" w:eastAsia="宋体"/>
          <w:color w:val="auto"/>
          <w:highlight w:val="none"/>
          <w:lang w:val="en-US" w:eastAsia="zh-CN"/>
        </w:rPr>
      </w:pPr>
      <w:r>
        <w:rPr>
          <w:rFonts w:hint="eastAsia" w:ascii="宋体" w:hAnsi="宋体" w:eastAsia="宋体" w:cs="宋体"/>
          <w:color w:val="auto"/>
          <w:sz w:val="24"/>
          <w:highlight w:val="none"/>
          <w:lang w:val="en-US" w:eastAsia="zh-CN"/>
        </w:rPr>
        <w:t>包号：</w:t>
      </w:r>
    </w:p>
    <w:tbl>
      <w:tblPr>
        <w:tblStyle w:val="3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1852"/>
        <w:gridCol w:w="1852"/>
        <w:gridCol w:w="2580"/>
        <w:gridCol w:w="1786"/>
        <w:gridCol w:w="981"/>
      </w:tblGrid>
      <w:tr w14:paraId="4B06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48" w:type="pct"/>
            <w:vAlign w:val="center"/>
          </w:tcPr>
          <w:p w14:paraId="153926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931" w:type="pct"/>
            <w:vAlign w:val="center"/>
          </w:tcPr>
          <w:p w14:paraId="5690AD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产品名称</w:t>
            </w:r>
          </w:p>
        </w:tc>
        <w:tc>
          <w:tcPr>
            <w:tcW w:w="931" w:type="pct"/>
            <w:vAlign w:val="center"/>
          </w:tcPr>
          <w:p w14:paraId="3063E0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品牌</w:t>
            </w:r>
          </w:p>
        </w:tc>
        <w:tc>
          <w:tcPr>
            <w:tcW w:w="1297" w:type="pct"/>
            <w:vAlign w:val="center"/>
          </w:tcPr>
          <w:p w14:paraId="471517E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制造</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商</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厂家</w:t>
            </w:r>
          </w:p>
        </w:tc>
        <w:tc>
          <w:tcPr>
            <w:tcW w:w="898" w:type="pct"/>
            <w:vAlign w:val="center"/>
          </w:tcPr>
          <w:p w14:paraId="6056770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综合折扣（%）</w:t>
            </w:r>
          </w:p>
        </w:tc>
        <w:tc>
          <w:tcPr>
            <w:tcW w:w="493" w:type="pct"/>
            <w:vAlign w:val="center"/>
          </w:tcPr>
          <w:p w14:paraId="06F4EA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备注</w:t>
            </w:r>
          </w:p>
        </w:tc>
      </w:tr>
      <w:tr w14:paraId="1F05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48" w:type="pct"/>
            <w:vAlign w:val="center"/>
          </w:tcPr>
          <w:p w14:paraId="5BFA19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931" w:type="pct"/>
            <w:vAlign w:val="center"/>
          </w:tcPr>
          <w:p w14:paraId="5990DD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猪肉</w:t>
            </w:r>
          </w:p>
        </w:tc>
        <w:tc>
          <w:tcPr>
            <w:tcW w:w="931" w:type="pct"/>
            <w:vAlign w:val="center"/>
          </w:tcPr>
          <w:p w14:paraId="211D66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1297" w:type="pct"/>
            <w:vAlign w:val="center"/>
          </w:tcPr>
          <w:p w14:paraId="7348746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898" w:type="pct"/>
            <w:vMerge w:val="restart"/>
            <w:vAlign w:val="center"/>
          </w:tcPr>
          <w:p w14:paraId="14D5B95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493" w:type="pct"/>
            <w:vAlign w:val="center"/>
          </w:tcPr>
          <w:p w14:paraId="7659789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r>
      <w:tr w14:paraId="724E0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48" w:type="pct"/>
            <w:vAlign w:val="center"/>
          </w:tcPr>
          <w:p w14:paraId="6437623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931" w:type="pct"/>
            <w:vAlign w:val="center"/>
          </w:tcPr>
          <w:p w14:paraId="2AF80D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牛肉</w:t>
            </w:r>
          </w:p>
        </w:tc>
        <w:tc>
          <w:tcPr>
            <w:tcW w:w="931" w:type="pct"/>
            <w:vAlign w:val="center"/>
          </w:tcPr>
          <w:p w14:paraId="4135EC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1297" w:type="pct"/>
            <w:vAlign w:val="center"/>
          </w:tcPr>
          <w:p w14:paraId="374863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898" w:type="pct"/>
            <w:vMerge w:val="continue"/>
            <w:vAlign w:val="center"/>
          </w:tcPr>
          <w:p w14:paraId="4B502F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493" w:type="pct"/>
            <w:vAlign w:val="center"/>
          </w:tcPr>
          <w:p w14:paraId="72E7712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r>
      <w:tr w14:paraId="3520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48" w:type="pct"/>
            <w:vAlign w:val="center"/>
          </w:tcPr>
          <w:p w14:paraId="13C2F30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931" w:type="pct"/>
            <w:vAlign w:val="center"/>
          </w:tcPr>
          <w:p w14:paraId="45037E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羊肉</w:t>
            </w:r>
          </w:p>
        </w:tc>
        <w:tc>
          <w:tcPr>
            <w:tcW w:w="931" w:type="pct"/>
            <w:vAlign w:val="center"/>
          </w:tcPr>
          <w:p w14:paraId="4334AFE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1297" w:type="pct"/>
            <w:vAlign w:val="center"/>
          </w:tcPr>
          <w:p w14:paraId="0EC8BB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898" w:type="pct"/>
            <w:vMerge w:val="continue"/>
            <w:vAlign w:val="center"/>
          </w:tcPr>
          <w:p w14:paraId="3F3A13D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493" w:type="pct"/>
            <w:vAlign w:val="center"/>
          </w:tcPr>
          <w:p w14:paraId="558AD6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r>
      <w:tr w14:paraId="515E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48" w:type="pct"/>
            <w:vAlign w:val="center"/>
          </w:tcPr>
          <w:p w14:paraId="3F90BC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p>
        </w:tc>
        <w:tc>
          <w:tcPr>
            <w:tcW w:w="931" w:type="pct"/>
            <w:vAlign w:val="center"/>
          </w:tcPr>
          <w:p w14:paraId="6057E2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鸡肉</w:t>
            </w:r>
          </w:p>
        </w:tc>
        <w:tc>
          <w:tcPr>
            <w:tcW w:w="931" w:type="pct"/>
            <w:vAlign w:val="center"/>
          </w:tcPr>
          <w:p w14:paraId="1E2D3B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1297" w:type="pct"/>
            <w:vAlign w:val="center"/>
          </w:tcPr>
          <w:p w14:paraId="186AE86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898" w:type="pct"/>
            <w:vMerge w:val="continue"/>
            <w:vAlign w:val="center"/>
          </w:tcPr>
          <w:p w14:paraId="40871D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493" w:type="pct"/>
            <w:vAlign w:val="center"/>
          </w:tcPr>
          <w:p w14:paraId="10FB26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r>
      <w:tr w14:paraId="586A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48" w:type="pct"/>
            <w:vAlign w:val="center"/>
          </w:tcPr>
          <w:p w14:paraId="191931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w:t>
            </w:r>
          </w:p>
        </w:tc>
        <w:tc>
          <w:tcPr>
            <w:tcW w:w="931" w:type="pct"/>
            <w:vAlign w:val="center"/>
          </w:tcPr>
          <w:p w14:paraId="298034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鸭肉</w:t>
            </w:r>
          </w:p>
        </w:tc>
        <w:tc>
          <w:tcPr>
            <w:tcW w:w="931" w:type="pct"/>
            <w:vAlign w:val="center"/>
          </w:tcPr>
          <w:p w14:paraId="239CCD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1297" w:type="pct"/>
            <w:vAlign w:val="center"/>
          </w:tcPr>
          <w:p w14:paraId="65F604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898" w:type="pct"/>
            <w:vMerge w:val="continue"/>
            <w:vAlign w:val="center"/>
          </w:tcPr>
          <w:p w14:paraId="5FD0B5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493" w:type="pct"/>
            <w:vAlign w:val="center"/>
          </w:tcPr>
          <w:p w14:paraId="7977A14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r>
      <w:tr w14:paraId="1F6F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48" w:type="pct"/>
            <w:vAlign w:val="center"/>
          </w:tcPr>
          <w:p w14:paraId="11E397E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w:t>
            </w:r>
          </w:p>
        </w:tc>
        <w:tc>
          <w:tcPr>
            <w:tcW w:w="931" w:type="pct"/>
            <w:vAlign w:val="center"/>
          </w:tcPr>
          <w:p w14:paraId="7B0706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鸡蛋</w:t>
            </w:r>
          </w:p>
        </w:tc>
        <w:tc>
          <w:tcPr>
            <w:tcW w:w="931" w:type="pct"/>
            <w:vAlign w:val="center"/>
          </w:tcPr>
          <w:p w14:paraId="7ABB53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1297" w:type="pct"/>
            <w:vAlign w:val="center"/>
          </w:tcPr>
          <w:p w14:paraId="6183CB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898" w:type="pct"/>
            <w:vMerge w:val="continue"/>
            <w:vAlign w:val="center"/>
          </w:tcPr>
          <w:p w14:paraId="2D0685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493" w:type="pct"/>
            <w:vAlign w:val="center"/>
          </w:tcPr>
          <w:p w14:paraId="41E1B72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r>
      <w:tr w14:paraId="2559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48" w:type="pct"/>
            <w:vAlign w:val="center"/>
          </w:tcPr>
          <w:p w14:paraId="3F115C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7</w:t>
            </w:r>
          </w:p>
        </w:tc>
        <w:tc>
          <w:tcPr>
            <w:tcW w:w="931" w:type="pct"/>
            <w:vAlign w:val="center"/>
          </w:tcPr>
          <w:p w14:paraId="08D455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鹌鹑蛋</w:t>
            </w:r>
          </w:p>
        </w:tc>
        <w:tc>
          <w:tcPr>
            <w:tcW w:w="931" w:type="pct"/>
            <w:vAlign w:val="center"/>
          </w:tcPr>
          <w:p w14:paraId="460B66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1297" w:type="pct"/>
            <w:vAlign w:val="center"/>
          </w:tcPr>
          <w:p w14:paraId="218EB9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898" w:type="pct"/>
            <w:vMerge w:val="continue"/>
            <w:vAlign w:val="center"/>
          </w:tcPr>
          <w:p w14:paraId="1DA19E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c>
          <w:tcPr>
            <w:tcW w:w="493" w:type="pct"/>
            <w:vAlign w:val="center"/>
          </w:tcPr>
          <w:p w14:paraId="39C3F20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tc>
      </w:tr>
    </w:tbl>
    <w:p w14:paraId="3172C2E0">
      <w:pPr>
        <w:autoSpaceDE w:val="0"/>
        <w:autoSpaceDN w:val="0"/>
        <w:adjustRightInd w:val="0"/>
        <w:snapToGrid w:val="0"/>
        <w:spacing w:before="120" w:line="360" w:lineRule="auto"/>
        <w:ind w:left="-235" w:leftChars="-98"/>
        <w:jc w:val="left"/>
        <w:rPr>
          <w:rFonts w:hint="eastAsia" w:ascii="仿宋" w:hAnsi="仿宋" w:eastAsia="仿宋" w:cs="仿宋"/>
          <w:color w:val="auto"/>
          <w:kern w:val="0"/>
          <w:sz w:val="24"/>
          <w:szCs w:val="28"/>
          <w:highlight w:val="none"/>
        </w:rPr>
      </w:pPr>
    </w:p>
    <w:p w14:paraId="2653B87A">
      <w:pPr>
        <w:ind w:firstLine="4800" w:firstLineChars="2000"/>
        <w:rPr>
          <w:rFonts w:hint="eastAsia" w:ascii="仿宋" w:hAnsi="仿宋" w:eastAsia="仿宋" w:cs="仿宋"/>
          <w:color w:val="auto"/>
          <w:sz w:val="24"/>
          <w:highlight w:val="none"/>
          <w:lang w:val="zh-CN"/>
        </w:rPr>
      </w:pPr>
    </w:p>
    <w:p w14:paraId="759988D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p>
    <w:p w14:paraId="3ACAF1AC">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327FBB5A">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10D25598">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642FEFBC">
      <w:pPr>
        <w:pStyle w:val="24"/>
        <w:snapToGrid w:val="0"/>
        <w:spacing w:line="360" w:lineRule="auto"/>
        <w:ind w:left="-235" w:leftChars="-98" w:firstLine="0"/>
        <w:rPr>
          <w:rFonts w:hint="eastAsia" w:ascii="宋体" w:hAnsi="宋体" w:eastAsia="宋体" w:cs="宋体"/>
          <w:color w:val="auto"/>
          <w:szCs w:val="28"/>
          <w:highlight w:val="none"/>
        </w:rPr>
      </w:pPr>
    </w:p>
    <w:p w14:paraId="77D4268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32"/>
          <w:szCs w:val="32"/>
          <w:highlight w:val="none"/>
        </w:rPr>
      </w:pPr>
    </w:p>
    <w:p w14:paraId="6B2F1DB4">
      <w:pPr>
        <w:keepNext w:val="0"/>
        <w:keepLines w:val="0"/>
        <w:pageBreakBefore w:val="0"/>
        <w:widowControl/>
        <w:kinsoku/>
        <w:wordWrap/>
        <w:overflowPunct/>
        <w:topLinePunct w:val="0"/>
        <w:autoSpaceDE/>
        <w:autoSpaceDN/>
        <w:bidi w:val="0"/>
        <w:adjustRightInd/>
        <w:snapToGrid/>
        <w:spacing w:line="360" w:lineRule="auto"/>
        <w:ind w:firstLine="5440" w:firstLineChars="1700"/>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480C3A56">
      <w:pPr>
        <w:pStyle w:val="4"/>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第三部分  资格证明文件</w:t>
      </w:r>
    </w:p>
    <w:p w14:paraId="1C82FD65">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27C0963A">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5C3F9233">
      <w:pPr>
        <w:numPr>
          <w:ilvl w:val="0"/>
          <w:numId w:val="0"/>
        </w:numPr>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基本资格条件承诺函</w:t>
      </w:r>
    </w:p>
    <w:p w14:paraId="158AE83B">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eastAsia="zh-CN"/>
        </w:rPr>
        <w:t>(采购代理机构名称):</w:t>
      </w:r>
    </w:p>
    <w:p w14:paraId="073D990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eastAsia="zh-CN"/>
        </w:rPr>
        <w:t>(供应商名称)郑重承诺:</w:t>
      </w:r>
    </w:p>
    <w:p w14:paraId="745982C8">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1C591D89">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5048AF54">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158D4732">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我方对以上承诺负全部法律责任。</w:t>
      </w:r>
    </w:p>
    <w:p w14:paraId="50D69CFB">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特此承诺。</w:t>
      </w:r>
    </w:p>
    <w:p w14:paraId="22B92441">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5A3EDA6C">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59EA070C">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74F7A29C">
      <w:pPr>
        <w:rPr>
          <w:rFonts w:hint="eastAsia" w:ascii="宋体" w:hAnsi="宋体" w:cs="宋体"/>
          <w:color w:val="auto"/>
          <w:sz w:val="24"/>
          <w:highlight w:val="none"/>
          <w:lang w:val="en-US" w:eastAsia="zh-CN"/>
        </w:rPr>
      </w:pPr>
    </w:p>
    <w:p w14:paraId="4188B11D">
      <w:pPr>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A8C9150">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2143"/>
        <w:gridCol w:w="2139"/>
        <w:gridCol w:w="181"/>
        <w:gridCol w:w="2139"/>
        <w:gridCol w:w="2272"/>
      </w:tblGrid>
      <w:tr w14:paraId="46378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75771A20">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5BC55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5210F23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4D7F0C5D">
            <w:pPr>
              <w:tabs>
                <w:tab w:val="left" w:pos="210"/>
              </w:tabs>
              <w:spacing w:line="320" w:lineRule="exact"/>
              <w:jc w:val="center"/>
              <w:rPr>
                <w:rFonts w:hint="eastAsia" w:ascii="宋体" w:hAnsi="宋体" w:eastAsia="宋体" w:cs="宋体"/>
                <w:color w:val="auto"/>
                <w:kern w:val="0"/>
                <w:sz w:val="24"/>
                <w:highlight w:val="none"/>
              </w:rPr>
            </w:pPr>
          </w:p>
          <w:p w14:paraId="0EA218B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00E362BA">
            <w:pPr>
              <w:tabs>
                <w:tab w:val="left" w:pos="210"/>
              </w:tabs>
              <w:spacing w:line="320" w:lineRule="exact"/>
              <w:jc w:val="center"/>
              <w:rPr>
                <w:rFonts w:hint="eastAsia" w:ascii="宋体" w:hAnsi="宋体" w:eastAsia="宋体" w:cs="宋体"/>
                <w:color w:val="auto"/>
                <w:kern w:val="0"/>
                <w:sz w:val="24"/>
                <w:highlight w:val="none"/>
              </w:rPr>
            </w:pPr>
          </w:p>
          <w:p w14:paraId="4E1E42A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18B6DF20">
            <w:pPr>
              <w:tabs>
                <w:tab w:val="left" w:pos="210"/>
              </w:tabs>
              <w:spacing w:line="320" w:lineRule="exact"/>
              <w:jc w:val="center"/>
              <w:rPr>
                <w:rFonts w:hint="eastAsia" w:ascii="宋体" w:hAnsi="宋体" w:eastAsia="宋体" w:cs="宋体"/>
                <w:color w:val="auto"/>
                <w:kern w:val="0"/>
                <w:sz w:val="24"/>
                <w:highlight w:val="none"/>
              </w:rPr>
            </w:pPr>
          </w:p>
          <w:p w14:paraId="75CCDD4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08B0A1F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54FA7F50">
            <w:pPr>
              <w:tabs>
                <w:tab w:val="left" w:pos="210"/>
              </w:tabs>
              <w:spacing w:line="320" w:lineRule="exact"/>
              <w:jc w:val="center"/>
              <w:rPr>
                <w:rFonts w:hint="eastAsia" w:ascii="宋体" w:hAnsi="宋体" w:eastAsia="宋体" w:cs="宋体"/>
                <w:color w:val="auto"/>
                <w:kern w:val="0"/>
                <w:sz w:val="24"/>
                <w:highlight w:val="none"/>
              </w:rPr>
            </w:pPr>
          </w:p>
        </w:tc>
      </w:tr>
      <w:tr w14:paraId="2D97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002A68BE">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47DF6B2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503FA809">
            <w:pPr>
              <w:tabs>
                <w:tab w:val="left" w:pos="210"/>
              </w:tabs>
              <w:spacing w:line="320" w:lineRule="exact"/>
              <w:jc w:val="center"/>
              <w:rPr>
                <w:rFonts w:hint="eastAsia" w:ascii="宋体" w:hAnsi="宋体" w:eastAsia="宋体" w:cs="宋体"/>
                <w:color w:val="auto"/>
                <w:kern w:val="0"/>
                <w:sz w:val="24"/>
                <w:highlight w:val="none"/>
              </w:rPr>
            </w:pPr>
          </w:p>
        </w:tc>
      </w:tr>
      <w:tr w14:paraId="62B9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5239D785">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AA7AF0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0643B803">
            <w:pPr>
              <w:tabs>
                <w:tab w:val="left" w:pos="210"/>
              </w:tabs>
              <w:spacing w:line="320" w:lineRule="exact"/>
              <w:jc w:val="center"/>
              <w:rPr>
                <w:rFonts w:hint="eastAsia" w:ascii="宋体" w:hAnsi="宋体" w:eastAsia="宋体" w:cs="宋体"/>
                <w:color w:val="auto"/>
                <w:kern w:val="0"/>
                <w:sz w:val="24"/>
                <w:highlight w:val="none"/>
              </w:rPr>
            </w:pPr>
          </w:p>
        </w:tc>
      </w:tr>
      <w:tr w14:paraId="0AC17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1681BAC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5AAE59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381FF201">
            <w:pPr>
              <w:tabs>
                <w:tab w:val="left" w:pos="210"/>
              </w:tabs>
              <w:spacing w:line="320" w:lineRule="exact"/>
              <w:jc w:val="center"/>
              <w:rPr>
                <w:rFonts w:hint="eastAsia" w:ascii="宋体" w:hAnsi="宋体" w:eastAsia="宋体" w:cs="宋体"/>
                <w:color w:val="auto"/>
                <w:kern w:val="0"/>
                <w:sz w:val="24"/>
                <w:highlight w:val="none"/>
              </w:rPr>
            </w:pPr>
          </w:p>
        </w:tc>
      </w:tr>
      <w:tr w14:paraId="139D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496FE40E">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6E700F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3096EFD1">
            <w:pPr>
              <w:tabs>
                <w:tab w:val="left" w:pos="210"/>
              </w:tabs>
              <w:spacing w:line="320" w:lineRule="exact"/>
              <w:rPr>
                <w:rFonts w:hint="eastAsia" w:ascii="宋体" w:hAnsi="宋体" w:eastAsia="宋体" w:cs="宋体"/>
                <w:color w:val="auto"/>
                <w:kern w:val="0"/>
                <w:sz w:val="24"/>
                <w:highlight w:val="none"/>
              </w:rPr>
            </w:pPr>
          </w:p>
        </w:tc>
      </w:tr>
      <w:tr w14:paraId="3093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40AE6E47">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07561B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46497FEA">
            <w:pPr>
              <w:tabs>
                <w:tab w:val="left" w:pos="210"/>
              </w:tabs>
              <w:spacing w:line="320" w:lineRule="exact"/>
              <w:jc w:val="center"/>
              <w:rPr>
                <w:rFonts w:hint="eastAsia" w:ascii="宋体" w:hAnsi="宋体" w:eastAsia="宋体" w:cs="宋体"/>
                <w:color w:val="auto"/>
                <w:kern w:val="0"/>
                <w:sz w:val="24"/>
                <w:highlight w:val="none"/>
              </w:rPr>
            </w:pPr>
          </w:p>
        </w:tc>
      </w:tr>
      <w:tr w14:paraId="258F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0F328A8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01AE919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2211746A">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7ED3BCB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1C3A8F14">
            <w:pPr>
              <w:tabs>
                <w:tab w:val="left" w:pos="210"/>
              </w:tabs>
              <w:spacing w:line="320" w:lineRule="exact"/>
              <w:jc w:val="center"/>
              <w:rPr>
                <w:rFonts w:hint="eastAsia" w:ascii="宋体" w:hAnsi="宋体" w:eastAsia="宋体" w:cs="宋体"/>
                <w:color w:val="auto"/>
                <w:kern w:val="0"/>
                <w:sz w:val="24"/>
                <w:highlight w:val="none"/>
              </w:rPr>
            </w:pPr>
          </w:p>
        </w:tc>
      </w:tr>
      <w:tr w14:paraId="3E22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316E534E">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744F94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676DDDC7">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6019DAD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66E96AFA">
            <w:pPr>
              <w:tabs>
                <w:tab w:val="left" w:pos="210"/>
              </w:tabs>
              <w:spacing w:line="320" w:lineRule="exact"/>
              <w:jc w:val="center"/>
              <w:rPr>
                <w:rFonts w:hint="eastAsia" w:ascii="宋体" w:hAnsi="宋体" w:eastAsia="宋体" w:cs="宋体"/>
                <w:color w:val="auto"/>
                <w:kern w:val="0"/>
                <w:sz w:val="24"/>
                <w:highlight w:val="none"/>
              </w:rPr>
            </w:pPr>
          </w:p>
        </w:tc>
      </w:tr>
      <w:tr w14:paraId="5FC56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420155B9">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0F8FC4C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7B8D6204">
            <w:pPr>
              <w:tabs>
                <w:tab w:val="left" w:pos="210"/>
              </w:tabs>
              <w:spacing w:line="320" w:lineRule="exact"/>
              <w:jc w:val="center"/>
              <w:rPr>
                <w:rFonts w:hint="eastAsia" w:ascii="宋体" w:hAnsi="宋体" w:eastAsia="宋体" w:cs="宋体"/>
                <w:color w:val="auto"/>
                <w:kern w:val="0"/>
                <w:sz w:val="24"/>
                <w:highlight w:val="none"/>
              </w:rPr>
            </w:pPr>
          </w:p>
        </w:tc>
      </w:tr>
      <w:tr w14:paraId="6BC0C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5136C93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369EC65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618278F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7EA0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4CE170E5">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42E391F6">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2466C73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45DCD838">
            <w:pPr>
              <w:tabs>
                <w:tab w:val="left" w:pos="210"/>
              </w:tabs>
              <w:spacing w:line="320" w:lineRule="exact"/>
              <w:jc w:val="center"/>
              <w:rPr>
                <w:rFonts w:hint="eastAsia" w:ascii="宋体" w:hAnsi="宋体" w:eastAsia="宋体" w:cs="宋体"/>
                <w:color w:val="auto"/>
                <w:kern w:val="0"/>
                <w:sz w:val="24"/>
                <w:highlight w:val="none"/>
              </w:rPr>
            </w:pPr>
          </w:p>
          <w:p w14:paraId="2637F684">
            <w:pPr>
              <w:tabs>
                <w:tab w:val="left" w:pos="210"/>
              </w:tabs>
              <w:spacing w:line="320" w:lineRule="exact"/>
              <w:jc w:val="center"/>
              <w:rPr>
                <w:rFonts w:hint="eastAsia" w:ascii="宋体" w:hAnsi="宋体" w:eastAsia="宋体" w:cs="宋体"/>
                <w:color w:val="auto"/>
                <w:kern w:val="0"/>
                <w:sz w:val="24"/>
                <w:highlight w:val="none"/>
              </w:rPr>
            </w:pPr>
          </w:p>
          <w:p w14:paraId="1A05C16B">
            <w:pPr>
              <w:tabs>
                <w:tab w:val="left" w:pos="210"/>
              </w:tabs>
              <w:spacing w:line="320" w:lineRule="exact"/>
              <w:jc w:val="center"/>
              <w:rPr>
                <w:rFonts w:hint="eastAsia" w:ascii="宋体" w:hAnsi="宋体" w:eastAsia="宋体" w:cs="宋体"/>
                <w:color w:val="auto"/>
                <w:kern w:val="0"/>
                <w:sz w:val="24"/>
                <w:highlight w:val="none"/>
              </w:rPr>
            </w:pPr>
          </w:p>
          <w:p w14:paraId="7117F0B9">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40CBB534">
      <w:pPr>
        <w:pStyle w:val="17"/>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78C0DD25">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6E7D00FF">
      <w:pPr>
        <w:pStyle w:val="17"/>
        <w:spacing w:line="500" w:lineRule="exact"/>
        <w:ind w:firstLine="48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2460C776">
      <w:pPr>
        <w:pStyle w:val="17"/>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4477FA5C">
      <w:pPr>
        <w:pStyle w:val="17"/>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0A5773C4">
      <w:pPr>
        <w:pStyle w:val="17"/>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38D07954">
      <w:pPr>
        <w:pStyle w:val="17"/>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46CD4756">
      <w:pPr>
        <w:pStyle w:val="17"/>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029E962D">
      <w:pPr>
        <w:pStyle w:val="17"/>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2A193F88">
      <w:pPr>
        <w:pStyle w:val="17"/>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67D3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710D8D08">
            <w:pPr>
              <w:pStyle w:val="17"/>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29FB8A7E">
            <w:pPr>
              <w:pStyle w:val="17"/>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5F82CEBA">
      <w:pPr>
        <w:pStyle w:val="17"/>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384CAE4C">
      <w:pPr>
        <w:pStyle w:val="17"/>
        <w:spacing w:line="500" w:lineRule="exact"/>
        <w:ind w:firstLine="720"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1ECBE9E3">
      <w:pPr>
        <w:pStyle w:val="17"/>
        <w:spacing w:line="500" w:lineRule="exact"/>
        <w:ind w:firstLine="720" w:firstLineChars="300"/>
        <w:jc w:val="left"/>
        <w:rPr>
          <w:rFonts w:hint="eastAsia" w:ascii="宋体" w:hAnsi="宋体" w:cs="宋体"/>
          <w:b/>
          <w:bCs/>
          <w:color w:val="auto"/>
          <w:sz w:val="24"/>
          <w:szCs w:val="24"/>
          <w:highlight w:val="none"/>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1D9E3DAD">
      <w:pPr>
        <w:rPr>
          <w:rFonts w:hint="eastAsia" w:ascii="宋体" w:hAnsi="宋体" w:eastAsia="宋体" w:cs="宋体"/>
          <w:color w:val="auto"/>
          <w:highlight w:val="none"/>
        </w:rPr>
      </w:pPr>
    </w:p>
    <w:p w14:paraId="71BB21AE">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8"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51AABFF1">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3EEDABA0">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1F0B0425">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58802CA7">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6C71867D">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0BDCCBC3">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0F4F4E84">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0319B7C4">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277D918C">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760FB310">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6FFD506B">
      <w:pPr>
        <w:pStyle w:val="20"/>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5EA50797">
      <w:pPr>
        <w:pStyle w:val="20"/>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0DD696BA">
      <w:pPr>
        <w:pStyle w:val="20"/>
        <w:rPr>
          <w:rFonts w:hint="eastAsia" w:ascii="宋体" w:hAnsi="宋体" w:eastAsia="宋体" w:cs="宋体"/>
          <w:color w:val="auto"/>
          <w:highlight w:val="none"/>
        </w:rPr>
      </w:pPr>
    </w:p>
    <w:p w14:paraId="1BA5D53C">
      <w:pPr>
        <w:pStyle w:val="20"/>
        <w:rPr>
          <w:rFonts w:hint="eastAsia" w:ascii="宋体" w:hAnsi="宋体" w:eastAsia="宋体" w:cs="宋体"/>
          <w:color w:val="auto"/>
          <w:highlight w:val="none"/>
        </w:rPr>
      </w:pPr>
    </w:p>
    <w:p w14:paraId="0B3215BD">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3E2C7886">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4A395D16">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16DB76BA">
      <w:pPr>
        <w:bidi w:val="0"/>
        <w:rPr>
          <w:rFonts w:hint="eastAsia" w:ascii="宋体" w:hAnsi="宋体" w:eastAsia="宋体" w:cs="宋体"/>
          <w:color w:val="auto"/>
          <w:highlight w:val="none"/>
          <w:lang w:eastAsia="zh-CN"/>
        </w:rPr>
      </w:pPr>
    </w:p>
    <w:p w14:paraId="31F3D5CA">
      <w:pP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8"/>
    </w:p>
    <w:p w14:paraId="1A55F92D">
      <w:pPr>
        <w:rPr>
          <w:rFonts w:hint="eastAsia" w:ascii="宋体" w:hAnsi="宋体" w:eastAsia="宋体" w:cs="宋体"/>
          <w:b/>
          <w:bCs/>
          <w:color w:val="auto"/>
          <w:sz w:val="24"/>
          <w:szCs w:val="24"/>
          <w:highlight w:val="none"/>
          <w:lang w:val="en-US" w:eastAsia="zh-CN"/>
        </w:rPr>
        <w:sectPr>
          <w:headerReference r:id="rId7" w:type="default"/>
          <w:footerReference r:id="rId8" w:type="default"/>
          <w:footerReference r:id="rId9" w:type="even"/>
          <w:pgSz w:w="11906" w:h="16838"/>
          <w:pgMar w:top="1440" w:right="1083" w:bottom="1440" w:left="1083" w:header="851" w:footer="992" w:gutter="0"/>
          <w:pgNumType w:fmt="decimal" w:start="1"/>
          <w:cols w:space="425" w:num="1"/>
          <w:docGrid w:type="linesAndChars" w:linePitch="420" w:charSpace="0"/>
        </w:sectPr>
      </w:pPr>
      <w:r>
        <w:rPr>
          <w:rFonts w:hint="eastAsia" w:ascii="宋体" w:hAnsi="宋体" w:eastAsia="宋体" w:cs="宋体"/>
          <w:b/>
          <w:bCs/>
          <w:color w:val="auto"/>
          <w:sz w:val="24"/>
          <w:szCs w:val="24"/>
          <w:highlight w:val="none"/>
          <w:lang w:val="en-US" w:eastAsia="zh-CN"/>
        </w:rPr>
        <w:br w:type="page"/>
      </w:r>
    </w:p>
    <w:p w14:paraId="6ACE1F2A">
      <w:pPr>
        <w:numPr>
          <w:ilvl w:val="0"/>
          <w:numId w:val="3"/>
        </w:num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提供肉蛋类厂家有效期内的《动物防疫条件合格证》。</w:t>
      </w:r>
    </w:p>
    <w:p w14:paraId="67DEEF54">
      <w:pPr>
        <w:numPr>
          <w:ilvl w:val="0"/>
          <w:numId w:val="0"/>
        </w:numPr>
        <w:ind w:leftChars="0"/>
        <w:outlineLvl w:val="9"/>
        <w:rPr>
          <w:rFonts w:hint="eastAsia"/>
          <w:color w:val="auto"/>
          <w:highlight w:val="none"/>
          <w:lang w:val="en-US" w:eastAsia="zh-CN"/>
        </w:rPr>
      </w:pPr>
    </w:p>
    <w:p w14:paraId="40D25A62">
      <w:pPr>
        <w:rPr>
          <w:rFonts w:hint="eastAsia"/>
          <w:color w:val="auto"/>
          <w:highlight w:val="none"/>
          <w:lang w:val="en-US" w:eastAsia="zh-CN"/>
        </w:rPr>
      </w:pPr>
    </w:p>
    <w:p w14:paraId="0ED9D10C">
      <w:pPr>
        <w:rPr>
          <w:rFonts w:hint="eastAsia"/>
          <w:color w:val="auto"/>
          <w:highlight w:val="none"/>
          <w:lang w:val="en-US" w:eastAsia="zh-CN"/>
        </w:rPr>
      </w:pPr>
      <w:r>
        <w:rPr>
          <w:rFonts w:hint="eastAsia"/>
          <w:color w:val="auto"/>
          <w:highlight w:val="none"/>
          <w:lang w:val="en-US" w:eastAsia="zh-CN"/>
        </w:rPr>
        <w:br w:type="page"/>
      </w:r>
    </w:p>
    <w:p w14:paraId="47EA14D4">
      <w:pPr>
        <w:pStyle w:val="4"/>
        <w:ind w:left="0" w:leftChars="0" w:firstLine="0" w:firstLineChars="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第四部分  供应商概况</w:t>
      </w:r>
    </w:p>
    <w:p w14:paraId="342346C9">
      <w:pPr>
        <w:pStyle w:val="98"/>
        <w:spacing w:before="210" w:after="210"/>
        <w:ind w:left="0" w:leftChars="0" w:firstLine="0" w:firstLineChars="0"/>
        <w:jc w:val="lef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（一）供应商基本信息</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1111"/>
        <w:gridCol w:w="1599"/>
        <w:gridCol w:w="1583"/>
        <w:gridCol w:w="1643"/>
        <w:gridCol w:w="1651"/>
      </w:tblGrid>
      <w:tr w14:paraId="056E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3CD30DFE">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单位基本情况</w:t>
            </w:r>
          </w:p>
        </w:tc>
      </w:tr>
      <w:tr w14:paraId="39D9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63205D03">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供应商全称</w:t>
            </w:r>
          </w:p>
        </w:tc>
        <w:tc>
          <w:tcPr>
            <w:tcW w:w="3809" w:type="pct"/>
            <w:gridSpan w:val="5"/>
          </w:tcPr>
          <w:p w14:paraId="4CEDDD68">
            <w:pPr>
              <w:ind w:firstLine="0"/>
              <w:jc w:val="both"/>
              <w:rPr>
                <w:rFonts w:hint="eastAsia" w:ascii="宋体" w:hAnsi="宋体" w:eastAsia="宋体" w:cs="宋体"/>
                <w:color w:val="auto"/>
                <w:kern w:val="2"/>
                <w:sz w:val="24"/>
                <w:szCs w:val="24"/>
                <w:highlight w:val="none"/>
              </w:rPr>
            </w:pPr>
          </w:p>
        </w:tc>
      </w:tr>
      <w:tr w14:paraId="33D4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D500FD6">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注册地址</w:t>
            </w:r>
          </w:p>
        </w:tc>
        <w:tc>
          <w:tcPr>
            <w:tcW w:w="1361" w:type="pct"/>
            <w:gridSpan w:val="2"/>
          </w:tcPr>
          <w:p w14:paraId="3DF1FD98">
            <w:pPr>
              <w:ind w:firstLine="0"/>
              <w:jc w:val="both"/>
              <w:rPr>
                <w:rFonts w:hint="eastAsia" w:ascii="宋体" w:hAnsi="宋体" w:eastAsia="宋体" w:cs="宋体"/>
                <w:color w:val="auto"/>
                <w:kern w:val="2"/>
                <w:sz w:val="24"/>
                <w:szCs w:val="24"/>
                <w:highlight w:val="none"/>
              </w:rPr>
            </w:pPr>
          </w:p>
        </w:tc>
        <w:tc>
          <w:tcPr>
            <w:tcW w:w="795" w:type="pct"/>
          </w:tcPr>
          <w:p w14:paraId="1CA45B75">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成立时间</w:t>
            </w:r>
          </w:p>
        </w:tc>
        <w:tc>
          <w:tcPr>
            <w:tcW w:w="1651" w:type="pct"/>
            <w:gridSpan w:val="2"/>
          </w:tcPr>
          <w:p w14:paraId="5605D464">
            <w:pPr>
              <w:ind w:firstLine="0"/>
              <w:jc w:val="both"/>
              <w:rPr>
                <w:rFonts w:hint="eastAsia" w:ascii="宋体" w:hAnsi="宋体" w:eastAsia="宋体" w:cs="宋体"/>
                <w:color w:val="auto"/>
                <w:kern w:val="2"/>
                <w:sz w:val="24"/>
                <w:szCs w:val="24"/>
                <w:highlight w:val="none"/>
              </w:rPr>
            </w:pPr>
          </w:p>
        </w:tc>
      </w:tr>
      <w:tr w14:paraId="430B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62380565">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统一社会信用代码</w:t>
            </w:r>
          </w:p>
        </w:tc>
        <w:tc>
          <w:tcPr>
            <w:tcW w:w="1361" w:type="pct"/>
            <w:gridSpan w:val="2"/>
          </w:tcPr>
          <w:p w14:paraId="6006368A">
            <w:pPr>
              <w:ind w:firstLine="0"/>
              <w:jc w:val="both"/>
              <w:rPr>
                <w:rFonts w:hint="eastAsia" w:ascii="宋体" w:hAnsi="宋体" w:eastAsia="宋体" w:cs="宋体"/>
                <w:color w:val="auto"/>
                <w:kern w:val="2"/>
                <w:sz w:val="24"/>
                <w:szCs w:val="24"/>
                <w:highlight w:val="none"/>
              </w:rPr>
            </w:pPr>
          </w:p>
        </w:tc>
        <w:tc>
          <w:tcPr>
            <w:tcW w:w="795" w:type="pct"/>
          </w:tcPr>
          <w:p w14:paraId="360FF778">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单位性质</w:t>
            </w:r>
          </w:p>
        </w:tc>
        <w:tc>
          <w:tcPr>
            <w:tcW w:w="1651" w:type="pct"/>
            <w:gridSpan w:val="2"/>
          </w:tcPr>
          <w:p w14:paraId="2474DD3A">
            <w:pPr>
              <w:ind w:firstLine="0"/>
              <w:jc w:val="both"/>
              <w:rPr>
                <w:rFonts w:hint="eastAsia" w:ascii="宋体" w:hAnsi="宋体" w:eastAsia="宋体" w:cs="宋体"/>
                <w:color w:val="auto"/>
                <w:kern w:val="2"/>
                <w:sz w:val="24"/>
                <w:szCs w:val="24"/>
                <w:highlight w:val="none"/>
              </w:rPr>
            </w:pPr>
          </w:p>
        </w:tc>
      </w:tr>
      <w:tr w14:paraId="6B167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2BAA971">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法定代表人（主要负责人）</w:t>
            </w:r>
          </w:p>
        </w:tc>
        <w:tc>
          <w:tcPr>
            <w:tcW w:w="1361" w:type="pct"/>
            <w:gridSpan w:val="2"/>
          </w:tcPr>
          <w:p w14:paraId="682885DE">
            <w:pPr>
              <w:ind w:firstLine="0"/>
              <w:jc w:val="both"/>
              <w:rPr>
                <w:rFonts w:hint="eastAsia" w:ascii="宋体" w:hAnsi="宋体" w:eastAsia="宋体" w:cs="宋体"/>
                <w:color w:val="auto"/>
                <w:kern w:val="2"/>
                <w:sz w:val="24"/>
                <w:szCs w:val="24"/>
                <w:highlight w:val="none"/>
              </w:rPr>
            </w:pPr>
          </w:p>
        </w:tc>
        <w:tc>
          <w:tcPr>
            <w:tcW w:w="795" w:type="pct"/>
          </w:tcPr>
          <w:p w14:paraId="69B2D653">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所属行业</w:t>
            </w:r>
          </w:p>
        </w:tc>
        <w:tc>
          <w:tcPr>
            <w:tcW w:w="1651" w:type="pct"/>
            <w:gridSpan w:val="2"/>
          </w:tcPr>
          <w:p w14:paraId="1ED525CC">
            <w:pPr>
              <w:ind w:firstLine="0"/>
              <w:jc w:val="both"/>
              <w:rPr>
                <w:rFonts w:hint="eastAsia" w:ascii="宋体" w:hAnsi="宋体" w:eastAsia="宋体" w:cs="宋体"/>
                <w:color w:val="auto"/>
                <w:kern w:val="2"/>
                <w:sz w:val="24"/>
                <w:szCs w:val="24"/>
                <w:highlight w:val="none"/>
              </w:rPr>
            </w:pPr>
          </w:p>
        </w:tc>
      </w:tr>
      <w:tr w14:paraId="3BC1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E8B8355">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基本存款账户开户银行</w:t>
            </w:r>
          </w:p>
        </w:tc>
        <w:tc>
          <w:tcPr>
            <w:tcW w:w="1361" w:type="pct"/>
            <w:gridSpan w:val="2"/>
          </w:tcPr>
          <w:p w14:paraId="7CC83429">
            <w:pPr>
              <w:ind w:firstLine="0"/>
              <w:jc w:val="both"/>
              <w:rPr>
                <w:rFonts w:hint="eastAsia" w:ascii="宋体" w:hAnsi="宋体" w:eastAsia="宋体" w:cs="宋体"/>
                <w:color w:val="auto"/>
                <w:kern w:val="2"/>
                <w:sz w:val="24"/>
                <w:szCs w:val="24"/>
                <w:highlight w:val="none"/>
              </w:rPr>
            </w:pPr>
          </w:p>
        </w:tc>
        <w:tc>
          <w:tcPr>
            <w:tcW w:w="795" w:type="pct"/>
          </w:tcPr>
          <w:p w14:paraId="33FF0EE1">
            <w:pPr>
              <w:ind w:firstLine="0"/>
              <w:jc w:val="both"/>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基本存款</w:t>
            </w:r>
          </w:p>
          <w:p w14:paraId="59F40EB7">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账户账号</w:t>
            </w:r>
          </w:p>
        </w:tc>
        <w:tc>
          <w:tcPr>
            <w:tcW w:w="1651" w:type="pct"/>
            <w:gridSpan w:val="2"/>
          </w:tcPr>
          <w:p w14:paraId="34DB882D">
            <w:pPr>
              <w:ind w:firstLine="0"/>
              <w:jc w:val="both"/>
              <w:rPr>
                <w:rFonts w:hint="eastAsia" w:ascii="宋体" w:hAnsi="宋体" w:eastAsia="宋体" w:cs="宋体"/>
                <w:color w:val="auto"/>
                <w:kern w:val="2"/>
                <w:sz w:val="24"/>
                <w:szCs w:val="24"/>
                <w:highlight w:val="none"/>
              </w:rPr>
            </w:pPr>
          </w:p>
        </w:tc>
      </w:tr>
      <w:tr w14:paraId="69013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5BE928DE">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上年度营业收入*</w:t>
            </w:r>
          </w:p>
        </w:tc>
        <w:tc>
          <w:tcPr>
            <w:tcW w:w="1361" w:type="pct"/>
            <w:gridSpan w:val="2"/>
          </w:tcPr>
          <w:p w14:paraId="6A792A8C">
            <w:pPr>
              <w:ind w:firstLine="0"/>
              <w:jc w:val="both"/>
              <w:rPr>
                <w:rFonts w:hint="eastAsia" w:ascii="宋体" w:hAnsi="宋体" w:eastAsia="宋体" w:cs="宋体"/>
                <w:color w:val="auto"/>
                <w:kern w:val="2"/>
                <w:sz w:val="24"/>
                <w:szCs w:val="24"/>
                <w:highlight w:val="none"/>
              </w:rPr>
            </w:pPr>
          </w:p>
        </w:tc>
        <w:tc>
          <w:tcPr>
            <w:tcW w:w="795" w:type="pct"/>
          </w:tcPr>
          <w:p w14:paraId="682D659E">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资产总额</w:t>
            </w:r>
          </w:p>
        </w:tc>
        <w:tc>
          <w:tcPr>
            <w:tcW w:w="1651" w:type="pct"/>
            <w:gridSpan w:val="2"/>
          </w:tcPr>
          <w:p w14:paraId="4BAFAF7C">
            <w:pPr>
              <w:ind w:firstLine="0"/>
              <w:jc w:val="both"/>
              <w:rPr>
                <w:rFonts w:hint="eastAsia" w:ascii="宋体" w:hAnsi="宋体" w:eastAsia="宋体" w:cs="宋体"/>
                <w:color w:val="auto"/>
                <w:kern w:val="2"/>
                <w:sz w:val="24"/>
                <w:szCs w:val="24"/>
                <w:highlight w:val="none"/>
              </w:rPr>
            </w:pPr>
          </w:p>
        </w:tc>
      </w:tr>
      <w:tr w14:paraId="02AB0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5C9E891A">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经营范围</w:t>
            </w:r>
          </w:p>
        </w:tc>
        <w:tc>
          <w:tcPr>
            <w:tcW w:w="3809" w:type="pct"/>
            <w:gridSpan w:val="5"/>
          </w:tcPr>
          <w:p w14:paraId="5FBD4708">
            <w:pPr>
              <w:ind w:firstLine="0"/>
              <w:jc w:val="both"/>
              <w:rPr>
                <w:rFonts w:hint="eastAsia" w:ascii="宋体" w:hAnsi="宋体" w:eastAsia="宋体" w:cs="宋体"/>
                <w:color w:val="auto"/>
                <w:kern w:val="2"/>
                <w:sz w:val="24"/>
                <w:szCs w:val="24"/>
                <w:highlight w:val="none"/>
              </w:rPr>
            </w:pPr>
          </w:p>
        </w:tc>
      </w:tr>
      <w:tr w14:paraId="5152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0908038E">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资质证书名称</w:t>
            </w:r>
          </w:p>
        </w:tc>
        <w:tc>
          <w:tcPr>
            <w:tcW w:w="1361" w:type="pct"/>
            <w:gridSpan w:val="2"/>
          </w:tcPr>
          <w:p w14:paraId="4C729F74">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证书号</w:t>
            </w:r>
          </w:p>
        </w:tc>
        <w:tc>
          <w:tcPr>
            <w:tcW w:w="795" w:type="pct"/>
          </w:tcPr>
          <w:p w14:paraId="796AB91F">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等级</w:t>
            </w:r>
          </w:p>
        </w:tc>
        <w:tc>
          <w:tcPr>
            <w:tcW w:w="1651" w:type="pct"/>
            <w:gridSpan w:val="2"/>
          </w:tcPr>
          <w:p w14:paraId="2A370BBB">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类型</w:t>
            </w:r>
          </w:p>
        </w:tc>
      </w:tr>
      <w:tr w14:paraId="61B6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031884C2">
            <w:pPr>
              <w:ind w:firstLine="0"/>
              <w:jc w:val="both"/>
              <w:rPr>
                <w:rFonts w:hint="eastAsia" w:ascii="宋体" w:hAnsi="宋体" w:eastAsia="宋体" w:cs="宋体"/>
                <w:color w:val="auto"/>
                <w:kern w:val="2"/>
                <w:sz w:val="24"/>
                <w:szCs w:val="24"/>
                <w:highlight w:val="none"/>
              </w:rPr>
            </w:pPr>
          </w:p>
        </w:tc>
        <w:tc>
          <w:tcPr>
            <w:tcW w:w="1361" w:type="pct"/>
            <w:gridSpan w:val="2"/>
          </w:tcPr>
          <w:p w14:paraId="26385BCF">
            <w:pPr>
              <w:ind w:firstLine="0"/>
              <w:jc w:val="both"/>
              <w:rPr>
                <w:rFonts w:hint="eastAsia" w:ascii="宋体" w:hAnsi="宋体" w:eastAsia="宋体" w:cs="宋体"/>
                <w:color w:val="auto"/>
                <w:kern w:val="2"/>
                <w:sz w:val="24"/>
                <w:szCs w:val="24"/>
                <w:highlight w:val="none"/>
              </w:rPr>
            </w:pPr>
          </w:p>
        </w:tc>
        <w:tc>
          <w:tcPr>
            <w:tcW w:w="795" w:type="pct"/>
          </w:tcPr>
          <w:p w14:paraId="5C949A72">
            <w:pPr>
              <w:ind w:firstLine="0"/>
              <w:jc w:val="both"/>
              <w:rPr>
                <w:rFonts w:hint="eastAsia" w:ascii="宋体" w:hAnsi="宋体" w:eastAsia="宋体" w:cs="宋体"/>
                <w:color w:val="auto"/>
                <w:kern w:val="2"/>
                <w:sz w:val="24"/>
                <w:szCs w:val="24"/>
                <w:highlight w:val="none"/>
              </w:rPr>
            </w:pPr>
          </w:p>
        </w:tc>
        <w:tc>
          <w:tcPr>
            <w:tcW w:w="1651" w:type="pct"/>
            <w:gridSpan w:val="2"/>
          </w:tcPr>
          <w:p w14:paraId="702791C5">
            <w:pPr>
              <w:ind w:firstLine="0"/>
              <w:jc w:val="both"/>
              <w:rPr>
                <w:rFonts w:hint="eastAsia" w:ascii="宋体" w:hAnsi="宋体" w:eastAsia="宋体" w:cs="宋体"/>
                <w:color w:val="auto"/>
                <w:kern w:val="2"/>
                <w:sz w:val="24"/>
                <w:szCs w:val="24"/>
                <w:highlight w:val="none"/>
              </w:rPr>
            </w:pPr>
          </w:p>
        </w:tc>
      </w:tr>
      <w:tr w14:paraId="763FA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5D8C9DE3">
            <w:pPr>
              <w:ind w:firstLine="0"/>
              <w:jc w:val="both"/>
              <w:rPr>
                <w:rFonts w:hint="eastAsia" w:ascii="宋体" w:hAnsi="宋体" w:eastAsia="宋体" w:cs="宋体"/>
                <w:color w:val="auto"/>
                <w:kern w:val="2"/>
                <w:sz w:val="24"/>
                <w:szCs w:val="24"/>
                <w:highlight w:val="none"/>
              </w:rPr>
            </w:pPr>
          </w:p>
        </w:tc>
        <w:tc>
          <w:tcPr>
            <w:tcW w:w="1361" w:type="pct"/>
            <w:gridSpan w:val="2"/>
          </w:tcPr>
          <w:p w14:paraId="07EA7B14">
            <w:pPr>
              <w:ind w:firstLine="0"/>
              <w:jc w:val="both"/>
              <w:rPr>
                <w:rFonts w:hint="eastAsia" w:ascii="宋体" w:hAnsi="宋体" w:eastAsia="宋体" w:cs="宋体"/>
                <w:color w:val="auto"/>
                <w:kern w:val="2"/>
                <w:sz w:val="24"/>
                <w:szCs w:val="24"/>
                <w:highlight w:val="none"/>
              </w:rPr>
            </w:pPr>
          </w:p>
        </w:tc>
        <w:tc>
          <w:tcPr>
            <w:tcW w:w="795" w:type="pct"/>
          </w:tcPr>
          <w:p w14:paraId="62880DA0">
            <w:pPr>
              <w:ind w:firstLine="0"/>
              <w:jc w:val="both"/>
              <w:rPr>
                <w:rFonts w:hint="eastAsia" w:ascii="宋体" w:hAnsi="宋体" w:eastAsia="宋体" w:cs="宋体"/>
                <w:color w:val="auto"/>
                <w:kern w:val="2"/>
                <w:sz w:val="24"/>
                <w:szCs w:val="24"/>
                <w:highlight w:val="none"/>
              </w:rPr>
            </w:pPr>
          </w:p>
        </w:tc>
        <w:tc>
          <w:tcPr>
            <w:tcW w:w="1651" w:type="pct"/>
            <w:gridSpan w:val="2"/>
          </w:tcPr>
          <w:p w14:paraId="18CC5B00">
            <w:pPr>
              <w:ind w:firstLine="0"/>
              <w:jc w:val="both"/>
              <w:rPr>
                <w:rFonts w:hint="eastAsia" w:ascii="宋体" w:hAnsi="宋体" w:eastAsia="宋体" w:cs="宋体"/>
                <w:color w:val="auto"/>
                <w:kern w:val="2"/>
                <w:sz w:val="24"/>
                <w:szCs w:val="24"/>
                <w:highlight w:val="none"/>
              </w:rPr>
            </w:pPr>
          </w:p>
        </w:tc>
      </w:tr>
      <w:tr w14:paraId="1AE52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2A85C9B9">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从业人员情况</w:t>
            </w:r>
          </w:p>
        </w:tc>
      </w:tr>
      <w:tr w14:paraId="64AA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tcPr>
          <w:p w14:paraId="3DDA2E1F">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从业人员总数</w:t>
            </w:r>
          </w:p>
        </w:tc>
        <w:tc>
          <w:tcPr>
            <w:tcW w:w="558" w:type="pct"/>
            <w:vMerge w:val="restart"/>
          </w:tcPr>
          <w:p w14:paraId="2FEE423D">
            <w:pPr>
              <w:ind w:firstLine="0"/>
              <w:jc w:val="both"/>
              <w:rPr>
                <w:rFonts w:hint="eastAsia" w:ascii="宋体" w:hAnsi="宋体" w:eastAsia="宋体" w:cs="宋体"/>
                <w:color w:val="auto"/>
                <w:kern w:val="2"/>
                <w:sz w:val="24"/>
                <w:szCs w:val="24"/>
                <w:highlight w:val="none"/>
              </w:rPr>
            </w:pPr>
          </w:p>
        </w:tc>
        <w:tc>
          <w:tcPr>
            <w:tcW w:w="803" w:type="pct"/>
          </w:tcPr>
          <w:p w14:paraId="753DD51B">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管理人员数量</w:t>
            </w:r>
          </w:p>
        </w:tc>
        <w:tc>
          <w:tcPr>
            <w:tcW w:w="795" w:type="pct"/>
          </w:tcPr>
          <w:p w14:paraId="6E1440C0">
            <w:pPr>
              <w:ind w:firstLine="0"/>
              <w:jc w:val="both"/>
              <w:rPr>
                <w:rFonts w:hint="eastAsia" w:ascii="宋体" w:hAnsi="宋体" w:eastAsia="宋体" w:cs="宋体"/>
                <w:color w:val="auto"/>
                <w:kern w:val="2"/>
                <w:sz w:val="24"/>
                <w:szCs w:val="24"/>
                <w:highlight w:val="none"/>
              </w:rPr>
            </w:pPr>
          </w:p>
        </w:tc>
        <w:tc>
          <w:tcPr>
            <w:tcW w:w="825" w:type="pct"/>
          </w:tcPr>
          <w:p w14:paraId="697609D1">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专业技术人员数量</w:t>
            </w:r>
          </w:p>
        </w:tc>
        <w:tc>
          <w:tcPr>
            <w:tcW w:w="826" w:type="pct"/>
          </w:tcPr>
          <w:p w14:paraId="415E4874">
            <w:pPr>
              <w:ind w:firstLine="0"/>
              <w:jc w:val="both"/>
              <w:rPr>
                <w:rFonts w:hint="eastAsia" w:ascii="宋体" w:hAnsi="宋体" w:eastAsia="宋体" w:cs="宋体"/>
                <w:color w:val="auto"/>
                <w:kern w:val="2"/>
                <w:sz w:val="24"/>
                <w:szCs w:val="24"/>
                <w:highlight w:val="none"/>
              </w:rPr>
            </w:pPr>
          </w:p>
        </w:tc>
      </w:tr>
      <w:tr w14:paraId="54036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tcPr>
          <w:p w14:paraId="0C91716B">
            <w:pPr>
              <w:ind w:firstLine="0"/>
              <w:jc w:val="both"/>
              <w:rPr>
                <w:rFonts w:hint="eastAsia" w:ascii="宋体" w:hAnsi="宋体" w:eastAsia="宋体" w:cs="宋体"/>
                <w:color w:val="auto"/>
                <w:kern w:val="2"/>
                <w:sz w:val="24"/>
                <w:szCs w:val="24"/>
                <w:highlight w:val="none"/>
              </w:rPr>
            </w:pPr>
          </w:p>
        </w:tc>
        <w:tc>
          <w:tcPr>
            <w:tcW w:w="558" w:type="pct"/>
            <w:vMerge w:val="continue"/>
          </w:tcPr>
          <w:p w14:paraId="599B5676">
            <w:pPr>
              <w:ind w:firstLine="0"/>
              <w:jc w:val="both"/>
              <w:rPr>
                <w:rFonts w:hint="eastAsia" w:ascii="宋体" w:hAnsi="宋体" w:eastAsia="宋体" w:cs="宋体"/>
                <w:color w:val="auto"/>
                <w:kern w:val="2"/>
                <w:sz w:val="24"/>
                <w:szCs w:val="24"/>
                <w:highlight w:val="none"/>
              </w:rPr>
            </w:pPr>
          </w:p>
        </w:tc>
        <w:tc>
          <w:tcPr>
            <w:tcW w:w="803" w:type="pct"/>
          </w:tcPr>
          <w:p w14:paraId="13B98203">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残疾人数量</w:t>
            </w:r>
          </w:p>
        </w:tc>
        <w:tc>
          <w:tcPr>
            <w:tcW w:w="795" w:type="pct"/>
          </w:tcPr>
          <w:p w14:paraId="389B637E">
            <w:pPr>
              <w:ind w:firstLine="0"/>
              <w:jc w:val="both"/>
              <w:rPr>
                <w:rFonts w:hint="eastAsia" w:ascii="宋体" w:hAnsi="宋体" w:eastAsia="宋体" w:cs="宋体"/>
                <w:color w:val="auto"/>
                <w:kern w:val="2"/>
                <w:sz w:val="24"/>
                <w:szCs w:val="24"/>
                <w:highlight w:val="none"/>
              </w:rPr>
            </w:pPr>
          </w:p>
        </w:tc>
        <w:tc>
          <w:tcPr>
            <w:tcW w:w="825" w:type="pct"/>
          </w:tcPr>
          <w:p w14:paraId="1745C660">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少数民族数量</w:t>
            </w:r>
          </w:p>
        </w:tc>
        <w:tc>
          <w:tcPr>
            <w:tcW w:w="826" w:type="pct"/>
          </w:tcPr>
          <w:p w14:paraId="5F75F052">
            <w:pPr>
              <w:ind w:firstLine="0"/>
              <w:jc w:val="both"/>
              <w:rPr>
                <w:rFonts w:hint="eastAsia" w:ascii="宋体" w:hAnsi="宋体" w:eastAsia="宋体" w:cs="宋体"/>
                <w:color w:val="auto"/>
                <w:kern w:val="2"/>
                <w:sz w:val="24"/>
                <w:szCs w:val="24"/>
                <w:highlight w:val="none"/>
              </w:rPr>
            </w:pPr>
          </w:p>
        </w:tc>
      </w:tr>
      <w:tr w14:paraId="3D88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1DFB6D33">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存在直接控股、管理关系的相关供应商</w:t>
            </w:r>
          </w:p>
        </w:tc>
      </w:tr>
      <w:tr w14:paraId="781B9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5E3070BF">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关系</w:t>
            </w:r>
          </w:p>
        </w:tc>
        <w:tc>
          <w:tcPr>
            <w:tcW w:w="3809" w:type="pct"/>
            <w:gridSpan w:val="5"/>
          </w:tcPr>
          <w:p w14:paraId="736B4DFC">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供应商名称</w:t>
            </w:r>
          </w:p>
        </w:tc>
      </w:tr>
      <w:tr w14:paraId="7D6AE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4151CB9">
            <w:pPr>
              <w:ind w:firstLine="0"/>
              <w:jc w:val="both"/>
              <w:rPr>
                <w:rFonts w:hint="eastAsia" w:ascii="宋体" w:hAnsi="宋体" w:eastAsia="宋体" w:cs="宋体"/>
                <w:color w:val="auto"/>
                <w:kern w:val="2"/>
                <w:sz w:val="24"/>
                <w:szCs w:val="24"/>
                <w:highlight w:val="none"/>
              </w:rPr>
            </w:pPr>
          </w:p>
        </w:tc>
        <w:tc>
          <w:tcPr>
            <w:tcW w:w="3809" w:type="pct"/>
            <w:gridSpan w:val="5"/>
          </w:tcPr>
          <w:p w14:paraId="352A2F85">
            <w:pPr>
              <w:ind w:firstLine="0"/>
              <w:jc w:val="both"/>
              <w:rPr>
                <w:rFonts w:hint="eastAsia" w:ascii="宋体" w:hAnsi="宋体" w:eastAsia="宋体" w:cs="宋体"/>
                <w:color w:val="auto"/>
                <w:kern w:val="2"/>
                <w:sz w:val="24"/>
                <w:szCs w:val="24"/>
                <w:highlight w:val="none"/>
              </w:rPr>
            </w:pPr>
          </w:p>
        </w:tc>
      </w:tr>
      <w:tr w14:paraId="1213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CC674B0">
            <w:pPr>
              <w:ind w:firstLine="0"/>
              <w:jc w:val="both"/>
              <w:rPr>
                <w:rFonts w:hint="eastAsia" w:ascii="宋体" w:hAnsi="宋体" w:eastAsia="宋体" w:cs="宋体"/>
                <w:color w:val="auto"/>
                <w:kern w:val="2"/>
                <w:sz w:val="24"/>
                <w:szCs w:val="24"/>
                <w:highlight w:val="none"/>
              </w:rPr>
            </w:pPr>
          </w:p>
        </w:tc>
        <w:tc>
          <w:tcPr>
            <w:tcW w:w="3809" w:type="pct"/>
            <w:gridSpan w:val="5"/>
          </w:tcPr>
          <w:p w14:paraId="283C461F">
            <w:pPr>
              <w:ind w:firstLine="0"/>
              <w:jc w:val="both"/>
              <w:rPr>
                <w:rFonts w:hint="eastAsia" w:ascii="宋体" w:hAnsi="宋体" w:eastAsia="宋体" w:cs="宋体"/>
                <w:color w:val="auto"/>
                <w:kern w:val="2"/>
                <w:sz w:val="24"/>
                <w:szCs w:val="24"/>
                <w:highlight w:val="none"/>
              </w:rPr>
            </w:pPr>
          </w:p>
        </w:tc>
      </w:tr>
      <w:tr w14:paraId="3816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D8D4DE7">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说明</w:t>
            </w:r>
          </w:p>
        </w:tc>
        <w:tc>
          <w:tcPr>
            <w:tcW w:w="3809" w:type="pct"/>
            <w:gridSpan w:val="5"/>
          </w:tcPr>
          <w:p w14:paraId="7DB57DD7">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1.成立时间至提交投标文件截止时间不足一年的可不填写“上年度营业收入”；</w:t>
            </w:r>
          </w:p>
          <w:p w14:paraId="3ED43392">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2.招标文件接受联合体的，联合体各方均应提供；</w:t>
            </w:r>
          </w:p>
          <w:p w14:paraId="5B4D2123">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3.表格空间不足时，请自行扩展。</w:t>
            </w:r>
          </w:p>
        </w:tc>
      </w:tr>
    </w:tbl>
    <w:p w14:paraId="37651502">
      <w:pPr>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14:paraId="7D70A1BB">
      <w:pPr>
        <w:pStyle w:val="25"/>
        <w:spacing w:before="0" w:beforeAutospacing="0" w:after="0" w:afterAutospacing="0" w:line="360" w:lineRule="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（二）中小企业声明函</w:t>
      </w:r>
      <w:r>
        <w:rPr>
          <w:rFonts w:hint="eastAsia" w:eastAsia="宋体" w:cs="宋体"/>
          <w:b/>
          <w:bCs/>
          <w:color w:val="auto"/>
          <w:sz w:val="28"/>
          <w:szCs w:val="28"/>
          <w:highlight w:val="none"/>
          <w:lang w:val="en-US" w:eastAsia="zh-CN"/>
        </w:rPr>
        <w:t>、</w:t>
      </w:r>
      <w:r>
        <w:rPr>
          <w:rFonts w:hint="eastAsia" w:ascii="宋体" w:hAnsi="宋体" w:eastAsia="宋体" w:cs="宋体"/>
          <w:b/>
          <w:bCs/>
          <w:color w:val="auto"/>
          <w:sz w:val="28"/>
          <w:szCs w:val="28"/>
          <w:highlight w:val="none"/>
          <w:lang w:val="en-US" w:eastAsia="zh-CN"/>
        </w:rPr>
        <w:t>监狱企业证明文件、残疾人福利性单位声明函</w:t>
      </w:r>
    </w:p>
    <w:p w14:paraId="788F0E83">
      <w:pPr>
        <w:pStyle w:val="17"/>
        <w:spacing w:line="360" w:lineRule="auto"/>
        <w:jc w:val="center"/>
        <w:rPr>
          <w:rFonts w:hint="eastAsia" w:ascii="宋体" w:hAnsi="宋体" w:eastAsia="宋体" w:cs="宋体"/>
          <w:b w:val="0"/>
          <w:color w:val="auto"/>
          <w:kern w:val="2"/>
          <w:sz w:val="24"/>
          <w:szCs w:val="24"/>
          <w:highlight w:val="none"/>
          <w:lang w:val="en-US" w:eastAsia="zh-CN" w:bidi="ar-SA"/>
        </w:rPr>
      </w:pPr>
      <w:bookmarkStart w:id="29" w:name="_Toc499739990"/>
      <w:bookmarkStart w:id="30" w:name="_Toc18592"/>
      <w:bookmarkStart w:id="31" w:name="_Toc1541"/>
      <w:bookmarkStart w:id="32" w:name="_Toc255"/>
      <w:bookmarkStart w:id="33" w:name="_Toc24443"/>
      <w:bookmarkStart w:id="34" w:name="_Toc607"/>
      <w:bookmarkStart w:id="35" w:name="_Toc5155"/>
      <w:bookmarkStart w:id="36" w:name="_Toc21356"/>
      <w:bookmarkStart w:id="37" w:name="_Toc10913"/>
      <w:r>
        <w:rPr>
          <w:rFonts w:hint="eastAsia" w:ascii="宋体" w:hAnsi="宋体" w:eastAsia="宋体" w:cs="宋体"/>
          <w:b/>
          <w:bCs/>
          <w:color w:val="auto"/>
          <w:sz w:val="24"/>
          <w:szCs w:val="24"/>
          <w:highlight w:val="none"/>
          <w:lang w:val="en-US" w:eastAsia="zh-CN"/>
        </w:rPr>
        <w:t>中小企业声明函（格式）</w:t>
      </w:r>
    </w:p>
    <w:p w14:paraId="62DD6260">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本公司（联合体）郑重声明，根据《政府采购促进中小企业发展管理办法》（财库﹝2020﹞46 号）的规定，本公司（联合体）参加</w:t>
      </w:r>
      <w:r>
        <w:rPr>
          <w:rFonts w:hint="eastAsia" w:ascii="宋体" w:hAnsi="宋体" w:eastAsia="宋体" w:cs="宋体"/>
          <w:color w:val="auto"/>
          <w:sz w:val="24"/>
          <w:szCs w:val="24"/>
          <w:highlight w:val="none"/>
          <w:u w:val="single"/>
          <w:lang w:val="en-US" w:eastAsia="zh-CN"/>
        </w:rPr>
        <w:t>（单位名称）的（项目名称）</w:t>
      </w:r>
      <w:r>
        <w:rPr>
          <w:rFonts w:hint="eastAsia" w:ascii="宋体" w:hAnsi="宋体" w:eastAsia="宋体" w:cs="宋体"/>
          <w:color w:val="auto"/>
          <w:sz w:val="24"/>
          <w:szCs w:val="24"/>
          <w:highlight w:val="none"/>
          <w:lang w:val="en-US" w:eastAsia="zh-CN"/>
        </w:rPr>
        <w:t>采购活动，</w:t>
      </w:r>
      <w:r>
        <w:rPr>
          <w:rFonts w:hint="eastAsia" w:ascii="宋体" w:hAnsi="宋体" w:eastAsia="宋体" w:cs="宋体"/>
          <w:color w:val="auto"/>
          <w:sz w:val="24"/>
          <w:szCs w:val="24"/>
          <w:highlight w:val="none"/>
        </w:rPr>
        <w:t>提供的货物全部由符合政策要求的中小企业制造。相关企业（含联合体中的中小企业、签订分包意向协议的中小企业）的具体情况如下：</w:t>
      </w:r>
    </w:p>
    <w:p w14:paraId="3D4F6209">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u w:val="single"/>
          <w:lang w:val="en-US" w:eastAsia="zh-CN"/>
        </w:rPr>
        <w:t xml:space="preserve"> （标的名称） </w:t>
      </w:r>
      <w:r>
        <w:rPr>
          <w:rFonts w:hint="eastAsia" w:ascii="宋体" w:hAnsi="宋体" w:eastAsia="宋体" w:cs="宋体"/>
          <w:color w:val="auto"/>
          <w:sz w:val="24"/>
          <w:szCs w:val="24"/>
          <w:highlight w:val="none"/>
          <w:lang w:val="en-US" w:eastAsia="zh-CN"/>
        </w:rPr>
        <w:t>，属于</w:t>
      </w:r>
      <w:r>
        <w:rPr>
          <w:rFonts w:hint="eastAsia" w:ascii="宋体" w:hAnsi="宋体" w:eastAsia="宋体" w:cs="宋体"/>
          <w:color w:val="auto"/>
          <w:sz w:val="24"/>
          <w:szCs w:val="24"/>
          <w:highlight w:val="none"/>
          <w:u w:val="single"/>
          <w:lang w:val="en-US" w:eastAsia="zh-CN"/>
        </w:rPr>
        <w:t>（工业）行业</w:t>
      </w:r>
      <w:r>
        <w:rPr>
          <w:rFonts w:hint="eastAsia" w:ascii="宋体" w:hAnsi="宋体" w:eastAsia="宋体" w:cs="宋体"/>
          <w:color w:val="auto"/>
          <w:sz w:val="24"/>
          <w:szCs w:val="24"/>
          <w:highlight w:val="none"/>
          <w:lang w:val="en-US" w:eastAsia="zh-CN"/>
        </w:rPr>
        <w:t>；制造商为</w:t>
      </w:r>
      <w:r>
        <w:rPr>
          <w:rFonts w:hint="eastAsia" w:ascii="宋体" w:hAnsi="宋体" w:eastAsia="宋体" w:cs="宋体"/>
          <w:color w:val="auto"/>
          <w:sz w:val="24"/>
          <w:szCs w:val="24"/>
          <w:highlight w:val="none"/>
          <w:u w:val="single"/>
          <w:lang w:val="en-US" w:eastAsia="zh-CN"/>
        </w:rPr>
        <w:t>（企业名称）</w:t>
      </w:r>
      <w:r>
        <w:rPr>
          <w:rFonts w:hint="eastAsia" w:ascii="宋体" w:hAnsi="宋体" w:eastAsia="宋体" w:cs="宋体"/>
          <w:color w:val="auto"/>
          <w:sz w:val="24"/>
          <w:szCs w:val="24"/>
          <w:highlight w:val="none"/>
          <w:lang w:val="en-US" w:eastAsia="zh-CN"/>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人，营业收入为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万元，资产总额为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万元¹，属于</w:t>
      </w:r>
      <w:r>
        <w:rPr>
          <w:rFonts w:hint="eastAsia" w:ascii="宋体" w:hAnsi="宋体" w:eastAsia="宋体" w:cs="宋体"/>
          <w:color w:val="auto"/>
          <w:sz w:val="24"/>
          <w:szCs w:val="24"/>
          <w:highlight w:val="none"/>
          <w:u w:val="single"/>
          <w:lang w:val="en-US" w:eastAsia="zh-CN"/>
        </w:rPr>
        <w:t>（中型企业、小型企业、微型企业）</w:t>
      </w:r>
      <w:r>
        <w:rPr>
          <w:rFonts w:hint="eastAsia" w:ascii="宋体" w:hAnsi="宋体" w:eastAsia="宋体" w:cs="宋体"/>
          <w:color w:val="auto"/>
          <w:sz w:val="24"/>
          <w:szCs w:val="24"/>
          <w:highlight w:val="none"/>
          <w:lang w:val="en-US" w:eastAsia="zh-CN"/>
        </w:rPr>
        <w:t xml:space="preserve">； </w:t>
      </w:r>
    </w:p>
    <w:p w14:paraId="769BB005">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u w:val="single"/>
          <w:lang w:val="en-US" w:eastAsia="zh-CN"/>
        </w:rPr>
        <w:t xml:space="preserve"> （标的名称） </w:t>
      </w:r>
      <w:r>
        <w:rPr>
          <w:rFonts w:hint="eastAsia" w:ascii="宋体" w:hAnsi="宋体" w:eastAsia="宋体" w:cs="宋体"/>
          <w:color w:val="auto"/>
          <w:sz w:val="24"/>
          <w:szCs w:val="24"/>
          <w:highlight w:val="none"/>
          <w:lang w:val="en-US" w:eastAsia="zh-CN"/>
        </w:rPr>
        <w:t>，属于（</w:t>
      </w:r>
      <w:r>
        <w:rPr>
          <w:rFonts w:hint="eastAsia" w:ascii="宋体" w:hAnsi="宋体" w:eastAsia="宋体" w:cs="宋体"/>
          <w:color w:val="auto"/>
          <w:sz w:val="24"/>
          <w:szCs w:val="24"/>
          <w:highlight w:val="none"/>
          <w:u w:val="single"/>
          <w:lang w:val="en-US" w:eastAsia="zh-CN"/>
        </w:rPr>
        <w:t>工业）行业</w:t>
      </w:r>
      <w:r>
        <w:rPr>
          <w:rFonts w:hint="eastAsia" w:ascii="宋体" w:hAnsi="宋体" w:eastAsia="宋体" w:cs="宋体"/>
          <w:color w:val="auto"/>
          <w:sz w:val="24"/>
          <w:szCs w:val="24"/>
          <w:highlight w:val="none"/>
          <w:lang w:val="en-US" w:eastAsia="zh-CN"/>
        </w:rPr>
        <w:t>；制造商为</w:t>
      </w:r>
      <w:r>
        <w:rPr>
          <w:rFonts w:hint="eastAsia" w:ascii="宋体" w:hAnsi="宋体" w:eastAsia="宋体" w:cs="宋体"/>
          <w:color w:val="auto"/>
          <w:sz w:val="24"/>
          <w:szCs w:val="24"/>
          <w:highlight w:val="none"/>
          <w:u w:val="single"/>
          <w:lang w:val="en-US" w:eastAsia="zh-CN"/>
        </w:rPr>
        <w:t>（企业名称）</w:t>
      </w:r>
      <w:r>
        <w:rPr>
          <w:rFonts w:hint="eastAsia" w:ascii="宋体" w:hAnsi="宋体" w:eastAsia="宋体" w:cs="宋体"/>
          <w:color w:val="auto"/>
          <w:sz w:val="24"/>
          <w:szCs w:val="24"/>
          <w:highlight w:val="none"/>
          <w:lang w:val="en-US" w:eastAsia="zh-CN"/>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人，营业收入为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万元，资产总额为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万元，属于</w:t>
      </w:r>
      <w:r>
        <w:rPr>
          <w:rFonts w:hint="eastAsia" w:ascii="宋体" w:hAnsi="宋体" w:eastAsia="宋体" w:cs="宋体"/>
          <w:color w:val="auto"/>
          <w:sz w:val="24"/>
          <w:szCs w:val="24"/>
          <w:highlight w:val="none"/>
          <w:u w:val="single"/>
          <w:lang w:val="en-US" w:eastAsia="zh-CN"/>
        </w:rPr>
        <w:t>（中型企业、小型企业、微型企业）</w:t>
      </w:r>
      <w:r>
        <w:rPr>
          <w:rFonts w:hint="eastAsia" w:ascii="宋体" w:hAnsi="宋体" w:eastAsia="宋体" w:cs="宋体"/>
          <w:color w:val="auto"/>
          <w:sz w:val="24"/>
          <w:szCs w:val="24"/>
          <w:highlight w:val="none"/>
          <w:lang w:val="en-US" w:eastAsia="zh-CN"/>
        </w:rPr>
        <w:t>；</w:t>
      </w:r>
    </w:p>
    <w:p w14:paraId="1DF61E1B">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p w14:paraId="7BDB1161">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以上企业，不属于大企业的分支机构，不存在控股股东为大企业的情形，也不存在与大企业的负责人为同一人的情形。</w:t>
      </w:r>
    </w:p>
    <w:p w14:paraId="7AC965A4">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本企业对上述声明内容的真实性负责。如有虚假，将依法承担相应责任。</w:t>
      </w:r>
    </w:p>
    <w:p w14:paraId="0E17DF4C">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备注：</w:t>
      </w:r>
      <w:r>
        <w:rPr>
          <w:rFonts w:hint="eastAsia" w:ascii="宋体" w:hAnsi="宋体" w:eastAsia="宋体" w:cs="宋体"/>
          <w:color w:val="auto"/>
          <w:sz w:val="24"/>
          <w:szCs w:val="24"/>
          <w:highlight w:val="none"/>
          <w:lang w:val="en-US" w:eastAsia="zh-CN"/>
        </w:rPr>
        <w:t>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756B193E">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2.从业人员、营业收入、资产总额填报上一年度数据；无上一年度数据的新成立企业可不填报相关数据，参照国务院批准的中小企业划分标准，根据企业自身情况如实判断。</w:t>
      </w:r>
    </w:p>
    <w:p w14:paraId="480CC602">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3.《中小企业声明函》随成交结果同时公开。</w:t>
      </w:r>
    </w:p>
    <w:p w14:paraId="7ED3BB7F">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4.非中小企业可不用提供中小企业声明函。</w:t>
      </w:r>
    </w:p>
    <w:p w14:paraId="76BE9A9B">
      <w:pPr>
        <w:pStyle w:val="17"/>
        <w:spacing w:line="360" w:lineRule="auto"/>
        <w:ind w:firstLine="480" w:firstLineChars="200"/>
        <w:jc w:val="right"/>
        <w:rPr>
          <w:rFonts w:hint="eastAsia" w:ascii="宋体" w:hAnsi="宋体" w:eastAsia="宋体" w:cs="宋体"/>
          <w:b w:val="0"/>
          <w:color w:val="auto"/>
          <w:kern w:val="2"/>
          <w:sz w:val="24"/>
          <w:szCs w:val="24"/>
          <w:highlight w:val="none"/>
          <w:lang w:val="en-US" w:eastAsia="zh-CN" w:bidi="ar-SA"/>
        </w:rPr>
      </w:pPr>
    </w:p>
    <w:p w14:paraId="6DF43F04">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企业名称（盖章）：</w:t>
      </w:r>
    </w:p>
    <w:p w14:paraId="252D9BDB">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日期：</w:t>
      </w:r>
    </w:p>
    <w:p w14:paraId="436B0B13">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color w:val="auto"/>
          <w:sz w:val="24"/>
          <w:szCs w:val="24"/>
          <w:highlight w:val="none"/>
        </w:rPr>
      </w:pPr>
    </w:p>
    <w:p w14:paraId="7ECAB55E">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r>
        <w:rPr>
          <w:rFonts w:hint="eastAsia" w:ascii="宋体" w:hAnsi="宋体" w:eastAsia="宋体" w:cs="宋体"/>
          <w:b/>
          <w:bCs/>
          <w:color w:val="auto"/>
          <w:sz w:val="24"/>
          <w:szCs w:val="24"/>
          <w:highlight w:val="none"/>
        </w:rPr>
        <w:t>附件</w:t>
      </w:r>
      <w:bookmarkEnd w:id="29"/>
      <w:bookmarkEnd w:id="30"/>
      <w:bookmarkEnd w:id="31"/>
      <w:bookmarkEnd w:id="32"/>
      <w:bookmarkEnd w:id="33"/>
      <w:bookmarkEnd w:id="34"/>
      <w:bookmarkEnd w:id="35"/>
      <w:bookmarkEnd w:id="36"/>
      <w:bookmarkEnd w:id="37"/>
      <w:r>
        <w:rPr>
          <w:rFonts w:hint="eastAsia" w:ascii="宋体" w:hAnsi="宋体" w:eastAsia="宋体" w:cs="宋体"/>
          <w:b/>
          <w:bCs/>
          <w:color w:val="auto"/>
          <w:sz w:val="24"/>
          <w:szCs w:val="24"/>
          <w:highlight w:val="none"/>
        </w:rPr>
        <w:t>2</w:t>
      </w:r>
    </w:p>
    <w:p w14:paraId="6A410A81">
      <w:pPr>
        <w:widowControl/>
        <w:spacing w:after="240"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监狱企业证明文件</w:t>
      </w:r>
    </w:p>
    <w:p w14:paraId="1DC5EC68">
      <w:pPr>
        <w:widowControl/>
        <w:spacing w:before="100" w:beforeAutospacing="1" w:after="100" w:afterAutospacing="1"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45DDBDCE">
      <w:pPr>
        <w:pStyle w:val="25"/>
        <w:spacing w:line="360" w:lineRule="auto"/>
        <w:ind w:firstLine="480" w:firstLineChars="200"/>
        <w:rPr>
          <w:rFonts w:hint="eastAsia" w:ascii="宋体" w:hAnsi="宋体" w:eastAsia="宋体" w:cs="宋体"/>
          <w:b/>
          <w:color w:val="auto"/>
          <w:sz w:val="24"/>
          <w:szCs w:val="24"/>
          <w:highlight w:val="none"/>
          <w:lang w:eastAsia="zh-CN"/>
        </w:rPr>
      </w:pPr>
      <w:bookmarkStart w:id="38" w:name="_Toc499739991"/>
      <w:r>
        <w:rPr>
          <w:rFonts w:hint="eastAsia" w:ascii="宋体" w:hAnsi="宋体" w:eastAsia="宋体" w:cs="宋体"/>
          <w:b/>
          <w:color w:val="auto"/>
          <w:sz w:val="24"/>
          <w:szCs w:val="24"/>
          <w:highlight w:val="none"/>
          <w:lang w:eastAsia="zh-CN"/>
        </w:rPr>
        <w:t>注：非监狱企业不提供此证明文件</w:t>
      </w:r>
    </w:p>
    <w:p w14:paraId="414ED3CE">
      <w:pPr>
        <w:rPr>
          <w:rFonts w:hint="eastAsia" w:ascii="宋体" w:hAnsi="宋体" w:eastAsia="宋体" w:cs="宋体"/>
          <w:color w:val="auto"/>
          <w:sz w:val="24"/>
          <w:szCs w:val="24"/>
          <w:highlight w:val="none"/>
        </w:rPr>
      </w:pPr>
    </w:p>
    <w:p w14:paraId="7343245E">
      <w:pPr>
        <w:rPr>
          <w:rFonts w:hint="eastAsia" w:ascii="宋体" w:hAnsi="宋体" w:eastAsia="宋体" w:cs="宋体"/>
          <w:color w:val="auto"/>
          <w:sz w:val="24"/>
          <w:szCs w:val="24"/>
          <w:highlight w:val="none"/>
        </w:rPr>
      </w:pPr>
      <w:bookmarkStart w:id="39" w:name="_Toc11296"/>
      <w:bookmarkStart w:id="40" w:name="_Toc30090"/>
      <w:bookmarkStart w:id="41" w:name="_Toc2290"/>
      <w:bookmarkStart w:id="42" w:name="_Toc16824"/>
      <w:bookmarkStart w:id="43" w:name="_Toc16753"/>
      <w:bookmarkStart w:id="44" w:name="_Toc30838"/>
    </w:p>
    <w:p w14:paraId="03E12282">
      <w:pPr>
        <w:rPr>
          <w:rFonts w:hint="eastAsia" w:ascii="宋体" w:hAnsi="宋体" w:eastAsia="宋体" w:cs="宋体"/>
          <w:color w:val="auto"/>
          <w:sz w:val="24"/>
          <w:szCs w:val="24"/>
          <w:highlight w:val="none"/>
        </w:rPr>
      </w:pPr>
    </w:p>
    <w:p w14:paraId="5F1432F2">
      <w:pPr>
        <w:rPr>
          <w:rFonts w:hint="eastAsia" w:ascii="宋体" w:hAnsi="宋体" w:eastAsia="宋体" w:cs="宋体"/>
          <w:b/>
          <w:bCs/>
          <w:color w:val="auto"/>
          <w:sz w:val="24"/>
          <w:szCs w:val="24"/>
          <w:highlight w:val="none"/>
        </w:rPr>
      </w:pPr>
      <w:bookmarkStart w:id="45" w:name="_Toc3073"/>
      <w:bookmarkStart w:id="46" w:name="_Toc28279"/>
      <w:r>
        <w:rPr>
          <w:rFonts w:hint="eastAsia" w:ascii="宋体" w:hAnsi="宋体" w:eastAsia="宋体" w:cs="宋体"/>
          <w:b/>
          <w:bCs/>
          <w:color w:val="auto"/>
          <w:sz w:val="24"/>
          <w:szCs w:val="24"/>
          <w:highlight w:val="none"/>
        </w:rPr>
        <w:t>附件</w:t>
      </w:r>
      <w:bookmarkEnd w:id="38"/>
      <w:bookmarkEnd w:id="39"/>
      <w:bookmarkEnd w:id="40"/>
      <w:bookmarkEnd w:id="41"/>
      <w:bookmarkEnd w:id="42"/>
      <w:bookmarkEnd w:id="43"/>
      <w:bookmarkEnd w:id="44"/>
      <w:bookmarkEnd w:id="45"/>
      <w:bookmarkEnd w:id="46"/>
      <w:r>
        <w:rPr>
          <w:rFonts w:hint="eastAsia" w:ascii="宋体" w:hAnsi="宋体" w:eastAsia="宋体" w:cs="宋体"/>
          <w:b/>
          <w:bCs/>
          <w:color w:val="auto"/>
          <w:sz w:val="24"/>
          <w:szCs w:val="24"/>
          <w:highlight w:val="none"/>
        </w:rPr>
        <w:t>3</w:t>
      </w:r>
    </w:p>
    <w:p w14:paraId="03F9386D">
      <w:pPr>
        <w:widowControl/>
        <w:spacing w:after="240"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残疾人福利性单位声明函</w:t>
      </w:r>
    </w:p>
    <w:p w14:paraId="4CBB5D7E">
      <w:pPr>
        <w:widowControl/>
        <w:spacing w:before="100" w:beforeAutospacing="1" w:after="100" w:afterAutospacing="1"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272E49C3">
      <w:pPr>
        <w:pStyle w:val="25"/>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注：非残疾人福利性单位不填写此声明函。</w:t>
      </w:r>
    </w:p>
    <w:p w14:paraId="107E3F87">
      <w:pPr>
        <w:spacing w:line="560" w:lineRule="exact"/>
        <w:ind w:firstLine="480" w:firstLineChars="200"/>
        <w:jc w:val="both"/>
        <w:rPr>
          <w:rFonts w:hint="eastAsia" w:ascii="宋体" w:hAnsi="宋体" w:eastAsia="宋体" w:cs="宋体"/>
          <w:color w:val="auto"/>
          <w:sz w:val="24"/>
          <w:szCs w:val="24"/>
          <w:highlight w:val="none"/>
        </w:rPr>
      </w:pPr>
    </w:p>
    <w:p w14:paraId="1113D076">
      <w:pPr>
        <w:spacing w:line="560" w:lineRule="exact"/>
        <w:ind w:firstLine="480" w:firstLineChars="200"/>
        <w:jc w:val="both"/>
        <w:rPr>
          <w:rFonts w:hint="eastAsia" w:ascii="宋体" w:hAnsi="宋体" w:eastAsia="宋体" w:cs="宋体"/>
          <w:color w:val="auto"/>
          <w:sz w:val="24"/>
          <w:szCs w:val="24"/>
          <w:highlight w:val="none"/>
        </w:rPr>
      </w:pPr>
    </w:p>
    <w:p w14:paraId="47A9C61F">
      <w:pPr>
        <w:spacing w:line="560" w:lineRule="exact"/>
        <w:ind w:firstLine="480" w:firstLineChars="200"/>
        <w:jc w:val="both"/>
        <w:rPr>
          <w:rFonts w:hint="eastAsia" w:ascii="宋体" w:hAnsi="宋体" w:eastAsia="宋体" w:cs="宋体"/>
          <w:color w:val="auto"/>
          <w:sz w:val="24"/>
          <w:szCs w:val="24"/>
          <w:highlight w:val="none"/>
        </w:rPr>
      </w:pPr>
    </w:p>
    <w:p w14:paraId="2AFBC4CD">
      <w:pPr>
        <w:rPr>
          <w:rFonts w:hint="eastAsia" w:ascii="宋体" w:hAnsi="宋体" w:eastAsia="宋体" w:cs="宋体"/>
          <w:color w:val="auto"/>
          <w:highlight w:val="none"/>
        </w:rPr>
      </w:pPr>
      <w:r>
        <w:rPr>
          <w:rFonts w:hint="eastAsia" w:ascii="宋体" w:hAnsi="宋体" w:eastAsia="宋体" w:cs="宋体"/>
          <w:color w:val="auto"/>
          <w:sz w:val="24"/>
          <w:szCs w:val="24"/>
          <w:highlight w:val="none"/>
        </w:rPr>
        <w:br w:type="page"/>
      </w:r>
    </w:p>
    <w:p w14:paraId="04CCC270">
      <w:pPr>
        <w:pStyle w:val="4"/>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第五部分  供应商参加政府采购活动承诺书</w:t>
      </w:r>
    </w:p>
    <w:p w14:paraId="3E10A7B7">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未签署下列承诺书的，将被视为无效投标，其责任由供应商自行承担。</w:t>
      </w:r>
    </w:p>
    <w:p w14:paraId="3FEDAEF3">
      <w:pPr>
        <w:ind w:left="0" w:leftChars="0" w:right="0" w:rightChars="0" w:firstLine="0" w:firstLineChars="0"/>
        <w:jc w:val="center"/>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28"/>
          <w:szCs w:val="28"/>
          <w:highlight w:val="none"/>
        </w:rPr>
        <w:t>（一）质量安全责任承诺书</w:t>
      </w:r>
    </w:p>
    <w:p w14:paraId="418814EF">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为保证本采购项目顺利进行，作为投标供应商，现郑重承诺：</w:t>
      </w:r>
    </w:p>
    <w:p w14:paraId="0F33DBD9">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1．我方所投产品的生产（包括设计、制造、安装、改造、维修等）、投入使用的材料等均完全符合国家现行质量、安全、环保标准和要求。</w:t>
      </w:r>
    </w:p>
    <w:p w14:paraId="07A054E5">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14:paraId="03828FE5">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3．对于因产品生产质量以及储存、运输、安装调试、服务、施工等过程中产生的任何安全事故，我方承担全部责任。</w:t>
      </w:r>
    </w:p>
    <w:p w14:paraId="5E5368E3">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4．我方提供的货物、工程、服务等符合现行的国家、行业、地区、企业标准及要求，标准不一致的，以更为严格的为准，我方对提供的货物、工程、服务等的质量、安全、环保等承担全部责任。</w:t>
      </w:r>
    </w:p>
    <w:p w14:paraId="467C37B6">
      <w:pPr>
        <w:spacing w:line="560" w:lineRule="exact"/>
        <w:ind w:firstLine="480" w:firstLineChars="200"/>
        <w:jc w:val="both"/>
        <w:rPr>
          <w:rFonts w:hint="eastAsia" w:ascii="宋体" w:hAnsi="宋体" w:eastAsia="宋体" w:cs="宋体"/>
          <w:color w:val="auto"/>
          <w:sz w:val="24"/>
          <w:szCs w:val="24"/>
          <w:highlight w:val="none"/>
        </w:rPr>
      </w:pPr>
    </w:p>
    <w:p w14:paraId="3EFDC6B8">
      <w:pPr>
        <w:spacing w:line="560" w:lineRule="exact"/>
        <w:ind w:firstLine="2656" w:firstLineChars="110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511563C3">
      <w:pPr>
        <w:spacing w:line="560" w:lineRule="exact"/>
        <w:ind w:firstLine="2656" w:firstLineChars="110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4556241E">
      <w:pPr>
        <w:spacing w:line="560" w:lineRule="exact"/>
        <w:ind w:firstLine="480" w:firstLineChars="200"/>
        <w:jc w:val="both"/>
        <w:rPr>
          <w:rFonts w:hint="eastAsia" w:ascii="宋体" w:hAnsi="宋体" w:eastAsia="宋体" w:cs="宋体"/>
          <w:color w:val="auto"/>
          <w:sz w:val="24"/>
          <w:szCs w:val="24"/>
          <w:highlight w:val="none"/>
        </w:rPr>
      </w:pPr>
    </w:p>
    <w:p w14:paraId="3B2F747F">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41F24227">
      <w:pPr>
        <w:jc w:val="center"/>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（二）参加政府采购活动行为自律承诺书</w:t>
      </w:r>
    </w:p>
    <w:p w14:paraId="6B3D688A">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作为参加本次政府采购项目的供应商，我方郑重承诺在参与政府采购活动中遵纪守法、公平竞争、诚实守信，如有违反愿承担一切责任及后果：</w:t>
      </w:r>
    </w:p>
    <w:p w14:paraId="6D61CC54">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1．不与采购人、采购代理机构、政府采购评审专家恶意串通，不向其行贿或提供其他不正当利益；</w:t>
      </w:r>
    </w:p>
    <w:p w14:paraId="43520A85">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2．不与其他供应商恶意串通，采取“围标、串标、陪标”等商业欺诈手段谋取中标、成交；</w:t>
      </w:r>
    </w:p>
    <w:p w14:paraId="31A9F3AD">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3．不提供虚假或无效证明文件（包括但不限于资格证明文件、合同及验收文件、检验检测报告、从业人员资格证书、机构或所投产品的各类认证证书等）或虚假材料谋取中标、成交；</w:t>
      </w:r>
    </w:p>
    <w:p w14:paraId="6910B16A">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4．不采取不正当手段诋毁、排挤其他供应商；</w:t>
      </w:r>
    </w:p>
    <w:p w14:paraId="62418E0F">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5．不以不正当理由拒不与采购人签订政府采购合同，或逾期签订政府采购合同，或不按照采购文件确定的事项签订政府采购合同；</w:t>
      </w:r>
    </w:p>
    <w:p w14:paraId="2AE8CE8A">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6．不以不正当理由拒绝履行合同义务，不会擅自变更、中止或者终止政府采购合同或将政府采购合同转包；</w:t>
      </w:r>
    </w:p>
    <w:p w14:paraId="6A54F567">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7．不在提供商品、服务或工程施工过程中提供假冒伪劣产品，损害采购人的合法权益或公共利益；</w:t>
      </w:r>
    </w:p>
    <w:p w14:paraId="2551CDC7">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8．不采取捏造事实、提供虚假材料或者以非法手段取得证明材料进行质疑和投诉；</w:t>
      </w:r>
    </w:p>
    <w:p w14:paraId="79983012">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9．不发生其他有悖于政府采购公开、公平、公正和诚信原则的行为。</w:t>
      </w:r>
    </w:p>
    <w:p w14:paraId="08CA707C">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10．尊重和接受政府采购监督管理部门的监督和采购人、采购代理机构的政府采购工作要求，愿意承担因违约行为给采购人造成的损失。</w:t>
      </w:r>
    </w:p>
    <w:p w14:paraId="23145F27">
      <w:pPr>
        <w:spacing w:line="560" w:lineRule="exact"/>
        <w:ind w:firstLine="480" w:firstLineChars="200"/>
        <w:jc w:val="both"/>
        <w:rPr>
          <w:rFonts w:hint="eastAsia" w:ascii="宋体" w:hAnsi="宋体" w:eastAsia="宋体" w:cs="宋体"/>
          <w:color w:val="auto"/>
          <w:sz w:val="24"/>
          <w:szCs w:val="24"/>
          <w:highlight w:val="none"/>
        </w:rPr>
      </w:pPr>
    </w:p>
    <w:p w14:paraId="0AF6E7F5">
      <w:pPr>
        <w:spacing w:line="560" w:lineRule="exact"/>
        <w:ind w:firstLine="2656" w:firstLineChars="1107"/>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72E9450B">
      <w:pPr>
        <w:spacing w:line="560" w:lineRule="exact"/>
        <w:ind w:firstLine="2656" w:firstLineChars="1107"/>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2D0033E2">
      <w:pPr>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14:paraId="306F1C5E">
      <w:pPr>
        <w:pStyle w:val="4"/>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第六部分  投标方案</w:t>
      </w:r>
    </w:p>
    <w:p w14:paraId="64FDEFE8">
      <w:pPr>
        <w:pStyle w:val="98"/>
        <w:spacing w:before="210" w:after="210"/>
        <w:ind w:left="0" w:leftChars="0" w:firstLine="0" w:firstLineChars="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（一）技术（服务）要求</w:t>
      </w:r>
      <w:r>
        <w:rPr>
          <w:rFonts w:hint="eastAsia" w:ascii="宋体" w:hAnsi="宋体" w:eastAsia="宋体" w:cs="宋体"/>
          <w:color w:val="auto"/>
          <w:sz w:val="28"/>
          <w:szCs w:val="28"/>
          <w:highlight w:val="none"/>
          <w:lang w:eastAsia="zh-CN"/>
        </w:rPr>
        <w:t>偏离表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01DDBD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655304F2">
            <w:pPr>
              <w:spacing w:line="5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903" w:type="pct"/>
            <w:tcBorders>
              <w:top w:val="single" w:color="auto" w:sz="12" w:space="0"/>
              <w:bottom w:val="single" w:color="auto" w:sz="2" w:space="0"/>
            </w:tcBorders>
            <w:shd w:val="clear" w:color="auto" w:fill="F1F1F1" w:themeFill="background1" w:themeFillShade="F2"/>
            <w:vAlign w:val="center"/>
          </w:tcPr>
          <w:p w14:paraId="5B742726">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技术条款</w:t>
            </w:r>
          </w:p>
        </w:tc>
        <w:tc>
          <w:tcPr>
            <w:tcW w:w="1325" w:type="pct"/>
            <w:tcBorders>
              <w:top w:val="single" w:color="auto" w:sz="12" w:space="0"/>
              <w:bottom w:val="single" w:color="auto" w:sz="2" w:space="0"/>
            </w:tcBorders>
            <w:shd w:val="clear" w:color="auto" w:fill="F1F1F1" w:themeFill="background1" w:themeFillShade="F2"/>
            <w:vAlign w:val="center"/>
          </w:tcPr>
          <w:p w14:paraId="11115336">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招标文件技术要求</w:t>
            </w:r>
          </w:p>
        </w:tc>
        <w:tc>
          <w:tcPr>
            <w:tcW w:w="1259" w:type="pct"/>
            <w:tcBorders>
              <w:top w:val="single" w:color="auto" w:sz="12" w:space="0"/>
              <w:bottom w:val="single" w:color="auto" w:sz="2" w:space="0"/>
            </w:tcBorders>
            <w:shd w:val="clear" w:color="auto" w:fill="F1F1F1" w:themeFill="background1" w:themeFillShade="F2"/>
            <w:vAlign w:val="center"/>
          </w:tcPr>
          <w:p w14:paraId="0B9031E5">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投标文件技术响应</w:t>
            </w:r>
          </w:p>
        </w:tc>
        <w:tc>
          <w:tcPr>
            <w:tcW w:w="535" w:type="pct"/>
            <w:tcBorders>
              <w:top w:val="single" w:color="auto" w:sz="12" w:space="0"/>
              <w:bottom w:val="single" w:color="auto" w:sz="2" w:space="0"/>
            </w:tcBorders>
            <w:shd w:val="clear" w:color="auto" w:fill="F1F1F1" w:themeFill="background1" w:themeFillShade="F2"/>
            <w:vAlign w:val="center"/>
          </w:tcPr>
          <w:p w14:paraId="382546F5">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34790A81">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偏离</w:t>
            </w:r>
          </w:p>
        </w:tc>
      </w:tr>
      <w:tr w14:paraId="3750D4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2198C9BB">
            <w:pPr>
              <w:spacing w:line="560" w:lineRule="exact"/>
              <w:jc w:val="center"/>
              <w:rPr>
                <w:rFonts w:hint="eastAsia" w:ascii="宋体" w:hAnsi="宋体" w:eastAsia="宋体" w:cs="宋体"/>
                <w:color w:val="auto"/>
                <w:sz w:val="24"/>
                <w:szCs w:val="24"/>
                <w:highlight w:val="none"/>
              </w:rPr>
            </w:pPr>
          </w:p>
        </w:tc>
        <w:tc>
          <w:tcPr>
            <w:tcW w:w="903" w:type="pct"/>
            <w:tcBorders>
              <w:top w:val="single" w:color="auto" w:sz="2" w:space="0"/>
            </w:tcBorders>
            <w:vAlign w:val="center"/>
          </w:tcPr>
          <w:p w14:paraId="74B5B138">
            <w:pPr>
              <w:spacing w:line="560" w:lineRule="exact"/>
              <w:jc w:val="center"/>
              <w:rPr>
                <w:rFonts w:hint="eastAsia" w:ascii="宋体" w:hAnsi="宋体" w:eastAsia="宋体" w:cs="宋体"/>
                <w:color w:val="auto"/>
                <w:sz w:val="24"/>
                <w:szCs w:val="24"/>
                <w:highlight w:val="none"/>
              </w:rPr>
            </w:pPr>
          </w:p>
        </w:tc>
        <w:tc>
          <w:tcPr>
            <w:tcW w:w="1325" w:type="pct"/>
            <w:tcBorders>
              <w:top w:val="single" w:color="auto" w:sz="2" w:space="0"/>
            </w:tcBorders>
            <w:vAlign w:val="center"/>
          </w:tcPr>
          <w:p w14:paraId="4401B6C4">
            <w:pPr>
              <w:spacing w:line="560" w:lineRule="exact"/>
              <w:jc w:val="center"/>
              <w:rPr>
                <w:rFonts w:hint="eastAsia" w:ascii="宋体" w:hAnsi="宋体" w:eastAsia="宋体" w:cs="宋体"/>
                <w:color w:val="auto"/>
                <w:sz w:val="24"/>
                <w:szCs w:val="24"/>
                <w:highlight w:val="none"/>
              </w:rPr>
            </w:pPr>
          </w:p>
        </w:tc>
        <w:tc>
          <w:tcPr>
            <w:tcW w:w="1259" w:type="pct"/>
            <w:tcBorders>
              <w:top w:val="single" w:color="auto" w:sz="2" w:space="0"/>
            </w:tcBorders>
            <w:vAlign w:val="center"/>
          </w:tcPr>
          <w:p w14:paraId="56A2B979">
            <w:pPr>
              <w:spacing w:line="560" w:lineRule="exact"/>
              <w:jc w:val="center"/>
              <w:rPr>
                <w:rFonts w:hint="eastAsia" w:ascii="宋体" w:hAnsi="宋体" w:eastAsia="宋体" w:cs="宋体"/>
                <w:color w:val="auto"/>
                <w:sz w:val="24"/>
                <w:szCs w:val="24"/>
                <w:highlight w:val="none"/>
              </w:rPr>
            </w:pPr>
          </w:p>
        </w:tc>
        <w:tc>
          <w:tcPr>
            <w:tcW w:w="535" w:type="pct"/>
            <w:tcBorders>
              <w:top w:val="single" w:color="auto" w:sz="2" w:space="0"/>
            </w:tcBorders>
            <w:vAlign w:val="center"/>
          </w:tcPr>
          <w:p w14:paraId="12EDC7BC">
            <w:pPr>
              <w:spacing w:line="560" w:lineRule="exact"/>
              <w:jc w:val="center"/>
              <w:rPr>
                <w:rFonts w:hint="eastAsia" w:ascii="宋体" w:hAnsi="宋体" w:eastAsia="宋体" w:cs="宋体"/>
                <w:color w:val="auto"/>
                <w:sz w:val="24"/>
                <w:szCs w:val="24"/>
                <w:highlight w:val="none"/>
              </w:rPr>
            </w:pPr>
          </w:p>
        </w:tc>
        <w:tc>
          <w:tcPr>
            <w:tcW w:w="620" w:type="pct"/>
            <w:tcBorders>
              <w:top w:val="single" w:color="auto" w:sz="2" w:space="0"/>
            </w:tcBorders>
            <w:vAlign w:val="center"/>
          </w:tcPr>
          <w:p w14:paraId="7AAD902E">
            <w:pPr>
              <w:spacing w:line="560" w:lineRule="exact"/>
              <w:jc w:val="center"/>
              <w:rPr>
                <w:rFonts w:hint="eastAsia" w:ascii="宋体" w:hAnsi="宋体" w:eastAsia="宋体" w:cs="宋体"/>
                <w:color w:val="auto"/>
                <w:sz w:val="24"/>
                <w:szCs w:val="24"/>
                <w:highlight w:val="none"/>
              </w:rPr>
            </w:pPr>
          </w:p>
        </w:tc>
      </w:tr>
      <w:tr w14:paraId="7DCCF0F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A29DA7C">
            <w:pPr>
              <w:spacing w:line="560" w:lineRule="exact"/>
              <w:jc w:val="center"/>
              <w:rPr>
                <w:rFonts w:hint="eastAsia" w:ascii="宋体" w:hAnsi="宋体" w:eastAsia="宋体" w:cs="宋体"/>
                <w:color w:val="auto"/>
                <w:sz w:val="24"/>
                <w:szCs w:val="24"/>
                <w:highlight w:val="none"/>
              </w:rPr>
            </w:pPr>
          </w:p>
        </w:tc>
        <w:tc>
          <w:tcPr>
            <w:tcW w:w="903" w:type="pct"/>
            <w:vAlign w:val="center"/>
          </w:tcPr>
          <w:p w14:paraId="7028C458">
            <w:pPr>
              <w:spacing w:line="560" w:lineRule="exact"/>
              <w:jc w:val="center"/>
              <w:rPr>
                <w:rFonts w:hint="eastAsia" w:ascii="宋体" w:hAnsi="宋体" w:eastAsia="宋体" w:cs="宋体"/>
                <w:color w:val="auto"/>
                <w:sz w:val="24"/>
                <w:szCs w:val="24"/>
                <w:highlight w:val="none"/>
              </w:rPr>
            </w:pPr>
          </w:p>
        </w:tc>
        <w:tc>
          <w:tcPr>
            <w:tcW w:w="1325" w:type="pct"/>
            <w:vAlign w:val="center"/>
          </w:tcPr>
          <w:p w14:paraId="750FB556">
            <w:pPr>
              <w:spacing w:line="560" w:lineRule="exact"/>
              <w:jc w:val="center"/>
              <w:rPr>
                <w:rFonts w:hint="eastAsia" w:ascii="宋体" w:hAnsi="宋体" w:eastAsia="宋体" w:cs="宋体"/>
                <w:color w:val="auto"/>
                <w:sz w:val="24"/>
                <w:szCs w:val="24"/>
                <w:highlight w:val="none"/>
              </w:rPr>
            </w:pPr>
          </w:p>
        </w:tc>
        <w:tc>
          <w:tcPr>
            <w:tcW w:w="1259" w:type="pct"/>
            <w:vAlign w:val="center"/>
          </w:tcPr>
          <w:p w14:paraId="54FAD2B6">
            <w:pPr>
              <w:spacing w:line="560" w:lineRule="exact"/>
              <w:jc w:val="center"/>
              <w:rPr>
                <w:rFonts w:hint="eastAsia" w:ascii="宋体" w:hAnsi="宋体" w:eastAsia="宋体" w:cs="宋体"/>
                <w:color w:val="auto"/>
                <w:sz w:val="24"/>
                <w:szCs w:val="24"/>
                <w:highlight w:val="none"/>
              </w:rPr>
            </w:pPr>
          </w:p>
        </w:tc>
        <w:tc>
          <w:tcPr>
            <w:tcW w:w="535" w:type="pct"/>
            <w:vAlign w:val="center"/>
          </w:tcPr>
          <w:p w14:paraId="3B9EBFAA">
            <w:pPr>
              <w:spacing w:line="560" w:lineRule="exact"/>
              <w:jc w:val="center"/>
              <w:rPr>
                <w:rFonts w:hint="eastAsia" w:ascii="宋体" w:hAnsi="宋体" w:eastAsia="宋体" w:cs="宋体"/>
                <w:color w:val="auto"/>
                <w:sz w:val="24"/>
                <w:szCs w:val="24"/>
                <w:highlight w:val="none"/>
              </w:rPr>
            </w:pPr>
          </w:p>
        </w:tc>
        <w:tc>
          <w:tcPr>
            <w:tcW w:w="620" w:type="pct"/>
            <w:vAlign w:val="center"/>
          </w:tcPr>
          <w:p w14:paraId="6E6E6533">
            <w:pPr>
              <w:spacing w:line="560" w:lineRule="exact"/>
              <w:jc w:val="center"/>
              <w:rPr>
                <w:rFonts w:hint="eastAsia" w:ascii="宋体" w:hAnsi="宋体" w:eastAsia="宋体" w:cs="宋体"/>
                <w:color w:val="auto"/>
                <w:sz w:val="24"/>
                <w:szCs w:val="24"/>
                <w:highlight w:val="none"/>
              </w:rPr>
            </w:pPr>
          </w:p>
        </w:tc>
      </w:tr>
      <w:tr w14:paraId="433C78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1BCA3654">
            <w:pPr>
              <w:spacing w:line="560" w:lineRule="exact"/>
              <w:jc w:val="center"/>
              <w:rPr>
                <w:rFonts w:hint="eastAsia" w:ascii="宋体" w:hAnsi="宋体" w:eastAsia="宋体" w:cs="宋体"/>
                <w:color w:val="auto"/>
                <w:sz w:val="24"/>
                <w:szCs w:val="24"/>
                <w:highlight w:val="none"/>
              </w:rPr>
            </w:pPr>
          </w:p>
        </w:tc>
        <w:tc>
          <w:tcPr>
            <w:tcW w:w="903" w:type="pct"/>
            <w:vAlign w:val="center"/>
          </w:tcPr>
          <w:p w14:paraId="762C3FC4">
            <w:pPr>
              <w:spacing w:line="560" w:lineRule="exact"/>
              <w:jc w:val="center"/>
              <w:rPr>
                <w:rFonts w:hint="eastAsia" w:ascii="宋体" w:hAnsi="宋体" w:eastAsia="宋体" w:cs="宋体"/>
                <w:color w:val="auto"/>
                <w:sz w:val="24"/>
                <w:szCs w:val="24"/>
                <w:highlight w:val="none"/>
              </w:rPr>
            </w:pPr>
          </w:p>
        </w:tc>
        <w:tc>
          <w:tcPr>
            <w:tcW w:w="1325" w:type="pct"/>
            <w:vAlign w:val="center"/>
          </w:tcPr>
          <w:p w14:paraId="4C6C8AB7">
            <w:pPr>
              <w:spacing w:line="560" w:lineRule="exact"/>
              <w:jc w:val="center"/>
              <w:rPr>
                <w:rFonts w:hint="eastAsia" w:ascii="宋体" w:hAnsi="宋体" w:eastAsia="宋体" w:cs="宋体"/>
                <w:color w:val="auto"/>
                <w:sz w:val="24"/>
                <w:szCs w:val="24"/>
                <w:highlight w:val="none"/>
              </w:rPr>
            </w:pPr>
          </w:p>
        </w:tc>
        <w:tc>
          <w:tcPr>
            <w:tcW w:w="1259" w:type="pct"/>
            <w:vAlign w:val="center"/>
          </w:tcPr>
          <w:p w14:paraId="2706D17E">
            <w:pPr>
              <w:spacing w:line="560" w:lineRule="exact"/>
              <w:jc w:val="center"/>
              <w:rPr>
                <w:rFonts w:hint="eastAsia" w:ascii="宋体" w:hAnsi="宋体" w:eastAsia="宋体" w:cs="宋体"/>
                <w:color w:val="auto"/>
                <w:sz w:val="24"/>
                <w:szCs w:val="24"/>
                <w:highlight w:val="none"/>
              </w:rPr>
            </w:pPr>
          </w:p>
        </w:tc>
        <w:tc>
          <w:tcPr>
            <w:tcW w:w="535" w:type="pct"/>
            <w:vAlign w:val="center"/>
          </w:tcPr>
          <w:p w14:paraId="65F97269">
            <w:pPr>
              <w:spacing w:line="560" w:lineRule="exact"/>
              <w:jc w:val="center"/>
              <w:rPr>
                <w:rFonts w:hint="eastAsia" w:ascii="宋体" w:hAnsi="宋体" w:eastAsia="宋体" w:cs="宋体"/>
                <w:color w:val="auto"/>
                <w:sz w:val="24"/>
                <w:szCs w:val="24"/>
                <w:highlight w:val="none"/>
              </w:rPr>
            </w:pPr>
          </w:p>
        </w:tc>
        <w:tc>
          <w:tcPr>
            <w:tcW w:w="620" w:type="pct"/>
            <w:vAlign w:val="center"/>
          </w:tcPr>
          <w:p w14:paraId="0BD2D5E6">
            <w:pPr>
              <w:spacing w:line="560" w:lineRule="exact"/>
              <w:jc w:val="center"/>
              <w:rPr>
                <w:rFonts w:hint="eastAsia" w:ascii="宋体" w:hAnsi="宋体" w:eastAsia="宋体" w:cs="宋体"/>
                <w:color w:val="auto"/>
                <w:sz w:val="24"/>
                <w:szCs w:val="24"/>
                <w:highlight w:val="none"/>
              </w:rPr>
            </w:pPr>
          </w:p>
        </w:tc>
      </w:tr>
      <w:tr w14:paraId="2127351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A78DD07">
            <w:pPr>
              <w:spacing w:line="560" w:lineRule="exact"/>
              <w:jc w:val="center"/>
              <w:rPr>
                <w:rFonts w:hint="eastAsia" w:ascii="宋体" w:hAnsi="宋体" w:eastAsia="宋体" w:cs="宋体"/>
                <w:color w:val="auto"/>
                <w:sz w:val="24"/>
                <w:szCs w:val="24"/>
                <w:highlight w:val="none"/>
              </w:rPr>
            </w:pPr>
          </w:p>
        </w:tc>
        <w:tc>
          <w:tcPr>
            <w:tcW w:w="903" w:type="pct"/>
            <w:vAlign w:val="center"/>
          </w:tcPr>
          <w:p w14:paraId="79A133A1">
            <w:pPr>
              <w:spacing w:line="560" w:lineRule="exact"/>
              <w:jc w:val="center"/>
              <w:rPr>
                <w:rFonts w:hint="eastAsia" w:ascii="宋体" w:hAnsi="宋体" w:eastAsia="宋体" w:cs="宋体"/>
                <w:color w:val="auto"/>
                <w:sz w:val="24"/>
                <w:szCs w:val="24"/>
                <w:highlight w:val="none"/>
              </w:rPr>
            </w:pPr>
          </w:p>
        </w:tc>
        <w:tc>
          <w:tcPr>
            <w:tcW w:w="1325" w:type="pct"/>
            <w:vAlign w:val="center"/>
          </w:tcPr>
          <w:p w14:paraId="4C6DF418">
            <w:pPr>
              <w:spacing w:line="560" w:lineRule="exact"/>
              <w:jc w:val="center"/>
              <w:rPr>
                <w:rFonts w:hint="eastAsia" w:ascii="宋体" w:hAnsi="宋体" w:eastAsia="宋体" w:cs="宋体"/>
                <w:color w:val="auto"/>
                <w:sz w:val="24"/>
                <w:szCs w:val="24"/>
                <w:highlight w:val="none"/>
              </w:rPr>
            </w:pPr>
          </w:p>
        </w:tc>
        <w:tc>
          <w:tcPr>
            <w:tcW w:w="1259" w:type="pct"/>
            <w:vAlign w:val="center"/>
          </w:tcPr>
          <w:p w14:paraId="4D120CCB">
            <w:pPr>
              <w:spacing w:line="560" w:lineRule="exact"/>
              <w:jc w:val="center"/>
              <w:rPr>
                <w:rFonts w:hint="eastAsia" w:ascii="宋体" w:hAnsi="宋体" w:eastAsia="宋体" w:cs="宋体"/>
                <w:color w:val="auto"/>
                <w:sz w:val="24"/>
                <w:szCs w:val="24"/>
                <w:highlight w:val="none"/>
              </w:rPr>
            </w:pPr>
          </w:p>
        </w:tc>
        <w:tc>
          <w:tcPr>
            <w:tcW w:w="535" w:type="pct"/>
            <w:vAlign w:val="center"/>
          </w:tcPr>
          <w:p w14:paraId="6D93841A">
            <w:pPr>
              <w:spacing w:line="560" w:lineRule="exact"/>
              <w:jc w:val="center"/>
              <w:rPr>
                <w:rFonts w:hint="eastAsia" w:ascii="宋体" w:hAnsi="宋体" w:eastAsia="宋体" w:cs="宋体"/>
                <w:color w:val="auto"/>
                <w:sz w:val="24"/>
                <w:szCs w:val="24"/>
                <w:highlight w:val="none"/>
              </w:rPr>
            </w:pPr>
          </w:p>
        </w:tc>
        <w:tc>
          <w:tcPr>
            <w:tcW w:w="620" w:type="pct"/>
            <w:vAlign w:val="center"/>
          </w:tcPr>
          <w:p w14:paraId="6D34E950">
            <w:pPr>
              <w:spacing w:line="560" w:lineRule="exact"/>
              <w:jc w:val="center"/>
              <w:rPr>
                <w:rFonts w:hint="eastAsia" w:ascii="宋体" w:hAnsi="宋体" w:eastAsia="宋体" w:cs="宋体"/>
                <w:color w:val="auto"/>
                <w:sz w:val="24"/>
                <w:szCs w:val="24"/>
                <w:highlight w:val="none"/>
              </w:rPr>
            </w:pPr>
          </w:p>
        </w:tc>
      </w:tr>
      <w:tr w14:paraId="7371FE4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6AFDF17D">
            <w:pPr>
              <w:spacing w:line="560" w:lineRule="exact"/>
              <w:jc w:val="center"/>
              <w:rPr>
                <w:rFonts w:hint="eastAsia" w:ascii="宋体" w:hAnsi="宋体" w:eastAsia="宋体" w:cs="宋体"/>
                <w:color w:val="auto"/>
                <w:sz w:val="24"/>
                <w:szCs w:val="24"/>
                <w:highlight w:val="none"/>
              </w:rPr>
            </w:pPr>
          </w:p>
        </w:tc>
        <w:tc>
          <w:tcPr>
            <w:tcW w:w="903" w:type="pct"/>
            <w:vAlign w:val="center"/>
          </w:tcPr>
          <w:p w14:paraId="4D99F819">
            <w:pPr>
              <w:spacing w:line="560" w:lineRule="exact"/>
              <w:jc w:val="center"/>
              <w:rPr>
                <w:rFonts w:hint="eastAsia" w:ascii="宋体" w:hAnsi="宋体" w:eastAsia="宋体" w:cs="宋体"/>
                <w:color w:val="auto"/>
                <w:sz w:val="24"/>
                <w:szCs w:val="24"/>
                <w:highlight w:val="none"/>
              </w:rPr>
            </w:pPr>
          </w:p>
        </w:tc>
        <w:tc>
          <w:tcPr>
            <w:tcW w:w="1325" w:type="pct"/>
            <w:vAlign w:val="center"/>
          </w:tcPr>
          <w:p w14:paraId="599B42DD">
            <w:pPr>
              <w:spacing w:line="560" w:lineRule="exact"/>
              <w:jc w:val="center"/>
              <w:rPr>
                <w:rFonts w:hint="eastAsia" w:ascii="宋体" w:hAnsi="宋体" w:eastAsia="宋体" w:cs="宋体"/>
                <w:color w:val="auto"/>
                <w:sz w:val="24"/>
                <w:szCs w:val="24"/>
                <w:highlight w:val="none"/>
              </w:rPr>
            </w:pPr>
          </w:p>
        </w:tc>
        <w:tc>
          <w:tcPr>
            <w:tcW w:w="1259" w:type="pct"/>
            <w:vAlign w:val="center"/>
          </w:tcPr>
          <w:p w14:paraId="70E686FE">
            <w:pPr>
              <w:spacing w:line="560" w:lineRule="exact"/>
              <w:jc w:val="center"/>
              <w:rPr>
                <w:rFonts w:hint="eastAsia" w:ascii="宋体" w:hAnsi="宋体" w:eastAsia="宋体" w:cs="宋体"/>
                <w:color w:val="auto"/>
                <w:sz w:val="24"/>
                <w:szCs w:val="24"/>
                <w:highlight w:val="none"/>
              </w:rPr>
            </w:pPr>
          </w:p>
        </w:tc>
        <w:tc>
          <w:tcPr>
            <w:tcW w:w="535" w:type="pct"/>
            <w:vAlign w:val="center"/>
          </w:tcPr>
          <w:p w14:paraId="6CBAD48E">
            <w:pPr>
              <w:spacing w:line="560" w:lineRule="exact"/>
              <w:jc w:val="center"/>
              <w:rPr>
                <w:rFonts w:hint="eastAsia" w:ascii="宋体" w:hAnsi="宋体" w:eastAsia="宋体" w:cs="宋体"/>
                <w:color w:val="auto"/>
                <w:sz w:val="24"/>
                <w:szCs w:val="24"/>
                <w:highlight w:val="none"/>
              </w:rPr>
            </w:pPr>
          </w:p>
        </w:tc>
        <w:tc>
          <w:tcPr>
            <w:tcW w:w="620" w:type="pct"/>
            <w:vAlign w:val="center"/>
          </w:tcPr>
          <w:p w14:paraId="1BB48C27">
            <w:pPr>
              <w:spacing w:line="560" w:lineRule="exact"/>
              <w:jc w:val="center"/>
              <w:rPr>
                <w:rFonts w:hint="eastAsia" w:ascii="宋体" w:hAnsi="宋体" w:eastAsia="宋体" w:cs="宋体"/>
                <w:color w:val="auto"/>
                <w:sz w:val="24"/>
                <w:szCs w:val="24"/>
                <w:highlight w:val="none"/>
              </w:rPr>
            </w:pPr>
          </w:p>
        </w:tc>
      </w:tr>
      <w:tr w14:paraId="1DFB61D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6C0AB981">
            <w:pPr>
              <w:spacing w:line="560" w:lineRule="exact"/>
              <w:jc w:val="center"/>
              <w:rPr>
                <w:rFonts w:hint="eastAsia" w:ascii="宋体" w:hAnsi="宋体" w:eastAsia="宋体" w:cs="宋体"/>
                <w:color w:val="auto"/>
                <w:sz w:val="24"/>
                <w:szCs w:val="24"/>
                <w:highlight w:val="none"/>
              </w:rPr>
            </w:pPr>
          </w:p>
        </w:tc>
        <w:tc>
          <w:tcPr>
            <w:tcW w:w="903" w:type="pct"/>
            <w:vAlign w:val="center"/>
          </w:tcPr>
          <w:p w14:paraId="61C4A1BB">
            <w:pPr>
              <w:spacing w:line="560" w:lineRule="exact"/>
              <w:jc w:val="center"/>
              <w:rPr>
                <w:rFonts w:hint="eastAsia" w:ascii="宋体" w:hAnsi="宋体" w:eastAsia="宋体" w:cs="宋体"/>
                <w:color w:val="auto"/>
                <w:sz w:val="24"/>
                <w:szCs w:val="24"/>
                <w:highlight w:val="none"/>
              </w:rPr>
            </w:pPr>
          </w:p>
        </w:tc>
        <w:tc>
          <w:tcPr>
            <w:tcW w:w="1325" w:type="pct"/>
            <w:vAlign w:val="center"/>
          </w:tcPr>
          <w:p w14:paraId="283C6F07">
            <w:pPr>
              <w:spacing w:line="560" w:lineRule="exact"/>
              <w:jc w:val="center"/>
              <w:rPr>
                <w:rFonts w:hint="eastAsia" w:ascii="宋体" w:hAnsi="宋体" w:eastAsia="宋体" w:cs="宋体"/>
                <w:color w:val="auto"/>
                <w:sz w:val="24"/>
                <w:szCs w:val="24"/>
                <w:highlight w:val="none"/>
              </w:rPr>
            </w:pPr>
          </w:p>
        </w:tc>
        <w:tc>
          <w:tcPr>
            <w:tcW w:w="1259" w:type="pct"/>
            <w:vAlign w:val="center"/>
          </w:tcPr>
          <w:p w14:paraId="60065D53">
            <w:pPr>
              <w:spacing w:line="560" w:lineRule="exact"/>
              <w:jc w:val="center"/>
              <w:rPr>
                <w:rFonts w:hint="eastAsia" w:ascii="宋体" w:hAnsi="宋体" w:eastAsia="宋体" w:cs="宋体"/>
                <w:color w:val="auto"/>
                <w:sz w:val="24"/>
                <w:szCs w:val="24"/>
                <w:highlight w:val="none"/>
              </w:rPr>
            </w:pPr>
          </w:p>
        </w:tc>
        <w:tc>
          <w:tcPr>
            <w:tcW w:w="535" w:type="pct"/>
            <w:vAlign w:val="center"/>
          </w:tcPr>
          <w:p w14:paraId="04A45614">
            <w:pPr>
              <w:spacing w:line="560" w:lineRule="exact"/>
              <w:jc w:val="center"/>
              <w:rPr>
                <w:rFonts w:hint="eastAsia" w:ascii="宋体" w:hAnsi="宋体" w:eastAsia="宋体" w:cs="宋体"/>
                <w:color w:val="auto"/>
                <w:sz w:val="24"/>
                <w:szCs w:val="24"/>
                <w:highlight w:val="none"/>
              </w:rPr>
            </w:pPr>
          </w:p>
        </w:tc>
        <w:tc>
          <w:tcPr>
            <w:tcW w:w="620" w:type="pct"/>
            <w:vAlign w:val="center"/>
          </w:tcPr>
          <w:p w14:paraId="2081A4B5">
            <w:pPr>
              <w:spacing w:line="560" w:lineRule="exact"/>
              <w:jc w:val="center"/>
              <w:rPr>
                <w:rFonts w:hint="eastAsia" w:ascii="宋体" w:hAnsi="宋体" w:eastAsia="宋体" w:cs="宋体"/>
                <w:color w:val="auto"/>
                <w:sz w:val="24"/>
                <w:szCs w:val="24"/>
                <w:highlight w:val="none"/>
              </w:rPr>
            </w:pPr>
          </w:p>
        </w:tc>
      </w:tr>
      <w:tr w14:paraId="50BF8EB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49EA085">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4643" w:type="pct"/>
            <w:gridSpan w:val="5"/>
            <w:vAlign w:val="center"/>
          </w:tcPr>
          <w:p w14:paraId="6C40D2FD">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1．对第三章</w:t>
            </w:r>
            <w:r>
              <w:rPr>
                <w:rFonts w:hint="eastAsia" w:ascii="宋体" w:hAnsi="宋体" w:eastAsia="宋体" w:cs="宋体"/>
                <w:color w:val="auto"/>
                <w:sz w:val="24"/>
                <w:szCs w:val="24"/>
                <w:highlight w:val="none"/>
                <w:lang w:eastAsia="zh-CN"/>
              </w:rPr>
              <w:t>招标内容及</w:t>
            </w:r>
            <w:r>
              <w:rPr>
                <w:rFonts w:hint="eastAsia" w:ascii="宋体" w:hAnsi="宋体" w:eastAsia="宋体" w:cs="宋体"/>
                <w:color w:val="auto"/>
                <w:sz w:val="24"/>
                <w:szCs w:val="24"/>
                <w:highlight w:val="none"/>
              </w:rPr>
              <w:t>要求做出响应。</w:t>
            </w:r>
          </w:p>
          <w:p w14:paraId="743879CB">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2．响应说明按实际响应情况填写“优于”、“响应”、“不响应”。</w:t>
            </w:r>
          </w:p>
        </w:tc>
      </w:tr>
    </w:tbl>
    <w:p w14:paraId="0199D3C1">
      <w:pPr>
        <w:spacing w:line="5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注：</w:t>
      </w:r>
      <w:r>
        <w:rPr>
          <w:rFonts w:hint="eastAsia" w:ascii="宋体" w:hAnsi="宋体" w:eastAsia="宋体" w:cs="宋体"/>
          <w:color w:val="auto"/>
          <w:sz w:val="24"/>
          <w:szCs w:val="24"/>
          <w:highlight w:val="none"/>
          <w:lang w:val="en-US" w:eastAsia="zh-CN"/>
        </w:rPr>
        <w:t>投标人可根据项目情况自行增加内容项完善表格，表格不够用，可按此表复制。技术要求偏离表应逐条响应，如有漏项视为没有实质性响应招标文件。</w:t>
      </w:r>
    </w:p>
    <w:p w14:paraId="2E99ACEA">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681BFDF9">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231ECAB6">
      <w:pPr>
        <w:spacing w:line="560" w:lineRule="exact"/>
        <w:ind w:firstLine="600"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附：技术（服务）响应方案</w:t>
      </w:r>
    </w:p>
    <w:p w14:paraId="1FF314E0">
      <w:pPr>
        <w:spacing w:line="5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根据本项目“第二章</w:t>
      </w:r>
      <w:r>
        <w:rPr>
          <w:rFonts w:hint="eastAsia" w:ascii="宋体" w:hAnsi="宋体" w:eastAsia="宋体" w:cs="宋体"/>
          <w:color w:val="auto"/>
          <w:sz w:val="24"/>
          <w:szCs w:val="24"/>
          <w:highlight w:val="none"/>
          <w:lang w:val="en-US" w:eastAsia="zh-CN"/>
        </w:rPr>
        <w:t xml:space="preserve"> 供应商须知”中的〖评审要素及分值一览表〗提供。</w:t>
      </w:r>
    </w:p>
    <w:p w14:paraId="4AD3C910">
      <w:pPr>
        <w:spacing w:line="5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1.技术响应</w:t>
      </w:r>
    </w:p>
    <w:p w14:paraId="258E463B">
      <w:pPr>
        <w:spacing w:line="560" w:lineRule="exact"/>
        <w:ind w:firstLine="480" w:firstLineChars="200"/>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2.售后服务</w:t>
      </w:r>
    </w:p>
    <w:p w14:paraId="3A269DDB">
      <w:pPr>
        <w:spacing w:line="560" w:lineRule="exact"/>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36733703">
      <w:pPr>
        <w:pStyle w:val="98"/>
        <w:spacing w:before="210" w:after="210"/>
        <w:ind w:left="0" w:leftChars="0" w:firstLine="0" w:firstLineChars="0"/>
        <w:outlineLvl w:val="9"/>
        <w:rPr>
          <w:rFonts w:hint="eastAsia" w:ascii="宋体" w:hAnsi="宋体" w:eastAsia="宋体" w:cs="宋体"/>
          <w:color w:val="auto"/>
          <w:sz w:val="28"/>
          <w:szCs w:val="28"/>
          <w:highlight w:val="none"/>
          <w:lang w:val="zh-CN" w:eastAsia="zh-CN"/>
        </w:rPr>
      </w:pPr>
      <w:r>
        <w:rPr>
          <w:rFonts w:hint="eastAsia" w:ascii="宋体" w:hAnsi="宋体" w:eastAsia="宋体" w:cs="宋体"/>
          <w:color w:val="auto"/>
          <w:sz w:val="28"/>
          <w:szCs w:val="28"/>
          <w:highlight w:val="none"/>
          <w:lang w:eastAsia="zh-CN"/>
        </w:rPr>
        <w:t>（二）商务要求偏离表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60E83A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00E053E7">
            <w:pPr>
              <w:spacing w:line="5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903" w:type="pct"/>
            <w:tcBorders>
              <w:top w:val="single" w:color="auto" w:sz="12" w:space="0"/>
              <w:bottom w:val="single" w:color="auto" w:sz="2" w:space="0"/>
            </w:tcBorders>
            <w:shd w:val="clear" w:color="auto" w:fill="F1F1F1" w:themeFill="background1" w:themeFillShade="F2"/>
            <w:vAlign w:val="center"/>
          </w:tcPr>
          <w:p w14:paraId="2FF2E821">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商务条款</w:t>
            </w:r>
          </w:p>
        </w:tc>
        <w:tc>
          <w:tcPr>
            <w:tcW w:w="1325" w:type="pct"/>
            <w:tcBorders>
              <w:top w:val="single" w:color="auto" w:sz="12" w:space="0"/>
              <w:bottom w:val="single" w:color="auto" w:sz="2" w:space="0"/>
            </w:tcBorders>
            <w:shd w:val="clear" w:color="auto" w:fill="F1F1F1" w:themeFill="background1" w:themeFillShade="F2"/>
            <w:vAlign w:val="center"/>
          </w:tcPr>
          <w:p w14:paraId="65EE3B1C">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themeFill="background1" w:themeFillShade="F2"/>
            <w:vAlign w:val="center"/>
          </w:tcPr>
          <w:p w14:paraId="4C88DA49">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投标文件商务响应</w:t>
            </w:r>
          </w:p>
        </w:tc>
        <w:tc>
          <w:tcPr>
            <w:tcW w:w="535" w:type="pct"/>
            <w:tcBorders>
              <w:top w:val="single" w:color="auto" w:sz="12" w:space="0"/>
              <w:bottom w:val="single" w:color="auto" w:sz="2" w:space="0"/>
            </w:tcBorders>
            <w:shd w:val="clear" w:color="auto" w:fill="F1F1F1" w:themeFill="background1" w:themeFillShade="F2"/>
            <w:vAlign w:val="center"/>
          </w:tcPr>
          <w:p w14:paraId="49B20E28">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098098AC">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偏离</w:t>
            </w:r>
          </w:p>
        </w:tc>
      </w:tr>
      <w:tr w14:paraId="3176B1E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08C28FC0">
            <w:pPr>
              <w:spacing w:line="560" w:lineRule="exact"/>
              <w:jc w:val="center"/>
              <w:rPr>
                <w:rFonts w:hint="eastAsia" w:ascii="宋体" w:hAnsi="宋体" w:eastAsia="宋体" w:cs="宋体"/>
                <w:color w:val="auto"/>
                <w:sz w:val="24"/>
                <w:szCs w:val="24"/>
                <w:highlight w:val="none"/>
              </w:rPr>
            </w:pPr>
          </w:p>
        </w:tc>
        <w:tc>
          <w:tcPr>
            <w:tcW w:w="903" w:type="pct"/>
            <w:tcBorders>
              <w:top w:val="single" w:color="auto" w:sz="2" w:space="0"/>
            </w:tcBorders>
            <w:vAlign w:val="center"/>
          </w:tcPr>
          <w:p w14:paraId="5780CFCF">
            <w:pPr>
              <w:spacing w:line="560" w:lineRule="exact"/>
              <w:jc w:val="center"/>
              <w:rPr>
                <w:rFonts w:hint="eastAsia" w:ascii="宋体" w:hAnsi="宋体" w:eastAsia="宋体" w:cs="宋体"/>
                <w:color w:val="auto"/>
                <w:sz w:val="24"/>
                <w:szCs w:val="24"/>
                <w:highlight w:val="none"/>
              </w:rPr>
            </w:pPr>
          </w:p>
        </w:tc>
        <w:tc>
          <w:tcPr>
            <w:tcW w:w="1325" w:type="pct"/>
            <w:tcBorders>
              <w:top w:val="single" w:color="auto" w:sz="2" w:space="0"/>
            </w:tcBorders>
            <w:vAlign w:val="center"/>
          </w:tcPr>
          <w:p w14:paraId="150EA9B9">
            <w:pPr>
              <w:spacing w:line="560" w:lineRule="exact"/>
              <w:jc w:val="center"/>
              <w:rPr>
                <w:rFonts w:hint="eastAsia" w:ascii="宋体" w:hAnsi="宋体" w:eastAsia="宋体" w:cs="宋体"/>
                <w:color w:val="auto"/>
                <w:sz w:val="24"/>
                <w:szCs w:val="24"/>
                <w:highlight w:val="none"/>
              </w:rPr>
            </w:pPr>
          </w:p>
        </w:tc>
        <w:tc>
          <w:tcPr>
            <w:tcW w:w="1259" w:type="pct"/>
            <w:tcBorders>
              <w:top w:val="single" w:color="auto" w:sz="2" w:space="0"/>
            </w:tcBorders>
            <w:vAlign w:val="center"/>
          </w:tcPr>
          <w:p w14:paraId="75FB72DC">
            <w:pPr>
              <w:spacing w:line="560" w:lineRule="exact"/>
              <w:jc w:val="center"/>
              <w:rPr>
                <w:rFonts w:hint="eastAsia" w:ascii="宋体" w:hAnsi="宋体" w:eastAsia="宋体" w:cs="宋体"/>
                <w:color w:val="auto"/>
                <w:sz w:val="24"/>
                <w:szCs w:val="24"/>
                <w:highlight w:val="none"/>
              </w:rPr>
            </w:pPr>
          </w:p>
        </w:tc>
        <w:tc>
          <w:tcPr>
            <w:tcW w:w="535" w:type="pct"/>
            <w:tcBorders>
              <w:top w:val="single" w:color="auto" w:sz="2" w:space="0"/>
            </w:tcBorders>
            <w:vAlign w:val="center"/>
          </w:tcPr>
          <w:p w14:paraId="2EB17025">
            <w:pPr>
              <w:spacing w:line="560" w:lineRule="exact"/>
              <w:jc w:val="center"/>
              <w:rPr>
                <w:rFonts w:hint="eastAsia" w:ascii="宋体" w:hAnsi="宋体" w:eastAsia="宋体" w:cs="宋体"/>
                <w:color w:val="auto"/>
                <w:sz w:val="24"/>
                <w:szCs w:val="24"/>
                <w:highlight w:val="none"/>
              </w:rPr>
            </w:pPr>
          </w:p>
        </w:tc>
        <w:tc>
          <w:tcPr>
            <w:tcW w:w="620" w:type="pct"/>
            <w:tcBorders>
              <w:top w:val="single" w:color="auto" w:sz="2" w:space="0"/>
            </w:tcBorders>
            <w:vAlign w:val="center"/>
          </w:tcPr>
          <w:p w14:paraId="4D39DD6A">
            <w:pPr>
              <w:spacing w:line="560" w:lineRule="exact"/>
              <w:jc w:val="center"/>
              <w:rPr>
                <w:rFonts w:hint="eastAsia" w:ascii="宋体" w:hAnsi="宋体" w:eastAsia="宋体" w:cs="宋体"/>
                <w:color w:val="auto"/>
                <w:sz w:val="24"/>
                <w:szCs w:val="24"/>
                <w:highlight w:val="none"/>
              </w:rPr>
            </w:pPr>
          </w:p>
        </w:tc>
      </w:tr>
      <w:tr w14:paraId="39766C7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3ECF6E9">
            <w:pPr>
              <w:spacing w:line="560" w:lineRule="exact"/>
              <w:jc w:val="center"/>
              <w:rPr>
                <w:rFonts w:hint="eastAsia" w:ascii="宋体" w:hAnsi="宋体" w:eastAsia="宋体" w:cs="宋体"/>
                <w:color w:val="auto"/>
                <w:sz w:val="24"/>
                <w:szCs w:val="24"/>
                <w:highlight w:val="none"/>
              </w:rPr>
            </w:pPr>
          </w:p>
        </w:tc>
        <w:tc>
          <w:tcPr>
            <w:tcW w:w="903" w:type="pct"/>
            <w:vAlign w:val="center"/>
          </w:tcPr>
          <w:p w14:paraId="69244305">
            <w:pPr>
              <w:spacing w:line="560" w:lineRule="exact"/>
              <w:jc w:val="center"/>
              <w:rPr>
                <w:rFonts w:hint="eastAsia" w:ascii="宋体" w:hAnsi="宋体" w:eastAsia="宋体" w:cs="宋体"/>
                <w:color w:val="auto"/>
                <w:sz w:val="24"/>
                <w:szCs w:val="24"/>
                <w:highlight w:val="none"/>
              </w:rPr>
            </w:pPr>
          </w:p>
        </w:tc>
        <w:tc>
          <w:tcPr>
            <w:tcW w:w="1325" w:type="pct"/>
            <w:vAlign w:val="center"/>
          </w:tcPr>
          <w:p w14:paraId="3B92FA18">
            <w:pPr>
              <w:spacing w:line="560" w:lineRule="exact"/>
              <w:jc w:val="center"/>
              <w:rPr>
                <w:rFonts w:hint="eastAsia" w:ascii="宋体" w:hAnsi="宋体" w:eastAsia="宋体" w:cs="宋体"/>
                <w:color w:val="auto"/>
                <w:sz w:val="24"/>
                <w:szCs w:val="24"/>
                <w:highlight w:val="none"/>
              </w:rPr>
            </w:pPr>
          </w:p>
        </w:tc>
        <w:tc>
          <w:tcPr>
            <w:tcW w:w="1259" w:type="pct"/>
            <w:vAlign w:val="center"/>
          </w:tcPr>
          <w:p w14:paraId="38DD76A2">
            <w:pPr>
              <w:spacing w:line="560" w:lineRule="exact"/>
              <w:jc w:val="center"/>
              <w:rPr>
                <w:rFonts w:hint="eastAsia" w:ascii="宋体" w:hAnsi="宋体" w:eastAsia="宋体" w:cs="宋体"/>
                <w:color w:val="auto"/>
                <w:sz w:val="24"/>
                <w:szCs w:val="24"/>
                <w:highlight w:val="none"/>
              </w:rPr>
            </w:pPr>
          </w:p>
        </w:tc>
        <w:tc>
          <w:tcPr>
            <w:tcW w:w="535" w:type="pct"/>
            <w:vAlign w:val="center"/>
          </w:tcPr>
          <w:p w14:paraId="7F4F2BA1">
            <w:pPr>
              <w:spacing w:line="560" w:lineRule="exact"/>
              <w:jc w:val="center"/>
              <w:rPr>
                <w:rFonts w:hint="eastAsia" w:ascii="宋体" w:hAnsi="宋体" w:eastAsia="宋体" w:cs="宋体"/>
                <w:color w:val="auto"/>
                <w:sz w:val="24"/>
                <w:szCs w:val="24"/>
                <w:highlight w:val="none"/>
              </w:rPr>
            </w:pPr>
          </w:p>
        </w:tc>
        <w:tc>
          <w:tcPr>
            <w:tcW w:w="620" w:type="pct"/>
            <w:vAlign w:val="center"/>
          </w:tcPr>
          <w:p w14:paraId="663EC19B">
            <w:pPr>
              <w:spacing w:line="560" w:lineRule="exact"/>
              <w:jc w:val="center"/>
              <w:rPr>
                <w:rFonts w:hint="eastAsia" w:ascii="宋体" w:hAnsi="宋体" w:eastAsia="宋体" w:cs="宋体"/>
                <w:color w:val="auto"/>
                <w:sz w:val="24"/>
                <w:szCs w:val="24"/>
                <w:highlight w:val="none"/>
              </w:rPr>
            </w:pPr>
          </w:p>
        </w:tc>
      </w:tr>
      <w:tr w14:paraId="2D20F42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01E22F5C">
            <w:pPr>
              <w:spacing w:line="560" w:lineRule="exact"/>
              <w:jc w:val="center"/>
              <w:rPr>
                <w:rFonts w:hint="eastAsia" w:ascii="宋体" w:hAnsi="宋体" w:eastAsia="宋体" w:cs="宋体"/>
                <w:color w:val="auto"/>
                <w:sz w:val="24"/>
                <w:szCs w:val="24"/>
                <w:highlight w:val="none"/>
              </w:rPr>
            </w:pPr>
          </w:p>
        </w:tc>
        <w:tc>
          <w:tcPr>
            <w:tcW w:w="903" w:type="pct"/>
            <w:vAlign w:val="center"/>
          </w:tcPr>
          <w:p w14:paraId="307DAA5E">
            <w:pPr>
              <w:spacing w:line="560" w:lineRule="exact"/>
              <w:jc w:val="center"/>
              <w:rPr>
                <w:rFonts w:hint="eastAsia" w:ascii="宋体" w:hAnsi="宋体" w:eastAsia="宋体" w:cs="宋体"/>
                <w:color w:val="auto"/>
                <w:sz w:val="24"/>
                <w:szCs w:val="24"/>
                <w:highlight w:val="none"/>
              </w:rPr>
            </w:pPr>
          </w:p>
        </w:tc>
        <w:tc>
          <w:tcPr>
            <w:tcW w:w="1325" w:type="pct"/>
            <w:vAlign w:val="center"/>
          </w:tcPr>
          <w:p w14:paraId="7ABA27A3">
            <w:pPr>
              <w:spacing w:line="560" w:lineRule="exact"/>
              <w:jc w:val="center"/>
              <w:rPr>
                <w:rFonts w:hint="eastAsia" w:ascii="宋体" w:hAnsi="宋体" w:eastAsia="宋体" w:cs="宋体"/>
                <w:color w:val="auto"/>
                <w:sz w:val="24"/>
                <w:szCs w:val="24"/>
                <w:highlight w:val="none"/>
              </w:rPr>
            </w:pPr>
          </w:p>
        </w:tc>
        <w:tc>
          <w:tcPr>
            <w:tcW w:w="1259" w:type="pct"/>
            <w:vAlign w:val="center"/>
          </w:tcPr>
          <w:p w14:paraId="70AE2197">
            <w:pPr>
              <w:spacing w:line="560" w:lineRule="exact"/>
              <w:jc w:val="center"/>
              <w:rPr>
                <w:rFonts w:hint="eastAsia" w:ascii="宋体" w:hAnsi="宋体" w:eastAsia="宋体" w:cs="宋体"/>
                <w:color w:val="auto"/>
                <w:sz w:val="24"/>
                <w:szCs w:val="24"/>
                <w:highlight w:val="none"/>
              </w:rPr>
            </w:pPr>
          </w:p>
        </w:tc>
        <w:tc>
          <w:tcPr>
            <w:tcW w:w="535" w:type="pct"/>
            <w:vAlign w:val="center"/>
          </w:tcPr>
          <w:p w14:paraId="07CE3CAF">
            <w:pPr>
              <w:spacing w:line="560" w:lineRule="exact"/>
              <w:jc w:val="center"/>
              <w:rPr>
                <w:rFonts w:hint="eastAsia" w:ascii="宋体" w:hAnsi="宋体" w:eastAsia="宋体" w:cs="宋体"/>
                <w:color w:val="auto"/>
                <w:sz w:val="24"/>
                <w:szCs w:val="24"/>
                <w:highlight w:val="none"/>
              </w:rPr>
            </w:pPr>
          </w:p>
        </w:tc>
        <w:tc>
          <w:tcPr>
            <w:tcW w:w="620" w:type="pct"/>
            <w:vAlign w:val="center"/>
          </w:tcPr>
          <w:p w14:paraId="2E7F8929">
            <w:pPr>
              <w:spacing w:line="560" w:lineRule="exact"/>
              <w:jc w:val="center"/>
              <w:rPr>
                <w:rFonts w:hint="eastAsia" w:ascii="宋体" w:hAnsi="宋体" w:eastAsia="宋体" w:cs="宋体"/>
                <w:color w:val="auto"/>
                <w:sz w:val="24"/>
                <w:szCs w:val="24"/>
                <w:highlight w:val="none"/>
              </w:rPr>
            </w:pPr>
          </w:p>
        </w:tc>
      </w:tr>
      <w:tr w14:paraId="2EA96F8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1CC04F76">
            <w:pPr>
              <w:spacing w:line="560" w:lineRule="exact"/>
              <w:jc w:val="center"/>
              <w:rPr>
                <w:rFonts w:hint="eastAsia" w:ascii="宋体" w:hAnsi="宋体" w:eastAsia="宋体" w:cs="宋体"/>
                <w:color w:val="auto"/>
                <w:sz w:val="24"/>
                <w:szCs w:val="24"/>
                <w:highlight w:val="none"/>
              </w:rPr>
            </w:pPr>
          </w:p>
        </w:tc>
        <w:tc>
          <w:tcPr>
            <w:tcW w:w="903" w:type="pct"/>
            <w:vAlign w:val="center"/>
          </w:tcPr>
          <w:p w14:paraId="6EE1B722">
            <w:pPr>
              <w:spacing w:line="560" w:lineRule="exact"/>
              <w:jc w:val="center"/>
              <w:rPr>
                <w:rFonts w:hint="eastAsia" w:ascii="宋体" w:hAnsi="宋体" w:eastAsia="宋体" w:cs="宋体"/>
                <w:color w:val="auto"/>
                <w:sz w:val="24"/>
                <w:szCs w:val="24"/>
                <w:highlight w:val="none"/>
              </w:rPr>
            </w:pPr>
          </w:p>
        </w:tc>
        <w:tc>
          <w:tcPr>
            <w:tcW w:w="1325" w:type="pct"/>
            <w:vAlign w:val="center"/>
          </w:tcPr>
          <w:p w14:paraId="573F45EE">
            <w:pPr>
              <w:spacing w:line="560" w:lineRule="exact"/>
              <w:jc w:val="center"/>
              <w:rPr>
                <w:rFonts w:hint="eastAsia" w:ascii="宋体" w:hAnsi="宋体" w:eastAsia="宋体" w:cs="宋体"/>
                <w:color w:val="auto"/>
                <w:sz w:val="24"/>
                <w:szCs w:val="24"/>
                <w:highlight w:val="none"/>
              </w:rPr>
            </w:pPr>
          </w:p>
        </w:tc>
        <w:tc>
          <w:tcPr>
            <w:tcW w:w="1259" w:type="pct"/>
            <w:vAlign w:val="center"/>
          </w:tcPr>
          <w:p w14:paraId="428221B1">
            <w:pPr>
              <w:spacing w:line="560" w:lineRule="exact"/>
              <w:jc w:val="center"/>
              <w:rPr>
                <w:rFonts w:hint="eastAsia" w:ascii="宋体" w:hAnsi="宋体" w:eastAsia="宋体" w:cs="宋体"/>
                <w:color w:val="auto"/>
                <w:sz w:val="24"/>
                <w:szCs w:val="24"/>
                <w:highlight w:val="none"/>
              </w:rPr>
            </w:pPr>
          </w:p>
        </w:tc>
        <w:tc>
          <w:tcPr>
            <w:tcW w:w="535" w:type="pct"/>
            <w:vAlign w:val="center"/>
          </w:tcPr>
          <w:p w14:paraId="53460B6F">
            <w:pPr>
              <w:spacing w:line="560" w:lineRule="exact"/>
              <w:jc w:val="center"/>
              <w:rPr>
                <w:rFonts w:hint="eastAsia" w:ascii="宋体" w:hAnsi="宋体" w:eastAsia="宋体" w:cs="宋体"/>
                <w:color w:val="auto"/>
                <w:sz w:val="24"/>
                <w:szCs w:val="24"/>
                <w:highlight w:val="none"/>
              </w:rPr>
            </w:pPr>
          </w:p>
        </w:tc>
        <w:tc>
          <w:tcPr>
            <w:tcW w:w="620" w:type="pct"/>
            <w:vAlign w:val="center"/>
          </w:tcPr>
          <w:p w14:paraId="29DB2E08">
            <w:pPr>
              <w:spacing w:line="560" w:lineRule="exact"/>
              <w:jc w:val="center"/>
              <w:rPr>
                <w:rFonts w:hint="eastAsia" w:ascii="宋体" w:hAnsi="宋体" w:eastAsia="宋体" w:cs="宋体"/>
                <w:color w:val="auto"/>
                <w:sz w:val="24"/>
                <w:szCs w:val="24"/>
                <w:highlight w:val="none"/>
              </w:rPr>
            </w:pPr>
          </w:p>
        </w:tc>
      </w:tr>
      <w:tr w14:paraId="102912B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5A3BD76F">
            <w:pPr>
              <w:spacing w:line="560" w:lineRule="exact"/>
              <w:jc w:val="center"/>
              <w:rPr>
                <w:rFonts w:hint="eastAsia" w:ascii="宋体" w:hAnsi="宋体" w:eastAsia="宋体" w:cs="宋体"/>
                <w:color w:val="auto"/>
                <w:sz w:val="24"/>
                <w:szCs w:val="24"/>
                <w:highlight w:val="none"/>
              </w:rPr>
            </w:pPr>
          </w:p>
        </w:tc>
        <w:tc>
          <w:tcPr>
            <w:tcW w:w="903" w:type="pct"/>
            <w:vAlign w:val="center"/>
          </w:tcPr>
          <w:p w14:paraId="3EB15468">
            <w:pPr>
              <w:spacing w:line="560" w:lineRule="exact"/>
              <w:jc w:val="center"/>
              <w:rPr>
                <w:rFonts w:hint="eastAsia" w:ascii="宋体" w:hAnsi="宋体" w:eastAsia="宋体" w:cs="宋体"/>
                <w:color w:val="auto"/>
                <w:sz w:val="24"/>
                <w:szCs w:val="24"/>
                <w:highlight w:val="none"/>
              </w:rPr>
            </w:pPr>
          </w:p>
        </w:tc>
        <w:tc>
          <w:tcPr>
            <w:tcW w:w="1325" w:type="pct"/>
            <w:vAlign w:val="center"/>
          </w:tcPr>
          <w:p w14:paraId="1ADD8EE3">
            <w:pPr>
              <w:spacing w:line="560" w:lineRule="exact"/>
              <w:jc w:val="center"/>
              <w:rPr>
                <w:rFonts w:hint="eastAsia" w:ascii="宋体" w:hAnsi="宋体" w:eastAsia="宋体" w:cs="宋体"/>
                <w:color w:val="auto"/>
                <w:sz w:val="24"/>
                <w:szCs w:val="24"/>
                <w:highlight w:val="none"/>
              </w:rPr>
            </w:pPr>
          </w:p>
        </w:tc>
        <w:tc>
          <w:tcPr>
            <w:tcW w:w="1259" w:type="pct"/>
            <w:vAlign w:val="center"/>
          </w:tcPr>
          <w:p w14:paraId="23114642">
            <w:pPr>
              <w:spacing w:line="560" w:lineRule="exact"/>
              <w:jc w:val="center"/>
              <w:rPr>
                <w:rFonts w:hint="eastAsia" w:ascii="宋体" w:hAnsi="宋体" w:eastAsia="宋体" w:cs="宋体"/>
                <w:color w:val="auto"/>
                <w:sz w:val="24"/>
                <w:szCs w:val="24"/>
                <w:highlight w:val="none"/>
              </w:rPr>
            </w:pPr>
          </w:p>
        </w:tc>
        <w:tc>
          <w:tcPr>
            <w:tcW w:w="535" w:type="pct"/>
            <w:vAlign w:val="center"/>
          </w:tcPr>
          <w:p w14:paraId="390E5A1F">
            <w:pPr>
              <w:spacing w:line="560" w:lineRule="exact"/>
              <w:jc w:val="center"/>
              <w:rPr>
                <w:rFonts w:hint="eastAsia" w:ascii="宋体" w:hAnsi="宋体" w:eastAsia="宋体" w:cs="宋体"/>
                <w:color w:val="auto"/>
                <w:sz w:val="24"/>
                <w:szCs w:val="24"/>
                <w:highlight w:val="none"/>
              </w:rPr>
            </w:pPr>
          </w:p>
        </w:tc>
        <w:tc>
          <w:tcPr>
            <w:tcW w:w="620" w:type="pct"/>
            <w:vAlign w:val="center"/>
          </w:tcPr>
          <w:p w14:paraId="136CE7CB">
            <w:pPr>
              <w:spacing w:line="560" w:lineRule="exact"/>
              <w:jc w:val="center"/>
              <w:rPr>
                <w:rFonts w:hint="eastAsia" w:ascii="宋体" w:hAnsi="宋体" w:eastAsia="宋体" w:cs="宋体"/>
                <w:color w:val="auto"/>
                <w:sz w:val="24"/>
                <w:szCs w:val="24"/>
                <w:highlight w:val="none"/>
              </w:rPr>
            </w:pPr>
          </w:p>
        </w:tc>
      </w:tr>
      <w:tr w14:paraId="5947A39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6481DA1C">
            <w:pPr>
              <w:spacing w:line="560" w:lineRule="exact"/>
              <w:jc w:val="center"/>
              <w:rPr>
                <w:rFonts w:hint="eastAsia" w:ascii="宋体" w:hAnsi="宋体" w:eastAsia="宋体" w:cs="宋体"/>
                <w:color w:val="auto"/>
                <w:sz w:val="24"/>
                <w:szCs w:val="24"/>
                <w:highlight w:val="none"/>
              </w:rPr>
            </w:pPr>
          </w:p>
        </w:tc>
        <w:tc>
          <w:tcPr>
            <w:tcW w:w="903" w:type="pct"/>
            <w:vAlign w:val="center"/>
          </w:tcPr>
          <w:p w14:paraId="02938DC4">
            <w:pPr>
              <w:spacing w:line="560" w:lineRule="exact"/>
              <w:jc w:val="center"/>
              <w:rPr>
                <w:rFonts w:hint="eastAsia" w:ascii="宋体" w:hAnsi="宋体" w:eastAsia="宋体" w:cs="宋体"/>
                <w:color w:val="auto"/>
                <w:sz w:val="24"/>
                <w:szCs w:val="24"/>
                <w:highlight w:val="none"/>
              </w:rPr>
            </w:pPr>
          </w:p>
        </w:tc>
        <w:tc>
          <w:tcPr>
            <w:tcW w:w="1325" w:type="pct"/>
            <w:vAlign w:val="center"/>
          </w:tcPr>
          <w:p w14:paraId="361ABF74">
            <w:pPr>
              <w:spacing w:line="560" w:lineRule="exact"/>
              <w:jc w:val="center"/>
              <w:rPr>
                <w:rFonts w:hint="eastAsia" w:ascii="宋体" w:hAnsi="宋体" w:eastAsia="宋体" w:cs="宋体"/>
                <w:color w:val="auto"/>
                <w:sz w:val="24"/>
                <w:szCs w:val="24"/>
                <w:highlight w:val="none"/>
              </w:rPr>
            </w:pPr>
          </w:p>
        </w:tc>
        <w:tc>
          <w:tcPr>
            <w:tcW w:w="1259" w:type="pct"/>
            <w:vAlign w:val="center"/>
          </w:tcPr>
          <w:p w14:paraId="699415B9">
            <w:pPr>
              <w:spacing w:line="560" w:lineRule="exact"/>
              <w:jc w:val="center"/>
              <w:rPr>
                <w:rFonts w:hint="eastAsia" w:ascii="宋体" w:hAnsi="宋体" w:eastAsia="宋体" w:cs="宋体"/>
                <w:color w:val="auto"/>
                <w:sz w:val="24"/>
                <w:szCs w:val="24"/>
                <w:highlight w:val="none"/>
              </w:rPr>
            </w:pPr>
          </w:p>
        </w:tc>
        <w:tc>
          <w:tcPr>
            <w:tcW w:w="535" w:type="pct"/>
            <w:vAlign w:val="center"/>
          </w:tcPr>
          <w:p w14:paraId="3B9C7C58">
            <w:pPr>
              <w:spacing w:line="560" w:lineRule="exact"/>
              <w:jc w:val="center"/>
              <w:rPr>
                <w:rFonts w:hint="eastAsia" w:ascii="宋体" w:hAnsi="宋体" w:eastAsia="宋体" w:cs="宋体"/>
                <w:color w:val="auto"/>
                <w:sz w:val="24"/>
                <w:szCs w:val="24"/>
                <w:highlight w:val="none"/>
              </w:rPr>
            </w:pPr>
          </w:p>
        </w:tc>
        <w:tc>
          <w:tcPr>
            <w:tcW w:w="620" w:type="pct"/>
            <w:vAlign w:val="center"/>
          </w:tcPr>
          <w:p w14:paraId="11999763">
            <w:pPr>
              <w:spacing w:line="560" w:lineRule="exact"/>
              <w:jc w:val="center"/>
              <w:rPr>
                <w:rFonts w:hint="eastAsia" w:ascii="宋体" w:hAnsi="宋体" w:eastAsia="宋体" w:cs="宋体"/>
                <w:color w:val="auto"/>
                <w:sz w:val="24"/>
                <w:szCs w:val="24"/>
                <w:highlight w:val="none"/>
              </w:rPr>
            </w:pPr>
          </w:p>
        </w:tc>
      </w:tr>
      <w:tr w14:paraId="6C6C527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5E0E6F77">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4643" w:type="pct"/>
            <w:gridSpan w:val="5"/>
            <w:vAlign w:val="center"/>
          </w:tcPr>
          <w:p w14:paraId="3481C387">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w:t>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rPr>
              <w:t>的商务要求做出响应。</w:t>
            </w:r>
          </w:p>
          <w:p w14:paraId="277B0487">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2．响应说明按实际响应情况填写“优于”、“响应”、“不响应”。</w:t>
            </w:r>
          </w:p>
        </w:tc>
      </w:tr>
    </w:tbl>
    <w:p w14:paraId="2259250B">
      <w:pPr>
        <w:spacing w:line="560" w:lineRule="exact"/>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7EE4E73E">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31950FBD">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6D98C323">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223C4A3C">
      <w:pPr>
        <w:spacing w:line="560" w:lineRule="exact"/>
        <w:ind w:firstLine="480" w:firstLineChars="200"/>
        <w:jc w:val="both"/>
        <w:rPr>
          <w:rFonts w:hint="eastAsia" w:ascii="宋体" w:hAnsi="宋体" w:eastAsia="宋体" w:cs="宋体"/>
          <w:color w:val="auto"/>
          <w:sz w:val="24"/>
          <w:szCs w:val="24"/>
          <w:highlight w:val="none"/>
        </w:rPr>
      </w:pPr>
    </w:p>
    <w:p w14:paraId="1F4B04CB">
      <w:pPr>
        <w:spacing w:line="560" w:lineRule="exact"/>
        <w:ind w:firstLine="480" w:firstLineChars="200"/>
        <w:jc w:val="both"/>
        <w:rPr>
          <w:rFonts w:hint="eastAsia" w:ascii="宋体" w:hAnsi="宋体" w:eastAsia="宋体" w:cs="宋体"/>
          <w:color w:val="auto"/>
          <w:sz w:val="24"/>
          <w:szCs w:val="24"/>
          <w:highlight w:val="none"/>
        </w:rPr>
      </w:pPr>
    </w:p>
    <w:p w14:paraId="13257AC9">
      <w:pPr>
        <w:spacing w:line="560" w:lineRule="exact"/>
        <w:ind w:firstLine="640" w:firstLineChars="200"/>
        <w:jc w:val="both"/>
        <w:rPr>
          <w:rFonts w:hint="eastAsia" w:ascii="宋体" w:hAnsi="宋体" w:eastAsia="宋体" w:cs="宋体"/>
          <w:color w:val="auto"/>
          <w:sz w:val="32"/>
          <w:szCs w:val="32"/>
          <w:highlight w:val="none"/>
        </w:rPr>
      </w:pPr>
    </w:p>
    <w:p w14:paraId="6BFBF45C">
      <w:pPr>
        <w:spacing w:line="560" w:lineRule="exact"/>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3196D1D0">
      <w:pPr>
        <w:pStyle w:val="98"/>
        <w:spacing w:before="210" w:after="210"/>
        <w:ind w:left="0" w:leftChars="0" w:firstLine="0" w:firstLineChars="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（三）合同条款响应</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09"/>
        <w:gridCol w:w="1738"/>
        <w:gridCol w:w="2825"/>
        <w:gridCol w:w="2841"/>
        <w:gridCol w:w="1439"/>
      </w:tblGrid>
      <w:tr w14:paraId="14108C3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themeFill="background1" w:themeFillShade="F2"/>
            <w:vAlign w:val="center"/>
          </w:tcPr>
          <w:p w14:paraId="186572F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873" w:type="pct"/>
            <w:tcBorders>
              <w:top w:val="single" w:color="auto" w:sz="12" w:space="0"/>
              <w:bottom w:val="single" w:color="auto" w:sz="2" w:space="0"/>
            </w:tcBorders>
            <w:shd w:val="clear" w:color="auto" w:fill="F1F1F1" w:themeFill="background1" w:themeFillShade="F2"/>
            <w:vAlign w:val="center"/>
          </w:tcPr>
          <w:p w14:paraId="3258333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条款名称</w:t>
            </w:r>
          </w:p>
        </w:tc>
        <w:tc>
          <w:tcPr>
            <w:tcW w:w="1419" w:type="pct"/>
            <w:tcBorders>
              <w:top w:val="single" w:color="auto" w:sz="12" w:space="0"/>
              <w:bottom w:val="single" w:color="auto" w:sz="2" w:space="0"/>
            </w:tcBorders>
            <w:shd w:val="clear" w:color="auto" w:fill="F1F1F1" w:themeFill="background1" w:themeFillShade="F2"/>
            <w:vAlign w:val="center"/>
          </w:tcPr>
          <w:p w14:paraId="2BF7895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招标文件合同条款明细</w:t>
            </w:r>
          </w:p>
        </w:tc>
        <w:tc>
          <w:tcPr>
            <w:tcW w:w="1427" w:type="pct"/>
            <w:tcBorders>
              <w:top w:val="single" w:color="auto" w:sz="12" w:space="0"/>
              <w:bottom w:val="single" w:color="auto" w:sz="2" w:space="0"/>
            </w:tcBorders>
            <w:shd w:val="clear" w:color="auto" w:fill="F1F1F1" w:themeFill="background1" w:themeFillShade="F2"/>
            <w:vAlign w:val="center"/>
          </w:tcPr>
          <w:p w14:paraId="1382527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投标文件合同条款响应</w:t>
            </w:r>
          </w:p>
        </w:tc>
        <w:tc>
          <w:tcPr>
            <w:tcW w:w="722" w:type="pct"/>
            <w:tcBorders>
              <w:top w:val="single" w:color="auto" w:sz="12" w:space="0"/>
              <w:bottom w:val="single" w:color="auto" w:sz="2" w:space="0"/>
            </w:tcBorders>
            <w:shd w:val="clear" w:color="auto" w:fill="F1F1F1" w:themeFill="background1" w:themeFillShade="F2"/>
            <w:vAlign w:val="center"/>
          </w:tcPr>
          <w:p w14:paraId="21E8325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响应说明</w:t>
            </w:r>
          </w:p>
        </w:tc>
      </w:tr>
      <w:tr w14:paraId="163D24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vAlign w:val="center"/>
          </w:tcPr>
          <w:p w14:paraId="639A785A">
            <w:pPr>
              <w:jc w:val="center"/>
              <w:rPr>
                <w:rFonts w:hint="eastAsia" w:ascii="宋体" w:hAnsi="宋体" w:eastAsia="宋体" w:cs="宋体"/>
                <w:color w:val="auto"/>
                <w:sz w:val="24"/>
                <w:szCs w:val="24"/>
                <w:highlight w:val="none"/>
              </w:rPr>
            </w:pPr>
          </w:p>
        </w:tc>
        <w:tc>
          <w:tcPr>
            <w:tcW w:w="873" w:type="pct"/>
            <w:tcBorders>
              <w:top w:val="single" w:color="auto" w:sz="2" w:space="0"/>
            </w:tcBorders>
            <w:vAlign w:val="center"/>
          </w:tcPr>
          <w:p w14:paraId="3614EB08">
            <w:pPr>
              <w:jc w:val="center"/>
              <w:rPr>
                <w:rFonts w:hint="eastAsia" w:ascii="宋体" w:hAnsi="宋体" w:eastAsia="宋体" w:cs="宋体"/>
                <w:color w:val="auto"/>
                <w:sz w:val="24"/>
                <w:szCs w:val="24"/>
                <w:highlight w:val="none"/>
              </w:rPr>
            </w:pPr>
          </w:p>
        </w:tc>
        <w:tc>
          <w:tcPr>
            <w:tcW w:w="1419" w:type="pct"/>
            <w:tcBorders>
              <w:top w:val="single" w:color="auto" w:sz="2" w:space="0"/>
            </w:tcBorders>
            <w:vAlign w:val="center"/>
          </w:tcPr>
          <w:p w14:paraId="6387675F">
            <w:pPr>
              <w:jc w:val="center"/>
              <w:rPr>
                <w:rFonts w:hint="eastAsia" w:ascii="宋体" w:hAnsi="宋体" w:eastAsia="宋体" w:cs="宋体"/>
                <w:color w:val="auto"/>
                <w:sz w:val="24"/>
                <w:szCs w:val="24"/>
                <w:highlight w:val="none"/>
              </w:rPr>
            </w:pPr>
          </w:p>
        </w:tc>
        <w:tc>
          <w:tcPr>
            <w:tcW w:w="1427" w:type="pct"/>
            <w:tcBorders>
              <w:top w:val="single" w:color="auto" w:sz="2" w:space="0"/>
            </w:tcBorders>
            <w:vAlign w:val="center"/>
          </w:tcPr>
          <w:p w14:paraId="449D1BB7">
            <w:pPr>
              <w:jc w:val="center"/>
              <w:rPr>
                <w:rFonts w:hint="eastAsia" w:ascii="宋体" w:hAnsi="宋体" w:eastAsia="宋体" w:cs="宋体"/>
                <w:color w:val="auto"/>
                <w:sz w:val="24"/>
                <w:szCs w:val="24"/>
                <w:highlight w:val="none"/>
              </w:rPr>
            </w:pPr>
          </w:p>
        </w:tc>
        <w:tc>
          <w:tcPr>
            <w:tcW w:w="722" w:type="pct"/>
            <w:tcBorders>
              <w:top w:val="single" w:color="auto" w:sz="2" w:space="0"/>
            </w:tcBorders>
            <w:vAlign w:val="center"/>
          </w:tcPr>
          <w:p w14:paraId="0C6A4679">
            <w:pPr>
              <w:jc w:val="center"/>
              <w:rPr>
                <w:rFonts w:hint="eastAsia" w:ascii="宋体" w:hAnsi="宋体" w:eastAsia="宋体" w:cs="宋体"/>
                <w:color w:val="auto"/>
                <w:sz w:val="24"/>
                <w:szCs w:val="24"/>
                <w:highlight w:val="none"/>
              </w:rPr>
            </w:pPr>
          </w:p>
        </w:tc>
      </w:tr>
      <w:tr w14:paraId="61B4466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6D387066">
            <w:pPr>
              <w:jc w:val="center"/>
              <w:rPr>
                <w:rFonts w:hint="eastAsia" w:ascii="宋体" w:hAnsi="宋体" w:eastAsia="宋体" w:cs="宋体"/>
                <w:color w:val="auto"/>
                <w:sz w:val="24"/>
                <w:szCs w:val="24"/>
                <w:highlight w:val="none"/>
              </w:rPr>
            </w:pPr>
          </w:p>
        </w:tc>
        <w:tc>
          <w:tcPr>
            <w:tcW w:w="873" w:type="pct"/>
            <w:vAlign w:val="center"/>
          </w:tcPr>
          <w:p w14:paraId="3D124831">
            <w:pPr>
              <w:jc w:val="center"/>
              <w:rPr>
                <w:rFonts w:hint="eastAsia" w:ascii="宋体" w:hAnsi="宋体" w:eastAsia="宋体" w:cs="宋体"/>
                <w:color w:val="auto"/>
                <w:sz w:val="24"/>
                <w:szCs w:val="24"/>
                <w:highlight w:val="none"/>
              </w:rPr>
            </w:pPr>
          </w:p>
        </w:tc>
        <w:tc>
          <w:tcPr>
            <w:tcW w:w="1419" w:type="pct"/>
            <w:vAlign w:val="center"/>
          </w:tcPr>
          <w:p w14:paraId="6879B87C">
            <w:pPr>
              <w:jc w:val="center"/>
              <w:rPr>
                <w:rFonts w:hint="eastAsia" w:ascii="宋体" w:hAnsi="宋体" w:eastAsia="宋体" w:cs="宋体"/>
                <w:color w:val="auto"/>
                <w:sz w:val="24"/>
                <w:szCs w:val="24"/>
                <w:highlight w:val="none"/>
              </w:rPr>
            </w:pPr>
          </w:p>
        </w:tc>
        <w:tc>
          <w:tcPr>
            <w:tcW w:w="1427" w:type="pct"/>
            <w:vAlign w:val="center"/>
          </w:tcPr>
          <w:p w14:paraId="7A868481">
            <w:pPr>
              <w:jc w:val="center"/>
              <w:rPr>
                <w:rFonts w:hint="eastAsia" w:ascii="宋体" w:hAnsi="宋体" w:eastAsia="宋体" w:cs="宋体"/>
                <w:color w:val="auto"/>
                <w:sz w:val="24"/>
                <w:szCs w:val="24"/>
                <w:highlight w:val="none"/>
              </w:rPr>
            </w:pPr>
          </w:p>
        </w:tc>
        <w:tc>
          <w:tcPr>
            <w:tcW w:w="722" w:type="pct"/>
            <w:vAlign w:val="center"/>
          </w:tcPr>
          <w:p w14:paraId="1894D54D">
            <w:pPr>
              <w:jc w:val="center"/>
              <w:rPr>
                <w:rFonts w:hint="eastAsia" w:ascii="宋体" w:hAnsi="宋体" w:eastAsia="宋体" w:cs="宋体"/>
                <w:color w:val="auto"/>
                <w:sz w:val="24"/>
                <w:szCs w:val="24"/>
                <w:highlight w:val="none"/>
              </w:rPr>
            </w:pPr>
          </w:p>
        </w:tc>
      </w:tr>
      <w:tr w14:paraId="706A74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3B8DE1A0">
            <w:pPr>
              <w:jc w:val="center"/>
              <w:rPr>
                <w:rFonts w:hint="eastAsia" w:ascii="宋体" w:hAnsi="宋体" w:eastAsia="宋体" w:cs="宋体"/>
                <w:color w:val="auto"/>
                <w:sz w:val="24"/>
                <w:szCs w:val="24"/>
                <w:highlight w:val="none"/>
              </w:rPr>
            </w:pPr>
          </w:p>
        </w:tc>
        <w:tc>
          <w:tcPr>
            <w:tcW w:w="873" w:type="pct"/>
            <w:vAlign w:val="center"/>
          </w:tcPr>
          <w:p w14:paraId="3A2B75BD">
            <w:pPr>
              <w:jc w:val="center"/>
              <w:rPr>
                <w:rFonts w:hint="eastAsia" w:ascii="宋体" w:hAnsi="宋体" w:eastAsia="宋体" w:cs="宋体"/>
                <w:color w:val="auto"/>
                <w:sz w:val="24"/>
                <w:szCs w:val="24"/>
                <w:highlight w:val="none"/>
              </w:rPr>
            </w:pPr>
          </w:p>
        </w:tc>
        <w:tc>
          <w:tcPr>
            <w:tcW w:w="1419" w:type="pct"/>
            <w:vAlign w:val="center"/>
          </w:tcPr>
          <w:p w14:paraId="350250B7">
            <w:pPr>
              <w:jc w:val="center"/>
              <w:rPr>
                <w:rFonts w:hint="eastAsia" w:ascii="宋体" w:hAnsi="宋体" w:eastAsia="宋体" w:cs="宋体"/>
                <w:color w:val="auto"/>
                <w:sz w:val="24"/>
                <w:szCs w:val="24"/>
                <w:highlight w:val="none"/>
              </w:rPr>
            </w:pPr>
          </w:p>
        </w:tc>
        <w:tc>
          <w:tcPr>
            <w:tcW w:w="1427" w:type="pct"/>
            <w:vAlign w:val="center"/>
          </w:tcPr>
          <w:p w14:paraId="32FD5BED">
            <w:pPr>
              <w:jc w:val="center"/>
              <w:rPr>
                <w:rFonts w:hint="eastAsia" w:ascii="宋体" w:hAnsi="宋体" w:eastAsia="宋体" w:cs="宋体"/>
                <w:color w:val="auto"/>
                <w:sz w:val="24"/>
                <w:szCs w:val="24"/>
                <w:highlight w:val="none"/>
              </w:rPr>
            </w:pPr>
          </w:p>
        </w:tc>
        <w:tc>
          <w:tcPr>
            <w:tcW w:w="722" w:type="pct"/>
            <w:vAlign w:val="center"/>
          </w:tcPr>
          <w:p w14:paraId="631093F9">
            <w:pPr>
              <w:jc w:val="center"/>
              <w:rPr>
                <w:rFonts w:hint="eastAsia" w:ascii="宋体" w:hAnsi="宋体" w:eastAsia="宋体" w:cs="宋体"/>
                <w:color w:val="auto"/>
                <w:sz w:val="24"/>
                <w:szCs w:val="24"/>
                <w:highlight w:val="none"/>
              </w:rPr>
            </w:pPr>
          </w:p>
        </w:tc>
      </w:tr>
      <w:tr w14:paraId="37D3B2B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48568E40">
            <w:pPr>
              <w:jc w:val="center"/>
              <w:rPr>
                <w:rFonts w:hint="eastAsia" w:ascii="宋体" w:hAnsi="宋体" w:eastAsia="宋体" w:cs="宋体"/>
                <w:color w:val="auto"/>
                <w:sz w:val="24"/>
                <w:szCs w:val="24"/>
                <w:highlight w:val="none"/>
              </w:rPr>
            </w:pPr>
          </w:p>
        </w:tc>
        <w:tc>
          <w:tcPr>
            <w:tcW w:w="873" w:type="pct"/>
            <w:vAlign w:val="center"/>
          </w:tcPr>
          <w:p w14:paraId="68E2A213">
            <w:pPr>
              <w:jc w:val="center"/>
              <w:rPr>
                <w:rFonts w:hint="eastAsia" w:ascii="宋体" w:hAnsi="宋体" w:eastAsia="宋体" w:cs="宋体"/>
                <w:color w:val="auto"/>
                <w:sz w:val="24"/>
                <w:szCs w:val="24"/>
                <w:highlight w:val="none"/>
              </w:rPr>
            </w:pPr>
          </w:p>
        </w:tc>
        <w:tc>
          <w:tcPr>
            <w:tcW w:w="1419" w:type="pct"/>
            <w:vAlign w:val="center"/>
          </w:tcPr>
          <w:p w14:paraId="26E32625">
            <w:pPr>
              <w:jc w:val="center"/>
              <w:rPr>
                <w:rFonts w:hint="eastAsia" w:ascii="宋体" w:hAnsi="宋体" w:eastAsia="宋体" w:cs="宋体"/>
                <w:color w:val="auto"/>
                <w:sz w:val="24"/>
                <w:szCs w:val="24"/>
                <w:highlight w:val="none"/>
              </w:rPr>
            </w:pPr>
          </w:p>
        </w:tc>
        <w:tc>
          <w:tcPr>
            <w:tcW w:w="1427" w:type="pct"/>
            <w:vAlign w:val="center"/>
          </w:tcPr>
          <w:p w14:paraId="78A1EC8E">
            <w:pPr>
              <w:jc w:val="center"/>
              <w:rPr>
                <w:rFonts w:hint="eastAsia" w:ascii="宋体" w:hAnsi="宋体" w:eastAsia="宋体" w:cs="宋体"/>
                <w:color w:val="auto"/>
                <w:sz w:val="24"/>
                <w:szCs w:val="24"/>
                <w:highlight w:val="none"/>
              </w:rPr>
            </w:pPr>
          </w:p>
        </w:tc>
        <w:tc>
          <w:tcPr>
            <w:tcW w:w="722" w:type="pct"/>
            <w:vAlign w:val="center"/>
          </w:tcPr>
          <w:p w14:paraId="62AF7822">
            <w:pPr>
              <w:jc w:val="center"/>
              <w:rPr>
                <w:rFonts w:hint="eastAsia" w:ascii="宋体" w:hAnsi="宋体" w:eastAsia="宋体" w:cs="宋体"/>
                <w:color w:val="auto"/>
                <w:sz w:val="24"/>
                <w:szCs w:val="24"/>
                <w:highlight w:val="none"/>
              </w:rPr>
            </w:pPr>
          </w:p>
        </w:tc>
      </w:tr>
      <w:tr w14:paraId="05E3DC0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66EFA89C">
            <w:pPr>
              <w:jc w:val="center"/>
              <w:rPr>
                <w:rFonts w:hint="eastAsia" w:ascii="宋体" w:hAnsi="宋体" w:eastAsia="宋体" w:cs="宋体"/>
                <w:color w:val="auto"/>
                <w:sz w:val="24"/>
                <w:szCs w:val="24"/>
                <w:highlight w:val="none"/>
              </w:rPr>
            </w:pPr>
          </w:p>
        </w:tc>
        <w:tc>
          <w:tcPr>
            <w:tcW w:w="873" w:type="pct"/>
            <w:vAlign w:val="center"/>
          </w:tcPr>
          <w:p w14:paraId="3761225A">
            <w:pPr>
              <w:jc w:val="center"/>
              <w:rPr>
                <w:rFonts w:hint="eastAsia" w:ascii="宋体" w:hAnsi="宋体" w:eastAsia="宋体" w:cs="宋体"/>
                <w:color w:val="auto"/>
                <w:sz w:val="24"/>
                <w:szCs w:val="24"/>
                <w:highlight w:val="none"/>
              </w:rPr>
            </w:pPr>
          </w:p>
        </w:tc>
        <w:tc>
          <w:tcPr>
            <w:tcW w:w="1419" w:type="pct"/>
            <w:vAlign w:val="center"/>
          </w:tcPr>
          <w:p w14:paraId="1ECBFF3B">
            <w:pPr>
              <w:jc w:val="center"/>
              <w:rPr>
                <w:rFonts w:hint="eastAsia" w:ascii="宋体" w:hAnsi="宋体" w:eastAsia="宋体" w:cs="宋体"/>
                <w:color w:val="auto"/>
                <w:sz w:val="24"/>
                <w:szCs w:val="24"/>
                <w:highlight w:val="none"/>
              </w:rPr>
            </w:pPr>
          </w:p>
        </w:tc>
        <w:tc>
          <w:tcPr>
            <w:tcW w:w="1427" w:type="pct"/>
            <w:vAlign w:val="center"/>
          </w:tcPr>
          <w:p w14:paraId="7CEB4062">
            <w:pPr>
              <w:jc w:val="center"/>
              <w:rPr>
                <w:rFonts w:hint="eastAsia" w:ascii="宋体" w:hAnsi="宋体" w:eastAsia="宋体" w:cs="宋体"/>
                <w:color w:val="auto"/>
                <w:sz w:val="24"/>
                <w:szCs w:val="24"/>
                <w:highlight w:val="none"/>
              </w:rPr>
            </w:pPr>
          </w:p>
        </w:tc>
        <w:tc>
          <w:tcPr>
            <w:tcW w:w="722" w:type="pct"/>
            <w:vAlign w:val="center"/>
          </w:tcPr>
          <w:p w14:paraId="4E29C073">
            <w:pPr>
              <w:jc w:val="center"/>
              <w:rPr>
                <w:rFonts w:hint="eastAsia" w:ascii="宋体" w:hAnsi="宋体" w:eastAsia="宋体" w:cs="宋体"/>
                <w:color w:val="auto"/>
                <w:sz w:val="24"/>
                <w:szCs w:val="24"/>
                <w:highlight w:val="none"/>
              </w:rPr>
            </w:pPr>
          </w:p>
        </w:tc>
      </w:tr>
      <w:tr w14:paraId="358543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4A71BB39">
            <w:pPr>
              <w:jc w:val="center"/>
              <w:rPr>
                <w:rFonts w:hint="eastAsia" w:ascii="宋体" w:hAnsi="宋体" w:eastAsia="宋体" w:cs="宋体"/>
                <w:color w:val="auto"/>
                <w:sz w:val="24"/>
                <w:szCs w:val="24"/>
                <w:highlight w:val="none"/>
              </w:rPr>
            </w:pPr>
          </w:p>
        </w:tc>
        <w:tc>
          <w:tcPr>
            <w:tcW w:w="873" w:type="pct"/>
            <w:vAlign w:val="center"/>
          </w:tcPr>
          <w:p w14:paraId="6EBE45BC">
            <w:pPr>
              <w:jc w:val="center"/>
              <w:rPr>
                <w:rFonts w:hint="eastAsia" w:ascii="宋体" w:hAnsi="宋体" w:eastAsia="宋体" w:cs="宋体"/>
                <w:color w:val="auto"/>
                <w:sz w:val="24"/>
                <w:szCs w:val="24"/>
                <w:highlight w:val="none"/>
              </w:rPr>
            </w:pPr>
          </w:p>
        </w:tc>
        <w:tc>
          <w:tcPr>
            <w:tcW w:w="1419" w:type="pct"/>
            <w:vAlign w:val="center"/>
          </w:tcPr>
          <w:p w14:paraId="5AC8FFC8">
            <w:pPr>
              <w:jc w:val="center"/>
              <w:rPr>
                <w:rFonts w:hint="eastAsia" w:ascii="宋体" w:hAnsi="宋体" w:eastAsia="宋体" w:cs="宋体"/>
                <w:color w:val="auto"/>
                <w:sz w:val="24"/>
                <w:szCs w:val="24"/>
                <w:highlight w:val="none"/>
              </w:rPr>
            </w:pPr>
          </w:p>
        </w:tc>
        <w:tc>
          <w:tcPr>
            <w:tcW w:w="1427" w:type="pct"/>
            <w:vAlign w:val="center"/>
          </w:tcPr>
          <w:p w14:paraId="17FBEBE7">
            <w:pPr>
              <w:jc w:val="center"/>
              <w:rPr>
                <w:rFonts w:hint="eastAsia" w:ascii="宋体" w:hAnsi="宋体" w:eastAsia="宋体" w:cs="宋体"/>
                <w:color w:val="auto"/>
                <w:sz w:val="24"/>
                <w:szCs w:val="24"/>
                <w:highlight w:val="none"/>
              </w:rPr>
            </w:pPr>
          </w:p>
        </w:tc>
        <w:tc>
          <w:tcPr>
            <w:tcW w:w="722" w:type="pct"/>
            <w:vAlign w:val="center"/>
          </w:tcPr>
          <w:p w14:paraId="7FC050D1">
            <w:pPr>
              <w:jc w:val="center"/>
              <w:rPr>
                <w:rFonts w:hint="eastAsia" w:ascii="宋体" w:hAnsi="宋体" w:eastAsia="宋体" w:cs="宋体"/>
                <w:color w:val="auto"/>
                <w:sz w:val="24"/>
                <w:szCs w:val="24"/>
                <w:highlight w:val="none"/>
              </w:rPr>
            </w:pPr>
          </w:p>
        </w:tc>
      </w:tr>
      <w:tr w14:paraId="1881E58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0A50067C">
            <w:pPr>
              <w:jc w:val="center"/>
              <w:rPr>
                <w:rFonts w:hint="eastAsia" w:ascii="宋体" w:hAnsi="宋体" w:eastAsia="宋体" w:cs="宋体"/>
                <w:color w:val="auto"/>
                <w:sz w:val="24"/>
                <w:szCs w:val="24"/>
                <w:highlight w:val="none"/>
              </w:rPr>
            </w:pPr>
          </w:p>
        </w:tc>
        <w:tc>
          <w:tcPr>
            <w:tcW w:w="873" w:type="pct"/>
            <w:vAlign w:val="center"/>
          </w:tcPr>
          <w:p w14:paraId="14C4F785">
            <w:pPr>
              <w:jc w:val="center"/>
              <w:rPr>
                <w:rFonts w:hint="eastAsia" w:ascii="宋体" w:hAnsi="宋体" w:eastAsia="宋体" w:cs="宋体"/>
                <w:color w:val="auto"/>
                <w:sz w:val="24"/>
                <w:szCs w:val="24"/>
                <w:highlight w:val="none"/>
              </w:rPr>
            </w:pPr>
          </w:p>
        </w:tc>
        <w:tc>
          <w:tcPr>
            <w:tcW w:w="1419" w:type="pct"/>
            <w:vAlign w:val="center"/>
          </w:tcPr>
          <w:p w14:paraId="1E830758">
            <w:pPr>
              <w:jc w:val="center"/>
              <w:rPr>
                <w:rFonts w:hint="eastAsia" w:ascii="宋体" w:hAnsi="宋体" w:eastAsia="宋体" w:cs="宋体"/>
                <w:color w:val="auto"/>
                <w:sz w:val="24"/>
                <w:szCs w:val="24"/>
                <w:highlight w:val="none"/>
              </w:rPr>
            </w:pPr>
          </w:p>
        </w:tc>
        <w:tc>
          <w:tcPr>
            <w:tcW w:w="1427" w:type="pct"/>
            <w:vAlign w:val="center"/>
          </w:tcPr>
          <w:p w14:paraId="186CE875">
            <w:pPr>
              <w:jc w:val="center"/>
              <w:rPr>
                <w:rFonts w:hint="eastAsia" w:ascii="宋体" w:hAnsi="宋体" w:eastAsia="宋体" w:cs="宋体"/>
                <w:color w:val="auto"/>
                <w:sz w:val="24"/>
                <w:szCs w:val="24"/>
                <w:highlight w:val="none"/>
              </w:rPr>
            </w:pPr>
          </w:p>
        </w:tc>
        <w:tc>
          <w:tcPr>
            <w:tcW w:w="722" w:type="pct"/>
            <w:vAlign w:val="center"/>
          </w:tcPr>
          <w:p w14:paraId="57E0A7B7">
            <w:pPr>
              <w:jc w:val="center"/>
              <w:rPr>
                <w:rFonts w:hint="eastAsia" w:ascii="宋体" w:hAnsi="宋体" w:eastAsia="宋体" w:cs="宋体"/>
                <w:color w:val="auto"/>
                <w:sz w:val="24"/>
                <w:szCs w:val="24"/>
                <w:highlight w:val="none"/>
              </w:rPr>
            </w:pPr>
          </w:p>
        </w:tc>
      </w:tr>
      <w:tr w14:paraId="62BBE9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03A658E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4442" w:type="pct"/>
            <w:gridSpan w:val="4"/>
            <w:vAlign w:val="center"/>
          </w:tcPr>
          <w:p w14:paraId="553D7BD6">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完全接受”的条款无需在本表中列出，按表下方所做“声明”执行；对于需要供应商填报的内容，以及“不能接受”或“有条件接受”的条款，则应写明该条款名称及条款明细、以及供应商所能接受的条件。</w:t>
            </w:r>
          </w:p>
          <w:p w14:paraId="55DDF27E">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2．因表格空间因有限，不足以容纳响应内容时，允许在表后进行响应，但须在表中注明引用位置，如“见本表下方3.1.1”。</w:t>
            </w:r>
          </w:p>
        </w:tc>
      </w:tr>
    </w:tbl>
    <w:p w14:paraId="4C851BDE">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声明：除上表所列的合同条款外，招标文件中的其他合同条款我方均完全接受。</w:t>
      </w:r>
    </w:p>
    <w:p w14:paraId="04DF662A">
      <w:pPr>
        <w:spacing w:line="560" w:lineRule="exact"/>
        <w:ind w:firstLine="480" w:firstLineChars="200"/>
        <w:jc w:val="both"/>
        <w:rPr>
          <w:rFonts w:hint="eastAsia"/>
          <w:color w:val="auto"/>
          <w:highlight w:val="none"/>
        </w:rPr>
      </w:pPr>
      <w:r>
        <w:rPr>
          <w:rFonts w:hint="eastAsia" w:ascii="宋体" w:hAnsi="宋体" w:eastAsia="宋体" w:cs="宋体"/>
          <w:b/>
          <w:bCs/>
          <w:color w:val="auto"/>
          <w:sz w:val="24"/>
          <w:szCs w:val="24"/>
          <w:highlight w:val="none"/>
        </w:rPr>
        <w:t>注：如无偏差，供应商不需要填表，但应声明：“本投标文件完全响应</w:t>
      </w:r>
      <w:r>
        <w:rPr>
          <w:rFonts w:hint="eastAsia" w:ascii="宋体" w:hAnsi="宋体" w:eastAsia="宋体" w:cs="宋体"/>
          <w:b/>
          <w:bCs/>
          <w:color w:val="auto"/>
          <w:sz w:val="24"/>
          <w:szCs w:val="24"/>
          <w:highlight w:val="none"/>
          <w:lang w:eastAsia="zh-CN"/>
        </w:rPr>
        <w:t>招</w:t>
      </w:r>
      <w:r>
        <w:rPr>
          <w:rFonts w:hint="eastAsia" w:ascii="宋体" w:hAnsi="宋体" w:eastAsia="宋体" w:cs="宋体"/>
          <w:b/>
          <w:bCs/>
          <w:color w:val="auto"/>
          <w:sz w:val="24"/>
          <w:szCs w:val="24"/>
          <w:highlight w:val="none"/>
        </w:rPr>
        <w:t>标文件所有条款的要求，无偏离。</w:t>
      </w:r>
      <w:r>
        <w:rPr>
          <w:rFonts w:hint="eastAsia" w:ascii="宋体" w:hAnsi="宋体" w:eastAsia="宋体" w:cs="宋体"/>
          <w:color w:val="auto"/>
          <w:sz w:val="24"/>
          <w:szCs w:val="24"/>
          <w:highlight w:val="none"/>
        </w:rPr>
        <w:t>”</w:t>
      </w:r>
    </w:p>
    <w:p w14:paraId="17914ADE">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552083E4">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02E244B2">
      <w:pPr>
        <w:spacing w:line="560" w:lineRule="exact"/>
        <w:jc w:val="both"/>
        <w:rPr>
          <w:rFonts w:hint="eastAsia" w:ascii="宋体" w:hAnsi="宋体" w:eastAsia="宋体" w:cs="宋体"/>
          <w:color w:val="auto"/>
          <w:sz w:val="32"/>
          <w:szCs w:val="32"/>
          <w:highlight w:val="none"/>
        </w:rPr>
      </w:pPr>
      <w:r>
        <w:rPr>
          <w:rFonts w:hint="eastAsia" w:ascii="宋体" w:hAnsi="宋体" w:eastAsia="宋体" w:cs="宋体"/>
          <w:color w:val="auto"/>
          <w:sz w:val="24"/>
          <w:szCs w:val="24"/>
          <w:highlight w:val="none"/>
        </w:rPr>
        <w:br w:type="page"/>
      </w:r>
    </w:p>
    <w:p w14:paraId="3EC9BBFC">
      <w:pPr>
        <w:pStyle w:val="98"/>
        <w:spacing w:before="210" w:after="210" w:line="240" w:lineRule="auto"/>
        <w:ind w:left="0" w:leftChars="0" w:firstLine="0" w:firstLineChars="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（四）其他需要供应商提供的材料</w:t>
      </w:r>
    </w:p>
    <w:p w14:paraId="5F2C6E11">
      <w:pPr>
        <w:spacing w:line="240" w:lineRule="auto"/>
        <w:ind w:firstLine="480"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1．项目实施人员情况表</w:t>
      </w:r>
    </w:p>
    <w:tbl>
      <w:tblPr>
        <w:tblStyle w:val="30"/>
        <w:tblW w:w="50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1048"/>
        <w:gridCol w:w="1371"/>
        <w:gridCol w:w="26"/>
        <w:gridCol w:w="1477"/>
        <w:gridCol w:w="18"/>
        <w:gridCol w:w="8"/>
        <w:gridCol w:w="1709"/>
        <w:gridCol w:w="1890"/>
        <w:gridCol w:w="1241"/>
      </w:tblGrid>
      <w:tr w14:paraId="59CE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themeFill="background1" w:themeFillShade="F2"/>
            <w:vAlign w:val="center"/>
          </w:tcPr>
          <w:p w14:paraId="61D5C9E4">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w:t>
            </w:r>
          </w:p>
        </w:tc>
      </w:tr>
      <w:tr w14:paraId="1D318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5E4F9A3B">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523" w:type="pct"/>
            <w:tcBorders>
              <w:left w:val="single" w:color="auto" w:sz="6" w:space="0"/>
            </w:tcBorders>
            <w:vAlign w:val="center"/>
          </w:tcPr>
          <w:p w14:paraId="5791542C">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684" w:type="pct"/>
            <w:vAlign w:val="center"/>
          </w:tcPr>
          <w:p w14:paraId="03A0E334">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w:t>
            </w:r>
          </w:p>
        </w:tc>
        <w:tc>
          <w:tcPr>
            <w:tcW w:w="750" w:type="pct"/>
            <w:gridSpan w:val="2"/>
            <w:vAlign w:val="center"/>
          </w:tcPr>
          <w:p w14:paraId="161DB64B">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866" w:type="pct"/>
            <w:gridSpan w:val="3"/>
            <w:vAlign w:val="center"/>
          </w:tcPr>
          <w:p w14:paraId="63B12867">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在本行业从业工作年限</w:t>
            </w:r>
          </w:p>
        </w:tc>
        <w:tc>
          <w:tcPr>
            <w:tcW w:w="943" w:type="pct"/>
            <w:tcBorders>
              <w:right w:val="single" w:color="auto" w:sz="2" w:space="0"/>
            </w:tcBorders>
            <w:vAlign w:val="center"/>
          </w:tcPr>
          <w:p w14:paraId="69F008ED">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主要工作业绩和经历</w:t>
            </w:r>
          </w:p>
        </w:tc>
        <w:tc>
          <w:tcPr>
            <w:tcW w:w="614" w:type="pct"/>
            <w:tcBorders>
              <w:left w:val="single" w:color="auto" w:sz="2" w:space="0"/>
              <w:right w:val="single" w:color="auto" w:sz="12" w:space="0"/>
            </w:tcBorders>
            <w:vAlign w:val="center"/>
          </w:tcPr>
          <w:p w14:paraId="3A0BB762">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拟派分工</w:t>
            </w:r>
          </w:p>
        </w:tc>
      </w:tr>
      <w:tr w14:paraId="4DCFA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76B2307F">
            <w:pPr>
              <w:jc w:val="both"/>
              <w:rPr>
                <w:rFonts w:hint="eastAsia" w:ascii="宋体" w:hAnsi="宋体" w:eastAsia="宋体" w:cs="宋体"/>
                <w:color w:val="auto"/>
                <w:sz w:val="24"/>
                <w:szCs w:val="24"/>
                <w:highlight w:val="none"/>
              </w:rPr>
            </w:pPr>
          </w:p>
        </w:tc>
        <w:tc>
          <w:tcPr>
            <w:tcW w:w="523" w:type="pct"/>
            <w:tcBorders>
              <w:left w:val="single" w:color="auto" w:sz="6" w:space="0"/>
            </w:tcBorders>
            <w:vAlign w:val="center"/>
          </w:tcPr>
          <w:p w14:paraId="768572D4">
            <w:pPr>
              <w:jc w:val="both"/>
              <w:rPr>
                <w:rFonts w:hint="eastAsia" w:ascii="宋体" w:hAnsi="宋体" w:eastAsia="宋体" w:cs="宋体"/>
                <w:color w:val="auto"/>
                <w:sz w:val="24"/>
                <w:szCs w:val="24"/>
                <w:highlight w:val="none"/>
              </w:rPr>
            </w:pPr>
          </w:p>
        </w:tc>
        <w:tc>
          <w:tcPr>
            <w:tcW w:w="684" w:type="pct"/>
            <w:vAlign w:val="center"/>
          </w:tcPr>
          <w:p w14:paraId="6DDD2E89">
            <w:pPr>
              <w:jc w:val="both"/>
              <w:rPr>
                <w:rFonts w:hint="eastAsia" w:ascii="宋体" w:hAnsi="宋体" w:eastAsia="宋体" w:cs="宋体"/>
                <w:color w:val="auto"/>
                <w:sz w:val="24"/>
                <w:szCs w:val="24"/>
                <w:highlight w:val="none"/>
              </w:rPr>
            </w:pPr>
          </w:p>
        </w:tc>
        <w:tc>
          <w:tcPr>
            <w:tcW w:w="750" w:type="pct"/>
            <w:gridSpan w:val="2"/>
            <w:vAlign w:val="center"/>
          </w:tcPr>
          <w:p w14:paraId="20A3B016">
            <w:pPr>
              <w:jc w:val="both"/>
              <w:rPr>
                <w:rFonts w:hint="eastAsia" w:ascii="宋体" w:hAnsi="宋体" w:eastAsia="宋体" w:cs="宋体"/>
                <w:color w:val="auto"/>
                <w:sz w:val="24"/>
                <w:szCs w:val="24"/>
                <w:highlight w:val="none"/>
              </w:rPr>
            </w:pPr>
          </w:p>
        </w:tc>
        <w:tc>
          <w:tcPr>
            <w:tcW w:w="866" w:type="pct"/>
            <w:gridSpan w:val="3"/>
            <w:vAlign w:val="center"/>
          </w:tcPr>
          <w:p w14:paraId="3FE68CAB">
            <w:pPr>
              <w:jc w:val="both"/>
              <w:rPr>
                <w:rFonts w:hint="eastAsia" w:ascii="宋体" w:hAnsi="宋体" w:eastAsia="宋体" w:cs="宋体"/>
                <w:color w:val="auto"/>
                <w:sz w:val="24"/>
                <w:szCs w:val="24"/>
                <w:highlight w:val="none"/>
              </w:rPr>
            </w:pPr>
          </w:p>
        </w:tc>
        <w:tc>
          <w:tcPr>
            <w:tcW w:w="943" w:type="pct"/>
            <w:tcBorders>
              <w:right w:val="single" w:color="auto" w:sz="2" w:space="0"/>
            </w:tcBorders>
            <w:vAlign w:val="center"/>
          </w:tcPr>
          <w:p w14:paraId="0BD671EC">
            <w:pPr>
              <w:jc w:val="both"/>
              <w:rPr>
                <w:rFonts w:hint="eastAsia" w:ascii="宋体" w:hAnsi="宋体" w:eastAsia="宋体" w:cs="宋体"/>
                <w:color w:val="auto"/>
                <w:sz w:val="24"/>
                <w:szCs w:val="24"/>
                <w:highlight w:val="none"/>
              </w:rPr>
            </w:pPr>
          </w:p>
        </w:tc>
        <w:tc>
          <w:tcPr>
            <w:tcW w:w="614" w:type="pct"/>
            <w:tcBorders>
              <w:left w:val="single" w:color="auto" w:sz="2" w:space="0"/>
              <w:right w:val="single" w:color="auto" w:sz="12" w:space="0"/>
            </w:tcBorders>
            <w:vAlign w:val="center"/>
          </w:tcPr>
          <w:p w14:paraId="7EE93C60">
            <w:pPr>
              <w:jc w:val="both"/>
              <w:rPr>
                <w:rFonts w:hint="eastAsia" w:ascii="宋体" w:hAnsi="宋体" w:eastAsia="宋体" w:cs="宋体"/>
                <w:color w:val="auto"/>
                <w:sz w:val="24"/>
                <w:szCs w:val="24"/>
                <w:highlight w:val="none"/>
              </w:rPr>
            </w:pPr>
          </w:p>
        </w:tc>
      </w:tr>
      <w:tr w14:paraId="7CCC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22DC4670">
            <w:pPr>
              <w:jc w:val="both"/>
              <w:rPr>
                <w:rFonts w:hint="eastAsia" w:ascii="宋体" w:hAnsi="宋体" w:eastAsia="宋体" w:cs="宋体"/>
                <w:color w:val="auto"/>
                <w:sz w:val="24"/>
                <w:szCs w:val="24"/>
                <w:highlight w:val="none"/>
              </w:rPr>
            </w:pPr>
          </w:p>
        </w:tc>
        <w:tc>
          <w:tcPr>
            <w:tcW w:w="523" w:type="pct"/>
            <w:tcBorders>
              <w:left w:val="single" w:color="auto" w:sz="6" w:space="0"/>
            </w:tcBorders>
            <w:vAlign w:val="center"/>
          </w:tcPr>
          <w:p w14:paraId="44ECD0B0">
            <w:pPr>
              <w:jc w:val="both"/>
              <w:rPr>
                <w:rFonts w:hint="eastAsia" w:ascii="宋体" w:hAnsi="宋体" w:eastAsia="宋体" w:cs="宋体"/>
                <w:color w:val="auto"/>
                <w:sz w:val="24"/>
                <w:szCs w:val="24"/>
                <w:highlight w:val="none"/>
              </w:rPr>
            </w:pPr>
          </w:p>
        </w:tc>
        <w:tc>
          <w:tcPr>
            <w:tcW w:w="684" w:type="pct"/>
            <w:vAlign w:val="center"/>
          </w:tcPr>
          <w:p w14:paraId="5D401224">
            <w:pPr>
              <w:jc w:val="both"/>
              <w:rPr>
                <w:rFonts w:hint="eastAsia" w:ascii="宋体" w:hAnsi="宋体" w:eastAsia="宋体" w:cs="宋体"/>
                <w:color w:val="auto"/>
                <w:sz w:val="24"/>
                <w:szCs w:val="24"/>
                <w:highlight w:val="none"/>
              </w:rPr>
            </w:pPr>
          </w:p>
        </w:tc>
        <w:tc>
          <w:tcPr>
            <w:tcW w:w="750" w:type="pct"/>
            <w:gridSpan w:val="2"/>
            <w:vAlign w:val="center"/>
          </w:tcPr>
          <w:p w14:paraId="7AF807FF">
            <w:pPr>
              <w:jc w:val="both"/>
              <w:rPr>
                <w:rFonts w:hint="eastAsia" w:ascii="宋体" w:hAnsi="宋体" w:eastAsia="宋体" w:cs="宋体"/>
                <w:color w:val="auto"/>
                <w:sz w:val="24"/>
                <w:szCs w:val="24"/>
                <w:highlight w:val="none"/>
              </w:rPr>
            </w:pPr>
          </w:p>
        </w:tc>
        <w:tc>
          <w:tcPr>
            <w:tcW w:w="866" w:type="pct"/>
            <w:gridSpan w:val="3"/>
            <w:vAlign w:val="center"/>
          </w:tcPr>
          <w:p w14:paraId="78D8E6EC">
            <w:pPr>
              <w:jc w:val="both"/>
              <w:rPr>
                <w:rFonts w:hint="eastAsia" w:ascii="宋体" w:hAnsi="宋体" w:eastAsia="宋体" w:cs="宋体"/>
                <w:color w:val="auto"/>
                <w:sz w:val="24"/>
                <w:szCs w:val="24"/>
                <w:highlight w:val="none"/>
              </w:rPr>
            </w:pPr>
          </w:p>
        </w:tc>
        <w:tc>
          <w:tcPr>
            <w:tcW w:w="943" w:type="pct"/>
            <w:tcBorders>
              <w:right w:val="single" w:color="auto" w:sz="2" w:space="0"/>
            </w:tcBorders>
            <w:vAlign w:val="center"/>
          </w:tcPr>
          <w:p w14:paraId="11856F30">
            <w:pPr>
              <w:jc w:val="both"/>
              <w:rPr>
                <w:rFonts w:hint="eastAsia" w:ascii="宋体" w:hAnsi="宋体" w:eastAsia="宋体" w:cs="宋体"/>
                <w:color w:val="auto"/>
                <w:sz w:val="24"/>
                <w:szCs w:val="24"/>
                <w:highlight w:val="none"/>
              </w:rPr>
            </w:pPr>
          </w:p>
        </w:tc>
        <w:tc>
          <w:tcPr>
            <w:tcW w:w="614" w:type="pct"/>
            <w:tcBorders>
              <w:left w:val="single" w:color="auto" w:sz="2" w:space="0"/>
              <w:right w:val="single" w:color="auto" w:sz="12" w:space="0"/>
            </w:tcBorders>
            <w:vAlign w:val="center"/>
          </w:tcPr>
          <w:p w14:paraId="2E7DBA4A">
            <w:pPr>
              <w:jc w:val="both"/>
              <w:rPr>
                <w:rFonts w:hint="eastAsia" w:ascii="宋体" w:hAnsi="宋体" w:eastAsia="宋体" w:cs="宋体"/>
                <w:color w:val="auto"/>
                <w:sz w:val="24"/>
                <w:szCs w:val="24"/>
                <w:highlight w:val="none"/>
              </w:rPr>
            </w:pPr>
          </w:p>
        </w:tc>
      </w:tr>
      <w:tr w14:paraId="06C4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1C25502C">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管理人员</w:t>
            </w:r>
          </w:p>
        </w:tc>
      </w:tr>
      <w:tr w14:paraId="6D23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08E0D1C">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523" w:type="pct"/>
            <w:tcBorders>
              <w:left w:val="single" w:color="auto" w:sz="6" w:space="0"/>
            </w:tcBorders>
            <w:vAlign w:val="center"/>
          </w:tcPr>
          <w:p w14:paraId="6135D10F">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684" w:type="pct"/>
            <w:vAlign w:val="center"/>
          </w:tcPr>
          <w:p w14:paraId="466D9936">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w:t>
            </w:r>
          </w:p>
        </w:tc>
        <w:tc>
          <w:tcPr>
            <w:tcW w:w="759" w:type="pct"/>
            <w:gridSpan w:val="3"/>
            <w:vAlign w:val="center"/>
          </w:tcPr>
          <w:p w14:paraId="7F2069A5">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857" w:type="pct"/>
            <w:gridSpan w:val="2"/>
            <w:vAlign w:val="center"/>
          </w:tcPr>
          <w:p w14:paraId="464DC82E">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在本行业从业工作年限</w:t>
            </w:r>
          </w:p>
        </w:tc>
        <w:tc>
          <w:tcPr>
            <w:tcW w:w="943" w:type="pct"/>
            <w:vAlign w:val="center"/>
          </w:tcPr>
          <w:p w14:paraId="2CB7CE45">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主要工作业绩和经历</w:t>
            </w:r>
          </w:p>
        </w:tc>
        <w:tc>
          <w:tcPr>
            <w:tcW w:w="614" w:type="pct"/>
            <w:tcBorders>
              <w:right w:val="single" w:color="auto" w:sz="12" w:space="0"/>
            </w:tcBorders>
            <w:vAlign w:val="center"/>
          </w:tcPr>
          <w:p w14:paraId="1735035F">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拟派分工</w:t>
            </w:r>
          </w:p>
        </w:tc>
      </w:tr>
      <w:tr w14:paraId="33EED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650468A3">
            <w:pPr>
              <w:jc w:val="both"/>
              <w:rPr>
                <w:rFonts w:hint="eastAsia" w:ascii="宋体" w:hAnsi="宋体" w:eastAsia="宋体" w:cs="宋体"/>
                <w:color w:val="auto"/>
                <w:sz w:val="24"/>
                <w:szCs w:val="24"/>
                <w:highlight w:val="none"/>
              </w:rPr>
            </w:pPr>
          </w:p>
        </w:tc>
        <w:tc>
          <w:tcPr>
            <w:tcW w:w="523" w:type="pct"/>
            <w:tcBorders>
              <w:left w:val="single" w:color="auto" w:sz="6" w:space="0"/>
            </w:tcBorders>
            <w:vAlign w:val="center"/>
          </w:tcPr>
          <w:p w14:paraId="179CD42C">
            <w:pPr>
              <w:jc w:val="both"/>
              <w:rPr>
                <w:rFonts w:hint="eastAsia" w:ascii="宋体" w:hAnsi="宋体" w:eastAsia="宋体" w:cs="宋体"/>
                <w:color w:val="auto"/>
                <w:sz w:val="24"/>
                <w:szCs w:val="24"/>
                <w:highlight w:val="none"/>
              </w:rPr>
            </w:pPr>
          </w:p>
        </w:tc>
        <w:tc>
          <w:tcPr>
            <w:tcW w:w="684" w:type="pct"/>
            <w:vAlign w:val="center"/>
          </w:tcPr>
          <w:p w14:paraId="4D313DEC">
            <w:pPr>
              <w:jc w:val="both"/>
              <w:rPr>
                <w:rFonts w:hint="eastAsia" w:ascii="宋体" w:hAnsi="宋体" w:eastAsia="宋体" w:cs="宋体"/>
                <w:color w:val="auto"/>
                <w:sz w:val="24"/>
                <w:szCs w:val="24"/>
                <w:highlight w:val="none"/>
              </w:rPr>
            </w:pPr>
          </w:p>
        </w:tc>
        <w:tc>
          <w:tcPr>
            <w:tcW w:w="759" w:type="pct"/>
            <w:gridSpan w:val="3"/>
            <w:vAlign w:val="center"/>
          </w:tcPr>
          <w:p w14:paraId="241742F5">
            <w:pPr>
              <w:jc w:val="both"/>
              <w:rPr>
                <w:rFonts w:hint="eastAsia" w:ascii="宋体" w:hAnsi="宋体" w:eastAsia="宋体" w:cs="宋体"/>
                <w:color w:val="auto"/>
                <w:sz w:val="24"/>
                <w:szCs w:val="24"/>
                <w:highlight w:val="none"/>
              </w:rPr>
            </w:pPr>
          </w:p>
        </w:tc>
        <w:tc>
          <w:tcPr>
            <w:tcW w:w="857" w:type="pct"/>
            <w:gridSpan w:val="2"/>
            <w:vAlign w:val="center"/>
          </w:tcPr>
          <w:p w14:paraId="49747469">
            <w:pPr>
              <w:jc w:val="both"/>
              <w:rPr>
                <w:rFonts w:hint="eastAsia" w:ascii="宋体" w:hAnsi="宋体" w:eastAsia="宋体" w:cs="宋体"/>
                <w:color w:val="auto"/>
                <w:sz w:val="24"/>
                <w:szCs w:val="24"/>
                <w:highlight w:val="none"/>
              </w:rPr>
            </w:pPr>
          </w:p>
        </w:tc>
        <w:tc>
          <w:tcPr>
            <w:tcW w:w="943" w:type="pct"/>
            <w:vAlign w:val="center"/>
          </w:tcPr>
          <w:p w14:paraId="533B44FE">
            <w:pPr>
              <w:jc w:val="both"/>
              <w:rPr>
                <w:rFonts w:hint="eastAsia" w:ascii="宋体" w:hAnsi="宋体" w:eastAsia="宋体" w:cs="宋体"/>
                <w:color w:val="auto"/>
                <w:sz w:val="24"/>
                <w:szCs w:val="24"/>
                <w:highlight w:val="none"/>
              </w:rPr>
            </w:pPr>
          </w:p>
        </w:tc>
        <w:tc>
          <w:tcPr>
            <w:tcW w:w="614" w:type="pct"/>
            <w:tcBorders>
              <w:right w:val="single" w:color="auto" w:sz="12" w:space="0"/>
            </w:tcBorders>
            <w:vAlign w:val="center"/>
          </w:tcPr>
          <w:p w14:paraId="0F3C8EEF">
            <w:pPr>
              <w:jc w:val="both"/>
              <w:rPr>
                <w:rFonts w:hint="eastAsia" w:ascii="宋体" w:hAnsi="宋体" w:eastAsia="宋体" w:cs="宋体"/>
                <w:color w:val="auto"/>
                <w:sz w:val="24"/>
                <w:szCs w:val="24"/>
                <w:highlight w:val="none"/>
              </w:rPr>
            </w:pPr>
          </w:p>
        </w:tc>
      </w:tr>
      <w:tr w14:paraId="7996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5BE45F63">
            <w:pPr>
              <w:jc w:val="both"/>
              <w:rPr>
                <w:rFonts w:hint="eastAsia" w:ascii="宋体" w:hAnsi="宋体" w:eastAsia="宋体" w:cs="宋体"/>
                <w:color w:val="auto"/>
                <w:sz w:val="24"/>
                <w:szCs w:val="24"/>
                <w:highlight w:val="none"/>
              </w:rPr>
            </w:pPr>
          </w:p>
        </w:tc>
        <w:tc>
          <w:tcPr>
            <w:tcW w:w="523" w:type="pct"/>
            <w:tcBorders>
              <w:left w:val="single" w:color="auto" w:sz="6" w:space="0"/>
            </w:tcBorders>
            <w:vAlign w:val="center"/>
          </w:tcPr>
          <w:p w14:paraId="3D2844D6">
            <w:pPr>
              <w:jc w:val="both"/>
              <w:rPr>
                <w:rFonts w:hint="eastAsia" w:ascii="宋体" w:hAnsi="宋体" w:eastAsia="宋体" w:cs="宋体"/>
                <w:color w:val="auto"/>
                <w:sz w:val="24"/>
                <w:szCs w:val="24"/>
                <w:highlight w:val="none"/>
              </w:rPr>
            </w:pPr>
          </w:p>
        </w:tc>
        <w:tc>
          <w:tcPr>
            <w:tcW w:w="684" w:type="pct"/>
            <w:vAlign w:val="center"/>
          </w:tcPr>
          <w:p w14:paraId="4263F199">
            <w:pPr>
              <w:jc w:val="both"/>
              <w:rPr>
                <w:rFonts w:hint="eastAsia" w:ascii="宋体" w:hAnsi="宋体" w:eastAsia="宋体" w:cs="宋体"/>
                <w:color w:val="auto"/>
                <w:sz w:val="24"/>
                <w:szCs w:val="24"/>
                <w:highlight w:val="none"/>
              </w:rPr>
            </w:pPr>
          </w:p>
        </w:tc>
        <w:tc>
          <w:tcPr>
            <w:tcW w:w="759" w:type="pct"/>
            <w:gridSpan w:val="3"/>
            <w:vAlign w:val="center"/>
          </w:tcPr>
          <w:p w14:paraId="68490CE2">
            <w:pPr>
              <w:jc w:val="both"/>
              <w:rPr>
                <w:rFonts w:hint="eastAsia" w:ascii="宋体" w:hAnsi="宋体" w:eastAsia="宋体" w:cs="宋体"/>
                <w:color w:val="auto"/>
                <w:sz w:val="24"/>
                <w:szCs w:val="24"/>
                <w:highlight w:val="none"/>
              </w:rPr>
            </w:pPr>
          </w:p>
        </w:tc>
        <w:tc>
          <w:tcPr>
            <w:tcW w:w="857" w:type="pct"/>
            <w:gridSpan w:val="2"/>
            <w:vAlign w:val="center"/>
          </w:tcPr>
          <w:p w14:paraId="5F521870">
            <w:pPr>
              <w:jc w:val="both"/>
              <w:rPr>
                <w:rFonts w:hint="eastAsia" w:ascii="宋体" w:hAnsi="宋体" w:eastAsia="宋体" w:cs="宋体"/>
                <w:color w:val="auto"/>
                <w:sz w:val="24"/>
                <w:szCs w:val="24"/>
                <w:highlight w:val="none"/>
              </w:rPr>
            </w:pPr>
          </w:p>
        </w:tc>
        <w:tc>
          <w:tcPr>
            <w:tcW w:w="943" w:type="pct"/>
            <w:vAlign w:val="center"/>
          </w:tcPr>
          <w:p w14:paraId="100107F8">
            <w:pPr>
              <w:jc w:val="both"/>
              <w:rPr>
                <w:rFonts w:hint="eastAsia" w:ascii="宋体" w:hAnsi="宋体" w:eastAsia="宋体" w:cs="宋体"/>
                <w:color w:val="auto"/>
                <w:sz w:val="24"/>
                <w:szCs w:val="24"/>
                <w:highlight w:val="none"/>
              </w:rPr>
            </w:pPr>
          </w:p>
        </w:tc>
        <w:tc>
          <w:tcPr>
            <w:tcW w:w="614" w:type="pct"/>
            <w:tcBorders>
              <w:right w:val="single" w:color="auto" w:sz="12" w:space="0"/>
            </w:tcBorders>
            <w:vAlign w:val="center"/>
          </w:tcPr>
          <w:p w14:paraId="190B94B3">
            <w:pPr>
              <w:jc w:val="both"/>
              <w:rPr>
                <w:rFonts w:hint="eastAsia" w:ascii="宋体" w:hAnsi="宋体" w:eastAsia="宋体" w:cs="宋体"/>
                <w:color w:val="auto"/>
                <w:sz w:val="24"/>
                <w:szCs w:val="24"/>
                <w:highlight w:val="none"/>
              </w:rPr>
            </w:pPr>
          </w:p>
        </w:tc>
      </w:tr>
      <w:tr w14:paraId="00A5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35571A3C">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技术人员/服务人员</w:t>
            </w:r>
          </w:p>
        </w:tc>
      </w:tr>
      <w:tr w14:paraId="3E0F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63C6D61">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523" w:type="pct"/>
            <w:tcBorders>
              <w:left w:val="single" w:color="auto" w:sz="6" w:space="0"/>
            </w:tcBorders>
            <w:vAlign w:val="center"/>
          </w:tcPr>
          <w:p w14:paraId="0AD7E0D8">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697" w:type="pct"/>
            <w:gridSpan w:val="2"/>
            <w:tcBorders>
              <w:right w:val="single" w:color="auto" w:sz="2" w:space="0"/>
            </w:tcBorders>
            <w:vAlign w:val="center"/>
          </w:tcPr>
          <w:p w14:paraId="2EDBD9D8">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学历</w:t>
            </w:r>
          </w:p>
        </w:tc>
        <w:tc>
          <w:tcPr>
            <w:tcW w:w="750" w:type="pct"/>
            <w:gridSpan w:val="3"/>
            <w:tcBorders>
              <w:left w:val="single" w:color="auto" w:sz="2" w:space="0"/>
            </w:tcBorders>
            <w:vAlign w:val="center"/>
          </w:tcPr>
          <w:p w14:paraId="72E0A708">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853" w:type="pct"/>
            <w:vAlign w:val="center"/>
          </w:tcPr>
          <w:p w14:paraId="4F9CC03D">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从事类似项目工作年限</w:t>
            </w:r>
          </w:p>
        </w:tc>
        <w:tc>
          <w:tcPr>
            <w:tcW w:w="943" w:type="pct"/>
            <w:vAlign w:val="center"/>
          </w:tcPr>
          <w:p w14:paraId="44C487C6">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主要工作业绩和经历</w:t>
            </w:r>
          </w:p>
        </w:tc>
        <w:tc>
          <w:tcPr>
            <w:tcW w:w="614" w:type="pct"/>
            <w:tcBorders>
              <w:right w:val="single" w:color="auto" w:sz="12" w:space="0"/>
            </w:tcBorders>
            <w:vAlign w:val="center"/>
          </w:tcPr>
          <w:p w14:paraId="70455CD2">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拟派分工</w:t>
            </w:r>
          </w:p>
        </w:tc>
      </w:tr>
      <w:tr w14:paraId="00E2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20C6398B">
            <w:pPr>
              <w:jc w:val="both"/>
              <w:rPr>
                <w:rFonts w:hint="eastAsia" w:ascii="宋体" w:hAnsi="宋体" w:eastAsia="宋体" w:cs="宋体"/>
                <w:color w:val="auto"/>
                <w:sz w:val="24"/>
                <w:szCs w:val="24"/>
                <w:highlight w:val="none"/>
              </w:rPr>
            </w:pPr>
          </w:p>
        </w:tc>
        <w:tc>
          <w:tcPr>
            <w:tcW w:w="523" w:type="pct"/>
            <w:tcBorders>
              <w:left w:val="single" w:color="auto" w:sz="6" w:space="0"/>
            </w:tcBorders>
            <w:vAlign w:val="center"/>
          </w:tcPr>
          <w:p w14:paraId="167E78E8">
            <w:pPr>
              <w:jc w:val="both"/>
              <w:rPr>
                <w:rFonts w:hint="eastAsia" w:ascii="宋体" w:hAnsi="宋体" w:eastAsia="宋体" w:cs="宋体"/>
                <w:color w:val="auto"/>
                <w:sz w:val="24"/>
                <w:szCs w:val="24"/>
                <w:highlight w:val="none"/>
              </w:rPr>
            </w:pPr>
          </w:p>
        </w:tc>
        <w:tc>
          <w:tcPr>
            <w:tcW w:w="697" w:type="pct"/>
            <w:gridSpan w:val="2"/>
            <w:tcBorders>
              <w:right w:val="single" w:color="auto" w:sz="2" w:space="0"/>
            </w:tcBorders>
            <w:vAlign w:val="center"/>
          </w:tcPr>
          <w:p w14:paraId="0EAD7440">
            <w:pPr>
              <w:jc w:val="both"/>
              <w:rPr>
                <w:rFonts w:hint="eastAsia" w:ascii="宋体" w:hAnsi="宋体" w:eastAsia="宋体" w:cs="宋体"/>
                <w:color w:val="auto"/>
                <w:sz w:val="24"/>
                <w:szCs w:val="24"/>
                <w:highlight w:val="none"/>
              </w:rPr>
            </w:pPr>
          </w:p>
        </w:tc>
        <w:tc>
          <w:tcPr>
            <w:tcW w:w="750" w:type="pct"/>
            <w:gridSpan w:val="3"/>
            <w:tcBorders>
              <w:left w:val="single" w:color="auto" w:sz="2" w:space="0"/>
            </w:tcBorders>
            <w:vAlign w:val="center"/>
          </w:tcPr>
          <w:p w14:paraId="0CAD7803">
            <w:pPr>
              <w:jc w:val="both"/>
              <w:rPr>
                <w:rFonts w:hint="eastAsia" w:ascii="宋体" w:hAnsi="宋体" w:eastAsia="宋体" w:cs="宋体"/>
                <w:color w:val="auto"/>
                <w:sz w:val="24"/>
                <w:szCs w:val="24"/>
                <w:highlight w:val="none"/>
              </w:rPr>
            </w:pPr>
          </w:p>
        </w:tc>
        <w:tc>
          <w:tcPr>
            <w:tcW w:w="853" w:type="pct"/>
            <w:vAlign w:val="center"/>
          </w:tcPr>
          <w:p w14:paraId="085A7D79">
            <w:pPr>
              <w:jc w:val="both"/>
              <w:rPr>
                <w:rFonts w:hint="eastAsia" w:ascii="宋体" w:hAnsi="宋体" w:eastAsia="宋体" w:cs="宋体"/>
                <w:color w:val="auto"/>
                <w:sz w:val="24"/>
                <w:szCs w:val="24"/>
                <w:highlight w:val="none"/>
              </w:rPr>
            </w:pPr>
          </w:p>
        </w:tc>
        <w:tc>
          <w:tcPr>
            <w:tcW w:w="943" w:type="pct"/>
            <w:vAlign w:val="center"/>
          </w:tcPr>
          <w:p w14:paraId="34A48B4C">
            <w:pPr>
              <w:jc w:val="both"/>
              <w:rPr>
                <w:rFonts w:hint="eastAsia" w:ascii="宋体" w:hAnsi="宋体" w:eastAsia="宋体" w:cs="宋体"/>
                <w:color w:val="auto"/>
                <w:sz w:val="24"/>
                <w:szCs w:val="24"/>
                <w:highlight w:val="none"/>
              </w:rPr>
            </w:pPr>
          </w:p>
        </w:tc>
        <w:tc>
          <w:tcPr>
            <w:tcW w:w="614" w:type="pct"/>
            <w:tcBorders>
              <w:right w:val="single" w:color="auto" w:sz="12" w:space="0"/>
            </w:tcBorders>
            <w:vAlign w:val="center"/>
          </w:tcPr>
          <w:p w14:paraId="5F4B747D">
            <w:pPr>
              <w:jc w:val="both"/>
              <w:rPr>
                <w:rFonts w:hint="eastAsia" w:ascii="宋体" w:hAnsi="宋体" w:eastAsia="宋体" w:cs="宋体"/>
                <w:color w:val="auto"/>
                <w:sz w:val="24"/>
                <w:szCs w:val="24"/>
                <w:highlight w:val="none"/>
              </w:rPr>
            </w:pPr>
          </w:p>
        </w:tc>
      </w:tr>
      <w:tr w14:paraId="58FC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93126F8">
            <w:pPr>
              <w:jc w:val="both"/>
              <w:rPr>
                <w:rFonts w:hint="eastAsia" w:ascii="宋体" w:hAnsi="宋体" w:eastAsia="宋体" w:cs="宋体"/>
                <w:color w:val="auto"/>
                <w:sz w:val="24"/>
                <w:szCs w:val="24"/>
                <w:highlight w:val="none"/>
              </w:rPr>
            </w:pPr>
          </w:p>
        </w:tc>
        <w:tc>
          <w:tcPr>
            <w:tcW w:w="523" w:type="pct"/>
            <w:tcBorders>
              <w:left w:val="single" w:color="auto" w:sz="6" w:space="0"/>
            </w:tcBorders>
            <w:vAlign w:val="center"/>
          </w:tcPr>
          <w:p w14:paraId="53A8A27E">
            <w:pPr>
              <w:jc w:val="both"/>
              <w:rPr>
                <w:rFonts w:hint="eastAsia" w:ascii="宋体" w:hAnsi="宋体" w:eastAsia="宋体" w:cs="宋体"/>
                <w:color w:val="auto"/>
                <w:sz w:val="24"/>
                <w:szCs w:val="24"/>
                <w:highlight w:val="none"/>
              </w:rPr>
            </w:pPr>
          </w:p>
        </w:tc>
        <w:tc>
          <w:tcPr>
            <w:tcW w:w="697" w:type="pct"/>
            <w:gridSpan w:val="2"/>
            <w:tcBorders>
              <w:right w:val="single" w:color="auto" w:sz="2" w:space="0"/>
            </w:tcBorders>
            <w:vAlign w:val="center"/>
          </w:tcPr>
          <w:p w14:paraId="2F4E795D">
            <w:pPr>
              <w:jc w:val="both"/>
              <w:rPr>
                <w:rFonts w:hint="eastAsia" w:ascii="宋体" w:hAnsi="宋体" w:eastAsia="宋体" w:cs="宋体"/>
                <w:color w:val="auto"/>
                <w:sz w:val="24"/>
                <w:szCs w:val="24"/>
                <w:highlight w:val="none"/>
              </w:rPr>
            </w:pPr>
          </w:p>
        </w:tc>
        <w:tc>
          <w:tcPr>
            <w:tcW w:w="750" w:type="pct"/>
            <w:gridSpan w:val="3"/>
            <w:tcBorders>
              <w:left w:val="single" w:color="auto" w:sz="2" w:space="0"/>
            </w:tcBorders>
            <w:vAlign w:val="center"/>
          </w:tcPr>
          <w:p w14:paraId="5FCE966F">
            <w:pPr>
              <w:jc w:val="both"/>
              <w:rPr>
                <w:rFonts w:hint="eastAsia" w:ascii="宋体" w:hAnsi="宋体" w:eastAsia="宋体" w:cs="宋体"/>
                <w:color w:val="auto"/>
                <w:sz w:val="24"/>
                <w:szCs w:val="24"/>
                <w:highlight w:val="none"/>
              </w:rPr>
            </w:pPr>
          </w:p>
        </w:tc>
        <w:tc>
          <w:tcPr>
            <w:tcW w:w="853" w:type="pct"/>
            <w:vAlign w:val="center"/>
          </w:tcPr>
          <w:p w14:paraId="3F79D0F8">
            <w:pPr>
              <w:jc w:val="both"/>
              <w:rPr>
                <w:rFonts w:hint="eastAsia" w:ascii="宋体" w:hAnsi="宋体" w:eastAsia="宋体" w:cs="宋体"/>
                <w:color w:val="auto"/>
                <w:sz w:val="24"/>
                <w:szCs w:val="24"/>
                <w:highlight w:val="none"/>
              </w:rPr>
            </w:pPr>
          </w:p>
        </w:tc>
        <w:tc>
          <w:tcPr>
            <w:tcW w:w="943" w:type="pct"/>
            <w:vAlign w:val="center"/>
          </w:tcPr>
          <w:p w14:paraId="6704316E">
            <w:pPr>
              <w:jc w:val="both"/>
              <w:rPr>
                <w:rFonts w:hint="eastAsia" w:ascii="宋体" w:hAnsi="宋体" w:eastAsia="宋体" w:cs="宋体"/>
                <w:color w:val="auto"/>
                <w:sz w:val="24"/>
                <w:szCs w:val="24"/>
                <w:highlight w:val="none"/>
              </w:rPr>
            </w:pPr>
          </w:p>
        </w:tc>
        <w:tc>
          <w:tcPr>
            <w:tcW w:w="614" w:type="pct"/>
            <w:tcBorders>
              <w:right w:val="single" w:color="auto" w:sz="12" w:space="0"/>
            </w:tcBorders>
            <w:vAlign w:val="center"/>
          </w:tcPr>
          <w:p w14:paraId="68EC6328">
            <w:pPr>
              <w:jc w:val="both"/>
              <w:rPr>
                <w:rFonts w:hint="eastAsia" w:ascii="宋体" w:hAnsi="宋体" w:eastAsia="宋体" w:cs="宋体"/>
                <w:color w:val="auto"/>
                <w:sz w:val="24"/>
                <w:szCs w:val="24"/>
                <w:highlight w:val="none"/>
              </w:rPr>
            </w:pPr>
          </w:p>
        </w:tc>
      </w:tr>
      <w:tr w14:paraId="6BC37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623EB992">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辅助人员</w:t>
            </w:r>
          </w:p>
        </w:tc>
      </w:tr>
      <w:tr w14:paraId="4A65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0C028DCF">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523" w:type="pct"/>
            <w:tcBorders>
              <w:left w:val="single" w:color="auto" w:sz="6" w:space="0"/>
            </w:tcBorders>
            <w:vAlign w:val="center"/>
          </w:tcPr>
          <w:p w14:paraId="2C92BA2A">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697" w:type="pct"/>
            <w:gridSpan w:val="2"/>
            <w:tcBorders>
              <w:right w:val="single" w:color="auto" w:sz="2" w:space="0"/>
            </w:tcBorders>
            <w:vAlign w:val="center"/>
          </w:tcPr>
          <w:p w14:paraId="2107AAF2">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学历</w:t>
            </w:r>
          </w:p>
        </w:tc>
        <w:tc>
          <w:tcPr>
            <w:tcW w:w="750" w:type="pct"/>
            <w:gridSpan w:val="3"/>
            <w:tcBorders>
              <w:left w:val="single" w:color="auto" w:sz="2" w:space="0"/>
            </w:tcBorders>
            <w:vAlign w:val="center"/>
          </w:tcPr>
          <w:p w14:paraId="77F2CB05">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853" w:type="pct"/>
            <w:vAlign w:val="center"/>
          </w:tcPr>
          <w:p w14:paraId="48C78BC6">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从事类似项目工作年限</w:t>
            </w:r>
          </w:p>
        </w:tc>
        <w:tc>
          <w:tcPr>
            <w:tcW w:w="943" w:type="pct"/>
            <w:vAlign w:val="center"/>
          </w:tcPr>
          <w:p w14:paraId="285FED55">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主要工作业绩和经历</w:t>
            </w:r>
          </w:p>
        </w:tc>
        <w:tc>
          <w:tcPr>
            <w:tcW w:w="614" w:type="pct"/>
            <w:tcBorders>
              <w:right w:val="single" w:color="auto" w:sz="12" w:space="0"/>
            </w:tcBorders>
            <w:vAlign w:val="center"/>
          </w:tcPr>
          <w:p w14:paraId="10FE651E">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拟派分工</w:t>
            </w:r>
          </w:p>
        </w:tc>
      </w:tr>
      <w:tr w14:paraId="500B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47096705">
            <w:pPr>
              <w:jc w:val="both"/>
              <w:rPr>
                <w:rFonts w:hint="eastAsia" w:ascii="宋体" w:hAnsi="宋体" w:eastAsia="宋体" w:cs="宋体"/>
                <w:color w:val="auto"/>
                <w:sz w:val="24"/>
                <w:szCs w:val="24"/>
                <w:highlight w:val="none"/>
              </w:rPr>
            </w:pPr>
          </w:p>
        </w:tc>
        <w:tc>
          <w:tcPr>
            <w:tcW w:w="523" w:type="pct"/>
            <w:tcBorders>
              <w:left w:val="single" w:color="auto" w:sz="6" w:space="0"/>
            </w:tcBorders>
            <w:vAlign w:val="center"/>
          </w:tcPr>
          <w:p w14:paraId="4869898C">
            <w:pPr>
              <w:jc w:val="both"/>
              <w:rPr>
                <w:rFonts w:hint="eastAsia" w:ascii="宋体" w:hAnsi="宋体" w:eastAsia="宋体" w:cs="宋体"/>
                <w:color w:val="auto"/>
                <w:sz w:val="24"/>
                <w:szCs w:val="24"/>
                <w:highlight w:val="none"/>
              </w:rPr>
            </w:pPr>
          </w:p>
        </w:tc>
        <w:tc>
          <w:tcPr>
            <w:tcW w:w="697" w:type="pct"/>
            <w:gridSpan w:val="2"/>
            <w:tcBorders>
              <w:right w:val="single" w:color="auto" w:sz="2" w:space="0"/>
            </w:tcBorders>
            <w:vAlign w:val="center"/>
          </w:tcPr>
          <w:p w14:paraId="61A14253">
            <w:pPr>
              <w:jc w:val="both"/>
              <w:rPr>
                <w:rFonts w:hint="eastAsia" w:ascii="宋体" w:hAnsi="宋体" w:eastAsia="宋体" w:cs="宋体"/>
                <w:color w:val="auto"/>
                <w:sz w:val="24"/>
                <w:szCs w:val="24"/>
                <w:highlight w:val="none"/>
              </w:rPr>
            </w:pPr>
          </w:p>
        </w:tc>
        <w:tc>
          <w:tcPr>
            <w:tcW w:w="750" w:type="pct"/>
            <w:gridSpan w:val="3"/>
            <w:tcBorders>
              <w:left w:val="single" w:color="auto" w:sz="2" w:space="0"/>
            </w:tcBorders>
            <w:vAlign w:val="center"/>
          </w:tcPr>
          <w:p w14:paraId="52C36D88">
            <w:pPr>
              <w:jc w:val="both"/>
              <w:rPr>
                <w:rFonts w:hint="eastAsia" w:ascii="宋体" w:hAnsi="宋体" w:eastAsia="宋体" w:cs="宋体"/>
                <w:color w:val="auto"/>
                <w:sz w:val="24"/>
                <w:szCs w:val="24"/>
                <w:highlight w:val="none"/>
              </w:rPr>
            </w:pPr>
          </w:p>
        </w:tc>
        <w:tc>
          <w:tcPr>
            <w:tcW w:w="853" w:type="pct"/>
            <w:vAlign w:val="center"/>
          </w:tcPr>
          <w:p w14:paraId="6F080479">
            <w:pPr>
              <w:jc w:val="both"/>
              <w:rPr>
                <w:rFonts w:hint="eastAsia" w:ascii="宋体" w:hAnsi="宋体" w:eastAsia="宋体" w:cs="宋体"/>
                <w:color w:val="auto"/>
                <w:sz w:val="24"/>
                <w:szCs w:val="24"/>
                <w:highlight w:val="none"/>
              </w:rPr>
            </w:pPr>
          </w:p>
        </w:tc>
        <w:tc>
          <w:tcPr>
            <w:tcW w:w="943" w:type="pct"/>
            <w:vAlign w:val="center"/>
          </w:tcPr>
          <w:p w14:paraId="17F2B3CC">
            <w:pPr>
              <w:jc w:val="both"/>
              <w:rPr>
                <w:rFonts w:hint="eastAsia" w:ascii="宋体" w:hAnsi="宋体" w:eastAsia="宋体" w:cs="宋体"/>
                <w:color w:val="auto"/>
                <w:sz w:val="24"/>
                <w:szCs w:val="24"/>
                <w:highlight w:val="none"/>
              </w:rPr>
            </w:pPr>
          </w:p>
        </w:tc>
        <w:tc>
          <w:tcPr>
            <w:tcW w:w="614" w:type="pct"/>
            <w:tcBorders>
              <w:right w:val="single" w:color="auto" w:sz="12" w:space="0"/>
            </w:tcBorders>
            <w:vAlign w:val="center"/>
          </w:tcPr>
          <w:p w14:paraId="29928E39">
            <w:pPr>
              <w:jc w:val="both"/>
              <w:rPr>
                <w:rFonts w:hint="eastAsia" w:ascii="宋体" w:hAnsi="宋体" w:eastAsia="宋体" w:cs="宋体"/>
                <w:color w:val="auto"/>
                <w:sz w:val="24"/>
                <w:szCs w:val="24"/>
                <w:highlight w:val="none"/>
              </w:rPr>
            </w:pPr>
          </w:p>
        </w:tc>
      </w:tr>
      <w:tr w14:paraId="2548C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7B0CEA84">
            <w:pPr>
              <w:jc w:val="both"/>
              <w:rPr>
                <w:rFonts w:hint="eastAsia" w:ascii="宋体" w:hAnsi="宋体" w:eastAsia="宋体" w:cs="宋体"/>
                <w:color w:val="auto"/>
                <w:sz w:val="24"/>
                <w:szCs w:val="24"/>
                <w:highlight w:val="none"/>
              </w:rPr>
            </w:pPr>
          </w:p>
        </w:tc>
        <w:tc>
          <w:tcPr>
            <w:tcW w:w="523" w:type="pct"/>
            <w:tcBorders>
              <w:left w:val="single" w:color="auto" w:sz="6" w:space="0"/>
            </w:tcBorders>
            <w:vAlign w:val="center"/>
          </w:tcPr>
          <w:p w14:paraId="162C0059">
            <w:pPr>
              <w:jc w:val="both"/>
              <w:rPr>
                <w:rFonts w:hint="eastAsia" w:ascii="宋体" w:hAnsi="宋体" w:eastAsia="宋体" w:cs="宋体"/>
                <w:color w:val="auto"/>
                <w:sz w:val="24"/>
                <w:szCs w:val="24"/>
                <w:highlight w:val="none"/>
              </w:rPr>
            </w:pPr>
          </w:p>
        </w:tc>
        <w:tc>
          <w:tcPr>
            <w:tcW w:w="697" w:type="pct"/>
            <w:gridSpan w:val="2"/>
            <w:tcBorders>
              <w:right w:val="single" w:color="auto" w:sz="2" w:space="0"/>
            </w:tcBorders>
            <w:vAlign w:val="center"/>
          </w:tcPr>
          <w:p w14:paraId="67D5A9F6">
            <w:pPr>
              <w:jc w:val="both"/>
              <w:rPr>
                <w:rFonts w:hint="eastAsia" w:ascii="宋体" w:hAnsi="宋体" w:eastAsia="宋体" w:cs="宋体"/>
                <w:color w:val="auto"/>
                <w:sz w:val="24"/>
                <w:szCs w:val="24"/>
                <w:highlight w:val="none"/>
              </w:rPr>
            </w:pPr>
          </w:p>
        </w:tc>
        <w:tc>
          <w:tcPr>
            <w:tcW w:w="750" w:type="pct"/>
            <w:gridSpan w:val="3"/>
            <w:tcBorders>
              <w:left w:val="single" w:color="auto" w:sz="2" w:space="0"/>
            </w:tcBorders>
            <w:vAlign w:val="center"/>
          </w:tcPr>
          <w:p w14:paraId="2F4F441B">
            <w:pPr>
              <w:jc w:val="both"/>
              <w:rPr>
                <w:rFonts w:hint="eastAsia" w:ascii="宋体" w:hAnsi="宋体" w:eastAsia="宋体" w:cs="宋体"/>
                <w:color w:val="auto"/>
                <w:sz w:val="24"/>
                <w:szCs w:val="24"/>
                <w:highlight w:val="none"/>
              </w:rPr>
            </w:pPr>
          </w:p>
        </w:tc>
        <w:tc>
          <w:tcPr>
            <w:tcW w:w="853" w:type="pct"/>
            <w:vAlign w:val="center"/>
          </w:tcPr>
          <w:p w14:paraId="01B07295">
            <w:pPr>
              <w:jc w:val="both"/>
              <w:rPr>
                <w:rFonts w:hint="eastAsia" w:ascii="宋体" w:hAnsi="宋体" w:eastAsia="宋体" w:cs="宋体"/>
                <w:color w:val="auto"/>
                <w:sz w:val="24"/>
                <w:szCs w:val="24"/>
                <w:highlight w:val="none"/>
              </w:rPr>
            </w:pPr>
          </w:p>
        </w:tc>
        <w:tc>
          <w:tcPr>
            <w:tcW w:w="943" w:type="pct"/>
            <w:vAlign w:val="center"/>
          </w:tcPr>
          <w:p w14:paraId="41270747">
            <w:pPr>
              <w:jc w:val="both"/>
              <w:rPr>
                <w:rFonts w:hint="eastAsia" w:ascii="宋体" w:hAnsi="宋体" w:eastAsia="宋体" w:cs="宋体"/>
                <w:color w:val="auto"/>
                <w:sz w:val="24"/>
                <w:szCs w:val="24"/>
                <w:highlight w:val="none"/>
              </w:rPr>
            </w:pPr>
          </w:p>
        </w:tc>
        <w:tc>
          <w:tcPr>
            <w:tcW w:w="614" w:type="pct"/>
            <w:tcBorders>
              <w:right w:val="single" w:color="auto" w:sz="12" w:space="0"/>
            </w:tcBorders>
            <w:vAlign w:val="center"/>
          </w:tcPr>
          <w:p w14:paraId="5EAA73AC">
            <w:pPr>
              <w:jc w:val="both"/>
              <w:rPr>
                <w:rFonts w:hint="eastAsia" w:ascii="宋体" w:hAnsi="宋体" w:eastAsia="宋体" w:cs="宋体"/>
                <w:color w:val="auto"/>
                <w:sz w:val="24"/>
                <w:szCs w:val="24"/>
                <w:highlight w:val="none"/>
              </w:rPr>
            </w:pPr>
          </w:p>
        </w:tc>
      </w:tr>
      <w:tr w14:paraId="4A1D8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615" w:type="pct"/>
            <w:tcBorders>
              <w:top w:val="single" w:color="auto" w:sz="6" w:space="0"/>
              <w:left w:val="single" w:color="auto" w:sz="12" w:space="0"/>
              <w:bottom w:val="single" w:color="auto" w:sz="12" w:space="0"/>
              <w:right w:val="single" w:color="auto" w:sz="6" w:space="0"/>
            </w:tcBorders>
            <w:vAlign w:val="center"/>
          </w:tcPr>
          <w:p w14:paraId="6138D645">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4384" w:type="pct"/>
            <w:gridSpan w:val="9"/>
            <w:tcBorders>
              <w:left w:val="single" w:color="auto" w:sz="6" w:space="0"/>
              <w:bottom w:val="single" w:color="auto" w:sz="12" w:space="0"/>
              <w:right w:val="single" w:color="auto" w:sz="12" w:space="0"/>
            </w:tcBorders>
            <w:vAlign w:val="center"/>
          </w:tcPr>
          <w:p w14:paraId="2EF3B7EC">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1．表格行数不足时请自行扩展。</w:t>
            </w:r>
          </w:p>
          <w:p w14:paraId="68A0780B">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2．表中所列“项目负责人、管理人员、技术人员/服务人员、辅助人员”仅为示例，供应商可根据招标文件要求自行安排人员类别。</w:t>
            </w:r>
          </w:p>
          <w:p w14:paraId="4585DBD1">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3．招标文件对人员“资格\学历\职称”提出要求的，应在本表下方附相应的“资格证\学历证\职称证”等证明文件。</w:t>
            </w:r>
          </w:p>
        </w:tc>
      </w:tr>
    </w:tbl>
    <w:p w14:paraId="6076B9FA">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4CE6C510">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7C0DFA70">
      <w:pPr>
        <w:spacing w:line="560" w:lineRule="exact"/>
        <w:ind w:firstLine="480"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2．业绩</w:t>
      </w:r>
    </w:p>
    <w:p w14:paraId="67E43581">
      <w:pPr>
        <w:spacing w:line="560" w:lineRule="exact"/>
        <w:ind w:firstLine="480" w:firstLineChars="200"/>
        <w:jc w:val="both"/>
        <w:rPr>
          <w:rFonts w:hint="eastAsia" w:ascii="宋体" w:hAnsi="宋体" w:eastAsia="宋体" w:cs="宋体"/>
          <w:color w:val="auto"/>
          <w:sz w:val="24"/>
          <w:szCs w:val="24"/>
          <w:highlight w:val="none"/>
        </w:rPr>
      </w:pPr>
    </w:p>
    <w:p w14:paraId="23C754C6">
      <w:pPr>
        <w:spacing w:line="560" w:lineRule="exact"/>
        <w:ind w:firstLine="480" w:firstLineChars="200"/>
        <w:jc w:val="both"/>
        <w:rPr>
          <w:rFonts w:hint="eastAsia" w:ascii="宋体" w:hAnsi="宋体" w:eastAsia="宋体" w:cs="宋体"/>
          <w:color w:val="auto"/>
          <w:sz w:val="24"/>
          <w:szCs w:val="24"/>
          <w:highlight w:val="none"/>
        </w:rPr>
      </w:pPr>
    </w:p>
    <w:p w14:paraId="0EB2FF3C">
      <w:pPr>
        <w:spacing w:line="560" w:lineRule="exact"/>
        <w:ind w:firstLine="480" w:firstLineChars="200"/>
        <w:jc w:val="both"/>
        <w:rPr>
          <w:rFonts w:hint="eastAsia" w:ascii="宋体" w:hAnsi="宋体" w:eastAsia="宋体" w:cs="宋体"/>
          <w:color w:val="auto"/>
          <w:sz w:val="24"/>
          <w:szCs w:val="24"/>
          <w:highlight w:val="none"/>
        </w:rPr>
      </w:pPr>
    </w:p>
    <w:p w14:paraId="1436E903">
      <w:pPr>
        <w:spacing w:line="560" w:lineRule="exact"/>
        <w:ind w:firstLine="480" w:firstLineChars="200"/>
        <w:jc w:val="both"/>
        <w:rPr>
          <w:rFonts w:hint="eastAsia" w:ascii="宋体" w:hAnsi="宋体" w:eastAsia="宋体" w:cs="宋体"/>
          <w:b/>
          <w:bCs/>
          <w:color w:val="auto"/>
          <w:sz w:val="24"/>
          <w:szCs w:val="32"/>
          <w:highlight w:val="none"/>
          <w:lang w:val="en-US" w:eastAsia="zh-CN"/>
        </w:rPr>
      </w:pP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.其他（根据招标文件要求自行补充）</w:t>
      </w:r>
    </w:p>
    <w:p w14:paraId="34160831">
      <w:pPr>
        <w:rPr>
          <w:rFonts w:hint="eastAsia" w:ascii="宋体" w:hAnsi="宋体" w:eastAsia="宋体" w:cs="宋体"/>
          <w:color w:val="auto"/>
          <w:highlight w:val="none"/>
        </w:rPr>
      </w:pPr>
    </w:p>
    <w:bookmarkEnd w:id="47"/>
    <w:sectPr>
      <w:footerReference r:id="rId10" w:type="default"/>
      <w:footerReference r:id="rId11" w:type="even"/>
      <w:pgSz w:w="11906" w:h="16838"/>
      <w:pgMar w:top="1440" w:right="1083" w:bottom="1440" w:left="1083" w:header="851" w:footer="992" w:gutter="0"/>
      <w:pgNumType w:fmt="decimal" w:start="79"/>
      <w:cols w:space="425"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3000509000000000000"/>
    <w:charset w:val="86"/>
    <w:family w:val="script"/>
    <w:pitch w:val="default"/>
    <w:sig w:usb0="00000000" w:usb1="00000000" w:usb2="00000000" w:usb3="00000000" w:csb0="00040000" w:csb1="00000000"/>
  </w:font>
  <w:font w:name="方正仿宋简体">
    <w:altName w:val="微软雅黑"/>
    <w:panose1 w:val="02010601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E3F17">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BD48E">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CA4F5">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85EA79">
                          <w:pPr>
                            <w:pStyle w:val="2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89</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C85EA79">
                    <w:pPr>
                      <w:pStyle w:val="2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89</w:t>
                    </w:r>
                    <w:r>
                      <w:t>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9918D">
    <w:pPr>
      <w:pStyle w:val="2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A983B9">
                          <w:pPr>
                            <w:pStyle w:val="20"/>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89</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EA983B9">
                    <w:pPr>
                      <w:pStyle w:val="20"/>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89</w:t>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9BA19">
    <w:pPr>
      <w:pStyle w:val="2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8E5C3">
                          <w:pPr>
                            <w:pStyle w:val="20"/>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89</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588E5C3">
                    <w:pPr>
                      <w:pStyle w:val="20"/>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89</w:t>
                    </w:r>
                    <w:r>
                      <w:t>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BD07C">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CB79C5">
                          <w:pPr>
                            <w:pStyle w:val="20"/>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89</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CB79C5">
                    <w:pPr>
                      <w:pStyle w:val="20"/>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89</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0DE5E">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2D618">
    <w:pPr>
      <w:pStyle w:val="21"/>
      <w:pBdr>
        <w:bottom w:val="double" w:color="000000" w:sz="8" w:space="1"/>
      </w:pBdr>
      <w:jc w:val="left"/>
      <w:rPr>
        <w:rFonts w:hint="default"/>
        <w:sz w:val="18"/>
        <w:szCs w:val="18"/>
        <w:lang w:val="en-US"/>
      </w:rPr>
    </w:pPr>
    <w:r>
      <w:rPr>
        <w:rFonts w:hint="eastAsia" w:ascii="宋体" w:hAnsi="宋体" w:cs="宋体"/>
        <w:spacing w:val="0"/>
        <w:sz w:val="18"/>
        <w:szCs w:val="18"/>
        <w:lang w:val="en-US" w:eastAsia="zh-CN"/>
      </w:rPr>
      <w:t>西安浐灞国际港辖区公办学校2025-2026学年大宗食材（肉蛋）采购项目第二批次（浐灞十幼等19所学校）</w:t>
    </w:r>
    <w:r>
      <w:rPr>
        <w:rFonts w:hint="eastAsia" w:ascii="宋体" w:hAnsi="宋体" w:cs="宋体" w:eastAsiaTheme="minorEastAsia"/>
        <w:spacing w:val="0"/>
        <w:sz w:val="18"/>
        <w:szCs w:val="18"/>
        <w:lang w:val="en-US" w:eastAsia="zh-CN"/>
      </w:rPr>
      <w:t xml:space="preserve"> </w:t>
    </w:r>
    <w:r>
      <w:rPr>
        <w:rFonts w:hint="eastAsia" w:ascii="宋体" w:hAnsi="宋体" w:cs="宋体"/>
        <w:spacing w:val="0"/>
        <w:sz w:val="18"/>
        <w:szCs w:val="18"/>
        <w:lang w:val="en-US" w:eastAsia="zh-CN"/>
      </w:rPr>
      <w:t xml:space="preserve">       </w:t>
    </w:r>
    <w:r>
      <w:rPr>
        <w:rFonts w:hint="eastAsia" w:ascii="宋体" w:hAnsi="宋体" w:cs="宋体"/>
        <w:spacing w:val="0"/>
        <w:sz w:val="18"/>
        <w:szCs w:val="18"/>
        <w:lang w:eastAsia="zh-CN"/>
      </w:rPr>
      <w:t>HSGJ2025-196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8E90B">
    <w:pPr>
      <w:pStyle w:val="21"/>
      <w:pBdr>
        <w:bottom w:val="double" w:color="000000" w:sz="8" w:space="1"/>
      </w:pBdr>
      <w:jc w:val="left"/>
      <w:rPr>
        <w:rFonts w:hint="default" w:eastAsiaTheme="minorEastAsia"/>
        <w:spacing w:val="0"/>
        <w:sz w:val="21"/>
        <w:szCs w:val="21"/>
        <w:lang w:val="en-US"/>
      </w:rPr>
    </w:pPr>
    <w:r>
      <w:rPr>
        <w:rFonts w:hint="eastAsia" w:ascii="宋体" w:hAnsi="宋体" w:cs="宋体"/>
        <w:spacing w:val="0"/>
        <w:sz w:val="18"/>
        <w:szCs w:val="18"/>
        <w:lang w:val="en-US" w:eastAsia="zh-CN"/>
      </w:rPr>
      <w:t>西安浐灞国际港辖区公办学校2025-2026学年大宗食材（肉蛋）采购项目第二批次（浐灞十幼等19所学校）</w:t>
    </w:r>
    <w:r>
      <w:rPr>
        <w:rFonts w:hint="eastAsia" w:ascii="宋体" w:hAnsi="宋体" w:cs="宋体"/>
        <w:spacing w:val="0"/>
        <w:sz w:val="21"/>
        <w:szCs w:val="21"/>
        <w:lang w:val="en-US" w:eastAsia="zh-CN"/>
      </w:rPr>
      <w:t xml:space="preserve">          </w:t>
    </w:r>
    <w:r>
      <w:rPr>
        <w:rFonts w:hint="eastAsia" w:ascii="宋体" w:hAnsi="宋体" w:cs="宋体"/>
        <w:spacing w:val="0"/>
        <w:sz w:val="18"/>
        <w:szCs w:val="18"/>
        <w:lang w:eastAsia="zh-CN"/>
      </w:rPr>
      <w:t>HSGJ2025-196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6CED2E"/>
    <w:multiLevelType w:val="singleLevel"/>
    <w:tmpl w:val="8D6CED2E"/>
    <w:lvl w:ilvl="0" w:tentative="0">
      <w:start w:val="5"/>
      <w:numFmt w:val="decimal"/>
      <w:lvlText w:val="%1."/>
      <w:lvlJc w:val="left"/>
      <w:pPr>
        <w:tabs>
          <w:tab w:val="left" w:pos="312"/>
        </w:tabs>
      </w:pPr>
    </w:lvl>
  </w:abstractNum>
  <w:abstractNum w:abstractNumId="1">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6"/>
      <w:lvlText w:val="%1.%2.%3.%4"/>
      <w:lvlJc w:val="left"/>
      <w:pPr>
        <w:ind w:left="864" w:hanging="864"/>
      </w:pPr>
      <w:rPr>
        <w:rFonts w:hint="eastAsia"/>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2">
    <w:nsid w:val="7E0E1845"/>
    <w:multiLevelType w:val="singleLevel"/>
    <w:tmpl w:val="7E0E1845"/>
    <w:lvl w:ilvl="0" w:tentative="0">
      <w:start w:val="3"/>
      <w:numFmt w:val="chineseCounting"/>
      <w:suff w:val="space"/>
      <w:lvlText w:val="第%1章"/>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evenAndOddHeaders w:val="1"/>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U5ZmUxYTc5ZjVhNjc2ZjlmNjIwZDE5NzZjZGZkMmMifQ=="/>
    <w:docVar w:name="KSO_WPS_MARK_KEY" w:val="e8b9e90a-546c-41dc-a0f9-bc8c4a2d106b"/>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0E4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91A"/>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6A53"/>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670E0"/>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10C"/>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057174"/>
    <w:rsid w:val="018345E4"/>
    <w:rsid w:val="01A06D45"/>
    <w:rsid w:val="01A808A2"/>
    <w:rsid w:val="01BC0965"/>
    <w:rsid w:val="01DB1C83"/>
    <w:rsid w:val="01F42D45"/>
    <w:rsid w:val="01FD3B42"/>
    <w:rsid w:val="021D08C9"/>
    <w:rsid w:val="02263A0C"/>
    <w:rsid w:val="022D68F3"/>
    <w:rsid w:val="02380249"/>
    <w:rsid w:val="0240152C"/>
    <w:rsid w:val="024912E2"/>
    <w:rsid w:val="025A670A"/>
    <w:rsid w:val="026456D3"/>
    <w:rsid w:val="02A15559"/>
    <w:rsid w:val="02B67BB0"/>
    <w:rsid w:val="02B756B9"/>
    <w:rsid w:val="03211304"/>
    <w:rsid w:val="04161DF0"/>
    <w:rsid w:val="04AB57AE"/>
    <w:rsid w:val="04C12814"/>
    <w:rsid w:val="05104339"/>
    <w:rsid w:val="051908A9"/>
    <w:rsid w:val="052662E8"/>
    <w:rsid w:val="05441904"/>
    <w:rsid w:val="05481BC6"/>
    <w:rsid w:val="054A67F1"/>
    <w:rsid w:val="055429A5"/>
    <w:rsid w:val="05AD1B88"/>
    <w:rsid w:val="05EA1433"/>
    <w:rsid w:val="05F4071B"/>
    <w:rsid w:val="06006E2B"/>
    <w:rsid w:val="062F73CE"/>
    <w:rsid w:val="063F20D1"/>
    <w:rsid w:val="066873D1"/>
    <w:rsid w:val="067A1D4E"/>
    <w:rsid w:val="06875350"/>
    <w:rsid w:val="06890B55"/>
    <w:rsid w:val="06B42EA7"/>
    <w:rsid w:val="06DA4BFF"/>
    <w:rsid w:val="06EE7C33"/>
    <w:rsid w:val="06F22B07"/>
    <w:rsid w:val="070E664D"/>
    <w:rsid w:val="076A3DAC"/>
    <w:rsid w:val="077961C6"/>
    <w:rsid w:val="07C46CC8"/>
    <w:rsid w:val="07D55876"/>
    <w:rsid w:val="07E8782A"/>
    <w:rsid w:val="07EA1DFF"/>
    <w:rsid w:val="07F46244"/>
    <w:rsid w:val="08290A63"/>
    <w:rsid w:val="082C3238"/>
    <w:rsid w:val="08551173"/>
    <w:rsid w:val="08594641"/>
    <w:rsid w:val="08862D93"/>
    <w:rsid w:val="08994C82"/>
    <w:rsid w:val="08E048A3"/>
    <w:rsid w:val="08E43B13"/>
    <w:rsid w:val="08E6699A"/>
    <w:rsid w:val="08F16230"/>
    <w:rsid w:val="09173BE2"/>
    <w:rsid w:val="097924AD"/>
    <w:rsid w:val="098132AC"/>
    <w:rsid w:val="09C54786"/>
    <w:rsid w:val="09CB306A"/>
    <w:rsid w:val="0A0D1961"/>
    <w:rsid w:val="0A6E4B0F"/>
    <w:rsid w:val="0AB52E4B"/>
    <w:rsid w:val="0AC413A1"/>
    <w:rsid w:val="0ACC7409"/>
    <w:rsid w:val="0AF02C43"/>
    <w:rsid w:val="0B147F71"/>
    <w:rsid w:val="0B1549D5"/>
    <w:rsid w:val="0B4340AA"/>
    <w:rsid w:val="0B5F4097"/>
    <w:rsid w:val="0B651BC6"/>
    <w:rsid w:val="0B6E5AC7"/>
    <w:rsid w:val="0B72128C"/>
    <w:rsid w:val="0BD457F1"/>
    <w:rsid w:val="0BFA0D76"/>
    <w:rsid w:val="0BFF061B"/>
    <w:rsid w:val="0C185825"/>
    <w:rsid w:val="0C2B1BDF"/>
    <w:rsid w:val="0C50725B"/>
    <w:rsid w:val="0C62191E"/>
    <w:rsid w:val="0C77413A"/>
    <w:rsid w:val="0CC928DF"/>
    <w:rsid w:val="0CED3C2C"/>
    <w:rsid w:val="0D034EE3"/>
    <w:rsid w:val="0D272C82"/>
    <w:rsid w:val="0D353530"/>
    <w:rsid w:val="0D4D0739"/>
    <w:rsid w:val="0D6F7F53"/>
    <w:rsid w:val="0DC72E34"/>
    <w:rsid w:val="0DE85C35"/>
    <w:rsid w:val="0E18687C"/>
    <w:rsid w:val="0E3112E6"/>
    <w:rsid w:val="0E4060CE"/>
    <w:rsid w:val="0E4B4EB3"/>
    <w:rsid w:val="0E63368C"/>
    <w:rsid w:val="0E66440F"/>
    <w:rsid w:val="0E7262FB"/>
    <w:rsid w:val="0E91466C"/>
    <w:rsid w:val="0EC3241C"/>
    <w:rsid w:val="0ED14613"/>
    <w:rsid w:val="0EF75CEC"/>
    <w:rsid w:val="0F2410E0"/>
    <w:rsid w:val="0F2A3073"/>
    <w:rsid w:val="0F693ECA"/>
    <w:rsid w:val="0F91589E"/>
    <w:rsid w:val="0F9359BF"/>
    <w:rsid w:val="0FB32534"/>
    <w:rsid w:val="0FD50659"/>
    <w:rsid w:val="10037741"/>
    <w:rsid w:val="10152312"/>
    <w:rsid w:val="10260EB5"/>
    <w:rsid w:val="103D7164"/>
    <w:rsid w:val="104E518D"/>
    <w:rsid w:val="104F742D"/>
    <w:rsid w:val="10654F5A"/>
    <w:rsid w:val="10CA3CD9"/>
    <w:rsid w:val="10F0623A"/>
    <w:rsid w:val="11554D64"/>
    <w:rsid w:val="11755C50"/>
    <w:rsid w:val="12052D87"/>
    <w:rsid w:val="12086D7A"/>
    <w:rsid w:val="120B5B8E"/>
    <w:rsid w:val="120C1F49"/>
    <w:rsid w:val="124151D8"/>
    <w:rsid w:val="12775458"/>
    <w:rsid w:val="127B5307"/>
    <w:rsid w:val="12B509CE"/>
    <w:rsid w:val="12BB485E"/>
    <w:rsid w:val="12EA2F3A"/>
    <w:rsid w:val="12F6276B"/>
    <w:rsid w:val="12FB3F33"/>
    <w:rsid w:val="1304734C"/>
    <w:rsid w:val="13257202"/>
    <w:rsid w:val="13734DAF"/>
    <w:rsid w:val="146E1D29"/>
    <w:rsid w:val="147E55D3"/>
    <w:rsid w:val="14BF17D8"/>
    <w:rsid w:val="14EE4D40"/>
    <w:rsid w:val="15126972"/>
    <w:rsid w:val="151A7746"/>
    <w:rsid w:val="15802E15"/>
    <w:rsid w:val="15CC7E09"/>
    <w:rsid w:val="15E52C78"/>
    <w:rsid w:val="15ED7DB6"/>
    <w:rsid w:val="16624D7B"/>
    <w:rsid w:val="16705666"/>
    <w:rsid w:val="16804BD0"/>
    <w:rsid w:val="16B72867"/>
    <w:rsid w:val="16C140C3"/>
    <w:rsid w:val="16C50FB2"/>
    <w:rsid w:val="17207642"/>
    <w:rsid w:val="172B0DE8"/>
    <w:rsid w:val="174B6345"/>
    <w:rsid w:val="179B0190"/>
    <w:rsid w:val="17EB6AAC"/>
    <w:rsid w:val="180D3552"/>
    <w:rsid w:val="182855F1"/>
    <w:rsid w:val="186503F1"/>
    <w:rsid w:val="187E4427"/>
    <w:rsid w:val="18F35D67"/>
    <w:rsid w:val="19183BAB"/>
    <w:rsid w:val="19364268"/>
    <w:rsid w:val="195475F8"/>
    <w:rsid w:val="195A7AFF"/>
    <w:rsid w:val="19B0730B"/>
    <w:rsid w:val="19FA344A"/>
    <w:rsid w:val="1A145528"/>
    <w:rsid w:val="1A512FD2"/>
    <w:rsid w:val="1A7974E3"/>
    <w:rsid w:val="1A980A99"/>
    <w:rsid w:val="1A9C249F"/>
    <w:rsid w:val="1A9E5B80"/>
    <w:rsid w:val="1AC251EA"/>
    <w:rsid w:val="1ACB4B33"/>
    <w:rsid w:val="1AE24E9D"/>
    <w:rsid w:val="1B002DFD"/>
    <w:rsid w:val="1B1F47F5"/>
    <w:rsid w:val="1B3B1CB8"/>
    <w:rsid w:val="1B721452"/>
    <w:rsid w:val="1B8C131D"/>
    <w:rsid w:val="1B966746"/>
    <w:rsid w:val="1BB37B8D"/>
    <w:rsid w:val="1BD46B71"/>
    <w:rsid w:val="1BE24AF3"/>
    <w:rsid w:val="1BE340FE"/>
    <w:rsid w:val="1BF14E41"/>
    <w:rsid w:val="1BF71E0B"/>
    <w:rsid w:val="1CDD45B5"/>
    <w:rsid w:val="1D213DA7"/>
    <w:rsid w:val="1D43465E"/>
    <w:rsid w:val="1D640CB3"/>
    <w:rsid w:val="1D647D73"/>
    <w:rsid w:val="1DBC4825"/>
    <w:rsid w:val="1DD2622D"/>
    <w:rsid w:val="1E043322"/>
    <w:rsid w:val="1E083917"/>
    <w:rsid w:val="1E687389"/>
    <w:rsid w:val="1EEF7FE2"/>
    <w:rsid w:val="1F21693D"/>
    <w:rsid w:val="1F26784B"/>
    <w:rsid w:val="1F3A5E3A"/>
    <w:rsid w:val="1F403551"/>
    <w:rsid w:val="1F55375D"/>
    <w:rsid w:val="1F7724CD"/>
    <w:rsid w:val="1F7A0C65"/>
    <w:rsid w:val="1FD47C40"/>
    <w:rsid w:val="1FF468DA"/>
    <w:rsid w:val="201631A1"/>
    <w:rsid w:val="203A5E3A"/>
    <w:rsid w:val="20490CC8"/>
    <w:rsid w:val="205611AE"/>
    <w:rsid w:val="205848BD"/>
    <w:rsid w:val="205A5997"/>
    <w:rsid w:val="20C8006E"/>
    <w:rsid w:val="20E406FC"/>
    <w:rsid w:val="21052421"/>
    <w:rsid w:val="21170CE2"/>
    <w:rsid w:val="21232A10"/>
    <w:rsid w:val="216E1D66"/>
    <w:rsid w:val="21887344"/>
    <w:rsid w:val="22316C03"/>
    <w:rsid w:val="228419B1"/>
    <w:rsid w:val="229C744B"/>
    <w:rsid w:val="22E0799A"/>
    <w:rsid w:val="230B6414"/>
    <w:rsid w:val="239318C9"/>
    <w:rsid w:val="23A10308"/>
    <w:rsid w:val="23C019F6"/>
    <w:rsid w:val="24462058"/>
    <w:rsid w:val="24C50E97"/>
    <w:rsid w:val="24C87CBD"/>
    <w:rsid w:val="24D21AAA"/>
    <w:rsid w:val="24F45ECC"/>
    <w:rsid w:val="24F641FA"/>
    <w:rsid w:val="25164BFC"/>
    <w:rsid w:val="254259F1"/>
    <w:rsid w:val="258E2E79"/>
    <w:rsid w:val="25A07695"/>
    <w:rsid w:val="25A54C35"/>
    <w:rsid w:val="25B10E34"/>
    <w:rsid w:val="25B86A75"/>
    <w:rsid w:val="25BF7042"/>
    <w:rsid w:val="25C1582D"/>
    <w:rsid w:val="25C17832"/>
    <w:rsid w:val="25D03E3D"/>
    <w:rsid w:val="25E66CC5"/>
    <w:rsid w:val="26013792"/>
    <w:rsid w:val="261A4BC0"/>
    <w:rsid w:val="2625540F"/>
    <w:rsid w:val="263E4218"/>
    <w:rsid w:val="26521C05"/>
    <w:rsid w:val="26572D4C"/>
    <w:rsid w:val="265D41FA"/>
    <w:rsid w:val="269E759F"/>
    <w:rsid w:val="26E0627B"/>
    <w:rsid w:val="26E47A85"/>
    <w:rsid w:val="271B0BF0"/>
    <w:rsid w:val="272950BB"/>
    <w:rsid w:val="27326734"/>
    <w:rsid w:val="27384086"/>
    <w:rsid w:val="273A72C8"/>
    <w:rsid w:val="27452D6D"/>
    <w:rsid w:val="279A64B7"/>
    <w:rsid w:val="27AB5802"/>
    <w:rsid w:val="27B0758A"/>
    <w:rsid w:val="27BA3F65"/>
    <w:rsid w:val="27E56B08"/>
    <w:rsid w:val="27EA3965"/>
    <w:rsid w:val="27EB5235"/>
    <w:rsid w:val="27FE2415"/>
    <w:rsid w:val="280445C1"/>
    <w:rsid w:val="281F6A3D"/>
    <w:rsid w:val="28285372"/>
    <w:rsid w:val="282E01D5"/>
    <w:rsid w:val="282E547B"/>
    <w:rsid w:val="285260CE"/>
    <w:rsid w:val="2874680A"/>
    <w:rsid w:val="287D26C6"/>
    <w:rsid w:val="28B906C0"/>
    <w:rsid w:val="28B90F3D"/>
    <w:rsid w:val="28BD138E"/>
    <w:rsid w:val="28D62AF2"/>
    <w:rsid w:val="290556B4"/>
    <w:rsid w:val="29A547A1"/>
    <w:rsid w:val="29B05AF6"/>
    <w:rsid w:val="29B4676A"/>
    <w:rsid w:val="29BA4765"/>
    <w:rsid w:val="29C430AC"/>
    <w:rsid w:val="29C50F13"/>
    <w:rsid w:val="29C64887"/>
    <w:rsid w:val="29CC0CAB"/>
    <w:rsid w:val="29CC115B"/>
    <w:rsid w:val="29EF4215"/>
    <w:rsid w:val="2A817CEF"/>
    <w:rsid w:val="2A8F645A"/>
    <w:rsid w:val="2AAE4D9D"/>
    <w:rsid w:val="2ACF55A8"/>
    <w:rsid w:val="2AE00B69"/>
    <w:rsid w:val="2B0E53D3"/>
    <w:rsid w:val="2B2A1401"/>
    <w:rsid w:val="2B476EFC"/>
    <w:rsid w:val="2BB533C1"/>
    <w:rsid w:val="2BBA1C2C"/>
    <w:rsid w:val="2BC03D34"/>
    <w:rsid w:val="2BC34EC4"/>
    <w:rsid w:val="2BF72384"/>
    <w:rsid w:val="2C260F85"/>
    <w:rsid w:val="2C4C00B0"/>
    <w:rsid w:val="2C703772"/>
    <w:rsid w:val="2CA248AA"/>
    <w:rsid w:val="2CCC3583"/>
    <w:rsid w:val="2D10668C"/>
    <w:rsid w:val="2D363880"/>
    <w:rsid w:val="2D3826E3"/>
    <w:rsid w:val="2D5644CB"/>
    <w:rsid w:val="2D6B29EA"/>
    <w:rsid w:val="2D6C3DB8"/>
    <w:rsid w:val="2DB350A6"/>
    <w:rsid w:val="2DB4490F"/>
    <w:rsid w:val="2DB9670D"/>
    <w:rsid w:val="2DFC6376"/>
    <w:rsid w:val="2E1B251B"/>
    <w:rsid w:val="2E232138"/>
    <w:rsid w:val="2E23750C"/>
    <w:rsid w:val="2E5C3FC8"/>
    <w:rsid w:val="2E853C54"/>
    <w:rsid w:val="2EB40F63"/>
    <w:rsid w:val="2EBA0CEE"/>
    <w:rsid w:val="2EBA66E3"/>
    <w:rsid w:val="2EC76F67"/>
    <w:rsid w:val="2EC92CDF"/>
    <w:rsid w:val="2EF97E15"/>
    <w:rsid w:val="2F1E74CF"/>
    <w:rsid w:val="2F2443BA"/>
    <w:rsid w:val="2F3E4480"/>
    <w:rsid w:val="2F3F4D1B"/>
    <w:rsid w:val="2F68739C"/>
    <w:rsid w:val="2FAA0D63"/>
    <w:rsid w:val="2FBF2095"/>
    <w:rsid w:val="2FDB1217"/>
    <w:rsid w:val="2FE244AB"/>
    <w:rsid w:val="2FF355C0"/>
    <w:rsid w:val="30040642"/>
    <w:rsid w:val="3056529F"/>
    <w:rsid w:val="30801AC4"/>
    <w:rsid w:val="3082143F"/>
    <w:rsid w:val="308B2942"/>
    <w:rsid w:val="30CC19E5"/>
    <w:rsid w:val="30D20571"/>
    <w:rsid w:val="30D30BED"/>
    <w:rsid w:val="30E72BFB"/>
    <w:rsid w:val="30EE414A"/>
    <w:rsid w:val="31275097"/>
    <w:rsid w:val="314619D4"/>
    <w:rsid w:val="31474D8B"/>
    <w:rsid w:val="317739A7"/>
    <w:rsid w:val="31891841"/>
    <w:rsid w:val="3195004A"/>
    <w:rsid w:val="319E0B3E"/>
    <w:rsid w:val="31CE7EC4"/>
    <w:rsid w:val="31EF254C"/>
    <w:rsid w:val="32134D79"/>
    <w:rsid w:val="323B3D6E"/>
    <w:rsid w:val="32BC5BFF"/>
    <w:rsid w:val="32C10A18"/>
    <w:rsid w:val="32D13B67"/>
    <w:rsid w:val="32D92BBC"/>
    <w:rsid w:val="335039CF"/>
    <w:rsid w:val="33585F3A"/>
    <w:rsid w:val="33AD7074"/>
    <w:rsid w:val="33BF2DB5"/>
    <w:rsid w:val="33D53E1A"/>
    <w:rsid w:val="34033071"/>
    <w:rsid w:val="34034483"/>
    <w:rsid w:val="34044EAB"/>
    <w:rsid w:val="34237336"/>
    <w:rsid w:val="343C3F54"/>
    <w:rsid w:val="345319C9"/>
    <w:rsid w:val="34645984"/>
    <w:rsid w:val="34AC1F61"/>
    <w:rsid w:val="34AC650B"/>
    <w:rsid w:val="34BD10D8"/>
    <w:rsid w:val="34C401D1"/>
    <w:rsid w:val="34D959D2"/>
    <w:rsid w:val="34F36892"/>
    <w:rsid w:val="352C780C"/>
    <w:rsid w:val="353D21BE"/>
    <w:rsid w:val="354E4E4E"/>
    <w:rsid w:val="355A4B75"/>
    <w:rsid w:val="359E7435"/>
    <w:rsid w:val="35B437C5"/>
    <w:rsid w:val="35ED6E95"/>
    <w:rsid w:val="35FC7E3E"/>
    <w:rsid w:val="360A60B7"/>
    <w:rsid w:val="36143E04"/>
    <w:rsid w:val="362D624A"/>
    <w:rsid w:val="36323189"/>
    <w:rsid w:val="36DB5CA6"/>
    <w:rsid w:val="371A4A20"/>
    <w:rsid w:val="373A6E70"/>
    <w:rsid w:val="373A7FEA"/>
    <w:rsid w:val="377A66D7"/>
    <w:rsid w:val="378A5B0A"/>
    <w:rsid w:val="379E73FF"/>
    <w:rsid w:val="37E70466"/>
    <w:rsid w:val="381B7B07"/>
    <w:rsid w:val="38303DCF"/>
    <w:rsid w:val="38545D10"/>
    <w:rsid w:val="38CE369E"/>
    <w:rsid w:val="38D62BC9"/>
    <w:rsid w:val="38E86458"/>
    <w:rsid w:val="38F37552"/>
    <w:rsid w:val="391B2228"/>
    <w:rsid w:val="3920750D"/>
    <w:rsid w:val="39237EB6"/>
    <w:rsid w:val="393C05D6"/>
    <w:rsid w:val="3945087F"/>
    <w:rsid w:val="394C69E7"/>
    <w:rsid w:val="399432C0"/>
    <w:rsid w:val="399F1EF8"/>
    <w:rsid w:val="39A3649C"/>
    <w:rsid w:val="39CD186A"/>
    <w:rsid w:val="39D3395B"/>
    <w:rsid w:val="39D709A6"/>
    <w:rsid w:val="39DA2903"/>
    <w:rsid w:val="39DE1D35"/>
    <w:rsid w:val="3A461688"/>
    <w:rsid w:val="3A687A3B"/>
    <w:rsid w:val="3A6B16F2"/>
    <w:rsid w:val="3A6F435C"/>
    <w:rsid w:val="3AA27206"/>
    <w:rsid w:val="3AD9074E"/>
    <w:rsid w:val="3B04567F"/>
    <w:rsid w:val="3B660234"/>
    <w:rsid w:val="3BE3251E"/>
    <w:rsid w:val="3C1403A0"/>
    <w:rsid w:val="3C6A6028"/>
    <w:rsid w:val="3C795D45"/>
    <w:rsid w:val="3C7E30BA"/>
    <w:rsid w:val="3CD25361"/>
    <w:rsid w:val="3D2C08B8"/>
    <w:rsid w:val="3D336044"/>
    <w:rsid w:val="3D347473"/>
    <w:rsid w:val="3D400FA1"/>
    <w:rsid w:val="3D4A1818"/>
    <w:rsid w:val="3D5D48FB"/>
    <w:rsid w:val="3D9559C0"/>
    <w:rsid w:val="3DA57E9B"/>
    <w:rsid w:val="3DF106A8"/>
    <w:rsid w:val="3E4800C5"/>
    <w:rsid w:val="3E88226F"/>
    <w:rsid w:val="3E9C5D1B"/>
    <w:rsid w:val="3EF60CEC"/>
    <w:rsid w:val="3EF67D02"/>
    <w:rsid w:val="3F010FE7"/>
    <w:rsid w:val="3F0833B0"/>
    <w:rsid w:val="3F1C0F4C"/>
    <w:rsid w:val="3F5F4CCF"/>
    <w:rsid w:val="3F6525B0"/>
    <w:rsid w:val="3F6F42A9"/>
    <w:rsid w:val="3F7A2219"/>
    <w:rsid w:val="3FF86DBE"/>
    <w:rsid w:val="40141BC7"/>
    <w:rsid w:val="40214D11"/>
    <w:rsid w:val="40236A3A"/>
    <w:rsid w:val="40450345"/>
    <w:rsid w:val="40563C0B"/>
    <w:rsid w:val="40B01F51"/>
    <w:rsid w:val="40BC08F6"/>
    <w:rsid w:val="40DB5220"/>
    <w:rsid w:val="40F36398"/>
    <w:rsid w:val="41484E09"/>
    <w:rsid w:val="41607EC4"/>
    <w:rsid w:val="416367FB"/>
    <w:rsid w:val="4166503C"/>
    <w:rsid w:val="41836F1D"/>
    <w:rsid w:val="41954CFD"/>
    <w:rsid w:val="41A970CC"/>
    <w:rsid w:val="41B2325F"/>
    <w:rsid w:val="41BC5B41"/>
    <w:rsid w:val="41C53136"/>
    <w:rsid w:val="41C87C39"/>
    <w:rsid w:val="41C96B43"/>
    <w:rsid w:val="41F8595E"/>
    <w:rsid w:val="4242307D"/>
    <w:rsid w:val="427664C2"/>
    <w:rsid w:val="42AE7D3A"/>
    <w:rsid w:val="42B1469C"/>
    <w:rsid w:val="42DE4B54"/>
    <w:rsid w:val="42E94F7C"/>
    <w:rsid w:val="42EA174A"/>
    <w:rsid w:val="439A742E"/>
    <w:rsid w:val="43A558A9"/>
    <w:rsid w:val="43B77122"/>
    <w:rsid w:val="43BC6413"/>
    <w:rsid w:val="43E45AF4"/>
    <w:rsid w:val="43F82ECA"/>
    <w:rsid w:val="43FF1AF9"/>
    <w:rsid w:val="443679F5"/>
    <w:rsid w:val="443C30D3"/>
    <w:rsid w:val="44623DBC"/>
    <w:rsid w:val="4484172B"/>
    <w:rsid w:val="44AB201A"/>
    <w:rsid w:val="44B506F8"/>
    <w:rsid w:val="44D107B7"/>
    <w:rsid w:val="44D53531"/>
    <w:rsid w:val="451330CC"/>
    <w:rsid w:val="4518783B"/>
    <w:rsid w:val="452D644B"/>
    <w:rsid w:val="453C5F9E"/>
    <w:rsid w:val="456E2EF8"/>
    <w:rsid w:val="45817B4F"/>
    <w:rsid w:val="459736E0"/>
    <w:rsid w:val="45ED78ED"/>
    <w:rsid w:val="46334C99"/>
    <w:rsid w:val="4642004E"/>
    <w:rsid w:val="4660675D"/>
    <w:rsid w:val="46674E60"/>
    <w:rsid w:val="46683089"/>
    <w:rsid w:val="46B36752"/>
    <w:rsid w:val="46C155FF"/>
    <w:rsid w:val="46F45FAF"/>
    <w:rsid w:val="473E5925"/>
    <w:rsid w:val="476741EB"/>
    <w:rsid w:val="47B96B4B"/>
    <w:rsid w:val="47CB2B77"/>
    <w:rsid w:val="47F70466"/>
    <w:rsid w:val="48065DB2"/>
    <w:rsid w:val="48185BA2"/>
    <w:rsid w:val="481F6669"/>
    <w:rsid w:val="48345CE6"/>
    <w:rsid w:val="48621A93"/>
    <w:rsid w:val="48733F90"/>
    <w:rsid w:val="487E0FE7"/>
    <w:rsid w:val="48885A92"/>
    <w:rsid w:val="48AF6C91"/>
    <w:rsid w:val="48C5709F"/>
    <w:rsid w:val="49283532"/>
    <w:rsid w:val="492E2996"/>
    <w:rsid w:val="49514E3C"/>
    <w:rsid w:val="4972319F"/>
    <w:rsid w:val="49F91A85"/>
    <w:rsid w:val="4A4E5109"/>
    <w:rsid w:val="4A6B5610"/>
    <w:rsid w:val="4A8E048D"/>
    <w:rsid w:val="4AAD09F1"/>
    <w:rsid w:val="4AB1135A"/>
    <w:rsid w:val="4ACC65DF"/>
    <w:rsid w:val="4B207C5E"/>
    <w:rsid w:val="4B6422B6"/>
    <w:rsid w:val="4B700C5B"/>
    <w:rsid w:val="4B8025FD"/>
    <w:rsid w:val="4B9D1FFC"/>
    <w:rsid w:val="4BA14F5C"/>
    <w:rsid w:val="4BB26B7D"/>
    <w:rsid w:val="4BD0684C"/>
    <w:rsid w:val="4BE83DFC"/>
    <w:rsid w:val="4C1A0B36"/>
    <w:rsid w:val="4C342173"/>
    <w:rsid w:val="4C4D484F"/>
    <w:rsid w:val="4C55796F"/>
    <w:rsid w:val="4C625235"/>
    <w:rsid w:val="4CA02E7A"/>
    <w:rsid w:val="4CB614C5"/>
    <w:rsid w:val="4CEE03B5"/>
    <w:rsid w:val="4CF227BF"/>
    <w:rsid w:val="4CF626D0"/>
    <w:rsid w:val="4CFA4C80"/>
    <w:rsid w:val="4D2424A4"/>
    <w:rsid w:val="4D4D5805"/>
    <w:rsid w:val="4D8B1D7C"/>
    <w:rsid w:val="4D8E1BF9"/>
    <w:rsid w:val="4D9E4CE9"/>
    <w:rsid w:val="4DA44BEC"/>
    <w:rsid w:val="4DBB52DD"/>
    <w:rsid w:val="4DBE5CAD"/>
    <w:rsid w:val="4DF20539"/>
    <w:rsid w:val="4DFC4A28"/>
    <w:rsid w:val="4E0256F8"/>
    <w:rsid w:val="4E202D34"/>
    <w:rsid w:val="4E4F73B4"/>
    <w:rsid w:val="4E50267E"/>
    <w:rsid w:val="4E5D3049"/>
    <w:rsid w:val="4E8B0864"/>
    <w:rsid w:val="4E8F31A6"/>
    <w:rsid w:val="4ED85325"/>
    <w:rsid w:val="4EDA771B"/>
    <w:rsid w:val="4EEA4880"/>
    <w:rsid w:val="501B265E"/>
    <w:rsid w:val="509A7756"/>
    <w:rsid w:val="50B85177"/>
    <w:rsid w:val="50FB388D"/>
    <w:rsid w:val="5106188B"/>
    <w:rsid w:val="512429D2"/>
    <w:rsid w:val="513808CB"/>
    <w:rsid w:val="516D03A2"/>
    <w:rsid w:val="518B7CBD"/>
    <w:rsid w:val="51D32AE5"/>
    <w:rsid w:val="51E91E15"/>
    <w:rsid w:val="51FD47BA"/>
    <w:rsid w:val="52045C59"/>
    <w:rsid w:val="520A4D17"/>
    <w:rsid w:val="520F4F62"/>
    <w:rsid w:val="5217598C"/>
    <w:rsid w:val="522A3F92"/>
    <w:rsid w:val="52357A04"/>
    <w:rsid w:val="52373E8F"/>
    <w:rsid w:val="525536BD"/>
    <w:rsid w:val="52A44405"/>
    <w:rsid w:val="52A445CA"/>
    <w:rsid w:val="52E52FC3"/>
    <w:rsid w:val="52F14A71"/>
    <w:rsid w:val="532720E8"/>
    <w:rsid w:val="53291E99"/>
    <w:rsid w:val="532C750A"/>
    <w:rsid w:val="53440388"/>
    <w:rsid w:val="536D4B97"/>
    <w:rsid w:val="53887714"/>
    <w:rsid w:val="53BC772E"/>
    <w:rsid w:val="53C438F2"/>
    <w:rsid w:val="53F817ED"/>
    <w:rsid w:val="53FB2F47"/>
    <w:rsid w:val="54017EEF"/>
    <w:rsid w:val="54271E31"/>
    <w:rsid w:val="54283B07"/>
    <w:rsid w:val="543D1653"/>
    <w:rsid w:val="54506385"/>
    <w:rsid w:val="54973B3F"/>
    <w:rsid w:val="54B46D2D"/>
    <w:rsid w:val="54BF7B31"/>
    <w:rsid w:val="54E85E67"/>
    <w:rsid w:val="54EA346C"/>
    <w:rsid w:val="54EB164F"/>
    <w:rsid w:val="54F40207"/>
    <w:rsid w:val="55DD513F"/>
    <w:rsid w:val="5621502B"/>
    <w:rsid w:val="562B40FC"/>
    <w:rsid w:val="562C39D0"/>
    <w:rsid w:val="563B6719"/>
    <w:rsid w:val="5653730A"/>
    <w:rsid w:val="569F0011"/>
    <w:rsid w:val="570D3D70"/>
    <w:rsid w:val="57435B33"/>
    <w:rsid w:val="5744675B"/>
    <w:rsid w:val="575625C6"/>
    <w:rsid w:val="57AA1051"/>
    <w:rsid w:val="57E271BB"/>
    <w:rsid w:val="58350A83"/>
    <w:rsid w:val="5847010F"/>
    <w:rsid w:val="58B6235E"/>
    <w:rsid w:val="593212FE"/>
    <w:rsid w:val="59481573"/>
    <w:rsid w:val="59487733"/>
    <w:rsid w:val="598915A6"/>
    <w:rsid w:val="59A95430"/>
    <w:rsid w:val="5A1337D7"/>
    <w:rsid w:val="5A235F34"/>
    <w:rsid w:val="5A556960"/>
    <w:rsid w:val="5A957D82"/>
    <w:rsid w:val="5AA62968"/>
    <w:rsid w:val="5B0B1E06"/>
    <w:rsid w:val="5B1D0CCB"/>
    <w:rsid w:val="5B4F313F"/>
    <w:rsid w:val="5B7D45EA"/>
    <w:rsid w:val="5BD20B76"/>
    <w:rsid w:val="5BD3011B"/>
    <w:rsid w:val="5BE11A56"/>
    <w:rsid w:val="5BF7509C"/>
    <w:rsid w:val="5C2917C9"/>
    <w:rsid w:val="5C855D12"/>
    <w:rsid w:val="5CE9261B"/>
    <w:rsid w:val="5CF7544C"/>
    <w:rsid w:val="5D446039"/>
    <w:rsid w:val="5D702B8B"/>
    <w:rsid w:val="5D736722"/>
    <w:rsid w:val="5D75587B"/>
    <w:rsid w:val="5D860856"/>
    <w:rsid w:val="5D871691"/>
    <w:rsid w:val="5DE63470"/>
    <w:rsid w:val="5DF43A30"/>
    <w:rsid w:val="5E1D67A5"/>
    <w:rsid w:val="5E6E536B"/>
    <w:rsid w:val="5EEB4428"/>
    <w:rsid w:val="5EF62DCD"/>
    <w:rsid w:val="5F2A261D"/>
    <w:rsid w:val="5F3C1128"/>
    <w:rsid w:val="5F433A8A"/>
    <w:rsid w:val="5F5E1B86"/>
    <w:rsid w:val="5F816B3B"/>
    <w:rsid w:val="5F91367F"/>
    <w:rsid w:val="5F9B5C14"/>
    <w:rsid w:val="602D06A5"/>
    <w:rsid w:val="60680F20"/>
    <w:rsid w:val="608F2EE2"/>
    <w:rsid w:val="60C95589"/>
    <w:rsid w:val="61070925"/>
    <w:rsid w:val="612D4D53"/>
    <w:rsid w:val="615F317C"/>
    <w:rsid w:val="617050B9"/>
    <w:rsid w:val="61821BE5"/>
    <w:rsid w:val="61926DDD"/>
    <w:rsid w:val="61971E3E"/>
    <w:rsid w:val="61B5724A"/>
    <w:rsid w:val="61DB29EC"/>
    <w:rsid w:val="61F4212D"/>
    <w:rsid w:val="62175534"/>
    <w:rsid w:val="621C6604"/>
    <w:rsid w:val="62297B44"/>
    <w:rsid w:val="623507B5"/>
    <w:rsid w:val="623B46F0"/>
    <w:rsid w:val="62540044"/>
    <w:rsid w:val="625B223E"/>
    <w:rsid w:val="625C7814"/>
    <w:rsid w:val="62615DE9"/>
    <w:rsid w:val="62683FE2"/>
    <w:rsid w:val="62C620F9"/>
    <w:rsid w:val="62C76F5B"/>
    <w:rsid w:val="62CB5959"/>
    <w:rsid w:val="62E24D02"/>
    <w:rsid w:val="630348E5"/>
    <w:rsid w:val="636968FC"/>
    <w:rsid w:val="637C61F2"/>
    <w:rsid w:val="63CD1056"/>
    <w:rsid w:val="63D37C56"/>
    <w:rsid w:val="63FA79B0"/>
    <w:rsid w:val="64047999"/>
    <w:rsid w:val="642E1C76"/>
    <w:rsid w:val="64542A70"/>
    <w:rsid w:val="64662B1A"/>
    <w:rsid w:val="64923598"/>
    <w:rsid w:val="64970BAF"/>
    <w:rsid w:val="64A52D4B"/>
    <w:rsid w:val="64BE79CE"/>
    <w:rsid w:val="64DA4B01"/>
    <w:rsid w:val="64F27480"/>
    <w:rsid w:val="65247E0C"/>
    <w:rsid w:val="6535002F"/>
    <w:rsid w:val="657349E7"/>
    <w:rsid w:val="659C46CE"/>
    <w:rsid w:val="65BE515A"/>
    <w:rsid w:val="65D03BF4"/>
    <w:rsid w:val="66052EB4"/>
    <w:rsid w:val="66257D34"/>
    <w:rsid w:val="666A0329"/>
    <w:rsid w:val="66BB1AFB"/>
    <w:rsid w:val="66E31E89"/>
    <w:rsid w:val="66E856F1"/>
    <w:rsid w:val="67053791"/>
    <w:rsid w:val="670B3B0B"/>
    <w:rsid w:val="6715560B"/>
    <w:rsid w:val="67252F07"/>
    <w:rsid w:val="67567318"/>
    <w:rsid w:val="67582877"/>
    <w:rsid w:val="67770330"/>
    <w:rsid w:val="67797A29"/>
    <w:rsid w:val="6792167D"/>
    <w:rsid w:val="67931246"/>
    <w:rsid w:val="679947E2"/>
    <w:rsid w:val="67BD350F"/>
    <w:rsid w:val="680846A1"/>
    <w:rsid w:val="683C5CF5"/>
    <w:rsid w:val="68534DEC"/>
    <w:rsid w:val="68F3424F"/>
    <w:rsid w:val="6951757E"/>
    <w:rsid w:val="6967075D"/>
    <w:rsid w:val="69872FA0"/>
    <w:rsid w:val="69C51688"/>
    <w:rsid w:val="69C550B4"/>
    <w:rsid w:val="69DC320F"/>
    <w:rsid w:val="69DE7DFC"/>
    <w:rsid w:val="6A004C60"/>
    <w:rsid w:val="6A2829D5"/>
    <w:rsid w:val="6A2B09DC"/>
    <w:rsid w:val="6A6376B8"/>
    <w:rsid w:val="6A652231"/>
    <w:rsid w:val="6A7755A9"/>
    <w:rsid w:val="6A907DCE"/>
    <w:rsid w:val="6AA95198"/>
    <w:rsid w:val="6AD743F6"/>
    <w:rsid w:val="6ADE12E5"/>
    <w:rsid w:val="6AEC20B7"/>
    <w:rsid w:val="6AF52D3C"/>
    <w:rsid w:val="6B1D5CE2"/>
    <w:rsid w:val="6B463F11"/>
    <w:rsid w:val="6B8C3A28"/>
    <w:rsid w:val="6BB463E5"/>
    <w:rsid w:val="6BED6C60"/>
    <w:rsid w:val="6BEE7306"/>
    <w:rsid w:val="6BFB42D8"/>
    <w:rsid w:val="6C1D7BEB"/>
    <w:rsid w:val="6C4611A4"/>
    <w:rsid w:val="6C4B6506"/>
    <w:rsid w:val="6C561B1F"/>
    <w:rsid w:val="6C6C2705"/>
    <w:rsid w:val="6C965D24"/>
    <w:rsid w:val="6CB542C8"/>
    <w:rsid w:val="6CDF2429"/>
    <w:rsid w:val="6CF43042"/>
    <w:rsid w:val="6CFC73C8"/>
    <w:rsid w:val="6CFE2A72"/>
    <w:rsid w:val="6D1E4BE6"/>
    <w:rsid w:val="6D555865"/>
    <w:rsid w:val="6D70286F"/>
    <w:rsid w:val="6D9F6377"/>
    <w:rsid w:val="6DB93944"/>
    <w:rsid w:val="6DBC675B"/>
    <w:rsid w:val="6DD61BC7"/>
    <w:rsid w:val="6DD71D4B"/>
    <w:rsid w:val="6DDC0427"/>
    <w:rsid w:val="6E137010"/>
    <w:rsid w:val="6E283E10"/>
    <w:rsid w:val="6E3F4BB9"/>
    <w:rsid w:val="6E3F7887"/>
    <w:rsid w:val="6E424E4A"/>
    <w:rsid w:val="6E625D89"/>
    <w:rsid w:val="6E753F51"/>
    <w:rsid w:val="6E91041D"/>
    <w:rsid w:val="6E9F3C9F"/>
    <w:rsid w:val="6EA53DC8"/>
    <w:rsid w:val="6EAC77F0"/>
    <w:rsid w:val="6EE64C0C"/>
    <w:rsid w:val="6EFB4CB2"/>
    <w:rsid w:val="6F101C89"/>
    <w:rsid w:val="6F20011E"/>
    <w:rsid w:val="6F2B6AD3"/>
    <w:rsid w:val="6F685621"/>
    <w:rsid w:val="6F8F49A6"/>
    <w:rsid w:val="6F9C2B61"/>
    <w:rsid w:val="6FAA7DC7"/>
    <w:rsid w:val="6FD567A0"/>
    <w:rsid w:val="6FDD555A"/>
    <w:rsid w:val="6FE211DA"/>
    <w:rsid w:val="6FEF22B2"/>
    <w:rsid w:val="700510C2"/>
    <w:rsid w:val="700649E3"/>
    <w:rsid w:val="700D7F77"/>
    <w:rsid w:val="702B672C"/>
    <w:rsid w:val="709A71C8"/>
    <w:rsid w:val="709F1517"/>
    <w:rsid w:val="70DC7D22"/>
    <w:rsid w:val="710E3FA6"/>
    <w:rsid w:val="71294435"/>
    <w:rsid w:val="712B5188"/>
    <w:rsid w:val="713779A1"/>
    <w:rsid w:val="71417B50"/>
    <w:rsid w:val="7153255C"/>
    <w:rsid w:val="716D47B4"/>
    <w:rsid w:val="71CF1988"/>
    <w:rsid w:val="72777FE9"/>
    <w:rsid w:val="72E560B4"/>
    <w:rsid w:val="72FE52B2"/>
    <w:rsid w:val="731D6723"/>
    <w:rsid w:val="73351248"/>
    <w:rsid w:val="733E0A28"/>
    <w:rsid w:val="73877CAB"/>
    <w:rsid w:val="73DD70BA"/>
    <w:rsid w:val="7400051E"/>
    <w:rsid w:val="74516218"/>
    <w:rsid w:val="745579AC"/>
    <w:rsid w:val="74850513"/>
    <w:rsid w:val="74957C20"/>
    <w:rsid w:val="74C36260"/>
    <w:rsid w:val="74EC67AF"/>
    <w:rsid w:val="750000AA"/>
    <w:rsid w:val="75530B22"/>
    <w:rsid w:val="75743F4F"/>
    <w:rsid w:val="75834F63"/>
    <w:rsid w:val="759C7DD3"/>
    <w:rsid w:val="75B03D22"/>
    <w:rsid w:val="75D40186"/>
    <w:rsid w:val="75DF0C59"/>
    <w:rsid w:val="763D7A3F"/>
    <w:rsid w:val="765A0D7E"/>
    <w:rsid w:val="76866FD1"/>
    <w:rsid w:val="769A6A08"/>
    <w:rsid w:val="770E208A"/>
    <w:rsid w:val="775B7CD8"/>
    <w:rsid w:val="77791ACE"/>
    <w:rsid w:val="778168EE"/>
    <w:rsid w:val="77B04456"/>
    <w:rsid w:val="77F65547"/>
    <w:rsid w:val="780D4FB8"/>
    <w:rsid w:val="78455FE5"/>
    <w:rsid w:val="785018A3"/>
    <w:rsid w:val="7855420A"/>
    <w:rsid w:val="78604D9C"/>
    <w:rsid w:val="786E0A50"/>
    <w:rsid w:val="78C97718"/>
    <w:rsid w:val="793D609E"/>
    <w:rsid w:val="7941662A"/>
    <w:rsid w:val="794567CE"/>
    <w:rsid w:val="796432FD"/>
    <w:rsid w:val="79786FBD"/>
    <w:rsid w:val="79816CAE"/>
    <w:rsid w:val="7987101F"/>
    <w:rsid w:val="79AC4C41"/>
    <w:rsid w:val="79D008FA"/>
    <w:rsid w:val="7A101AB7"/>
    <w:rsid w:val="7A1C5AC3"/>
    <w:rsid w:val="7A221E2F"/>
    <w:rsid w:val="7A23582D"/>
    <w:rsid w:val="7A2D7B93"/>
    <w:rsid w:val="7B0F54EB"/>
    <w:rsid w:val="7B252618"/>
    <w:rsid w:val="7B3E72C4"/>
    <w:rsid w:val="7B64029B"/>
    <w:rsid w:val="7B7C6424"/>
    <w:rsid w:val="7BEF5FFA"/>
    <w:rsid w:val="7C163879"/>
    <w:rsid w:val="7C175397"/>
    <w:rsid w:val="7C241CA2"/>
    <w:rsid w:val="7C442D20"/>
    <w:rsid w:val="7C581C2C"/>
    <w:rsid w:val="7C727ADF"/>
    <w:rsid w:val="7CC04412"/>
    <w:rsid w:val="7CC56523"/>
    <w:rsid w:val="7D07647A"/>
    <w:rsid w:val="7D2D1C58"/>
    <w:rsid w:val="7D43322A"/>
    <w:rsid w:val="7D4C2687"/>
    <w:rsid w:val="7D5022DC"/>
    <w:rsid w:val="7D6C22BD"/>
    <w:rsid w:val="7D6C452F"/>
    <w:rsid w:val="7D90323E"/>
    <w:rsid w:val="7DA0067C"/>
    <w:rsid w:val="7DA74646"/>
    <w:rsid w:val="7DCC7515"/>
    <w:rsid w:val="7DE01D7D"/>
    <w:rsid w:val="7E0E7579"/>
    <w:rsid w:val="7E55237B"/>
    <w:rsid w:val="7EAA17B2"/>
    <w:rsid w:val="7EAC4F2D"/>
    <w:rsid w:val="7EAE6FCC"/>
    <w:rsid w:val="7ED74932"/>
    <w:rsid w:val="7EE032BD"/>
    <w:rsid w:val="7EE37ECB"/>
    <w:rsid w:val="7EE477AF"/>
    <w:rsid w:val="7EEB3B79"/>
    <w:rsid w:val="7F146F18"/>
    <w:rsid w:val="7F1B26B0"/>
    <w:rsid w:val="7F324E44"/>
    <w:rsid w:val="7F632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cs="Times New Roman" w:asciiTheme="minorHAnsi" w:hAnsiTheme="minorHAnsi" w:eastAsiaTheme="minorEastAsia"/>
      <w:sz w:val="24"/>
      <w:szCs w:val="24"/>
      <w:lang w:val="en-US" w:eastAsia="zh-CN" w:bidi="ar-SA"/>
    </w:rPr>
  </w:style>
  <w:style w:type="paragraph" w:styleId="3">
    <w:name w:val="heading 1"/>
    <w:basedOn w:val="1"/>
    <w:next w:val="1"/>
    <w:link w:val="62"/>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63"/>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64"/>
    <w:unhideWhenUsed/>
    <w:qFormat/>
    <w:uiPriority w:val="9"/>
    <w:pPr>
      <w:spacing w:line="560" w:lineRule="exact"/>
      <w:jc w:val="center"/>
      <w:outlineLvl w:val="2"/>
    </w:pPr>
    <w:rPr>
      <w:rFonts w:ascii="方正小标宋_GBK" w:hAnsi="仿宋" w:eastAsia="方正小标宋_GBK"/>
      <w:sz w:val="36"/>
      <w:szCs w:val="36"/>
    </w:rPr>
  </w:style>
  <w:style w:type="paragraph" w:styleId="6">
    <w:name w:val="heading 4"/>
    <w:basedOn w:val="1"/>
    <w:next w:val="1"/>
    <w:link w:val="65"/>
    <w:semiHidden/>
    <w:unhideWhenUsed/>
    <w:qFormat/>
    <w:uiPriority w:val="9"/>
    <w:pPr>
      <w:keepNext/>
      <w:numPr>
        <w:ilvl w:val="3"/>
        <w:numId w:val="1"/>
      </w:numPr>
      <w:spacing w:before="240" w:after="60"/>
      <w:outlineLvl w:val="3"/>
    </w:pPr>
    <w:rPr>
      <w:rFonts w:cstheme="majorBidi"/>
      <w:b/>
      <w:bCs/>
      <w:sz w:val="28"/>
      <w:szCs w:val="28"/>
    </w:rPr>
  </w:style>
  <w:style w:type="paragraph" w:styleId="7">
    <w:name w:val="heading 5"/>
    <w:basedOn w:val="1"/>
    <w:next w:val="1"/>
    <w:link w:val="66"/>
    <w:semiHidden/>
    <w:unhideWhenUsed/>
    <w:qFormat/>
    <w:uiPriority w:val="9"/>
    <w:pPr>
      <w:numPr>
        <w:ilvl w:val="4"/>
        <w:numId w:val="1"/>
      </w:numPr>
      <w:spacing w:before="240" w:after="60"/>
      <w:outlineLvl w:val="4"/>
    </w:pPr>
    <w:rPr>
      <w:b/>
      <w:bCs/>
      <w:i/>
      <w:iCs/>
      <w:sz w:val="26"/>
      <w:szCs w:val="26"/>
    </w:rPr>
  </w:style>
  <w:style w:type="paragraph" w:styleId="8">
    <w:name w:val="heading 6"/>
    <w:basedOn w:val="1"/>
    <w:next w:val="1"/>
    <w:link w:val="67"/>
    <w:semiHidden/>
    <w:unhideWhenUsed/>
    <w:qFormat/>
    <w:uiPriority w:val="9"/>
    <w:pPr>
      <w:numPr>
        <w:ilvl w:val="5"/>
        <w:numId w:val="1"/>
      </w:numPr>
      <w:spacing w:before="240" w:after="60"/>
      <w:outlineLvl w:val="5"/>
    </w:pPr>
    <w:rPr>
      <w:rFonts w:cstheme="majorBidi"/>
      <w:b/>
      <w:bCs/>
      <w:sz w:val="22"/>
      <w:szCs w:val="22"/>
    </w:rPr>
  </w:style>
  <w:style w:type="paragraph" w:styleId="9">
    <w:name w:val="heading 7"/>
    <w:basedOn w:val="1"/>
    <w:next w:val="1"/>
    <w:link w:val="68"/>
    <w:semiHidden/>
    <w:unhideWhenUsed/>
    <w:qFormat/>
    <w:uiPriority w:val="9"/>
    <w:pPr>
      <w:numPr>
        <w:ilvl w:val="6"/>
        <w:numId w:val="1"/>
      </w:numPr>
      <w:spacing w:before="240" w:after="60"/>
      <w:outlineLvl w:val="6"/>
    </w:pPr>
  </w:style>
  <w:style w:type="paragraph" w:styleId="10">
    <w:name w:val="heading 8"/>
    <w:basedOn w:val="1"/>
    <w:next w:val="1"/>
    <w:link w:val="69"/>
    <w:semiHidden/>
    <w:unhideWhenUsed/>
    <w:qFormat/>
    <w:uiPriority w:val="9"/>
    <w:pPr>
      <w:numPr>
        <w:ilvl w:val="7"/>
        <w:numId w:val="1"/>
      </w:numPr>
      <w:spacing w:before="240" w:after="60"/>
      <w:outlineLvl w:val="7"/>
    </w:pPr>
    <w:rPr>
      <w:rFonts w:cstheme="majorBidi"/>
      <w:i/>
      <w:iCs/>
    </w:rPr>
  </w:style>
  <w:style w:type="paragraph" w:styleId="11">
    <w:name w:val="heading 9"/>
    <w:basedOn w:val="1"/>
    <w:next w:val="1"/>
    <w:link w:val="70"/>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color w:val="993300"/>
      <w:sz w:val="24"/>
    </w:rPr>
  </w:style>
  <w:style w:type="paragraph" w:styleId="12">
    <w:name w:val="Normal Indent"/>
    <w:basedOn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3">
    <w:name w:val="caption"/>
    <w:basedOn w:val="1"/>
    <w:next w:val="1"/>
    <w:semiHidden/>
    <w:unhideWhenUsed/>
    <w:qFormat/>
    <w:uiPriority w:val="35"/>
    <w:rPr>
      <w:rFonts w:eastAsia="黑体" w:asciiTheme="majorHAnsi" w:hAnsiTheme="majorHAnsi" w:cstheme="majorBidi"/>
      <w:sz w:val="20"/>
      <w:szCs w:val="20"/>
    </w:rPr>
  </w:style>
  <w:style w:type="paragraph" w:styleId="14">
    <w:name w:val="Document Map"/>
    <w:basedOn w:val="1"/>
    <w:link w:val="94"/>
    <w:semiHidden/>
    <w:unhideWhenUsed/>
    <w:qFormat/>
    <w:uiPriority w:val="99"/>
    <w:pPr>
      <w:spacing w:line="400" w:lineRule="exact"/>
      <w:jc w:val="both"/>
    </w:pPr>
    <w:rPr>
      <w:rFonts w:ascii="宋体" w:hAnsi="Calibri Light" w:eastAsia="宋体" w:cs="Calibri Light"/>
      <w:kern w:val="2"/>
      <w:sz w:val="18"/>
      <w:szCs w:val="18"/>
    </w:rPr>
  </w:style>
  <w:style w:type="paragraph" w:styleId="15">
    <w:name w:val="annotation text"/>
    <w:basedOn w:val="1"/>
    <w:link w:val="86"/>
    <w:unhideWhenUsed/>
    <w:qFormat/>
    <w:uiPriority w:val="99"/>
    <w:pPr>
      <w:spacing w:line="400" w:lineRule="exact"/>
    </w:pPr>
    <w:rPr>
      <w:rFonts w:ascii="Calibri Light" w:hAnsi="Calibri Light" w:eastAsia="华文仿宋" w:cs="Calibri Light"/>
      <w:kern w:val="2"/>
      <w:sz w:val="28"/>
      <w:szCs w:val="28"/>
    </w:rPr>
  </w:style>
  <w:style w:type="paragraph" w:styleId="16">
    <w:name w:val="Body Text Indent"/>
    <w:basedOn w:val="1"/>
    <w:qFormat/>
    <w:uiPriority w:val="0"/>
    <w:pPr>
      <w:spacing w:line="360" w:lineRule="auto"/>
      <w:ind w:firstLine="570"/>
    </w:pPr>
    <w:rPr>
      <w:sz w:val="24"/>
    </w:rPr>
  </w:style>
  <w:style w:type="paragraph" w:styleId="17">
    <w:name w:val="Plain Text"/>
    <w:basedOn w:val="1"/>
    <w:next w:val="1"/>
    <w:qFormat/>
    <w:uiPriority w:val="0"/>
    <w:rPr>
      <w:rFonts w:ascii="宋体"/>
      <w:szCs w:val="20"/>
    </w:rPr>
  </w:style>
  <w:style w:type="paragraph" w:styleId="18">
    <w:name w:val="Date"/>
    <w:basedOn w:val="1"/>
    <w:next w:val="1"/>
    <w:link w:val="59"/>
    <w:semiHidden/>
    <w:unhideWhenUsed/>
    <w:qFormat/>
    <w:uiPriority w:val="99"/>
    <w:pPr>
      <w:ind w:left="100" w:leftChars="2500"/>
    </w:pPr>
  </w:style>
  <w:style w:type="paragraph" w:styleId="19">
    <w:name w:val="Balloon Text"/>
    <w:basedOn w:val="1"/>
    <w:link w:val="85"/>
    <w:semiHidden/>
    <w:unhideWhenUsed/>
    <w:qFormat/>
    <w:uiPriority w:val="99"/>
    <w:rPr>
      <w:sz w:val="18"/>
      <w:szCs w:val="18"/>
    </w:rPr>
  </w:style>
  <w:style w:type="paragraph" w:styleId="20">
    <w:name w:val="footer"/>
    <w:basedOn w:val="1"/>
    <w:link w:val="61"/>
    <w:unhideWhenUsed/>
    <w:qFormat/>
    <w:uiPriority w:val="99"/>
    <w:pPr>
      <w:tabs>
        <w:tab w:val="center" w:pos="4153"/>
        <w:tab w:val="right" w:pos="8306"/>
      </w:tabs>
      <w:snapToGrid w:val="0"/>
      <w:spacing w:line="240" w:lineRule="atLeast"/>
    </w:pPr>
    <w:rPr>
      <w:sz w:val="18"/>
      <w:szCs w:val="18"/>
    </w:rPr>
  </w:style>
  <w:style w:type="paragraph" w:styleId="21">
    <w:name w:val="header"/>
    <w:basedOn w:val="1"/>
    <w:link w:val="60"/>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2">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3">
    <w:name w:val="Subtitle"/>
    <w:basedOn w:val="1"/>
    <w:next w:val="1"/>
    <w:link w:val="72"/>
    <w:qFormat/>
    <w:uiPriority w:val="11"/>
    <w:pPr>
      <w:keepNext/>
      <w:spacing w:before="50" w:beforeLines="50" w:after="50" w:afterLines="50"/>
      <w:jc w:val="center"/>
      <w:outlineLvl w:val="1"/>
    </w:pPr>
    <w:rPr>
      <w:rFonts w:ascii="Calibri" w:hAnsi="Calibri" w:eastAsia="黑体" w:cstheme="majorBidi"/>
      <w:sz w:val="32"/>
    </w:rPr>
  </w:style>
  <w:style w:type="paragraph" w:styleId="24">
    <w:name w:val="Body Text Indent 3"/>
    <w:basedOn w:val="1"/>
    <w:qFormat/>
    <w:uiPriority w:val="0"/>
    <w:pPr>
      <w:spacing w:after="120"/>
      <w:ind w:left="420" w:leftChars="200"/>
    </w:pPr>
    <w:rPr>
      <w:sz w:val="16"/>
    </w:rPr>
  </w:style>
  <w:style w:type="paragraph" w:styleId="25">
    <w:name w:val="Normal (Web)"/>
    <w:basedOn w:val="1"/>
    <w:qFormat/>
    <w:uiPriority w:val="0"/>
    <w:pPr>
      <w:widowControl/>
      <w:spacing w:before="100" w:beforeAutospacing="1" w:after="100" w:afterAutospacing="1"/>
    </w:pPr>
    <w:rPr>
      <w:rFonts w:ascii="宋体" w:hAnsi="宋体"/>
      <w:sz w:val="24"/>
    </w:rPr>
  </w:style>
  <w:style w:type="paragraph" w:styleId="26">
    <w:name w:val="Title"/>
    <w:basedOn w:val="1"/>
    <w:next w:val="1"/>
    <w:link w:val="71"/>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7">
    <w:name w:val="annotation subject"/>
    <w:basedOn w:val="15"/>
    <w:next w:val="15"/>
    <w:link w:val="93"/>
    <w:semiHidden/>
    <w:unhideWhenUsed/>
    <w:qFormat/>
    <w:uiPriority w:val="99"/>
    <w:rPr>
      <w:b/>
      <w:bCs/>
    </w:rPr>
  </w:style>
  <w:style w:type="paragraph" w:styleId="28">
    <w:name w:val="Body Text First Indent"/>
    <w:basedOn w:val="2"/>
    <w:next w:val="1"/>
    <w:unhideWhenUsed/>
    <w:qFormat/>
    <w:uiPriority w:val="99"/>
    <w:pPr>
      <w:ind w:firstLine="420" w:firstLineChars="100"/>
    </w:pPr>
    <w:rPr>
      <w:szCs w:val="24"/>
    </w:rPr>
  </w:style>
  <w:style w:type="paragraph" w:styleId="29">
    <w:name w:val="Body Text First Indent 2"/>
    <w:basedOn w:val="16"/>
    <w:qFormat/>
    <w:uiPriority w:val="0"/>
    <w:pPr>
      <w:spacing w:after="120" w:line="240" w:lineRule="auto"/>
      <w:ind w:left="420" w:leftChars="200" w:firstLine="420" w:firstLineChars="200"/>
    </w:pPr>
    <w:rPr>
      <w:rFonts w:ascii="Times New Roman" w:hAnsi="Times New Roman"/>
      <w:sz w:val="21"/>
      <w:szCs w:val="24"/>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qFormat/>
    <w:uiPriority w:val="0"/>
    <w:rPr>
      <w:rFonts w:ascii="Times New Roman" w:hAnsi="Times New Roman" w:eastAsia="宋体" w:cs="Times New Roman"/>
    </w:rPr>
  </w:style>
  <w:style w:type="character" w:styleId="35">
    <w:name w:val="FollowedHyperlink"/>
    <w:basedOn w:val="32"/>
    <w:semiHidden/>
    <w:unhideWhenUsed/>
    <w:qFormat/>
    <w:uiPriority w:val="99"/>
    <w:rPr>
      <w:color w:val="954F72" w:themeColor="followedHyperlink"/>
      <w:u w:val="single"/>
      <w14:textFill>
        <w14:solidFill>
          <w14:schemeClr w14:val="folHlink"/>
        </w14:solidFill>
      </w14:textFill>
    </w:rPr>
  </w:style>
  <w:style w:type="character" w:styleId="36">
    <w:name w:val="Emphasis"/>
    <w:basedOn w:val="32"/>
    <w:qFormat/>
    <w:uiPriority w:val="20"/>
    <w:rPr>
      <w:rFonts w:asciiTheme="minorHAnsi" w:hAnsiTheme="minorHAnsi"/>
      <w:b/>
      <w:i/>
      <w:iCs/>
    </w:rPr>
  </w:style>
  <w:style w:type="character" w:styleId="37">
    <w:name w:val="Hyperlink"/>
    <w:basedOn w:val="32"/>
    <w:unhideWhenUsed/>
    <w:qFormat/>
    <w:uiPriority w:val="99"/>
    <w:rPr>
      <w:color w:val="0563C1" w:themeColor="hyperlink"/>
      <w:u w:val="single"/>
      <w14:textFill>
        <w14:solidFill>
          <w14:schemeClr w14:val="hlink"/>
        </w14:solidFill>
      </w14:textFill>
    </w:rPr>
  </w:style>
  <w:style w:type="character" w:styleId="38">
    <w:name w:val="annotation reference"/>
    <w:basedOn w:val="32"/>
    <w:semiHidden/>
    <w:unhideWhenUsed/>
    <w:qFormat/>
    <w:uiPriority w:val="99"/>
    <w:rPr>
      <w:sz w:val="21"/>
      <w:szCs w:val="21"/>
    </w:rPr>
  </w:style>
  <w:style w:type="paragraph" w:customStyle="1" w:styleId="39">
    <w:name w:val="※封面大标题"/>
    <w:basedOn w:val="1"/>
    <w:next w:val="1"/>
    <w:qFormat/>
    <w:uiPriority w:val="0"/>
    <w:pPr>
      <w:jc w:val="center"/>
    </w:pPr>
    <w:rPr>
      <w:rFonts w:ascii="华文中宋" w:hAnsi="华文中宋" w:eastAsia="华文中宋"/>
      <w:sz w:val="96"/>
      <w:szCs w:val="96"/>
    </w:rPr>
  </w:style>
  <w:style w:type="paragraph" w:customStyle="1" w:styleId="40">
    <w:name w:val="※封面题颌"/>
    <w:basedOn w:val="1"/>
    <w:next w:val="1"/>
    <w:qFormat/>
    <w:uiPriority w:val="0"/>
    <w:pPr>
      <w:jc w:val="center"/>
    </w:pPr>
    <w:rPr>
      <w:rFonts w:ascii="Calibri Light" w:hAnsi="Calibri Light" w:eastAsia="华文仿宋"/>
      <w:sz w:val="36"/>
      <w:szCs w:val="36"/>
    </w:rPr>
  </w:style>
  <w:style w:type="paragraph" w:customStyle="1" w:styleId="41">
    <w:name w:val="※封面题眉"/>
    <w:basedOn w:val="1"/>
    <w:next w:val="39"/>
    <w:qFormat/>
    <w:uiPriority w:val="0"/>
    <w:pPr>
      <w:jc w:val="center"/>
    </w:pPr>
    <w:rPr>
      <w:rFonts w:ascii="华文仿宋" w:hAnsi="华文仿宋" w:eastAsia="华文仿宋"/>
      <w:sz w:val="52"/>
      <w:szCs w:val="28"/>
    </w:rPr>
  </w:style>
  <w:style w:type="paragraph" w:customStyle="1" w:styleId="42">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43">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44">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45">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46">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47">
    <w:name w:val="※小标题 一"/>
    <w:basedOn w:val="46"/>
    <w:next w:val="46"/>
    <w:qFormat/>
    <w:uiPriority w:val="0"/>
    <w:pPr>
      <w:spacing w:before="120" w:line="240" w:lineRule="auto"/>
      <w:outlineLvl w:val="2"/>
    </w:pPr>
    <w:rPr>
      <w:b/>
      <w:color w:val="203864" w:themeColor="accent5" w:themeShade="80"/>
      <w:sz w:val="32"/>
    </w:rPr>
  </w:style>
  <w:style w:type="paragraph" w:customStyle="1" w:styleId="48">
    <w:name w:val="※小标题（1）"/>
    <w:basedOn w:val="1"/>
    <w:next w:val="46"/>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49">
    <w:name w:val="※小标题（一）"/>
    <w:basedOn w:val="1"/>
    <w:next w:val="46"/>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50">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51">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52">
    <w:name w:val="※页眉"/>
    <w:basedOn w:val="46"/>
    <w:qFormat/>
    <w:uiPriority w:val="0"/>
    <w:pPr>
      <w:pBdr>
        <w:bottom w:val="single" w:color="auto" w:sz="4" w:space="1"/>
      </w:pBdr>
      <w:spacing w:line="240" w:lineRule="atLeast"/>
      <w:jc w:val="right"/>
    </w:pPr>
    <w:rPr>
      <w:rFonts w:ascii="宋体" w:hAnsi="宋体" w:eastAsia="宋体"/>
      <w:sz w:val="18"/>
    </w:rPr>
  </w:style>
  <w:style w:type="paragraph" w:customStyle="1" w:styleId="53">
    <w:name w:val="※章节标题（第X章）"/>
    <w:basedOn w:val="1"/>
    <w:qFormat/>
    <w:uiPriority w:val="0"/>
    <w:pPr>
      <w:jc w:val="center"/>
      <w:outlineLvl w:val="0"/>
    </w:pPr>
    <w:rPr>
      <w:rFonts w:ascii="Calibri Light" w:hAnsi="Calibri Light" w:eastAsia="黑体"/>
      <w:sz w:val="36"/>
      <w:szCs w:val="28"/>
    </w:rPr>
  </w:style>
  <w:style w:type="paragraph" w:customStyle="1" w:styleId="54">
    <w:name w:val="※章节标题（第Y部分）"/>
    <w:basedOn w:val="1"/>
    <w:next w:val="1"/>
    <w:qFormat/>
    <w:uiPriority w:val="0"/>
    <w:pPr>
      <w:jc w:val="center"/>
      <w:outlineLvl w:val="1"/>
    </w:pPr>
    <w:rPr>
      <w:rFonts w:ascii="Calibri Light" w:hAnsi="Calibri Light" w:eastAsia="黑体"/>
      <w:color w:val="1F4E79" w:themeColor="accent1" w:themeShade="80"/>
      <w:sz w:val="32"/>
      <w:szCs w:val="36"/>
    </w:rPr>
  </w:style>
  <w:style w:type="paragraph" w:customStyle="1" w:styleId="55">
    <w:name w:val="※章节标题（第Z部分分项）"/>
    <w:basedOn w:val="54"/>
    <w:qFormat/>
    <w:uiPriority w:val="0"/>
    <w:pPr>
      <w:outlineLvl w:val="2"/>
    </w:pPr>
  </w:style>
  <w:style w:type="paragraph" w:customStyle="1" w:styleId="56">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57">
    <w:name w:val="※正文（缩进2）"/>
    <w:basedOn w:val="46"/>
    <w:qFormat/>
    <w:uiPriority w:val="0"/>
    <w:pPr>
      <w:ind w:firstLine="200" w:firstLineChars="200"/>
    </w:pPr>
  </w:style>
  <w:style w:type="paragraph" w:customStyle="1" w:styleId="58">
    <w:name w:val="※正文（缩进4）"/>
    <w:basedOn w:val="46"/>
    <w:qFormat/>
    <w:uiPriority w:val="0"/>
    <w:pPr>
      <w:ind w:firstLine="400" w:firstLineChars="400"/>
    </w:pPr>
  </w:style>
  <w:style w:type="character" w:customStyle="1" w:styleId="59">
    <w:name w:val="日期 字符"/>
    <w:basedOn w:val="32"/>
    <w:link w:val="18"/>
    <w:semiHidden/>
    <w:qFormat/>
    <w:uiPriority w:val="99"/>
    <w:rPr>
      <w:rFonts w:ascii="华文仿宋" w:hAnsi="华文仿宋" w:eastAsia="华文仿宋"/>
      <w:sz w:val="28"/>
      <w:szCs w:val="28"/>
    </w:rPr>
  </w:style>
  <w:style w:type="character" w:customStyle="1" w:styleId="60">
    <w:name w:val="页眉 字符"/>
    <w:basedOn w:val="32"/>
    <w:link w:val="21"/>
    <w:qFormat/>
    <w:uiPriority w:val="0"/>
    <w:rPr>
      <w:rFonts w:ascii="华文仿宋" w:hAnsi="华文仿宋" w:eastAsia="华文仿宋"/>
      <w:sz w:val="18"/>
      <w:szCs w:val="18"/>
    </w:rPr>
  </w:style>
  <w:style w:type="character" w:customStyle="1" w:styleId="61">
    <w:name w:val="页脚 字符"/>
    <w:basedOn w:val="32"/>
    <w:link w:val="20"/>
    <w:qFormat/>
    <w:uiPriority w:val="99"/>
    <w:rPr>
      <w:rFonts w:ascii="华文仿宋" w:hAnsi="华文仿宋" w:eastAsia="华文仿宋"/>
      <w:sz w:val="18"/>
      <w:szCs w:val="18"/>
    </w:rPr>
  </w:style>
  <w:style w:type="character" w:customStyle="1" w:styleId="62">
    <w:name w:val="标题 1 字符"/>
    <w:basedOn w:val="32"/>
    <w:link w:val="3"/>
    <w:qFormat/>
    <w:uiPriority w:val="9"/>
    <w:rPr>
      <w:rFonts w:ascii="方正小标宋_GBK" w:hAnsi="仿宋" w:eastAsia="方正小标宋_GBK"/>
      <w:sz w:val="44"/>
      <w:szCs w:val="44"/>
    </w:rPr>
  </w:style>
  <w:style w:type="character" w:customStyle="1" w:styleId="63">
    <w:name w:val="标题 2 字符"/>
    <w:basedOn w:val="32"/>
    <w:link w:val="4"/>
    <w:qFormat/>
    <w:uiPriority w:val="9"/>
    <w:rPr>
      <w:rFonts w:ascii="楷体" w:hAnsi="楷体" w:eastAsia="黑体"/>
      <w:sz w:val="32"/>
      <w:szCs w:val="32"/>
    </w:rPr>
  </w:style>
  <w:style w:type="character" w:customStyle="1" w:styleId="64">
    <w:name w:val="标题 3 字符"/>
    <w:basedOn w:val="32"/>
    <w:link w:val="5"/>
    <w:qFormat/>
    <w:uiPriority w:val="9"/>
    <w:rPr>
      <w:rFonts w:ascii="方正小标宋_GBK" w:hAnsi="仿宋" w:eastAsia="方正小标宋_GBK"/>
      <w:sz w:val="36"/>
      <w:szCs w:val="36"/>
    </w:rPr>
  </w:style>
  <w:style w:type="character" w:customStyle="1" w:styleId="65">
    <w:name w:val="标题 4 字符"/>
    <w:basedOn w:val="32"/>
    <w:link w:val="6"/>
    <w:semiHidden/>
    <w:qFormat/>
    <w:uiPriority w:val="9"/>
    <w:rPr>
      <w:rFonts w:cstheme="majorBidi"/>
      <w:b/>
      <w:bCs/>
      <w:sz w:val="28"/>
      <w:szCs w:val="28"/>
    </w:rPr>
  </w:style>
  <w:style w:type="character" w:customStyle="1" w:styleId="66">
    <w:name w:val="标题 5 字符"/>
    <w:basedOn w:val="32"/>
    <w:link w:val="7"/>
    <w:semiHidden/>
    <w:qFormat/>
    <w:uiPriority w:val="9"/>
    <w:rPr>
      <w:b/>
      <w:bCs/>
      <w:i/>
      <w:iCs/>
      <w:sz w:val="26"/>
      <w:szCs w:val="26"/>
    </w:rPr>
  </w:style>
  <w:style w:type="character" w:customStyle="1" w:styleId="67">
    <w:name w:val="标题 6 字符"/>
    <w:basedOn w:val="32"/>
    <w:link w:val="8"/>
    <w:semiHidden/>
    <w:qFormat/>
    <w:uiPriority w:val="9"/>
    <w:rPr>
      <w:rFonts w:cstheme="majorBidi"/>
      <w:b/>
      <w:bCs/>
    </w:rPr>
  </w:style>
  <w:style w:type="character" w:customStyle="1" w:styleId="68">
    <w:name w:val="标题 7 字符"/>
    <w:basedOn w:val="32"/>
    <w:link w:val="9"/>
    <w:semiHidden/>
    <w:qFormat/>
    <w:uiPriority w:val="9"/>
    <w:rPr>
      <w:sz w:val="24"/>
      <w:szCs w:val="24"/>
    </w:rPr>
  </w:style>
  <w:style w:type="character" w:customStyle="1" w:styleId="69">
    <w:name w:val="标题 8 字符"/>
    <w:basedOn w:val="32"/>
    <w:link w:val="10"/>
    <w:semiHidden/>
    <w:qFormat/>
    <w:uiPriority w:val="9"/>
    <w:rPr>
      <w:rFonts w:cstheme="majorBidi"/>
      <w:i/>
      <w:iCs/>
      <w:sz w:val="24"/>
      <w:szCs w:val="24"/>
    </w:rPr>
  </w:style>
  <w:style w:type="character" w:customStyle="1" w:styleId="70">
    <w:name w:val="标题 9 字符"/>
    <w:basedOn w:val="32"/>
    <w:link w:val="11"/>
    <w:semiHidden/>
    <w:qFormat/>
    <w:uiPriority w:val="9"/>
    <w:rPr>
      <w:rFonts w:asciiTheme="majorHAnsi" w:hAnsiTheme="majorHAnsi" w:eastAsiaTheme="majorEastAsia" w:cstheme="majorBidi"/>
    </w:rPr>
  </w:style>
  <w:style w:type="character" w:customStyle="1" w:styleId="71">
    <w:name w:val="标题 字符"/>
    <w:basedOn w:val="32"/>
    <w:link w:val="26"/>
    <w:qFormat/>
    <w:uiPriority w:val="10"/>
    <w:rPr>
      <w:rFonts w:asciiTheme="majorHAnsi" w:hAnsiTheme="majorHAnsi" w:eastAsiaTheme="majorEastAsia" w:cstheme="majorBidi"/>
      <w:b/>
      <w:bCs/>
      <w:kern w:val="28"/>
      <w:sz w:val="32"/>
      <w:szCs w:val="32"/>
    </w:rPr>
  </w:style>
  <w:style w:type="character" w:customStyle="1" w:styleId="72">
    <w:name w:val="副标题 字符"/>
    <w:basedOn w:val="32"/>
    <w:link w:val="23"/>
    <w:qFormat/>
    <w:uiPriority w:val="11"/>
    <w:rPr>
      <w:rFonts w:ascii="Calibri" w:hAnsi="Calibri" w:eastAsia="黑体" w:cstheme="majorBidi"/>
      <w:sz w:val="32"/>
      <w:szCs w:val="24"/>
    </w:rPr>
  </w:style>
  <w:style w:type="paragraph" w:styleId="73">
    <w:name w:val="No Spacing"/>
    <w:basedOn w:val="1"/>
    <w:qFormat/>
    <w:uiPriority w:val="1"/>
    <w:rPr>
      <w:szCs w:val="32"/>
    </w:rPr>
  </w:style>
  <w:style w:type="paragraph" w:styleId="74">
    <w:name w:val="List Paragraph"/>
    <w:basedOn w:val="1"/>
    <w:qFormat/>
    <w:uiPriority w:val="0"/>
    <w:pPr>
      <w:ind w:left="720"/>
      <w:contextualSpacing/>
    </w:pPr>
  </w:style>
  <w:style w:type="paragraph" w:styleId="75">
    <w:name w:val="Quote"/>
    <w:basedOn w:val="1"/>
    <w:next w:val="1"/>
    <w:link w:val="76"/>
    <w:qFormat/>
    <w:uiPriority w:val="29"/>
    <w:rPr>
      <w:i/>
    </w:rPr>
  </w:style>
  <w:style w:type="character" w:customStyle="1" w:styleId="76">
    <w:name w:val="引用 字符"/>
    <w:basedOn w:val="32"/>
    <w:link w:val="75"/>
    <w:qFormat/>
    <w:uiPriority w:val="29"/>
    <w:rPr>
      <w:i/>
      <w:sz w:val="24"/>
      <w:szCs w:val="24"/>
    </w:rPr>
  </w:style>
  <w:style w:type="paragraph" w:styleId="77">
    <w:name w:val="Intense Quote"/>
    <w:basedOn w:val="1"/>
    <w:next w:val="1"/>
    <w:link w:val="78"/>
    <w:qFormat/>
    <w:uiPriority w:val="30"/>
    <w:pPr>
      <w:ind w:left="720" w:right="720"/>
    </w:pPr>
    <w:rPr>
      <w:b/>
      <w:i/>
      <w:szCs w:val="22"/>
    </w:rPr>
  </w:style>
  <w:style w:type="character" w:customStyle="1" w:styleId="78">
    <w:name w:val="明显引用 字符"/>
    <w:basedOn w:val="32"/>
    <w:link w:val="77"/>
    <w:qFormat/>
    <w:uiPriority w:val="30"/>
    <w:rPr>
      <w:b/>
      <w:i/>
      <w:sz w:val="24"/>
    </w:rPr>
  </w:style>
  <w:style w:type="character" w:customStyle="1" w:styleId="79">
    <w:name w:val="Subtle Emphasis"/>
    <w:qFormat/>
    <w:uiPriority w:val="19"/>
    <w:rPr>
      <w:i/>
      <w:color w:val="595959" w:themeColor="text1" w:themeTint="A6"/>
      <w14:textFill>
        <w14:solidFill>
          <w14:schemeClr w14:val="tx1">
            <w14:lumMod w14:val="65000"/>
            <w14:lumOff w14:val="35000"/>
          </w14:schemeClr>
        </w14:solidFill>
      </w14:textFill>
    </w:rPr>
  </w:style>
  <w:style w:type="character" w:customStyle="1" w:styleId="80">
    <w:name w:val="Intense Emphasis"/>
    <w:basedOn w:val="32"/>
    <w:qFormat/>
    <w:uiPriority w:val="21"/>
    <w:rPr>
      <w:b/>
      <w:i/>
      <w:sz w:val="24"/>
      <w:szCs w:val="24"/>
      <w:u w:val="single"/>
    </w:rPr>
  </w:style>
  <w:style w:type="character" w:customStyle="1" w:styleId="81">
    <w:name w:val="Subtle Reference"/>
    <w:basedOn w:val="32"/>
    <w:qFormat/>
    <w:uiPriority w:val="31"/>
    <w:rPr>
      <w:sz w:val="24"/>
      <w:szCs w:val="24"/>
      <w:u w:val="single"/>
    </w:rPr>
  </w:style>
  <w:style w:type="character" w:customStyle="1" w:styleId="82">
    <w:name w:val="Intense Reference"/>
    <w:basedOn w:val="32"/>
    <w:qFormat/>
    <w:uiPriority w:val="32"/>
    <w:rPr>
      <w:b/>
      <w:sz w:val="24"/>
      <w:u w:val="single"/>
    </w:rPr>
  </w:style>
  <w:style w:type="character" w:customStyle="1" w:styleId="83">
    <w:name w:val="Book Title"/>
    <w:basedOn w:val="32"/>
    <w:qFormat/>
    <w:uiPriority w:val="33"/>
    <w:rPr>
      <w:rFonts w:asciiTheme="majorHAnsi" w:hAnsiTheme="majorHAnsi" w:eastAsiaTheme="majorEastAsia"/>
      <w:b/>
      <w:i/>
      <w:sz w:val="24"/>
      <w:szCs w:val="24"/>
    </w:rPr>
  </w:style>
  <w:style w:type="paragraph" w:customStyle="1" w:styleId="84">
    <w:name w:val="TOC Heading"/>
    <w:basedOn w:val="3"/>
    <w:next w:val="1"/>
    <w:semiHidden/>
    <w:unhideWhenUsed/>
    <w:qFormat/>
    <w:uiPriority w:val="39"/>
    <w:pPr>
      <w:outlineLvl w:val="9"/>
    </w:pPr>
  </w:style>
  <w:style w:type="character" w:customStyle="1" w:styleId="85">
    <w:name w:val="批注框文本 字符"/>
    <w:basedOn w:val="32"/>
    <w:link w:val="19"/>
    <w:semiHidden/>
    <w:qFormat/>
    <w:uiPriority w:val="99"/>
    <w:rPr>
      <w:sz w:val="18"/>
      <w:szCs w:val="18"/>
    </w:rPr>
  </w:style>
  <w:style w:type="character" w:customStyle="1" w:styleId="86">
    <w:name w:val="批注文字 字符"/>
    <w:basedOn w:val="32"/>
    <w:link w:val="15"/>
    <w:qFormat/>
    <w:uiPriority w:val="99"/>
    <w:rPr>
      <w:rFonts w:ascii="Calibri Light" w:hAnsi="Calibri Light" w:eastAsia="华文仿宋" w:cs="Calibri Light"/>
      <w:kern w:val="2"/>
      <w:sz w:val="28"/>
      <w:szCs w:val="28"/>
    </w:rPr>
  </w:style>
  <w:style w:type="paragraph" w:customStyle="1" w:styleId="87">
    <w:name w:val="@正文"/>
    <w:basedOn w:val="46"/>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88">
    <w:name w:val="@一级小标题"/>
    <w:basedOn w:val="1"/>
    <w:next w:val="87"/>
    <w:qFormat/>
    <w:uiPriority w:val="0"/>
    <w:pPr>
      <w:keepNext/>
      <w:spacing w:before="120" w:after="60"/>
      <w:outlineLvl w:val="2"/>
    </w:pPr>
    <w:rPr>
      <w:rFonts w:ascii="Calibri" w:hAnsi="Calibri" w:eastAsia="黑体"/>
      <w:kern w:val="28"/>
      <w:sz w:val="28"/>
    </w:rPr>
  </w:style>
  <w:style w:type="paragraph" w:customStyle="1" w:styleId="89">
    <w:name w:val="@标题"/>
    <w:basedOn w:val="1"/>
    <w:next w:val="87"/>
    <w:qFormat/>
    <w:uiPriority w:val="0"/>
    <w:pPr>
      <w:keepNext/>
      <w:spacing w:before="50" w:beforeLines="50" w:after="50" w:afterLines="50"/>
      <w:jc w:val="center"/>
      <w:outlineLvl w:val="1"/>
    </w:pPr>
    <w:rPr>
      <w:rFonts w:ascii="Calibri" w:hAnsi="Calibri" w:eastAsia="黑体"/>
      <w:kern w:val="32"/>
      <w:sz w:val="32"/>
    </w:rPr>
  </w:style>
  <w:style w:type="table" w:customStyle="1" w:styleId="90">
    <w:name w:val="网格型1"/>
    <w:basedOn w:val="30"/>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1">
    <w:name w:val="页眉 Char1"/>
    <w:basedOn w:val="32"/>
    <w:semiHidden/>
    <w:qFormat/>
    <w:uiPriority w:val="99"/>
    <w:rPr>
      <w:rFonts w:cs="Calibri Light"/>
      <w:sz w:val="18"/>
      <w:szCs w:val="18"/>
    </w:rPr>
  </w:style>
  <w:style w:type="character" w:customStyle="1" w:styleId="92">
    <w:name w:val="页脚 Char1"/>
    <w:basedOn w:val="32"/>
    <w:semiHidden/>
    <w:qFormat/>
    <w:uiPriority w:val="99"/>
    <w:rPr>
      <w:rFonts w:cs="Calibri Light"/>
      <w:sz w:val="18"/>
      <w:szCs w:val="18"/>
    </w:rPr>
  </w:style>
  <w:style w:type="character" w:customStyle="1" w:styleId="93">
    <w:name w:val="批注主题 字符"/>
    <w:basedOn w:val="86"/>
    <w:link w:val="27"/>
    <w:semiHidden/>
    <w:qFormat/>
    <w:uiPriority w:val="99"/>
    <w:rPr>
      <w:rFonts w:ascii="Calibri Light" w:hAnsi="Calibri Light" w:eastAsia="华文仿宋" w:cs="Calibri Light"/>
      <w:b/>
      <w:bCs/>
      <w:kern w:val="2"/>
      <w:sz w:val="28"/>
      <w:szCs w:val="28"/>
    </w:rPr>
  </w:style>
  <w:style w:type="character" w:customStyle="1" w:styleId="94">
    <w:name w:val="文档结构图 字符"/>
    <w:basedOn w:val="32"/>
    <w:link w:val="14"/>
    <w:semiHidden/>
    <w:qFormat/>
    <w:uiPriority w:val="99"/>
    <w:rPr>
      <w:rFonts w:ascii="宋体" w:hAnsi="Calibri Light" w:eastAsia="宋体" w:cs="Calibri Light"/>
      <w:kern w:val="2"/>
      <w:sz w:val="18"/>
      <w:szCs w:val="18"/>
    </w:rPr>
  </w:style>
  <w:style w:type="character" w:styleId="95">
    <w:name w:val="Placeholder Text"/>
    <w:basedOn w:val="32"/>
    <w:semiHidden/>
    <w:qFormat/>
    <w:uiPriority w:val="99"/>
    <w:rPr>
      <w:color w:val="808080"/>
    </w:rPr>
  </w:style>
  <w:style w:type="character" w:customStyle="1" w:styleId="96">
    <w:name w:val="Unresolved Mention"/>
    <w:basedOn w:val="32"/>
    <w:semiHidden/>
    <w:unhideWhenUsed/>
    <w:qFormat/>
    <w:uiPriority w:val="99"/>
    <w:rPr>
      <w:color w:val="605E5C"/>
      <w:shd w:val="clear" w:color="auto" w:fill="E1DFDD"/>
    </w:rPr>
  </w:style>
  <w:style w:type="paragraph" w:customStyle="1" w:styleId="97">
    <w:name w:val="样式1"/>
    <w:basedOn w:val="5"/>
    <w:link w:val="99"/>
    <w:qFormat/>
    <w:uiPriority w:val="0"/>
    <w:pPr>
      <w:jc w:val="left"/>
    </w:pPr>
    <w:rPr>
      <w:rFonts w:eastAsia="楷体"/>
      <w:sz w:val="32"/>
    </w:rPr>
  </w:style>
  <w:style w:type="paragraph" w:customStyle="1" w:styleId="98">
    <w:name w:val="样式2"/>
    <w:basedOn w:val="89"/>
    <w:link w:val="101"/>
    <w:qFormat/>
    <w:uiPriority w:val="0"/>
    <w:pPr>
      <w:spacing w:line="560" w:lineRule="exact"/>
      <w:ind w:firstLine="643" w:firstLineChars="200"/>
      <w:jc w:val="both"/>
    </w:pPr>
    <w:rPr>
      <w:rFonts w:ascii="仿宋_GB2312" w:hAnsi="仿宋" w:eastAsia="仿宋_GB2312"/>
      <w:b/>
      <w:bCs/>
      <w:szCs w:val="32"/>
    </w:rPr>
  </w:style>
  <w:style w:type="character" w:customStyle="1" w:styleId="99">
    <w:name w:val="样式1 字符"/>
    <w:basedOn w:val="63"/>
    <w:link w:val="97"/>
    <w:qFormat/>
    <w:uiPriority w:val="0"/>
    <w:rPr>
      <w:rFonts w:ascii="方正小标宋_GBK" w:hAnsi="仿宋" w:eastAsia="楷体"/>
      <w:sz w:val="32"/>
      <w:szCs w:val="36"/>
    </w:rPr>
  </w:style>
  <w:style w:type="paragraph" w:customStyle="1" w:styleId="100">
    <w:name w:val="样式3"/>
    <w:basedOn w:val="1"/>
    <w:link w:val="102"/>
    <w:qFormat/>
    <w:uiPriority w:val="0"/>
    <w:pPr>
      <w:spacing w:line="560" w:lineRule="exact"/>
      <w:jc w:val="center"/>
    </w:pPr>
    <w:rPr>
      <w:rFonts w:ascii="方正小标宋_GBK" w:hAnsi="仿宋" w:eastAsia="方正小标宋_GBK"/>
      <w:sz w:val="36"/>
      <w:szCs w:val="36"/>
    </w:rPr>
  </w:style>
  <w:style w:type="character" w:customStyle="1" w:styleId="101">
    <w:name w:val="样式2 字符"/>
    <w:basedOn w:val="32"/>
    <w:link w:val="98"/>
    <w:qFormat/>
    <w:uiPriority w:val="0"/>
    <w:rPr>
      <w:rFonts w:ascii="仿宋_GB2312" w:hAnsi="仿宋" w:eastAsia="仿宋_GB2312"/>
      <w:b/>
      <w:bCs/>
      <w:kern w:val="32"/>
      <w:sz w:val="32"/>
      <w:szCs w:val="32"/>
    </w:rPr>
  </w:style>
  <w:style w:type="character" w:customStyle="1" w:styleId="102">
    <w:name w:val="样式3 字符"/>
    <w:basedOn w:val="32"/>
    <w:link w:val="100"/>
    <w:qFormat/>
    <w:uiPriority w:val="0"/>
    <w:rPr>
      <w:rFonts w:ascii="方正小标宋_GBK" w:hAnsi="仿宋" w:eastAsia="方正小标宋_GBK"/>
      <w:sz w:val="36"/>
      <w:szCs w:val="36"/>
    </w:rPr>
  </w:style>
  <w:style w:type="paragraph" w:customStyle="1" w:styleId="103">
    <w:name w:val="HTML Preformatted"/>
    <w:basedOn w:val="1"/>
    <w:qFormat/>
    <w:uiPriority w:val="0"/>
    <w:rPr>
      <w:rFonts w:ascii="Courier New" w:hAnsi="Courier New"/>
      <w:sz w:val="20"/>
    </w:rPr>
  </w:style>
  <w:style w:type="paragraph" w:customStyle="1" w:styleId="104">
    <w:name w:val="Table Paragraph"/>
    <w:basedOn w:val="1"/>
    <w:qFormat/>
    <w:uiPriority w:val="1"/>
  </w:style>
  <w:style w:type="paragraph" w:customStyle="1" w:styleId="105">
    <w:name w:val="WPSOffice手动目录 1"/>
    <w:qFormat/>
    <w:uiPriority w:val="0"/>
    <w:pPr>
      <w:ind w:leftChars="0"/>
    </w:pPr>
    <w:rPr>
      <w:rFonts w:ascii="Times New Roman" w:hAnsi="Times New Roman" w:eastAsia="宋体" w:cs="Times New Roman"/>
      <w:sz w:val="20"/>
      <w:szCs w:val="20"/>
    </w:rPr>
  </w:style>
  <w:style w:type="paragraph" w:customStyle="1" w:styleId="106">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7">
    <w:name w:val="样式 标题 2 + Times New Roman 四号 非加粗 段前: 5 磅 段后: 0 磅 行距: 固定值 20..."/>
    <w:basedOn w:val="4"/>
    <w:qFormat/>
    <w:uiPriority w:val="0"/>
    <w:pPr>
      <w:spacing w:before="100" w:after="0" w:line="400" w:lineRule="exact"/>
    </w:pPr>
    <w:rPr>
      <w:rFonts w:ascii="Times New Roman" w:hAnsi="Times New Roman" w:cs="宋体"/>
      <w:sz w:val="28"/>
      <w:szCs w:val="20"/>
    </w:rPr>
  </w:style>
  <w:style w:type="paragraph" w:customStyle="1" w:styleId="108">
    <w:name w:val="列出段落1"/>
    <w:basedOn w:val="1"/>
    <w:qFormat/>
    <w:uiPriority w:val="99"/>
    <w:pPr>
      <w:ind w:firstLine="420" w:firstLineChars="200"/>
    </w:pPr>
  </w:style>
  <w:style w:type="paragraph" w:customStyle="1" w:styleId="109">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paragraph" w:customStyle="1" w:styleId="110">
    <w:name w:val="Table Text"/>
    <w:basedOn w:val="1"/>
    <w:semiHidden/>
    <w:qFormat/>
    <w:uiPriority w:val="0"/>
    <w:rPr>
      <w:rFonts w:ascii="宋体" w:hAnsi="宋体" w:eastAsia="宋体" w:cs="宋体"/>
      <w:sz w:val="24"/>
      <w:szCs w:val="24"/>
      <w:lang w:val="en-US" w:eastAsia="en-US" w:bidi="ar-SA"/>
    </w:rPr>
  </w:style>
  <w:style w:type="table" w:customStyle="1" w:styleId="111">
    <w:name w:val="Table Normal"/>
    <w:semiHidden/>
    <w:unhideWhenUsed/>
    <w:qFormat/>
    <w:uiPriority w:val="0"/>
    <w:tblPr>
      <w:tblCellMar>
        <w:top w:w="0" w:type="dxa"/>
        <w:left w:w="0" w:type="dxa"/>
        <w:bottom w:w="0" w:type="dxa"/>
        <w:right w:w="0" w:type="dxa"/>
      </w:tblCellMar>
    </w:tblPr>
  </w:style>
  <w:style w:type="paragraph" w:customStyle="1" w:styleId="112">
    <w:name w:val="样式 首行缩进:  2 字符"/>
    <w:basedOn w:val="1"/>
    <w:qFormat/>
    <w:uiPriority w:val="0"/>
    <w:pPr>
      <w:spacing w:line="400" w:lineRule="exact"/>
      <w:ind w:firstLine="200" w:firstLineChars="200"/>
    </w:pPr>
    <w:rPr>
      <w:rFonts w:cs="宋体"/>
      <w:sz w:val="24"/>
      <w:szCs w:val="24"/>
    </w:rPr>
  </w:style>
  <w:style w:type="character" w:customStyle="1" w:styleId="113">
    <w:name w:val="NormalCharacter"/>
    <w:qFormat/>
    <w:uiPriority w:val="0"/>
    <w:rPr>
      <w:rFonts w:ascii="Times New Roman" w:hAnsi="Times New Roman" w:eastAsia="宋体" w:cs="Times New Roman"/>
    </w:rPr>
  </w:style>
  <w:style w:type="character" w:customStyle="1" w:styleId="114">
    <w:name w:val="font101"/>
    <w:basedOn w:val="32"/>
    <w:qFormat/>
    <w:uiPriority w:val="0"/>
    <w:rPr>
      <w:rFonts w:hint="eastAsia" w:ascii="宋体" w:hAnsi="宋体" w:eastAsia="宋体" w:cs="宋体"/>
      <w:b/>
      <w:bCs/>
      <w:color w:val="000000"/>
      <w:sz w:val="21"/>
      <w:szCs w:val="21"/>
      <w:u w:val="none"/>
    </w:rPr>
  </w:style>
  <w:style w:type="character" w:customStyle="1" w:styleId="115">
    <w:name w:val="font41"/>
    <w:basedOn w:val="32"/>
    <w:qFormat/>
    <w:uiPriority w:val="0"/>
    <w:rPr>
      <w:rFonts w:hint="default" w:ascii="Times New Roman" w:hAnsi="Times New Roman" w:cs="Times New Roman"/>
      <w:b/>
      <w:bCs/>
      <w:color w:val="000000"/>
      <w:sz w:val="21"/>
      <w:szCs w:val="21"/>
      <w:u w:val="none"/>
    </w:rPr>
  </w:style>
  <w:style w:type="character" w:customStyle="1" w:styleId="116">
    <w:name w:val="font31"/>
    <w:basedOn w:val="32"/>
    <w:qFormat/>
    <w:uiPriority w:val="0"/>
    <w:rPr>
      <w:rFonts w:hint="eastAsia" w:ascii="宋体" w:hAnsi="宋体" w:eastAsia="宋体" w:cs="宋体"/>
      <w:color w:val="000000"/>
      <w:sz w:val="18"/>
      <w:szCs w:val="18"/>
      <w:u w:val="none"/>
    </w:rPr>
  </w:style>
  <w:style w:type="character" w:customStyle="1" w:styleId="117">
    <w:name w:val="font51"/>
    <w:basedOn w:val="32"/>
    <w:qFormat/>
    <w:uiPriority w:val="0"/>
    <w:rPr>
      <w:rFonts w:hint="default" w:ascii="Times New Roman" w:hAnsi="Times New Roman" w:cs="Times New Roman"/>
      <w:color w:val="000000"/>
      <w:sz w:val="18"/>
      <w:szCs w:val="18"/>
      <w:u w:val="none"/>
    </w:rPr>
  </w:style>
  <w:style w:type="character" w:customStyle="1" w:styleId="118">
    <w:name w:val="font71"/>
    <w:basedOn w:val="32"/>
    <w:qFormat/>
    <w:uiPriority w:val="0"/>
    <w:rPr>
      <w:rFonts w:hint="eastAsia" w:ascii="宋体" w:hAnsi="宋体" w:eastAsia="宋体" w:cs="宋体"/>
      <w:color w:val="000000"/>
      <w:sz w:val="22"/>
      <w:szCs w:val="22"/>
      <w:u w:val="none"/>
    </w:rPr>
  </w:style>
  <w:style w:type="character" w:customStyle="1" w:styleId="119">
    <w:name w:val="font81"/>
    <w:basedOn w:val="32"/>
    <w:qFormat/>
    <w:uiPriority w:val="0"/>
    <w:rPr>
      <w:rFonts w:hint="default" w:ascii="Times New Roman" w:hAnsi="Times New Roman" w:cs="Times New Roman"/>
      <w:color w:val="000000"/>
      <w:sz w:val="22"/>
      <w:szCs w:val="22"/>
      <w:u w:val="none"/>
    </w:rPr>
  </w:style>
  <w:style w:type="character" w:customStyle="1" w:styleId="120">
    <w:name w:val="font112"/>
    <w:basedOn w:val="32"/>
    <w:qFormat/>
    <w:uiPriority w:val="0"/>
    <w:rPr>
      <w:rFonts w:hint="default" w:ascii="Times New Roman" w:hAnsi="Times New Roman" w:cs="Times New Roman"/>
      <w:color w:val="000000"/>
      <w:sz w:val="16"/>
      <w:szCs w:val="16"/>
      <w:u w:val="none"/>
    </w:rPr>
  </w:style>
  <w:style w:type="character" w:customStyle="1" w:styleId="121">
    <w:name w:val="font111"/>
    <w:basedOn w:val="32"/>
    <w:qFormat/>
    <w:uiPriority w:val="0"/>
    <w:rPr>
      <w:rFonts w:hint="default" w:ascii="Times New Roman" w:hAnsi="Times New Roman" w:cs="Times New Roman"/>
      <w:color w:val="000000"/>
      <w:sz w:val="16"/>
      <w:szCs w:val="16"/>
      <w:u w:val="none"/>
    </w:rPr>
  </w:style>
  <w:style w:type="character" w:customStyle="1" w:styleId="122">
    <w:name w:val="font01"/>
    <w:basedOn w:val="32"/>
    <w:qFormat/>
    <w:uiPriority w:val="0"/>
    <w:rPr>
      <w:rFonts w:hint="eastAsia" w:ascii="宋体" w:hAnsi="宋体" w:eastAsia="宋体" w:cs="宋体"/>
      <w:color w:val="000000"/>
      <w:sz w:val="22"/>
      <w:szCs w:val="22"/>
      <w:u w:val="none"/>
    </w:rPr>
  </w:style>
  <w:style w:type="character" w:customStyle="1" w:styleId="123">
    <w:name w:val="font131"/>
    <w:basedOn w:val="32"/>
    <w:qFormat/>
    <w:uiPriority w:val="0"/>
    <w:rPr>
      <w:rFonts w:hint="eastAsia" w:ascii="宋体" w:hAnsi="宋体" w:eastAsia="宋体" w:cs="宋体"/>
      <w:color w:val="FF0000"/>
      <w:sz w:val="20"/>
      <w:szCs w:val="20"/>
      <w:u w:val="none"/>
    </w:rPr>
  </w:style>
  <w:style w:type="character" w:customStyle="1" w:styleId="124">
    <w:name w:val="font141"/>
    <w:basedOn w:val="32"/>
    <w:qFormat/>
    <w:uiPriority w:val="0"/>
    <w:rPr>
      <w:rFonts w:hint="eastAsia" w:ascii="宋体" w:hAnsi="宋体" w:eastAsia="宋体" w:cs="宋体"/>
      <w:color w:val="000000"/>
      <w:sz w:val="20"/>
      <w:szCs w:val="20"/>
      <w:u w:val="none"/>
    </w:rPr>
  </w:style>
  <w:style w:type="character" w:customStyle="1" w:styleId="125">
    <w:name w:val="font151"/>
    <w:basedOn w:val="32"/>
    <w:qFormat/>
    <w:uiPriority w:val="0"/>
    <w:rPr>
      <w:rFonts w:hint="default" w:ascii="Times New Roman" w:hAnsi="Times New Roman" w:cs="Times New Roman"/>
      <w:color w:val="000000"/>
      <w:sz w:val="20"/>
      <w:szCs w:val="20"/>
      <w:u w:val="none"/>
    </w:rPr>
  </w:style>
  <w:style w:type="character" w:customStyle="1" w:styleId="126">
    <w:name w:val="font161"/>
    <w:basedOn w:val="32"/>
    <w:qFormat/>
    <w:uiPriority w:val="0"/>
    <w:rPr>
      <w:rFonts w:hint="default" w:ascii="Times New Roman" w:hAnsi="Times New Roman" w:cs="Times New Roman"/>
      <w:color w:val="000000"/>
      <w:sz w:val="20"/>
      <w:szCs w:val="20"/>
      <w:u w:val="none"/>
    </w:rPr>
  </w:style>
  <w:style w:type="character" w:customStyle="1" w:styleId="127">
    <w:name w:val="font171"/>
    <w:basedOn w:val="32"/>
    <w:qFormat/>
    <w:uiPriority w:val="0"/>
    <w:rPr>
      <w:rFonts w:hint="eastAsia" w:ascii="宋体" w:hAnsi="宋体" w:eastAsia="宋体" w:cs="宋体"/>
      <w:color w:val="000000"/>
      <w:sz w:val="20"/>
      <w:szCs w:val="20"/>
      <w:u w:val="none"/>
    </w:rPr>
  </w:style>
  <w:style w:type="character" w:customStyle="1" w:styleId="128">
    <w:name w:val="font181"/>
    <w:basedOn w:val="32"/>
    <w:qFormat/>
    <w:uiPriority w:val="0"/>
    <w:rPr>
      <w:rFonts w:hint="default" w:ascii="Times New Roman" w:hAnsi="Times New Roman" w:cs="Times New Roman"/>
      <w:color w:val="FF0000"/>
      <w:sz w:val="20"/>
      <w:szCs w:val="20"/>
      <w:u w:val="none"/>
    </w:rPr>
  </w:style>
  <w:style w:type="character" w:customStyle="1" w:styleId="129">
    <w:name w:val="font21"/>
    <w:basedOn w:val="32"/>
    <w:qFormat/>
    <w:uiPriority w:val="0"/>
    <w:rPr>
      <w:rFonts w:hint="eastAsia" w:ascii="宋体" w:hAnsi="宋体" w:eastAsia="宋体" w:cs="宋体"/>
      <w:color w:val="000000"/>
      <w:sz w:val="18"/>
      <w:szCs w:val="18"/>
      <w:u w:val="none"/>
    </w:rPr>
  </w:style>
  <w:style w:type="paragraph" w:customStyle="1" w:styleId="130">
    <w:name w:val="null3"/>
    <w:qFormat/>
    <w:uiPriority w:val="0"/>
    <w:rPr>
      <w:rFonts w:hint="eastAsia" w:ascii="Calibri" w:hAnsi="Calibri" w:eastAsia="宋体" w:cs="Times New Roman"/>
      <w:lang w:val="en-US" w:eastAsia="zh-Han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823A8D-A678-4E48-B7B4-2C97FA0C4A89}">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93</Pages>
  <Words>3820</Words>
  <Characters>4446</Characters>
  <Lines>1035</Lines>
  <Paragraphs>716</Paragraphs>
  <TotalTime>8</TotalTime>
  <ScaleCrop>false</ScaleCrop>
  <LinksUpToDate>false</LinksUpToDate>
  <CharactersWithSpaces>4508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我在
丶等风</cp:lastModifiedBy>
  <cp:lastPrinted>2024-06-27T10:26:00Z</cp:lastPrinted>
  <dcterms:modified xsi:type="dcterms:W3CDTF">2025-08-05T05:55:58Z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AB087852020B4674AD9F715BB95383F5</vt:lpwstr>
  </property>
  <property fmtid="{D5CDD505-2E9C-101B-9397-08002B2CF9AE}" pid="4" name="KSOTemplateDocerSaveRecord">
    <vt:lpwstr>eyJoZGlkIjoiZDU5ZmUxYTc5ZjVhNjc2ZjlmNjIwZDE5NzZjZGZkMmMiLCJ1c2VySWQiOiIzMjExNjMxODcifQ==</vt:lpwstr>
  </property>
</Properties>
</file>