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A8732">
      <w:pPr>
        <w:pStyle w:val="2"/>
        <w:jc w:val="both"/>
        <w:rPr>
          <w:color w:val="auto"/>
        </w:rPr>
      </w:pPr>
    </w:p>
    <w:p w14:paraId="608A33FE">
      <w:pPr>
        <w:rPr>
          <w:color w:val="auto"/>
        </w:rPr>
      </w:pPr>
    </w:p>
    <w:p w14:paraId="666169BF">
      <w:pPr>
        <w:spacing w:line="240" w:lineRule="auto"/>
        <w:ind w:firstLine="1447"/>
        <w:jc w:val="both"/>
        <w:rPr>
          <w:rFonts w:hint="eastAsia" w:ascii="方正小标宋简体" w:hAnsi="方正小标宋简体" w:eastAsia="方正小标宋简体" w:cs="方正小标宋简体"/>
          <w:bCs/>
          <w:color w:val="auto"/>
          <w:sz w:val="72"/>
          <w:szCs w:val="72"/>
        </w:rPr>
      </w:pPr>
      <w:r>
        <w:rPr>
          <w:rFonts w:hint="eastAsia" w:ascii="方正小标宋简体" w:hAnsi="方正小标宋简体" w:eastAsia="方正小标宋简体" w:cs="方正小标宋简体"/>
          <w:bCs/>
          <w:color w:val="auto"/>
          <w:kern w:val="0"/>
          <w:sz w:val="72"/>
          <w:szCs w:val="72"/>
        </w:rPr>
        <w:t>汉台区政府采购中心</w:t>
      </w:r>
    </w:p>
    <w:p w14:paraId="4222A365">
      <w:pPr>
        <w:spacing w:line="240" w:lineRule="auto"/>
        <w:ind w:firstLine="2169" w:firstLineChars="300"/>
        <w:jc w:val="both"/>
        <w:rPr>
          <w:rFonts w:hint="eastAsia" w:ascii="仿宋_GB2312" w:hAnsi="仿宋_GB2312" w:eastAsia="仿宋_GB2312" w:cs="仿宋_GB2312"/>
          <w:color w:val="auto"/>
          <w:sz w:val="44"/>
          <w:szCs w:val="44"/>
        </w:rPr>
      </w:pPr>
      <w:r>
        <w:rPr>
          <w:rFonts w:hint="eastAsia" w:ascii="方正小标宋简体" w:hAnsi="方正小标宋简体" w:eastAsia="方正小标宋简体" w:cs="方正小标宋简体"/>
          <w:bCs/>
          <w:color w:val="auto"/>
          <w:kern w:val="0"/>
          <w:sz w:val="72"/>
          <w:szCs w:val="72"/>
        </w:rPr>
        <w:t>竞争性磋商文件</w:t>
      </w:r>
    </w:p>
    <w:p w14:paraId="45E33FD2">
      <w:pPr>
        <w:pStyle w:val="16"/>
        <w:spacing w:line="240" w:lineRule="auto"/>
        <w:ind w:right="424" w:rightChars="150" w:firstLine="0" w:firstLineChars="0"/>
        <w:jc w:val="center"/>
        <w:rPr>
          <w:rFonts w:hint="eastAsia" w:ascii="仿宋_GB2312" w:hAnsi="仿宋_GB2312" w:eastAsia="仿宋_GB2312" w:cs="仿宋_GB2312"/>
          <w:color w:val="auto"/>
          <w:sz w:val="36"/>
          <w:szCs w:val="36"/>
        </w:rPr>
      </w:pPr>
      <w:r>
        <w:rPr>
          <w:rFonts w:hint="eastAsia" w:ascii="仿宋_GB2312" w:hAnsi="仿宋_GB2312" w:eastAsia="仿宋_GB2312" w:cs="仿宋_GB2312"/>
          <w:color w:val="auto"/>
          <w:sz w:val="44"/>
          <w:szCs w:val="44"/>
          <w:lang w:val="en-US" w:eastAsia="zh-CN"/>
        </w:rPr>
        <w:t xml:space="preserve">  </w:t>
      </w:r>
      <w:r>
        <w:rPr>
          <w:rFonts w:hint="eastAsia" w:ascii="仿宋_GB2312" w:hAnsi="仿宋_GB2312" w:eastAsia="仿宋_GB2312" w:cs="仿宋_GB2312"/>
          <w:color w:val="auto"/>
          <w:sz w:val="44"/>
          <w:szCs w:val="44"/>
        </w:rPr>
        <w:t>（专门面向中小企业采购）</w:t>
      </w:r>
    </w:p>
    <w:p w14:paraId="07B2631E">
      <w:pPr>
        <w:pStyle w:val="2"/>
        <w:jc w:val="both"/>
        <w:rPr>
          <w:rFonts w:hint="eastAsia"/>
          <w:color w:val="auto"/>
        </w:rPr>
      </w:pPr>
    </w:p>
    <w:p w14:paraId="4FF2CDC5">
      <w:pPr>
        <w:rPr>
          <w:rFonts w:hint="eastAsia"/>
          <w:color w:val="auto"/>
        </w:rPr>
      </w:pPr>
    </w:p>
    <w:p w14:paraId="31D740BA">
      <w:pPr>
        <w:spacing w:line="240" w:lineRule="auto"/>
        <w:ind w:left="2539" w:leftChars="256" w:right="707" w:rightChars="250" w:hanging="1815" w:hangingChars="500"/>
        <w:jc w:val="left"/>
        <w:rPr>
          <w:rFonts w:hint="eastAsia" w:ascii="仿宋_GB2312" w:hAnsi="仿宋_GB2312" w:eastAsia="仿宋_GB2312" w:cs="仿宋_GB2312"/>
          <w:color w:val="auto"/>
          <w:w w:val="95"/>
          <w:sz w:val="36"/>
          <w:szCs w:val="36"/>
          <w:highlight w:val="yellow"/>
          <w:lang w:eastAsia="zh-CN"/>
        </w:rPr>
      </w:pPr>
      <w:r>
        <w:rPr>
          <w:rFonts w:hint="eastAsia" w:ascii="仿宋_GB2312" w:hAnsi="仿宋_GB2312" w:eastAsia="仿宋_GB2312" w:cs="仿宋_GB2312"/>
          <w:color w:val="auto"/>
          <w:sz w:val="36"/>
          <w:szCs w:val="36"/>
        </w:rPr>
        <w:t>项目名称：</w:t>
      </w:r>
      <w:r>
        <w:rPr>
          <w:rFonts w:hint="eastAsia" w:ascii="仿宋_GB2312" w:hAnsi="仿宋_GB2312" w:eastAsia="仿宋_GB2312" w:cs="仿宋_GB2312"/>
          <w:color w:val="auto"/>
          <w:sz w:val="34"/>
          <w:szCs w:val="34"/>
          <w:lang w:val="en-US" w:eastAsia="zh-CN"/>
        </w:rPr>
        <w:t>汉中市传染病医院（汉中市第二人民医院）安保服务</w:t>
      </w:r>
      <w:r>
        <w:rPr>
          <w:rFonts w:hint="eastAsia" w:ascii="仿宋_GB2312" w:hAnsi="仿宋_GB2312" w:eastAsia="仿宋_GB2312" w:cs="仿宋_GB2312"/>
          <w:color w:val="auto"/>
          <w:sz w:val="34"/>
          <w:szCs w:val="34"/>
          <w:lang w:eastAsia="zh-CN"/>
        </w:rPr>
        <w:t>采购项目</w:t>
      </w:r>
    </w:p>
    <w:p w14:paraId="29DADE83">
      <w:pPr>
        <w:spacing w:line="240" w:lineRule="auto"/>
        <w:ind w:left="2539" w:leftChars="256" w:right="707" w:rightChars="250" w:hanging="1815" w:hangingChars="500"/>
        <w:jc w:val="left"/>
        <w:rPr>
          <w:rFonts w:hint="eastAsia" w:eastAsia="仿宋_GB2312"/>
          <w:color w:val="auto"/>
          <w:lang w:eastAsia="zh-CN"/>
        </w:rPr>
      </w:pPr>
      <w:r>
        <w:rPr>
          <w:rFonts w:hint="eastAsia" w:ascii="仿宋_GB2312" w:hAnsi="仿宋_GB2312" w:eastAsia="仿宋_GB2312" w:cs="仿宋_GB2312"/>
          <w:color w:val="auto"/>
          <w:sz w:val="36"/>
          <w:szCs w:val="36"/>
        </w:rPr>
        <w:t>项目编号：</w:t>
      </w:r>
      <w:bookmarkStart w:id="0" w:name="_Toc30340_WPSOffice_Level1"/>
      <w:bookmarkStart w:id="1" w:name="_Toc30102_WPSOffice_Level1"/>
      <w:bookmarkStart w:id="2" w:name="_Toc10222_WPSOffice_Level1"/>
      <w:r>
        <w:rPr>
          <w:rFonts w:hint="eastAsia" w:ascii="仿宋_GB2312" w:hAnsi="仿宋_GB2312" w:eastAsia="仿宋_GB2312" w:cs="仿宋_GB2312"/>
          <w:color w:val="auto"/>
          <w:sz w:val="36"/>
          <w:szCs w:val="36"/>
          <w:lang w:eastAsia="zh-CN"/>
        </w:rPr>
        <w:t>汉区采FW【2025】0</w:t>
      </w:r>
      <w:r>
        <w:rPr>
          <w:rFonts w:hint="eastAsia" w:ascii="仿宋_GB2312" w:hAnsi="仿宋_GB2312" w:eastAsia="仿宋_GB2312" w:cs="仿宋_GB2312"/>
          <w:color w:val="auto"/>
          <w:sz w:val="36"/>
          <w:szCs w:val="36"/>
          <w:lang w:val="en-US" w:eastAsia="zh-CN"/>
        </w:rPr>
        <w:t>5</w:t>
      </w:r>
      <w:r>
        <w:rPr>
          <w:rFonts w:hint="eastAsia" w:ascii="仿宋_GB2312" w:hAnsi="仿宋_GB2312" w:eastAsia="仿宋_GB2312" w:cs="仿宋_GB2312"/>
          <w:color w:val="auto"/>
          <w:sz w:val="36"/>
          <w:szCs w:val="36"/>
          <w:lang w:eastAsia="zh-CN"/>
        </w:rPr>
        <w:t>号</w:t>
      </w:r>
    </w:p>
    <w:p w14:paraId="03D198FD">
      <w:pPr>
        <w:pStyle w:val="2"/>
        <w:jc w:val="left"/>
        <w:rPr>
          <w:rFonts w:hint="eastAsia"/>
          <w:color w:val="auto"/>
        </w:rPr>
      </w:pPr>
    </w:p>
    <w:p w14:paraId="7258DB50">
      <w:pPr>
        <w:rPr>
          <w:rFonts w:hint="eastAsia" w:ascii="仿宋" w:hAnsi="仿宋" w:eastAsia="仿宋_GB2312" w:cs="仿宋"/>
          <w:color w:val="auto"/>
          <w:kern w:val="1"/>
          <w:sz w:val="36"/>
          <w:szCs w:val="36"/>
        </w:rPr>
      </w:pPr>
    </w:p>
    <w:p w14:paraId="1C983D17">
      <w:pPr>
        <w:rPr>
          <w:rFonts w:hint="eastAsia" w:ascii="仿宋" w:hAnsi="仿宋" w:eastAsia="仿宋_GB2312" w:cs="仿宋"/>
          <w:color w:val="auto"/>
          <w:kern w:val="1"/>
          <w:sz w:val="36"/>
          <w:szCs w:val="36"/>
        </w:rPr>
      </w:pPr>
    </w:p>
    <w:p w14:paraId="1C08E9E8">
      <w:pPr>
        <w:rPr>
          <w:rFonts w:hint="eastAsia" w:ascii="仿宋" w:hAnsi="仿宋" w:eastAsia="仿宋_GB2312" w:cs="仿宋"/>
          <w:color w:val="auto"/>
          <w:kern w:val="1"/>
          <w:sz w:val="36"/>
          <w:szCs w:val="36"/>
        </w:rPr>
      </w:pPr>
    </w:p>
    <w:p w14:paraId="363B5130">
      <w:pPr>
        <w:rPr>
          <w:rFonts w:hint="eastAsia" w:ascii="仿宋" w:hAnsi="仿宋" w:eastAsia="仿宋_GB2312" w:cs="仿宋"/>
          <w:color w:val="auto"/>
          <w:kern w:val="1"/>
          <w:sz w:val="36"/>
          <w:szCs w:val="36"/>
        </w:rPr>
      </w:pPr>
    </w:p>
    <w:p w14:paraId="30EACF85">
      <w:pPr>
        <w:rPr>
          <w:rFonts w:hint="eastAsia" w:ascii="仿宋" w:hAnsi="仿宋" w:eastAsia="仿宋_GB2312" w:cs="仿宋"/>
          <w:color w:val="auto"/>
          <w:kern w:val="1"/>
          <w:sz w:val="36"/>
          <w:szCs w:val="36"/>
        </w:rPr>
      </w:pPr>
    </w:p>
    <w:p w14:paraId="6D705603">
      <w:pPr>
        <w:rPr>
          <w:rFonts w:hint="eastAsia" w:ascii="仿宋" w:hAnsi="仿宋" w:eastAsia="仿宋_GB2312" w:cs="仿宋"/>
          <w:color w:val="auto"/>
          <w:kern w:val="1"/>
          <w:sz w:val="36"/>
          <w:szCs w:val="36"/>
        </w:rPr>
      </w:pPr>
    </w:p>
    <w:p w14:paraId="27BE76D3">
      <w:pPr>
        <w:rPr>
          <w:rFonts w:hint="eastAsia" w:ascii="仿宋" w:hAnsi="仿宋" w:eastAsia="仿宋_GB2312" w:cs="仿宋"/>
          <w:color w:val="auto"/>
          <w:kern w:val="1"/>
          <w:sz w:val="36"/>
          <w:szCs w:val="36"/>
        </w:rPr>
      </w:pPr>
    </w:p>
    <w:p w14:paraId="013EDDFE">
      <w:pPr>
        <w:jc w:val="center"/>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134" w:left="1417" w:header="850" w:footer="992" w:gutter="0"/>
          <w:pgBorders>
            <w:top w:val="none" w:sz="0" w:space="0"/>
            <w:left w:val="none" w:sz="0" w:space="0"/>
            <w:bottom w:val="none" w:sz="0" w:space="0"/>
            <w:right w:val="none" w:sz="0" w:space="0"/>
          </w:pgBorders>
          <w:pgNumType w:fmt="decimal" w:start="1"/>
          <w:cols w:space="720" w:num="1"/>
          <w:docGrid w:type="linesAndChars" w:linePitch="381" w:charSpace="704"/>
        </w:sectPr>
      </w:pPr>
      <w:r>
        <w:rPr>
          <w:rFonts w:hint="eastAsia" w:ascii="仿宋" w:hAnsi="仿宋" w:eastAsia="仿宋_GB2312" w:cs="仿宋"/>
          <w:color w:val="auto"/>
          <w:kern w:val="1"/>
          <w:sz w:val="36"/>
          <w:szCs w:val="36"/>
        </w:rPr>
        <w:t>2025</w:t>
      </w:r>
      <w:r>
        <w:rPr>
          <w:rFonts w:ascii="仿宋" w:hAnsi="仿宋" w:eastAsia="仿宋_GB2312" w:cs="仿宋"/>
          <w:color w:val="auto"/>
          <w:kern w:val="1"/>
          <w:sz w:val="36"/>
          <w:szCs w:val="36"/>
        </w:rPr>
        <w:t>年</w:t>
      </w:r>
      <w:r>
        <w:rPr>
          <w:rFonts w:hint="eastAsia" w:ascii="仿宋" w:hAnsi="仿宋" w:eastAsia="仿宋_GB2312" w:cs="仿宋"/>
          <w:color w:val="auto"/>
          <w:kern w:val="1"/>
          <w:sz w:val="36"/>
          <w:szCs w:val="36"/>
          <w:lang w:val="en-US" w:eastAsia="zh-CN"/>
        </w:rPr>
        <w:t>8</w:t>
      </w:r>
      <w:r>
        <w:rPr>
          <w:rFonts w:ascii="仿宋" w:hAnsi="仿宋" w:eastAsia="仿宋_GB2312" w:cs="仿宋"/>
          <w:color w:val="auto"/>
          <w:kern w:val="1"/>
          <w:sz w:val="36"/>
          <w:szCs w:val="36"/>
        </w:rPr>
        <w:t>月</w:t>
      </w:r>
    </w:p>
    <w:p w14:paraId="1F35B491">
      <w:pPr>
        <w:pStyle w:val="2"/>
        <w:rPr>
          <w:rFonts w:hint="eastAsia"/>
          <w:color w:val="auto"/>
        </w:rPr>
      </w:pPr>
    </w:p>
    <w:p w14:paraId="0E8870B4">
      <w:pPr>
        <w:spacing w:line="240" w:lineRule="auto"/>
        <w:ind w:left="2939" w:leftChars="256" w:right="707" w:rightChars="250" w:hanging="2215" w:hangingChars="500"/>
        <w:jc w:val="center"/>
        <w:rPr>
          <w:rFonts w:hint="eastAsia" w:ascii="黑体" w:hAnsi="黑体" w:eastAsia="黑体" w:cs="黑体"/>
          <w:bCs/>
          <w:color w:val="auto"/>
          <w:sz w:val="44"/>
        </w:rPr>
      </w:pPr>
      <w:r>
        <w:rPr>
          <w:rFonts w:hint="eastAsia" w:ascii="黑体" w:hAnsi="黑体" w:eastAsia="黑体" w:cs="黑体"/>
          <w:bCs/>
          <w:color w:val="auto"/>
          <w:sz w:val="44"/>
        </w:rPr>
        <w:t>目  录</w:t>
      </w:r>
    </w:p>
    <w:p w14:paraId="235851A1">
      <w:pPr>
        <w:pStyle w:val="8"/>
        <w:widowControl w:val="0"/>
        <w:tabs>
          <w:tab w:val="right" w:leader="dot" w:pos="9072"/>
        </w:tabs>
        <w:spacing w:line="540" w:lineRule="exact"/>
        <w:ind w:firstLine="647"/>
        <w:rPr>
          <w:rFonts w:ascii="Times New Roman" w:hAnsi="Times New Roman" w:eastAsia="仿宋_GB2312" w:cs="Times New Roman"/>
          <w:bCs/>
          <w:color w:val="auto"/>
          <w:sz w:val="32"/>
          <w:szCs w:val="32"/>
        </w:rPr>
      </w:pPr>
      <w:r>
        <w:rPr>
          <w:rFonts w:ascii="Times New Roman" w:hAnsi="Times New Roman" w:eastAsia="黑体" w:cs="Times New Roman"/>
          <w:color w:val="auto"/>
          <w:sz w:val="32"/>
          <w:szCs w:val="32"/>
        </w:rPr>
        <w:t>第一章  磋商邀请函</w:t>
      </w:r>
      <w:r>
        <w:rPr>
          <w:rFonts w:ascii="Times New Roman" w:hAnsi="Times New Roman" w:eastAsia="仿宋_GB2312" w:cs="Times New Roman"/>
          <w:color w:val="auto"/>
          <w:sz w:val="32"/>
          <w:szCs w:val="32"/>
        </w:rPr>
        <w:tab/>
      </w:r>
      <w:r>
        <w:rPr>
          <w:rFonts w:ascii="Times New Roman" w:hAnsi="Times New Roman" w:eastAsia="仿宋_GB2312" w:cs="Times New Roman"/>
          <w:color w:val="auto"/>
          <w:sz w:val="32"/>
          <w:szCs w:val="32"/>
        </w:rPr>
        <w:fldChar w:fldCharType="begin"/>
      </w:r>
      <w:r>
        <w:rPr>
          <w:rFonts w:ascii="Times New Roman" w:hAnsi="Times New Roman" w:eastAsia="仿宋_GB2312" w:cs="Times New Roman"/>
          <w:color w:val="auto"/>
          <w:sz w:val="32"/>
          <w:szCs w:val="32"/>
        </w:rPr>
        <w:instrText xml:space="preserve"> PAGEREF _Toc8073 \h </w:instrText>
      </w:r>
      <w:r>
        <w:rPr>
          <w:rFonts w:ascii="Times New Roman" w:hAnsi="Times New Roman" w:eastAsia="仿宋_GB2312" w:cs="Times New Roman"/>
          <w:color w:val="auto"/>
          <w:sz w:val="32"/>
          <w:szCs w:val="32"/>
        </w:rPr>
        <w:fldChar w:fldCharType="separate"/>
      </w:r>
      <w:r>
        <w:rPr>
          <w:rFonts w:ascii="Times New Roman" w:hAnsi="Times New Roman" w:eastAsia="仿宋_GB2312" w:cs="Times New Roman"/>
          <w:color w:val="auto"/>
          <w:sz w:val="32"/>
          <w:szCs w:val="32"/>
        </w:rPr>
        <w:t>3</w:t>
      </w:r>
      <w:r>
        <w:rPr>
          <w:rFonts w:ascii="Times New Roman" w:hAnsi="Times New Roman" w:eastAsia="仿宋_GB2312" w:cs="Times New Roman"/>
          <w:color w:val="auto"/>
          <w:sz w:val="32"/>
          <w:szCs w:val="32"/>
        </w:rPr>
        <w:fldChar w:fldCharType="end"/>
      </w:r>
    </w:p>
    <w:p w14:paraId="0E406417">
      <w:pPr>
        <w:pStyle w:val="8"/>
        <w:widowControl w:val="0"/>
        <w:tabs>
          <w:tab w:val="right" w:leader="dot" w:pos="9072"/>
        </w:tabs>
        <w:spacing w:line="540" w:lineRule="exact"/>
        <w:ind w:firstLine="647"/>
        <w:rPr>
          <w:rFonts w:hint="eastAsia" w:ascii="Times New Roman" w:hAnsi="Times New Roman" w:eastAsia="仿宋_GB2312" w:cs="Times New Roman"/>
          <w:color w:val="auto"/>
          <w:sz w:val="32"/>
          <w:szCs w:val="32"/>
          <w:lang w:eastAsia="zh-CN"/>
        </w:rPr>
      </w:pPr>
      <w:r>
        <w:rPr>
          <w:rFonts w:ascii="Times New Roman" w:hAnsi="Times New Roman" w:eastAsia="黑体" w:cs="Times New Roman"/>
          <w:bCs/>
          <w:color w:val="auto"/>
          <w:sz w:val="32"/>
          <w:szCs w:val="32"/>
        </w:rPr>
        <w:t>第二章  供应商须知</w:t>
      </w:r>
      <w:r>
        <w:rPr>
          <w:rFonts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val="en-US" w:eastAsia="zh-CN"/>
        </w:rPr>
        <w:t>6</w:t>
      </w:r>
    </w:p>
    <w:p w14:paraId="574C80CC">
      <w:pPr>
        <w:pStyle w:val="9"/>
        <w:widowControl w:val="0"/>
        <w:tabs>
          <w:tab w:val="right" w:leader="dot" w:pos="9072"/>
        </w:tabs>
        <w:spacing w:line="540" w:lineRule="exact"/>
        <w:ind w:left="0" w:leftChars="0" w:firstLine="646" w:firstLineChars="200"/>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一、定义</w:t>
      </w:r>
      <w:r>
        <w:rPr>
          <w:rFonts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val="en-US" w:eastAsia="zh-CN"/>
        </w:rPr>
        <w:t>6</w:t>
      </w:r>
    </w:p>
    <w:p w14:paraId="2CF60606">
      <w:pPr>
        <w:pStyle w:val="9"/>
        <w:widowControl w:val="0"/>
        <w:tabs>
          <w:tab w:val="right" w:leader="dot" w:pos="9072"/>
        </w:tabs>
        <w:spacing w:line="540" w:lineRule="exact"/>
        <w:ind w:left="0" w:leftChars="0" w:firstLine="646" w:firstLineChars="200"/>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二、供应商注意事项</w:t>
      </w:r>
      <w:r>
        <w:rPr>
          <w:rFonts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val="en-US" w:eastAsia="zh-CN"/>
        </w:rPr>
        <w:t>6</w:t>
      </w:r>
    </w:p>
    <w:p w14:paraId="7551EDF1">
      <w:pPr>
        <w:pStyle w:val="9"/>
        <w:widowControl w:val="0"/>
        <w:tabs>
          <w:tab w:val="right" w:leader="dot" w:pos="9072"/>
        </w:tabs>
        <w:spacing w:line="540" w:lineRule="exact"/>
        <w:ind w:left="0" w:leftChars="0" w:firstLine="646"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三、磋商文件</w:t>
      </w:r>
      <w:r>
        <w:rPr>
          <w:rFonts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val="en-US" w:eastAsia="zh-CN"/>
        </w:rPr>
        <w:t>10</w:t>
      </w:r>
    </w:p>
    <w:p w14:paraId="6322279E">
      <w:pPr>
        <w:pStyle w:val="9"/>
        <w:widowControl w:val="0"/>
        <w:tabs>
          <w:tab w:val="right" w:leader="dot" w:pos="9072"/>
        </w:tabs>
        <w:spacing w:line="540" w:lineRule="exact"/>
        <w:ind w:left="0" w:leftChars="0" w:firstLine="646"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四、磋商报价</w:t>
      </w:r>
      <w:r>
        <w:rPr>
          <w:rFonts w:ascii="Times New Roman" w:hAnsi="Times New Roman" w:eastAsia="仿宋_GB2312" w:cs="Times New Roman"/>
          <w:color w:val="auto"/>
          <w:sz w:val="32"/>
          <w:szCs w:val="32"/>
        </w:rPr>
        <w:tab/>
      </w:r>
      <w:r>
        <w:rPr>
          <w:rFonts w:ascii="Times New Roman" w:hAnsi="Times New Roman" w:eastAsia="仿宋_GB2312" w:cs="Times New Roman"/>
          <w:color w:val="auto"/>
          <w:sz w:val="32"/>
          <w:szCs w:val="32"/>
        </w:rPr>
        <w:fldChar w:fldCharType="begin"/>
      </w:r>
      <w:r>
        <w:rPr>
          <w:rFonts w:ascii="Times New Roman" w:hAnsi="Times New Roman" w:eastAsia="仿宋_GB2312" w:cs="Times New Roman"/>
          <w:color w:val="auto"/>
          <w:sz w:val="32"/>
          <w:szCs w:val="32"/>
        </w:rPr>
        <w:instrText xml:space="preserve"> PAGEREF _Toc3559 \h </w:instrText>
      </w:r>
      <w:r>
        <w:rPr>
          <w:rFonts w:ascii="Times New Roman" w:hAnsi="Times New Roman" w:eastAsia="仿宋_GB2312" w:cs="Times New Roman"/>
          <w:color w:val="auto"/>
          <w:sz w:val="32"/>
          <w:szCs w:val="32"/>
        </w:rPr>
        <w:fldChar w:fldCharType="separate"/>
      </w:r>
      <w:r>
        <w:rPr>
          <w:rFonts w:ascii="Times New Roman" w:hAnsi="Times New Roman" w:eastAsia="仿宋_GB2312" w:cs="Times New Roman"/>
          <w:color w:val="auto"/>
          <w:sz w:val="32"/>
          <w:szCs w:val="32"/>
        </w:rPr>
        <w:t>10</w:t>
      </w:r>
      <w:r>
        <w:rPr>
          <w:rFonts w:ascii="Times New Roman" w:hAnsi="Times New Roman" w:eastAsia="仿宋_GB2312" w:cs="Times New Roman"/>
          <w:color w:val="auto"/>
          <w:sz w:val="32"/>
          <w:szCs w:val="32"/>
        </w:rPr>
        <w:fldChar w:fldCharType="end"/>
      </w:r>
    </w:p>
    <w:p w14:paraId="3056B5FC">
      <w:pPr>
        <w:pStyle w:val="9"/>
        <w:widowControl w:val="0"/>
        <w:tabs>
          <w:tab w:val="right" w:leader="dot" w:pos="9072"/>
        </w:tabs>
        <w:spacing w:line="540" w:lineRule="exact"/>
        <w:ind w:left="0" w:leftChars="0" w:firstLine="646"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五、磋商响应文件的编制</w:t>
      </w:r>
      <w:r>
        <w:rPr>
          <w:rFonts w:ascii="Times New Roman" w:hAnsi="Times New Roman" w:eastAsia="仿宋_GB2312" w:cs="Times New Roman"/>
          <w:color w:val="auto"/>
          <w:sz w:val="32"/>
          <w:szCs w:val="32"/>
        </w:rPr>
        <w:tab/>
      </w:r>
      <w:r>
        <w:rPr>
          <w:rFonts w:ascii="Times New Roman" w:hAnsi="Times New Roman" w:eastAsia="仿宋_GB2312" w:cs="Times New Roman"/>
          <w:color w:val="auto"/>
          <w:sz w:val="32"/>
          <w:szCs w:val="32"/>
        </w:rPr>
        <w:fldChar w:fldCharType="begin"/>
      </w:r>
      <w:r>
        <w:rPr>
          <w:rFonts w:ascii="Times New Roman" w:hAnsi="Times New Roman" w:eastAsia="仿宋_GB2312" w:cs="Times New Roman"/>
          <w:color w:val="auto"/>
          <w:sz w:val="32"/>
          <w:szCs w:val="32"/>
        </w:rPr>
        <w:instrText xml:space="preserve"> PAGEREF _Toc12154 \h </w:instrText>
      </w:r>
      <w:r>
        <w:rPr>
          <w:rFonts w:ascii="Times New Roman" w:hAnsi="Times New Roman" w:eastAsia="仿宋_GB2312" w:cs="Times New Roman"/>
          <w:color w:val="auto"/>
          <w:sz w:val="32"/>
          <w:szCs w:val="32"/>
        </w:rPr>
        <w:fldChar w:fldCharType="separate"/>
      </w:r>
      <w:r>
        <w:rPr>
          <w:rFonts w:ascii="Times New Roman" w:hAnsi="Times New Roman" w:eastAsia="仿宋_GB2312" w:cs="Times New Roman"/>
          <w:color w:val="auto"/>
          <w:sz w:val="32"/>
          <w:szCs w:val="32"/>
        </w:rPr>
        <w:t>11</w:t>
      </w:r>
      <w:r>
        <w:rPr>
          <w:rFonts w:ascii="Times New Roman" w:hAnsi="Times New Roman" w:eastAsia="仿宋_GB2312" w:cs="Times New Roman"/>
          <w:color w:val="auto"/>
          <w:sz w:val="32"/>
          <w:szCs w:val="32"/>
        </w:rPr>
        <w:fldChar w:fldCharType="end"/>
      </w:r>
    </w:p>
    <w:p w14:paraId="0990595F">
      <w:pPr>
        <w:pStyle w:val="9"/>
        <w:widowControl w:val="0"/>
        <w:tabs>
          <w:tab w:val="right" w:leader="dot" w:pos="9072"/>
        </w:tabs>
        <w:spacing w:line="540" w:lineRule="exact"/>
        <w:ind w:left="0" w:leftChars="0" w:firstLine="646" w:firstLineChars="200"/>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六、响应文件开启</w:t>
      </w:r>
      <w:r>
        <w:rPr>
          <w:rFonts w:ascii="Times New Roman" w:hAnsi="Times New Roman" w:eastAsia="仿宋_GB2312" w:cs="Times New Roman"/>
          <w:color w:val="auto"/>
          <w:sz w:val="32"/>
          <w:szCs w:val="32"/>
        </w:rPr>
        <w:tab/>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2</w:t>
      </w:r>
    </w:p>
    <w:p w14:paraId="01C1364E">
      <w:pPr>
        <w:pStyle w:val="9"/>
        <w:widowControl w:val="0"/>
        <w:tabs>
          <w:tab w:val="right" w:leader="dot" w:pos="9072"/>
        </w:tabs>
        <w:spacing w:line="540" w:lineRule="exact"/>
        <w:ind w:left="0" w:leftChars="0" w:firstLine="646" w:firstLineChars="200"/>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七、组织评审</w:t>
      </w:r>
      <w:r>
        <w:rPr>
          <w:rFonts w:ascii="Times New Roman" w:hAnsi="Times New Roman" w:eastAsia="仿宋_GB2312" w:cs="Times New Roman"/>
          <w:color w:val="auto"/>
          <w:sz w:val="32"/>
          <w:szCs w:val="32"/>
        </w:rPr>
        <w:tab/>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2</w:t>
      </w:r>
    </w:p>
    <w:p w14:paraId="6C4D08ED">
      <w:pPr>
        <w:pStyle w:val="9"/>
        <w:widowControl w:val="0"/>
        <w:tabs>
          <w:tab w:val="right" w:leader="dot" w:pos="9072"/>
        </w:tabs>
        <w:spacing w:line="540" w:lineRule="exact"/>
        <w:ind w:left="0" w:leftChars="0" w:firstLine="646" w:firstLineChars="200"/>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八、成交</w:t>
      </w:r>
      <w:r>
        <w:rPr>
          <w:rFonts w:ascii="Times New Roman" w:hAnsi="Times New Roman" w:eastAsia="仿宋_GB2312" w:cs="Times New Roman"/>
          <w:color w:val="auto"/>
          <w:sz w:val="32"/>
          <w:szCs w:val="32"/>
        </w:rPr>
        <w:tab/>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6</w:t>
      </w:r>
    </w:p>
    <w:p w14:paraId="625C6DF3">
      <w:pPr>
        <w:pStyle w:val="9"/>
        <w:widowControl w:val="0"/>
        <w:tabs>
          <w:tab w:val="right" w:leader="dot" w:pos="9072"/>
        </w:tabs>
        <w:spacing w:line="540" w:lineRule="exact"/>
        <w:ind w:left="0" w:leftChars="0" w:firstLine="646"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九、签订</w:t>
      </w:r>
      <w:r>
        <w:rPr>
          <w:rFonts w:ascii="Times New Roman" w:hAnsi="Times New Roman" w:eastAsia="仿宋_GB2312" w:cs="Times New Roman"/>
          <w:color w:val="auto"/>
          <w:kern w:val="0"/>
          <w:sz w:val="32"/>
          <w:szCs w:val="32"/>
        </w:rPr>
        <w:t>政府采购合同</w:t>
      </w:r>
      <w:r>
        <w:rPr>
          <w:rFonts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val="en-US" w:eastAsia="zh-CN"/>
        </w:rPr>
        <w:t>26</w:t>
      </w:r>
    </w:p>
    <w:p w14:paraId="0EF2EBCE">
      <w:pPr>
        <w:pStyle w:val="9"/>
        <w:widowControl w:val="0"/>
        <w:tabs>
          <w:tab w:val="right" w:leader="dot" w:pos="9072"/>
        </w:tabs>
        <w:spacing w:line="540" w:lineRule="exact"/>
        <w:ind w:left="0" w:leftChars="0" w:firstLine="646" w:firstLineChars="200"/>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十、项目验收</w:t>
      </w:r>
      <w:r>
        <w:rPr>
          <w:rFonts w:ascii="Times New Roman" w:hAnsi="Times New Roman" w:eastAsia="仿宋_GB2312" w:cs="Times New Roman"/>
          <w:color w:val="auto"/>
          <w:sz w:val="32"/>
          <w:szCs w:val="32"/>
        </w:rPr>
        <w:tab/>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7</w:t>
      </w:r>
    </w:p>
    <w:p w14:paraId="184D003A">
      <w:pPr>
        <w:pStyle w:val="9"/>
        <w:widowControl w:val="0"/>
        <w:tabs>
          <w:tab w:val="right" w:leader="dot" w:pos="9072"/>
        </w:tabs>
        <w:spacing w:line="540" w:lineRule="exact"/>
        <w:ind w:left="0" w:leftChars="0" w:firstLine="646" w:firstLineChars="200"/>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十一、付款方式</w:t>
      </w:r>
      <w:r>
        <w:rPr>
          <w:rFonts w:ascii="Times New Roman" w:hAnsi="Times New Roman" w:eastAsia="仿宋_GB2312" w:cs="Times New Roman"/>
          <w:color w:val="auto"/>
          <w:sz w:val="32"/>
          <w:szCs w:val="32"/>
        </w:rPr>
        <w:tab/>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7</w:t>
      </w:r>
    </w:p>
    <w:p w14:paraId="5D0E61FF">
      <w:pPr>
        <w:pStyle w:val="9"/>
        <w:widowControl w:val="0"/>
        <w:tabs>
          <w:tab w:val="right" w:leader="dot" w:pos="9072"/>
        </w:tabs>
        <w:spacing w:line="540" w:lineRule="exact"/>
        <w:ind w:left="0" w:leftChars="0" w:firstLine="646" w:firstLineChars="200"/>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十二、采购代理服务费</w:t>
      </w:r>
      <w:r>
        <w:rPr>
          <w:rFonts w:ascii="Times New Roman" w:hAnsi="Times New Roman" w:eastAsia="仿宋_GB2312" w:cs="Times New Roman"/>
          <w:color w:val="auto"/>
          <w:sz w:val="32"/>
          <w:szCs w:val="32"/>
        </w:rPr>
        <w:tab/>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7</w:t>
      </w:r>
    </w:p>
    <w:p w14:paraId="0BD264EF">
      <w:pPr>
        <w:pStyle w:val="9"/>
        <w:widowControl w:val="0"/>
        <w:tabs>
          <w:tab w:val="right" w:leader="dot" w:pos="9072"/>
        </w:tabs>
        <w:spacing w:line="540" w:lineRule="exact"/>
        <w:ind w:left="0" w:leftChars="0" w:firstLine="646" w:firstLineChars="200"/>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十三、其他约定</w:t>
      </w:r>
      <w:r>
        <w:rPr>
          <w:rFonts w:ascii="Times New Roman" w:hAnsi="Times New Roman" w:eastAsia="仿宋_GB2312" w:cs="Times New Roman"/>
          <w:color w:val="auto"/>
          <w:sz w:val="32"/>
          <w:szCs w:val="32"/>
        </w:rPr>
        <w:tab/>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7</w:t>
      </w:r>
    </w:p>
    <w:p w14:paraId="2176CA84">
      <w:pPr>
        <w:pStyle w:val="8"/>
        <w:widowControl w:val="0"/>
        <w:tabs>
          <w:tab w:val="right" w:leader="dot" w:pos="9072"/>
        </w:tabs>
        <w:spacing w:line="540" w:lineRule="exact"/>
        <w:ind w:firstLine="647"/>
        <w:rPr>
          <w:rFonts w:hint="eastAsia" w:ascii="Times New Roman" w:hAnsi="Times New Roman" w:eastAsia="仿宋_GB2312" w:cs="Times New Roman"/>
          <w:color w:val="auto"/>
          <w:sz w:val="32"/>
          <w:szCs w:val="32"/>
          <w:lang w:val="en-US" w:eastAsia="zh-CN"/>
        </w:rPr>
      </w:pPr>
      <w:r>
        <w:rPr>
          <w:rFonts w:ascii="Times New Roman" w:hAnsi="Times New Roman" w:eastAsia="黑体" w:cs="Times New Roman"/>
          <w:bCs/>
          <w:color w:val="auto"/>
          <w:sz w:val="32"/>
          <w:szCs w:val="32"/>
        </w:rPr>
        <w:t>第三章  磋商内容及采购要求</w:t>
      </w:r>
      <w:r>
        <w:rPr>
          <w:rFonts w:ascii="Times New Roman" w:hAnsi="Times New Roman" w:eastAsia="仿宋_GB2312" w:cs="Times New Roman"/>
          <w:color w:val="auto"/>
          <w:sz w:val="32"/>
          <w:szCs w:val="32"/>
        </w:rPr>
        <w:tab/>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8</w:t>
      </w:r>
    </w:p>
    <w:p w14:paraId="6543EB70">
      <w:pPr>
        <w:pStyle w:val="8"/>
        <w:widowControl w:val="0"/>
        <w:tabs>
          <w:tab w:val="right" w:leader="dot" w:pos="9072"/>
        </w:tabs>
        <w:spacing w:line="540" w:lineRule="exact"/>
        <w:ind w:firstLine="647"/>
        <w:rPr>
          <w:rFonts w:hint="default" w:ascii="Times New Roman" w:hAnsi="Times New Roman" w:eastAsia="仿宋_GB2312" w:cs="Times New Roman"/>
          <w:color w:val="auto"/>
          <w:sz w:val="32"/>
          <w:szCs w:val="32"/>
          <w:lang w:val="en-US" w:eastAsia="zh-CN"/>
        </w:rPr>
      </w:pPr>
      <w:r>
        <w:rPr>
          <w:rFonts w:ascii="Times New Roman" w:hAnsi="Times New Roman" w:eastAsia="黑体" w:cs="Times New Roman"/>
          <w:color w:val="auto"/>
          <w:sz w:val="32"/>
          <w:szCs w:val="32"/>
        </w:rPr>
        <w:t>第四章  合同草案条款</w:t>
      </w:r>
      <w:r>
        <w:rPr>
          <w:rFonts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val="en-US" w:eastAsia="zh-CN"/>
        </w:rPr>
        <w:t>35</w:t>
      </w:r>
    </w:p>
    <w:p w14:paraId="79AC1E72">
      <w:pPr>
        <w:pStyle w:val="8"/>
        <w:widowControl w:val="0"/>
        <w:tabs>
          <w:tab w:val="right" w:leader="dot" w:pos="9072"/>
        </w:tabs>
        <w:spacing w:line="540" w:lineRule="exact"/>
        <w:ind w:firstLine="647"/>
        <w:rPr>
          <w:rFonts w:hint="default" w:ascii="Times New Roman" w:hAnsi="Times New Roman" w:eastAsia="仿宋_GB2312" w:cs="Times New Roman"/>
          <w:color w:val="auto"/>
          <w:sz w:val="32"/>
          <w:szCs w:val="32"/>
          <w:lang w:val="en-US" w:eastAsia="zh-CN"/>
        </w:rPr>
      </w:pPr>
      <w:r>
        <w:rPr>
          <w:rFonts w:ascii="Times New Roman" w:hAnsi="Times New Roman" w:eastAsia="黑体" w:cs="Times New Roman"/>
          <w:bCs/>
          <w:color w:val="auto"/>
          <w:sz w:val="32"/>
          <w:szCs w:val="32"/>
        </w:rPr>
        <w:t>第五章  响应文件构成及格式</w:t>
      </w:r>
      <w:r>
        <w:rPr>
          <w:rFonts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val="en-US" w:eastAsia="zh-CN"/>
        </w:rPr>
        <w:t>37</w:t>
      </w:r>
    </w:p>
    <w:p w14:paraId="5B18F7CB">
      <w:pPr>
        <w:pStyle w:val="8"/>
        <w:widowControl w:val="0"/>
        <w:tabs>
          <w:tab w:val="right" w:leader="dot" w:pos="9072"/>
        </w:tabs>
        <w:spacing w:line="540" w:lineRule="exact"/>
        <w:ind w:firstLine="646"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黑体" w:cs="Times New Roman"/>
          <w:bCs/>
          <w:color w:val="auto"/>
          <w:sz w:val="32"/>
          <w:szCs w:val="32"/>
        </w:rPr>
        <w:t>第一部分  资格证明文件</w:t>
      </w:r>
      <w:r>
        <w:rPr>
          <w:rFonts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val="en-US" w:eastAsia="zh-CN"/>
        </w:rPr>
        <w:t>40</w:t>
      </w:r>
    </w:p>
    <w:p w14:paraId="67E714AA">
      <w:pPr>
        <w:pStyle w:val="9"/>
        <w:widowControl w:val="0"/>
        <w:tabs>
          <w:tab w:val="right" w:leader="dot" w:pos="9072"/>
        </w:tabs>
        <w:spacing w:line="540" w:lineRule="exact"/>
        <w:ind w:left="0" w:leftChars="0" w:firstLine="646"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黑体" w:cs="Times New Roman"/>
          <w:color w:val="auto"/>
          <w:sz w:val="32"/>
          <w:szCs w:val="32"/>
        </w:rPr>
        <w:t>第二部分  符合性证明文件</w:t>
      </w:r>
      <w:r>
        <w:rPr>
          <w:rFonts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val="en-US" w:eastAsia="zh-CN"/>
        </w:rPr>
        <w:t>48</w:t>
      </w:r>
    </w:p>
    <w:p w14:paraId="2710A982">
      <w:pPr>
        <w:pStyle w:val="9"/>
        <w:widowControl w:val="0"/>
        <w:tabs>
          <w:tab w:val="right" w:leader="dot" w:pos="9072"/>
        </w:tabs>
        <w:spacing w:line="540" w:lineRule="exact"/>
        <w:ind w:left="0" w:leftChars="0" w:firstLine="646"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黑体" w:cs="Times New Roman"/>
          <w:color w:val="auto"/>
          <w:sz w:val="32"/>
          <w:szCs w:val="32"/>
        </w:rPr>
        <w:t>第三部分  响应方案</w:t>
      </w:r>
      <w:r>
        <w:rPr>
          <w:rFonts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val="en-US" w:eastAsia="zh-CN"/>
        </w:rPr>
        <w:t>54</w:t>
      </w:r>
    </w:p>
    <w:p w14:paraId="45439B58">
      <w:pPr>
        <w:pStyle w:val="2"/>
        <w:ind w:firstLine="649"/>
        <w:rPr>
          <w:color w:val="auto"/>
        </w:rPr>
      </w:pPr>
    </w:p>
    <w:p w14:paraId="391E59AF">
      <w:pPr>
        <w:rPr>
          <w:color w:val="auto"/>
        </w:rPr>
      </w:pPr>
    </w:p>
    <w:p w14:paraId="4DAB64DF">
      <w:pPr>
        <w:pStyle w:val="6"/>
        <w:ind w:firstLine="367"/>
        <w:rPr>
          <w:color w:val="auto"/>
          <w:highlight w:val="yellow"/>
        </w:rPr>
        <w:sectPr>
          <w:footerReference r:id="rId11" w:type="default"/>
          <w:pgSz w:w="11906" w:h="16838"/>
          <w:pgMar w:top="1417" w:right="1417" w:bottom="1134" w:left="1417" w:header="850" w:footer="992" w:gutter="0"/>
          <w:pgBorders>
            <w:top w:val="none" w:sz="0" w:space="0"/>
            <w:left w:val="none" w:sz="0" w:space="0"/>
            <w:bottom w:val="none" w:sz="0" w:space="0"/>
            <w:right w:val="none" w:sz="0" w:space="0"/>
          </w:pgBorders>
          <w:pgNumType w:fmt="decimal" w:start="1"/>
          <w:cols w:space="720" w:num="1"/>
          <w:docGrid w:type="linesAndChars" w:linePitch="381" w:charSpace="704"/>
        </w:sectPr>
      </w:pPr>
    </w:p>
    <w:p w14:paraId="162F4A3B">
      <w:pPr>
        <w:pStyle w:val="6"/>
        <w:ind w:firstLine="367"/>
        <w:rPr>
          <w:color w:val="auto"/>
          <w:highlight w:val="yellow"/>
        </w:rPr>
      </w:pPr>
    </w:p>
    <w:p w14:paraId="43499A0D">
      <w:pPr>
        <w:pStyle w:val="3"/>
        <w:keepNext/>
        <w:keepLines/>
        <w:pageBreakBefore w:val="0"/>
        <w:widowControl/>
        <w:numPr>
          <w:ilvl w:val="0"/>
          <w:numId w:val="1"/>
        </w:numPr>
        <w:kinsoku/>
        <w:wordWrap/>
        <w:overflowPunct/>
        <w:topLinePunct w:val="0"/>
        <w:autoSpaceDE/>
        <w:autoSpaceDN/>
        <w:bidi w:val="0"/>
        <w:adjustRightInd/>
        <w:snapToGrid/>
        <w:spacing w:line="560" w:lineRule="exact"/>
        <w:ind w:firstLine="0"/>
        <w:textAlignment w:val="auto"/>
        <w:rPr>
          <w:rFonts w:hint="eastAsia" w:ascii="黑体" w:hAnsi="黑体" w:eastAsia="黑体"/>
          <w:b w:val="0"/>
          <w:color w:val="auto"/>
          <w:sz w:val="32"/>
          <w:szCs w:val="32"/>
        </w:rPr>
      </w:pPr>
      <w:bookmarkStart w:id="3" w:name="_Toc5655"/>
      <w:bookmarkStart w:id="4" w:name="_Toc26235"/>
      <w:bookmarkStart w:id="5" w:name="_Toc21489"/>
      <w:r>
        <w:rPr>
          <w:rFonts w:ascii="黑体" w:hAnsi="黑体" w:eastAsia="黑体"/>
          <w:b w:val="0"/>
          <w:color w:val="auto"/>
          <w:sz w:val="32"/>
          <w:szCs w:val="32"/>
        </w:rPr>
        <w:t xml:space="preserve"> </w:t>
      </w:r>
      <w:bookmarkStart w:id="6" w:name="_Toc8073"/>
      <w:r>
        <w:rPr>
          <w:rFonts w:hint="eastAsia" w:ascii="黑体" w:hAnsi="黑体" w:eastAsia="黑体"/>
          <w:b w:val="0"/>
          <w:color w:val="auto"/>
          <w:sz w:val="32"/>
          <w:szCs w:val="32"/>
        </w:rPr>
        <w:t>磋商</w:t>
      </w:r>
      <w:r>
        <w:rPr>
          <w:rFonts w:ascii="黑体" w:hAnsi="黑体" w:eastAsia="黑体"/>
          <w:b w:val="0"/>
          <w:color w:val="auto"/>
          <w:sz w:val="32"/>
          <w:szCs w:val="32"/>
        </w:rPr>
        <w:t>邀请函</w:t>
      </w:r>
      <w:bookmarkEnd w:id="0"/>
      <w:bookmarkEnd w:id="1"/>
      <w:bookmarkEnd w:id="2"/>
      <w:bookmarkEnd w:id="3"/>
      <w:bookmarkEnd w:id="4"/>
      <w:bookmarkEnd w:id="5"/>
      <w:bookmarkEnd w:id="6"/>
    </w:p>
    <w:p w14:paraId="79A7B2CB">
      <w:pPr>
        <w:widowControl w:val="0"/>
        <w:spacing w:line="500" w:lineRule="exact"/>
        <w:rPr>
          <w:rFonts w:hint="eastAsia" w:ascii="仿宋_GB2312" w:hAnsi="仿宋_GB2312" w:eastAsia="仿宋_GB2312" w:cs="仿宋_GB2312"/>
          <w:color w:val="auto"/>
        </w:rPr>
      </w:pPr>
    </w:p>
    <w:p w14:paraId="3183204A">
      <w:pPr>
        <w:widowControl w:val="0"/>
        <w:pBdr>
          <w:top w:val="single" w:color="auto" w:sz="4" w:space="1"/>
          <w:left w:val="single" w:color="auto" w:sz="4" w:space="4"/>
          <w:bottom w:val="single" w:color="auto" w:sz="4" w:space="1"/>
          <w:right w:val="single" w:color="auto" w:sz="4" w:space="4"/>
        </w:pBd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项目概况</w:t>
      </w:r>
    </w:p>
    <w:p w14:paraId="0E7A8B2E">
      <w:pPr>
        <w:widowControl w:val="0"/>
        <w:pBdr>
          <w:top w:val="single" w:color="auto" w:sz="4" w:space="1"/>
          <w:left w:val="single" w:color="auto" w:sz="4" w:space="4"/>
          <w:bottom w:val="single" w:color="auto" w:sz="4" w:space="1"/>
          <w:right w:val="single" w:color="auto" w:sz="4" w:space="4"/>
        </w:pBd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u w:val="single"/>
          <w:lang w:val="en-US" w:eastAsia="zh-CN"/>
        </w:rPr>
        <w:t>汉中市传染病医院（汉中市第二人民医院）安保服务</w:t>
      </w:r>
      <w:r>
        <w:rPr>
          <w:rFonts w:hint="eastAsia" w:ascii="仿宋_GB2312" w:hAnsi="仿宋_GB2312" w:eastAsia="仿宋_GB2312" w:cs="仿宋_GB2312"/>
          <w:color w:val="auto"/>
          <w:u w:val="single"/>
          <w:lang w:eastAsia="zh-CN"/>
        </w:rPr>
        <w:t>采购项目</w:t>
      </w:r>
      <w:r>
        <w:rPr>
          <w:rFonts w:hint="eastAsia" w:ascii="仿宋_GB2312" w:hAnsi="仿宋_GB2312" w:eastAsia="仿宋_GB2312" w:cs="仿宋_GB2312"/>
          <w:color w:val="auto"/>
        </w:rPr>
        <w:t>的潜在供应商应在</w:t>
      </w:r>
      <w:r>
        <w:rPr>
          <w:rFonts w:hint="eastAsia" w:ascii="仿宋_GB2312" w:hAnsi="仿宋_GB2312" w:eastAsia="仿宋_GB2312" w:cs="仿宋_GB2312"/>
          <w:color w:val="auto"/>
          <w:u w:val="single"/>
        </w:rPr>
        <w:t xml:space="preserve"> 汉中市汉台区政府采购中心</w:t>
      </w:r>
      <w:r>
        <w:rPr>
          <w:rFonts w:hint="eastAsia" w:ascii="仿宋_GB2312" w:hAnsi="仿宋_GB2312" w:eastAsia="仿宋_GB2312" w:cs="仿宋_GB2312"/>
          <w:color w:val="auto"/>
          <w:u w:val="single"/>
          <w:lang w:eastAsia="zh-CN"/>
        </w:rPr>
        <w:t>工程服务股</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获取采购文件，并于</w:t>
      </w:r>
      <w:r>
        <w:rPr>
          <w:rFonts w:hint="eastAsia" w:ascii="仿宋_GB2312" w:hAnsi="仿宋_GB2312" w:eastAsia="仿宋_GB2312" w:cs="仿宋_GB2312"/>
          <w:bCs/>
          <w:color w:val="auto"/>
          <w:u w:val="single"/>
        </w:rPr>
        <w:t>2025年</w:t>
      </w:r>
      <w:r>
        <w:rPr>
          <w:rFonts w:hint="eastAsia" w:ascii="仿宋_GB2312" w:hAnsi="仿宋_GB2312" w:eastAsia="仿宋_GB2312" w:cs="仿宋_GB2312"/>
          <w:bCs/>
          <w:color w:val="auto"/>
          <w:u w:val="single"/>
          <w:lang w:val="en-US" w:eastAsia="zh-CN"/>
        </w:rPr>
        <w:t>8</w:t>
      </w:r>
      <w:r>
        <w:rPr>
          <w:rFonts w:hint="eastAsia" w:ascii="仿宋_GB2312" w:hAnsi="仿宋_GB2312" w:eastAsia="仿宋_GB2312" w:cs="仿宋_GB2312"/>
          <w:bCs/>
          <w:color w:val="auto"/>
          <w:u w:val="single"/>
        </w:rPr>
        <w:t>月</w:t>
      </w:r>
      <w:r>
        <w:rPr>
          <w:rFonts w:hint="eastAsia" w:ascii="仿宋_GB2312" w:hAnsi="仿宋_GB2312" w:eastAsia="仿宋_GB2312" w:cs="仿宋_GB2312"/>
          <w:bCs/>
          <w:color w:val="auto"/>
          <w:u w:val="single"/>
          <w:lang w:val="en-US" w:eastAsia="zh-CN"/>
        </w:rPr>
        <w:t>28</w:t>
      </w:r>
      <w:r>
        <w:rPr>
          <w:rFonts w:hint="eastAsia" w:ascii="仿宋_GB2312" w:hAnsi="仿宋_GB2312" w:eastAsia="仿宋_GB2312" w:cs="仿宋_GB2312"/>
          <w:bCs/>
          <w:color w:val="auto"/>
          <w:u w:val="single"/>
        </w:rPr>
        <w:t>日上午9时 00分</w:t>
      </w:r>
      <w:r>
        <w:rPr>
          <w:rFonts w:hint="eastAsia" w:ascii="仿宋_GB2312" w:hAnsi="仿宋_GB2312" w:eastAsia="仿宋_GB2312" w:cs="仿宋_GB2312"/>
          <w:bCs/>
          <w:color w:val="auto"/>
        </w:rPr>
        <w:t>（北京时间）前提交响应文件</w:t>
      </w:r>
      <w:r>
        <w:rPr>
          <w:rFonts w:hint="eastAsia" w:ascii="仿宋_GB2312" w:hAnsi="仿宋_GB2312" w:eastAsia="仿宋_GB2312" w:cs="仿宋_GB2312"/>
          <w:color w:val="auto"/>
        </w:rPr>
        <w:t>。</w:t>
      </w:r>
    </w:p>
    <w:p w14:paraId="0E3A2474">
      <w:pPr>
        <w:widowControl w:val="0"/>
        <w:spacing w:line="240" w:lineRule="auto"/>
        <w:rPr>
          <w:rFonts w:hint="eastAsia" w:ascii="仿宋_GB2312" w:hAnsi="仿宋_GB2312" w:eastAsia="仿宋_GB2312" w:cs="仿宋_GB2312"/>
          <w:color w:val="auto"/>
        </w:rPr>
      </w:pPr>
    </w:p>
    <w:p w14:paraId="67952737">
      <w:pPr>
        <w:keepNext/>
        <w:widowControl w:val="0"/>
        <w:autoSpaceDE w:val="0"/>
        <w:autoSpaceDN w:val="0"/>
        <w:adjustRightInd w:val="0"/>
        <w:spacing w:line="240" w:lineRule="auto"/>
        <w:ind w:firstLine="569"/>
        <w:outlineLvl w:val="1"/>
        <w:rPr>
          <w:rFonts w:hint="eastAsia" w:ascii="仿宋_GB2312" w:hAnsi="仿宋_GB2312" w:eastAsia="仿宋_GB2312" w:cs="仿宋_GB2312"/>
          <w:b/>
          <w:bCs/>
          <w:color w:val="auto"/>
        </w:rPr>
      </w:pPr>
      <w:bookmarkStart w:id="7" w:name="_Toc28359089"/>
      <w:bookmarkStart w:id="8" w:name="_Toc28359012"/>
      <w:bookmarkStart w:id="9" w:name="_Toc35393629"/>
      <w:bookmarkStart w:id="10" w:name="_Toc28840"/>
      <w:bookmarkStart w:id="11" w:name="_Toc35393798"/>
      <w:r>
        <w:rPr>
          <w:rFonts w:hint="eastAsia" w:ascii="仿宋_GB2312" w:hAnsi="仿宋_GB2312" w:eastAsia="仿宋_GB2312" w:cs="仿宋_GB2312"/>
          <w:b/>
          <w:bCs/>
          <w:color w:val="auto"/>
        </w:rPr>
        <w:t>一、项目基本情况</w:t>
      </w:r>
      <w:bookmarkEnd w:id="7"/>
      <w:bookmarkEnd w:id="8"/>
      <w:bookmarkEnd w:id="9"/>
      <w:bookmarkEnd w:id="10"/>
      <w:bookmarkEnd w:id="11"/>
    </w:p>
    <w:p w14:paraId="600E6835">
      <w:pPr>
        <w:widowControl w:val="0"/>
        <w:spacing w:line="240" w:lineRule="auto"/>
        <w:ind w:firstLine="566" w:firstLineChars="20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项目编号：</w:t>
      </w:r>
      <w:r>
        <w:rPr>
          <w:rFonts w:hint="eastAsia" w:ascii="仿宋_GB2312" w:hAnsi="仿宋_GB2312" w:eastAsia="仿宋_GB2312" w:cs="仿宋_GB2312"/>
          <w:color w:val="auto"/>
          <w:lang w:eastAsia="zh-CN"/>
        </w:rPr>
        <w:t>汉区采FW【2025】0</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lang w:eastAsia="zh-CN"/>
        </w:rPr>
        <w:t>号</w:t>
      </w:r>
    </w:p>
    <w:p w14:paraId="7BF5D263">
      <w:pPr>
        <w:widowControl w:val="0"/>
        <w:spacing w:line="240" w:lineRule="auto"/>
        <w:ind w:firstLine="566" w:firstLineChars="200"/>
        <w:rPr>
          <w:rFonts w:hint="eastAsia" w:ascii="仿宋_GB2312" w:hAnsi="仿宋_GB2312" w:eastAsia="仿宋_GB2312" w:cs="仿宋_GB2312"/>
          <w:color w:val="auto"/>
          <w:u w:val="single"/>
          <w:lang w:eastAsia="zh-CN"/>
        </w:rPr>
      </w:pPr>
      <w:r>
        <w:rPr>
          <w:rFonts w:hint="eastAsia" w:ascii="仿宋_GB2312" w:hAnsi="仿宋_GB2312" w:eastAsia="仿宋_GB2312" w:cs="仿宋_GB2312"/>
          <w:color w:val="auto"/>
        </w:rPr>
        <w:t>项目名称：</w:t>
      </w:r>
      <w:r>
        <w:rPr>
          <w:rFonts w:hint="eastAsia" w:ascii="仿宋_GB2312" w:hAnsi="仿宋_GB2312" w:eastAsia="仿宋_GB2312" w:cs="仿宋_GB2312"/>
          <w:color w:val="auto"/>
          <w:u w:val="none"/>
          <w:lang w:val="en-US" w:eastAsia="zh-CN"/>
        </w:rPr>
        <w:t>汉中市传染病医院（汉中市第二人民医院）安保服务</w:t>
      </w:r>
      <w:r>
        <w:rPr>
          <w:rFonts w:hint="eastAsia" w:ascii="仿宋_GB2312" w:hAnsi="仿宋_GB2312" w:eastAsia="仿宋_GB2312" w:cs="仿宋_GB2312"/>
          <w:color w:val="auto"/>
          <w:u w:val="none"/>
          <w:lang w:eastAsia="zh-CN"/>
        </w:rPr>
        <w:t>采购项目</w:t>
      </w:r>
    </w:p>
    <w:p w14:paraId="304A7533">
      <w:pPr>
        <w:widowControl w:val="0"/>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采购方式：竞争性磋商</w:t>
      </w:r>
    </w:p>
    <w:p w14:paraId="337EEEE2">
      <w:pPr>
        <w:widowControl w:val="0"/>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预算金额：</w:t>
      </w:r>
      <w:r>
        <w:rPr>
          <w:rFonts w:hint="eastAsia" w:ascii="仿宋_GB2312" w:hAnsi="仿宋_GB2312" w:eastAsia="仿宋_GB2312" w:cs="仿宋_GB2312"/>
          <w:color w:val="auto"/>
          <w:lang w:val="en-US" w:eastAsia="zh-CN"/>
        </w:rPr>
        <w:t>90</w:t>
      </w:r>
      <w:r>
        <w:rPr>
          <w:rFonts w:hint="eastAsia" w:ascii="仿宋_GB2312" w:hAnsi="仿宋_GB2312" w:eastAsia="仿宋_GB2312" w:cs="仿宋_GB2312"/>
          <w:color w:val="auto"/>
        </w:rPr>
        <w:t>万元</w:t>
      </w:r>
    </w:p>
    <w:p w14:paraId="279F2746">
      <w:pPr>
        <w:widowControl w:val="0"/>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最高限价：无</w:t>
      </w:r>
    </w:p>
    <w:p w14:paraId="1FB273BC">
      <w:pPr>
        <w:widowControl w:val="0"/>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采购需求：详见磋商文件第三章。岗位设置最少保证共</w:t>
      </w: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rPr>
        <w:t>人。</w:t>
      </w:r>
    </w:p>
    <w:p w14:paraId="1C0EBBD4">
      <w:pPr>
        <w:pStyle w:val="2"/>
        <w:ind w:firstLine="566" w:firstLineChars="200"/>
        <w:jc w:val="both"/>
        <w:rPr>
          <w:rFonts w:hint="eastAsia" w:ascii="仿宋_GB2312" w:hAnsi="仿宋_GB2312" w:eastAsia="仿宋_GB2312" w:cs="仿宋_GB2312"/>
          <w:color w:val="auto"/>
          <w:sz w:val="28"/>
          <w:szCs w:val="28"/>
        </w:rPr>
      </w:pPr>
      <w:r>
        <w:rPr>
          <w:rFonts w:hint="eastAsia" w:ascii="Times New Roman" w:hAnsi="Times New Roman" w:eastAsia="仿宋_GB2312" w:cs="Times New Roman"/>
          <w:b w:val="0"/>
          <w:bCs w:val="0"/>
          <w:color w:val="auto"/>
          <w:sz w:val="28"/>
          <w:szCs w:val="28"/>
          <w:u w:val="none"/>
        </w:rPr>
        <w:t>合同履行期限：本项目</w:t>
      </w:r>
      <w:r>
        <w:rPr>
          <w:rFonts w:hint="eastAsia" w:ascii="Times New Roman" w:hAnsi="Times New Roman" w:eastAsia="仿宋_GB2312" w:cs="Times New Roman"/>
          <w:b w:val="0"/>
          <w:bCs w:val="0"/>
          <w:color w:val="auto"/>
          <w:sz w:val="28"/>
          <w:szCs w:val="28"/>
          <w:u w:val="none"/>
          <w:lang w:eastAsia="zh-CN"/>
        </w:rPr>
        <w:t>年度预算为</w:t>
      </w:r>
      <w:r>
        <w:rPr>
          <w:rFonts w:hint="eastAsia" w:ascii="Times New Roman" w:hAnsi="Times New Roman" w:eastAsia="仿宋_GB2312" w:cs="Times New Roman"/>
          <w:b w:val="0"/>
          <w:bCs w:val="0"/>
          <w:color w:val="auto"/>
          <w:sz w:val="28"/>
          <w:szCs w:val="28"/>
          <w:u w:val="none"/>
          <w:lang w:val="en-US" w:eastAsia="zh-CN"/>
        </w:rPr>
        <w:t>30万元。</w:t>
      </w:r>
      <w:r>
        <w:rPr>
          <w:rFonts w:hint="eastAsia" w:ascii="Times New Roman" w:hAnsi="Times New Roman" w:eastAsia="仿宋_GB2312" w:cs="Times New Roman"/>
          <w:b w:val="0"/>
          <w:bCs w:val="0"/>
          <w:color w:val="auto"/>
          <w:sz w:val="28"/>
          <w:szCs w:val="28"/>
          <w:u w:val="none"/>
        </w:rPr>
        <w:t>服务期</w:t>
      </w:r>
      <w:r>
        <w:rPr>
          <w:rFonts w:hint="eastAsia" w:ascii="Times New Roman" w:hAnsi="Times New Roman" w:eastAsia="仿宋_GB2312" w:cs="Times New Roman"/>
          <w:b w:val="0"/>
          <w:bCs w:val="0"/>
          <w:color w:val="auto"/>
          <w:sz w:val="28"/>
          <w:szCs w:val="28"/>
          <w:u w:val="none"/>
          <w:lang w:eastAsia="zh-CN"/>
        </w:rPr>
        <w:t>为</w:t>
      </w:r>
      <w:r>
        <w:rPr>
          <w:rFonts w:hint="eastAsia" w:ascii="Times New Roman" w:hAnsi="Times New Roman" w:eastAsia="仿宋_GB2312" w:cs="Times New Roman"/>
          <w:b w:val="0"/>
          <w:bCs w:val="0"/>
          <w:color w:val="auto"/>
          <w:sz w:val="28"/>
          <w:szCs w:val="28"/>
          <w:u w:val="none"/>
        </w:rPr>
        <w:t>三年，</w:t>
      </w:r>
      <w:r>
        <w:rPr>
          <w:rFonts w:hint="eastAsia" w:ascii="Times New Roman" w:hAnsi="Times New Roman" w:eastAsia="仿宋_GB2312" w:cs="Times New Roman"/>
          <w:b w:val="0"/>
          <w:bCs w:val="0"/>
          <w:color w:val="auto"/>
          <w:sz w:val="28"/>
          <w:szCs w:val="28"/>
          <w:u w:val="none"/>
          <w:lang w:val="en-US" w:eastAsia="zh-CN"/>
        </w:rPr>
        <w:t>合同每年一签，到期前一个月进行年考，合格后再签订下一年合同。</w:t>
      </w:r>
    </w:p>
    <w:p w14:paraId="7C488742">
      <w:pPr>
        <w:widowControl w:val="0"/>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b/>
          <w:bCs/>
          <w:color w:val="auto"/>
        </w:rPr>
        <w:t>本项目</w:t>
      </w:r>
      <w:r>
        <w:rPr>
          <w:rFonts w:hint="eastAsia" w:ascii="仿宋_GB2312" w:hAnsi="仿宋_GB2312" w:eastAsia="仿宋_GB2312" w:cs="仿宋_GB2312"/>
          <w:b/>
          <w:bCs/>
          <w:color w:val="auto"/>
          <w:lang w:eastAsia="zh-CN"/>
        </w:rPr>
        <w:t>不</w:t>
      </w:r>
      <w:r>
        <w:rPr>
          <w:rFonts w:hint="eastAsia" w:ascii="仿宋_GB2312" w:hAnsi="仿宋_GB2312" w:eastAsia="仿宋_GB2312" w:cs="仿宋_GB2312"/>
          <w:b/>
          <w:bCs/>
          <w:color w:val="auto"/>
        </w:rPr>
        <w:t>接受联合体磋商。</w:t>
      </w:r>
    </w:p>
    <w:p w14:paraId="0579E79D">
      <w:pPr>
        <w:keepNext/>
        <w:widowControl w:val="0"/>
        <w:autoSpaceDE w:val="0"/>
        <w:autoSpaceDN w:val="0"/>
        <w:adjustRightInd w:val="0"/>
        <w:spacing w:line="240" w:lineRule="auto"/>
        <w:ind w:firstLine="569"/>
        <w:outlineLvl w:val="1"/>
        <w:rPr>
          <w:rFonts w:hint="eastAsia" w:ascii="仿宋_GB2312" w:hAnsi="仿宋_GB2312" w:eastAsia="仿宋_GB2312" w:cs="仿宋_GB2312"/>
          <w:b/>
          <w:bCs/>
          <w:color w:val="auto"/>
        </w:rPr>
      </w:pPr>
      <w:bookmarkStart w:id="12" w:name="_Toc3608"/>
      <w:bookmarkStart w:id="13" w:name="_Toc35393799"/>
      <w:bookmarkStart w:id="14" w:name="_Toc28359013"/>
      <w:bookmarkStart w:id="15" w:name="_Toc28359090"/>
      <w:bookmarkStart w:id="16" w:name="_Toc35393630"/>
      <w:r>
        <w:rPr>
          <w:rFonts w:hint="eastAsia" w:ascii="仿宋_GB2312" w:hAnsi="仿宋_GB2312" w:eastAsia="仿宋_GB2312" w:cs="仿宋_GB2312"/>
          <w:b/>
          <w:bCs/>
          <w:color w:val="auto"/>
        </w:rPr>
        <w:t>二、申请人的资格要求：</w:t>
      </w:r>
      <w:bookmarkEnd w:id="12"/>
      <w:bookmarkEnd w:id="13"/>
      <w:bookmarkEnd w:id="14"/>
      <w:bookmarkEnd w:id="15"/>
      <w:bookmarkEnd w:id="16"/>
    </w:p>
    <w:p w14:paraId="30B73699">
      <w:pPr>
        <w:widowControl w:val="0"/>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1.满足《中华人民共和国政府采购法》第二十二条规定；</w:t>
      </w:r>
    </w:p>
    <w:p w14:paraId="7FB646C6">
      <w:pPr>
        <w:keepNext/>
        <w:widowControl w:val="0"/>
        <w:autoSpaceDE w:val="0"/>
        <w:autoSpaceDN w:val="0"/>
        <w:adjustRightInd w:val="0"/>
        <w:spacing w:line="240" w:lineRule="auto"/>
        <w:ind w:firstLine="566" w:firstLineChars="200"/>
        <w:outlineLvl w:val="1"/>
        <w:rPr>
          <w:rFonts w:hint="eastAsia" w:ascii="仿宋_GB2312" w:hAnsi="仿宋_GB2312" w:eastAsia="仿宋_GB2312" w:cs="仿宋_GB2312"/>
          <w:color w:val="auto"/>
        </w:rPr>
      </w:pPr>
      <w:bookmarkStart w:id="17" w:name="_Toc28359014"/>
      <w:bookmarkStart w:id="18" w:name="_Toc28359091"/>
      <w:r>
        <w:rPr>
          <w:rFonts w:hint="eastAsia" w:ascii="仿宋_GB2312" w:hAnsi="仿宋_GB2312" w:eastAsia="仿宋_GB2312" w:cs="仿宋_GB2312"/>
          <w:color w:val="auto"/>
        </w:rPr>
        <w:t>2.落实政府采购政策需满足的资格要求：</w:t>
      </w:r>
      <w:r>
        <w:rPr>
          <w:rFonts w:hint="eastAsia" w:ascii="仿宋_GB2312" w:hAnsi="仿宋_GB2312" w:eastAsia="仿宋_GB2312" w:cs="仿宋_GB2312"/>
          <w:b/>
          <w:bCs/>
          <w:color w:val="auto"/>
        </w:rPr>
        <w:t>本项目为专门面向中小企业项目，响应人应为中型企业、小型企业、微型企业或监狱企业或残疾人福利性单位。</w:t>
      </w:r>
      <w:r>
        <w:rPr>
          <w:rFonts w:hint="eastAsia" w:ascii="仿宋_GB2312" w:hAnsi="仿宋_GB2312" w:eastAsia="仿宋_GB2312" w:cs="仿宋_GB2312"/>
          <w:color w:val="auto"/>
        </w:rPr>
        <w:t>响应人为中小企业的，提供《中小企业声明函》，且中小企业的划分标准所属行业为</w:t>
      </w:r>
      <w:r>
        <w:rPr>
          <w:rFonts w:hint="eastAsia" w:ascii="仿宋_GB2312" w:hAnsi="仿宋_GB2312" w:eastAsia="仿宋_GB2312" w:cs="仿宋_GB2312"/>
          <w:b/>
          <w:bCs/>
          <w:color w:val="auto"/>
          <w:lang w:eastAsia="zh-CN"/>
        </w:rPr>
        <w:t>租赁和商务</w:t>
      </w:r>
      <w:r>
        <w:rPr>
          <w:rFonts w:hint="eastAsia" w:ascii="仿宋_GB2312" w:hAnsi="仿宋_GB2312" w:eastAsia="仿宋_GB2312" w:cs="仿宋_GB2312"/>
          <w:b/>
          <w:bCs/>
          <w:color w:val="auto"/>
        </w:rPr>
        <w:t>服务</w:t>
      </w:r>
      <w:r>
        <w:rPr>
          <w:rFonts w:hint="eastAsia" w:ascii="仿宋_GB2312" w:hAnsi="仿宋_GB2312" w:eastAsia="仿宋_GB2312" w:cs="仿宋_GB2312"/>
          <w:color w:val="auto"/>
        </w:rPr>
        <w:t>；响应人为监狱企业的，应提供监狱企业的证明文件；响应人为残疾人福利性单位的，应提供《残疾人福利性单位声明函》（监狱企业或残疾人福利性单位视同小型、微型企业）。</w:t>
      </w:r>
    </w:p>
    <w:p w14:paraId="0EC606CE">
      <w:pPr>
        <w:keepNext/>
        <w:widowControl w:val="0"/>
        <w:autoSpaceDE w:val="0"/>
        <w:autoSpaceDN w:val="0"/>
        <w:adjustRightInd w:val="0"/>
        <w:spacing w:line="240" w:lineRule="auto"/>
        <w:ind w:firstLine="566"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b/>
          <w:bCs/>
          <w:color w:val="auto"/>
        </w:rPr>
        <w:t>3.本项目的特定资格要求：</w:t>
      </w:r>
      <w:r>
        <w:rPr>
          <w:rFonts w:ascii="仿宋" w:hAnsi="仿宋" w:eastAsia="仿宋_GB2312" w:cs="仿宋"/>
          <w:b/>
          <w:color w:val="auto"/>
          <w:kern w:val="1"/>
        </w:rPr>
        <w:t>以</w:t>
      </w:r>
      <w:r>
        <w:rPr>
          <w:rFonts w:hint="eastAsia" w:ascii="仿宋" w:hAnsi="仿宋" w:eastAsia="仿宋_GB2312" w:cs="仿宋"/>
          <w:b/>
          <w:color w:val="auto"/>
          <w:kern w:val="1"/>
        </w:rPr>
        <w:t>下</w:t>
      </w:r>
      <w:r>
        <w:rPr>
          <w:rFonts w:ascii="仿宋" w:hAnsi="仿宋" w:eastAsia="仿宋_GB2312" w:cs="仿宋"/>
          <w:b/>
          <w:color w:val="auto"/>
          <w:kern w:val="1"/>
        </w:rPr>
        <w:t>资质报名时不需提供，</w:t>
      </w:r>
      <w:r>
        <w:rPr>
          <w:rFonts w:hint="eastAsia" w:ascii="仿宋" w:hAnsi="仿宋" w:eastAsia="仿宋_GB2312" w:cs="仿宋"/>
          <w:b/>
          <w:color w:val="auto"/>
          <w:kern w:val="1"/>
        </w:rPr>
        <w:t>磋商</w:t>
      </w:r>
      <w:r>
        <w:rPr>
          <w:rFonts w:ascii="仿宋" w:hAnsi="仿宋" w:eastAsia="仿宋_GB2312" w:cs="仿宋"/>
          <w:b/>
          <w:color w:val="auto"/>
          <w:kern w:val="1"/>
        </w:rPr>
        <w:t>时须提供原件</w:t>
      </w:r>
      <w:r>
        <w:rPr>
          <w:rFonts w:hint="eastAsia" w:ascii="仿宋" w:hAnsi="仿宋" w:eastAsia="仿宋_GB2312" w:cs="仿宋"/>
          <w:b/>
          <w:color w:val="auto"/>
          <w:kern w:val="1"/>
        </w:rPr>
        <w:t>或复印件加盖红色公章。</w:t>
      </w:r>
    </w:p>
    <w:p w14:paraId="5DFFBD77">
      <w:pPr>
        <w:widowControl w:val="0"/>
        <w:spacing w:line="240" w:lineRule="auto"/>
        <w:ind w:firstLine="566" w:firstLineChars="200"/>
        <w:rPr>
          <w:rFonts w:ascii="Times New Roman" w:hAnsi="Times New Roman" w:eastAsia="宋体" w:cs="Times New Roman"/>
          <w:color w:val="auto"/>
          <w:sz w:val="24"/>
          <w:szCs w:val="24"/>
        </w:rPr>
      </w:pPr>
      <w:r>
        <w:rPr>
          <w:rFonts w:ascii="Times New Roman" w:hAnsi="Times New Roman" w:eastAsia="仿宋_GB2312" w:cs="Times New Roman"/>
          <w:color w:val="auto"/>
        </w:rPr>
        <w:t>（1）营业执照等主体资格证明文件：提供有效存续的企业营业执照（副本）/事业单位法人证书/专业服务机构执业许可证/民办非企业单位登记证书。</w:t>
      </w:r>
      <w:r>
        <w:rPr>
          <w:rFonts w:ascii="Times New Roman" w:hAnsi="Times New Roman" w:eastAsia="宋体" w:cs="Times New Roman"/>
          <w:color w:val="auto"/>
          <w:sz w:val="24"/>
          <w:szCs w:val="24"/>
        </w:rPr>
        <w:t xml:space="preserve"> </w:t>
      </w:r>
    </w:p>
    <w:p w14:paraId="371453A6">
      <w:pPr>
        <w:widowControl w:val="0"/>
        <w:spacing w:line="240" w:lineRule="auto"/>
        <w:ind w:firstLine="566" w:firstLineChars="200"/>
        <w:rPr>
          <w:rFonts w:ascii="Times New Roman" w:hAnsi="Times New Roman" w:eastAsia="仿宋_GB2312" w:cs="Times New Roman"/>
          <w:color w:val="auto"/>
        </w:rPr>
      </w:pPr>
      <w:r>
        <w:rPr>
          <w:rFonts w:ascii="Times New Roman" w:hAnsi="Times New Roman" w:eastAsia="仿宋_GB2312" w:cs="Times New Roman"/>
          <w:color w:val="auto"/>
        </w:rPr>
        <w:t>（2）法定代表人授权委托书：法定代表人参加磋商的，须提供本人身份证复印件（附在资格证明文件中）；法定代表人授权他人参加磋商的，须提供法定代表人授权委托书。磋商文件中凡是需要法定代表人盖章之处，非法人单位的负责人均参照执行。（按第五章格式填写）</w:t>
      </w:r>
    </w:p>
    <w:p w14:paraId="21D9E3D8">
      <w:pPr>
        <w:widowControl w:val="0"/>
        <w:spacing w:line="240" w:lineRule="auto"/>
        <w:ind w:firstLine="566" w:firstLineChars="200"/>
        <w:rPr>
          <w:rFonts w:ascii="Times New Roman" w:hAnsi="Times New Roman" w:eastAsia="仿宋_GB2312" w:cs="Times New Roman"/>
          <w:color w:val="auto"/>
        </w:rPr>
      </w:pPr>
      <w:r>
        <w:rPr>
          <w:rFonts w:ascii="Times New Roman" w:hAnsi="Times New Roman" w:eastAsia="仿宋_GB2312" w:cs="Times New Roman"/>
          <w:color w:val="auto"/>
        </w:rPr>
        <w:t>法人的分支机构参与</w:t>
      </w:r>
      <w:r>
        <w:rPr>
          <w:rFonts w:hint="eastAsia" w:ascii="Times New Roman" w:hAnsi="Times New Roman" w:eastAsia="仿宋_GB2312" w:cs="Times New Roman"/>
          <w:color w:val="auto"/>
        </w:rPr>
        <w:t>响应</w:t>
      </w:r>
      <w:r>
        <w:rPr>
          <w:rFonts w:ascii="Times New Roman" w:hAnsi="Times New Roman" w:eastAsia="仿宋_GB2312" w:cs="Times New Roman"/>
          <w:color w:val="auto"/>
        </w:rPr>
        <w:t>时，除提供《法定代表人授权委托书》外，还须同时提供法人给分支机构出具的授权书。</w:t>
      </w:r>
    </w:p>
    <w:p w14:paraId="3F069575">
      <w:pPr>
        <w:widowControl w:val="0"/>
        <w:numPr>
          <w:ilvl w:val="0"/>
          <w:numId w:val="2"/>
        </w:numPr>
        <w:spacing w:line="500" w:lineRule="exact"/>
        <w:ind w:firstLine="566" w:firstLineChars="200"/>
        <w:rPr>
          <w:rFonts w:ascii="Times New Roman" w:hAnsi="Times New Roman" w:eastAsia="仿宋_GB2312" w:cs="Times New Roman"/>
          <w:color w:val="auto"/>
        </w:rPr>
      </w:pPr>
      <w:r>
        <w:rPr>
          <w:rFonts w:ascii="Times New Roman" w:hAnsi="Times New Roman" w:eastAsia="仿宋_GB2312" w:cs="Times New Roman"/>
          <w:color w:val="auto"/>
        </w:rPr>
        <w:t>资格承诺函：提供《汉台区政府采购供应商资格承诺函》。（按第五章格式填写）</w:t>
      </w:r>
    </w:p>
    <w:p w14:paraId="3D997B78">
      <w:pPr>
        <w:widowControl w:val="0"/>
        <w:numPr>
          <w:ilvl w:val="0"/>
          <w:numId w:val="2"/>
        </w:numPr>
        <w:spacing w:line="240" w:lineRule="auto"/>
        <w:ind w:left="0" w:leftChars="0" w:firstLine="566" w:firstLineChars="20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供应商资质要求：供应商提供公安机关颁发的保安服务许可证。</w:t>
      </w:r>
    </w:p>
    <w:p w14:paraId="5944CB90">
      <w:pPr>
        <w:widowControl w:val="0"/>
        <w:numPr>
          <w:ilvl w:val="0"/>
          <w:numId w:val="2"/>
        </w:numPr>
        <w:spacing w:line="240" w:lineRule="auto"/>
        <w:ind w:left="0" w:leftChars="0" w:firstLine="566" w:firstLineChars="200"/>
        <w:rPr>
          <w:rFonts w:hint="eastAsia" w:eastAsia="仿宋_GB2312"/>
          <w:b w:val="0"/>
          <w:bCs w:val="0"/>
          <w:color w:val="auto"/>
          <w:lang w:val="en-US" w:eastAsia="zh-CN"/>
        </w:rPr>
      </w:pPr>
      <w:r>
        <w:rPr>
          <w:rFonts w:hint="default" w:ascii="Times New Roman" w:hAnsi="Times New Roman" w:eastAsia="仿宋_GB2312" w:cs="Times New Roman"/>
          <w:b w:val="0"/>
          <w:bCs w:val="0"/>
          <w:color w:val="auto"/>
          <w:kern w:val="0"/>
          <w:sz w:val="28"/>
          <w:szCs w:val="28"/>
          <w:lang w:val="en-US" w:eastAsia="zh-CN" w:bidi="ar"/>
        </w:rPr>
        <w:t>非联合体不分包投标声明</w:t>
      </w:r>
      <w:r>
        <w:rPr>
          <w:rFonts w:hint="eastAsia" w:ascii="Times New Roman" w:hAnsi="Times New Roman" w:eastAsia="仿宋_GB2312" w:cs="Times New Roman"/>
          <w:b w:val="0"/>
          <w:bCs w:val="0"/>
          <w:color w:val="auto"/>
          <w:kern w:val="0"/>
          <w:sz w:val="28"/>
          <w:szCs w:val="28"/>
          <w:lang w:val="en-US" w:eastAsia="zh-CN" w:bidi="ar"/>
        </w:rPr>
        <w:t>函。</w:t>
      </w:r>
    </w:p>
    <w:p w14:paraId="3F42359E">
      <w:pPr>
        <w:widowControl w:val="0"/>
        <w:spacing w:line="240" w:lineRule="auto"/>
        <w:ind w:firstLine="566" w:firstLineChars="200"/>
        <w:rPr>
          <w:rFonts w:ascii="Times New Roman" w:hAnsi="Times New Roman" w:eastAsia="仿宋_GB2312" w:cs="Times New Roman"/>
          <w:color w:val="auto"/>
        </w:rPr>
      </w:pPr>
      <w:r>
        <w:rPr>
          <w:rFonts w:hint="eastAsia" w:ascii="仿宋_GB2312" w:hAnsi="仿宋_GB2312" w:eastAsia="仿宋_GB2312" w:cs="仿宋_GB2312"/>
          <w:b/>
          <w:bCs/>
          <w:color w:val="auto"/>
        </w:rPr>
        <w:t>备注：</w:t>
      </w:r>
      <w:r>
        <w:rPr>
          <w:rFonts w:ascii="Times New Roman" w:hAnsi="Times New Roman" w:eastAsia="仿宋_GB2312" w:cs="Times New Roman"/>
          <w:color w:val="auto"/>
        </w:rPr>
        <w:t>1、以上资格要求均为必备资格，须提供相关证明文件并加盖响应人公章（如相关证明材料由第三方出具，应有第三方公章），缺少其中任何一项，其响应文件视为无效文件。</w:t>
      </w:r>
    </w:p>
    <w:p w14:paraId="6A0FD439">
      <w:pPr>
        <w:widowControl w:val="0"/>
        <w:spacing w:line="240" w:lineRule="auto"/>
        <w:ind w:firstLine="566" w:firstLineChars="200"/>
        <w:rPr>
          <w:rFonts w:hint="eastAsia" w:ascii="仿宋_GB2312" w:hAnsi="仿宋_GB2312" w:eastAsia="仿宋_GB2312" w:cs="仿宋_GB2312"/>
          <w:color w:val="auto"/>
        </w:rPr>
      </w:pPr>
      <w:r>
        <w:rPr>
          <w:rFonts w:ascii="Times New Roman" w:hAnsi="Times New Roman" w:eastAsia="仿宋_GB2312" w:cs="Times New Roman"/>
          <w:color w:val="auto"/>
        </w:rPr>
        <w:t>2、分支机构参与磋商时，响应文件中应附法人出具的授权书。法人只能授权一家分支机构参与磋商，且不能与分支机构同时参与磋商。</w:t>
      </w:r>
    </w:p>
    <w:p w14:paraId="1D981E70">
      <w:pPr>
        <w:widowControl w:val="0"/>
        <w:spacing w:line="240" w:lineRule="auto"/>
        <w:ind w:firstLine="569"/>
        <w:rPr>
          <w:rFonts w:hint="eastAsia" w:ascii="仿宋_GB2312" w:hAnsi="仿宋_GB2312" w:eastAsia="仿宋_GB2312" w:cs="仿宋_GB2312"/>
          <w:b/>
          <w:bCs/>
          <w:color w:val="auto"/>
        </w:rPr>
      </w:pPr>
      <w:bookmarkStart w:id="19" w:name="_Toc35393631"/>
      <w:bookmarkStart w:id="20" w:name="_Toc35393800"/>
      <w:bookmarkStart w:id="21" w:name="_Toc29259"/>
    </w:p>
    <w:p w14:paraId="7C4D8923">
      <w:pPr>
        <w:widowControl w:val="0"/>
        <w:spacing w:line="240" w:lineRule="auto"/>
        <w:ind w:firstLine="569"/>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三、获取采购文件</w:t>
      </w:r>
      <w:bookmarkEnd w:id="17"/>
      <w:bookmarkEnd w:id="18"/>
      <w:bookmarkEnd w:id="19"/>
      <w:bookmarkEnd w:id="20"/>
      <w:bookmarkEnd w:id="21"/>
      <w:r>
        <w:rPr>
          <w:rFonts w:hint="eastAsia" w:ascii="仿宋_GB2312" w:hAnsi="仿宋_GB2312" w:eastAsia="仿宋_GB2312" w:cs="仿宋_GB2312"/>
          <w:b/>
          <w:bCs/>
          <w:color w:val="auto"/>
        </w:rPr>
        <w:t>：</w:t>
      </w:r>
      <w:r>
        <w:rPr>
          <w:rFonts w:hint="eastAsia" w:ascii="仿宋" w:hAnsi="仿宋" w:eastAsia="仿宋_GB2312" w:cs="仿宋"/>
          <w:b/>
          <w:bCs/>
          <w:color w:val="auto"/>
          <w:kern w:val="1"/>
        </w:rPr>
        <w:t>获取文件时须提供企业介绍信或授权书及被介绍人或被授权人身份证原件和复印件。</w:t>
      </w:r>
    </w:p>
    <w:p w14:paraId="4592FC46">
      <w:pPr>
        <w:keepNext/>
        <w:widowControl w:val="0"/>
        <w:autoSpaceDE w:val="0"/>
        <w:autoSpaceDN w:val="0"/>
        <w:adjustRightInd w:val="0"/>
        <w:spacing w:line="240" w:lineRule="auto"/>
        <w:ind w:firstLine="556" w:firstLineChars="197"/>
        <w:outlineLvl w:val="1"/>
        <w:rPr>
          <w:rFonts w:hint="eastAsia" w:ascii="仿宋_GB2312" w:hAnsi="仿宋_GB2312" w:eastAsia="仿宋_GB2312" w:cs="仿宋_GB2312"/>
          <w:color w:val="auto"/>
        </w:rPr>
      </w:pPr>
      <w:bookmarkStart w:id="22" w:name="_Toc859"/>
      <w:bookmarkStart w:id="23" w:name="_Toc28359015"/>
      <w:bookmarkStart w:id="24" w:name="_Toc28359092"/>
      <w:bookmarkStart w:id="25" w:name="_Toc35393632"/>
      <w:bookmarkStart w:id="26" w:name="_Toc35393801"/>
      <w:r>
        <w:rPr>
          <w:rFonts w:hint="eastAsia" w:ascii="仿宋_GB2312" w:hAnsi="仿宋_GB2312" w:eastAsia="仿宋_GB2312" w:cs="仿宋_GB2312"/>
          <w:color w:val="auto"/>
        </w:rPr>
        <w:t>1、获取时间：2025年</w:t>
      </w: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18</w:t>
      </w:r>
      <w:r>
        <w:rPr>
          <w:rFonts w:hint="eastAsia" w:ascii="仿宋_GB2312" w:hAnsi="仿宋_GB2312" w:eastAsia="仿宋_GB2312" w:cs="仿宋_GB2312"/>
          <w:color w:val="auto"/>
        </w:rPr>
        <w:t>日至2025年</w:t>
      </w: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22</w:t>
      </w:r>
      <w:r>
        <w:rPr>
          <w:rFonts w:hint="eastAsia" w:ascii="仿宋_GB2312" w:hAnsi="仿宋_GB2312" w:eastAsia="仿宋_GB2312" w:cs="仿宋_GB2312"/>
          <w:color w:val="auto"/>
        </w:rPr>
        <w:t>日，每天上午8时至12时，下午15时至17:30时止（北京时间，法定节假日除外）</w:t>
      </w:r>
    </w:p>
    <w:p w14:paraId="32E4ED4F">
      <w:pPr>
        <w:keepNext/>
        <w:widowControl w:val="0"/>
        <w:autoSpaceDE w:val="0"/>
        <w:autoSpaceDN w:val="0"/>
        <w:adjustRightInd w:val="0"/>
        <w:spacing w:line="240" w:lineRule="auto"/>
        <w:ind w:firstLine="556" w:firstLineChars="197"/>
        <w:outlineLvl w:val="1"/>
        <w:rPr>
          <w:rFonts w:hint="eastAsia" w:ascii="仿宋_GB2312" w:hAnsi="仿宋_GB2312" w:eastAsia="仿宋_GB2312" w:cs="仿宋_GB2312"/>
          <w:color w:val="auto"/>
        </w:rPr>
      </w:pPr>
      <w:r>
        <w:rPr>
          <w:rFonts w:hint="eastAsia" w:ascii="仿宋_GB2312" w:hAnsi="仿宋_GB2312" w:eastAsia="仿宋_GB2312" w:cs="仿宋_GB2312"/>
          <w:color w:val="auto"/>
        </w:rPr>
        <w:t>2、获取地点：汉台区政府采购中心工程服务股</w:t>
      </w:r>
    </w:p>
    <w:p w14:paraId="1370CE69">
      <w:pPr>
        <w:keepNext/>
        <w:widowControl w:val="0"/>
        <w:autoSpaceDE w:val="0"/>
        <w:autoSpaceDN w:val="0"/>
        <w:adjustRightInd w:val="0"/>
        <w:spacing w:line="240" w:lineRule="auto"/>
        <w:ind w:firstLine="556" w:firstLineChars="197"/>
        <w:outlineLvl w:val="1"/>
        <w:rPr>
          <w:rFonts w:hint="eastAsia" w:ascii="仿宋_GB2312" w:hAnsi="仿宋_GB2312" w:eastAsia="仿宋_GB2312" w:cs="仿宋_GB2312"/>
          <w:color w:val="auto"/>
        </w:rPr>
      </w:pPr>
      <w:r>
        <w:rPr>
          <w:rFonts w:hint="eastAsia" w:ascii="仿宋_GB2312" w:hAnsi="仿宋_GB2312" w:eastAsia="仿宋_GB2312" w:cs="仿宋_GB2312"/>
          <w:color w:val="auto"/>
        </w:rPr>
        <w:t>3、售价：0元</w:t>
      </w:r>
    </w:p>
    <w:p w14:paraId="69AB5C65">
      <w:pPr>
        <w:keepNext/>
        <w:widowControl w:val="0"/>
        <w:autoSpaceDE w:val="0"/>
        <w:autoSpaceDN w:val="0"/>
        <w:adjustRightInd w:val="0"/>
        <w:spacing w:line="240" w:lineRule="auto"/>
        <w:ind w:firstLine="569"/>
        <w:outlineLvl w:val="1"/>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四、响应文件提交</w:t>
      </w:r>
      <w:bookmarkEnd w:id="22"/>
      <w:bookmarkEnd w:id="23"/>
      <w:bookmarkEnd w:id="24"/>
      <w:bookmarkEnd w:id="25"/>
      <w:bookmarkEnd w:id="26"/>
    </w:p>
    <w:p w14:paraId="6E048F1E">
      <w:pPr>
        <w:widowControl w:val="0"/>
        <w:spacing w:line="240" w:lineRule="auto"/>
        <w:ind w:firstLine="566" w:firstLineChars="200"/>
        <w:rPr>
          <w:rFonts w:hint="eastAsia" w:ascii="仿宋_GB2312" w:hAnsi="仿宋_GB2312" w:eastAsia="仿宋_GB2312" w:cs="仿宋_GB2312"/>
          <w:bCs/>
          <w:color w:val="auto"/>
        </w:rPr>
      </w:pPr>
      <w:r>
        <w:rPr>
          <w:rFonts w:hint="eastAsia" w:ascii="仿宋_GB2312" w:hAnsi="仿宋_GB2312" w:eastAsia="仿宋_GB2312" w:cs="仿宋_GB2312"/>
          <w:bCs/>
          <w:color w:val="auto"/>
        </w:rPr>
        <w:t>截止时间：2025年</w:t>
      </w:r>
      <w:r>
        <w:rPr>
          <w:rFonts w:hint="eastAsia" w:ascii="仿宋_GB2312" w:hAnsi="仿宋_GB2312" w:eastAsia="仿宋_GB2312" w:cs="仿宋_GB2312"/>
          <w:bCs/>
          <w:color w:val="auto"/>
          <w:lang w:val="en-US" w:eastAsia="zh-CN"/>
        </w:rPr>
        <w:t>8</w:t>
      </w:r>
      <w:r>
        <w:rPr>
          <w:rFonts w:hint="eastAsia" w:ascii="仿宋_GB2312" w:hAnsi="仿宋_GB2312" w:eastAsia="仿宋_GB2312" w:cs="仿宋_GB2312"/>
          <w:bCs/>
          <w:color w:val="auto"/>
        </w:rPr>
        <w:t>月</w:t>
      </w:r>
      <w:r>
        <w:rPr>
          <w:rFonts w:hint="eastAsia" w:ascii="仿宋_GB2312" w:hAnsi="仿宋_GB2312" w:eastAsia="仿宋_GB2312" w:cs="仿宋_GB2312"/>
          <w:bCs/>
          <w:color w:val="auto"/>
          <w:lang w:val="en-US" w:eastAsia="zh-CN"/>
        </w:rPr>
        <w:t>28</w:t>
      </w:r>
      <w:r>
        <w:rPr>
          <w:rFonts w:hint="eastAsia" w:ascii="仿宋_GB2312" w:hAnsi="仿宋_GB2312" w:eastAsia="仿宋_GB2312" w:cs="仿宋_GB2312"/>
          <w:bCs/>
          <w:color w:val="auto"/>
        </w:rPr>
        <w:t>日上午9时（北京时间）</w:t>
      </w:r>
    </w:p>
    <w:p w14:paraId="3FF3587A">
      <w:pPr>
        <w:widowControl w:val="0"/>
        <w:spacing w:line="240" w:lineRule="auto"/>
        <w:ind w:firstLine="566" w:firstLineChars="200"/>
        <w:rPr>
          <w:rFonts w:hint="eastAsia" w:ascii="仿宋_GB2312" w:hAnsi="仿宋_GB2312" w:eastAsia="仿宋_GB2312" w:cs="仿宋_GB2312"/>
          <w:bCs/>
          <w:color w:val="auto"/>
        </w:rPr>
      </w:pPr>
      <w:r>
        <w:rPr>
          <w:rFonts w:hint="eastAsia" w:ascii="仿宋_GB2312" w:hAnsi="仿宋_GB2312" w:eastAsia="仿宋_GB2312" w:cs="仿宋_GB2312"/>
          <w:bCs/>
          <w:color w:val="auto"/>
        </w:rPr>
        <w:t>地点：汉台区政府采购中心五楼开标室</w:t>
      </w:r>
    </w:p>
    <w:p w14:paraId="75960D6B">
      <w:pPr>
        <w:keepNext/>
        <w:widowControl w:val="0"/>
        <w:autoSpaceDE w:val="0"/>
        <w:autoSpaceDN w:val="0"/>
        <w:adjustRightInd w:val="0"/>
        <w:spacing w:line="240" w:lineRule="auto"/>
        <w:ind w:firstLine="569"/>
        <w:outlineLvl w:val="1"/>
        <w:rPr>
          <w:rFonts w:hint="eastAsia" w:ascii="仿宋_GB2312" w:hAnsi="仿宋_GB2312" w:eastAsia="仿宋_GB2312" w:cs="仿宋_GB2312"/>
          <w:b/>
          <w:bCs/>
          <w:color w:val="auto"/>
        </w:rPr>
      </w:pPr>
      <w:bookmarkStart w:id="27" w:name="_Toc35393802"/>
      <w:bookmarkStart w:id="28" w:name="_Toc32165"/>
      <w:bookmarkStart w:id="29" w:name="_Toc28359093"/>
      <w:bookmarkStart w:id="30" w:name="_Toc28359016"/>
      <w:bookmarkStart w:id="31" w:name="_Toc35393633"/>
      <w:r>
        <w:rPr>
          <w:rFonts w:hint="eastAsia" w:ascii="仿宋_GB2312" w:hAnsi="仿宋_GB2312" w:eastAsia="仿宋_GB2312" w:cs="仿宋_GB2312"/>
          <w:b/>
          <w:bCs/>
          <w:color w:val="auto"/>
        </w:rPr>
        <w:t>五、开启</w:t>
      </w:r>
      <w:bookmarkEnd w:id="27"/>
      <w:bookmarkEnd w:id="28"/>
      <w:bookmarkEnd w:id="29"/>
      <w:bookmarkEnd w:id="30"/>
      <w:bookmarkEnd w:id="31"/>
    </w:p>
    <w:p w14:paraId="188DBE8E">
      <w:pPr>
        <w:widowControl w:val="0"/>
        <w:spacing w:line="240" w:lineRule="auto"/>
        <w:ind w:firstLine="566" w:firstLineChars="200"/>
        <w:rPr>
          <w:rFonts w:hint="eastAsia" w:ascii="仿宋_GB2312" w:hAnsi="仿宋_GB2312" w:eastAsia="仿宋_GB2312" w:cs="仿宋_GB2312"/>
          <w:bCs/>
          <w:color w:val="auto"/>
        </w:rPr>
      </w:pPr>
      <w:r>
        <w:rPr>
          <w:rFonts w:hint="eastAsia" w:ascii="仿宋_GB2312" w:hAnsi="仿宋_GB2312" w:eastAsia="仿宋_GB2312" w:cs="仿宋_GB2312"/>
          <w:bCs/>
          <w:color w:val="auto"/>
        </w:rPr>
        <w:t>时间：2025年</w:t>
      </w:r>
      <w:r>
        <w:rPr>
          <w:rFonts w:hint="eastAsia" w:ascii="仿宋_GB2312" w:hAnsi="仿宋_GB2312" w:eastAsia="仿宋_GB2312" w:cs="仿宋_GB2312"/>
          <w:bCs/>
          <w:color w:val="auto"/>
          <w:lang w:val="en-US" w:eastAsia="zh-CN"/>
        </w:rPr>
        <w:t>8</w:t>
      </w:r>
      <w:r>
        <w:rPr>
          <w:rFonts w:hint="eastAsia" w:ascii="仿宋_GB2312" w:hAnsi="仿宋_GB2312" w:eastAsia="仿宋_GB2312" w:cs="仿宋_GB2312"/>
          <w:bCs/>
          <w:color w:val="auto"/>
        </w:rPr>
        <w:t>月</w:t>
      </w:r>
      <w:r>
        <w:rPr>
          <w:rFonts w:hint="eastAsia" w:ascii="仿宋_GB2312" w:hAnsi="仿宋_GB2312" w:eastAsia="仿宋_GB2312" w:cs="仿宋_GB2312"/>
          <w:bCs/>
          <w:color w:val="auto"/>
          <w:lang w:val="en-US" w:eastAsia="zh-CN"/>
        </w:rPr>
        <w:t>28</w:t>
      </w:r>
      <w:r>
        <w:rPr>
          <w:rFonts w:hint="eastAsia" w:ascii="仿宋_GB2312" w:hAnsi="仿宋_GB2312" w:eastAsia="仿宋_GB2312" w:cs="仿宋_GB2312"/>
          <w:bCs/>
          <w:color w:val="auto"/>
        </w:rPr>
        <w:t>日上午9时（北京时间）</w:t>
      </w:r>
    </w:p>
    <w:p w14:paraId="10D40AA8">
      <w:pPr>
        <w:widowControl w:val="0"/>
        <w:spacing w:line="240" w:lineRule="auto"/>
        <w:ind w:firstLine="566" w:firstLineChars="200"/>
        <w:rPr>
          <w:rFonts w:hint="eastAsia" w:ascii="仿宋_GB2312" w:hAnsi="仿宋_GB2312" w:eastAsia="仿宋_GB2312" w:cs="仿宋_GB2312"/>
          <w:bCs/>
          <w:color w:val="auto"/>
          <w:u w:val="single"/>
        </w:rPr>
      </w:pPr>
      <w:r>
        <w:rPr>
          <w:rFonts w:hint="eastAsia" w:ascii="仿宋_GB2312" w:hAnsi="仿宋_GB2312" w:eastAsia="仿宋_GB2312" w:cs="仿宋_GB2312"/>
          <w:bCs/>
          <w:color w:val="auto"/>
        </w:rPr>
        <w:t>地点：汉台区政府采购中心五楼开标室</w:t>
      </w:r>
    </w:p>
    <w:p w14:paraId="31A983EF">
      <w:pPr>
        <w:keepNext/>
        <w:widowControl w:val="0"/>
        <w:autoSpaceDE w:val="0"/>
        <w:autoSpaceDN w:val="0"/>
        <w:adjustRightInd w:val="0"/>
        <w:spacing w:line="240" w:lineRule="auto"/>
        <w:ind w:firstLine="569"/>
        <w:outlineLvl w:val="1"/>
        <w:rPr>
          <w:rFonts w:hint="eastAsia" w:ascii="仿宋_GB2312" w:hAnsi="仿宋_GB2312" w:eastAsia="仿宋_GB2312" w:cs="仿宋_GB2312"/>
          <w:b/>
          <w:bCs/>
          <w:color w:val="auto"/>
        </w:rPr>
      </w:pPr>
      <w:bookmarkStart w:id="32" w:name="_Toc35393634"/>
      <w:bookmarkStart w:id="33" w:name="_Toc28359017"/>
      <w:bookmarkStart w:id="34" w:name="_Toc35393803"/>
      <w:bookmarkStart w:id="35" w:name="_Toc4869"/>
      <w:bookmarkStart w:id="36" w:name="_Toc28359094"/>
      <w:r>
        <w:rPr>
          <w:rFonts w:hint="eastAsia" w:ascii="仿宋_GB2312" w:hAnsi="仿宋_GB2312" w:eastAsia="仿宋_GB2312" w:cs="仿宋_GB2312"/>
          <w:b/>
          <w:bCs/>
          <w:color w:val="auto"/>
        </w:rPr>
        <w:t>六、公告期限</w:t>
      </w:r>
      <w:bookmarkEnd w:id="32"/>
      <w:bookmarkEnd w:id="33"/>
      <w:bookmarkEnd w:id="34"/>
      <w:bookmarkEnd w:id="35"/>
      <w:bookmarkEnd w:id="36"/>
    </w:p>
    <w:p w14:paraId="4F372471">
      <w:pPr>
        <w:widowControl w:val="0"/>
        <w:spacing w:line="240" w:lineRule="auto"/>
        <w:ind w:firstLine="566" w:firstLineChars="200"/>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自本公告发布之日起3个工作日。</w:t>
      </w:r>
    </w:p>
    <w:p w14:paraId="117DDADF">
      <w:pPr>
        <w:keepNext/>
        <w:widowControl w:val="0"/>
        <w:numPr>
          <w:ilvl w:val="0"/>
          <w:numId w:val="3"/>
        </w:numPr>
        <w:autoSpaceDE w:val="0"/>
        <w:autoSpaceDN w:val="0"/>
        <w:adjustRightInd w:val="0"/>
        <w:spacing w:line="240" w:lineRule="auto"/>
        <w:ind w:firstLine="569"/>
        <w:outlineLvl w:val="1"/>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其他应说明的事项：</w:t>
      </w:r>
    </w:p>
    <w:p w14:paraId="24424BFE">
      <w:pPr>
        <w:widowControl w:val="0"/>
        <w:wordWrap w:val="0"/>
        <w:spacing w:line="240" w:lineRule="auto"/>
        <w:ind w:firstLine="567"/>
        <w:rPr>
          <w:rFonts w:ascii="Times New Roman" w:hAnsi="Times New Roman" w:eastAsia="仿宋_GB2312" w:cs="Times New Roman"/>
          <w:color w:val="auto"/>
        </w:rPr>
      </w:pPr>
      <w:r>
        <w:rPr>
          <w:rFonts w:ascii="Times New Roman" w:hAnsi="Times New Roman" w:eastAsia="仿宋_GB2312" w:cs="Times New Roman"/>
          <w:color w:val="auto"/>
        </w:rPr>
        <w:t>1、按照陕西省财政厅《关于政府采购供应商注册登记有关事项的通知》中的要求，供应商应通过陕西省政府采购网（http://www.ccgp-shaanxi.gov.cn/）注册登记，加入陕西省政府采购供应商库。供应商注册登记咨询电话：029-96702-7  87611761。</w:t>
      </w:r>
    </w:p>
    <w:p w14:paraId="1E6A24D8">
      <w:pPr>
        <w:spacing w:line="240" w:lineRule="auto"/>
        <w:ind w:firstLine="567"/>
        <w:rPr>
          <w:rFonts w:ascii="Times New Roman" w:hAnsi="Times New Roman" w:eastAsia="仿宋_GB2312" w:cs="Times New Roman"/>
          <w:color w:val="auto"/>
        </w:rPr>
      </w:pPr>
      <w:r>
        <w:rPr>
          <w:rFonts w:ascii="Times New Roman" w:hAnsi="Times New Roman" w:eastAsia="仿宋_GB2312" w:cs="Times New Roman"/>
          <w:color w:val="auto"/>
        </w:rPr>
        <w:t>2、有融资需求的中标（成交）供应商可根据自身情况，根据《陕西省财政厅关于加快推进我省中小企业政府采购信用融资工作的通知》（陕财办采〔2020〕15号）文件精神，自主选择融资平台或金融机构及其融资产品，凭政府采购中标（成交）通知书或政府采购合同向金融机构提出融资申请。</w:t>
      </w:r>
    </w:p>
    <w:p w14:paraId="69143694">
      <w:pPr>
        <w:widowControl w:val="0"/>
        <w:spacing w:line="240" w:lineRule="auto"/>
        <w:ind w:firstLine="569"/>
        <w:rPr>
          <w:rFonts w:hint="eastAsia" w:ascii="仿宋_GB2312" w:hAnsi="仿宋_GB2312" w:eastAsia="仿宋_GB2312" w:cs="仿宋_GB2312"/>
          <w:color w:val="auto"/>
          <w:kern w:val="0"/>
        </w:rPr>
      </w:pPr>
      <w:r>
        <w:rPr>
          <w:rFonts w:hint="eastAsia" w:ascii="仿宋_GB2312" w:hAnsi="仿宋_GB2312" w:eastAsia="仿宋_GB2312" w:cs="仿宋_GB2312"/>
          <w:b/>
          <w:bCs/>
          <w:color w:val="auto"/>
        </w:rPr>
        <w:t>八、凡对本次采购提出询问，请按以下方式联系。</w:t>
      </w:r>
    </w:p>
    <w:p w14:paraId="477EA9E0">
      <w:pPr>
        <w:widowControl w:val="0"/>
        <w:spacing w:line="240" w:lineRule="auto"/>
        <w:ind w:firstLine="566" w:firstLineChars="200"/>
        <w:rPr>
          <w:rFonts w:ascii="Times New Roman" w:hAnsi="Times New Roman" w:eastAsia="仿宋_GB2312" w:cs="Times New Roman"/>
          <w:color w:val="auto"/>
          <w:kern w:val="0"/>
        </w:rPr>
      </w:pPr>
      <w:r>
        <w:rPr>
          <w:rFonts w:hint="eastAsia" w:ascii="仿宋_GB2312" w:hAnsi="仿宋_GB2312" w:eastAsia="仿宋_GB2312" w:cs="仿宋_GB2312"/>
          <w:color w:val="auto"/>
          <w:kern w:val="0"/>
        </w:rPr>
        <w:t>1、</w:t>
      </w:r>
      <w:r>
        <w:rPr>
          <w:rFonts w:hint="eastAsia" w:ascii="Times New Roman" w:hAnsi="Times New Roman" w:eastAsia="仿宋_GB2312" w:cs="Times New Roman"/>
          <w:color w:val="auto"/>
          <w:kern w:val="0"/>
        </w:rPr>
        <w:t>采购人名称：</w:t>
      </w:r>
      <w:r>
        <w:rPr>
          <w:rFonts w:hint="eastAsia" w:ascii="Times New Roman" w:hAnsi="Times New Roman" w:eastAsia="仿宋_GB2312" w:cs="Times New Roman"/>
          <w:color w:val="auto"/>
          <w:kern w:val="0"/>
          <w:lang w:val="en-US" w:eastAsia="zh-CN"/>
        </w:rPr>
        <w:t>汉中市传染病医院（汉中市第二人民医院）</w:t>
      </w:r>
    </w:p>
    <w:p w14:paraId="6147D59B">
      <w:pPr>
        <w:widowControl w:val="0"/>
        <w:spacing w:line="240" w:lineRule="auto"/>
        <w:ind w:firstLine="849" w:firstLineChars="300"/>
        <w:rPr>
          <w:rFonts w:hint="eastAsia" w:ascii="Times New Roman" w:hAnsi="Times New Roman" w:eastAsia="仿宋_GB2312" w:cs="Times New Roman"/>
          <w:color w:val="auto"/>
          <w:kern w:val="0"/>
          <w:lang w:eastAsia="zh-CN"/>
        </w:rPr>
      </w:pPr>
      <w:r>
        <w:rPr>
          <w:rFonts w:hint="eastAsia" w:ascii="Times New Roman" w:hAnsi="Times New Roman" w:eastAsia="仿宋_GB2312" w:cs="Times New Roman"/>
          <w:color w:val="auto"/>
          <w:kern w:val="0"/>
        </w:rPr>
        <w:t>地    址：汉台区</w:t>
      </w:r>
      <w:r>
        <w:rPr>
          <w:rFonts w:hint="eastAsia" w:ascii="Times New Roman" w:hAnsi="Times New Roman" w:eastAsia="仿宋_GB2312" w:cs="Times New Roman"/>
          <w:color w:val="auto"/>
          <w:kern w:val="0"/>
          <w:lang w:eastAsia="zh-CN"/>
        </w:rPr>
        <w:t>南团结街中段</w:t>
      </w:r>
    </w:p>
    <w:p w14:paraId="1BDA9658">
      <w:pPr>
        <w:widowControl w:val="0"/>
        <w:spacing w:line="240" w:lineRule="auto"/>
        <w:ind w:firstLine="849" w:firstLineChars="300"/>
        <w:rPr>
          <w:rFonts w:ascii="Times New Roman" w:hAnsi="Times New Roman" w:eastAsia="仿宋_GB2312" w:cs="Times New Roman"/>
          <w:color w:val="auto"/>
          <w:kern w:val="0"/>
        </w:rPr>
      </w:pPr>
      <w:r>
        <w:rPr>
          <w:rFonts w:hint="eastAsia" w:ascii="Times New Roman" w:hAnsi="Times New Roman" w:eastAsia="仿宋_GB2312" w:cs="Times New Roman"/>
          <w:color w:val="auto"/>
          <w:kern w:val="0"/>
        </w:rPr>
        <w:t>联系方式：</w:t>
      </w:r>
      <w:r>
        <w:rPr>
          <w:rFonts w:hint="eastAsia" w:ascii="Times New Roman" w:hAnsi="Times New Roman" w:eastAsia="仿宋_GB2312" w:cs="Times New Roman"/>
          <w:color w:val="auto"/>
          <w:kern w:val="0"/>
          <w:lang w:val="en-US" w:eastAsia="zh-CN"/>
        </w:rPr>
        <w:t>18740561585</w:t>
      </w:r>
    </w:p>
    <w:p w14:paraId="2BC66B30">
      <w:pPr>
        <w:widowControl w:val="0"/>
        <w:spacing w:line="240" w:lineRule="auto"/>
        <w:ind w:firstLine="566" w:firstLineChars="200"/>
        <w:rPr>
          <w:rFonts w:ascii="Times New Roman" w:hAnsi="Times New Roman" w:eastAsia="仿宋_GB2312" w:cs="Times New Roman"/>
          <w:color w:val="auto"/>
          <w:kern w:val="0"/>
        </w:rPr>
      </w:pPr>
      <w:bookmarkStart w:id="37" w:name="_Toc10140"/>
      <w:bookmarkStart w:id="38" w:name="_Toc495014610"/>
      <w:bookmarkStart w:id="39" w:name="_Toc9601"/>
      <w:bookmarkStart w:id="40" w:name="_Toc19337_WPSOffice_Level1"/>
      <w:bookmarkStart w:id="41" w:name="_Toc495014584"/>
      <w:bookmarkStart w:id="42" w:name="_Toc22804_WPSOffice_Level1"/>
      <w:bookmarkStart w:id="43" w:name="_Toc495014919"/>
      <w:bookmarkStart w:id="44" w:name="_Toc495012820"/>
      <w:bookmarkStart w:id="45" w:name="_Toc445306492"/>
      <w:bookmarkStart w:id="46" w:name="_Toc7814"/>
      <w:bookmarkStart w:id="47" w:name="_Toc4326"/>
      <w:bookmarkStart w:id="48" w:name="_Toc15046_WPSOffice_Level1"/>
      <w:bookmarkStart w:id="49" w:name="_Toc495014648"/>
      <w:bookmarkStart w:id="50" w:name="_Toc495012770"/>
      <w:bookmarkStart w:id="51" w:name="_Toc495014953"/>
      <w:r>
        <w:rPr>
          <w:rFonts w:ascii="Times New Roman" w:hAnsi="Times New Roman" w:eastAsia="仿宋_GB2312" w:cs="Times New Roman"/>
          <w:color w:val="auto"/>
          <w:kern w:val="0"/>
        </w:rPr>
        <w:t>2、采购代理机构名称：汉台区政府采购中心</w:t>
      </w:r>
    </w:p>
    <w:p w14:paraId="760AD345">
      <w:pPr>
        <w:widowControl w:val="0"/>
        <w:spacing w:line="240" w:lineRule="auto"/>
        <w:ind w:firstLine="849" w:firstLineChars="300"/>
        <w:rPr>
          <w:rFonts w:ascii="Times New Roman" w:hAnsi="Times New Roman" w:eastAsia="仿宋_GB2312" w:cs="Times New Roman"/>
          <w:color w:val="auto"/>
          <w:kern w:val="0"/>
        </w:rPr>
      </w:pPr>
      <w:r>
        <w:rPr>
          <w:rFonts w:ascii="Times New Roman" w:hAnsi="Times New Roman" w:eastAsia="仿宋_GB2312" w:cs="Times New Roman"/>
          <w:color w:val="auto"/>
          <w:kern w:val="0"/>
        </w:rPr>
        <w:t>地    址：汉台区东建设巷1号</w:t>
      </w:r>
    </w:p>
    <w:p w14:paraId="1857FF2C">
      <w:pPr>
        <w:widowControl w:val="0"/>
        <w:spacing w:line="240" w:lineRule="auto"/>
        <w:ind w:firstLine="849" w:firstLineChars="300"/>
        <w:rPr>
          <w:rFonts w:ascii="Times New Roman" w:hAnsi="Times New Roman" w:eastAsia="仿宋_GB2312" w:cs="Times New Roman"/>
          <w:color w:val="auto"/>
          <w:kern w:val="0"/>
        </w:rPr>
      </w:pPr>
      <w:r>
        <w:rPr>
          <w:rFonts w:ascii="Times New Roman" w:hAnsi="Times New Roman" w:eastAsia="仿宋_GB2312" w:cs="Times New Roman"/>
          <w:color w:val="auto"/>
          <w:kern w:val="0"/>
        </w:rPr>
        <w:t>联系方式：0916-2245542</w:t>
      </w:r>
    </w:p>
    <w:p w14:paraId="02E4ED44">
      <w:pPr>
        <w:widowControl w:val="0"/>
        <w:spacing w:line="240" w:lineRule="auto"/>
        <w:ind w:firstLine="566" w:firstLineChars="200"/>
        <w:rPr>
          <w:rFonts w:ascii="Times New Roman" w:hAnsi="Times New Roman" w:eastAsia="仿宋_GB2312" w:cs="Times New Roman"/>
          <w:color w:val="auto"/>
          <w:kern w:val="0"/>
        </w:rPr>
      </w:pPr>
      <w:r>
        <w:rPr>
          <w:rFonts w:ascii="Times New Roman" w:hAnsi="Times New Roman" w:eastAsia="仿宋_GB2312" w:cs="Times New Roman"/>
          <w:color w:val="auto"/>
          <w:kern w:val="0"/>
        </w:rPr>
        <w:t>3、采购项目联系人：</w:t>
      </w:r>
    </w:p>
    <w:p w14:paraId="73444745">
      <w:pPr>
        <w:widowControl w:val="0"/>
        <w:spacing w:line="240" w:lineRule="auto"/>
        <w:ind w:firstLine="849" w:firstLineChars="300"/>
        <w:rPr>
          <w:rFonts w:ascii="Times New Roman" w:hAnsi="Times New Roman" w:eastAsia="仿宋_GB2312" w:cs="Times New Roman"/>
          <w:color w:val="auto"/>
          <w:kern w:val="0"/>
        </w:rPr>
      </w:pPr>
      <w:r>
        <w:rPr>
          <w:rFonts w:ascii="Times New Roman" w:hAnsi="Times New Roman" w:eastAsia="仿宋_GB2312" w:cs="Times New Roman"/>
          <w:color w:val="auto"/>
          <w:kern w:val="0"/>
        </w:rPr>
        <w:t xml:space="preserve">邓涛  </w:t>
      </w:r>
      <w:r>
        <w:rPr>
          <w:rFonts w:hint="eastAsia" w:ascii="Times New Roman" w:hAnsi="Times New Roman" w:eastAsia="仿宋_GB2312" w:cs="Times New Roman"/>
          <w:color w:val="auto"/>
          <w:kern w:val="0"/>
          <w:lang w:eastAsia="zh-CN"/>
        </w:rPr>
        <w:t>管辰至</w:t>
      </w:r>
      <w:r>
        <w:rPr>
          <w:rFonts w:ascii="Times New Roman" w:hAnsi="Times New Roman" w:eastAsia="仿宋_GB2312" w:cs="Times New Roman"/>
          <w:color w:val="auto"/>
          <w:kern w:val="0"/>
        </w:rPr>
        <w:t xml:space="preserve">  联系方式（电话/传真）：0916-2245542</w:t>
      </w:r>
    </w:p>
    <w:p w14:paraId="1D6F27AA">
      <w:pPr>
        <w:widowControl w:val="0"/>
        <w:spacing w:line="240" w:lineRule="auto"/>
        <w:jc w:val="center"/>
        <w:rPr>
          <w:rFonts w:hint="eastAsia" w:ascii="黑体" w:hAnsi="黑体" w:eastAsia="黑体"/>
          <w:color w:val="auto"/>
          <w:sz w:val="32"/>
          <w:szCs w:val="32"/>
        </w:rPr>
      </w:pPr>
      <w:r>
        <w:rPr>
          <w:rFonts w:ascii="黑体" w:hAnsi="黑体" w:eastAsia="黑体"/>
          <w:bCs/>
          <w:color w:val="auto"/>
          <w:sz w:val="32"/>
          <w:szCs w:val="32"/>
        </w:rPr>
        <w:br w:type="page"/>
      </w:r>
      <w:r>
        <w:rPr>
          <w:rFonts w:ascii="黑体" w:hAnsi="黑体" w:eastAsia="黑体"/>
          <w:bCs/>
          <w:color w:val="auto"/>
          <w:sz w:val="32"/>
          <w:szCs w:val="32"/>
        </w:rPr>
        <w:t xml:space="preserve">第二章  </w:t>
      </w:r>
      <w:r>
        <w:rPr>
          <w:rFonts w:hint="eastAsia" w:ascii="黑体" w:hAnsi="黑体" w:eastAsia="黑体"/>
          <w:bCs/>
          <w:color w:val="auto"/>
          <w:sz w:val="32"/>
          <w:szCs w:val="32"/>
        </w:rPr>
        <w:t>磋商供应商</w:t>
      </w:r>
      <w:r>
        <w:rPr>
          <w:rFonts w:ascii="黑体" w:hAnsi="黑体" w:eastAsia="黑体"/>
          <w:bCs/>
          <w:color w:val="auto"/>
          <w:sz w:val="32"/>
          <w:szCs w:val="32"/>
        </w:rPr>
        <w:t>须知</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4C517980">
      <w:pPr>
        <w:spacing w:line="500" w:lineRule="exact"/>
        <w:ind w:firstLine="566" w:firstLineChars="200"/>
        <w:rPr>
          <w:rFonts w:hint="eastAsia" w:ascii="仿宋_GB2312" w:hAnsi="仿宋_GB2312" w:eastAsia="仿宋_GB2312" w:cs="仿宋_GB2312"/>
          <w:b/>
          <w:bCs/>
          <w:color w:val="auto"/>
        </w:rPr>
      </w:pPr>
      <w:bookmarkStart w:id="52" w:name="_Toc18466_WPSOffice_Level2"/>
      <w:bookmarkStart w:id="53" w:name="_Toc16238"/>
      <w:bookmarkStart w:id="54" w:name="_Toc12337"/>
      <w:bookmarkStart w:id="55" w:name="_Toc24451_WPSOffice_Level2"/>
      <w:bookmarkStart w:id="56" w:name="_Toc23184"/>
      <w:bookmarkStart w:id="57" w:name="_Toc3858_WPSOffice_Level2"/>
      <w:bookmarkStart w:id="58" w:name="_Toc3062"/>
      <w:r>
        <w:rPr>
          <w:rFonts w:hint="eastAsia" w:ascii="仿宋_GB2312" w:hAnsi="仿宋_GB2312" w:eastAsia="仿宋_GB2312" w:cs="仿宋_GB2312"/>
          <w:b/>
          <w:bCs/>
          <w:color w:val="auto"/>
        </w:rPr>
        <w:t>一</w:t>
      </w:r>
      <w:r>
        <w:rPr>
          <w:rFonts w:hint="eastAsia" w:ascii="仿宋_GB2312" w:hAnsi="仿宋_GB2312" w:eastAsia="仿宋_GB2312" w:cs="仿宋_GB2312"/>
          <w:b/>
          <w:bCs/>
          <w:color w:val="auto"/>
          <w:lang w:val="en-US" w:eastAsia="zh-CN"/>
        </w:rPr>
        <w:t>、定义</w:t>
      </w:r>
      <w:bookmarkEnd w:id="52"/>
      <w:bookmarkEnd w:id="53"/>
      <w:bookmarkEnd w:id="54"/>
      <w:bookmarkEnd w:id="55"/>
      <w:bookmarkEnd w:id="56"/>
      <w:bookmarkEnd w:id="57"/>
      <w:bookmarkEnd w:id="58"/>
    </w:p>
    <w:p w14:paraId="6CAF0E0C">
      <w:pPr>
        <w:spacing w:line="240" w:lineRule="auto"/>
        <w:ind w:firstLine="566" w:firstLineChars="200"/>
        <w:rPr>
          <w:rFonts w:hint="eastAsia" w:ascii="仿宋_GB2312" w:hAnsi="仿宋_GB2312" w:eastAsia="仿宋_GB2312" w:cs="仿宋_GB2312"/>
          <w:color w:val="auto"/>
        </w:rPr>
      </w:pPr>
      <w:bookmarkStart w:id="59" w:name="_Toc11840_WPSOffice_Level3"/>
      <w:r>
        <w:rPr>
          <w:rFonts w:hint="eastAsia" w:ascii="仿宋_GB2312" w:hAnsi="仿宋_GB2312" w:eastAsia="仿宋_GB2312" w:cs="仿宋_GB2312"/>
          <w:color w:val="auto"/>
        </w:rPr>
        <w:t>（一）采 购 人：</w:t>
      </w:r>
      <w:bookmarkEnd w:id="59"/>
      <w:bookmarkStart w:id="60" w:name="_Toc9917_WPSOffice_Level3"/>
      <w:r>
        <w:rPr>
          <w:rFonts w:hint="eastAsia" w:ascii="Times New Roman" w:hAnsi="Times New Roman" w:eastAsia="仿宋_GB2312" w:cs="Times New Roman"/>
          <w:color w:val="auto"/>
          <w:kern w:val="0"/>
          <w:lang w:val="en-US" w:eastAsia="zh-CN"/>
        </w:rPr>
        <w:t>汉中市传染病医院（汉中市第二人民医院）</w:t>
      </w:r>
    </w:p>
    <w:p w14:paraId="12BAC771">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（二）监督机构：</w:t>
      </w:r>
      <w:bookmarkEnd w:id="60"/>
      <w:r>
        <w:rPr>
          <w:rFonts w:hint="eastAsia" w:ascii="仿宋_GB2312" w:hAnsi="仿宋_GB2312" w:eastAsia="仿宋_GB2312" w:cs="仿宋_GB2312"/>
          <w:color w:val="auto"/>
        </w:rPr>
        <w:t>汉台区财政局</w:t>
      </w:r>
    </w:p>
    <w:p w14:paraId="2281EEE1">
      <w:pPr>
        <w:spacing w:line="240" w:lineRule="auto"/>
        <w:ind w:firstLine="566" w:firstLineChars="200"/>
        <w:rPr>
          <w:rFonts w:hint="eastAsia" w:ascii="仿宋_GB2312" w:hAnsi="仿宋_GB2312" w:eastAsia="仿宋_GB2312" w:cs="仿宋_GB2312"/>
          <w:color w:val="auto"/>
        </w:rPr>
      </w:pPr>
      <w:bookmarkStart w:id="61" w:name="_Toc8219_WPSOffice_Level3"/>
      <w:r>
        <w:rPr>
          <w:rFonts w:hint="eastAsia" w:ascii="仿宋_GB2312" w:hAnsi="仿宋_GB2312" w:eastAsia="仿宋_GB2312" w:cs="仿宋_GB2312"/>
          <w:color w:val="auto"/>
        </w:rPr>
        <w:t>（三）集中采购机构（采购代理机构）：汉中市汉台区政府采购中心</w:t>
      </w:r>
      <w:bookmarkEnd w:id="61"/>
    </w:p>
    <w:p w14:paraId="6DB5E362">
      <w:pPr>
        <w:spacing w:line="240" w:lineRule="auto"/>
        <w:ind w:firstLine="566" w:firstLineChars="200"/>
        <w:rPr>
          <w:rFonts w:hint="eastAsia" w:ascii="仿宋_GB2312" w:hAnsi="仿宋_GB2312" w:eastAsia="仿宋_GB2312" w:cs="仿宋_GB2312"/>
          <w:color w:val="auto"/>
        </w:rPr>
      </w:pPr>
      <w:bookmarkStart w:id="62" w:name="_Toc20141_WPSOffice_Level3"/>
      <w:r>
        <w:rPr>
          <w:rFonts w:hint="eastAsia" w:ascii="仿宋_GB2312" w:hAnsi="仿宋_GB2312" w:eastAsia="仿宋_GB2312" w:cs="仿宋_GB2312"/>
          <w:color w:val="auto"/>
        </w:rPr>
        <w:t>（四）供应商：拟向采购人提供货物、工程或者服务的法人、其他组织或者自然人</w:t>
      </w:r>
      <w:bookmarkEnd w:id="62"/>
    </w:p>
    <w:p w14:paraId="75E128E6">
      <w:pPr>
        <w:snapToGrid w:val="0"/>
        <w:spacing w:line="240" w:lineRule="auto"/>
        <w:ind w:firstLine="566" w:firstLineChars="200"/>
        <w:outlineLvl w:val="1"/>
        <w:rPr>
          <w:rFonts w:hint="eastAsia" w:ascii="仿宋" w:hAnsi="仿宋" w:eastAsia="仿宋_GB2312" w:cs="仿宋"/>
          <w:color w:val="auto"/>
        </w:rPr>
      </w:pPr>
      <w:r>
        <w:rPr>
          <w:rFonts w:hint="eastAsia" w:ascii="仿宋" w:hAnsi="仿宋" w:eastAsia="仿宋_GB2312" w:cs="仿宋"/>
          <w:color w:val="auto"/>
        </w:rPr>
        <w:t>（五）联合体磋商：两个以上供应商可以组成一个磋商联合体，以一个磋商供应商的身份磋商。以联合体形式参加磋商的，联合体各方均应当符合政府采购法第二十二条第一款规定的条件。采购人根据采购项目的特殊要求规定磋商供应商特定条件的，联合体各方中至少应当有一方符合采购人规定的特定条件。联合体各方之间应当签订共同磋商协议，明确约定联合体各方承担的工作和相应的责任，并将共同磋商协议连同磋商文件一并提交招标采购单位。联合体各方签订共同磋商协议后，不得再以自己名义单独在同一项目中磋商，也不得组成新的联合体参加同一项目磋商。</w:t>
      </w:r>
    </w:p>
    <w:p w14:paraId="59EAFAF6">
      <w:pPr>
        <w:snapToGrid w:val="0"/>
        <w:spacing w:line="240" w:lineRule="auto"/>
        <w:ind w:firstLine="566" w:firstLineChars="200"/>
        <w:outlineLvl w:val="1"/>
        <w:rPr>
          <w:rFonts w:hint="eastAsia" w:ascii="仿宋" w:hAnsi="仿宋" w:eastAsia="仿宋_GB2312" w:cs="仿宋"/>
          <w:color w:val="auto"/>
        </w:rPr>
      </w:pPr>
      <w:r>
        <w:rPr>
          <w:rFonts w:hint="eastAsia" w:ascii="仿宋" w:hAnsi="仿宋" w:eastAsia="仿宋_GB2312" w:cs="仿宋"/>
          <w:b/>
          <w:bCs/>
          <w:color w:val="auto"/>
        </w:rPr>
        <w:t>本项目为政府采购服务项目。项目</w:t>
      </w:r>
      <w:r>
        <w:rPr>
          <w:rFonts w:hint="eastAsia" w:ascii="仿宋" w:hAnsi="仿宋" w:eastAsia="仿宋_GB2312" w:cs="仿宋"/>
          <w:b/>
          <w:bCs/>
          <w:color w:val="auto"/>
          <w:lang w:eastAsia="zh-CN"/>
        </w:rPr>
        <w:t>不</w:t>
      </w:r>
      <w:r>
        <w:rPr>
          <w:rFonts w:hint="eastAsia" w:ascii="仿宋" w:hAnsi="仿宋" w:eastAsia="仿宋_GB2312" w:cs="仿宋"/>
          <w:b/>
          <w:bCs/>
          <w:color w:val="auto"/>
        </w:rPr>
        <w:t>接受联合体方式磋商,不允许分包。采购预算由其他财政资金安排。</w:t>
      </w:r>
    </w:p>
    <w:p w14:paraId="26AA8F81">
      <w:pPr>
        <w:spacing w:line="500" w:lineRule="exact"/>
        <w:ind w:firstLine="566" w:firstLineChars="200"/>
        <w:rPr>
          <w:rFonts w:hint="eastAsia" w:ascii="仿宋_GB2312" w:hAnsi="仿宋_GB2312" w:eastAsia="仿宋_GB2312" w:cs="仿宋_GB2312"/>
          <w:b/>
          <w:bCs/>
          <w:color w:val="auto"/>
        </w:rPr>
      </w:pPr>
      <w:bookmarkStart w:id="63" w:name="_Toc20906_WPSOffice_Level2"/>
      <w:bookmarkStart w:id="64" w:name="_Toc13654"/>
      <w:bookmarkStart w:id="65" w:name="_Toc27278_WPSOffice_Level2"/>
      <w:bookmarkStart w:id="66" w:name="_Toc24646"/>
      <w:bookmarkStart w:id="67" w:name="_Toc4606"/>
      <w:bookmarkStart w:id="68" w:name="_Toc11745_WPSOffice_Level2"/>
      <w:bookmarkStart w:id="69" w:name="_Toc9291"/>
      <w:r>
        <w:rPr>
          <w:rFonts w:hint="eastAsia" w:ascii="仿宋_GB2312" w:hAnsi="仿宋_GB2312" w:eastAsia="仿宋_GB2312" w:cs="仿宋_GB2312"/>
          <w:b/>
          <w:bCs/>
          <w:color w:val="auto"/>
        </w:rPr>
        <w:t>二、供应商注意事项</w:t>
      </w:r>
      <w:bookmarkEnd w:id="63"/>
      <w:bookmarkEnd w:id="64"/>
      <w:bookmarkEnd w:id="65"/>
      <w:bookmarkEnd w:id="66"/>
      <w:bookmarkEnd w:id="67"/>
      <w:bookmarkEnd w:id="68"/>
      <w:bookmarkEnd w:id="69"/>
    </w:p>
    <w:p w14:paraId="784FFD0F">
      <w:pPr>
        <w:spacing w:line="240" w:lineRule="auto"/>
        <w:ind w:firstLine="566" w:firstLineChars="200"/>
        <w:rPr>
          <w:rFonts w:hint="eastAsia" w:ascii="仿宋_GB2312" w:hAnsi="仿宋_GB2312" w:eastAsia="仿宋_GB2312" w:cs="仿宋_GB2312"/>
          <w:b/>
          <w:color w:val="auto"/>
        </w:rPr>
      </w:pPr>
      <w:bookmarkStart w:id="70" w:name="_Toc26982_WPSOffice_Level3"/>
      <w:bookmarkStart w:id="71" w:name="_Toc21291"/>
      <w:r>
        <w:rPr>
          <w:rFonts w:hint="eastAsia" w:ascii="仿宋_GB2312" w:hAnsi="仿宋_GB2312" w:eastAsia="仿宋_GB2312" w:cs="仿宋_GB2312"/>
          <w:b/>
          <w:bCs/>
          <w:color w:val="auto"/>
        </w:rPr>
        <w:t>（一）</w:t>
      </w:r>
      <w:r>
        <w:rPr>
          <w:rFonts w:hint="eastAsia" w:ascii="仿宋_GB2312" w:hAnsi="仿宋_GB2312" w:eastAsia="仿宋_GB2312" w:cs="仿宋_GB2312"/>
          <w:b/>
          <w:color w:val="auto"/>
        </w:rPr>
        <w:t>现场考察及磋商前答疑会</w:t>
      </w:r>
    </w:p>
    <w:bookmarkEnd w:id="70"/>
    <w:bookmarkEnd w:id="71"/>
    <w:p w14:paraId="2FAC274E">
      <w:pPr>
        <w:pStyle w:val="11"/>
        <w:ind w:firstLine="566" w:firstLineChars="200"/>
        <w:rPr>
          <w:rFonts w:hint="eastAsia" w:ascii="仿宋_GB2312" w:hAnsi="仿宋_GB2312" w:eastAsia="仿宋_GB2312" w:cs="仿宋_GB2312"/>
          <w:bCs/>
          <w:color w:val="auto"/>
          <w:sz w:val="28"/>
          <w:szCs w:val="28"/>
        </w:rPr>
      </w:pPr>
      <w:bookmarkStart w:id="72" w:name="_Toc669_WPSOffice_Level3"/>
      <w:r>
        <w:rPr>
          <w:rFonts w:hint="eastAsia" w:ascii="仿宋_GB2312" w:hAnsi="仿宋_GB2312" w:eastAsia="仿宋_GB2312" w:cs="仿宋_GB2312"/>
          <w:bCs/>
          <w:color w:val="auto"/>
          <w:sz w:val="28"/>
          <w:szCs w:val="28"/>
        </w:rPr>
        <w:t>采购项目安排现场考察和磋商前答疑的，采购人应尽量在现场予以解答 （口头提问可口头答复），现场不能做出解答的，应在三个工作日内书面答复，并交由集中采购机构在财政部门指定的媒体上发布。 答复内容可能影响响应文件编制的，应当顺延磋商时间。凡未参加现场考察及磋商前答疑会的供应商，由此造成的偏差由各供应商自行负责。</w:t>
      </w:r>
    </w:p>
    <w:p w14:paraId="7BCCB406">
      <w:pPr>
        <w:spacing w:line="240" w:lineRule="auto"/>
        <w:ind w:firstLine="888" w:firstLineChars="314"/>
        <w:rPr>
          <w:rFonts w:hint="eastAsia" w:ascii="仿宋" w:hAnsi="仿宋" w:eastAsia="仿宋_GB2312" w:cs="仿宋"/>
          <w:b/>
          <w:color w:val="auto"/>
          <w:kern w:val="1"/>
        </w:rPr>
      </w:pPr>
      <w:r>
        <w:rPr>
          <w:rFonts w:hint="eastAsia" w:ascii="仿宋" w:hAnsi="仿宋" w:eastAsia="仿宋_GB2312" w:cs="仿宋"/>
          <w:b/>
          <w:color w:val="auto"/>
          <w:kern w:val="1"/>
        </w:rPr>
        <w:t>本项目</w:t>
      </w:r>
      <w:r>
        <w:rPr>
          <w:rFonts w:hint="eastAsia" w:ascii="仿宋" w:hAnsi="仿宋" w:eastAsia="仿宋_GB2312" w:cs="仿宋"/>
          <w:b/>
          <w:color w:val="auto"/>
          <w:kern w:val="1"/>
          <w:lang w:eastAsia="zh-CN"/>
        </w:rPr>
        <w:t>由采购人</w:t>
      </w:r>
      <w:r>
        <w:rPr>
          <w:rFonts w:hint="eastAsia" w:ascii="仿宋" w:hAnsi="仿宋" w:eastAsia="仿宋_GB2312" w:cs="仿宋"/>
          <w:b/>
          <w:color w:val="auto"/>
          <w:kern w:val="1"/>
        </w:rPr>
        <w:t>组织集中踏勘。</w:t>
      </w:r>
    </w:p>
    <w:p w14:paraId="49BFEF9B">
      <w:pPr>
        <w:spacing w:line="240" w:lineRule="auto"/>
        <w:ind w:firstLine="888" w:firstLineChars="314"/>
        <w:rPr>
          <w:rFonts w:hint="eastAsia" w:ascii="仿宋" w:hAnsi="仿宋" w:eastAsia="仿宋_GB2312" w:cs="仿宋"/>
          <w:b/>
          <w:color w:val="auto"/>
          <w:kern w:val="1"/>
          <w:lang w:eastAsia="zh-CN"/>
        </w:rPr>
      </w:pPr>
      <w:r>
        <w:rPr>
          <w:rFonts w:hint="eastAsia" w:ascii="仿宋" w:hAnsi="仿宋" w:eastAsia="仿宋_GB2312" w:cs="仿宋"/>
          <w:b/>
          <w:color w:val="auto"/>
          <w:kern w:val="1"/>
          <w:lang w:eastAsia="zh-CN"/>
        </w:rPr>
        <w:t>踏勘地点：</w:t>
      </w:r>
      <w:r>
        <w:rPr>
          <w:rFonts w:hint="eastAsia" w:ascii="仿宋" w:hAnsi="仿宋" w:eastAsia="仿宋_GB2312" w:cs="仿宋"/>
          <w:b/>
          <w:color w:val="auto"/>
          <w:kern w:val="1"/>
          <w:lang w:val="en-US" w:eastAsia="zh-CN"/>
        </w:rPr>
        <w:t>汉中市传染病医院（汉中市第二人民医院）</w:t>
      </w:r>
    </w:p>
    <w:p w14:paraId="46B8114C">
      <w:pPr>
        <w:spacing w:line="240" w:lineRule="auto"/>
        <w:ind w:firstLine="888" w:firstLineChars="314"/>
        <w:rPr>
          <w:rFonts w:hint="default" w:ascii="仿宋" w:hAnsi="仿宋" w:eastAsia="仿宋_GB2312" w:cs="仿宋"/>
          <w:b/>
          <w:color w:val="auto"/>
          <w:kern w:val="1"/>
          <w:lang w:val="en-US" w:eastAsia="zh-CN"/>
        </w:rPr>
      </w:pPr>
      <w:r>
        <w:rPr>
          <w:rFonts w:hint="eastAsia" w:ascii="仿宋" w:hAnsi="仿宋" w:eastAsia="仿宋_GB2312" w:cs="仿宋"/>
          <w:b/>
          <w:color w:val="auto"/>
          <w:kern w:val="1"/>
          <w:lang w:eastAsia="zh-CN"/>
        </w:rPr>
        <w:t>踏勘时间：</w:t>
      </w:r>
      <w:r>
        <w:rPr>
          <w:rFonts w:hint="eastAsia" w:ascii="仿宋" w:hAnsi="仿宋" w:eastAsia="仿宋_GB2312" w:cs="仿宋"/>
          <w:b/>
          <w:color w:val="auto"/>
          <w:kern w:val="1"/>
          <w:lang w:val="en-US" w:eastAsia="zh-CN"/>
        </w:rPr>
        <w:t>2025年8月25日 上午9:00</w:t>
      </w:r>
      <w:bookmarkStart w:id="315" w:name="_GoBack"/>
      <w:bookmarkEnd w:id="315"/>
    </w:p>
    <w:p w14:paraId="2BA0E299">
      <w:pPr>
        <w:spacing w:line="240" w:lineRule="auto"/>
        <w:ind w:firstLine="888" w:firstLineChars="314"/>
        <w:rPr>
          <w:rFonts w:hint="default" w:ascii="仿宋" w:hAnsi="仿宋" w:eastAsia="仿宋_GB2312" w:cs="仿宋"/>
          <w:b/>
          <w:color w:val="auto"/>
          <w:kern w:val="1"/>
          <w:lang w:val="en-US" w:eastAsia="zh-CN"/>
        </w:rPr>
      </w:pPr>
      <w:r>
        <w:rPr>
          <w:rFonts w:hint="eastAsia" w:ascii="仿宋" w:hAnsi="仿宋" w:eastAsia="仿宋_GB2312" w:cs="仿宋"/>
          <w:b/>
          <w:color w:val="auto"/>
          <w:kern w:val="1"/>
          <w:lang w:eastAsia="zh-CN"/>
        </w:rPr>
        <w:t>联</w:t>
      </w:r>
      <w:r>
        <w:rPr>
          <w:rFonts w:hint="eastAsia" w:ascii="仿宋" w:hAnsi="仿宋" w:eastAsia="仿宋_GB2312" w:cs="仿宋"/>
          <w:b/>
          <w:color w:val="auto"/>
          <w:kern w:val="1"/>
          <w:lang w:val="en-US" w:eastAsia="zh-CN"/>
        </w:rPr>
        <w:t xml:space="preserve"> </w:t>
      </w:r>
      <w:r>
        <w:rPr>
          <w:rFonts w:hint="eastAsia" w:ascii="仿宋" w:hAnsi="仿宋" w:eastAsia="仿宋_GB2312" w:cs="仿宋"/>
          <w:b/>
          <w:color w:val="auto"/>
          <w:kern w:val="1"/>
          <w:lang w:eastAsia="zh-CN"/>
        </w:rPr>
        <w:t>系</w:t>
      </w:r>
      <w:r>
        <w:rPr>
          <w:rFonts w:hint="eastAsia" w:ascii="仿宋" w:hAnsi="仿宋" w:eastAsia="仿宋_GB2312" w:cs="仿宋"/>
          <w:b/>
          <w:color w:val="auto"/>
          <w:kern w:val="1"/>
          <w:lang w:val="en-US" w:eastAsia="zh-CN"/>
        </w:rPr>
        <w:t xml:space="preserve"> </w:t>
      </w:r>
      <w:r>
        <w:rPr>
          <w:rFonts w:hint="eastAsia" w:ascii="仿宋" w:hAnsi="仿宋" w:eastAsia="仿宋_GB2312" w:cs="仿宋"/>
          <w:b/>
          <w:color w:val="auto"/>
          <w:kern w:val="1"/>
          <w:lang w:eastAsia="zh-CN"/>
        </w:rPr>
        <w:t>人：王正亮</w:t>
      </w:r>
      <w:r>
        <w:rPr>
          <w:rFonts w:hint="eastAsia" w:ascii="仿宋" w:hAnsi="仿宋" w:eastAsia="仿宋_GB2312" w:cs="仿宋"/>
          <w:b/>
          <w:color w:val="auto"/>
          <w:kern w:val="1"/>
          <w:lang w:val="en-US" w:eastAsia="zh-CN"/>
        </w:rPr>
        <w:t xml:space="preserve"> 13186319377</w:t>
      </w:r>
    </w:p>
    <w:p w14:paraId="3A6A2D7D">
      <w:pPr>
        <w:spacing w:line="240" w:lineRule="auto"/>
        <w:ind w:firstLine="888" w:firstLineChars="314"/>
        <w:rPr>
          <w:rFonts w:hint="eastAsia" w:ascii="仿宋" w:hAnsi="仿宋" w:eastAsia="仿宋_GB2312" w:cs="仿宋"/>
          <w:b/>
          <w:color w:val="auto"/>
          <w:kern w:val="1"/>
          <w:lang w:eastAsia="zh-CN"/>
        </w:rPr>
      </w:pPr>
    </w:p>
    <w:p w14:paraId="658A5EA9">
      <w:pPr>
        <w:spacing w:line="500" w:lineRule="exact"/>
        <w:ind w:firstLine="566" w:firstLineChars="200"/>
        <w:rPr>
          <w:rFonts w:hint="eastAsia" w:ascii="仿宋_GB2312" w:hAnsi="仿宋_GB2312" w:eastAsia="仿宋_GB2312" w:cs="仿宋_GB2312"/>
          <w:b/>
          <w:bCs/>
          <w:color w:val="auto"/>
        </w:rPr>
      </w:pPr>
      <w:r>
        <w:rPr>
          <w:rFonts w:hint="eastAsia" w:ascii="仿宋_GB2312" w:hAnsi="仿宋_GB2312" w:eastAsia="仿宋_GB2312" w:cs="仿宋_GB2312"/>
          <w:b/>
          <w:color w:val="auto"/>
        </w:rPr>
        <w:t>（二）</w:t>
      </w:r>
      <w:bookmarkEnd w:id="72"/>
      <w:bookmarkStart w:id="73" w:name="_Toc9412_WPSOffice_Level3"/>
      <w:r>
        <w:rPr>
          <w:rFonts w:hint="eastAsia" w:ascii="仿宋_GB2312" w:hAnsi="仿宋_GB2312" w:eastAsia="仿宋_GB2312" w:cs="仿宋_GB2312"/>
          <w:b/>
          <w:bCs/>
          <w:color w:val="auto"/>
        </w:rPr>
        <w:t>询问</w:t>
      </w:r>
    </w:p>
    <w:p w14:paraId="085E70C2">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1、供应商针对采购文件，向采购人提出书面询问的，采购人应在三个工作日内书面答复；供应商向集中采购机构提出书面询问的，汉台区政府采购中心在委托授权范围内作出答复，超出范围应告知采购人作出答复。 </w:t>
      </w:r>
    </w:p>
    <w:p w14:paraId="2A188384">
      <w:pPr>
        <w:spacing w:line="240" w:lineRule="auto"/>
        <w:ind w:firstLine="566" w:firstLineChars="200"/>
        <w:rPr>
          <w:rFonts w:hint="eastAsia" w:ascii="仿宋_GB2312" w:hAnsi="仿宋_GB2312" w:eastAsia="仿宋_GB2312" w:cs="仿宋_GB2312"/>
          <w:bCs/>
          <w:color w:val="auto"/>
        </w:rPr>
      </w:pPr>
      <w:r>
        <w:rPr>
          <w:rFonts w:hint="eastAsia" w:ascii="仿宋_GB2312" w:hAnsi="仿宋_GB2312" w:eastAsia="仿宋_GB2312" w:cs="仿宋_GB2312"/>
          <w:color w:val="auto"/>
        </w:rPr>
        <w:t>2、供应商针对采购过程、中标（成交）结果，向集中采购机构提出书面询问的，集中采购机构应在三个工作日内书面答复。</w:t>
      </w:r>
    </w:p>
    <w:p w14:paraId="097A2BE8">
      <w:pPr>
        <w:spacing w:line="500" w:lineRule="exact"/>
        <w:ind w:firstLine="566" w:firstLineChars="200"/>
        <w:rPr>
          <w:rFonts w:hint="eastAsia" w:ascii="仿宋_GB2312" w:hAnsi="仿宋_GB2312" w:eastAsia="仿宋_GB2312" w:cs="仿宋_GB2312"/>
          <w:b/>
          <w:color w:val="auto"/>
        </w:rPr>
      </w:pPr>
      <w:r>
        <w:rPr>
          <w:rFonts w:hint="eastAsia" w:ascii="仿宋_GB2312" w:hAnsi="仿宋_GB2312" w:eastAsia="仿宋_GB2312" w:cs="仿宋_GB2312"/>
          <w:b/>
          <w:color w:val="auto"/>
        </w:rPr>
        <w:t>（三）质疑和投诉</w:t>
      </w:r>
      <w:bookmarkEnd w:id="73"/>
    </w:p>
    <w:p w14:paraId="2EF32BAA">
      <w:pPr>
        <w:spacing w:line="240" w:lineRule="auto"/>
        <w:ind w:firstLine="566" w:firstLineChars="200"/>
        <w:contextualSpacing/>
        <w:rPr>
          <w:rFonts w:ascii="Times New Roman" w:hAnsi="Times New Roman" w:eastAsia="仿宋_GB2312" w:cs="Times New Roman"/>
          <w:color w:val="auto"/>
        </w:rPr>
      </w:pPr>
      <w:bookmarkStart w:id="74" w:name="_Toc14110_WPSOffice_Level3"/>
      <w:r>
        <w:rPr>
          <w:rFonts w:ascii="Times New Roman" w:hAnsi="Times New Roman" w:eastAsia="仿宋_GB2312" w:cs="Times New Roman"/>
          <w:color w:val="auto"/>
        </w:rPr>
        <w:t>1、供应商如果认为采购过程、中标或者成交结果使自身的合法权益受到损害，可以在知道或者应知其权益受到损害之日起7个工作日内，以书面形式向采购人、集中采购机构提出质疑。</w:t>
      </w:r>
    </w:p>
    <w:p w14:paraId="41DEDE11">
      <w:pPr>
        <w:spacing w:line="240" w:lineRule="auto"/>
        <w:ind w:firstLine="566" w:firstLineChars="200"/>
        <w:contextualSpacing/>
        <w:rPr>
          <w:rFonts w:ascii="Times New Roman" w:hAnsi="Times New Roman" w:eastAsia="仿宋_GB2312" w:cs="Times New Roman"/>
          <w:color w:val="auto"/>
        </w:rPr>
      </w:pPr>
      <w:r>
        <w:rPr>
          <w:rFonts w:ascii="Times New Roman" w:hAnsi="Times New Roman" w:eastAsia="仿宋_GB2312" w:cs="Times New Roman"/>
          <w:color w:val="auto"/>
        </w:rPr>
        <w:t>2、潜在供应商已依法获取其可质疑的磋商文件的，可以对该文件提出质疑。对磋商文件提出质疑的，应当在获取磋商文件或者磋商文件公告期限届满之日起7个工作日内提出。</w:t>
      </w:r>
    </w:p>
    <w:p w14:paraId="1DFA0CB1">
      <w:pPr>
        <w:spacing w:line="240" w:lineRule="auto"/>
        <w:ind w:firstLine="566" w:firstLineChars="200"/>
        <w:contextualSpacing/>
        <w:rPr>
          <w:rFonts w:ascii="Times New Roman" w:hAnsi="Times New Roman" w:eastAsia="仿宋_GB2312" w:cs="Times New Roman"/>
          <w:color w:val="auto"/>
          <w:spacing w:val="6"/>
          <w:sz w:val="28"/>
        </w:rPr>
      </w:pPr>
      <w:r>
        <w:rPr>
          <w:rFonts w:ascii="Times New Roman" w:hAnsi="Times New Roman" w:eastAsia="仿宋_GB2312" w:cs="Times New Roman"/>
          <w:color w:val="auto"/>
        </w:rPr>
        <w:t>3、</w:t>
      </w:r>
      <w:r>
        <w:rPr>
          <w:rFonts w:ascii="Times New Roman" w:hAnsi="Times New Roman" w:eastAsia="仿宋_GB2312" w:cs="Times New Roman"/>
          <w:color w:val="auto"/>
          <w:spacing w:val="6"/>
          <w:sz w:val="28"/>
        </w:rPr>
        <w:t>供应商在法定质疑期内针对同一采购程序环节的质疑应一次性提出。</w:t>
      </w:r>
    </w:p>
    <w:p w14:paraId="1CC5A5F7">
      <w:pPr>
        <w:spacing w:line="240" w:lineRule="auto"/>
        <w:ind w:firstLine="566" w:firstLineChars="200"/>
        <w:contextualSpacing/>
        <w:rPr>
          <w:rFonts w:ascii="Times New Roman" w:hAnsi="Times New Roman" w:eastAsia="仿宋_GB2312" w:cs="Times New Roman"/>
          <w:color w:val="auto"/>
        </w:rPr>
      </w:pPr>
      <w:r>
        <w:rPr>
          <w:rFonts w:ascii="Times New Roman" w:hAnsi="Times New Roman" w:eastAsia="仿宋_GB2312" w:cs="Times New Roman"/>
          <w:color w:val="auto"/>
        </w:rPr>
        <w:t>4、供应商提出质疑应当提交质疑函和必要的证明材料，并按财政部《质疑函范本》给定的格式进行填写，范本下载详见【财政部国库司（gks.mof.gov.cn）】网站〖首页•〉政府采购管理〗栏目中的《政府采购供应商质疑函范本》。</w:t>
      </w:r>
    </w:p>
    <w:p w14:paraId="657CA907">
      <w:pPr>
        <w:spacing w:line="240" w:lineRule="auto"/>
        <w:ind w:firstLine="566" w:firstLineChars="200"/>
        <w:contextualSpacing/>
        <w:rPr>
          <w:rFonts w:ascii="Times New Roman" w:hAnsi="Times New Roman" w:eastAsia="仿宋_GB2312" w:cs="Times New Roman"/>
          <w:color w:val="auto"/>
        </w:rPr>
      </w:pPr>
      <w:r>
        <w:rPr>
          <w:rFonts w:ascii="Times New Roman" w:hAnsi="Times New Roman" w:eastAsia="仿宋_GB2312" w:cs="Times New Roman"/>
          <w:color w:val="auto"/>
        </w:rPr>
        <w:t>《政府采购供应商质疑函范本》链接地址：</w:t>
      </w:r>
    </w:p>
    <w:p w14:paraId="7A6D6980">
      <w:pPr>
        <w:spacing w:line="240" w:lineRule="auto"/>
        <w:ind w:firstLine="566" w:firstLineChars="200"/>
        <w:contextualSpacing/>
        <w:rPr>
          <w:rFonts w:ascii="Times New Roman" w:hAnsi="Times New Roman" w:eastAsia="仿宋_GB2312" w:cs="Times New Roman"/>
          <w:color w:val="auto"/>
        </w:rPr>
      </w:pPr>
      <w:r>
        <w:rPr>
          <w:rFonts w:ascii="Times New Roman" w:hAnsi="Times New Roman" w:eastAsia="仿宋_GB2312" w:cs="Times New Roman"/>
          <w:color w:val="auto"/>
        </w:rPr>
        <w:t>http://gks.mof.gov.cn/ztztz/zhengfucaigouguanli/201802/t20180201_2804589.htm</w:t>
      </w:r>
    </w:p>
    <w:p w14:paraId="52754C49">
      <w:pPr>
        <w:numPr>
          <w:ilvl w:val="0"/>
          <w:numId w:val="4"/>
        </w:numPr>
        <w:spacing w:line="240" w:lineRule="auto"/>
        <w:ind w:firstLine="566" w:firstLineChars="200"/>
        <w:contextualSpacing/>
        <w:rPr>
          <w:rFonts w:ascii="Times New Roman" w:hAnsi="Times New Roman" w:eastAsia="仿宋_GB2312" w:cs="Times New Roman"/>
          <w:color w:val="auto"/>
        </w:rPr>
      </w:pPr>
      <w:r>
        <w:rPr>
          <w:rFonts w:ascii="Times New Roman" w:hAnsi="Times New Roman" w:eastAsia="仿宋_GB2312" w:cs="Times New Roman"/>
          <w:color w:val="auto"/>
        </w:rPr>
        <w:t>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14:paraId="78FC5EDD">
      <w:pPr>
        <w:ind w:firstLine="566" w:firstLineChars="200"/>
        <w:jc w:val="left"/>
        <w:rPr>
          <w:rFonts w:ascii="Times New Roman" w:hAnsi="Times New Roman" w:eastAsia="仿宋_GB2312" w:cs="Times New Roman"/>
          <w:color w:val="auto"/>
        </w:rPr>
      </w:pPr>
      <w:r>
        <w:rPr>
          <w:rFonts w:ascii="Times New Roman" w:hAnsi="Times New Roman" w:eastAsia="仿宋_GB2312" w:cs="Times New Roman"/>
          <w:color w:val="auto"/>
          <w:kern w:val="0"/>
          <w:lang w:bidi="ar"/>
        </w:rPr>
        <w:t xml:space="preserve">6、在法定质疑期内，针对同一采购程序环节的质疑应当一次性提出。 </w:t>
      </w:r>
    </w:p>
    <w:p w14:paraId="04D03608">
      <w:pPr>
        <w:jc w:val="left"/>
        <w:rPr>
          <w:rFonts w:ascii="Times New Roman" w:hAnsi="Times New Roman" w:eastAsia="仿宋_GB2312" w:cs="Times New Roman"/>
          <w:color w:val="auto"/>
        </w:rPr>
      </w:pPr>
      <w:r>
        <w:rPr>
          <w:rFonts w:ascii="Times New Roman" w:hAnsi="Times New Roman" w:eastAsia="仿宋_GB2312" w:cs="Times New Roman"/>
          <w:color w:val="auto"/>
          <w:kern w:val="0"/>
          <w:lang w:bidi="ar"/>
        </w:rPr>
        <w:t xml:space="preserve">采购代理机构或采购人将在收到书面质疑后 7 个工作日内做出答复，并以书面形式通知质疑人和其他有关供应商。 </w:t>
      </w:r>
    </w:p>
    <w:p w14:paraId="42B57A31">
      <w:pPr>
        <w:ind w:firstLine="566" w:firstLineChars="200"/>
        <w:jc w:val="left"/>
        <w:rPr>
          <w:rFonts w:ascii="Times New Roman" w:hAnsi="Times New Roman" w:eastAsia="仿宋_GB2312" w:cs="Times New Roman"/>
          <w:color w:val="auto"/>
          <w:spacing w:val="6"/>
          <w:sz w:val="28"/>
        </w:rPr>
      </w:pPr>
      <w:r>
        <w:rPr>
          <w:rFonts w:ascii="Times New Roman" w:hAnsi="Times New Roman" w:eastAsia="仿宋_GB2312" w:cs="Times New Roman"/>
          <w:color w:val="auto"/>
          <w:kern w:val="0"/>
          <w:lang w:bidi="ar"/>
        </w:rPr>
        <w:t>7、</w:t>
      </w:r>
      <w:r>
        <w:rPr>
          <w:rFonts w:ascii="Times New Roman" w:hAnsi="Times New Roman" w:eastAsia="仿宋_GB2312" w:cs="Times New Roman"/>
          <w:color w:val="auto"/>
          <w:spacing w:val="6"/>
          <w:kern w:val="0"/>
          <w:sz w:val="28"/>
          <w:lang w:bidi="ar"/>
        </w:rPr>
        <w:t xml:space="preserve">有下列情形之一的，属于无效质疑，采购代理机构和采购人不予受理： </w:t>
      </w:r>
    </w:p>
    <w:p w14:paraId="471D86DD">
      <w:pPr>
        <w:jc w:val="left"/>
        <w:rPr>
          <w:rFonts w:ascii="Times New Roman" w:hAnsi="Times New Roman" w:eastAsia="仿宋_GB2312" w:cs="Times New Roman"/>
          <w:color w:val="auto"/>
        </w:rPr>
      </w:pPr>
      <w:r>
        <w:rPr>
          <w:rFonts w:ascii="Times New Roman" w:hAnsi="Times New Roman" w:eastAsia="仿宋_GB2312" w:cs="Times New Roman"/>
          <w:color w:val="auto"/>
          <w:kern w:val="0"/>
          <w:lang w:bidi="ar"/>
        </w:rPr>
        <w:t xml:space="preserve">（1）质疑人不是参与本次政府采购项目的供应商或潜在供应商； </w:t>
      </w:r>
    </w:p>
    <w:p w14:paraId="52CB96B0">
      <w:pPr>
        <w:jc w:val="left"/>
        <w:rPr>
          <w:rFonts w:ascii="Times New Roman" w:hAnsi="Times New Roman" w:eastAsia="仿宋_GB2312" w:cs="Times New Roman"/>
          <w:color w:val="auto"/>
        </w:rPr>
      </w:pPr>
      <w:r>
        <w:rPr>
          <w:rFonts w:ascii="Times New Roman" w:hAnsi="Times New Roman" w:eastAsia="仿宋_GB2312" w:cs="Times New Roman"/>
          <w:color w:val="auto"/>
          <w:kern w:val="0"/>
          <w:lang w:bidi="ar"/>
        </w:rPr>
        <w:t xml:space="preserve">（2）质疑人与质疑事项不存在利害关系的； </w:t>
      </w:r>
    </w:p>
    <w:p w14:paraId="6760C5F0">
      <w:pPr>
        <w:jc w:val="left"/>
        <w:rPr>
          <w:rFonts w:ascii="Times New Roman" w:hAnsi="Times New Roman" w:eastAsia="仿宋_GB2312" w:cs="Times New Roman"/>
          <w:color w:val="auto"/>
        </w:rPr>
      </w:pPr>
      <w:r>
        <w:rPr>
          <w:rFonts w:ascii="Times New Roman" w:hAnsi="Times New Roman" w:eastAsia="仿宋_GB2312" w:cs="Times New Roman"/>
          <w:color w:val="auto"/>
          <w:kern w:val="0"/>
          <w:lang w:bidi="ar"/>
        </w:rPr>
        <w:t xml:space="preserve">（3）未在法定期限内提出质疑的； </w:t>
      </w:r>
    </w:p>
    <w:p w14:paraId="52E7F074">
      <w:pPr>
        <w:jc w:val="left"/>
        <w:rPr>
          <w:rFonts w:ascii="Times New Roman" w:hAnsi="Times New Roman" w:eastAsia="仿宋_GB2312" w:cs="Times New Roman"/>
          <w:color w:val="auto"/>
        </w:rPr>
      </w:pPr>
      <w:r>
        <w:rPr>
          <w:rFonts w:ascii="Times New Roman" w:hAnsi="Times New Roman" w:eastAsia="仿宋_GB2312" w:cs="Times New Roman"/>
          <w:color w:val="auto"/>
          <w:kern w:val="0"/>
          <w:lang w:bidi="ar"/>
        </w:rPr>
        <w:t xml:space="preserve">（4）质疑未以书面形式提出，或质疑函主要内容构成不完整的，或缺乏必要的证明材料及证明材料不完整的； </w:t>
      </w:r>
    </w:p>
    <w:p w14:paraId="270080D0">
      <w:pPr>
        <w:jc w:val="left"/>
        <w:rPr>
          <w:rFonts w:ascii="Times New Roman" w:hAnsi="Times New Roman" w:eastAsia="仿宋_GB2312" w:cs="Times New Roman"/>
          <w:color w:val="auto"/>
        </w:rPr>
      </w:pPr>
      <w:r>
        <w:rPr>
          <w:rFonts w:ascii="Times New Roman" w:hAnsi="Times New Roman" w:eastAsia="仿宋_GB2312" w:cs="Times New Roman"/>
          <w:color w:val="auto"/>
          <w:kern w:val="0"/>
          <w:lang w:bidi="ar"/>
        </w:rPr>
        <w:t xml:space="preserve">（5）质疑函没有合法有效的签字、盖章或授权的； </w:t>
      </w:r>
    </w:p>
    <w:p w14:paraId="595A69E7">
      <w:pPr>
        <w:jc w:val="left"/>
        <w:rPr>
          <w:rFonts w:ascii="Times New Roman" w:hAnsi="Times New Roman" w:eastAsia="仿宋_GB2312" w:cs="Times New Roman"/>
          <w:color w:val="auto"/>
        </w:rPr>
      </w:pPr>
      <w:r>
        <w:rPr>
          <w:rFonts w:ascii="Times New Roman" w:hAnsi="Times New Roman" w:eastAsia="仿宋_GB2312" w:cs="Times New Roman"/>
          <w:color w:val="auto"/>
          <w:kern w:val="0"/>
          <w:lang w:bidi="ar"/>
        </w:rPr>
        <w:t xml:space="preserve">（6）以非法手段取得证据、材料的； </w:t>
      </w:r>
    </w:p>
    <w:p w14:paraId="7C9DA18D">
      <w:pPr>
        <w:jc w:val="left"/>
        <w:rPr>
          <w:rFonts w:ascii="Times New Roman" w:hAnsi="Times New Roman" w:eastAsia="仿宋_GB2312" w:cs="Times New Roman"/>
          <w:color w:val="auto"/>
        </w:rPr>
      </w:pPr>
      <w:r>
        <w:rPr>
          <w:rFonts w:ascii="Times New Roman" w:hAnsi="Times New Roman" w:eastAsia="仿宋_GB2312" w:cs="Times New Roman"/>
          <w:color w:val="auto"/>
          <w:kern w:val="0"/>
          <w:lang w:bidi="ar"/>
        </w:rPr>
        <w:t xml:space="preserve">（7）质疑答复后，同一质疑人就同一事项再次提出质疑的； </w:t>
      </w:r>
    </w:p>
    <w:p w14:paraId="464B87DF">
      <w:pPr>
        <w:jc w:val="left"/>
        <w:rPr>
          <w:rFonts w:ascii="Times New Roman" w:hAnsi="Times New Roman" w:eastAsia="仿宋_GB2312" w:cs="Times New Roman"/>
          <w:color w:val="auto"/>
        </w:rPr>
      </w:pPr>
      <w:r>
        <w:rPr>
          <w:rFonts w:ascii="Times New Roman" w:hAnsi="Times New Roman" w:eastAsia="仿宋_GB2312" w:cs="Times New Roman"/>
          <w:color w:val="auto"/>
          <w:kern w:val="0"/>
          <w:lang w:bidi="ar"/>
        </w:rPr>
        <w:t xml:space="preserve">（8）不符合法律、法规、规章和政府采购监管机构规定的其他条件的。 </w:t>
      </w:r>
    </w:p>
    <w:p w14:paraId="5AA85458">
      <w:pPr>
        <w:ind w:firstLine="566" w:firstLineChars="200"/>
        <w:jc w:val="left"/>
        <w:rPr>
          <w:rFonts w:ascii="Times New Roman" w:hAnsi="Times New Roman" w:eastAsia="仿宋_GB2312" w:cs="Times New Roman"/>
          <w:color w:val="auto"/>
        </w:rPr>
      </w:pPr>
      <w:r>
        <w:rPr>
          <w:rFonts w:ascii="Times New Roman" w:hAnsi="Times New Roman" w:eastAsia="仿宋_GB2312" w:cs="Times New Roman"/>
          <w:color w:val="auto"/>
          <w:kern w:val="0"/>
          <w:lang w:bidi="ar"/>
        </w:rPr>
        <w:t xml:space="preserve">8、质疑人对采购代理机构或采购人的答复不满意，以及采购代理机构或采购人未在规定时间内做出答复的，可以在答复期满后 15个工作日内向政府采购监管机构提出投诉。 </w:t>
      </w:r>
    </w:p>
    <w:p w14:paraId="06B8A81D">
      <w:pPr>
        <w:ind w:firstLine="566" w:firstLineChars="200"/>
        <w:jc w:val="left"/>
        <w:rPr>
          <w:rFonts w:ascii="Times New Roman" w:hAnsi="Times New Roman" w:eastAsia="仿宋_GB2312" w:cs="Times New Roman"/>
          <w:color w:val="auto"/>
        </w:rPr>
      </w:pPr>
      <w:r>
        <w:rPr>
          <w:rFonts w:ascii="Times New Roman" w:hAnsi="Times New Roman" w:eastAsia="仿宋_GB2312" w:cs="Times New Roman"/>
          <w:color w:val="auto"/>
          <w:kern w:val="0"/>
          <w:lang w:bidi="ar"/>
        </w:rPr>
        <w:t xml:space="preserve">9、供应商投诉的事项不得超出已质疑事项的范围。 </w:t>
      </w:r>
    </w:p>
    <w:p w14:paraId="7516027A">
      <w:pPr>
        <w:ind w:firstLine="566" w:firstLineChars="200"/>
        <w:jc w:val="left"/>
        <w:rPr>
          <w:rFonts w:ascii="Times New Roman" w:hAnsi="Times New Roman" w:eastAsia="仿宋_GB2312" w:cs="Times New Roman"/>
          <w:color w:val="auto"/>
        </w:rPr>
      </w:pPr>
      <w:r>
        <w:rPr>
          <w:rFonts w:ascii="Times New Roman" w:hAnsi="Times New Roman" w:eastAsia="仿宋_GB2312" w:cs="Times New Roman"/>
          <w:b/>
          <w:bCs/>
          <w:color w:val="auto"/>
          <w:kern w:val="0"/>
          <w:lang w:bidi="ar"/>
        </w:rPr>
        <w:t xml:space="preserve">10、对捏造事实、提供虚假材料进行质疑、投诉的行为予以严肃处理： </w:t>
      </w:r>
    </w:p>
    <w:p w14:paraId="6869E706">
      <w:pPr>
        <w:ind w:firstLine="566" w:firstLineChars="200"/>
        <w:jc w:val="left"/>
        <w:rPr>
          <w:rFonts w:ascii="Times New Roman" w:hAnsi="Times New Roman" w:eastAsia="仿宋_GB2312" w:cs="Times New Roman"/>
          <w:color w:val="auto"/>
        </w:rPr>
      </w:pPr>
      <w:r>
        <w:rPr>
          <w:rFonts w:ascii="Times New Roman" w:hAnsi="Times New Roman" w:eastAsia="仿宋_GB2312" w:cs="Times New Roman"/>
          <w:color w:val="auto"/>
          <w:kern w:val="0"/>
          <w:lang w:bidi="ar"/>
        </w:rPr>
        <w:t>依据《中华人民共和国政府采购法》及其实施条例、《政府采购竞争性磋商采购方式管理暂行办法》及有关问题的补充通知、《政府采购质疑和投诉办法》等法律法规文件的规定，供应商质疑、投诉应当有明确的请求和必要的证明材料。</w:t>
      </w:r>
      <w:r>
        <w:rPr>
          <w:rFonts w:ascii="Times New Roman" w:hAnsi="Times New Roman" w:eastAsia="仿宋_GB2312" w:cs="Times New Roman"/>
          <w:b/>
          <w:bCs/>
          <w:color w:val="auto"/>
          <w:kern w:val="0"/>
          <w:lang w:bidi="ar"/>
        </w:rPr>
        <w:t>投诉人在全国范围内十二个月内三次以上投诉查无实据的，由财政部门列入不良行为记录名单</w:t>
      </w:r>
      <w:r>
        <w:rPr>
          <w:rFonts w:ascii="Times New Roman" w:hAnsi="Times New Roman" w:eastAsia="仿宋_GB2312" w:cs="Times New Roman"/>
          <w:color w:val="auto"/>
          <w:kern w:val="0"/>
          <w:lang w:bidi="ar"/>
        </w:rPr>
        <w:t xml:space="preserve">。对于捏造事实、提供虚假材料或者以非法手段取得证明材料进行投诉的，财政部门应当予以驳回，并将其列入不良行为记录名单，禁止其一至三年内参加政府采购活动。 </w:t>
      </w:r>
    </w:p>
    <w:p w14:paraId="41D0AFD0">
      <w:pPr>
        <w:ind w:firstLine="566" w:firstLineChars="200"/>
        <w:jc w:val="left"/>
        <w:rPr>
          <w:rFonts w:ascii="Times New Roman" w:hAnsi="Times New Roman" w:eastAsia="仿宋_GB2312" w:cs="Times New Roman"/>
          <w:color w:val="auto"/>
        </w:rPr>
      </w:pPr>
      <w:r>
        <w:rPr>
          <w:rFonts w:ascii="Times New Roman" w:hAnsi="Times New Roman" w:eastAsia="仿宋_GB2312" w:cs="Times New Roman"/>
          <w:color w:val="auto"/>
          <w:kern w:val="0"/>
          <w:lang w:bidi="ar"/>
        </w:rPr>
        <w:t>11、</w:t>
      </w:r>
      <w:r>
        <w:rPr>
          <w:rFonts w:ascii="Times New Roman" w:hAnsi="Times New Roman" w:eastAsia="仿宋_GB2312" w:cs="Times New Roman"/>
          <w:b/>
          <w:bCs/>
          <w:color w:val="auto"/>
          <w:kern w:val="0"/>
          <w:lang w:bidi="ar"/>
        </w:rPr>
        <w:t xml:space="preserve">对捏造事实诬告陷害他人、诽谤他人的法律适用： </w:t>
      </w:r>
    </w:p>
    <w:p w14:paraId="290F87C0">
      <w:pPr>
        <w:ind w:firstLine="566" w:firstLineChars="200"/>
        <w:jc w:val="left"/>
        <w:rPr>
          <w:rFonts w:ascii="Times New Roman" w:hAnsi="Times New Roman" w:eastAsia="仿宋_GB2312" w:cs="Times New Roman"/>
          <w:color w:val="auto"/>
        </w:rPr>
      </w:pPr>
      <w:r>
        <w:rPr>
          <w:rFonts w:ascii="Times New Roman" w:hAnsi="Times New Roman" w:eastAsia="仿宋_GB2312" w:cs="Times New Roman"/>
          <w:color w:val="auto"/>
          <w:kern w:val="0"/>
          <w:lang w:bidi="ar"/>
        </w:rPr>
        <w:t xml:space="preserve">《中华人民共和国刑法》第 243 条【诬告陷害罪】捏造事实诬告陷害他人，意图使他人受刑事追究，情节严重的，处三年以下有期徒刑、拘役或者管制；造成严重后果的，处三年以上十年以下有期徒刑。 </w:t>
      </w:r>
    </w:p>
    <w:p w14:paraId="423D25D2">
      <w:pPr>
        <w:ind w:firstLine="566" w:firstLineChars="200"/>
        <w:jc w:val="left"/>
        <w:rPr>
          <w:rFonts w:ascii="Times New Roman" w:hAnsi="Times New Roman" w:eastAsia="仿宋_GB2312" w:cs="Times New Roman"/>
          <w:color w:val="auto"/>
        </w:rPr>
      </w:pPr>
      <w:r>
        <w:rPr>
          <w:rFonts w:ascii="Times New Roman" w:hAnsi="Times New Roman" w:eastAsia="仿宋_GB2312" w:cs="Times New Roman"/>
          <w:color w:val="auto"/>
          <w:kern w:val="0"/>
          <w:lang w:bidi="ar"/>
        </w:rPr>
        <w:t>《中华人民共和国刑法》第 246 条【侮辱罪、诽谤罪】以暴力或者其他方法公然侮辱他人或者捏造事实诽谤他人，情节严重的，处三年以下有期徒刑、拘役、管制或者剥夺政治权利。</w:t>
      </w:r>
    </w:p>
    <w:p w14:paraId="3EE0D244">
      <w:pPr>
        <w:spacing w:line="240" w:lineRule="auto"/>
        <w:ind w:firstLine="566" w:firstLineChars="200"/>
        <w:contextualSpacing/>
        <w:rPr>
          <w:rFonts w:ascii="Times New Roman" w:hAnsi="Times New Roman" w:eastAsia="仿宋_GB2312" w:cs="Times New Roman"/>
          <w:color w:val="auto"/>
        </w:rPr>
      </w:pPr>
      <w:r>
        <w:rPr>
          <w:rFonts w:ascii="Times New Roman" w:hAnsi="Times New Roman" w:eastAsia="仿宋_GB2312" w:cs="Times New Roman"/>
          <w:color w:val="auto"/>
        </w:rPr>
        <w:t>12、接收质疑函方式：现场递交或邮件（快递）寄送；</w:t>
      </w:r>
    </w:p>
    <w:p w14:paraId="51EF4089">
      <w:pPr>
        <w:spacing w:line="240" w:lineRule="auto"/>
        <w:ind w:firstLine="566" w:firstLineChars="200"/>
        <w:contextualSpacing/>
        <w:rPr>
          <w:rFonts w:ascii="Times New Roman" w:hAnsi="Times New Roman" w:eastAsia="仿宋_GB2312" w:cs="Times New Roman"/>
          <w:color w:val="auto"/>
        </w:rPr>
      </w:pPr>
      <w:r>
        <w:rPr>
          <w:rFonts w:ascii="Times New Roman" w:hAnsi="Times New Roman" w:eastAsia="仿宋_GB2312" w:cs="Times New Roman"/>
          <w:color w:val="auto"/>
        </w:rPr>
        <w:t>联系部门：汉中市汉台区政府采购中心工程服务股</w:t>
      </w:r>
    </w:p>
    <w:p w14:paraId="628BACB2">
      <w:pPr>
        <w:spacing w:line="240" w:lineRule="auto"/>
        <w:ind w:firstLine="566" w:firstLineChars="200"/>
        <w:contextualSpacing/>
        <w:rPr>
          <w:rFonts w:ascii="Times New Roman" w:hAnsi="Times New Roman" w:eastAsia="仿宋_GB2312" w:cs="Times New Roman"/>
          <w:color w:val="auto"/>
        </w:rPr>
      </w:pPr>
      <w:r>
        <w:rPr>
          <w:rFonts w:ascii="Times New Roman" w:hAnsi="Times New Roman" w:eastAsia="仿宋_GB2312" w:cs="Times New Roman"/>
          <w:color w:val="auto"/>
        </w:rPr>
        <w:t>联系电话：0916-2245542；</w:t>
      </w:r>
    </w:p>
    <w:p w14:paraId="236D1C35">
      <w:pPr>
        <w:spacing w:line="240" w:lineRule="auto"/>
        <w:ind w:firstLine="566" w:firstLineChars="200"/>
        <w:contextualSpacing/>
        <w:rPr>
          <w:rFonts w:ascii="Times New Roman" w:hAnsi="Times New Roman" w:eastAsia="仿宋_GB2312" w:cs="Times New Roman"/>
          <w:color w:val="auto"/>
        </w:rPr>
      </w:pPr>
      <w:r>
        <w:rPr>
          <w:rFonts w:ascii="Times New Roman" w:hAnsi="Times New Roman" w:eastAsia="仿宋_GB2312" w:cs="Times New Roman"/>
          <w:color w:val="auto"/>
        </w:rPr>
        <w:t>通讯地址：汉中市汉台区莲湖路东建设巷1号。</w:t>
      </w:r>
    </w:p>
    <w:p w14:paraId="2BDFD42E">
      <w:pPr>
        <w:spacing w:line="240" w:lineRule="auto"/>
        <w:ind w:firstLine="566" w:firstLineChars="200"/>
        <w:contextualSpacing/>
        <w:rPr>
          <w:rFonts w:ascii="Times New Roman" w:hAnsi="Times New Roman" w:eastAsia="仿宋_GB2312" w:cs="Times New Roman"/>
          <w:color w:val="auto"/>
        </w:rPr>
      </w:pPr>
      <w:r>
        <w:rPr>
          <w:rFonts w:ascii="Times New Roman" w:hAnsi="Times New Roman" w:eastAsia="仿宋_GB2312" w:cs="Times New Roman"/>
          <w:color w:val="auto"/>
        </w:rPr>
        <w:t>13、没有提出异议视同完全接受磋商文件所有条款内容。</w:t>
      </w:r>
    </w:p>
    <w:p w14:paraId="44DBA1A8">
      <w:pPr>
        <w:spacing w:line="240" w:lineRule="auto"/>
        <w:ind w:firstLine="566" w:firstLineChars="200"/>
        <w:rPr>
          <w:rFonts w:hint="eastAsia" w:ascii="仿宋_GB2312" w:hAnsi="仿宋_GB2312" w:eastAsia="仿宋_GB2312" w:cs="仿宋_GB2312"/>
          <w:b/>
          <w:color w:val="auto"/>
        </w:rPr>
      </w:pPr>
      <w:r>
        <w:rPr>
          <w:rFonts w:hint="eastAsia" w:ascii="仿宋_GB2312" w:hAnsi="仿宋_GB2312" w:eastAsia="仿宋_GB2312" w:cs="仿宋_GB2312"/>
          <w:b/>
          <w:color w:val="auto"/>
        </w:rPr>
        <w:t>（四）对参加政府采购活动的中小企业的扶持政策[依据《政府采购促进中小企业发展管理办法》（财库〔2020〕46号）相关规定]</w:t>
      </w:r>
    </w:p>
    <w:bookmarkEnd w:id="74"/>
    <w:p w14:paraId="38D585AB">
      <w:pPr>
        <w:spacing w:line="240" w:lineRule="auto"/>
        <w:ind w:firstLine="566" w:firstLineChars="200"/>
        <w:rPr>
          <w:rFonts w:hint="eastAsia" w:ascii="仿宋_GB2312" w:hAnsi="仿宋_GB2312" w:eastAsia="仿宋_GB2312" w:cs="仿宋_GB2312"/>
          <w:b/>
          <w:bCs/>
          <w:color w:val="auto"/>
        </w:rPr>
      </w:pPr>
      <w:r>
        <w:rPr>
          <w:rFonts w:ascii="Times New Roman" w:hAnsi="Times New Roman" w:eastAsia="仿宋_GB2312" w:cs="Times New Roman"/>
          <w:b/>
          <w:bCs/>
          <w:color w:val="auto"/>
        </w:rPr>
        <w:t>本项目专门面向中小企业采购,不再享受</w:t>
      </w:r>
      <w:r>
        <w:rPr>
          <w:rFonts w:hint="eastAsia" w:ascii="Times New Roman" w:hAnsi="Times New Roman" w:eastAsia="仿宋_GB2312" w:cs="Times New Roman"/>
          <w:b/>
          <w:bCs/>
          <w:color w:val="auto"/>
        </w:rPr>
        <w:t>中小</w:t>
      </w:r>
      <w:r>
        <w:rPr>
          <w:rFonts w:ascii="Times New Roman" w:hAnsi="Times New Roman" w:eastAsia="仿宋_GB2312" w:cs="Times New Roman"/>
          <w:b/>
          <w:bCs/>
          <w:color w:val="auto"/>
        </w:rPr>
        <w:t>企业价格扣除；</w:t>
      </w:r>
      <w:r>
        <w:rPr>
          <w:rFonts w:ascii="Times New Roman" w:hAnsi="Times New Roman" w:eastAsia="仿宋_GB2312" w:cs="Times New Roman"/>
          <w:b/>
          <w:color w:val="auto"/>
        </w:rPr>
        <w:t>符合中小企业划型标准的响应人，提供《中小企业声明函》原件。采购标的对应的中小企业划分标准所属行业为</w:t>
      </w:r>
      <w:r>
        <w:rPr>
          <w:rFonts w:hint="eastAsia" w:ascii="仿宋_GB2312" w:hAnsi="仿宋_GB2312" w:eastAsia="仿宋_GB2312" w:cs="仿宋_GB2312"/>
          <w:b/>
          <w:bCs/>
          <w:color w:val="auto"/>
        </w:rPr>
        <w:t>：</w:t>
      </w:r>
      <w:r>
        <w:rPr>
          <w:rFonts w:hint="eastAsia" w:ascii="仿宋_GB2312" w:hAnsi="仿宋_GB2312" w:eastAsia="仿宋_GB2312" w:cs="仿宋_GB2312"/>
          <w:b/>
          <w:bCs/>
          <w:color w:val="auto"/>
          <w:u w:val="single"/>
          <w:lang w:eastAsia="zh-CN"/>
        </w:rPr>
        <w:t>租赁和商务</w:t>
      </w:r>
      <w:r>
        <w:rPr>
          <w:rFonts w:hint="eastAsia" w:ascii="仿宋_GB2312" w:hAnsi="仿宋_GB2312" w:eastAsia="仿宋_GB2312" w:cs="仿宋_GB2312"/>
          <w:b/>
          <w:bCs/>
          <w:color w:val="auto"/>
          <w:u w:val="single"/>
        </w:rPr>
        <w:t>服务</w:t>
      </w:r>
      <w:r>
        <w:rPr>
          <w:rFonts w:hint="eastAsia" w:ascii="仿宋_GB2312" w:hAnsi="仿宋_GB2312" w:eastAsia="仿宋_GB2312" w:cs="仿宋_GB2312"/>
          <w:b/>
          <w:bCs/>
          <w:color w:val="auto"/>
        </w:rPr>
        <w:t>。</w:t>
      </w:r>
    </w:p>
    <w:p w14:paraId="7275D094">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1、供应商提供的货物、工程或者服务符合下列情形的，享受相关中小企业扶持政策：</w:t>
      </w:r>
    </w:p>
    <w:p w14:paraId="2CCFA757">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（1）在货物采购项目中，货物由中小企业制造，即货物由中小企业生产且使用该中小企业商号或者注册商标；</w:t>
      </w:r>
    </w:p>
    <w:p w14:paraId="35538BE6">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（2）在工程采购项目中，工程由中小企业承建，即工程施工单位为中小企业；</w:t>
      </w:r>
    </w:p>
    <w:p w14:paraId="612AC17B">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（3）在服务采购项目中，服务由中小企业承接，即提供服务的人员为中小企业依照《中华人民共和国劳动合同法》订立劳动合同的从业人员。</w:t>
      </w:r>
    </w:p>
    <w:p w14:paraId="404D7E19">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在货物采购项目中，供应商提供的货物既有中小企业制造货物，也有大型企业制造货物的，不享受相关中小企业扶持政策。</w:t>
      </w:r>
    </w:p>
    <w:p w14:paraId="77EB6CEE">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以联合体形式参加政府采购活动，联合体各方均为中小企业的，联合体视同中小企业。其中，联合体各方均为小微企业的，联合体视同小微企业。</w:t>
      </w:r>
    </w:p>
    <w:p w14:paraId="1DBEDD3A">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2、对符合上述情形的小微企业报价给予15%（工程项目为5%）的扣除，用扣除后的价格参加评审。适用招标投标法的政府采购工程建设项目，采用综合评估法但未采用低价优先法计算价格分的，评标时应当在采用原报价进行评分的基础上增加其价格得分的5%作为其价格分。</w:t>
      </w:r>
    </w:p>
    <w:p w14:paraId="3E39A9CD">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 5%（工程项目为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4533EBFF">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价格扣除比例或者价格分加分比例对小型企业和微型企业同等对待，不作区分。</w:t>
      </w:r>
    </w:p>
    <w:p w14:paraId="73F17D42">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3、中小企业参加政府采购活动，应当出具《中小企业声明函》（见附件），否则不得享受相关中小企业扶持政策。</w:t>
      </w:r>
    </w:p>
    <w:p w14:paraId="125F5533">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4、中标、成交供应商享受相关中小企业扶持政策的，将随中标、成交结果公开中标、成交供应商的《中小企业声明函》。适用招标投标法的政府采购工程建设项目，将在公示中标候选人时公开中标候选人的《中小企业声明函》。</w:t>
      </w:r>
    </w:p>
    <w:p w14:paraId="6E5441B1">
      <w:pPr>
        <w:spacing w:line="500" w:lineRule="exact"/>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5、</w:t>
      </w:r>
      <w:r>
        <w:rPr>
          <w:rFonts w:hint="eastAsia" w:ascii="仿宋_GB2312" w:hAnsi="仿宋_GB2312" w:eastAsia="仿宋_GB2312" w:cs="仿宋_GB2312"/>
          <w:b/>
          <w:bCs/>
          <w:color w:val="auto"/>
        </w:rPr>
        <w:t>本项目无预付款。</w:t>
      </w:r>
    </w:p>
    <w:p w14:paraId="31691E09">
      <w:pPr>
        <w:snapToGrid w:val="0"/>
        <w:spacing w:line="240" w:lineRule="auto"/>
        <w:ind w:firstLine="566" w:firstLineChars="200"/>
        <w:rPr>
          <w:rFonts w:hint="eastAsia" w:ascii="仿宋" w:hAnsi="仿宋" w:eastAsia="仿宋_GB2312" w:cs="仿宋"/>
          <w:b/>
          <w:bCs/>
          <w:color w:val="auto"/>
          <w:sz w:val="24"/>
        </w:rPr>
      </w:pPr>
      <w:r>
        <w:rPr>
          <w:rFonts w:hint="eastAsia" w:ascii="仿宋_GB2312" w:hAnsi="仿宋_GB2312" w:eastAsia="仿宋_GB2312" w:cs="仿宋_GB2312"/>
          <w:color w:val="auto"/>
        </w:rPr>
        <w:t>6、中小企业投标（包括磋商、谈判、询价）保证金（需要交纳保证金时）减半，履约保证金全免。</w:t>
      </w:r>
    </w:p>
    <w:p w14:paraId="28B20721">
      <w:pPr>
        <w:spacing w:line="240" w:lineRule="auto"/>
        <w:ind w:firstLine="566"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本项目不收取磋商保证金。</w:t>
      </w:r>
    </w:p>
    <w:p w14:paraId="50C837E2">
      <w:pPr>
        <w:spacing w:line="240" w:lineRule="auto"/>
        <w:ind w:firstLine="566" w:firstLineChars="200"/>
        <w:rPr>
          <w:rFonts w:hint="eastAsia" w:ascii="仿宋_GB2312" w:hAnsi="仿宋_GB2312" w:eastAsia="仿宋_GB2312" w:cs="仿宋_GB2312"/>
          <w:color w:val="auto"/>
        </w:rPr>
      </w:pPr>
      <w:r>
        <w:rPr>
          <w:rFonts w:hint="default" w:ascii="Times New Roman" w:hAnsi="Times New Roman" w:eastAsia="仿宋_GB2312" w:cs="Times New Roman"/>
          <w:color w:val="auto"/>
        </w:rPr>
        <w:t>7、监狱企业、残疾人福利性单位等视同小型、微型企业情况按照《财政部司法部关于政府采购支持监狱企业发展有关问题的通知》（财库</w:t>
      </w:r>
      <w:r>
        <w:rPr>
          <w:rFonts w:hint="eastAsia" w:ascii="仿宋_GB2312" w:hAnsi="仿宋_GB2312" w:eastAsia="仿宋_GB2312" w:cs="仿宋_GB2312"/>
          <w:color w:val="auto"/>
        </w:rPr>
        <w:t>〔2014〕68号）及《关于促进残疾人就业政府采购政策的通知》（财库〔2017〕141</w:t>
      </w:r>
      <w:r>
        <w:rPr>
          <w:rFonts w:hint="default" w:ascii="Times New Roman" w:hAnsi="Times New Roman" w:eastAsia="仿宋_GB2312" w:cs="Times New Roman"/>
          <w:color w:val="auto"/>
        </w:rPr>
        <w:t>号）等相关内容执行</w:t>
      </w:r>
      <w:r>
        <w:rPr>
          <w:rFonts w:hint="eastAsia" w:ascii="仿宋_GB2312" w:hAnsi="仿宋_GB2312" w:eastAsia="仿宋_GB2312" w:cs="仿宋_GB2312"/>
          <w:color w:val="auto"/>
        </w:rPr>
        <w:t>。</w:t>
      </w:r>
    </w:p>
    <w:p w14:paraId="2C14AA1A">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8、未尽事宜以《政府采购促进中小企业发展管理办法》（财库〔2020〕46号）为准。</w:t>
      </w:r>
      <w:bookmarkStart w:id="75" w:name="_Toc17868_WPSOffice_Level2"/>
      <w:bookmarkStart w:id="76" w:name="_Toc2960"/>
      <w:bookmarkStart w:id="77" w:name="_Toc30436"/>
      <w:bookmarkStart w:id="78" w:name="_Toc10768_WPSOffice_Level2"/>
      <w:bookmarkStart w:id="79" w:name="_Toc8798_WPSOffice_Level2"/>
      <w:bookmarkStart w:id="80" w:name="_Toc9976"/>
      <w:bookmarkStart w:id="81" w:name="_Toc3130"/>
    </w:p>
    <w:p w14:paraId="2FCE687C">
      <w:pPr>
        <w:spacing w:line="500" w:lineRule="exact"/>
        <w:ind w:firstLine="566"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三、磋商文件</w:t>
      </w:r>
      <w:bookmarkEnd w:id="75"/>
      <w:bookmarkEnd w:id="76"/>
      <w:bookmarkEnd w:id="77"/>
      <w:bookmarkEnd w:id="78"/>
      <w:bookmarkEnd w:id="79"/>
      <w:bookmarkEnd w:id="80"/>
      <w:bookmarkEnd w:id="81"/>
    </w:p>
    <w:p w14:paraId="1C8B2A00">
      <w:pPr>
        <w:spacing w:line="500" w:lineRule="exact"/>
        <w:ind w:firstLine="566" w:firstLineChars="200"/>
        <w:rPr>
          <w:rFonts w:hint="eastAsia" w:ascii="仿宋_GB2312" w:hAnsi="仿宋_GB2312" w:eastAsia="仿宋_GB2312" w:cs="仿宋_GB2312"/>
          <w:b/>
          <w:color w:val="auto"/>
        </w:rPr>
      </w:pPr>
      <w:bookmarkStart w:id="82" w:name="_Toc20873_WPSOffice_Level3"/>
      <w:r>
        <w:rPr>
          <w:rFonts w:hint="eastAsia" w:ascii="仿宋_GB2312" w:hAnsi="仿宋_GB2312" w:eastAsia="仿宋_GB2312" w:cs="仿宋_GB2312"/>
          <w:b/>
          <w:color w:val="auto"/>
        </w:rPr>
        <w:t>（一）磋商文件包括下列内容</w:t>
      </w:r>
      <w:bookmarkEnd w:id="82"/>
    </w:p>
    <w:p w14:paraId="21D70A62">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第一章　磋商邀请函</w:t>
      </w:r>
    </w:p>
    <w:p w14:paraId="51B616E9">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第二章　供应商须知</w:t>
      </w:r>
    </w:p>
    <w:p w14:paraId="5199C328">
      <w:pPr>
        <w:spacing w:line="240" w:lineRule="auto"/>
        <w:ind w:firstLine="566" w:firstLineChars="200"/>
        <w:rPr>
          <w:rFonts w:hint="eastAsia" w:ascii="仿宋_GB2312" w:hAnsi="仿宋_GB2312" w:eastAsia="仿宋_GB2312" w:cs="仿宋_GB2312"/>
          <w:bCs/>
          <w:color w:val="auto"/>
        </w:rPr>
      </w:pPr>
      <w:bookmarkStart w:id="83" w:name="_Toc20041_WPSOffice_Level3"/>
      <w:r>
        <w:rPr>
          <w:rFonts w:hint="eastAsia" w:ascii="仿宋_GB2312" w:hAnsi="仿宋_GB2312" w:eastAsia="仿宋_GB2312" w:cs="仿宋_GB2312"/>
          <w:bCs/>
          <w:color w:val="auto"/>
        </w:rPr>
        <w:t>第三章　磋商内容及采购要求</w:t>
      </w:r>
    </w:p>
    <w:p w14:paraId="12E0BF8F">
      <w:pPr>
        <w:spacing w:line="240" w:lineRule="auto"/>
        <w:ind w:firstLine="566" w:firstLineChars="200"/>
        <w:rPr>
          <w:rFonts w:hint="eastAsia" w:ascii="仿宋_GB2312" w:hAnsi="仿宋_GB2312" w:eastAsia="仿宋_GB2312" w:cs="仿宋_GB2312"/>
          <w:bCs/>
          <w:color w:val="auto"/>
        </w:rPr>
      </w:pPr>
      <w:r>
        <w:rPr>
          <w:rFonts w:hint="eastAsia" w:ascii="仿宋_GB2312" w:hAnsi="仿宋_GB2312" w:eastAsia="仿宋_GB2312" w:cs="仿宋_GB2312"/>
          <w:bCs/>
          <w:color w:val="auto"/>
        </w:rPr>
        <w:t>第四章　合同草案条款</w:t>
      </w:r>
    </w:p>
    <w:p w14:paraId="53218540">
      <w:pPr>
        <w:spacing w:line="240" w:lineRule="auto"/>
        <w:ind w:firstLine="566" w:firstLineChars="200"/>
        <w:rPr>
          <w:rFonts w:hint="eastAsia" w:ascii="仿宋_GB2312" w:hAnsi="仿宋_GB2312" w:eastAsia="仿宋_GB2312" w:cs="仿宋_GB2312"/>
          <w:bCs/>
          <w:color w:val="auto"/>
        </w:rPr>
      </w:pPr>
      <w:r>
        <w:rPr>
          <w:rFonts w:hint="eastAsia" w:ascii="仿宋_GB2312" w:hAnsi="仿宋_GB2312" w:eastAsia="仿宋_GB2312" w:cs="仿宋_GB2312"/>
          <w:bCs/>
          <w:color w:val="auto"/>
        </w:rPr>
        <w:t>第五章　响应文件构成及格式</w:t>
      </w:r>
    </w:p>
    <w:p w14:paraId="4801B9D9">
      <w:pPr>
        <w:spacing w:line="500" w:lineRule="exact"/>
        <w:ind w:firstLine="566" w:firstLineChars="200"/>
        <w:rPr>
          <w:rFonts w:hint="eastAsia" w:ascii="仿宋_GB2312" w:hAnsi="仿宋_GB2312" w:eastAsia="仿宋_GB2312" w:cs="仿宋_GB2312"/>
          <w:b/>
          <w:color w:val="auto"/>
        </w:rPr>
      </w:pPr>
      <w:r>
        <w:rPr>
          <w:rFonts w:hint="eastAsia" w:ascii="仿宋_GB2312" w:hAnsi="仿宋_GB2312" w:eastAsia="仿宋_GB2312" w:cs="仿宋_GB2312"/>
          <w:b/>
          <w:color w:val="auto"/>
        </w:rPr>
        <w:t>（二）磋商文件的检查及阅读</w:t>
      </w:r>
      <w:bookmarkEnd w:id="83"/>
    </w:p>
    <w:p w14:paraId="05438C42">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供应商应仔细阅读检查磋商文件中的所有内容，按照磋商文件中所列事项、条款、规范要求及格式，在响应文件中对磋商文件做出全面的响</w:t>
      </w:r>
      <w:r>
        <w:rPr>
          <w:rFonts w:hint="eastAsia" w:ascii="仿宋_GB2312" w:hAnsi="仿宋_GB2312" w:eastAsia="仿宋_GB2312" w:cs="仿宋_GB2312"/>
          <w:color w:val="auto"/>
          <w:w w:val="1"/>
        </w:rPr>
        <w:t xml:space="preserve"> </w:t>
      </w:r>
      <w:r>
        <w:rPr>
          <w:rFonts w:hint="eastAsia" w:ascii="仿宋_GB2312" w:hAnsi="仿宋_GB2312" w:eastAsia="仿宋_GB2312" w:cs="仿宋_GB2312"/>
          <w:color w:val="auto"/>
        </w:rPr>
        <w:t>应，并按磋商文件的要求提交全部资料。</w:t>
      </w:r>
    </w:p>
    <w:p w14:paraId="0B686BF7">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磋商供应商未能全面、正确理解磋商文件而产生的误解、疏漏以及所带来的不利后果，其责任由磋商供应商承担。</w:t>
      </w:r>
    </w:p>
    <w:p w14:paraId="400287BF">
      <w:pPr>
        <w:spacing w:line="500" w:lineRule="exact"/>
        <w:ind w:firstLine="566" w:firstLineChars="200"/>
        <w:rPr>
          <w:rFonts w:hint="eastAsia" w:ascii="仿宋_GB2312" w:hAnsi="仿宋_GB2312" w:eastAsia="仿宋_GB2312" w:cs="仿宋_GB2312"/>
          <w:b/>
          <w:color w:val="auto"/>
        </w:rPr>
      </w:pPr>
      <w:bookmarkStart w:id="84" w:name="_Toc12798_WPSOffice_Level3"/>
      <w:r>
        <w:rPr>
          <w:rFonts w:hint="eastAsia" w:ascii="仿宋_GB2312" w:hAnsi="仿宋_GB2312" w:eastAsia="仿宋_GB2312" w:cs="仿宋_GB2312"/>
          <w:b/>
          <w:color w:val="auto"/>
        </w:rPr>
        <w:t>（三）磋商文件的修改、澄清</w:t>
      </w:r>
      <w:bookmarkEnd w:id="84"/>
    </w:p>
    <w:p w14:paraId="3C1E79E3">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在提交响应文件截止之日前，采购代理机构可对已发出的磋商文件进行必要的澄清或者修改，澄清或者修改的内容作为磋商文件的组成部分。澄清或者修改的内容可能影响响应文件编制的，采购代理机构将在提交响应文件截止之日至少5日前，在财政部门指定的政府采购信息发布媒体上</w:t>
      </w:r>
      <w:r>
        <w:rPr>
          <w:rFonts w:hint="eastAsia" w:ascii="仿宋_GB2312" w:hAnsi="仿宋_GB2312" w:eastAsia="仿宋_GB2312" w:cs="仿宋_GB2312"/>
          <w:b/>
          <w:bCs/>
          <w:color w:val="auto"/>
        </w:rPr>
        <w:t>发布更正公告</w:t>
      </w:r>
      <w:r>
        <w:rPr>
          <w:rFonts w:hint="eastAsia" w:ascii="仿宋_GB2312" w:hAnsi="仿宋_GB2312" w:eastAsia="仿宋_GB2312" w:cs="仿宋_GB2312"/>
          <w:color w:val="auto"/>
        </w:rPr>
        <w:t>；不足5日，采购代理机构将顺延提交响应文件的截止时间。</w:t>
      </w:r>
    </w:p>
    <w:p w14:paraId="7836C896">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2、各供应商在提交响应文件截止时间之前，应随时关注下列地址发布的变更公告，集中代理机构</w:t>
      </w:r>
      <w:r>
        <w:rPr>
          <w:rFonts w:hint="eastAsia" w:ascii="仿宋_GB2312" w:hAnsi="仿宋_GB2312" w:eastAsia="仿宋_GB2312" w:cs="仿宋_GB2312"/>
          <w:b/>
          <w:bCs/>
          <w:color w:val="auto"/>
        </w:rPr>
        <w:t>不再单独通知，因供应商未及时关注所造成的一切后果由供应商自行承担：</w:t>
      </w:r>
    </w:p>
    <w:p w14:paraId="68BA1B80">
      <w:pPr>
        <w:wordWrap w:val="0"/>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w:t>
      </w:r>
      <w:r>
        <w:rPr>
          <w:color w:val="auto"/>
        </w:rPr>
        <w:fldChar w:fldCharType="begin"/>
      </w:r>
      <w:r>
        <w:rPr>
          <w:color w:val="auto"/>
        </w:rPr>
        <w:instrText xml:space="preserve"> HYPERLINK "http://www.ccgp-shaanxi.gov.cn/" </w:instrText>
      </w:r>
      <w:r>
        <w:rPr>
          <w:color w:val="auto"/>
        </w:rPr>
        <w:fldChar w:fldCharType="separate"/>
      </w:r>
      <w:r>
        <w:rPr>
          <w:rStyle w:val="15"/>
          <w:rFonts w:hint="eastAsia" w:ascii="仿宋_GB2312" w:hAnsi="仿宋_GB2312" w:eastAsia="仿宋_GB2312" w:cs="仿宋_GB2312"/>
          <w:color w:val="auto"/>
          <w:sz w:val="28"/>
          <w:szCs w:val="28"/>
        </w:rPr>
        <w:t>陕西省政府采购网</w:t>
      </w:r>
      <w:r>
        <w:rPr>
          <w:rStyle w:val="15"/>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rPr>
        <w:t>（www.ccgp-shaanxi.gov.cn/）】中的〖首页·〉县（区）级公告·〉更正公告〗。</w:t>
      </w:r>
    </w:p>
    <w:p w14:paraId="46BDE4D3">
      <w:pPr>
        <w:numPr>
          <w:ilvl w:val="0"/>
          <w:numId w:val="0"/>
        </w:numPr>
        <w:wordWrap w:val="0"/>
        <w:spacing w:line="500" w:lineRule="exact"/>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kern w:val="2"/>
          <w:sz w:val="28"/>
          <w:szCs w:val="28"/>
          <w:lang w:val="en-US" w:eastAsia="zh-CN" w:bidi="ar-SA"/>
        </w:rPr>
        <w:t>3、</w:t>
      </w:r>
      <w:r>
        <w:rPr>
          <w:rFonts w:hint="eastAsia" w:ascii="仿宋_GB2312" w:hAnsi="仿宋_GB2312" w:eastAsia="仿宋_GB2312" w:cs="仿宋_GB2312"/>
          <w:color w:val="auto"/>
        </w:rPr>
        <w:t>磋商文件由采购代理机构登记发放。</w:t>
      </w:r>
    </w:p>
    <w:p w14:paraId="7E005EFF">
      <w:pPr>
        <w:spacing w:line="500" w:lineRule="exact"/>
        <w:ind w:firstLine="566" w:firstLineChars="200"/>
        <w:rPr>
          <w:rFonts w:hint="eastAsia" w:ascii="仿宋_GB2312" w:hAnsi="仿宋_GB2312" w:eastAsia="仿宋_GB2312" w:cs="仿宋_GB2312"/>
          <w:color w:val="auto"/>
        </w:rPr>
      </w:pPr>
      <w:bookmarkStart w:id="85" w:name="_Toc18733_WPSOffice_Level3"/>
      <w:r>
        <w:rPr>
          <w:rFonts w:hint="eastAsia" w:ascii="仿宋_GB2312" w:hAnsi="仿宋_GB2312" w:eastAsia="仿宋_GB2312" w:cs="仿宋_GB2312"/>
          <w:b/>
          <w:color w:val="auto"/>
        </w:rPr>
        <w:t>（四）磋商文件的解释权归集中采购机构。</w:t>
      </w:r>
      <w:bookmarkEnd w:id="85"/>
      <w:bookmarkStart w:id="86" w:name="_Toc20873_WPSOffice_Level2"/>
      <w:bookmarkStart w:id="87" w:name="_Toc13064"/>
      <w:bookmarkStart w:id="88" w:name="_Toc19768_WPSOffice_Level2"/>
      <w:bookmarkStart w:id="89" w:name="_Toc3559"/>
      <w:bookmarkStart w:id="90" w:name="_Toc22501_WPSOffice_Level2"/>
      <w:bookmarkStart w:id="91" w:name="_Toc30415"/>
      <w:bookmarkStart w:id="92" w:name="_Toc30095"/>
    </w:p>
    <w:p w14:paraId="6F494F80">
      <w:pPr>
        <w:spacing w:line="500" w:lineRule="exact"/>
        <w:ind w:firstLine="566"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四、磋商报价</w:t>
      </w:r>
      <w:bookmarkEnd w:id="86"/>
      <w:bookmarkEnd w:id="87"/>
      <w:bookmarkEnd w:id="88"/>
      <w:bookmarkEnd w:id="89"/>
      <w:bookmarkEnd w:id="90"/>
      <w:bookmarkEnd w:id="91"/>
      <w:bookmarkEnd w:id="92"/>
    </w:p>
    <w:p w14:paraId="6A7BCCDF">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磋商报价是供应商响应采购项目要求的全部工作内容的价格体现，包括完成采购内容所需的直接费、间接费、利润、税金及其它相关的一切费用。供应商在报价时应充分考虑所有可能发生的费用，</w:t>
      </w:r>
      <w:r>
        <w:rPr>
          <w:rFonts w:hint="eastAsia" w:ascii="仿宋_GB2312" w:hAnsi="仿宋_GB2312" w:eastAsia="仿宋_GB2312" w:cs="仿宋_GB2312"/>
          <w:color w:val="auto"/>
          <w:lang w:val="zh-CN"/>
        </w:rPr>
        <w:t>磋商</w:t>
      </w:r>
      <w:r>
        <w:rPr>
          <w:rFonts w:hint="eastAsia" w:ascii="仿宋_GB2312" w:hAnsi="仿宋_GB2312" w:eastAsia="仿宋_GB2312" w:cs="仿宋_GB2312"/>
          <w:color w:val="auto"/>
        </w:rPr>
        <w:t>文件未列明，而供应商认为应当计取的费用均应列入报价中。报价时不论是否计取，采购人均按已计取对待。</w:t>
      </w:r>
    </w:p>
    <w:p w14:paraId="2A6F6C17">
      <w:pPr>
        <w:numPr>
          <w:ilvl w:val="0"/>
          <w:numId w:val="5"/>
        </w:num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供应商应按照《响应文件构成及格式》中《报价一览表》的相关要求填写需要响应的内容。</w:t>
      </w:r>
    </w:p>
    <w:p w14:paraId="0F928979">
      <w:pPr>
        <w:numPr>
          <w:ilvl w:val="0"/>
          <w:numId w:val="5"/>
        </w:numPr>
        <w:spacing w:line="240" w:lineRule="auto"/>
        <w:ind w:firstLine="566"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磋商报价采取多轮报价的办法，最后报价作为计算价格分值的依据。供应商应在磋商当天，磋商小组规定的报价时间内，现场填写最后报价表，法人/负责人或被授权人签字并提交。</w:t>
      </w:r>
    </w:p>
    <w:p w14:paraId="03B095A4">
      <w:pPr>
        <w:numPr>
          <w:ilvl w:val="0"/>
          <w:numId w:val="5"/>
        </w:numPr>
        <w:spacing w:line="240" w:lineRule="auto"/>
        <w:ind w:firstLine="566"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如采购内容无实质性变更，各供应商的报价应逐次降低。本次报价超过采购预算或磋商文件规定的最高限价的，按无效投标处理；本次报价超过上次报价但未超过采购预算或磋商文件规定的最高限价的，或在规定时间内最后报价提交不成功的均为无效报价，磋商小组在综合比较与评价时将使用上一轮有效报价进行报价评审。</w:t>
      </w:r>
    </w:p>
    <w:p w14:paraId="28696E46">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（四）</w:t>
      </w:r>
      <w:r>
        <w:rPr>
          <w:rFonts w:hint="eastAsia" w:ascii="仿宋_GB2312" w:hAnsi="仿宋_GB2312" w:eastAsia="仿宋_GB2312" w:cs="仿宋_GB2312"/>
          <w:color w:val="auto"/>
          <w:lang w:val="zh-CN"/>
        </w:rPr>
        <w:t>磋商</w:t>
      </w:r>
      <w:r>
        <w:rPr>
          <w:rFonts w:hint="eastAsia" w:ascii="仿宋_GB2312" w:hAnsi="仿宋_GB2312" w:eastAsia="仿宋_GB2312" w:cs="仿宋_GB2312"/>
          <w:color w:val="auto"/>
        </w:rPr>
        <w:t>报价货币：</w:t>
      </w:r>
      <w:r>
        <w:rPr>
          <w:rFonts w:hint="eastAsia" w:ascii="仿宋_GB2312" w:hAnsi="仿宋_GB2312" w:eastAsia="仿宋_GB2312" w:cs="仿宋_GB2312"/>
          <w:b/>
          <w:color w:val="auto"/>
        </w:rPr>
        <w:t>人民币</w:t>
      </w:r>
      <w:r>
        <w:rPr>
          <w:rFonts w:hint="eastAsia" w:ascii="仿宋_GB2312" w:hAnsi="仿宋_GB2312" w:eastAsia="仿宋_GB2312" w:cs="仿宋_GB2312"/>
          <w:color w:val="auto"/>
        </w:rPr>
        <w:t>；</w:t>
      </w:r>
      <w:r>
        <w:rPr>
          <w:rFonts w:hint="eastAsia" w:ascii="仿宋_GB2312" w:hAnsi="仿宋_GB2312" w:eastAsia="仿宋_GB2312" w:cs="仿宋_GB2312"/>
          <w:b/>
          <w:bCs/>
          <w:color w:val="auto"/>
        </w:rPr>
        <w:t>单位：元</w:t>
      </w:r>
      <w:r>
        <w:rPr>
          <w:rFonts w:hint="eastAsia" w:ascii="仿宋_GB2312" w:hAnsi="仿宋_GB2312" w:eastAsia="仿宋_GB2312" w:cs="仿宋_GB2312"/>
          <w:bCs/>
          <w:color w:val="auto"/>
        </w:rPr>
        <w:t>，</w:t>
      </w:r>
      <w:r>
        <w:rPr>
          <w:rFonts w:hint="eastAsia" w:ascii="仿宋_GB2312" w:hAnsi="仿宋_GB2312" w:eastAsia="仿宋_GB2312" w:cs="仿宋_GB2312"/>
          <w:b/>
          <w:color w:val="auto"/>
        </w:rPr>
        <w:t>保留到元</w:t>
      </w:r>
      <w:r>
        <w:rPr>
          <w:rFonts w:hint="eastAsia" w:ascii="仿宋_GB2312" w:hAnsi="仿宋_GB2312" w:eastAsia="仿宋_GB2312" w:cs="仿宋_GB2312"/>
          <w:bCs/>
          <w:color w:val="auto"/>
        </w:rPr>
        <w:t>。</w:t>
      </w:r>
    </w:p>
    <w:p w14:paraId="6FB84805">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（五）磋商报价大小写不一致的以大写为准。</w:t>
      </w:r>
    </w:p>
    <w:p w14:paraId="0BAFEACB">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（六）因供应商对磋商文件理解不透、误解、疏漏或对市场行情了解不清造成的后果和风险，均由供应商自己负责。</w:t>
      </w:r>
    </w:p>
    <w:p w14:paraId="76CF34B3">
      <w:pPr>
        <w:spacing w:line="500" w:lineRule="exact"/>
        <w:ind w:firstLine="566" w:firstLineChars="200"/>
        <w:rPr>
          <w:rFonts w:hint="eastAsia" w:ascii="仿宋_GB2312" w:hAnsi="仿宋_GB2312" w:eastAsia="仿宋_GB2312" w:cs="仿宋_GB2312"/>
          <w:b/>
          <w:bCs/>
          <w:color w:val="auto"/>
        </w:rPr>
      </w:pPr>
      <w:bookmarkStart w:id="93" w:name="_Toc666"/>
      <w:bookmarkStart w:id="94" w:name="_Toc20041_WPSOffice_Level2"/>
      <w:bookmarkStart w:id="95" w:name="_Toc14979"/>
      <w:bookmarkStart w:id="96" w:name="_Toc14959_WPSOffice_Level2"/>
      <w:bookmarkStart w:id="97" w:name="_Toc29669_WPSOffice_Level2"/>
      <w:bookmarkStart w:id="98" w:name="_Toc11009"/>
      <w:bookmarkStart w:id="99" w:name="_Toc12154"/>
      <w:r>
        <w:rPr>
          <w:rFonts w:hint="eastAsia" w:ascii="仿宋_GB2312" w:hAnsi="仿宋_GB2312" w:eastAsia="仿宋_GB2312" w:cs="仿宋_GB2312"/>
          <w:b/>
          <w:bCs/>
          <w:color w:val="auto"/>
        </w:rPr>
        <w:t>五、</w:t>
      </w:r>
      <w:bookmarkEnd w:id="93"/>
      <w:bookmarkEnd w:id="94"/>
      <w:bookmarkEnd w:id="95"/>
      <w:bookmarkEnd w:id="96"/>
      <w:bookmarkEnd w:id="97"/>
      <w:bookmarkEnd w:id="98"/>
      <w:bookmarkEnd w:id="99"/>
      <w:bookmarkStart w:id="100" w:name="_Toc7898_WPSOffice_Level2"/>
      <w:bookmarkStart w:id="101" w:name="_Toc30535_WPSOffice_Level2"/>
      <w:bookmarkStart w:id="102" w:name="_Toc18733_WPSOffice_Level2"/>
      <w:r>
        <w:rPr>
          <w:rFonts w:hint="eastAsia" w:ascii="仿宋_GB2312" w:hAnsi="仿宋_GB2312" w:eastAsia="仿宋_GB2312" w:cs="仿宋_GB2312"/>
          <w:b/>
          <w:bCs/>
          <w:color w:val="auto"/>
        </w:rPr>
        <w:t>磋商响应文件的编制</w:t>
      </w:r>
    </w:p>
    <w:p w14:paraId="0625B7C2">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1、磋商的所有文件、资料、函电文字均应使用中文（通用缩写、代号、名称除外）。</w:t>
      </w:r>
    </w:p>
    <w:p w14:paraId="70074359">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2、磋商使用的计量单位须使用公制单位（另有规定的除外）。</w:t>
      </w:r>
    </w:p>
    <w:p w14:paraId="61AF9E2C">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磋商供应商须依据磋商文件内容和格式的要求编制磋商响应文件，明确表达磋商意愿，详细说明磋商方案、承诺及价格。磋商供应商必须保证其编制、递交的磋商响应文件内容的真实、合法、有效，并承担相应的法律责任。</w:t>
      </w:r>
    </w:p>
    <w:p w14:paraId="2953ED1B">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4、磋商响应文件格式及构成（详见《磋商文件格式及构成》章节要求）。</w:t>
      </w:r>
    </w:p>
    <w:p w14:paraId="13BBE699">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5、磋商响应文件中未要求提供备选方案的，磋商供应商只能提交唯一的磋商方案，否则其磋商无效。</w:t>
      </w:r>
    </w:p>
    <w:p w14:paraId="2A8A417E">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6、磋商报价只能提交唯一、不可选择的报价。磋商货币：人民币。</w:t>
      </w:r>
    </w:p>
    <w:p w14:paraId="14FF444F">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7、磋商有效期</w:t>
      </w:r>
    </w:p>
    <w:p w14:paraId="1FEC53C2">
      <w:pPr>
        <w:spacing w:line="240" w:lineRule="auto"/>
        <w:ind w:firstLine="849" w:firstLineChars="300"/>
        <w:rPr>
          <w:rFonts w:hint="eastAsia" w:ascii="仿宋_GB2312" w:hAnsi="仿宋_GB2312" w:eastAsia="仿宋_GB2312" w:cs="仿宋_GB2312"/>
          <w:color w:val="auto"/>
        </w:rPr>
      </w:pPr>
      <w:r>
        <w:rPr>
          <w:rFonts w:hint="eastAsia" w:ascii="仿宋_GB2312" w:hAnsi="仿宋_GB2312" w:eastAsia="仿宋_GB2312" w:cs="仿宋_GB2312"/>
          <w:color w:val="auto"/>
        </w:rPr>
        <w:t>7-1.磋商有效期为90天。（自磋商大会之日起计算）</w:t>
      </w:r>
    </w:p>
    <w:p w14:paraId="4855F0C6">
      <w:pPr>
        <w:spacing w:line="240" w:lineRule="auto"/>
        <w:ind w:firstLine="849" w:firstLineChars="300"/>
        <w:rPr>
          <w:rFonts w:hint="eastAsia" w:ascii="仿宋_GB2312" w:hAnsi="仿宋_GB2312" w:eastAsia="仿宋_GB2312" w:cs="仿宋_GB2312"/>
          <w:color w:val="auto"/>
        </w:rPr>
      </w:pPr>
      <w:r>
        <w:rPr>
          <w:rFonts w:hint="eastAsia" w:ascii="仿宋_GB2312" w:hAnsi="仿宋_GB2312" w:eastAsia="仿宋_GB2312" w:cs="仿宋_GB2312"/>
          <w:color w:val="auto"/>
        </w:rPr>
        <w:t>7-2.在特殊情况下，在磋商响应文件有效期满之前，采购代理机构可向磋商供应商提出延长磋商响应文件有效期的书面要求。磋商供应商书面同意延长磋商响应文件有效期的，其磋商供应商资格、保证金有效期相应延长。磋商供应商也可书面拒绝延长有效期（在规定时限内无应答的视为拒绝），其响应资格则自动丧失。</w:t>
      </w:r>
    </w:p>
    <w:p w14:paraId="2402B7B8">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8、磋商响应文件式样及签署</w:t>
      </w:r>
    </w:p>
    <w:p w14:paraId="174ED4E1">
      <w:pPr>
        <w:spacing w:line="240" w:lineRule="auto"/>
        <w:ind w:firstLine="849" w:firstLineChars="300"/>
        <w:rPr>
          <w:rFonts w:hint="eastAsia" w:ascii="仿宋_GB2312" w:hAnsi="仿宋_GB2312" w:eastAsia="仿宋_GB2312" w:cs="仿宋_GB2312"/>
          <w:color w:val="auto"/>
        </w:rPr>
      </w:pPr>
      <w:r>
        <w:rPr>
          <w:rFonts w:hint="eastAsia" w:ascii="仿宋_GB2312" w:hAnsi="仿宋_GB2312" w:eastAsia="仿宋_GB2312" w:cs="仿宋_GB2312"/>
          <w:color w:val="auto"/>
        </w:rPr>
        <w:t>8-1磋商响应文件应使用A4纸打印或使用不褪色蓝（黑）墨水书写，按序编制页码。</w:t>
      </w:r>
    </w:p>
    <w:p w14:paraId="464976B5">
      <w:pPr>
        <w:spacing w:line="240" w:lineRule="auto"/>
        <w:ind w:firstLine="849" w:firstLineChars="300"/>
        <w:rPr>
          <w:rFonts w:hint="eastAsia" w:ascii="仿宋_GB2312" w:hAnsi="仿宋_GB2312" w:eastAsia="仿宋_GB2312" w:cs="仿宋_GB2312"/>
          <w:color w:val="auto"/>
        </w:rPr>
      </w:pPr>
      <w:r>
        <w:rPr>
          <w:rFonts w:hint="eastAsia" w:ascii="仿宋_GB2312" w:hAnsi="仿宋_GB2312" w:eastAsia="仿宋_GB2312" w:cs="仿宋_GB2312"/>
          <w:color w:val="auto"/>
        </w:rPr>
        <w:t>8-2磋商供应商应编制磋商响应文件</w:t>
      </w:r>
      <w:r>
        <w:rPr>
          <w:rFonts w:hint="eastAsia" w:ascii="仿宋_GB2312" w:hAnsi="仿宋_GB2312" w:eastAsia="仿宋_GB2312" w:cs="仿宋_GB2312"/>
          <w:b/>
          <w:bCs/>
          <w:color w:val="auto"/>
        </w:rPr>
        <w:t>正本1份、副本2份</w:t>
      </w:r>
      <w:r>
        <w:rPr>
          <w:rFonts w:hint="eastAsia" w:ascii="仿宋_GB2312" w:hAnsi="仿宋_GB2312" w:eastAsia="仿宋_GB2312" w:cs="仿宋_GB2312"/>
          <w:color w:val="auto"/>
        </w:rPr>
        <w:t>，各自装订成册，并在封面标明“正本”/“副本”字样。</w:t>
      </w:r>
    </w:p>
    <w:p w14:paraId="0B5BD5B9">
      <w:pPr>
        <w:spacing w:line="240" w:lineRule="auto"/>
        <w:ind w:firstLine="849" w:firstLineChars="300"/>
        <w:rPr>
          <w:rFonts w:hint="eastAsia" w:ascii="仿宋_GB2312" w:hAnsi="仿宋_GB2312" w:eastAsia="仿宋_GB2312" w:cs="仿宋_GB2312"/>
          <w:color w:val="auto"/>
        </w:rPr>
      </w:pPr>
      <w:r>
        <w:rPr>
          <w:rFonts w:hint="eastAsia" w:ascii="仿宋_GB2312" w:hAnsi="仿宋_GB2312" w:eastAsia="仿宋_GB2312" w:cs="仿宋_GB2312"/>
          <w:color w:val="auto"/>
        </w:rPr>
        <w:t>8-3磋商响应文件的任何行间插字、涂改和增删，须由法定代表人或被授权人在改动处旁签字方为有效。</w:t>
      </w:r>
    </w:p>
    <w:p w14:paraId="5D22D71F">
      <w:pPr>
        <w:spacing w:line="240" w:lineRule="auto"/>
        <w:ind w:firstLine="849" w:firstLineChars="300"/>
        <w:rPr>
          <w:rFonts w:hint="eastAsia" w:ascii="仿宋_GB2312" w:hAnsi="仿宋_GB2312" w:eastAsia="仿宋_GB2312" w:cs="仿宋_GB2312"/>
          <w:color w:val="auto"/>
        </w:rPr>
      </w:pPr>
      <w:r>
        <w:rPr>
          <w:rFonts w:hint="eastAsia" w:ascii="仿宋_GB2312" w:hAnsi="仿宋_GB2312" w:eastAsia="仿宋_GB2312" w:cs="仿宋_GB2312"/>
          <w:color w:val="auto"/>
        </w:rPr>
        <w:t>8-4磋商供应商须在磋商响应文件中指定页面的落款处，加盖法人公章以及由法定代表人或被授权人签名盖章。</w:t>
      </w:r>
    </w:p>
    <w:p w14:paraId="1CA3B3F4">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9、磋商响应文件的密封：磋商响应文件的正本、副本须封装密封（封袋不得有破损），加贴封条，并在封线处加盖公章（骑缝章）。</w:t>
      </w:r>
    </w:p>
    <w:p w14:paraId="4F3B5C80">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10、磋商响应文件的递交</w:t>
      </w:r>
    </w:p>
    <w:p w14:paraId="33587191">
      <w:pPr>
        <w:spacing w:line="240" w:lineRule="auto"/>
        <w:ind w:firstLine="849" w:firstLineChars="300"/>
        <w:rPr>
          <w:rFonts w:hint="eastAsia" w:ascii="仿宋_GB2312" w:hAnsi="仿宋_GB2312" w:eastAsia="仿宋_GB2312" w:cs="仿宋_GB2312"/>
          <w:color w:val="auto"/>
        </w:rPr>
      </w:pPr>
      <w:r>
        <w:rPr>
          <w:rFonts w:hint="eastAsia" w:ascii="仿宋_GB2312" w:hAnsi="仿宋_GB2312" w:eastAsia="仿宋_GB2312" w:cs="仿宋_GB2312"/>
          <w:color w:val="auto"/>
        </w:rPr>
        <w:t>10-1磋商供应商须按磋商文件确定的时间和地点，将全部磋商响应文件递交至集中采购代理机构。</w:t>
      </w:r>
    </w:p>
    <w:p w14:paraId="6309A410">
      <w:pPr>
        <w:spacing w:line="240" w:lineRule="auto"/>
        <w:ind w:firstLine="849" w:firstLineChars="300"/>
        <w:rPr>
          <w:rFonts w:hint="eastAsia" w:ascii="仿宋_GB2312" w:hAnsi="仿宋_GB2312" w:eastAsia="仿宋_GB2312" w:cs="仿宋_GB2312"/>
          <w:color w:val="auto"/>
        </w:rPr>
      </w:pPr>
      <w:r>
        <w:rPr>
          <w:rFonts w:hint="eastAsia" w:ascii="仿宋_GB2312" w:hAnsi="仿宋_GB2312" w:eastAsia="仿宋_GB2312" w:cs="仿宋_GB2312"/>
          <w:color w:val="auto"/>
        </w:rPr>
        <w:t>10-2采购代理机构负责磋商响应文件的接收、清点、记录工作，并请递交人签字确认。</w:t>
      </w:r>
    </w:p>
    <w:p w14:paraId="03E7D23B">
      <w:pPr>
        <w:spacing w:line="240" w:lineRule="auto"/>
        <w:ind w:firstLine="849" w:firstLineChars="300"/>
        <w:rPr>
          <w:rFonts w:hint="eastAsia" w:ascii="仿宋_GB2312" w:hAnsi="仿宋_GB2312" w:eastAsia="仿宋_GB2312" w:cs="仿宋_GB2312"/>
          <w:color w:val="auto"/>
        </w:rPr>
      </w:pPr>
      <w:r>
        <w:rPr>
          <w:rFonts w:hint="eastAsia" w:ascii="仿宋_GB2312" w:hAnsi="仿宋_GB2312" w:eastAsia="仿宋_GB2312" w:cs="仿宋_GB2312"/>
          <w:color w:val="auto"/>
        </w:rPr>
        <w:t>10-3在宣布递交磋商响应文件时间截止之后，任何人送达、递交的磋商响应文件和文书资料，采购代理机构拒绝接收。</w:t>
      </w:r>
    </w:p>
    <w:p w14:paraId="6F78E1CB">
      <w:pPr>
        <w:spacing w:line="240" w:lineRule="auto"/>
        <w:ind w:firstLine="849" w:firstLineChars="300"/>
        <w:rPr>
          <w:rFonts w:ascii="仿宋_GB2312" w:hAnsi="仿宋_GB2312" w:eastAsia="仿宋_GB2312" w:cs="仿宋_GB2312"/>
          <w:color w:val="auto"/>
        </w:rPr>
      </w:pPr>
      <w:r>
        <w:rPr>
          <w:rFonts w:hint="eastAsia" w:ascii="仿宋_GB2312" w:hAnsi="仿宋_GB2312" w:eastAsia="仿宋_GB2312" w:cs="仿宋_GB2312"/>
          <w:color w:val="auto"/>
        </w:rPr>
        <w:t>10-4无论磋商供应商成交与否，其磋商响应文件将不予退还。</w:t>
      </w:r>
      <w:bookmarkStart w:id="103" w:name="_Toc404175352"/>
    </w:p>
    <w:p w14:paraId="0BBD620B">
      <w:pPr>
        <w:spacing w:line="500" w:lineRule="exact"/>
        <w:ind w:firstLine="566" w:firstLineChars="200"/>
        <w:rPr>
          <w:rFonts w:hint="eastAsia" w:ascii="仿宋_GB2312" w:hAnsi="仿宋_GB2312" w:eastAsia="仿宋_GB2312" w:cs="仿宋_GB2312"/>
          <w:b/>
          <w:bCs/>
          <w:color w:val="auto"/>
        </w:rPr>
      </w:pPr>
      <w:bookmarkStart w:id="104" w:name="_Toc17536"/>
      <w:r>
        <w:rPr>
          <w:rFonts w:hint="eastAsia" w:ascii="仿宋_GB2312" w:hAnsi="仿宋_GB2312" w:eastAsia="仿宋_GB2312" w:cs="仿宋_GB2312"/>
          <w:b/>
          <w:bCs/>
          <w:color w:val="auto"/>
        </w:rPr>
        <w:t>六、</w:t>
      </w:r>
      <w:bookmarkEnd w:id="104"/>
      <w:r>
        <w:rPr>
          <w:rFonts w:hint="eastAsia" w:ascii="仿宋_GB2312" w:hAnsi="仿宋_GB2312" w:eastAsia="仿宋_GB2312" w:cs="仿宋_GB2312"/>
          <w:b/>
          <w:bCs/>
          <w:color w:val="auto"/>
        </w:rPr>
        <w:t>响应文件开启</w:t>
      </w:r>
    </w:p>
    <w:p w14:paraId="7B66F6E1">
      <w:pPr>
        <w:spacing w:line="240" w:lineRule="auto"/>
        <w:ind w:firstLine="849" w:firstLineChars="300"/>
        <w:rPr>
          <w:rFonts w:hint="eastAsia" w:ascii="仿宋_GB2312" w:hAnsi="仿宋_GB2312" w:eastAsia="仿宋_GB2312" w:cs="仿宋_GB2312"/>
          <w:color w:val="auto"/>
        </w:rPr>
      </w:pPr>
      <w:r>
        <w:rPr>
          <w:rFonts w:hint="eastAsia" w:ascii="仿宋_GB2312" w:hAnsi="仿宋_GB2312" w:eastAsia="仿宋_GB2312" w:cs="仿宋_GB2312"/>
          <w:color w:val="auto"/>
        </w:rPr>
        <w:t>（一）汉中市汉台区政府采购中心组织响应文件开启、评审工作，整个过程受政府采购监管机构的监督、管理。</w:t>
      </w:r>
    </w:p>
    <w:p w14:paraId="381A04BF">
      <w:pPr>
        <w:spacing w:line="240" w:lineRule="auto"/>
        <w:ind w:firstLine="849" w:firstLineChars="300"/>
        <w:rPr>
          <w:rFonts w:hint="eastAsia" w:ascii="仿宋_GB2312" w:hAnsi="仿宋_GB2312" w:eastAsia="仿宋_GB2312" w:cs="仿宋_GB2312"/>
          <w:color w:val="auto"/>
        </w:rPr>
      </w:pPr>
      <w:r>
        <w:rPr>
          <w:rFonts w:hint="eastAsia" w:ascii="仿宋_GB2312" w:hAnsi="仿宋_GB2312" w:eastAsia="仿宋_GB2312" w:cs="仿宋_GB2312"/>
          <w:color w:val="auto"/>
        </w:rPr>
        <w:t>（二）汉中市汉台区政府采购中心在磋商文件规定的时间和地点组织响应文件开启，供应商须派法定代表人或授权代表参加，并签名报到。法定代表人参加的，须出示本人身份证原件；授权代表参加的，须出示法定代表人授权委托书原件（按《响应文件构成及格式》中给定格式填写）和授权代表的身份证原件。</w:t>
      </w:r>
    </w:p>
    <w:p w14:paraId="5934DDF0">
      <w:pPr>
        <w:spacing w:line="240" w:lineRule="auto"/>
        <w:ind w:firstLine="849" w:firstLineChars="3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供应商不足3家的，不得开启响应文件。</w:t>
      </w:r>
    </w:p>
    <w:p w14:paraId="5C333620">
      <w:pPr>
        <w:spacing w:line="240" w:lineRule="auto"/>
        <w:ind w:firstLine="849" w:firstLineChars="300"/>
        <w:rPr>
          <w:rFonts w:hint="eastAsia" w:ascii="仿宋_GB2312" w:hAnsi="仿宋_GB2312" w:eastAsia="仿宋_GB2312" w:cs="仿宋_GB2312"/>
          <w:color w:val="auto"/>
        </w:rPr>
      </w:pPr>
      <w:r>
        <w:rPr>
          <w:rFonts w:hint="eastAsia" w:ascii="仿宋_GB2312" w:hAnsi="仿宋_GB2312" w:eastAsia="仿宋_GB2312" w:cs="仿宋_GB2312"/>
          <w:color w:val="auto"/>
        </w:rPr>
        <w:t>（三）响应文件开启过程由汉中市汉台区政府采购中心指定专人记录，由参加响应文件开启的相关工作人员签字确认后随采购文件一并存档。</w:t>
      </w:r>
    </w:p>
    <w:p w14:paraId="33B03FB8">
      <w:pPr>
        <w:keepNext w:val="0"/>
        <w:keepLines w:val="0"/>
        <w:pageBreakBefore w:val="0"/>
        <w:widowControl w:val="0"/>
        <w:kinsoku/>
        <w:wordWrap/>
        <w:overflowPunct/>
        <w:topLinePunct w:val="0"/>
        <w:autoSpaceDE/>
        <w:autoSpaceDN/>
        <w:bidi w:val="0"/>
        <w:adjustRightInd/>
        <w:snapToGrid/>
        <w:spacing w:line="240" w:lineRule="auto"/>
        <w:ind w:firstLine="849" w:firstLineChars="3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四）响应人对响应文件开启过程和记录有疑义，以及认为采购人、汉中市汉台区政府采购中心相关工作人员有需要回避情形的，应在响应文件开启现场提出询问或回避申请，采购人、汉中市汉台区政府采购中心应当及时处理。</w:t>
      </w:r>
    </w:p>
    <w:p w14:paraId="35294809">
      <w:pPr>
        <w:keepNext w:val="0"/>
        <w:keepLines w:val="0"/>
        <w:pageBreakBefore w:val="0"/>
        <w:widowControl w:val="0"/>
        <w:kinsoku/>
        <w:wordWrap/>
        <w:overflowPunct/>
        <w:topLinePunct w:val="0"/>
        <w:autoSpaceDE/>
        <w:autoSpaceDN/>
        <w:bidi w:val="0"/>
        <w:adjustRightInd/>
        <w:snapToGrid/>
        <w:spacing w:line="240" w:lineRule="auto"/>
        <w:ind w:firstLine="849" w:firstLineChars="3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（五）响应供应商未参加响应文件开启的，视同认可开启结果。</w:t>
      </w:r>
    </w:p>
    <w:p w14:paraId="0B7B2A13">
      <w:pPr>
        <w:keepNext w:val="0"/>
        <w:keepLines w:val="0"/>
        <w:pageBreakBefore w:val="0"/>
        <w:widowControl w:val="0"/>
        <w:kinsoku/>
        <w:wordWrap/>
        <w:overflowPunct/>
        <w:topLinePunct w:val="0"/>
        <w:autoSpaceDE/>
        <w:autoSpaceDN/>
        <w:bidi w:val="0"/>
        <w:adjustRightInd/>
        <w:snapToGrid/>
        <w:spacing w:line="240" w:lineRule="auto"/>
        <w:ind w:firstLine="566" w:firstLineChars="200"/>
        <w:textAlignment w:val="auto"/>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七、</w:t>
      </w:r>
      <w:bookmarkEnd w:id="103"/>
      <w:bookmarkStart w:id="105" w:name="_Toc31720"/>
      <w:bookmarkStart w:id="106" w:name="_Toc31905"/>
      <w:bookmarkStart w:id="107" w:name="_Toc8460"/>
      <w:bookmarkStart w:id="108" w:name="_Toc8349"/>
      <w:r>
        <w:rPr>
          <w:rFonts w:hint="eastAsia" w:ascii="仿宋_GB2312" w:hAnsi="仿宋_GB2312" w:eastAsia="仿宋_GB2312" w:cs="仿宋_GB2312"/>
          <w:b/>
          <w:bCs/>
          <w:color w:val="auto"/>
        </w:rPr>
        <w:t>组织评审</w:t>
      </w:r>
      <w:bookmarkEnd w:id="100"/>
      <w:bookmarkEnd w:id="101"/>
      <w:bookmarkEnd w:id="102"/>
      <w:bookmarkEnd w:id="105"/>
      <w:bookmarkEnd w:id="106"/>
      <w:bookmarkEnd w:id="107"/>
      <w:bookmarkEnd w:id="108"/>
    </w:p>
    <w:p w14:paraId="0F09E22A">
      <w:pPr>
        <w:keepNext w:val="0"/>
        <w:keepLines w:val="0"/>
        <w:pageBreakBefore w:val="0"/>
        <w:widowControl w:val="0"/>
        <w:kinsoku/>
        <w:wordWrap/>
        <w:overflowPunct/>
        <w:topLinePunct w:val="0"/>
        <w:autoSpaceDE/>
        <w:autoSpaceDN/>
        <w:bidi w:val="0"/>
        <w:adjustRightInd/>
        <w:snapToGrid/>
        <w:spacing w:line="240" w:lineRule="auto"/>
        <w:ind w:firstLine="566" w:firstLineChars="200"/>
        <w:textAlignment w:val="auto"/>
        <w:rPr>
          <w:rFonts w:hint="eastAsia" w:ascii="仿宋_GB2312" w:hAnsi="仿宋_GB2312" w:eastAsia="仿宋_GB2312" w:cs="仿宋_GB2312"/>
          <w:b/>
          <w:bCs/>
          <w:color w:val="auto"/>
        </w:rPr>
      </w:pPr>
      <w:bookmarkStart w:id="109" w:name="_Toc3816_WPSOffice_Level3"/>
      <w:r>
        <w:rPr>
          <w:rFonts w:hint="eastAsia" w:ascii="仿宋_GB2312" w:hAnsi="仿宋_GB2312" w:eastAsia="仿宋_GB2312" w:cs="仿宋_GB2312"/>
          <w:b/>
          <w:bCs/>
          <w:color w:val="auto"/>
          <w:shd w:val="clear" w:color="auto" w:fill="FFFFFF"/>
        </w:rPr>
        <w:t>（一）</w:t>
      </w:r>
      <w:bookmarkEnd w:id="109"/>
      <w:r>
        <w:rPr>
          <w:rFonts w:hint="eastAsia" w:ascii="仿宋_GB2312" w:hAnsi="仿宋_GB2312" w:eastAsia="仿宋_GB2312" w:cs="仿宋_GB2312"/>
          <w:b/>
          <w:bCs/>
          <w:color w:val="auto"/>
        </w:rPr>
        <w:t>成立磋商小组</w:t>
      </w:r>
    </w:p>
    <w:p w14:paraId="09360EC6">
      <w:pPr>
        <w:keepNext w:val="0"/>
        <w:keepLines w:val="0"/>
        <w:pageBreakBefore w:val="0"/>
        <w:widowControl w:val="0"/>
        <w:kinsoku/>
        <w:wordWrap/>
        <w:overflowPunct/>
        <w:topLinePunct w:val="0"/>
        <w:autoSpaceDE/>
        <w:autoSpaceDN/>
        <w:bidi w:val="0"/>
        <w:adjustRightInd/>
        <w:snapToGrid/>
        <w:spacing w:line="240" w:lineRule="auto"/>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1、为了确保磋商工作的公平、公正，依据政府采购法和政府采购相关法规、规章，成立磋商小组，磋商小组由采购人代表和评审专家共3人以上单数组成，其中评审专家人数不少于磋商小组成员总数的三分之二。</w:t>
      </w:r>
    </w:p>
    <w:p w14:paraId="79E1672A">
      <w:pPr>
        <w:keepNext w:val="0"/>
        <w:keepLines w:val="0"/>
        <w:pageBreakBefore w:val="0"/>
        <w:widowControl w:val="0"/>
        <w:kinsoku/>
        <w:wordWrap/>
        <w:overflowPunct/>
        <w:topLinePunct w:val="0"/>
        <w:autoSpaceDE/>
        <w:autoSpaceDN/>
        <w:bidi w:val="0"/>
        <w:adjustRightInd/>
        <w:snapToGrid/>
        <w:spacing w:line="240" w:lineRule="auto"/>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评审专家对本单位的采购项目只能作为采购人代表参与评审。采购代理机构工作人员不得参加由本机构代理的政府采购项目的评审。</w:t>
      </w:r>
    </w:p>
    <w:p w14:paraId="573FC106">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磋商小组成员名单在评审结果公告前应当保密。</w:t>
      </w:r>
    </w:p>
    <w:p w14:paraId="43DCEC4E">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2、评审专家将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采购项目，评审专家中应当包含1名法律专家。</w:t>
      </w:r>
    </w:p>
    <w:p w14:paraId="0D62401C">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评审中因磋商小组成员缺席、回避或者健康等特殊原因导致磋商小组组成不符合规定的，集中采购机构应当依法补足后继续评审。被更换的磋商小组成员所做出的评审意见无效。无法及时补足磋商小组成员的，集中采购机构应当停止评审活动，封存所有响应文件和开标、评审资料，依法重新组建磋商小组进行评审。原磋商小组所做出的评审意见无效。</w:t>
      </w:r>
    </w:p>
    <w:p w14:paraId="0D422880">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集中采购机构应当将变更、重新组建磋商小组的情况予以记录，并随采购文件一并存档。</w:t>
      </w:r>
    </w:p>
    <w:p w14:paraId="3E185E10">
      <w:pPr>
        <w:pStyle w:val="10"/>
        <w:spacing w:beforeAutospacing="0" w:afterAutospacing="0" w:line="500" w:lineRule="exact"/>
        <w:ind w:firstLine="569"/>
        <w:rPr>
          <w:rFonts w:hint="eastAsia" w:ascii="仿宋_GB2312" w:hAnsi="仿宋_GB2312" w:eastAsia="仿宋_GB2312" w:cs="仿宋_GB2312"/>
          <w:b/>
          <w:bCs/>
          <w:color w:val="auto"/>
          <w:sz w:val="28"/>
        </w:rPr>
      </w:pPr>
      <w:bookmarkStart w:id="110" w:name="_Toc3147_WPSOffice_Level3"/>
      <w:r>
        <w:rPr>
          <w:rFonts w:hint="eastAsia" w:ascii="仿宋_GB2312" w:hAnsi="仿宋_GB2312" w:eastAsia="仿宋_GB2312" w:cs="仿宋_GB2312"/>
          <w:b/>
          <w:bCs/>
          <w:color w:val="auto"/>
          <w:sz w:val="28"/>
          <w:shd w:val="clear" w:color="auto" w:fill="FFFFFF"/>
        </w:rPr>
        <w:t>（二）磋商小组负责具体评审事务，并独立履行下列职责：</w:t>
      </w:r>
      <w:bookmarkEnd w:id="110"/>
    </w:p>
    <w:p w14:paraId="47DD620E">
      <w:pPr>
        <w:pStyle w:val="10"/>
        <w:spacing w:beforeAutospacing="0" w:afterAutospacing="0" w:line="240" w:lineRule="auto"/>
        <w:ind w:firstLine="566" w:firstLineChars="200"/>
        <w:rPr>
          <w:rFonts w:hint="eastAsia" w:ascii="仿宋_GB2312" w:hAnsi="仿宋_GB2312" w:eastAsia="仿宋_GB2312" w:cs="仿宋_GB2312"/>
          <w:color w:val="auto"/>
          <w:sz w:val="28"/>
          <w:shd w:val="clear" w:color="auto" w:fill="FFFFFF"/>
        </w:rPr>
      </w:pPr>
      <w:r>
        <w:rPr>
          <w:rFonts w:hint="eastAsia" w:ascii="仿宋_GB2312" w:hAnsi="仿宋_GB2312" w:eastAsia="仿宋_GB2312" w:cs="仿宋_GB2312"/>
          <w:color w:val="auto"/>
          <w:sz w:val="28"/>
          <w:shd w:val="clear" w:color="auto" w:fill="FFFFFF"/>
        </w:rPr>
        <w:t>1、遵守评审工作纪律，不得泄露评审情况和评审中获悉的商业秘密；</w:t>
      </w:r>
    </w:p>
    <w:p w14:paraId="13078F8D">
      <w:pPr>
        <w:pStyle w:val="10"/>
        <w:spacing w:beforeAutospacing="0" w:afterAutospacing="0" w:line="240" w:lineRule="auto"/>
        <w:ind w:firstLine="566" w:firstLineChars="200"/>
        <w:rPr>
          <w:rFonts w:hint="eastAsia" w:ascii="仿宋_GB2312" w:hAnsi="仿宋_GB2312" w:eastAsia="仿宋_GB2312" w:cs="仿宋_GB2312"/>
          <w:color w:val="auto"/>
          <w:sz w:val="28"/>
          <w:shd w:val="clear" w:color="auto" w:fill="FFFFFF"/>
        </w:rPr>
      </w:pPr>
      <w:r>
        <w:rPr>
          <w:rFonts w:hint="eastAsia" w:ascii="仿宋_GB2312" w:hAnsi="仿宋_GB2312" w:eastAsia="仿宋_GB2312" w:cs="仿宋_GB2312"/>
          <w:color w:val="auto"/>
          <w:sz w:val="28"/>
          <w:shd w:val="clear" w:color="auto" w:fill="FFFFFF"/>
        </w:rPr>
        <w:t xml:space="preserve">2、按照客观、公正、审慎的原则，根据磋商文件规定的评审程序、评审方法和评审标准进行独立评审； </w:t>
      </w:r>
    </w:p>
    <w:p w14:paraId="241ACD3F">
      <w:pPr>
        <w:pStyle w:val="10"/>
        <w:spacing w:beforeAutospacing="0" w:afterAutospacing="0" w:line="240" w:lineRule="auto"/>
        <w:ind w:firstLine="566" w:firstLineChars="200"/>
        <w:rPr>
          <w:rFonts w:hint="eastAsia" w:ascii="仿宋_GB2312" w:hAnsi="仿宋_GB2312" w:eastAsia="仿宋_GB2312" w:cs="仿宋_GB2312"/>
          <w:color w:val="auto"/>
          <w:sz w:val="28"/>
          <w:shd w:val="clear" w:color="auto" w:fill="FFFFFF"/>
        </w:rPr>
      </w:pPr>
      <w:r>
        <w:rPr>
          <w:rFonts w:hint="eastAsia" w:ascii="仿宋_GB2312" w:hAnsi="仿宋_GB2312" w:eastAsia="仿宋_GB2312" w:cs="仿宋_GB2312"/>
          <w:color w:val="auto"/>
          <w:sz w:val="28"/>
          <w:shd w:val="clear" w:color="auto" w:fill="FFFFFF"/>
        </w:rPr>
        <w:t xml:space="preserve">3、要求供应商对响应文件有关事项做出澄清或者说明； </w:t>
      </w:r>
    </w:p>
    <w:p w14:paraId="3340A621">
      <w:pPr>
        <w:pStyle w:val="10"/>
        <w:spacing w:beforeAutospacing="0" w:afterAutospacing="0" w:line="240" w:lineRule="auto"/>
        <w:ind w:firstLine="566" w:firstLineChars="200"/>
        <w:rPr>
          <w:rFonts w:hint="eastAsia" w:ascii="仿宋_GB2312" w:hAnsi="仿宋_GB2312" w:eastAsia="仿宋_GB2312" w:cs="仿宋_GB2312"/>
          <w:color w:val="auto"/>
          <w:sz w:val="28"/>
          <w:shd w:val="clear" w:color="auto" w:fill="FFFFFF"/>
        </w:rPr>
      </w:pPr>
      <w:r>
        <w:rPr>
          <w:rFonts w:hint="eastAsia" w:ascii="仿宋_GB2312" w:hAnsi="仿宋_GB2312" w:eastAsia="仿宋_GB2312" w:cs="仿宋_GB2312"/>
          <w:color w:val="auto"/>
          <w:sz w:val="28"/>
          <w:shd w:val="clear" w:color="auto" w:fill="FFFFFF"/>
        </w:rPr>
        <w:t xml:space="preserve">4、与供应商分别进行磋商； </w:t>
      </w:r>
    </w:p>
    <w:p w14:paraId="52321B53">
      <w:pPr>
        <w:pStyle w:val="10"/>
        <w:spacing w:beforeAutospacing="0" w:afterAutospacing="0" w:line="240" w:lineRule="auto"/>
        <w:ind w:firstLine="566" w:firstLineChars="200"/>
        <w:rPr>
          <w:rFonts w:hint="eastAsia" w:ascii="仿宋_GB2312" w:hAnsi="仿宋_GB2312" w:eastAsia="仿宋_GB2312" w:cs="仿宋_GB2312"/>
          <w:color w:val="auto"/>
          <w:sz w:val="28"/>
          <w:shd w:val="clear" w:color="auto" w:fill="FFFFFF"/>
        </w:rPr>
      </w:pPr>
      <w:r>
        <w:rPr>
          <w:rFonts w:hint="eastAsia" w:ascii="仿宋_GB2312" w:hAnsi="仿宋_GB2312" w:eastAsia="仿宋_GB2312" w:cs="仿宋_GB2312"/>
          <w:color w:val="auto"/>
          <w:sz w:val="28"/>
          <w:shd w:val="clear" w:color="auto" w:fill="FFFFFF"/>
        </w:rPr>
        <w:t xml:space="preserve">5、对响应文件进行比较和评价； </w:t>
      </w:r>
    </w:p>
    <w:p w14:paraId="674F2919">
      <w:pPr>
        <w:pStyle w:val="10"/>
        <w:spacing w:beforeAutospacing="0" w:afterAutospacing="0" w:line="240" w:lineRule="auto"/>
        <w:ind w:firstLine="566" w:firstLineChars="200"/>
        <w:rPr>
          <w:rFonts w:hint="eastAsia" w:ascii="仿宋_GB2312" w:hAnsi="仿宋_GB2312" w:eastAsia="仿宋_GB2312" w:cs="仿宋_GB2312"/>
          <w:color w:val="auto"/>
          <w:sz w:val="28"/>
          <w:shd w:val="clear" w:color="auto" w:fill="FFFFFF"/>
        </w:rPr>
      </w:pPr>
      <w:r>
        <w:rPr>
          <w:rFonts w:hint="eastAsia" w:ascii="仿宋_GB2312" w:hAnsi="仿宋_GB2312" w:eastAsia="仿宋_GB2312" w:cs="仿宋_GB2312"/>
          <w:color w:val="auto"/>
          <w:sz w:val="28"/>
          <w:shd w:val="clear" w:color="auto" w:fill="FFFFFF"/>
        </w:rPr>
        <w:t xml:space="preserve">6、确定成交候选人名单，以及根据采购人委托直接确定成交供应商； </w:t>
      </w:r>
    </w:p>
    <w:p w14:paraId="62E89E23">
      <w:pPr>
        <w:pStyle w:val="10"/>
        <w:spacing w:beforeAutospacing="0" w:afterAutospacing="0" w:line="240" w:lineRule="auto"/>
        <w:ind w:firstLine="566" w:firstLineChars="200"/>
        <w:rPr>
          <w:rFonts w:hint="eastAsia" w:ascii="仿宋_GB2312" w:hAnsi="仿宋_GB2312" w:eastAsia="仿宋_GB2312" w:cs="仿宋_GB2312"/>
          <w:color w:val="auto"/>
          <w:sz w:val="28"/>
          <w:shd w:val="clear" w:color="auto" w:fill="FFFFFF"/>
        </w:rPr>
      </w:pPr>
      <w:r>
        <w:rPr>
          <w:rFonts w:hint="eastAsia" w:ascii="仿宋_GB2312" w:hAnsi="仿宋_GB2312" w:eastAsia="仿宋_GB2312" w:cs="仿宋_GB2312"/>
          <w:color w:val="auto"/>
          <w:sz w:val="28"/>
          <w:shd w:val="clear" w:color="auto" w:fill="FFFFFF"/>
        </w:rPr>
        <w:t xml:space="preserve">7、配合答复供应商的询问、质疑和投诉等事项，不得泄露评审文件、评审情况和在评审过程中获悉的商业秘密； </w:t>
      </w:r>
    </w:p>
    <w:p w14:paraId="1107A0CD">
      <w:pPr>
        <w:pStyle w:val="10"/>
        <w:spacing w:beforeAutospacing="0" w:afterAutospacing="0" w:line="240" w:lineRule="auto"/>
        <w:ind w:firstLine="566" w:firstLineChars="200"/>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shd w:val="clear" w:color="auto" w:fill="FFFFFF"/>
        </w:rPr>
        <w:t xml:space="preserve">8、向采购人、集中采购机构或者有关部门报告评审中发现的违法行为。 </w:t>
      </w:r>
    </w:p>
    <w:p w14:paraId="6CB08427">
      <w:pPr>
        <w:pStyle w:val="10"/>
        <w:spacing w:beforeAutospacing="0" w:afterAutospacing="0" w:line="500" w:lineRule="exact"/>
        <w:ind w:firstLine="569"/>
        <w:rPr>
          <w:rFonts w:hint="eastAsia" w:ascii="仿宋_GB2312" w:hAnsi="仿宋_GB2312" w:eastAsia="仿宋_GB2312" w:cs="仿宋_GB2312"/>
          <w:b/>
          <w:bCs/>
          <w:color w:val="auto"/>
          <w:sz w:val="28"/>
        </w:rPr>
      </w:pPr>
      <w:bookmarkStart w:id="111" w:name="_Toc8872_WPSOffice_Level3"/>
      <w:r>
        <w:rPr>
          <w:rFonts w:hint="eastAsia" w:ascii="仿宋_GB2312" w:hAnsi="仿宋_GB2312" w:eastAsia="仿宋_GB2312" w:cs="仿宋_GB2312"/>
          <w:b/>
          <w:bCs/>
          <w:color w:val="auto"/>
          <w:sz w:val="28"/>
        </w:rPr>
        <w:t>（三）</w:t>
      </w:r>
      <w:r>
        <w:rPr>
          <w:rFonts w:hint="eastAsia" w:ascii="仿宋_GB2312" w:hAnsi="仿宋_GB2312" w:eastAsia="仿宋_GB2312" w:cs="仿宋_GB2312"/>
          <w:b/>
          <w:bCs/>
          <w:color w:val="auto"/>
          <w:sz w:val="28"/>
          <w:shd w:val="clear" w:color="auto" w:fill="FFFFFF"/>
        </w:rPr>
        <w:t>集中采购机构负责组织评审工作，并履行下列职责：</w:t>
      </w:r>
    </w:p>
    <w:p w14:paraId="4ACAC866">
      <w:pPr>
        <w:pStyle w:val="10"/>
        <w:spacing w:beforeAutospacing="0" w:afterAutospacing="0" w:line="240" w:lineRule="auto"/>
        <w:ind w:firstLine="566" w:firstLineChars="200"/>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shd w:val="clear" w:color="auto" w:fill="FFFFFF"/>
        </w:rPr>
        <w:t>1、核对评审专家身份和采购</w:t>
      </w:r>
      <w:r>
        <w:rPr>
          <w:rFonts w:hint="eastAsia" w:ascii="仿宋_GB2312" w:hAnsi="仿宋_GB2312" w:eastAsia="仿宋_GB2312" w:cs="仿宋_GB2312"/>
          <w:color w:val="auto"/>
          <w:spacing w:val="6"/>
          <w:sz w:val="28"/>
          <w:shd w:val="clear" w:color="auto" w:fill="FFFFFF"/>
        </w:rPr>
        <w:t>人代表授权函，对评审专家在政府采购活动中的职责履行情况予以记录，并及时将</w:t>
      </w:r>
      <w:r>
        <w:rPr>
          <w:rFonts w:hint="eastAsia" w:ascii="仿宋_GB2312" w:hAnsi="仿宋_GB2312" w:eastAsia="仿宋_GB2312" w:cs="仿宋_GB2312"/>
          <w:color w:val="auto"/>
          <w:sz w:val="28"/>
          <w:shd w:val="clear" w:color="auto" w:fill="FFFFFF"/>
        </w:rPr>
        <w:t>有关违法违规行为向财政部门报告;</w:t>
      </w:r>
    </w:p>
    <w:p w14:paraId="6076D130">
      <w:pPr>
        <w:pStyle w:val="10"/>
        <w:spacing w:beforeAutospacing="0" w:afterAutospacing="0" w:line="240" w:lineRule="auto"/>
        <w:ind w:firstLine="566" w:firstLineChars="200"/>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shd w:val="clear" w:color="auto" w:fill="FFFFFF"/>
        </w:rPr>
        <w:t>2、宣布评审纪律;</w:t>
      </w:r>
    </w:p>
    <w:p w14:paraId="4943FA00">
      <w:pPr>
        <w:pStyle w:val="10"/>
        <w:spacing w:beforeAutospacing="0" w:afterAutospacing="0" w:line="240" w:lineRule="auto"/>
        <w:ind w:firstLine="566" w:firstLineChars="200"/>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shd w:val="clear" w:color="auto" w:fill="FFFFFF"/>
        </w:rPr>
        <w:t>3、公布供应商名单，告知评审专家应当回避的情形;</w:t>
      </w:r>
    </w:p>
    <w:p w14:paraId="4FDAAA7D">
      <w:pPr>
        <w:pStyle w:val="10"/>
        <w:spacing w:beforeAutospacing="0" w:afterAutospacing="0" w:line="240" w:lineRule="auto"/>
        <w:ind w:firstLine="566" w:firstLineChars="200"/>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shd w:val="clear" w:color="auto" w:fill="FFFFFF"/>
        </w:rPr>
        <w:t>4、组织磋商小组推选评审组长，采购人代表不得担任组长;</w:t>
      </w:r>
    </w:p>
    <w:p w14:paraId="12CB6B1C">
      <w:pPr>
        <w:pStyle w:val="10"/>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566" w:firstLineChars="200"/>
        <w:textAlignment w:val="auto"/>
        <w:rPr>
          <w:rFonts w:hint="eastAsia" w:ascii="仿宋_GB2312" w:hAnsi="仿宋_GB2312" w:eastAsia="仿宋_GB2312" w:cs="仿宋_GB2312"/>
          <w:color w:val="auto"/>
          <w:spacing w:val="6"/>
          <w:sz w:val="28"/>
        </w:rPr>
      </w:pPr>
      <w:r>
        <w:rPr>
          <w:rFonts w:hint="eastAsia" w:ascii="仿宋_GB2312" w:hAnsi="仿宋_GB2312" w:eastAsia="仿宋_GB2312" w:cs="仿宋_GB2312"/>
          <w:color w:val="auto"/>
          <w:sz w:val="28"/>
          <w:shd w:val="clear" w:color="auto" w:fill="FFFFFF"/>
        </w:rPr>
        <w:t>5、</w:t>
      </w:r>
      <w:r>
        <w:rPr>
          <w:rFonts w:hint="eastAsia" w:ascii="仿宋_GB2312" w:hAnsi="仿宋_GB2312" w:eastAsia="仿宋_GB2312" w:cs="仿宋_GB2312"/>
          <w:color w:val="auto"/>
          <w:spacing w:val="6"/>
          <w:sz w:val="28"/>
          <w:shd w:val="clear" w:color="auto" w:fill="FFFFFF"/>
        </w:rPr>
        <w:t>在评审期间采取必要的通讯管理措施，保证评审活动不受外界干扰;</w:t>
      </w:r>
    </w:p>
    <w:p w14:paraId="20D8C1A7">
      <w:pPr>
        <w:pStyle w:val="10"/>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566" w:firstLineChars="200"/>
        <w:textAlignment w:val="auto"/>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shd w:val="clear" w:color="auto" w:fill="FFFFFF"/>
        </w:rPr>
        <w:t>6、根据磋商小组的要求介绍政府采购相关政策法规、磋商文件;</w:t>
      </w:r>
    </w:p>
    <w:p w14:paraId="3689EB27">
      <w:pPr>
        <w:pStyle w:val="10"/>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566" w:firstLineChars="200"/>
        <w:textAlignment w:val="auto"/>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shd w:val="clear" w:color="auto" w:fill="FFFFFF"/>
        </w:rPr>
        <w:t>7、维护评审秩序，监督磋商小组依照磋商文件规定的评审程序、方法和标准进行独立评审，及时制止和纠正采购人代表、评审专家的倾向性言论或者违法违规行为;</w:t>
      </w:r>
    </w:p>
    <w:p w14:paraId="640EF595">
      <w:pPr>
        <w:pStyle w:val="10"/>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566" w:firstLineChars="200"/>
        <w:textAlignment w:val="auto"/>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shd w:val="clear" w:color="auto" w:fill="FFFFFF"/>
        </w:rPr>
        <w:t>8、核对评审结果;</w:t>
      </w:r>
    </w:p>
    <w:p w14:paraId="2CF03ABC">
      <w:pPr>
        <w:pStyle w:val="10"/>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566" w:firstLineChars="200"/>
        <w:textAlignment w:val="auto"/>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shd w:val="clear" w:color="auto" w:fill="FFFFFF"/>
        </w:rPr>
        <w:t>9、评审工作完成后，按照规定向评审专家支付劳务报酬和异地评审差旅费，不得向评审专家以外的其他人员支付评审劳务报酬;</w:t>
      </w:r>
    </w:p>
    <w:p w14:paraId="1709FD77">
      <w:pPr>
        <w:pStyle w:val="10"/>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566" w:firstLineChars="200"/>
        <w:textAlignment w:val="auto"/>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shd w:val="clear" w:color="auto" w:fill="FFFFFF"/>
        </w:rPr>
        <w:t>10、处理与评审有关的其他事项。</w:t>
      </w:r>
    </w:p>
    <w:p w14:paraId="754D766C">
      <w:pPr>
        <w:pStyle w:val="10"/>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566" w:firstLineChars="200"/>
        <w:textAlignment w:val="auto"/>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shd w:val="clear" w:color="auto" w:fill="FFFFFF"/>
        </w:rPr>
        <w:t>采购人可以在评审前说明项目背景和采购需求，说明内容不得含有歧视性、倾向性意见，不得超出磋商文件所述范围。说明应当提交书面材料，并随采购文件一并存档。</w:t>
      </w:r>
      <w:bookmarkEnd w:id="111"/>
    </w:p>
    <w:p w14:paraId="37C51647">
      <w:pPr>
        <w:keepNext w:val="0"/>
        <w:keepLines w:val="0"/>
        <w:pageBreakBefore w:val="0"/>
        <w:widowControl/>
        <w:kinsoku/>
        <w:wordWrap/>
        <w:overflowPunct/>
        <w:topLinePunct w:val="0"/>
        <w:autoSpaceDE/>
        <w:autoSpaceDN/>
        <w:bidi w:val="0"/>
        <w:adjustRightInd/>
        <w:snapToGrid/>
        <w:spacing w:line="500" w:lineRule="exact"/>
        <w:ind w:left="0" w:firstLine="566" w:firstLineChars="200"/>
        <w:textAlignment w:val="auto"/>
        <w:rPr>
          <w:rFonts w:hint="eastAsia" w:ascii="仿宋_GB2312" w:hAnsi="仿宋_GB2312" w:eastAsia="仿宋_GB2312" w:cs="仿宋_GB2312"/>
          <w:b/>
          <w:color w:val="auto"/>
        </w:rPr>
      </w:pPr>
      <w:bookmarkStart w:id="112" w:name="_Toc4079_WPSOffice_Level3"/>
      <w:r>
        <w:rPr>
          <w:rFonts w:hint="eastAsia" w:ascii="仿宋_GB2312" w:hAnsi="仿宋_GB2312" w:eastAsia="仿宋_GB2312" w:cs="仿宋_GB2312"/>
          <w:b/>
          <w:color w:val="auto"/>
        </w:rPr>
        <w:t>（四）评审方法：综合评分法</w:t>
      </w:r>
      <w:bookmarkEnd w:id="112"/>
    </w:p>
    <w:p w14:paraId="1EF4842D">
      <w:pPr>
        <w:keepNext w:val="0"/>
        <w:keepLines w:val="0"/>
        <w:pageBreakBefore w:val="0"/>
        <w:widowControl/>
        <w:kinsoku/>
        <w:wordWrap/>
        <w:overflowPunct/>
        <w:topLinePunct w:val="0"/>
        <w:autoSpaceDE/>
        <w:autoSpaceDN/>
        <w:bidi w:val="0"/>
        <w:adjustRightInd/>
        <w:snapToGrid/>
        <w:spacing w:line="240" w:lineRule="auto"/>
        <w:ind w:left="0"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综合评分法，是指响应文件满足磋商文件全部实质性要求且按评审因 素的量化指标评审得分最高的供应商为成交候选供应商的评审方法。</w:t>
      </w:r>
    </w:p>
    <w:p w14:paraId="257F78C8">
      <w:pPr>
        <w:keepNext w:val="0"/>
        <w:keepLines w:val="0"/>
        <w:pageBreakBefore w:val="0"/>
        <w:widowControl/>
        <w:kinsoku/>
        <w:wordWrap/>
        <w:overflowPunct/>
        <w:topLinePunct w:val="0"/>
        <w:autoSpaceDE/>
        <w:autoSpaceDN/>
        <w:bidi w:val="0"/>
        <w:adjustRightInd/>
        <w:snapToGrid/>
        <w:spacing w:line="500" w:lineRule="exact"/>
        <w:ind w:left="0" w:firstLine="566" w:firstLineChars="200"/>
        <w:textAlignment w:val="auto"/>
        <w:rPr>
          <w:rFonts w:hint="eastAsia" w:ascii="仿宋_GB2312" w:hAnsi="仿宋_GB2312" w:eastAsia="仿宋_GB2312" w:cs="仿宋_GB2312"/>
          <w:color w:val="auto"/>
        </w:rPr>
      </w:pPr>
      <w:bookmarkStart w:id="113" w:name="_Toc25396_WPSOffice_Level3"/>
      <w:r>
        <w:rPr>
          <w:rFonts w:hint="eastAsia" w:ascii="仿宋_GB2312" w:hAnsi="仿宋_GB2312" w:eastAsia="仿宋_GB2312" w:cs="仿宋_GB2312"/>
          <w:b/>
          <w:color w:val="auto"/>
        </w:rPr>
        <w:t>（五）评审程序</w:t>
      </w:r>
      <w:bookmarkEnd w:id="113"/>
    </w:p>
    <w:p w14:paraId="2649609B">
      <w:pPr>
        <w:keepNext w:val="0"/>
        <w:keepLines w:val="0"/>
        <w:pageBreakBefore w:val="0"/>
        <w:widowControl/>
        <w:kinsoku/>
        <w:wordWrap/>
        <w:overflowPunct/>
        <w:topLinePunct w:val="0"/>
        <w:autoSpaceDE/>
        <w:autoSpaceDN/>
        <w:bidi w:val="0"/>
        <w:adjustRightInd/>
        <w:snapToGrid/>
        <w:spacing w:line="240" w:lineRule="auto"/>
        <w:ind w:left="0"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分步评审，每一步评审不符合磋商文件要求者，不得进入下一步评审，全部评审合格的供应商，进入最后的打分，最后按得分由高向低排序，推荐成交候选供应商。</w:t>
      </w:r>
    </w:p>
    <w:p w14:paraId="680BECE1">
      <w:pPr>
        <w:keepNext w:val="0"/>
        <w:keepLines w:val="0"/>
        <w:pageBreakBefore w:val="0"/>
        <w:widowControl/>
        <w:kinsoku/>
        <w:wordWrap/>
        <w:overflowPunct/>
        <w:topLinePunct w:val="0"/>
        <w:autoSpaceDE/>
        <w:autoSpaceDN/>
        <w:bidi w:val="0"/>
        <w:adjustRightInd/>
        <w:snapToGrid/>
        <w:spacing w:line="500" w:lineRule="exact"/>
        <w:ind w:left="0"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b/>
          <w:bCs/>
          <w:color w:val="auto"/>
        </w:rPr>
        <w:t>1、资格性审查</w:t>
      </w:r>
    </w:p>
    <w:p w14:paraId="2C8B5406">
      <w:pPr>
        <w:keepNext w:val="0"/>
        <w:keepLines w:val="0"/>
        <w:pageBreakBefore w:val="0"/>
        <w:widowControl/>
        <w:kinsoku/>
        <w:wordWrap/>
        <w:overflowPunct/>
        <w:topLinePunct w:val="0"/>
        <w:autoSpaceDE/>
        <w:autoSpaceDN/>
        <w:bidi w:val="0"/>
        <w:adjustRightInd/>
        <w:snapToGrid/>
        <w:spacing w:after="190" w:afterLines="50" w:line="240" w:lineRule="auto"/>
        <w:ind w:left="0" w:firstLine="566" w:firstLineChars="200"/>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响应文件开启结束后，磋商小组依据法律法规和磋商文件的规定，对响应文件中的供应商资格证明文件进行审查，以确定供应商是否具备磋商资格。</w:t>
      </w:r>
    </w:p>
    <w:p w14:paraId="78232D50">
      <w:pPr>
        <w:ind w:firstLine="569"/>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br w:type="page"/>
      </w:r>
    </w:p>
    <w:p w14:paraId="788E4CAC">
      <w:pPr>
        <w:spacing w:line="500" w:lineRule="exact"/>
        <w:ind w:firstLine="569"/>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资格审查表</w:t>
      </w:r>
    </w:p>
    <w:tbl>
      <w:tblPr>
        <w:tblStyle w:val="12"/>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640"/>
        <w:gridCol w:w="5053"/>
        <w:gridCol w:w="791"/>
        <w:gridCol w:w="1105"/>
      </w:tblGrid>
      <w:tr w14:paraId="5DCE9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51" w:type="dxa"/>
            <w:vAlign w:val="center"/>
          </w:tcPr>
          <w:p w14:paraId="0620510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b/>
                <w:color w:val="auto"/>
              </w:rPr>
            </w:pPr>
            <w:r>
              <w:rPr>
                <w:rFonts w:hint="eastAsia" w:ascii="仿宋_GB2312" w:hAnsi="仿宋_GB2312" w:eastAsia="仿宋_GB2312" w:cs="仿宋_GB2312"/>
                <w:b/>
                <w:color w:val="auto"/>
              </w:rPr>
              <w:t>序号</w:t>
            </w:r>
          </w:p>
        </w:tc>
        <w:tc>
          <w:tcPr>
            <w:tcW w:w="1640" w:type="dxa"/>
            <w:vAlign w:val="center"/>
          </w:tcPr>
          <w:p w14:paraId="20D06A3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b/>
                <w:color w:val="auto"/>
                <w:kern w:val="28"/>
              </w:rPr>
            </w:pPr>
            <w:r>
              <w:rPr>
                <w:rFonts w:hint="eastAsia" w:ascii="仿宋_GB2312" w:hAnsi="仿宋_GB2312" w:eastAsia="仿宋_GB2312" w:cs="仿宋_GB2312"/>
                <w:b/>
                <w:color w:val="auto"/>
                <w:kern w:val="28"/>
              </w:rPr>
              <w:t>资格审查项</w:t>
            </w:r>
          </w:p>
        </w:tc>
        <w:tc>
          <w:tcPr>
            <w:tcW w:w="5053" w:type="dxa"/>
            <w:vAlign w:val="center"/>
          </w:tcPr>
          <w:p w14:paraId="76873AB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b/>
                <w:color w:val="auto"/>
                <w:kern w:val="28"/>
              </w:rPr>
            </w:pPr>
            <w:r>
              <w:rPr>
                <w:rFonts w:hint="eastAsia" w:ascii="仿宋_GB2312" w:hAnsi="仿宋_GB2312" w:eastAsia="仿宋_GB2312" w:cs="仿宋_GB2312"/>
                <w:b/>
                <w:color w:val="auto"/>
                <w:kern w:val="28"/>
              </w:rPr>
              <w:t>通过条件</w:t>
            </w:r>
          </w:p>
        </w:tc>
        <w:tc>
          <w:tcPr>
            <w:tcW w:w="791" w:type="dxa"/>
            <w:vAlign w:val="center"/>
          </w:tcPr>
          <w:p w14:paraId="3CE52313">
            <w:pPr>
              <w:keepNext w:val="0"/>
              <w:keepLines w:val="0"/>
              <w:pageBreakBefore w:val="0"/>
              <w:widowControl/>
              <w:kinsoku/>
              <w:wordWrap/>
              <w:overflowPunct/>
              <w:topLinePunct w:val="0"/>
              <w:autoSpaceDE/>
              <w:autoSpaceDN/>
              <w:bidi w:val="0"/>
              <w:adjustRightInd/>
              <w:snapToGrid/>
              <w:spacing w:before="40" w:after="40"/>
              <w:ind w:firstLine="0"/>
              <w:jc w:val="center"/>
              <w:textAlignment w:val="auto"/>
              <w:rPr>
                <w:rFonts w:hint="eastAsia" w:ascii="仿宋_GB2312" w:hAnsi="仿宋_GB2312" w:eastAsia="仿宋_GB2312" w:cs="仿宋_GB2312"/>
                <w:b/>
                <w:color w:val="auto"/>
              </w:rPr>
            </w:pPr>
            <w:r>
              <w:rPr>
                <w:rFonts w:hint="eastAsia" w:ascii="仿宋_GB2312" w:hAnsi="仿宋_GB2312" w:eastAsia="仿宋_GB2312" w:cs="仿宋_GB2312"/>
                <w:b/>
                <w:color w:val="auto"/>
              </w:rPr>
              <w:t>结论</w:t>
            </w:r>
          </w:p>
        </w:tc>
        <w:tc>
          <w:tcPr>
            <w:tcW w:w="1105" w:type="dxa"/>
            <w:vAlign w:val="center"/>
          </w:tcPr>
          <w:p w14:paraId="3D7F7595">
            <w:pPr>
              <w:keepNext w:val="0"/>
              <w:keepLines w:val="0"/>
              <w:pageBreakBefore w:val="0"/>
              <w:widowControl/>
              <w:kinsoku/>
              <w:wordWrap/>
              <w:overflowPunct/>
              <w:topLinePunct w:val="0"/>
              <w:autoSpaceDE/>
              <w:autoSpaceDN/>
              <w:bidi w:val="0"/>
              <w:adjustRightInd/>
              <w:snapToGrid/>
              <w:spacing w:before="40" w:after="40"/>
              <w:ind w:firstLine="0"/>
              <w:jc w:val="center"/>
              <w:textAlignment w:val="auto"/>
              <w:rPr>
                <w:rFonts w:hint="eastAsia" w:ascii="仿宋_GB2312" w:hAnsi="仿宋_GB2312" w:eastAsia="仿宋_GB2312" w:cs="仿宋_GB2312"/>
                <w:b/>
                <w:color w:val="auto"/>
              </w:rPr>
            </w:pPr>
            <w:r>
              <w:rPr>
                <w:rFonts w:hint="eastAsia" w:ascii="仿宋_GB2312" w:hAnsi="仿宋_GB2312" w:eastAsia="仿宋_GB2312" w:cs="仿宋_GB2312"/>
                <w:b/>
                <w:color w:val="auto"/>
              </w:rPr>
              <w:t>不通过原因</w:t>
            </w:r>
          </w:p>
        </w:tc>
      </w:tr>
      <w:tr w14:paraId="57B2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551" w:type="dxa"/>
            <w:vAlign w:val="center"/>
          </w:tcPr>
          <w:p w14:paraId="5A2733C7">
            <w:pPr>
              <w:jc w:val="center"/>
              <w:rPr>
                <w:rFonts w:hint="eastAsia" w:ascii="仿宋_GB2312" w:hAnsi="仿宋_GB2312" w:eastAsia="仿宋_GB2312" w:cs="仿宋_GB2312"/>
                <w:bCs/>
                <w:color w:val="auto"/>
              </w:rPr>
            </w:pPr>
            <w:r>
              <w:rPr>
                <w:rFonts w:hint="eastAsia" w:ascii="仿宋_GB2312" w:hAnsi="仿宋_GB2312" w:eastAsia="仿宋_GB2312" w:cs="仿宋_GB2312"/>
                <w:bCs/>
                <w:color w:val="auto"/>
              </w:rPr>
              <w:t>1</w:t>
            </w:r>
          </w:p>
        </w:tc>
        <w:tc>
          <w:tcPr>
            <w:tcW w:w="1640" w:type="dxa"/>
            <w:vAlign w:val="center"/>
          </w:tcPr>
          <w:p w14:paraId="2CFA3C5A">
            <w:pPr>
              <w:spacing w:line="240" w:lineRule="auto"/>
              <w:jc w:val="center"/>
              <w:rPr>
                <w:rFonts w:hint="eastAsia" w:ascii="仿宋_GB2312" w:hAnsi="仿宋_GB2312" w:eastAsia="仿宋_GB2312" w:cs="仿宋_GB2312"/>
                <w:color w:val="auto"/>
                <w:kern w:val="28"/>
              </w:rPr>
            </w:pPr>
            <w:r>
              <w:rPr>
                <w:rFonts w:hint="eastAsia" w:ascii="仿宋_GB2312" w:hAnsi="仿宋_GB2312" w:eastAsia="仿宋_GB2312" w:cs="仿宋_GB2312"/>
                <w:color w:val="auto"/>
                <w:kern w:val="28"/>
              </w:rPr>
              <w:t>营业执照等主体资格证明文件</w:t>
            </w:r>
          </w:p>
        </w:tc>
        <w:tc>
          <w:tcPr>
            <w:tcW w:w="5053" w:type="dxa"/>
            <w:vAlign w:val="center"/>
          </w:tcPr>
          <w:p w14:paraId="16EA011F">
            <w:pPr>
              <w:spacing w:line="240" w:lineRule="auto"/>
              <w:rPr>
                <w:rFonts w:hint="eastAsia" w:ascii="仿宋_GB2312" w:hAnsi="仿宋_GB2312" w:eastAsia="仿宋_GB2312" w:cs="仿宋_GB2312"/>
                <w:color w:val="auto"/>
                <w:kern w:val="28"/>
              </w:rPr>
            </w:pPr>
            <w:r>
              <w:rPr>
                <w:rFonts w:hint="eastAsia" w:ascii="仿宋_GB2312" w:hAnsi="仿宋_GB2312" w:eastAsia="仿宋_GB2312" w:cs="仿宋_GB2312"/>
                <w:color w:val="auto"/>
                <w:kern w:val="28"/>
              </w:rPr>
              <w:t>提供有效存续的企业营业执照（副本）/事业单位法人证书/专业服务机构执业许可证/民办非企业单位登记证书。</w:t>
            </w:r>
          </w:p>
        </w:tc>
        <w:tc>
          <w:tcPr>
            <w:tcW w:w="791" w:type="dxa"/>
            <w:vAlign w:val="center"/>
          </w:tcPr>
          <w:p w14:paraId="2A39AD1F">
            <w:pPr>
              <w:spacing w:before="40" w:after="40"/>
              <w:ind w:firstLine="569"/>
              <w:rPr>
                <w:rFonts w:hint="eastAsia" w:ascii="仿宋_GB2312" w:hAnsi="仿宋_GB2312" w:eastAsia="仿宋_GB2312" w:cs="仿宋_GB2312"/>
                <w:b/>
                <w:color w:val="auto"/>
              </w:rPr>
            </w:pPr>
          </w:p>
        </w:tc>
        <w:tc>
          <w:tcPr>
            <w:tcW w:w="1105" w:type="dxa"/>
            <w:vAlign w:val="center"/>
          </w:tcPr>
          <w:p w14:paraId="01B35435">
            <w:pPr>
              <w:spacing w:before="40" w:after="40"/>
              <w:ind w:firstLine="569"/>
              <w:rPr>
                <w:rFonts w:hint="eastAsia" w:ascii="仿宋_GB2312" w:hAnsi="仿宋_GB2312" w:eastAsia="仿宋_GB2312" w:cs="仿宋_GB2312"/>
                <w:b/>
                <w:color w:val="auto"/>
              </w:rPr>
            </w:pPr>
          </w:p>
        </w:tc>
      </w:tr>
      <w:tr w14:paraId="2D5C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551" w:type="dxa"/>
            <w:vAlign w:val="center"/>
          </w:tcPr>
          <w:p w14:paraId="3DEBF491">
            <w:pPr>
              <w:jc w:val="center"/>
              <w:rPr>
                <w:rFonts w:hint="eastAsia" w:ascii="仿宋_GB2312" w:hAnsi="仿宋_GB2312" w:eastAsia="仿宋_GB2312" w:cs="仿宋_GB2312"/>
                <w:bCs/>
                <w:color w:val="auto"/>
              </w:rPr>
            </w:pPr>
            <w:r>
              <w:rPr>
                <w:rFonts w:hint="eastAsia" w:ascii="仿宋_GB2312" w:hAnsi="仿宋_GB2312" w:eastAsia="仿宋_GB2312" w:cs="仿宋_GB2312"/>
                <w:bCs/>
                <w:color w:val="auto"/>
              </w:rPr>
              <w:t>2</w:t>
            </w:r>
          </w:p>
        </w:tc>
        <w:tc>
          <w:tcPr>
            <w:tcW w:w="1640" w:type="dxa"/>
            <w:vAlign w:val="center"/>
          </w:tcPr>
          <w:p w14:paraId="20122B08">
            <w:pPr>
              <w:jc w:val="center"/>
              <w:rPr>
                <w:rFonts w:hint="eastAsia" w:ascii="仿宋_GB2312" w:hAnsi="仿宋_GB2312" w:eastAsia="仿宋_GB2312" w:cs="仿宋_GB2312"/>
                <w:color w:val="auto"/>
                <w:kern w:val="28"/>
              </w:rPr>
            </w:pPr>
            <w:r>
              <w:rPr>
                <w:rFonts w:hint="eastAsia" w:ascii="仿宋_GB2312" w:hAnsi="仿宋_GB2312" w:eastAsia="仿宋_GB2312" w:cs="仿宋_GB2312"/>
                <w:color w:val="auto"/>
                <w:kern w:val="28"/>
              </w:rPr>
              <w:t>法定代表人授权委托书</w:t>
            </w:r>
          </w:p>
        </w:tc>
        <w:tc>
          <w:tcPr>
            <w:tcW w:w="5053" w:type="dxa"/>
            <w:vAlign w:val="center"/>
          </w:tcPr>
          <w:p w14:paraId="740988E7">
            <w:pPr>
              <w:widowControl w:val="0"/>
              <w:spacing w:line="240" w:lineRule="auto"/>
              <w:rPr>
                <w:rFonts w:hint="eastAsia" w:ascii="Times New Roman" w:hAnsi="Times New Roman" w:eastAsia="仿宋_GB2312" w:cs="Times New Roman"/>
                <w:color w:val="auto"/>
              </w:rPr>
            </w:pPr>
            <w:r>
              <w:rPr>
                <w:rFonts w:ascii="Times New Roman" w:hAnsi="Times New Roman" w:eastAsia="仿宋_GB2312" w:cs="Times New Roman"/>
                <w:color w:val="auto"/>
              </w:rPr>
              <w:t>法定代表人参加磋商的，须提供本人身份证复印件（附在资格证明文件中）；法定代表人授权他人参加磋商的，须提供法定代表人授权委托书。磋商文件中凡是需</w:t>
            </w:r>
            <w:r>
              <w:rPr>
                <w:rFonts w:ascii="Times New Roman" w:hAnsi="Times New Roman" w:eastAsia="仿宋_GB2312" w:cs="Times New Roman"/>
                <w:color w:val="auto"/>
                <w:spacing w:val="-6"/>
                <w:sz w:val="28"/>
              </w:rPr>
              <w:t>要法定代表人盖章之处，非法人单位的负责人均参照执行。（按第五章格式填写）法人的分支机构参与</w:t>
            </w:r>
            <w:r>
              <w:rPr>
                <w:rFonts w:hint="eastAsia" w:ascii="Times New Roman" w:hAnsi="Times New Roman" w:eastAsia="仿宋_GB2312" w:cs="Times New Roman"/>
                <w:color w:val="auto"/>
                <w:spacing w:val="-6"/>
                <w:sz w:val="28"/>
              </w:rPr>
              <w:t>响应</w:t>
            </w:r>
            <w:r>
              <w:rPr>
                <w:rFonts w:ascii="Times New Roman" w:hAnsi="Times New Roman" w:eastAsia="仿宋_GB2312" w:cs="Times New Roman"/>
                <w:color w:val="auto"/>
                <w:spacing w:val="-6"/>
                <w:sz w:val="28"/>
              </w:rPr>
              <w:t>时，除提供《法定代表人授权委托书》外，还须同时提供法人给分支机构出具的授权书。</w:t>
            </w:r>
          </w:p>
        </w:tc>
        <w:tc>
          <w:tcPr>
            <w:tcW w:w="791" w:type="dxa"/>
            <w:vAlign w:val="center"/>
          </w:tcPr>
          <w:p w14:paraId="2CD5EC32">
            <w:pPr>
              <w:spacing w:before="40" w:after="40"/>
              <w:ind w:firstLine="569"/>
              <w:rPr>
                <w:rFonts w:hint="eastAsia" w:ascii="仿宋_GB2312" w:hAnsi="仿宋_GB2312" w:eastAsia="仿宋_GB2312" w:cs="仿宋_GB2312"/>
                <w:b/>
                <w:color w:val="auto"/>
              </w:rPr>
            </w:pPr>
          </w:p>
        </w:tc>
        <w:tc>
          <w:tcPr>
            <w:tcW w:w="1105" w:type="dxa"/>
            <w:vAlign w:val="center"/>
          </w:tcPr>
          <w:p w14:paraId="25D311C2">
            <w:pPr>
              <w:spacing w:before="40" w:after="40"/>
              <w:ind w:firstLine="569"/>
              <w:rPr>
                <w:rFonts w:hint="eastAsia" w:ascii="仿宋_GB2312" w:hAnsi="仿宋_GB2312" w:eastAsia="仿宋_GB2312" w:cs="仿宋_GB2312"/>
                <w:b/>
                <w:color w:val="auto"/>
              </w:rPr>
            </w:pPr>
          </w:p>
        </w:tc>
      </w:tr>
      <w:tr w14:paraId="2EC0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551" w:type="dxa"/>
            <w:vAlign w:val="center"/>
          </w:tcPr>
          <w:p w14:paraId="70F2FE9C">
            <w:pPr>
              <w:jc w:val="center"/>
              <w:rPr>
                <w:rFonts w:hint="eastAsia" w:ascii="仿宋_GB2312" w:hAnsi="仿宋_GB2312" w:eastAsia="仿宋_GB2312" w:cs="仿宋_GB2312"/>
                <w:bCs/>
                <w:color w:val="auto"/>
              </w:rPr>
            </w:pPr>
            <w:r>
              <w:rPr>
                <w:rFonts w:hint="eastAsia" w:ascii="仿宋_GB2312" w:hAnsi="仿宋_GB2312" w:eastAsia="仿宋_GB2312" w:cs="仿宋_GB2312"/>
                <w:bCs/>
                <w:color w:val="auto"/>
              </w:rPr>
              <w:t>3</w:t>
            </w:r>
          </w:p>
        </w:tc>
        <w:tc>
          <w:tcPr>
            <w:tcW w:w="1640" w:type="dxa"/>
            <w:vAlign w:val="center"/>
          </w:tcPr>
          <w:p w14:paraId="351E99FD">
            <w:pPr>
              <w:jc w:val="center"/>
              <w:rPr>
                <w:rFonts w:hint="eastAsia" w:ascii="仿宋_GB2312" w:hAnsi="仿宋_GB2312" w:eastAsia="仿宋_GB2312" w:cs="仿宋_GB2312"/>
                <w:color w:val="auto"/>
                <w:kern w:val="28"/>
              </w:rPr>
            </w:pPr>
            <w:r>
              <w:rPr>
                <w:rFonts w:ascii="Times New Roman" w:hAnsi="Times New Roman" w:eastAsia="仿宋_GB2312" w:cs="Times New Roman"/>
                <w:color w:val="auto"/>
              </w:rPr>
              <w:t>资格承诺函</w:t>
            </w:r>
          </w:p>
        </w:tc>
        <w:tc>
          <w:tcPr>
            <w:tcW w:w="5053" w:type="dxa"/>
            <w:vAlign w:val="center"/>
          </w:tcPr>
          <w:p w14:paraId="7206475D">
            <w:pPr>
              <w:widowControl w:val="0"/>
              <w:spacing w:line="240" w:lineRule="auto"/>
              <w:rPr>
                <w:rFonts w:ascii="Times New Roman" w:hAnsi="Times New Roman" w:eastAsia="仿宋_GB2312" w:cs="Times New Roman"/>
                <w:color w:val="auto"/>
              </w:rPr>
            </w:pPr>
            <w:r>
              <w:rPr>
                <w:rFonts w:ascii="Times New Roman" w:hAnsi="Times New Roman" w:eastAsia="仿宋_GB2312" w:cs="Times New Roman"/>
                <w:color w:val="auto"/>
              </w:rPr>
              <w:t>提供《汉台区政府采购供应商资格承诺函》。（按第五章格式填写）</w:t>
            </w:r>
          </w:p>
        </w:tc>
        <w:tc>
          <w:tcPr>
            <w:tcW w:w="791" w:type="dxa"/>
            <w:vAlign w:val="center"/>
          </w:tcPr>
          <w:p w14:paraId="75ECAD6C">
            <w:pPr>
              <w:spacing w:before="40" w:after="40"/>
              <w:ind w:firstLine="569"/>
              <w:rPr>
                <w:rFonts w:hint="eastAsia" w:ascii="仿宋_GB2312" w:hAnsi="仿宋_GB2312" w:eastAsia="仿宋_GB2312" w:cs="仿宋_GB2312"/>
                <w:b/>
                <w:color w:val="auto"/>
              </w:rPr>
            </w:pPr>
          </w:p>
        </w:tc>
        <w:tc>
          <w:tcPr>
            <w:tcW w:w="1105" w:type="dxa"/>
            <w:vAlign w:val="center"/>
          </w:tcPr>
          <w:p w14:paraId="13C60525">
            <w:pPr>
              <w:spacing w:before="40" w:after="40"/>
              <w:ind w:firstLine="569"/>
              <w:rPr>
                <w:rFonts w:hint="eastAsia" w:ascii="仿宋_GB2312" w:hAnsi="仿宋_GB2312" w:eastAsia="仿宋_GB2312" w:cs="仿宋_GB2312"/>
                <w:b/>
                <w:color w:val="auto"/>
              </w:rPr>
            </w:pPr>
          </w:p>
        </w:tc>
      </w:tr>
      <w:tr w14:paraId="1B8B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551" w:type="dxa"/>
            <w:vAlign w:val="center"/>
          </w:tcPr>
          <w:p w14:paraId="367065E1">
            <w:pPr>
              <w:jc w:val="center"/>
              <w:rPr>
                <w:rFonts w:hint="eastAsia" w:ascii="仿宋_GB2312" w:hAnsi="仿宋_GB2312" w:eastAsia="仿宋_GB2312" w:cs="仿宋_GB2312"/>
                <w:bCs/>
                <w:color w:val="auto"/>
                <w:lang w:val="en-US" w:eastAsia="zh-CN"/>
              </w:rPr>
            </w:pPr>
            <w:r>
              <w:rPr>
                <w:rFonts w:hint="eastAsia" w:ascii="仿宋_GB2312" w:hAnsi="仿宋_GB2312" w:eastAsia="仿宋_GB2312" w:cs="仿宋_GB2312"/>
                <w:bCs/>
                <w:color w:val="auto"/>
                <w:lang w:val="en-US" w:eastAsia="zh-CN"/>
              </w:rPr>
              <w:t>4</w:t>
            </w:r>
          </w:p>
        </w:tc>
        <w:tc>
          <w:tcPr>
            <w:tcW w:w="1640" w:type="dxa"/>
            <w:vAlign w:val="center"/>
          </w:tcPr>
          <w:p w14:paraId="5892B8BD">
            <w:pPr>
              <w:jc w:val="center"/>
              <w:rPr>
                <w:rFonts w:hint="eastAsia" w:ascii="Times New Roman" w:hAnsi="Times New Roman" w:eastAsia="仿宋_GB2312" w:cs="Times New Roman"/>
                <w:color w:val="auto"/>
                <w:lang w:eastAsia="zh-CN"/>
              </w:rPr>
            </w:pPr>
            <w:r>
              <w:rPr>
                <w:rFonts w:hint="eastAsia" w:ascii="仿宋_GB2312" w:hAnsi="仿宋_GB2312" w:eastAsia="仿宋_GB2312" w:cs="仿宋_GB2312"/>
                <w:color w:val="auto"/>
              </w:rPr>
              <w:t>资质证书</w:t>
            </w:r>
          </w:p>
        </w:tc>
        <w:tc>
          <w:tcPr>
            <w:tcW w:w="5053" w:type="dxa"/>
            <w:vAlign w:val="center"/>
          </w:tcPr>
          <w:p w14:paraId="45249D4B">
            <w:pPr>
              <w:widowControl w:val="0"/>
              <w:spacing w:line="240" w:lineRule="auto"/>
              <w:rPr>
                <w:rFonts w:hint="default" w:ascii="Times New Roman" w:hAnsi="Times New Roman" w:eastAsia="仿宋_GB2312" w:cs="Times New Roman"/>
                <w:color w:val="auto"/>
                <w:lang w:val="en-US"/>
              </w:rPr>
            </w:pPr>
            <w:r>
              <w:rPr>
                <w:rFonts w:hint="eastAsia" w:ascii="仿宋_GB2312" w:hAnsi="仿宋_GB2312" w:eastAsia="仿宋_GB2312" w:cs="仿宋_GB2312"/>
                <w:color w:val="auto"/>
                <w:lang w:eastAsia="zh-CN"/>
              </w:rPr>
              <w:t>供应商提供公安机关颁发的保安服务许可证。</w:t>
            </w:r>
            <w:r>
              <w:rPr>
                <w:rFonts w:hint="eastAsia" w:ascii="仿宋_GB2312" w:hAnsi="仿宋_GB2312" w:eastAsia="仿宋_GB2312" w:cs="仿宋_GB2312"/>
                <w:b w:val="0"/>
                <w:bCs w:val="0"/>
                <w:color w:val="auto"/>
                <w:lang w:val="en-US" w:eastAsia="zh-CN"/>
              </w:rPr>
              <w:t>(</w:t>
            </w:r>
            <w:r>
              <w:rPr>
                <w:rFonts w:ascii="仿宋" w:hAnsi="仿宋" w:eastAsia="仿宋_GB2312" w:cs="仿宋"/>
                <w:b w:val="0"/>
                <w:bCs w:val="0"/>
                <w:color w:val="auto"/>
                <w:kern w:val="1"/>
              </w:rPr>
              <w:t>原件</w:t>
            </w:r>
            <w:r>
              <w:rPr>
                <w:rFonts w:hint="eastAsia" w:ascii="仿宋" w:hAnsi="仿宋" w:eastAsia="仿宋_GB2312" w:cs="仿宋"/>
                <w:b w:val="0"/>
                <w:bCs w:val="0"/>
                <w:color w:val="auto"/>
                <w:kern w:val="1"/>
              </w:rPr>
              <w:t>或复印件加盖红色公章</w:t>
            </w:r>
            <w:r>
              <w:rPr>
                <w:rFonts w:hint="eastAsia" w:ascii="仿宋_GB2312" w:hAnsi="仿宋_GB2312" w:eastAsia="仿宋_GB2312" w:cs="仿宋_GB2312"/>
                <w:b w:val="0"/>
                <w:bCs w:val="0"/>
                <w:color w:val="auto"/>
                <w:lang w:val="en-US" w:eastAsia="zh-CN"/>
              </w:rPr>
              <w:t>)</w:t>
            </w:r>
          </w:p>
        </w:tc>
        <w:tc>
          <w:tcPr>
            <w:tcW w:w="791" w:type="dxa"/>
            <w:vAlign w:val="center"/>
          </w:tcPr>
          <w:p w14:paraId="3A7B1FA6">
            <w:pPr>
              <w:spacing w:before="40" w:after="40"/>
              <w:ind w:firstLine="569"/>
              <w:rPr>
                <w:rFonts w:hint="eastAsia" w:ascii="仿宋_GB2312" w:hAnsi="仿宋_GB2312" w:eastAsia="仿宋_GB2312" w:cs="仿宋_GB2312"/>
                <w:b/>
                <w:color w:val="auto"/>
              </w:rPr>
            </w:pPr>
          </w:p>
        </w:tc>
        <w:tc>
          <w:tcPr>
            <w:tcW w:w="1105" w:type="dxa"/>
            <w:vAlign w:val="center"/>
          </w:tcPr>
          <w:p w14:paraId="25E614C3">
            <w:pPr>
              <w:spacing w:before="40" w:after="40"/>
              <w:ind w:firstLine="569"/>
              <w:rPr>
                <w:rFonts w:hint="eastAsia" w:ascii="仿宋_GB2312" w:hAnsi="仿宋_GB2312" w:eastAsia="仿宋_GB2312" w:cs="仿宋_GB2312"/>
                <w:b/>
                <w:color w:val="auto"/>
              </w:rPr>
            </w:pPr>
          </w:p>
        </w:tc>
      </w:tr>
      <w:tr w14:paraId="7516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551" w:type="dxa"/>
            <w:vAlign w:val="center"/>
          </w:tcPr>
          <w:p w14:paraId="63D295F0">
            <w:pPr>
              <w:jc w:val="center"/>
              <w:rPr>
                <w:rFonts w:hint="eastAsia" w:ascii="仿宋_GB2312" w:hAnsi="仿宋_GB2312" w:eastAsia="仿宋_GB2312" w:cs="仿宋_GB2312"/>
                <w:bCs/>
                <w:color w:val="auto"/>
                <w:lang w:eastAsia="zh-CN"/>
              </w:rPr>
            </w:pPr>
            <w:r>
              <w:rPr>
                <w:rFonts w:hint="eastAsia" w:ascii="仿宋_GB2312" w:hAnsi="仿宋_GB2312" w:eastAsia="仿宋_GB2312" w:cs="仿宋_GB2312"/>
                <w:bCs/>
                <w:color w:val="auto"/>
                <w:lang w:val="en-US" w:eastAsia="zh-CN"/>
              </w:rPr>
              <w:t>5</w:t>
            </w:r>
          </w:p>
        </w:tc>
        <w:tc>
          <w:tcPr>
            <w:tcW w:w="1640" w:type="dxa"/>
            <w:vAlign w:val="center"/>
          </w:tcPr>
          <w:p w14:paraId="20CF018A">
            <w:pPr>
              <w:widowControl w:val="0"/>
              <w:spacing w:line="240" w:lineRule="auto"/>
              <w:rPr>
                <w:rFonts w:hint="eastAsia" w:ascii="仿宋_GB2312" w:hAnsi="仿宋_GB2312" w:eastAsia="仿宋_GB2312" w:cs="仿宋_GB2312"/>
                <w:color w:val="auto"/>
                <w:lang w:eastAsia="zh-CN"/>
              </w:rPr>
            </w:pPr>
            <w:r>
              <w:rPr>
                <w:rFonts w:hint="default" w:ascii="仿宋_GB2312" w:hAnsi="仿宋_GB2312" w:eastAsia="仿宋_GB2312" w:cs="仿宋_GB2312"/>
                <w:color w:val="auto"/>
                <w:lang w:val="en-US" w:eastAsia="zh-CN"/>
              </w:rPr>
              <w:t>本项目不接受联合体响应，不允许分包</w:t>
            </w:r>
          </w:p>
        </w:tc>
        <w:tc>
          <w:tcPr>
            <w:tcW w:w="5053" w:type="dxa"/>
            <w:vAlign w:val="center"/>
          </w:tcPr>
          <w:p w14:paraId="7C27C40B">
            <w:pPr>
              <w:widowControl w:val="0"/>
              <w:spacing w:line="240" w:lineRule="auto"/>
              <w:rPr>
                <w:rFonts w:hint="eastAsia" w:ascii="仿宋_GB2312" w:hAnsi="仿宋_GB2312" w:eastAsia="仿宋_GB2312" w:cs="仿宋_GB2312"/>
                <w:color w:val="auto"/>
                <w:lang w:eastAsia="zh-CN"/>
              </w:rPr>
            </w:pPr>
            <w:r>
              <w:rPr>
                <w:rFonts w:hint="default" w:ascii="仿宋_GB2312" w:hAnsi="仿宋_GB2312" w:eastAsia="仿宋_GB2312" w:cs="仿宋_GB2312"/>
                <w:color w:val="auto"/>
                <w:lang w:val="en-US" w:eastAsia="zh-CN"/>
              </w:rPr>
              <w:t>供应商提供《非联合体不分包投标声明》</w:t>
            </w:r>
          </w:p>
        </w:tc>
        <w:tc>
          <w:tcPr>
            <w:tcW w:w="791" w:type="dxa"/>
            <w:vAlign w:val="center"/>
          </w:tcPr>
          <w:p w14:paraId="42285EBD">
            <w:pPr>
              <w:spacing w:before="40" w:after="40"/>
              <w:ind w:firstLine="569"/>
              <w:rPr>
                <w:rFonts w:hint="eastAsia" w:ascii="仿宋_GB2312" w:hAnsi="仿宋_GB2312" w:eastAsia="仿宋_GB2312" w:cs="仿宋_GB2312"/>
                <w:b/>
                <w:color w:val="auto"/>
              </w:rPr>
            </w:pPr>
          </w:p>
        </w:tc>
        <w:tc>
          <w:tcPr>
            <w:tcW w:w="1105" w:type="dxa"/>
            <w:vAlign w:val="center"/>
          </w:tcPr>
          <w:p w14:paraId="21C747B6">
            <w:pPr>
              <w:spacing w:before="40" w:after="40"/>
              <w:ind w:firstLine="569"/>
              <w:rPr>
                <w:rFonts w:hint="eastAsia" w:ascii="仿宋_GB2312" w:hAnsi="仿宋_GB2312" w:eastAsia="仿宋_GB2312" w:cs="仿宋_GB2312"/>
                <w:b/>
                <w:color w:val="auto"/>
              </w:rPr>
            </w:pPr>
          </w:p>
        </w:tc>
      </w:tr>
      <w:tr w14:paraId="00CC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551" w:type="dxa"/>
            <w:vAlign w:val="center"/>
          </w:tcPr>
          <w:p w14:paraId="5CD71F73">
            <w:pPr>
              <w:jc w:val="center"/>
              <w:rPr>
                <w:rFonts w:hint="default" w:ascii="仿宋_GB2312" w:hAnsi="仿宋_GB2312" w:eastAsia="仿宋_GB2312" w:cs="仿宋_GB2312"/>
                <w:bCs/>
                <w:color w:val="auto"/>
                <w:lang w:val="en-US" w:eastAsia="zh-CN"/>
              </w:rPr>
            </w:pPr>
            <w:r>
              <w:rPr>
                <w:rFonts w:hint="eastAsia" w:ascii="仿宋_GB2312" w:hAnsi="仿宋_GB2312" w:eastAsia="仿宋_GB2312" w:cs="仿宋_GB2312"/>
                <w:bCs/>
                <w:color w:val="auto"/>
                <w:lang w:val="en-US" w:eastAsia="zh-CN"/>
              </w:rPr>
              <w:t>6</w:t>
            </w:r>
          </w:p>
        </w:tc>
        <w:tc>
          <w:tcPr>
            <w:tcW w:w="1640" w:type="dxa"/>
            <w:vAlign w:val="center"/>
          </w:tcPr>
          <w:p w14:paraId="43DE5984">
            <w:pPr>
              <w:rPr>
                <w:rFonts w:hint="eastAsia" w:ascii="仿宋_GB2312" w:hAnsi="仿宋_GB2312" w:eastAsia="仿宋_GB2312" w:cs="仿宋_GB2312"/>
                <w:color w:val="auto"/>
                <w:kern w:val="28"/>
              </w:rPr>
            </w:pPr>
            <w:r>
              <w:rPr>
                <w:rFonts w:hint="eastAsia" w:ascii="仿宋_GB2312" w:hAnsi="仿宋_GB2312" w:eastAsia="仿宋_GB2312" w:cs="仿宋_GB2312"/>
                <w:color w:val="auto"/>
                <w:kern w:val="28"/>
              </w:rPr>
              <w:t>落实政府采购政策需满足的资格要求</w:t>
            </w:r>
          </w:p>
        </w:tc>
        <w:tc>
          <w:tcPr>
            <w:tcW w:w="5053" w:type="dxa"/>
            <w:vAlign w:val="center"/>
          </w:tcPr>
          <w:p w14:paraId="441CF585">
            <w:pPr>
              <w:spacing w:line="240" w:lineRule="auto"/>
              <w:rPr>
                <w:rFonts w:hint="eastAsia" w:ascii="仿宋_GB2312" w:hAnsi="仿宋_GB2312" w:eastAsia="仿宋_GB2312" w:cs="仿宋_GB2312"/>
                <w:color w:val="auto"/>
              </w:rPr>
            </w:pPr>
            <w:r>
              <w:rPr>
                <w:rFonts w:hint="eastAsia" w:ascii="仿宋_GB2312" w:hAnsi="仿宋_GB2312" w:eastAsia="仿宋_GB2312" w:cs="仿宋_GB2312"/>
                <w:color w:val="auto"/>
              </w:rPr>
              <w:t>本项目专门面向中小企业采购，供应商应为中小微企业，磋商时须提供《中小企业声明函》（按第五章格式填写）。本项目采购标的对应的中小企业划分标准所属行业为：</w:t>
            </w:r>
            <w:r>
              <w:rPr>
                <w:rFonts w:hint="eastAsia" w:ascii="仿宋_GB2312" w:hAnsi="仿宋_GB2312" w:eastAsia="仿宋_GB2312" w:cs="仿宋_GB2312"/>
                <w:b/>
                <w:bCs/>
                <w:color w:val="auto"/>
                <w:lang w:eastAsia="zh-CN"/>
              </w:rPr>
              <w:t>租赁和商务</w:t>
            </w:r>
            <w:r>
              <w:rPr>
                <w:rFonts w:hint="eastAsia" w:ascii="仿宋_GB2312" w:hAnsi="仿宋_GB2312" w:eastAsia="仿宋_GB2312" w:cs="仿宋_GB2312"/>
                <w:b/>
                <w:bCs/>
                <w:color w:val="auto"/>
              </w:rPr>
              <w:t>服务</w:t>
            </w:r>
            <w:r>
              <w:rPr>
                <w:rFonts w:hint="eastAsia" w:ascii="仿宋_GB2312" w:hAnsi="仿宋_GB2312" w:eastAsia="仿宋_GB2312" w:cs="仿宋_GB2312"/>
                <w:color w:val="auto"/>
              </w:rPr>
              <w:t>。</w:t>
            </w:r>
          </w:p>
        </w:tc>
        <w:tc>
          <w:tcPr>
            <w:tcW w:w="791" w:type="dxa"/>
            <w:vAlign w:val="center"/>
          </w:tcPr>
          <w:p w14:paraId="2603BD9E">
            <w:pPr>
              <w:spacing w:before="40" w:after="40"/>
              <w:ind w:firstLine="569"/>
              <w:rPr>
                <w:rFonts w:hint="eastAsia" w:ascii="仿宋_GB2312" w:hAnsi="仿宋_GB2312" w:eastAsia="仿宋_GB2312" w:cs="仿宋_GB2312"/>
                <w:b/>
                <w:color w:val="auto"/>
              </w:rPr>
            </w:pPr>
          </w:p>
        </w:tc>
        <w:tc>
          <w:tcPr>
            <w:tcW w:w="1105" w:type="dxa"/>
            <w:vAlign w:val="center"/>
          </w:tcPr>
          <w:p w14:paraId="788E291E">
            <w:pPr>
              <w:spacing w:before="40" w:after="40"/>
              <w:ind w:firstLine="569"/>
              <w:rPr>
                <w:rFonts w:hint="eastAsia" w:ascii="仿宋_GB2312" w:hAnsi="仿宋_GB2312" w:eastAsia="仿宋_GB2312" w:cs="仿宋_GB2312"/>
                <w:b/>
                <w:color w:val="auto"/>
              </w:rPr>
            </w:pPr>
          </w:p>
        </w:tc>
      </w:tr>
      <w:tr w14:paraId="2B9B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40" w:type="dxa"/>
            <w:gridSpan w:val="5"/>
            <w:vAlign w:val="center"/>
          </w:tcPr>
          <w:p w14:paraId="39772A3B">
            <w:pPr>
              <w:rPr>
                <w:rFonts w:hint="eastAsia" w:ascii="仿宋_GB2312" w:hAnsi="仿宋_GB2312" w:eastAsia="仿宋_GB2312" w:cs="仿宋_GB2312"/>
                <w:b/>
                <w:color w:val="auto"/>
              </w:rPr>
            </w:pPr>
            <w:r>
              <w:rPr>
                <w:rFonts w:hint="eastAsia" w:ascii="仿宋_GB2312" w:hAnsi="仿宋_GB2312" w:eastAsia="仿宋_GB2312" w:cs="仿宋_GB2312"/>
                <w:b/>
                <w:bCs/>
                <w:color w:val="auto"/>
                <w:kern w:val="0"/>
              </w:rPr>
              <w:t>磋商小组成员：（签字或盖章）</w:t>
            </w:r>
          </w:p>
        </w:tc>
      </w:tr>
    </w:tbl>
    <w:p w14:paraId="42BCEF50">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b/>
          <w:bCs/>
          <w:color w:val="auto"/>
        </w:rPr>
        <w:t>注：</w:t>
      </w:r>
      <w:r>
        <w:rPr>
          <w:rFonts w:hint="eastAsia" w:ascii="仿宋_GB2312" w:hAnsi="仿宋_GB2312" w:eastAsia="仿宋_GB2312" w:cs="仿宋_GB2312"/>
          <w:color w:val="auto"/>
          <w:lang w:val="en-US" w:eastAsia="zh-CN"/>
        </w:rPr>
        <w:t xml:space="preserve"> 1</w:t>
      </w:r>
      <w:r>
        <w:rPr>
          <w:rFonts w:hint="eastAsia" w:ascii="仿宋_GB2312" w:hAnsi="仿宋_GB2312" w:eastAsia="仿宋_GB2312" w:cs="仿宋_GB2312"/>
          <w:color w:val="auto"/>
        </w:rPr>
        <w:t>、磋商响应文件正、副本内均需提供上列资格证明文件复印件（法定代表人授权书须将1份原件装订于正本内），并加盖磋商供应商红色公章。</w:t>
      </w:r>
    </w:p>
    <w:p w14:paraId="669B202B">
      <w:pPr>
        <w:spacing w:line="500" w:lineRule="exact"/>
        <w:ind w:firstLine="566" w:firstLineChars="200"/>
        <w:rPr>
          <w:color w:val="auto"/>
        </w:rPr>
      </w:pPr>
      <w:r>
        <w:rPr>
          <w:rFonts w:hint="eastAsia" w:ascii="仿宋_GB2312" w:hAnsi="仿宋_GB2312" w:eastAsia="仿宋_GB2312" w:cs="仿宋_GB2312"/>
          <w:b/>
          <w:bCs/>
          <w:color w:val="auto"/>
        </w:rPr>
        <w:t>出现下列情形的，响应文件将被视为无效：</w:t>
      </w:r>
    </w:p>
    <w:p w14:paraId="682DFBA4">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（1）不具备磋商文件中规定的资格要求的；</w:t>
      </w:r>
    </w:p>
    <w:p w14:paraId="471BC39B">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（2）未按磋商文件要求提供资格证明文件原件，或未按磋商文件要求加盖公章的；</w:t>
      </w:r>
    </w:p>
    <w:p w14:paraId="0F2BE2E9">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（3）磋商小组认为供应商的资格证明文件存在疑点，要求供应商现场提供原件，供应商不能在规定时限内提供原件或其所提供的原件无法证实响应文件所附证明文件有效性的。</w:t>
      </w:r>
    </w:p>
    <w:p w14:paraId="21ACB0B4">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资格审查结束后，磋商小组成员应当对审查结果进行签字确认，并告知无效投标供应商资格审查未通过的原因。</w:t>
      </w:r>
    </w:p>
    <w:p w14:paraId="7903BBBC">
      <w:pPr>
        <w:spacing w:after="190" w:afterLines="50" w:line="240" w:lineRule="auto"/>
        <w:ind w:firstLine="566"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通过资格审查的供应商不足3家的，不得进行符合性审查。</w:t>
      </w:r>
    </w:p>
    <w:p w14:paraId="1F460D0A">
      <w:pPr>
        <w:numPr>
          <w:ilvl w:val="0"/>
          <w:numId w:val="6"/>
        </w:numPr>
        <w:spacing w:line="500" w:lineRule="exact"/>
        <w:ind w:firstLine="566"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报价要求</w:t>
      </w:r>
    </w:p>
    <w:p w14:paraId="5D6F0848">
      <w:pPr>
        <w:spacing w:line="240" w:lineRule="auto"/>
        <w:ind w:firstLine="566" w:firstLineChars="200"/>
        <w:rPr>
          <w:rFonts w:ascii="仿宋_GB2312" w:hAnsi="仿宋_GB2312" w:eastAsia="仿宋_GB2312" w:cs="仿宋_GB2312"/>
          <w:color w:val="auto"/>
        </w:rPr>
      </w:pPr>
      <w:r>
        <w:rPr>
          <w:rFonts w:hint="eastAsia" w:ascii="仿宋_GB2312" w:hAnsi="仿宋_GB2312" w:eastAsia="仿宋_GB2312" w:cs="仿宋_GB2312"/>
          <w:color w:val="auto"/>
        </w:rPr>
        <w:t>磋商报价是供应商响应采购项目要求的全部工作内容的价格体现，包括完成采购内容所需的直接费、间接费、利润、税金及其它相关的一切费用。供应商在报价时应充分考虑所有可能发生的费用，</w:t>
      </w:r>
      <w:r>
        <w:rPr>
          <w:rFonts w:hint="eastAsia" w:ascii="仿宋_GB2312" w:hAnsi="仿宋_GB2312" w:eastAsia="仿宋_GB2312" w:cs="仿宋_GB2312"/>
          <w:color w:val="auto"/>
          <w:lang w:val="zh-CN"/>
        </w:rPr>
        <w:t>磋商</w:t>
      </w:r>
      <w:r>
        <w:rPr>
          <w:rFonts w:hint="eastAsia" w:ascii="仿宋_GB2312" w:hAnsi="仿宋_GB2312" w:eastAsia="仿宋_GB2312" w:cs="仿宋_GB2312"/>
          <w:color w:val="auto"/>
        </w:rPr>
        <w:t>文件未列明，而供应商认为应当计取的费用均应列入报价中。报价时不论是否计取，采购人均按已计取对待。</w:t>
      </w:r>
    </w:p>
    <w:p w14:paraId="079D8F39">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政府采购项目采购竞争性磋商采购方式的，无论是首轮报价、多轮报价，或是最后报价环节均不安排“唱标”。采购人、采购代理机构应依法采取必要措施，保证磋商在严格保密的情况下进行。在磋商过程中，磋商的任何一方不得透露与磋商有关的其他供应商的技术资料、价格和其他信息。法律依据为：根据《政府采购竞争性磋商采购方式管理暂行办法》第五条 采购人、采购代理机构应当按照政府采购法和本办法的规定组织开展竞争性磋商，并采取必要措施，保证磋商在严格保密的情况下进行。任何单位和个人不得非法干预、影响磋商过程和结果。</w:t>
      </w:r>
    </w:p>
    <w:p w14:paraId="428C21BF">
      <w:pPr>
        <w:spacing w:line="500" w:lineRule="exact"/>
        <w:ind w:firstLine="566"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3、响应文件的符合性审查</w:t>
      </w:r>
    </w:p>
    <w:p w14:paraId="14F78464">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磋商小组依据磋商文件的规定，对响应文件的有效性、完整性和对磋商文件的响应程度进行审查，以确定是否对磋商文件的全部实质性要求做出响应。</w:t>
      </w:r>
    </w:p>
    <w:p w14:paraId="769EA84C">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磋商小组要审查每份响应文件是否实质上响应了磋商文件的要求。实质上没有响应磋商文件要求的响应文件作无效响应处理，磋商小组要告知有关供应商未通过审查的原因。供应商不得通过修正或撤销不符之处而使其成为实质上响应。</w:t>
      </w:r>
    </w:p>
    <w:p w14:paraId="3FAB5FC0">
      <w:pPr>
        <w:ind w:firstLine="569"/>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br w:type="page"/>
      </w:r>
    </w:p>
    <w:p w14:paraId="2C851135">
      <w:pPr>
        <w:spacing w:line="500" w:lineRule="exact"/>
        <w:ind w:firstLine="566" w:firstLineChars="200"/>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响应文件的符合性审查表</w:t>
      </w:r>
    </w:p>
    <w:tbl>
      <w:tblPr>
        <w:tblStyle w:val="12"/>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783"/>
        <w:gridCol w:w="4335"/>
        <w:gridCol w:w="786"/>
        <w:gridCol w:w="1195"/>
      </w:tblGrid>
      <w:tr w14:paraId="7292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shd w:val="clear" w:color="auto" w:fill="D9D9D9"/>
            <w:vAlign w:val="center"/>
          </w:tcPr>
          <w:p w14:paraId="07F1EA89">
            <w:pPr>
              <w:jc w:val="center"/>
              <w:rPr>
                <w:rFonts w:hint="eastAsia" w:ascii="仿宋_GB2312" w:hAnsi="仿宋_GB2312" w:eastAsia="仿宋_GB2312" w:cs="仿宋_GB2312"/>
                <w:b/>
                <w:bCs/>
                <w:color w:val="auto"/>
                <w:kern w:val="0"/>
              </w:rPr>
            </w:pPr>
            <w:r>
              <w:rPr>
                <w:rFonts w:hint="eastAsia" w:ascii="仿宋_GB2312" w:hAnsi="仿宋_GB2312" w:eastAsia="仿宋_GB2312" w:cs="仿宋_GB2312"/>
                <w:b/>
                <w:bCs/>
                <w:color w:val="auto"/>
                <w:kern w:val="0"/>
              </w:rPr>
              <w:t>序号</w:t>
            </w:r>
          </w:p>
        </w:tc>
        <w:tc>
          <w:tcPr>
            <w:tcW w:w="2783" w:type="dxa"/>
            <w:shd w:val="clear" w:color="auto" w:fill="D9D9D9"/>
            <w:vAlign w:val="center"/>
          </w:tcPr>
          <w:p w14:paraId="66BF39CC">
            <w:pPr>
              <w:jc w:val="center"/>
              <w:rPr>
                <w:rFonts w:hint="eastAsia" w:ascii="仿宋_GB2312" w:hAnsi="仿宋_GB2312" w:eastAsia="仿宋_GB2312" w:cs="仿宋_GB2312"/>
                <w:b/>
                <w:bCs/>
                <w:color w:val="auto"/>
                <w:kern w:val="0"/>
              </w:rPr>
            </w:pPr>
            <w:r>
              <w:rPr>
                <w:rFonts w:hint="eastAsia" w:ascii="仿宋_GB2312" w:hAnsi="仿宋_GB2312" w:eastAsia="仿宋_GB2312" w:cs="仿宋_GB2312"/>
                <w:b/>
                <w:bCs/>
                <w:color w:val="auto"/>
                <w:kern w:val="0"/>
              </w:rPr>
              <w:t>符合性审查项</w:t>
            </w:r>
          </w:p>
        </w:tc>
        <w:tc>
          <w:tcPr>
            <w:tcW w:w="4335" w:type="dxa"/>
            <w:shd w:val="clear" w:color="auto" w:fill="D9D9D9"/>
            <w:vAlign w:val="center"/>
          </w:tcPr>
          <w:p w14:paraId="51193182">
            <w:pPr>
              <w:ind w:firstLine="569"/>
              <w:jc w:val="center"/>
              <w:rPr>
                <w:rFonts w:hint="eastAsia" w:ascii="仿宋_GB2312" w:hAnsi="仿宋_GB2312" w:eastAsia="仿宋_GB2312" w:cs="仿宋_GB2312"/>
                <w:b/>
                <w:bCs/>
                <w:color w:val="auto"/>
                <w:kern w:val="0"/>
              </w:rPr>
            </w:pPr>
            <w:r>
              <w:rPr>
                <w:rFonts w:hint="eastAsia" w:ascii="仿宋_GB2312" w:hAnsi="仿宋_GB2312" w:eastAsia="仿宋_GB2312" w:cs="仿宋_GB2312"/>
                <w:b/>
                <w:bCs/>
                <w:color w:val="auto"/>
                <w:kern w:val="0"/>
              </w:rPr>
              <w:t>通过条件</w:t>
            </w:r>
          </w:p>
        </w:tc>
        <w:tc>
          <w:tcPr>
            <w:tcW w:w="786" w:type="dxa"/>
            <w:shd w:val="clear" w:color="auto" w:fill="D9D9D9"/>
            <w:vAlign w:val="center"/>
          </w:tcPr>
          <w:p w14:paraId="4E8D1F5E">
            <w:pPr>
              <w:jc w:val="center"/>
              <w:rPr>
                <w:rFonts w:hint="eastAsia" w:ascii="仿宋_GB2312" w:hAnsi="仿宋_GB2312" w:eastAsia="仿宋_GB2312" w:cs="仿宋_GB2312"/>
                <w:b/>
                <w:bCs/>
                <w:color w:val="auto"/>
                <w:kern w:val="0"/>
              </w:rPr>
            </w:pPr>
            <w:r>
              <w:rPr>
                <w:rFonts w:hint="eastAsia" w:ascii="仿宋_GB2312" w:hAnsi="仿宋_GB2312" w:eastAsia="仿宋_GB2312" w:cs="仿宋_GB2312"/>
                <w:b/>
                <w:bCs/>
                <w:color w:val="auto"/>
                <w:kern w:val="0"/>
              </w:rPr>
              <w:t>结论</w:t>
            </w:r>
          </w:p>
        </w:tc>
        <w:tc>
          <w:tcPr>
            <w:tcW w:w="1195" w:type="dxa"/>
            <w:shd w:val="clear" w:color="auto" w:fill="D9D9D9"/>
            <w:vAlign w:val="center"/>
          </w:tcPr>
          <w:p w14:paraId="16F93C82">
            <w:pPr>
              <w:jc w:val="center"/>
              <w:rPr>
                <w:rFonts w:hint="eastAsia" w:ascii="仿宋_GB2312" w:hAnsi="仿宋_GB2312" w:eastAsia="仿宋_GB2312" w:cs="仿宋_GB2312"/>
                <w:b/>
                <w:bCs/>
                <w:color w:val="auto"/>
                <w:kern w:val="0"/>
              </w:rPr>
            </w:pPr>
            <w:r>
              <w:rPr>
                <w:rFonts w:hint="eastAsia" w:ascii="仿宋_GB2312" w:hAnsi="仿宋_GB2312" w:eastAsia="仿宋_GB2312" w:cs="仿宋_GB2312"/>
                <w:b/>
                <w:bCs/>
                <w:color w:val="auto"/>
                <w:kern w:val="0"/>
              </w:rPr>
              <w:t>未通过原因</w:t>
            </w:r>
          </w:p>
        </w:tc>
      </w:tr>
      <w:tr w14:paraId="3FF1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48" w:type="dxa"/>
            <w:vAlign w:val="center"/>
          </w:tcPr>
          <w:p w14:paraId="0AD3E6A3">
            <w:pPr>
              <w:jc w:val="center"/>
              <w:rPr>
                <w:rFonts w:hint="eastAsia" w:ascii="仿宋_GB2312" w:hAnsi="仿宋_GB2312" w:eastAsia="仿宋_GB2312" w:cs="仿宋_GB2312"/>
                <w:bCs/>
                <w:color w:val="auto"/>
                <w:kern w:val="0"/>
              </w:rPr>
            </w:pPr>
            <w:r>
              <w:rPr>
                <w:rFonts w:hint="eastAsia" w:ascii="仿宋_GB2312" w:hAnsi="仿宋_GB2312" w:eastAsia="仿宋_GB2312" w:cs="仿宋_GB2312"/>
                <w:bCs/>
                <w:color w:val="auto"/>
                <w:kern w:val="0"/>
              </w:rPr>
              <w:t>1</w:t>
            </w:r>
          </w:p>
        </w:tc>
        <w:tc>
          <w:tcPr>
            <w:tcW w:w="2783" w:type="dxa"/>
            <w:vAlign w:val="center"/>
          </w:tcPr>
          <w:p w14:paraId="7E43AC4A">
            <w:pPr>
              <w:jc w:val="left"/>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响应文件语言及有效期</w:t>
            </w:r>
          </w:p>
        </w:tc>
        <w:tc>
          <w:tcPr>
            <w:tcW w:w="4335" w:type="dxa"/>
            <w:vAlign w:val="center"/>
          </w:tcPr>
          <w:p w14:paraId="0535921D">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响应文件语言</w:t>
            </w:r>
            <w:r>
              <w:rPr>
                <w:rFonts w:hint="eastAsia" w:ascii="仿宋_GB2312" w:hAnsi="仿宋_GB2312" w:eastAsia="仿宋_GB2312" w:cs="仿宋_GB2312"/>
                <w:bCs/>
                <w:color w:val="auto"/>
                <w:kern w:val="0"/>
                <w:sz w:val="24"/>
                <w:szCs w:val="24"/>
              </w:rPr>
              <w:t>及有效期</w:t>
            </w:r>
            <w:r>
              <w:rPr>
                <w:rFonts w:hint="eastAsia" w:ascii="仿宋_GB2312" w:hAnsi="仿宋_GB2312" w:eastAsia="仿宋_GB2312" w:cs="仿宋_GB2312"/>
                <w:color w:val="auto"/>
                <w:sz w:val="24"/>
                <w:szCs w:val="24"/>
              </w:rPr>
              <w:t>符合磋商文件要求。</w:t>
            </w:r>
          </w:p>
        </w:tc>
        <w:tc>
          <w:tcPr>
            <w:tcW w:w="786" w:type="dxa"/>
            <w:vAlign w:val="center"/>
          </w:tcPr>
          <w:p w14:paraId="7333267E">
            <w:pPr>
              <w:ind w:firstLine="569"/>
              <w:jc w:val="center"/>
              <w:rPr>
                <w:rFonts w:hint="eastAsia" w:ascii="仿宋_GB2312" w:hAnsi="仿宋_GB2312" w:eastAsia="仿宋_GB2312" w:cs="仿宋_GB2312"/>
                <w:b/>
                <w:bCs/>
                <w:color w:val="auto"/>
                <w:kern w:val="0"/>
              </w:rPr>
            </w:pPr>
          </w:p>
        </w:tc>
        <w:tc>
          <w:tcPr>
            <w:tcW w:w="1195" w:type="dxa"/>
            <w:vAlign w:val="center"/>
          </w:tcPr>
          <w:p w14:paraId="0C58A650">
            <w:pPr>
              <w:ind w:firstLine="569"/>
              <w:jc w:val="center"/>
              <w:rPr>
                <w:rFonts w:hint="eastAsia" w:ascii="仿宋_GB2312" w:hAnsi="仿宋_GB2312" w:eastAsia="仿宋_GB2312" w:cs="仿宋_GB2312"/>
                <w:b/>
                <w:bCs/>
                <w:color w:val="auto"/>
                <w:kern w:val="0"/>
              </w:rPr>
            </w:pPr>
          </w:p>
        </w:tc>
      </w:tr>
      <w:tr w14:paraId="65CB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48" w:type="dxa"/>
            <w:vAlign w:val="center"/>
          </w:tcPr>
          <w:p w14:paraId="1D72AE03">
            <w:pPr>
              <w:jc w:val="center"/>
              <w:rPr>
                <w:rFonts w:hint="eastAsia" w:ascii="仿宋_GB2312" w:hAnsi="仿宋_GB2312" w:eastAsia="仿宋_GB2312" w:cs="仿宋_GB2312"/>
                <w:bCs/>
                <w:color w:val="auto"/>
                <w:kern w:val="0"/>
              </w:rPr>
            </w:pPr>
            <w:r>
              <w:rPr>
                <w:rFonts w:hint="eastAsia" w:ascii="仿宋_GB2312" w:hAnsi="仿宋_GB2312" w:eastAsia="仿宋_GB2312" w:cs="仿宋_GB2312"/>
                <w:bCs/>
                <w:color w:val="auto"/>
                <w:kern w:val="0"/>
              </w:rPr>
              <w:t>2</w:t>
            </w:r>
          </w:p>
        </w:tc>
        <w:tc>
          <w:tcPr>
            <w:tcW w:w="2783" w:type="dxa"/>
            <w:vAlign w:val="center"/>
          </w:tcPr>
          <w:p w14:paraId="538A651B">
            <w:pPr>
              <w:jc w:val="left"/>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响应文件封面、响应函、法定代表人授权 委托书三处的项目名 称、项目编号、标段 （如有）</w:t>
            </w:r>
          </w:p>
        </w:tc>
        <w:tc>
          <w:tcPr>
            <w:tcW w:w="4335" w:type="dxa"/>
            <w:vAlign w:val="center"/>
          </w:tcPr>
          <w:p w14:paraId="7F55A99A">
            <w:pPr>
              <w:jc w:val="left"/>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三处均无遗漏，且与所投项目名称、 项目编号、标段（如有）一致。</w:t>
            </w:r>
          </w:p>
        </w:tc>
        <w:tc>
          <w:tcPr>
            <w:tcW w:w="786" w:type="dxa"/>
            <w:vAlign w:val="center"/>
          </w:tcPr>
          <w:p w14:paraId="14586F43">
            <w:pPr>
              <w:ind w:firstLine="569"/>
              <w:jc w:val="center"/>
              <w:rPr>
                <w:rFonts w:hint="eastAsia" w:ascii="仿宋_GB2312" w:hAnsi="仿宋_GB2312" w:eastAsia="仿宋_GB2312" w:cs="仿宋_GB2312"/>
                <w:b/>
                <w:bCs/>
                <w:color w:val="auto"/>
                <w:kern w:val="0"/>
              </w:rPr>
            </w:pPr>
          </w:p>
        </w:tc>
        <w:tc>
          <w:tcPr>
            <w:tcW w:w="1195" w:type="dxa"/>
            <w:vAlign w:val="center"/>
          </w:tcPr>
          <w:p w14:paraId="1FB109A0">
            <w:pPr>
              <w:ind w:firstLine="569"/>
              <w:jc w:val="center"/>
              <w:rPr>
                <w:rFonts w:hint="eastAsia" w:ascii="仿宋_GB2312" w:hAnsi="仿宋_GB2312" w:eastAsia="仿宋_GB2312" w:cs="仿宋_GB2312"/>
                <w:b/>
                <w:bCs/>
                <w:color w:val="auto"/>
                <w:kern w:val="0"/>
              </w:rPr>
            </w:pPr>
          </w:p>
        </w:tc>
      </w:tr>
      <w:tr w14:paraId="5346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648" w:type="dxa"/>
            <w:vAlign w:val="center"/>
          </w:tcPr>
          <w:p w14:paraId="37CC5878">
            <w:pPr>
              <w:jc w:val="center"/>
              <w:rPr>
                <w:rFonts w:hint="eastAsia" w:ascii="仿宋_GB2312" w:hAnsi="仿宋_GB2312" w:eastAsia="仿宋_GB2312" w:cs="仿宋_GB2312"/>
                <w:bCs/>
                <w:color w:val="auto"/>
                <w:kern w:val="0"/>
              </w:rPr>
            </w:pPr>
            <w:r>
              <w:rPr>
                <w:rFonts w:hint="eastAsia" w:ascii="仿宋_GB2312" w:hAnsi="仿宋_GB2312" w:eastAsia="仿宋_GB2312" w:cs="仿宋_GB2312"/>
                <w:bCs/>
                <w:color w:val="auto"/>
                <w:kern w:val="0"/>
              </w:rPr>
              <w:t>3</w:t>
            </w:r>
          </w:p>
        </w:tc>
        <w:tc>
          <w:tcPr>
            <w:tcW w:w="2783" w:type="dxa"/>
            <w:vAlign w:val="center"/>
          </w:tcPr>
          <w:p w14:paraId="356AC438">
            <w:pPr>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响应文件签署、盖章</w:t>
            </w:r>
          </w:p>
        </w:tc>
        <w:tc>
          <w:tcPr>
            <w:tcW w:w="4335" w:type="dxa"/>
            <w:vAlign w:val="center"/>
          </w:tcPr>
          <w:p w14:paraId="5BF65CE7">
            <w:pPr>
              <w:jc w:val="left"/>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color w:val="auto"/>
                <w:sz w:val="24"/>
                <w:szCs w:val="24"/>
              </w:rPr>
              <w:t>均按磋商文件要求签字、盖章（评分标准中要求提供的证明材料除外）。</w:t>
            </w:r>
          </w:p>
        </w:tc>
        <w:tc>
          <w:tcPr>
            <w:tcW w:w="786" w:type="dxa"/>
            <w:vAlign w:val="center"/>
          </w:tcPr>
          <w:p w14:paraId="1556EB7A">
            <w:pPr>
              <w:ind w:firstLine="569"/>
              <w:jc w:val="center"/>
              <w:rPr>
                <w:rFonts w:hint="eastAsia" w:ascii="仿宋_GB2312" w:hAnsi="仿宋_GB2312" w:eastAsia="仿宋_GB2312" w:cs="仿宋_GB2312"/>
                <w:b/>
                <w:bCs/>
                <w:color w:val="auto"/>
                <w:kern w:val="0"/>
              </w:rPr>
            </w:pPr>
          </w:p>
        </w:tc>
        <w:tc>
          <w:tcPr>
            <w:tcW w:w="1195" w:type="dxa"/>
            <w:vAlign w:val="center"/>
          </w:tcPr>
          <w:p w14:paraId="42946DD4">
            <w:pPr>
              <w:ind w:firstLine="569"/>
              <w:jc w:val="center"/>
              <w:rPr>
                <w:rFonts w:hint="eastAsia" w:ascii="仿宋_GB2312" w:hAnsi="仿宋_GB2312" w:eastAsia="仿宋_GB2312" w:cs="仿宋_GB2312"/>
                <w:b/>
                <w:bCs/>
                <w:color w:val="auto"/>
                <w:kern w:val="0"/>
              </w:rPr>
            </w:pPr>
          </w:p>
        </w:tc>
      </w:tr>
      <w:tr w14:paraId="4650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jc w:val="center"/>
        </w:trPr>
        <w:tc>
          <w:tcPr>
            <w:tcW w:w="648" w:type="dxa"/>
            <w:vAlign w:val="center"/>
          </w:tcPr>
          <w:p w14:paraId="47698346">
            <w:pPr>
              <w:jc w:val="center"/>
              <w:rPr>
                <w:rFonts w:hint="eastAsia" w:ascii="仿宋_GB2312" w:hAnsi="仿宋_GB2312" w:eastAsia="仿宋_GB2312" w:cs="仿宋_GB2312"/>
                <w:bCs/>
                <w:color w:val="auto"/>
                <w:kern w:val="0"/>
              </w:rPr>
            </w:pPr>
            <w:r>
              <w:rPr>
                <w:rFonts w:hint="eastAsia" w:ascii="仿宋_GB2312" w:hAnsi="仿宋_GB2312" w:eastAsia="仿宋_GB2312" w:cs="仿宋_GB2312"/>
                <w:bCs/>
                <w:color w:val="auto"/>
                <w:kern w:val="0"/>
              </w:rPr>
              <w:t>4</w:t>
            </w:r>
          </w:p>
        </w:tc>
        <w:tc>
          <w:tcPr>
            <w:tcW w:w="2783" w:type="dxa"/>
            <w:vAlign w:val="center"/>
          </w:tcPr>
          <w:p w14:paraId="35DDF517">
            <w:pPr>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第一次磋商报价表</w:t>
            </w:r>
          </w:p>
        </w:tc>
        <w:tc>
          <w:tcPr>
            <w:tcW w:w="4335" w:type="dxa"/>
          </w:tcPr>
          <w:p w14:paraId="1F1032F9">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（1）第一次磋商报价表填写符合要求；</w:t>
            </w:r>
          </w:p>
          <w:p w14:paraId="4B803619">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（2）计量单位、报价货币均符合磋商文件要求；</w:t>
            </w:r>
          </w:p>
          <w:p w14:paraId="10A84D67">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（3）第一次磋商报价未超出采购预算或磋商文件规定的最高限价。</w:t>
            </w:r>
          </w:p>
        </w:tc>
        <w:tc>
          <w:tcPr>
            <w:tcW w:w="786" w:type="dxa"/>
            <w:vAlign w:val="center"/>
          </w:tcPr>
          <w:p w14:paraId="23AE269C">
            <w:pPr>
              <w:ind w:firstLine="569"/>
              <w:jc w:val="center"/>
              <w:rPr>
                <w:rFonts w:hint="eastAsia" w:ascii="仿宋_GB2312" w:hAnsi="仿宋_GB2312" w:eastAsia="仿宋_GB2312" w:cs="仿宋_GB2312"/>
                <w:b/>
                <w:bCs/>
                <w:color w:val="auto"/>
                <w:kern w:val="0"/>
              </w:rPr>
            </w:pPr>
          </w:p>
        </w:tc>
        <w:tc>
          <w:tcPr>
            <w:tcW w:w="1195" w:type="dxa"/>
            <w:vAlign w:val="center"/>
          </w:tcPr>
          <w:p w14:paraId="6B0BFF5E">
            <w:pPr>
              <w:ind w:firstLine="569"/>
              <w:jc w:val="center"/>
              <w:rPr>
                <w:rFonts w:hint="eastAsia" w:ascii="仿宋_GB2312" w:hAnsi="仿宋_GB2312" w:eastAsia="仿宋_GB2312" w:cs="仿宋_GB2312"/>
                <w:b/>
                <w:bCs/>
                <w:color w:val="auto"/>
                <w:kern w:val="0"/>
              </w:rPr>
            </w:pPr>
          </w:p>
        </w:tc>
      </w:tr>
      <w:tr w14:paraId="4F94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48" w:type="dxa"/>
            <w:vAlign w:val="center"/>
          </w:tcPr>
          <w:p w14:paraId="1FBE7C12">
            <w:pPr>
              <w:jc w:val="center"/>
              <w:rPr>
                <w:rFonts w:hint="eastAsia" w:ascii="仿宋_GB2312" w:hAnsi="仿宋_GB2312" w:eastAsia="仿宋_GB2312" w:cs="仿宋_GB2312"/>
                <w:bCs/>
                <w:color w:val="auto"/>
                <w:kern w:val="0"/>
              </w:rPr>
            </w:pPr>
            <w:r>
              <w:rPr>
                <w:rFonts w:hint="eastAsia" w:ascii="仿宋_GB2312" w:hAnsi="仿宋_GB2312" w:eastAsia="仿宋_GB2312" w:cs="仿宋_GB2312"/>
                <w:bCs/>
                <w:color w:val="auto"/>
                <w:kern w:val="0"/>
              </w:rPr>
              <w:t>5</w:t>
            </w:r>
          </w:p>
        </w:tc>
        <w:tc>
          <w:tcPr>
            <w:tcW w:w="2783" w:type="dxa"/>
            <w:vAlign w:val="center"/>
          </w:tcPr>
          <w:p w14:paraId="69AA856B">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响应文件完整性</w:t>
            </w:r>
          </w:p>
        </w:tc>
        <w:tc>
          <w:tcPr>
            <w:tcW w:w="4335" w:type="dxa"/>
            <w:vAlign w:val="center"/>
          </w:tcPr>
          <w:p w14:paraId="4DCD53A1">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响应文件按照磋商文件要求编制，三部分内容齐全，无重大缺漏项。</w:t>
            </w:r>
          </w:p>
        </w:tc>
        <w:tc>
          <w:tcPr>
            <w:tcW w:w="786" w:type="dxa"/>
            <w:vAlign w:val="center"/>
          </w:tcPr>
          <w:p w14:paraId="590E27B2">
            <w:pPr>
              <w:ind w:firstLine="569"/>
              <w:jc w:val="center"/>
              <w:rPr>
                <w:rFonts w:hint="eastAsia" w:ascii="仿宋_GB2312" w:hAnsi="仿宋_GB2312" w:eastAsia="仿宋_GB2312" w:cs="仿宋_GB2312"/>
                <w:b/>
                <w:bCs/>
                <w:color w:val="auto"/>
                <w:kern w:val="0"/>
              </w:rPr>
            </w:pPr>
          </w:p>
        </w:tc>
        <w:tc>
          <w:tcPr>
            <w:tcW w:w="1195" w:type="dxa"/>
            <w:vAlign w:val="center"/>
          </w:tcPr>
          <w:p w14:paraId="0F15BA33">
            <w:pPr>
              <w:ind w:firstLine="569"/>
              <w:jc w:val="center"/>
              <w:rPr>
                <w:rFonts w:hint="eastAsia" w:ascii="仿宋_GB2312" w:hAnsi="仿宋_GB2312" w:eastAsia="仿宋_GB2312" w:cs="仿宋_GB2312"/>
                <w:b/>
                <w:bCs/>
                <w:color w:val="auto"/>
                <w:kern w:val="0"/>
              </w:rPr>
            </w:pPr>
          </w:p>
        </w:tc>
      </w:tr>
      <w:tr w14:paraId="235F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648" w:type="dxa"/>
            <w:vAlign w:val="center"/>
          </w:tcPr>
          <w:p w14:paraId="1E10237A">
            <w:pPr>
              <w:jc w:val="center"/>
              <w:rPr>
                <w:rFonts w:hint="eastAsia" w:ascii="仿宋_GB2312" w:hAnsi="仿宋_GB2312" w:eastAsia="仿宋_GB2312" w:cs="仿宋_GB2312"/>
                <w:bCs/>
                <w:color w:val="auto"/>
                <w:kern w:val="0"/>
              </w:rPr>
            </w:pPr>
            <w:r>
              <w:rPr>
                <w:rFonts w:hint="eastAsia" w:ascii="仿宋_GB2312" w:hAnsi="仿宋_GB2312" w:eastAsia="仿宋_GB2312" w:cs="仿宋_GB2312"/>
                <w:bCs/>
                <w:color w:val="auto"/>
                <w:kern w:val="0"/>
              </w:rPr>
              <w:t>6</w:t>
            </w:r>
          </w:p>
        </w:tc>
        <w:tc>
          <w:tcPr>
            <w:tcW w:w="2783" w:type="dxa"/>
            <w:vAlign w:val="center"/>
          </w:tcPr>
          <w:p w14:paraId="6C2DD2A3">
            <w:pPr>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color w:val="auto"/>
                <w:sz w:val="24"/>
                <w:szCs w:val="24"/>
              </w:rPr>
              <w:t>技术服务要求</w:t>
            </w:r>
          </w:p>
        </w:tc>
        <w:tc>
          <w:tcPr>
            <w:tcW w:w="4335" w:type="dxa"/>
            <w:vAlign w:val="center"/>
          </w:tcPr>
          <w:p w14:paraId="34F6B6D2">
            <w:pPr>
              <w:jc w:val="left"/>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color w:val="auto"/>
                <w:sz w:val="24"/>
                <w:szCs w:val="24"/>
              </w:rPr>
              <w:t>完全理解并接受对合格供应商、合格的货物、工程或服务要求，根据响应文件中《技术服务偏差表》第三章“★”标识的实质性要求没有负偏离。</w:t>
            </w:r>
          </w:p>
        </w:tc>
        <w:tc>
          <w:tcPr>
            <w:tcW w:w="786" w:type="dxa"/>
            <w:vAlign w:val="center"/>
          </w:tcPr>
          <w:p w14:paraId="77D056A6">
            <w:pPr>
              <w:ind w:firstLine="569"/>
              <w:jc w:val="center"/>
              <w:rPr>
                <w:rFonts w:hint="eastAsia" w:ascii="仿宋_GB2312" w:hAnsi="仿宋_GB2312" w:eastAsia="仿宋_GB2312" w:cs="仿宋_GB2312"/>
                <w:b/>
                <w:bCs/>
                <w:color w:val="auto"/>
                <w:kern w:val="0"/>
              </w:rPr>
            </w:pPr>
          </w:p>
        </w:tc>
        <w:tc>
          <w:tcPr>
            <w:tcW w:w="1195" w:type="dxa"/>
            <w:vAlign w:val="center"/>
          </w:tcPr>
          <w:p w14:paraId="0E991FA2">
            <w:pPr>
              <w:ind w:firstLine="569"/>
              <w:jc w:val="center"/>
              <w:rPr>
                <w:rFonts w:hint="eastAsia" w:ascii="仿宋_GB2312" w:hAnsi="仿宋_GB2312" w:eastAsia="仿宋_GB2312" w:cs="仿宋_GB2312"/>
                <w:b/>
                <w:bCs/>
                <w:color w:val="auto"/>
                <w:kern w:val="0"/>
              </w:rPr>
            </w:pPr>
          </w:p>
        </w:tc>
      </w:tr>
      <w:tr w14:paraId="3BFE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648" w:type="dxa"/>
            <w:vAlign w:val="center"/>
          </w:tcPr>
          <w:p w14:paraId="1AB76F0C">
            <w:pPr>
              <w:jc w:val="center"/>
              <w:rPr>
                <w:rFonts w:hint="eastAsia" w:ascii="仿宋_GB2312" w:hAnsi="仿宋_GB2312" w:eastAsia="仿宋_GB2312" w:cs="仿宋_GB2312"/>
                <w:bCs/>
                <w:color w:val="auto"/>
                <w:kern w:val="0"/>
              </w:rPr>
            </w:pPr>
            <w:r>
              <w:rPr>
                <w:rFonts w:hint="eastAsia" w:ascii="仿宋_GB2312" w:hAnsi="仿宋_GB2312" w:eastAsia="仿宋_GB2312" w:cs="仿宋_GB2312"/>
                <w:bCs/>
                <w:color w:val="auto"/>
                <w:kern w:val="0"/>
              </w:rPr>
              <w:t>7</w:t>
            </w:r>
          </w:p>
        </w:tc>
        <w:tc>
          <w:tcPr>
            <w:tcW w:w="2783" w:type="dxa"/>
            <w:vAlign w:val="center"/>
          </w:tcPr>
          <w:p w14:paraId="0A2BEAF7">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合同草案响应</w:t>
            </w:r>
          </w:p>
        </w:tc>
        <w:tc>
          <w:tcPr>
            <w:tcW w:w="4335" w:type="dxa"/>
            <w:vAlign w:val="center"/>
          </w:tcPr>
          <w:p w14:paraId="51E1C3C5">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有完全理解并接受磋商文件合同草案 条款要求的描述。</w:t>
            </w:r>
          </w:p>
        </w:tc>
        <w:tc>
          <w:tcPr>
            <w:tcW w:w="786" w:type="dxa"/>
            <w:vAlign w:val="center"/>
          </w:tcPr>
          <w:p w14:paraId="5D2045B0">
            <w:pPr>
              <w:ind w:firstLine="569"/>
              <w:jc w:val="center"/>
              <w:rPr>
                <w:rFonts w:hint="eastAsia" w:ascii="仿宋_GB2312" w:hAnsi="仿宋_GB2312" w:eastAsia="仿宋_GB2312" w:cs="仿宋_GB2312"/>
                <w:b/>
                <w:bCs/>
                <w:color w:val="auto"/>
                <w:kern w:val="0"/>
              </w:rPr>
            </w:pPr>
          </w:p>
        </w:tc>
        <w:tc>
          <w:tcPr>
            <w:tcW w:w="1195" w:type="dxa"/>
            <w:vAlign w:val="center"/>
          </w:tcPr>
          <w:p w14:paraId="3A1E6B12">
            <w:pPr>
              <w:ind w:firstLine="569"/>
              <w:jc w:val="center"/>
              <w:rPr>
                <w:rFonts w:hint="eastAsia" w:ascii="仿宋_GB2312" w:hAnsi="仿宋_GB2312" w:eastAsia="仿宋_GB2312" w:cs="仿宋_GB2312"/>
                <w:b/>
                <w:bCs/>
                <w:color w:val="auto"/>
                <w:kern w:val="0"/>
              </w:rPr>
            </w:pPr>
          </w:p>
        </w:tc>
      </w:tr>
      <w:tr w14:paraId="1963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648" w:type="dxa"/>
            <w:vAlign w:val="center"/>
          </w:tcPr>
          <w:p w14:paraId="2AD774FF">
            <w:pPr>
              <w:jc w:val="center"/>
              <w:rPr>
                <w:rFonts w:hint="eastAsia" w:ascii="仿宋_GB2312" w:hAnsi="仿宋_GB2312" w:eastAsia="仿宋_GB2312" w:cs="仿宋_GB2312"/>
                <w:bCs/>
                <w:color w:val="auto"/>
                <w:kern w:val="0"/>
              </w:rPr>
            </w:pPr>
            <w:r>
              <w:rPr>
                <w:rFonts w:hint="eastAsia" w:ascii="仿宋_GB2312" w:hAnsi="仿宋_GB2312" w:eastAsia="仿宋_GB2312" w:cs="仿宋_GB2312"/>
                <w:bCs/>
                <w:color w:val="auto"/>
                <w:kern w:val="0"/>
              </w:rPr>
              <w:t>8</w:t>
            </w:r>
          </w:p>
        </w:tc>
        <w:tc>
          <w:tcPr>
            <w:tcW w:w="2783" w:type="dxa"/>
            <w:vAlign w:val="center"/>
          </w:tcPr>
          <w:p w14:paraId="26B030E2">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供应商承诺书</w:t>
            </w:r>
          </w:p>
        </w:tc>
        <w:tc>
          <w:tcPr>
            <w:tcW w:w="4335" w:type="dxa"/>
            <w:vAlign w:val="center"/>
          </w:tcPr>
          <w:p w14:paraId="50500433">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完全理解并填写《拒绝政府采购领域商业贿赂承诺书》。</w:t>
            </w:r>
          </w:p>
        </w:tc>
        <w:tc>
          <w:tcPr>
            <w:tcW w:w="786" w:type="dxa"/>
            <w:vAlign w:val="center"/>
          </w:tcPr>
          <w:p w14:paraId="28BDF7EA">
            <w:pPr>
              <w:ind w:firstLine="569"/>
              <w:jc w:val="center"/>
              <w:rPr>
                <w:rFonts w:hint="eastAsia" w:ascii="仿宋_GB2312" w:hAnsi="仿宋_GB2312" w:eastAsia="仿宋_GB2312" w:cs="仿宋_GB2312"/>
                <w:b/>
                <w:bCs/>
                <w:color w:val="auto"/>
                <w:kern w:val="0"/>
              </w:rPr>
            </w:pPr>
          </w:p>
        </w:tc>
        <w:tc>
          <w:tcPr>
            <w:tcW w:w="1195" w:type="dxa"/>
            <w:vAlign w:val="center"/>
          </w:tcPr>
          <w:p w14:paraId="1ADC8841">
            <w:pPr>
              <w:ind w:firstLine="569"/>
              <w:jc w:val="center"/>
              <w:rPr>
                <w:rFonts w:hint="eastAsia" w:ascii="仿宋_GB2312" w:hAnsi="仿宋_GB2312" w:eastAsia="仿宋_GB2312" w:cs="仿宋_GB2312"/>
                <w:b/>
                <w:bCs/>
                <w:color w:val="auto"/>
                <w:kern w:val="0"/>
              </w:rPr>
            </w:pPr>
          </w:p>
        </w:tc>
      </w:tr>
      <w:tr w14:paraId="0187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648" w:type="dxa"/>
            <w:vAlign w:val="center"/>
          </w:tcPr>
          <w:p w14:paraId="26C59671">
            <w:pPr>
              <w:jc w:val="center"/>
              <w:rPr>
                <w:rFonts w:hint="eastAsia" w:ascii="仿宋_GB2312" w:hAnsi="仿宋_GB2312" w:eastAsia="仿宋_GB2312" w:cs="仿宋_GB2312"/>
                <w:bCs/>
                <w:color w:val="auto"/>
                <w:kern w:val="0"/>
              </w:rPr>
            </w:pPr>
            <w:r>
              <w:rPr>
                <w:rFonts w:hint="eastAsia" w:ascii="仿宋_GB2312" w:hAnsi="仿宋_GB2312" w:eastAsia="仿宋_GB2312" w:cs="仿宋_GB2312"/>
                <w:bCs/>
                <w:color w:val="auto"/>
                <w:kern w:val="0"/>
              </w:rPr>
              <w:t>9</w:t>
            </w:r>
          </w:p>
        </w:tc>
        <w:tc>
          <w:tcPr>
            <w:tcW w:w="2783" w:type="dxa"/>
            <w:vAlign w:val="center"/>
          </w:tcPr>
          <w:p w14:paraId="052940C0">
            <w:pPr>
              <w:spacing w:line="240" w:lineRule="auto"/>
              <w:jc w:val="left"/>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color w:val="auto"/>
                <w:sz w:val="24"/>
                <w:szCs w:val="24"/>
              </w:rPr>
              <w:t>无其他磋商文件或法规明确规定响应无效的事项</w:t>
            </w:r>
          </w:p>
        </w:tc>
        <w:tc>
          <w:tcPr>
            <w:tcW w:w="4335" w:type="dxa"/>
            <w:vAlign w:val="center"/>
          </w:tcPr>
          <w:p w14:paraId="1AA5B51B">
            <w:pPr>
              <w:jc w:val="left"/>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color w:val="auto"/>
                <w:sz w:val="24"/>
                <w:szCs w:val="24"/>
              </w:rPr>
              <w:t>没有不符合磋商文件规定的被视为无效响应的其他条款。</w:t>
            </w:r>
          </w:p>
        </w:tc>
        <w:tc>
          <w:tcPr>
            <w:tcW w:w="786" w:type="dxa"/>
            <w:vAlign w:val="center"/>
          </w:tcPr>
          <w:p w14:paraId="62219EDA">
            <w:pPr>
              <w:ind w:firstLine="569"/>
              <w:jc w:val="center"/>
              <w:rPr>
                <w:rFonts w:hint="eastAsia" w:ascii="仿宋_GB2312" w:hAnsi="仿宋_GB2312" w:eastAsia="仿宋_GB2312" w:cs="仿宋_GB2312"/>
                <w:b/>
                <w:bCs/>
                <w:color w:val="auto"/>
                <w:kern w:val="0"/>
              </w:rPr>
            </w:pPr>
          </w:p>
        </w:tc>
        <w:tc>
          <w:tcPr>
            <w:tcW w:w="1195" w:type="dxa"/>
            <w:vAlign w:val="center"/>
          </w:tcPr>
          <w:p w14:paraId="3ED80D6D">
            <w:pPr>
              <w:ind w:firstLine="569"/>
              <w:jc w:val="center"/>
              <w:rPr>
                <w:rFonts w:hint="eastAsia" w:ascii="仿宋_GB2312" w:hAnsi="仿宋_GB2312" w:eastAsia="仿宋_GB2312" w:cs="仿宋_GB2312"/>
                <w:b/>
                <w:bCs/>
                <w:color w:val="auto"/>
                <w:kern w:val="0"/>
              </w:rPr>
            </w:pPr>
          </w:p>
        </w:tc>
      </w:tr>
      <w:tr w14:paraId="4E42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9747" w:type="dxa"/>
            <w:gridSpan w:val="5"/>
            <w:vAlign w:val="center"/>
          </w:tcPr>
          <w:p w14:paraId="56D897C1">
            <w:pPr>
              <w:ind w:firstLine="569"/>
              <w:rPr>
                <w:rFonts w:hint="eastAsia" w:ascii="仿宋_GB2312" w:hAnsi="仿宋_GB2312" w:eastAsia="仿宋_GB2312" w:cs="仿宋_GB2312"/>
                <w:b/>
                <w:bCs/>
                <w:color w:val="auto"/>
                <w:kern w:val="0"/>
              </w:rPr>
            </w:pPr>
            <w:r>
              <w:rPr>
                <w:rFonts w:hint="eastAsia" w:ascii="仿宋_GB2312" w:hAnsi="仿宋_GB2312" w:eastAsia="仿宋_GB2312" w:cs="仿宋_GB2312"/>
                <w:b/>
                <w:bCs/>
                <w:color w:val="auto"/>
                <w:kern w:val="0"/>
              </w:rPr>
              <w:t>磋商小组成员：（签字或盖章）</w:t>
            </w:r>
          </w:p>
        </w:tc>
      </w:tr>
    </w:tbl>
    <w:p w14:paraId="6E2E01E0">
      <w:pPr>
        <w:ind w:firstLine="569"/>
        <w:rPr>
          <w:rFonts w:hint="eastAsia" w:ascii="仿宋_GB2312" w:hAnsi="仿宋_GB2312" w:eastAsia="仿宋_GB2312" w:cs="仿宋_GB2312"/>
          <w:b/>
          <w:color w:val="auto"/>
        </w:rPr>
      </w:pPr>
      <w:r>
        <w:rPr>
          <w:rFonts w:hint="eastAsia" w:ascii="仿宋_GB2312" w:hAnsi="仿宋_GB2312" w:eastAsia="仿宋_GB2312" w:cs="仿宋_GB2312"/>
          <w:b/>
          <w:color w:val="auto"/>
        </w:rPr>
        <w:br w:type="page"/>
      </w:r>
    </w:p>
    <w:p w14:paraId="760AEA9A">
      <w:pPr>
        <w:keepNext w:val="0"/>
        <w:keepLines w:val="0"/>
        <w:pageBreakBefore w:val="0"/>
        <w:widowControl/>
        <w:kinsoku/>
        <w:wordWrap/>
        <w:overflowPunct/>
        <w:topLinePunct w:val="0"/>
        <w:autoSpaceDE/>
        <w:autoSpaceDN/>
        <w:bidi w:val="0"/>
        <w:adjustRightInd/>
        <w:snapToGrid/>
        <w:spacing w:line="360" w:lineRule="exact"/>
        <w:ind w:firstLine="566" w:firstLineChars="200"/>
        <w:textAlignment w:val="auto"/>
        <w:rPr>
          <w:rFonts w:hint="eastAsia" w:ascii="仿宋_GB2312" w:hAnsi="仿宋_GB2312" w:eastAsia="仿宋_GB2312" w:cs="仿宋_GB2312"/>
          <w:b/>
          <w:color w:val="auto"/>
        </w:rPr>
      </w:pPr>
      <w:r>
        <w:rPr>
          <w:rFonts w:hint="eastAsia" w:ascii="仿宋_GB2312" w:hAnsi="仿宋_GB2312" w:eastAsia="仿宋_GB2312" w:cs="仿宋_GB2312"/>
          <w:b/>
          <w:color w:val="auto"/>
        </w:rPr>
        <w:t>4、响应文件的澄清</w:t>
      </w:r>
    </w:p>
    <w:p w14:paraId="1BD71C72">
      <w:pPr>
        <w:keepNext w:val="0"/>
        <w:keepLines w:val="0"/>
        <w:pageBreakBefore w:val="0"/>
        <w:widowControl/>
        <w:kinsoku/>
        <w:wordWrap/>
        <w:overflowPunct/>
        <w:topLinePunct w:val="0"/>
        <w:autoSpaceDE/>
        <w:autoSpaceDN/>
        <w:bidi w:val="0"/>
        <w:adjustRightInd/>
        <w:snapToGrid/>
        <w:spacing w:line="3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（1）磋商小组在对响应文件的有效性、完整性和响应程度进行审查时，可以要求供应商对响应文件中含义不明确、同类问题表述不一致或者有明显文字和计算错误的内容等做出必要的澄清、说明或者更正。</w:t>
      </w:r>
    </w:p>
    <w:p w14:paraId="266AF6B1">
      <w:pPr>
        <w:keepNext w:val="0"/>
        <w:keepLines w:val="0"/>
        <w:pageBreakBefore w:val="0"/>
        <w:widowControl/>
        <w:kinsoku/>
        <w:wordWrap/>
        <w:overflowPunct/>
        <w:topLinePunct w:val="0"/>
        <w:autoSpaceDE/>
        <w:autoSpaceDN/>
        <w:bidi w:val="0"/>
        <w:adjustRightInd/>
        <w:snapToGrid/>
        <w:spacing w:line="3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（2）依照《中华人民共和国民法典》中的过失责任原则，澄清、说明 或更正前磋商小组将按最不利于参与本次磋商供应商的原则对响应文件做出评判。</w:t>
      </w:r>
    </w:p>
    <w:p w14:paraId="70869D65">
      <w:pPr>
        <w:keepNext w:val="0"/>
        <w:keepLines w:val="0"/>
        <w:pageBreakBefore w:val="0"/>
        <w:widowControl/>
        <w:kinsoku/>
        <w:wordWrap/>
        <w:overflowPunct/>
        <w:topLinePunct w:val="0"/>
        <w:autoSpaceDE/>
        <w:autoSpaceDN/>
        <w:bidi w:val="0"/>
        <w:adjustRightInd/>
        <w:snapToGrid/>
        <w:spacing w:line="3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（3）磋商小组要求供应商澄清、说明或者更正响应文件应通过书面形式做出。供应商应当在规定的澄清时限内通过书面形式提交，提交的澄清、说明或者更正应当由法定代表人或其授权代表签字或者加盖公章。</w:t>
      </w:r>
    </w:p>
    <w:p w14:paraId="77511543">
      <w:pPr>
        <w:keepNext w:val="0"/>
        <w:keepLines w:val="0"/>
        <w:pageBreakBefore w:val="0"/>
        <w:widowControl/>
        <w:kinsoku/>
        <w:wordWrap/>
        <w:overflowPunct/>
        <w:topLinePunct w:val="0"/>
        <w:autoSpaceDE/>
        <w:autoSpaceDN/>
        <w:bidi w:val="0"/>
        <w:adjustRightInd/>
        <w:snapToGrid/>
        <w:spacing w:line="3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（4）供应商的澄清、说明或者更正不得超出响应文件的范围或者改变响应文件的实质性内容。澄清、说明或者更正的内容将作为合同履行的重要依据。</w:t>
      </w:r>
    </w:p>
    <w:p w14:paraId="7CA9A8FE">
      <w:pPr>
        <w:keepNext w:val="0"/>
        <w:keepLines w:val="0"/>
        <w:pageBreakBefore w:val="0"/>
        <w:widowControl/>
        <w:kinsoku/>
        <w:wordWrap/>
        <w:overflowPunct/>
        <w:topLinePunct w:val="0"/>
        <w:autoSpaceDE/>
        <w:autoSpaceDN/>
        <w:bidi w:val="0"/>
        <w:adjustRightInd/>
        <w:snapToGrid/>
        <w:spacing w:line="360" w:lineRule="exact"/>
        <w:ind w:firstLine="566" w:firstLineChars="200"/>
        <w:textAlignment w:val="auto"/>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除采用竞争性磋商方式采购的政府购买服务项目、市场竞争不充分的 科研项目以及需要扶持的科技成果转化项目外，通过符合性审查的供应商不足3家的，不得进行后续磋商活动，应予以终止。</w:t>
      </w:r>
    </w:p>
    <w:p w14:paraId="13C509A5">
      <w:pPr>
        <w:keepNext w:val="0"/>
        <w:keepLines w:val="0"/>
        <w:pageBreakBefore w:val="0"/>
        <w:widowControl/>
        <w:kinsoku/>
        <w:wordWrap/>
        <w:overflowPunct/>
        <w:topLinePunct w:val="0"/>
        <w:autoSpaceDE/>
        <w:autoSpaceDN/>
        <w:bidi w:val="0"/>
        <w:adjustRightInd/>
        <w:snapToGrid/>
        <w:spacing w:line="360" w:lineRule="exact"/>
        <w:ind w:firstLine="566" w:firstLineChars="200"/>
        <w:contextualSpacing/>
        <w:textAlignment w:val="auto"/>
        <w:rPr>
          <w:rFonts w:hint="eastAsia" w:ascii="仿宋_GB2312" w:hAnsi="仿宋_GB2312" w:eastAsia="仿宋_GB2312" w:cs="仿宋_GB2312"/>
          <w:b/>
          <w:color w:val="auto"/>
        </w:rPr>
      </w:pPr>
      <w:r>
        <w:rPr>
          <w:rFonts w:hint="eastAsia" w:ascii="仿宋_GB2312" w:hAnsi="仿宋_GB2312" w:eastAsia="仿宋_GB2312" w:cs="仿宋_GB2312"/>
          <w:b/>
          <w:color w:val="auto"/>
        </w:rPr>
        <w:t>5、磋商</w:t>
      </w:r>
    </w:p>
    <w:p w14:paraId="090FABAD">
      <w:pPr>
        <w:keepNext w:val="0"/>
        <w:keepLines w:val="0"/>
        <w:pageBreakBefore w:val="0"/>
        <w:widowControl/>
        <w:kinsoku/>
        <w:wordWrap/>
        <w:overflowPunct/>
        <w:topLinePunct w:val="0"/>
        <w:autoSpaceDE/>
        <w:autoSpaceDN/>
        <w:bidi w:val="0"/>
        <w:adjustRightInd/>
        <w:snapToGrid/>
        <w:spacing w:line="360" w:lineRule="exact"/>
        <w:ind w:firstLine="566" w:firstLineChars="200"/>
        <w:contextualSpacing/>
        <w:textAlignment w:val="auto"/>
        <w:rPr>
          <w:rFonts w:hint="eastAsia" w:ascii="仿宋_GB2312" w:hAnsi="仿宋_GB2312" w:eastAsia="仿宋_GB2312" w:cs="仿宋_GB2312"/>
          <w:bCs/>
          <w:color w:val="auto"/>
        </w:rPr>
      </w:pPr>
      <w:r>
        <w:rPr>
          <w:rFonts w:hint="eastAsia" w:ascii="仿宋_GB2312" w:hAnsi="仿宋_GB2312" w:eastAsia="仿宋_GB2312" w:cs="仿宋_GB2312"/>
          <w:bCs/>
          <w:color w:val="auto"/>
        </w:rPr>
        <w:t>5-1磋商小组所有成员集中与单一磋商供应商就技术、商务等分别进行磋商。磋商文件有实质性变动的，磋商小组以书面形式通知所有参加磋商的供应商。对磋商响应文件中含义不明确、同类问题表述不一致或者有明显文字和计算错误的内容，磋商小组可以要求磋商供应商做出必要的澄清、说明或者纠正。磋商供应商的澄清、说明或者补正应当采用书面形式，由其授权代理人签字。</w:t>
      </w:r>
    </w:p>
    <w:p w14:paraId="3939D02F">
      <w:pPr>
        <w:keepNext w:val="0"/>
        <w:keepLines w:val="0"/>
        <w:pageBreakBefore w:val="0"/>
        <w:widowControl/>
        <w:kinsoku/>
        <w:wordWrap/>
        <w:overflowPunct/>
        <w:topLinePunct w:val="0"/>
        <w:autoSpaceDE/>
        <w:autoSpaceDN/>
        <w:bidi w:val="0"/>
        <w:adjustRightInd/>
        <w:snapToGrid/>
        <w:spacing w:line="360" w:lineRule="exact"/>
        <w:ind w:firstLine="566" w:firstLineChars="200"/>
        <w:contextualSpacing/>
        <w:textAlignment w:val="auto"/>
        <w:rPr>
          <w:rFonts w:hint="eastAsia" w:ascii="仿宋_GB2312" w:hAnsi="仿宋_GB2312" w:eastAsia="仿宋_GB2312" w:cs="仿宋_GB2312"/>
          <w:bCs/>
          <w:color w:val="auto"/>
        </w:rPr>
      </w:pPr>
      <w:r>
        <w:rPr>
          <w:rFonts w:hint="eastAsia" w:ascii="仿宋_GB2312" w:hAnsi="仿宋_GB2312" w:eastAsia="仿宋_GB2312" w:cs="仿宋_GB2312"/>
          <w:bCs/>
          <w:color w:val="auto"/>
        </w:rPr>
        <w:t>5-2磋商小组逐一与供应商磋商后，磋商小组将根据调整后（如有调整）的采购内容要求所有参加磋商的供应商在规定时间内进行最后报价。如无实质性内容调整，最后报价不得高于前一次报价，否则为无效报价。</w:t>
      </w:r>
    </w:p>
    <w:p w14:paraId="79F467B9">
      <w:pPr>
        <w:keepNext w:val="0"/>
        <w:keepLines w:val="0"/>
        <w:pageBreakBefore w:val="0"/>
        <w:widowControl/>
        <w:kinsoku/>
        <w:wordWrap/>
        <w:overflowPunct/>
        <w:topLinePunct w:val="0"/>
        <w:autoSpaceDE/>
        <w:autoSpaceDN/>
        <w:bidi w:val="0"/>
        <w:adjustRightInd/>
        <w:snapToGrid/>
        <w:spacing w:line="360" w:lineRule="exact"/>
        <w:ind w:firstLine="566" w:firstLineChars="200"/>
        <w:contextualSpacing/>
        <w:textAlignment w:val="auto"/>
        <w:rPr>
          <w:rFonts w:hint="eastAsia" w:ascii="仿宋_GB2312" w:hAnsi="仿宋_GB2312" w:eastAsia="仿宋_GB2312" w:cs="仿宋_GB2312"/>
          <w:bCs/>
          <w:color w:val="auto"/>
        </w:rPr>
      </w:pPr>
      <w:r>
        <w:rPr>
          <w:rFonts w:hint="eastAsia" w:ascii="仿宋_GB2312" w:hAnsi="仿宋_GB2312" w:eastAsia="仿宋_GB2312" w:cs="仿宋_GB2312"/>
          <w:bCs/>
          <w:color w:val="auto"/>
        </w:rPr>
        <w:t>5-3本次磋商采用</w:t>
      </w:r>
      <w:r>
        <w:rPr>
          <w:rFonts w:hint="eastAsia" w:ascii="仿宋_GB2312" w:hAnsi="仿宋_GB2312" w:eastAsia="仿宋_GB2312" w:cs="仿宋_GB2312"/>
          <w:b/>
          <w:color w:val="auto"/>
        </w:rPr>
        <w:t>综合评分法</w:t>
      </w:r>
      <w:r>
        <w:rPr>
          <w:rFonts w:hint="eastAsia" w:ascii="仿宋_GB2312" w:hAnsi="仿宋_GB2312" w:eastAsia="仿宋_GB2312" w:cs="仿宋_GB2312"/>
          <w:bCs/>
          <w:color w:val="auto"/>
        </w:rPr>
        <w:t>（其中报价得分按磋商供应商</w:t>
      </w:r>
      <w:r>
        <w:rPr>
          <w:rFonts w:hint="eastAsia" w:ascii="仿宋_GB2312" w:hAnsi="仿宋_GB2312" w:eastAsia="仿宋_GB2312" w:cs="仿宋_GB2312"/>
          <w:b/>
          <w:color w:val="auto"/>
        </w:rPr>
        <w:t>最后报价</w:t>
      </w:r>
      <w:r>
        <w:rPr>
          <w:rFonts w:hint="eastAsia" w:ascii="仿宋_GB2312" w:hAnsi="仿宋_GB2312" w:eastAsia="仿宋_GB2312" w:cs="仿宋_GB2312"/>
          <w:bCs/>
          <w:color w:val="auto"/>
        </w:rPr>
        <w:t>计算），具体评审方法详见《组织评审》章节的规定。</w:t>
      </w:r>
    </w:p>
    <w:p w14:paraId="303C1D71">
      <w:pPr>
        <w:keepNext w:val="0"/>
        <w:keepLines w:val="0"/>
        <w:pageBreakBefore w:val="0"/>
        <w:widowControl/>
        <w:kinsoku/>
        <w:wordWrap/>
        <w:overflowPunct/>
        <w:topLinePunct w:val="0"/>
        <w:autoSpaceDE/>
        <w:autoSpaceDN/>
        <w:bidi w:val="0"/>
        <w:adjustRightInd/>
        <w:snapToGrid/>
        <w:spacing w:line="360" w:lineRule="exact"/>
        <w:ind w:firstLine="566" w:firstLineChars="200"/>
        <w:contextualSpacing/>
        <w:textAlignment w:val="auto"/>
        <w:rPr>
          <w:rFonts w:hint="eastAsia" w:ascii="仿宋_GB2312" w:hAnsi="仿宋_GB2312" w:eastAsia="仿宋_GB2312" w:cs="仿宋_GB2312"/>
          <w:b/>
          <w:color w:val="auto"/>
        </w:rPr>
      </w:pPr>
      <w:r>
        <w:rPr>
          <w:rFonts w:hint="eastAsia" w:ascii="仿宋_GB2312" w:hAnsi="仿宋_GB2312" w:eastAsia="仿宋_GB2312" w:cs="仿宋_GB2312"/>
          <w:b/>
          <w:color w:val="auto"/>
        </w:rPr>
        <w:t>6、磋商文件的实质性变更</w:t>
      </w:r>
    </w:p>
    <w:p w14:paraId="0D424DFF">
      <w:pPr>
        <w:keepNext w:val="0"/>
        <w:keepLines w:val="0"/>
        <w:pageBreakBefore w:val="0"/>
        <w:widowControl/>
        <w:kinsoku/>
        <w:wordWrap/>
        <w:overflowPunct/>
        <w:topLinePunct w:val="0"/>
        <w:autoSpaceDE/>
        <w:autoSpaceDN/>
        <w:bidi w:val="0"/>
        <w:adjustRightInd/>
        <w:snapToGrid/>
        <w:spacing w:line="360" w:lineRule="exact"/>
        <w:ind w:firstLine="566" w:firstLineChars="200"/>
        <w:contextualSpacing/>
        <w:textAlignment w:val="auto"/>
        <w:rPr>
          <w:rFonts w:hint="eastAsia" w:ascii="仿宋_GB2312" w:hAnsi="仿宋_GB2312" w:eastAsia="仿宋_GB2312" w:cs="仿宋_GB2312"/>
          <w:color w:val="auto"/>
          <w:highlight w:val="yellow"/>
        </w:rPr>
      </w:pPr>
      <w:r>
        <w:rPr>
          <w:rFonts w:hint="eastAsia" w:ascii="仿宋_GB2312" w:hAnsi="仿宋_GB2312" w:eastAsia="仿宋_GB2312" w:cs="仿宋_GB2312"/>
          <w:color w:val="auto"/>
        </w:rPr>
        <w:t>（1）在磋商过程中，磋商小组可以根据磋商文件和磋商情况实质性变动采购需求中的技术、服务要求以及合同草案条款，但不得变动磋商文件中的其他内容。实质性变动的内容，须经采购人代表确认。</w:t>
      </w:r>
    </w:p>
    <w:p w14:paraId="43B6F03A">
      <w:pPr>
        <w:keepNext w:val="0"/>
        <w:keepLines w:val="0"/>
        <w:pageBreakBefore w:val="0"/>
        <w:widowControl/>
        <w:kinsoku/>
        <w:wordWrap/>
        <w:overflowPunct/>
        <w:topLinePunct w:val="0"/>
        <w:autoSpaceDE/>
        <w:autoSpaceDN/>
        <w:bidi w:val="0"/>
        <w:adjustRightInd/>
        <w:snapToGrid/>
        <w:spacing w:line="360" w:lineRule="exact"/>
        <w:ind w:firstLine="566"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（2）实质性变动不得改变原标的物，且应遵循有利于采购活动顺利实施的原则，当出现下列情形时，可实质性变动：</w:t>
      </w:r>
    </w:p>
    <w:p w14:paraId="5C2AAA93">
      <w:pPr>
        <w:keepNext w:val="0"/>
        <w:keepLines w:val="0"/>
        <w:pageBreakBefore w:val="0"/>
        <w:widowControl/>
        <w:kinsoku/>
        <w:wordWrap/>
        <w:overflowPunct/>
        <w:topLinePunct w:val="0"/>
        <w:autoSpaceDE/>
        <w:autoSpaceDN/>
        <w:bidi w:val="0"/>
        <w:adjustRightInd/>
        <w:snapToGrid/>
        <w:spacing w:line="360" w:lineRule="exact"/>
        <w:ind w:firstLine="566"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①当磋商小组发现磋商文件有明显错误、自相矛盾时，可通过实质性变动纠正错误，且应尽可能保证该变动不会排除各参与供应商；</w:t>
      </w:r>
    </w:p>
    <w:p w14:paraId="6BDEAA82">
      <w:pPr>
        <w:keepNext w:val="0"/>
        <w:keepLines w:val="0"/>
        <w:pageBreakBefore w:val="0"/>
        <w:widowControl/>
        <w:kinsoku/>
        <w:wordWrap/>
        <w:overflowPunct/>
        <w:topLinePunct w:val="0"/>
        <w:autoSpaceDE/>
        <w:autoSpaceDN/>
        <w:bidi w:val="0"/>
        <w:adjustRightInd/>
        <w:snapToGrid/>
        <w:spacing w:line="360" w:lineRule="exact"/>
        <w:ind w:firstLine="566"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②当进入最后报价环节的供应商不足3家时，可通过实质性变动实现不少于3家供应商提交最后报价，但不得通过实质性变动将原本进入最后报价环节的供应商排除在外。</w:t>
      </w:r>
    </w:p>
    <w:p w14:paraId="584026A6">
      <w:pPr>
        <w:keepNext w:val="0"/>
        <w:keepLines w:val="0"/>
        <w:pageBreakBefore w:val="0"/>
        <w:widowControl/>
        <w:kinsoku/>
        <w:wordWrap/>
        <w:overflowPunct/>
        <w:topLinePunct w:val="0"/>
        <w:autoSpaceDE/>
        <w:autoSpaceDN/>
        <w:bidi w:val="0"/>
        <w:adjustRightInd/>
        <w:snapToGrid/>
        <w:spacing w:line="360" w:lineRule="exact"/>
        <w:ind w:firstLine="566"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（3）对磋商文件作出的实质性变动是磋商文件的有效组成部分，磋商小组将通过书面形式通知所有参加磋商的供应商。</w:t>
      </w:r>
    </w:p>
    <w:p w14:paraId="30179E06">
      <w:pPr>
        <w:keepNext w:val="0"/>
        <w:keepLines w:val="0"/>
        <w:pageBreakBefore w:val="0"/>
        <w:widowControl/>
        <w:kinsoku/>
        <w:wordWrap/>
        <w:overflowPunct/>
        <w:topLinePunct w:val="0"/>
        <w:autoSpaceDE/>
        <w:autoSpaceDN/>
        <w:bidi w:val="0"/>
        <w:adjustRightInd/>
        <w:snapToGrid/>
        <w:spacing w:line="360" w:lineRule="exact"/>
        <w:ind w:firstLine="566"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（4）供应商应当按照磋商文件的变动情况和磋商小组的要求，在磋商 小组规定的时限内重新提交响应文件，并由法定代表人或其授权代表签字或者加盖公章。</w:t>
      </w:r>
    </w:p>
    <w:p w14:paraId="15161F5A">
      <w:pPr>
        <w:pStyle w:val="11"/>
        <w:keepNext w:val="0"/>
        <w:keepLines w:val="0"/>
        <w:pageBreakBefore w:val="0"/>
        <w:widowControl/>
        <w:kinsoku/>
        <w:wordWrap/>
        <w:overflowPunct/>
        <w:topLinePunct w:val="0"/>
        <w:autoSpaceDE/>
        <w:autoSpaceDN/>
        <w:bidi w:val="0"/>
        <w:adjustRightInd/>
        <w:snapToGrid/>
        <w:spacing w:after="0" w:line="3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（5）供应商未能在规定的时间内按照磋商小组的要求提交实质性变更响应文件的，视作未实质性响应。</w:t>
      </w:r>
    </w:p>
    <w:p w14:paraId="0CBD8B00">
      <w:pPr>
        <w:keepNext w:val="0"/>
        <w:keepLines w:val="0"/>
        <w:pageBreakBefore w:val="0"/>
        <w:widowControl/>
        <w:kinsoku/>
        <w:wordWrap/>
        <w:overflowPunct/>
        <w:topLinePunct w:val="0"/>
        <w:autoSpaceDE/>
        <w:autoSpaceDN/>
        <w:bidi w:val="0"/>
        <w:adjustRightInd/>
        <w:snapToGrid/>
        <w:spacing w:line="360" w:lineRule="exact"/>
        <w:ind w:firstLine="566"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b/>
          <w:color w:val="auto"/>
        </w:rPr>
        <w:t>7、最后报价</w:t>
      </w:r>
    </w:p>
    <w:p w14:paraId="5E8A4787">
      <w:pPr>
        <w:keepNext w:val="0"/>
        <w:keepLines w:val="0"/>
        <w:pageBreakBefore w:val="0"/>
        <w:widowControl/>
        <w:kinsoku/>
        <w:wordWrap/>
        <w:overflowPunct/>
        <w:topLinePunct w:val="0"/>
        <w:autoSpaceDE/>
        <w:autoSpaceDN/>
        <w:bidi w:val="0"/>
        <w:adjustRightInd/>
        <w:snapToGrid/>
        <w:spacing w:line="360" w:lineRule="exact"/>
        <w:ind w:firstLine="566"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（1）磋商文件能够详细列明采购标的的技术、服务要求的，磋商结束 后，磋商小组应当要求所有实质性响应的供应商在规定时间内提交最后报 价，提交最后报价的供应商不得少于3家。</w:t>
      </w:r>
    </w:p>
    <w:p w14:paraId="79E6FFA6">
      <w:pPr>
        <w:keepNext w:val="0"/>
        <w:keepLines w:val="0"/>
        <w:pageBreakBefore w:val="0"/>
        <w:widowControl/>
        <w:kinsoku/>
        <w:wordWrap/>
        <w:overflowPunct/>
        <w:topLinePunct w:val="0"/>
        <w:autoSpaceDE/>
        <w:autoSpaceDN/>
        <w:bidi w:val="0"/>
        <w:adjustRightInd/>
        <w:snapToGrid/>
        <w:spacing w:line="360" w:lineRule="exact"/>
        <w:ind w:firstLine="566"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（2）磋商文件不能详细列明采购标的的技术、服务要求，需经磋商由 供应商提供最终设计方案或解决方案的，磋商结束后，磋商小组应当按照 少数服从多数的原则投票推荐3家以上供应商的设计方案或者解决方案， 并要求其在规定时间内提交最后报价。</w:t>
      </w:r>
    </w:p>
    <w:p w14:paraId="2DEA7BF1">
      <w:pPr>
        <w:keepNext w:val="0"/>
        <w:keepLines w:val="0"/>
        <w:pageBreakBefore w:val="0"/>
        <w:widowControl/>
        <w:kinsoku/>
        <w:wordWrap/>
        <w:overflowPunct/>
        <w:topLinePunct w:val="0"/>
        <w:autoSpaceDE/>
        <w:autoSpaceDN/>
        <w:bidi w:val="0"/>
        <w:adjustRightInd/>
        <w:snapToGrid/>
        <w:spacing w:line="360" w:lineRule="exact"/>
        <w:ind w:firstLine="566"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（3）最后报价是供应商响应文件的有效组成部分。符合《政府采购竞 争性磋商采购方式管理暂行办法》第三条第四项情形的，即市场竞争不充 分的科研项目，以及需要扶持的科技成果转化项目，提交最后报价的供应 商可以为2家。根据《财政部关于政府采购竞争性磋商采购方式管理暂行 办法有关问题的补充通知》（财库〔2015〕124号），采购的政府购买服务项目（含政府和社会资本合作项目），在采购过程中符合要求的供应商 （社会资本）只有2家的，竞争性磋商采购活动可以继续进行。</w:t>
      </w:r>
    </w:p>
    <w:p w14:paraId="17A1911D">
      <w:pPr>
        <w:keepNext w:val="0"/>
        <w:keepLines w:val="0"/>
        <w:pageBreakBefore w:val="0"/>
        <w:widowControl/>
        <w:kinsoku/>
        <w:wordWrap/>
        <w:overflowPunct/>
        <w:topLinePunct w:val="0"/>
        <w:autoSpaceDE/>
        <w:autoSpaceDN/>
        <w:bidi w:val="0"/>
        <w:adjustRightInd/>
        <w:snapToGrid/>
        <w:spacing w:line="360" w:lineRule="exact"/>
        <w:ind w:firstLine="566"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（4）供应商要在规定时间内以书面形式提交最后报价。最后报价表应由其法定代表人或被授权代表签字或者加盖公章。最后报价将作为综合评分法中价格分的计算依据。</w:t>
      </w:r>
    </w:p>
    <w:p w14:paraId="2C48C0BB">
      <w:pPr>
        <w:keepNext w:val="0"/>
        <w:keepLines w:val="0"/>
        <w:pageBreakBefore w:val="0"/>
        <w:widowControl/>
        <w:kinsoku/>
        <w:wordWrap/>
        <w:overflowPunct/>
        <w:topLinePunct w:val="0"/>
        <w:autoSpaceDE/>
        <w:autoSpaceDN/>
        <w:bidi w:val="0"/>
        <w:adjustRightInd/>
        <w:snapToGrid/>
        <w:spacing w:line="360" w:lineRule="exact"/>
        <w:ind w:firstLine="566"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（5）已提交响应文件的供应商，在提交最后报价之前，可以根据磋商 情况书面申请退出磋商，书面申请应由其法定代表人或被授权代表签字或 者加盖公章。</w:t>
      </w:r>
    </w:p>
    <w:p w14:paraId="7E168C70">
      <w:pPr>
        <w:keepNext w:val="0"/>
        <w:keepLines w:val="0"/>
        <w:pageBreakBefore w:val="0"/>
        <w:widowControl/>
        <w:kinsoku/>
        <w:wordWrap/>
        <w:overflowPunct/>
        <w:topLinePunct w:val="0"/>
        <w:autoSpaceDE/>
        <w:autoSpaceDN/>
        <w:bidi w:val="0"/>
        <w:adjustRightInd/>
        <w:snapToGrid/>
        <w:spacing w:line="360" w:lineRule="exact"/>
        <w:ind w:firstLine="566" w:firstLineChars="200"/>
        <w:contextualSpacing/>
        <w:textAlignment w:val="auto"/>
        <w:rPr>
          <w:rFonts w:hint="eastAsia" w:ascii="仿宋_GB2312" w:hAnsi="仿宋_GB2312" w:eastAsia="仿宋_GB2312" w:cs="仿宋_GB2312"/>
          <w:b/>
          <w:bCs/>
          <w:color w:val="auto"/>
          <w:u w:val="double"/>
        </w:rPr>
      </w:pPr>
      <w:r>
        <w:rPr>
          <w:rFonts w:hint="eastAsia" w:ascii="仿宋_GB2312" w:hAnsi="仿宋_GB2312" w:eastAsia="仿宋_GB2312" w:cs="仿宋_GB2312"/>
          <w:color w:val="auto"/>
        </w:rPr>
        <w:t>（6）磋商小组认为供应商的报价明显低于其他通过符合性和响应性审查供应商的报价，有可能影响工程、货物、服务质量或者不能诚信履约的，要求供应商在规定时间内通过书面形式提供说明（必要时提交相关证明材料），供应商不能证明其报价合理性的，按无效响应处理。</w:t>
      </w:r>
    </w:p>
    <w:p w14:paraId="4216A1F8">
      <w:pPr>
        <w:keepNext w:val="0"/>
        <w:keepLines w:val="0"/>
        <w:pageBreakBefore w:val="0"/>
        <w:widowControl/>
        <w:kinsoku/>
        <w:wordWrap/>
        <w:overflowPunct/>
        <w:topLinePunct w:val="0"/>
        <w:autoSpaceDE/>
        <w:autoSpaceDN/>
        <w:bidi w:val="0"/>
        <w:adjustRightInd/>
        <w:snapToGrid/>
        <w:spacing w:line="360" w:lineRule="exact"/>
        <w:ind w:firstLine="566" w:firstLineChars="200"/>
        <w:textAlignment w:val="auto"/>
        <w:rPr>
          <w:rFonts w:hint="eastAsia" w:ascii="仿宋_GB2312" w:hAnsi="仿宋_GB2312" w:eastAsia="仿宋_GB2312" w:cs="仿宋_GB2312"/>
          <w:b/>
          <w:color w:val="auto"/>
        </w:rPr>
      </w:pPr>
      <w:r>
        <w:rPr>
          <w:rFonts w:hint="eastAsia" w:ascii="仿宋_GB2312" w:hAnsi="仿宋_GB2312" w:eastAsia="仿宋_GB2312" w:cs="仿宋_GB2312"/>
          <w:b/>
          <w:color w:val="auto"/>
        </w:rPr>
        <w:t>8、综合比较与评价</w:t>
      </w:r>
    </w:p>
    <w:p w14:paraId="7950758A">
      <w:pPr>
        <w:keepNext w:val="0"/>
        <w:keepLines w:val="0"/>
        <w:pageBreakBefore w:val="0"/>
        <w:widowControl/>
        <w:kinsoku/>
        <w:wordWrap/>
        <w:overflowPunct/>
        <w:topLinePunct w:val="0"/>
        <w:autoSpaceDE/>
        <w:autoSpaceDN/>
        <w:bidi w:val="0"/>
        <w:adjustRightInd/>
        <w:snapToGrid/>
        <w:spacing w:line="360" w:lineRule="exact"/>
        <w:ind w:firstLine="566" w:firstLineChars="200"/>
        <w:textAlignment w:val="auto"/>
        <w:rPr>
          <w:rFonts w:hint="eastAsia" w:ascii="仿宋_GB2312" w:hAnsi="仿宋_GB2312" w:eastAsia="仿宋_GB2312" w:cs="仿宋_GB2312"/>
          <w:b/>
          <w:bCs/>
          <w:color w:val="auto"/>
        </w:rPr>
      </w:pPr>
      <w:r>
        <w:rPr>
          <w:rFonts w:hint="eastAsia" w:ascii="仿宋_GB2312" w:hAnsi="仿宋_GB2312" w:eastAsia="仿宋_GB2312" w:cs="仿宋_GB2312"/>
          <w:color w:val="auto"/>
        </w:rPr>
        <w:t>经磋商确定最终采购需求和提交最后报价的供应商后，由磋商小组按“评审要素及分值一览表”中规定的评审方法和标准，对提交最后报价的供应商的响应文件和最后报价进行综合评分。</w:t>
      </w:r>
    </w:p>
    <w:p w14:paraId="1EBA3628">
      <w:pPr>
        <w:keepNext w:val="0"/>
        <w:keepLines w:val="0"/>
        <w:pageBreakBefore w:val="0"/>
        <w:widowControl/>
        <w:kinsoku/>
        <w:wordWrap/>
        <w:overflowPunct/>
        <w:topLinePunct w:val="0"/>
        <w:autoSpaceDE/>
        <w:autoSpaceDN/>
        <w:bidi w:val="0"/>
        <w:adjustRightInd/>
        <w:snapToGrid/>
        <w:spacing w:line="360" w:lineRule="exact"/>
        <w:ind w:firstLine="566" w:firstLineChars="200"/>
        <w:contextualSpacing/>
        <w:textAlignment w:val="auto"/>
        <w:rPr>
          <w:rFonts w:hint="eastAsia" w:ascii="仿宋_GB2312" w:hAnsi="仿宋_GB2312" w:eastAsia="仿宋_GB2312" w:cs="仿宋_GB2312"/>
          <w:b/>
          <w:bCs/>
          <w:color w:val="auto"/>
          <w:u w:val="double"/>
        </w:rPr>
      </w:pPr>
      <w:r>
        <w:rPr>
          <w:rFonts w:hint="eastAsia" w:ascii="仿宋_GB2312" w:hAnsi="仿宋_GB2312" w:eastAsia="仿宋_GB2312" w:cs="仿宋_GB2312"/>
          <w:color w:val="auto"/>
        </w:rPr>
        <w:t>评审时，磋商小组各成员应当独立对每个有效响应的文件进行评价、打分，然后汇总每个供应商每项评审因素的得分。</w:t>
      </w:r>
    </w:p>
    <w:p w14:paraId="68BC5C4B">
      <w:pPr>
        <w:ind w:firstLine="569"/>
        <w:rPr>
          <w:rFonts w:hint="eastAsia" w:ascii="仿宋_GB2312" w:hAnsi="仿宋_GB2312" w:eastAsia="仿宋_GB2312" w:cs="仿宋_GB2312"/>
          <w:b/>
          <w:bCs/>
          <w:color w:val="auto"/>
        </w:rPr>
      </w:pPr>
      <w:bookmarkStart w:id="114" w:name="_Toc27797"/>
      <w:bookmarkStart w:id="115" w:name="_Toc9626"/>
      <w:bookmarkStart w:id="116" w:name="_Toc27187"/>
      <w:bookmarkStart w:id="117" w:name="_Toc2392"/>
      <w:r>
        <w:rPr>
          <w:rFonts w:hint="eastAsia" w:ascii="仿宋_GB2312" w:hAnsi="仿宋_GB2312" w:eastAsia="仿宋_GB2312" w:cs="仿宋_GB2312"/>
          <w:b/>
          <w:bCs/>
          <w:color w:val="auto"/>
        </w:rPr>
        <w:br w:type="page"/>
      </w:r>
    </w:p>
    <w:p w14:paraId="1D2D9931">
      <w:pPr>
        <w:widowControl w:val="0"/>
        <w:snapToGrid w:val="0"/>
        <w:spacing w:line="340" w:lineRule="exact"/>
        <w:ind w:firstLine="3392" w:firstLineChars="1199"/>
        <w:rPr>
          <w:rFonts w:hint="eastAsia" w:ascii="仿宋" w:hAnsi="仿宋" w:eastAsia="仿宋" w:cs="仿宋"/>
          <w:b/>
          <w:bCs/>
          <w:color w:val="auto"/>
        </w:rPr>
      </w:pPr>
      <w:r>
        <w:rPr>
          <w:rFonts w:hint="eastAsia" w:ascii="仿宋_GB2312" w:hAnsi="仿宋_GB2312" w:eastAsia="仿宋_GB2312" w:cs="仿宋_GB2312"/>
          <w:b/>
          <w:bCs/>
          <w:color w:val="auto"/>
        </w:rPr>
        <w:t>评审要素及分值一览表</w:t>
      </w:r>
      <w:bookmarkEnd w:id="114"/>
      <w:bookmarkEnd w:id="115"/>
      <w:bookmarkEnd w:id="116"/>
      <w:bookmarkEnd w:id="117"/>
      <w:r>
        <w:rPr>
          <w:rFonts w:hint="eastAsia" w:ascii="仿宋" w:hAnsi="仿宋" w:eastAsia="仿宋_GB2312" w:cs="仿宋"/>
          <w:b/>
          <w:bCs/>
          <w:color w:val="auto"/>
        </w:rPr>
        <w:t xml:space="preserve"> </w:t>
      </w:r>
    </w:p>
    <w:tbl>
      <w:tblPr>
        <w:tblStyle w:val="12"/>
        <w:tblW w:w="9700" w:type="dxa"/>
        <w:tblInd w:w="0" w:type="dxa"/>
        <w:tblLayout w:type="fixed"/>
        <w:tblCellMar>
          <w:top w:w="0" w:type="dxa"/>
          <w:left w:w="108" w:type="dxa"/>
          <w:bottom w:w="0" w:type="dxa"/>
          <w:right w:w="108" w:type="dxa"/>
        </w:tblCellMar>
      </w:tblPr>
      <w:tblGrid>
        <w:gridCol w:w="565"/>
        <w:gridCol w:w="630"/>
        <w:gridCol w:w="765"/>
        <w:gridCol w:w="6570"/>
        <w:gridCol w:w="1170"/>
      </w:tblGrid>
      <w:tr w14:paraId="45D49A4E">
        <w:tblPrEx>
          <w:tblCellMar>
            <w:top w:w="0" w:type="dxa"/>
            <w:left w:w="108" w:type="dxa"/>
            <w:bottom w:w="0" w:type="dxa"/>
            <w:right w:w="108" w:type="dxa"/>
          </w:tblCellMar>
        </w:tblPrEx>
        <w:trPr>
          <w:trHeight w:val="360" w:hRule="atLeast"/>
        </w:trPr>
        <w:tc>
          <w:tcPr>
            <w:tcW w:w="565" w:type="dxa"/>
            <w:vMerge w:val="restart"/>
            <w:tcBorders>
              <w:top w:val="single" w:color="000000" w:sz="4" w:space="0"/>
              <w:left w:val="single" w:color="000000" w:sz="4" w:space="0"/>
              <w:bottom w:val="single" w:color="000000" w:sz="4" w:space="0"/>
              <w:right w:val="single" w:color="000000" w:sz="4" w:space="0"/>
            </w:tcBorders>
            <w:noWrap w:val="0"/>
            <w:vAlign w:val="center"/>
          </w:tcPr>
          <w:p w14:paraId="41D1CA21">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_GB2312" w:cs="仿宋"/>
                <w:color w:val="auto"/>
                <w:sz w:val="24"/>
                <w:szCs w:val="24"/>
              </w:rPr>
              <w:t>项别</w:t>
            </w:r>
          </w:p>
        </w:tc>
        <w:tc>
          <w:tcPr>
            <w:tcW w:w="1395" w:type="dxa"/>
            <w:gridSpan w:val="2"/>
            <w:tcBorders>
              <w:top w:val="single" w:color="000000" w:sz="4" w:space="0"/>
              <w:left w:val="nil"/>
              <w:bottom w:val="single" w:color="000000" w:sz="4" w:space="0"/>
              <w:right w:val="single" w:color="000000" w:sz="4" w:space="0"/>
            </w:tcBorders>
            <w:noWrap w:val="0"/>
            <w:vAlign w:val="center"/>
          </w:tcPr>
          <w:p w14:paraId="62B12539">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_GB2312" w:cs="仿宋"/>
                <w:color w:val="auto"/>
                <w:sz w:val="24"/>
                <w:szCs w:val="24"/>
              </w:rPr>
              <w:t>总 分 值</w:t>
            </w:r>
          </w:p>
        </w:tc>
        <w:tc>
          <w:tcPr>
            <w:tcW w:w="6570" w:type="dxa"/>
            <w:vMerge w:val="restart"/>
            <w:tcBorders>
              <w:top w:val="single" w:color="000000" w:sz="4" w:space="0"/>
              <w:left w:val="nil"/>
              <w:bottom w:val="single" w:color="000000" w:sz="4" w:space="0"/>
              <w:right w:val="single" w:color="000000" w:sz="4" w:space="0"/>
            </w:tcBorders>
            <w:noWrap w:val="0"/>
            <w:vAlign w:val="center"/>
          </w:tcPr>
          <w:p w14:paraId="717DE4C7">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_GB2312" w:cs="仿宋"/>
                <w:color w:val="auto"/>
                <w:sz w:val="24"/>
                <w:szCs w:val="24"/>
              </w:rPr>
              <w:t>评 审 要 素</w:t>
            </w:r>
          </w:p>
        </w:tc>
        <w:tc>
          <w:tcPr>
            <w:tcW w:w="1170" w:type="dxa"/>
            <w:vMerge w:val="restart"/>
            <w:tcBorders>
              <w:top w:val="single" w:color="000000" w:sz="4" w:space="0"/>
              <w:left w:val="nil"/>
              <w:bottom w:val="single" w:color="000000" w:sz="4" w:space="0"/>
              <w:right w:val="single" w:color="000000" w:sz="4" w:space="0"/>
            </w:tcBorders>
            <w:noWrap w:val="0"/>
            <w:vAlign w:val="center"/>
          </w:tcPr>
          <w:p w14:paraId="0C48D285">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_GB2312" w:cs="仿宋"/>
                <w:color w:val="auto"/>
                <w:sz w:val="24"/>
                <w:szCs w:val="24"/>
              </w:rPr>
              <w:t>备注</w:t>
            </w:r>
          </w:p>
        </w:tc>
      </w:tr>
      <w:tr w14:paraId="09483436">
        <w:tblPrEx>
          <w:tblCellMar>
            <w:top w:w="0" w:type="dxa"/>
            <w:left w:w="108" w:type="dxa"/>
            <w:bottom w:w="0" w:type="dxa"/>
            <w:right w:w="108" w:type="dxa"/>
          </w:tblCellMar>
        </w:tblPrEx>
        <w:trPr>
          <w:trHeight w:val="385" w:hRule="atLeast"/>
        </w:trPr>
        <w:tc>
          <w:tcPr>
            <w:tcW w:w="5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60E649">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rPr>
            </w:pPr>
          </w:p>
        </w:tc>
        <w:tc>
          <w:tcPr>
            <w:tcW w:w="630" w:type="dxa"/>
            <w:tcBorders>
              <w:top w:val="single" w:color="000000" w:sz="4" w:space="0"/>
              <w:left w:val="nil"/>
              <w:bottom w:val="single" w:color="000000" w:sz="4" w:space="0"/>
              <w:right w:val="single" w:color="000000" w:sz="4" w:space="0"/>
            </w:tcBorders>
            <w:noWrap w:val="0"/>
            <w:vAlign w:val="center"/>
          </w:tcPr>
          <w:p w14:paraId="18A1F37E">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_GB2312" w:cs="仿宋"/>
                <w:color w:val="auto"/>
                <w:sz w:val="24"/>
                <w:szCs w:val="24"/>
              </w:rPr>
              <w:t>100</w:t>
            </w:r>
          </w:p>
        </w:tc>
        <w:tc>
          <w:tcPr>
            <w:tcW w:w="765" w:type="dxa"/>
            <w:tcBorders>
              <w:top w:val="single" w:color="000000" w:sz="4" w:space="0"/>
              <w:left w:val="nil"/>
              <w:bottom w:val="single" w:color="000000" w:sz="4" w:space="0"/>
              <w:right w:val="single" w:color="000000" w:sz="4" w:space="0"/>
            </w:tcBorders>
            <w:noWrap w:val="0"/>
            <w:vAlign w:val="center"/>
          </w:tcPr>
          <w:p w14:paraId="05E62B40">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_GB2312" w:cs="仿宋"/>
                <w:color w:val="auto"/>
                <w:sz w:val="24"/>
                <w:szCs w:val="24"/>
              </w:rPr>
              <w:t>分项值</w:t>
            </w:r>
          </w:p>
        </w:tc>
        <w:tc>
          <w:tcPr>
            <w:tcW w:w="6570" w:type="dxa"/>
            <w:vMerge w:val="continue"/>
            <w:tcBorders>
              <w:top w:val="single" w:color="000000" w:sz="4" w:space="0"/>
              <w:left w:val="nil"/>
              <w:bottom w:val="single" w:color="000000" w:sz="4" w:space="0"/>
              <w:right w:val="single" w:color="000000" w:sz="4" w:space="0"/>
            </w:tcBorders>
            <w:noWrap w:val="0"/>
            <w:vAlign w:val="center"/>
          </w:tcPr>
          <w:p w14:paraId="7CA9DF4C">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rPr>
            </w:pPr>
          </w:p>
        </w:tc>
        <w:tc>
          <w:tcPr>
            <w:tcW w:w="1170" w:type="dxa"/>
            <w:vMerge w:val="continue"/>
            <w:tcBorders>
              <w:top w:val="single" w:color="000000" w:sz="4" w:space="0"/>
              <w:left w:val="nil"/>
              <w:bottom w:val="single" w:color="000000" w:sz="4" w:space="0"/>
              <w:right w:val="single" w:color="000000" w:sz="4" w:space="0"/>
            </w:tcBorders>
            <w:noWrap w:val="0"/>
            <w:vAlign w:val="center"/>
          </w:tcPr>
          <w:p w14:paraId="4E63C09B">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rPr>
            </w:pPr>
          </w:p>
        </w:tc>
      </w:tr>
      <w:tr w14:paraId="00676F72">
        <w:tblPrEx>
          <w:tblCellMar>
            <w:top w:w="0" w:type="dxa"/>
            <w:left w:w="108" w:type="dxa"/>
            <w:bottom w:w="0" w:type="dxa"/>
            <w:right w:w="108" w:type="dxa"/>
          </w:tblCellMar>
        </w:tblPrEx>
        <w:trPr>
          <w:trHeight w:val="841" w:hRule="atLeast"/>
        </w:trPr>
        <w:tc>
          <w:tcPr>
            <w:tcW w:w="565" w:type="dxa"/>
            <w:tcBorders>
              <w:top w:val="single" w:color="000000" w:sz="4" w:space="0"/>
              <w:left w:val="single" w:color="000000" w:sz="4" w:space="0"/>
              <w:bottom w:val="single" w:color="000000" w:sz="4" w:space="0"/>
              <w:right w:val="single" w:color="000000" w:sz="4" w:space="0"/>
            </w:tcBorders>
            <w:noWrap w:val="0"/>
            <w:vAlign w:val="center"/>
          </w:tcPr>
          <w:p w14:paraId="39686F36">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_GB2312" w:cs="仿宋"/>
                <w:color w:val="auto"/>
                <w:sz w:val="24"/>
                <w:szCs w:val="24"/>
              </w:rPr>
              <w:t>价格</w:t>
            </w:r>
          </w:p>
        </w:tc>
        <w:tc>
          <w:tcPr>
            <w:tcW w:w="630" w:type="dxa"/>
            <w:tcBorders>
              <w:top w:val="single" w:color="000000" w:sz="4" w:space="0"/>
              <w:left w:val="nil"/>
              <w:bottom w:val="single" w:color="000000" w:sz="4" w:space="0"/>
              <w:right w:val="single" w:color="000000" w:sz="4" w:space="0"/>
            </w:tcBorders>
            <w:noWrap w:val="0"/>
            <w:vAlign w:val="center"/>
          </w:tcPr>
          <w:p w14:paraId="6282E337">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_GB2312" w:cs="仿宋"/>
                <w:color w:val="auto"/>
                <w:sz w:val="24"/>
                <w:szCs w:val="24"/>
                <w:lang w:val="en-US" w:eastAsia="zh-CN"/>
              </w:rPr>
              <w:t>20</w:t>
            </w:r>
          </w:p>
        </w:tc>
        <w:tc>
          <w:tcPr>
            <w:tcW w:w="765" w:type="dxa"/>
            <w:tcBorders>
              <w:top w:val="single" w:color="000000" w:sz="4" w:space="0"/>
              <w:left w:val="nil"/>
              <w:bottom w:val="single" w:color="000000" w:sz="4" w:space="0"/>
              <w:right w:val="single" w:color="000000" w:sz="4" w:space="0"/>
            </w:tcBorders>
            <w:noWrap w:val="0"/>
            <w:vAlign w:val="center"/>
          </w:tcPr>
          <w:p w14:paraId="7BB2C137">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_GB2312" w:cs="仿宋"/>
                <w:color w:val="auto"/>
                <w:sz w:val="24"/>
                <w:szCs w:val="24"/>
                <w:lang w:val="en-US" w:eastAsia="zh-CN"/>
              </w:rPr>
              <w:t>20</w:t>
            </w:r>
          </w:p>
        </w:tc>
        <w:tc>
          <w:tcPr>
            <w:tcW w:w="6570" w:type="dxa"/>
            <w:tcBorders>
              <w:top w:val="single" w:color="000000" w:sz="4" w:space="0"/>
              <w:left w:val="nil"/>
              <w:bottom w:val="single" w:color="000000" w:sz="4" w:space="0"/>
              <w:right w:val="single" w:color="000000" w:sz="4" w:space="0"/>
            </w:tcBorders>
            <w:noWrap w:val="0"/>
            <w:vAlign w:val="center"/>
          </w:tcPr>
          <w:p w14:paraId="5D64B424">
            <w:pPr>
              <w:keepNext w:val="0"/>
              <w:keepLines w:val="0"/>
              <w:pageBreakBefore w:val="0"/>
              <w:widowControl/>
              <w:kinsoku/>
              <w:wordWrap/>
              <w:overflowPunct/>
              <w:topLinePunct w:val="0"/>
              <w:bidi w:val="0"/>
              <w:snapToGrid w:val="0"/>
              <w:spacing w:line="300" w:lineRule="exact"/>
              <w:ind w:firstLine="0" w:firstLineChars="0"/>
              <w:textAlignment w:val="auto"/>
              <w:rPr>
                <w:rFonts w:hint="default" w:ascii="仿宋" w:hAnsi="仿宋" w:eastAsia="仿宋" w:cs="仿宋"/>
                <w:color w:val="auto"/>
                <w:sz w:val="24"/>
                <w:szCs w:val="24"/>
                <w:lang w:val="en-US" w:eastAsia="zh-CN"/>
              </w:rPr>
            </w:pPr>
            <w:r>
              <w:rPr>
                <w:rFonts w:hint="default" w:ascii="仿宋" w:hAnsi="仿宋" w:eastAsia="仿宋_GB2312" w:cs="仿宋"/>
                <w:color w:val="auto"/>
                <w:sz w:val="24"/>
                <w:szCs w:val="24"/>
                <w:lang w:val="en-US" w:eastAsia="zh-CN"/>
              </w:rPr>
              <w:t>有效最低响应人报价为基准价计20分；其他各响应人的报价按下列公式计算：报价得分=（基准价/最后报价）×20。</w:t>
            </w:r>
          </w:p>
        </w:tc>
        <w:tc>
          <w:tcPr>
            <w:tcW w:w="1170" w:type="dxa"/>
            <w:tcBorders>
              <w:top w:val="single" w:color="000000" w:sz="4" w:space="0"/>
              <w:left w:val="nil"/>
              <w:bottom w:val="single" w:color="000000" w:sz="4" w:space="0"/>
              <w:right w:val="single" w:color="000000" w:sz="4" w:space="0"/>
            </w:tcBorders>
            <w:noWrap w:val="0"/>
            <w:vAlign w:val="center"/>
          </w:tcPr>
          <w:p w14:paraId="6708A736">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rPr>
            </w:pPr>
            <w:r>
              <w:rPr>
                <w:rFonts w:hint="eastAsia" w:ascii="仿宋" w:hAnsi="仿宋" w:eastAsia="仿宋_GB2312" w:cs="仿宋"/>
                <w:color w:val="auto"/>
                <w:sz w:val="24"/>
                <w:szCs w:val="24"/>
              </w:rPr>
              <w:t>根据“最后报价”计算价格得分。</w:t>
            </w:r>
          </w:p>
        </w:tc>
      </w:tr>
      <w:tr w14:paraId="1F7A9682">
        <w:tblPrEx>
          <w:tblCellMar>
            <w:top w:w="0" w:type="dxa"/>
            <w:left w:w="108" w:type="dxa"/>
            <w:bottom w:w="0" w:type="dxa"/>
            <w:right w:w="108" w:type="dxa"/>
          </w:tblCellMar>
        </w:tblPrEx>
        <w:trPr>
          <w:trHeight w:val="90" w:hRule="atLeast"/>
        </w:trPr>
        <w:tc>
          <w:tcPr>
            <w:tcW w:w="565" w:type="dxa"/>
            <w:vMerge w:val="restart"/>
            <w:tcBorders>
              <w:top w:val="single" w:color="000000" w:sz="4" w:space="0"/>
              <w:left w:val="single" w:color="000000" w:sz="4" w:space="0"/>
              <w:bottom w:val="single" w:color="auto" w:sz="4" w:space="0"/>
              <w:right w:val="single" w:color="000000" w:sz="4" w:space="0"/>
            </w:tcBorders>
            <w:noWrap w:val="0"/>
            <w:vAlign w:val="center"/>
          </w:tcPr>
          <w:p w14:paraId="61DACD78">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_GB2312" w:cs="仿宋"/>
                <w:color w:val="auto"/>
                <w:sz w:val="24"/>
                <w:szCs w:val="24"/>
              </w:rPr>
              <w:t>技术服务</w:t>
            </w:r>
          </w:p>
        </w:tc>
        <w:tc>
          <w:tcPr>
            <w:tcW w:w="630" w:type="dxa"/>
            <w:vMerge w:val="restart"/>
            <w:tcBorders>
              <w:top w:val="single" w:color="000000" w:sz="4" w:space="0"/>
              <w:left w:val="nil"/>
              <w:bottom w:val="single" w:color="auto" w:sz="4" w:space="0"/>
              <w:right w:val="single" w:color="000000" w:sz="4" w:space="0"/>
            </w:tcBorders>
            <w:noWrap w:val="0"/>
            <w:vAlign w:val="center"/>
          </w:tcPr>
          <w:p w14:paraId="5E31742A">
            <w:pPr>
              <w:pStyle w:val="11"/>
              <w:keepNext w:val="0"/>
              <w:keepLines w:val="0"/>
              <w:pageBreakBefore w:val="0"/>
              <w:widowControl/>
              <w:kinsoku/>
              <w:wordWrap/>
              <w:overflowPunct/>
              <w:topLinePunct w:val="0"/>
              <w:bidi w:val="0"/>
              <w:spacing w:line="300" w:lineRule="exact"/>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_GB2312" w:cs="仿宋"/>
                <w:color w:val="auto"/>
                <w:sz w:val="24"/>
                <w:szCs w:val="24"/>
                <w:lang w:val="en-US" w:eastAsia="zh-CN"/>
              </w:rPr>
              <w:t>70</w:t>
            </w:r>
          </w:p>
        </w:tc>
        <w:tc>
          <w:tcPr>
            <w:tcW w:w="765" w:type="dxa"/>
            <w:tcBorders>
              <w:top w:val="single" w:color="000000" w:sz="4" w:space="0"/>
              <w:left w:val="nil"/>
              <w:bottom w:val="single" w:color="000000" w:sz="4" w:space="0"/>
              <w:right w:val="single" w:color="000000" w:sz="4" w:space="0"/>
            </w:tcBorders>
            <w:noWrap w:val="0"/>
            <w:vAlign w:val="center"/>
          </w:tcPr>
          <w:p w14:paraId="09E2D05D">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_GB2312" w:cs="仿宋"/>
                <w:color w:val="auto"/>
                <w:sz w:val="24"/>
                <w:szCs w:val="24"/>
                <w:lang w:val="en-US" w:eastAsia="zh-CN"/>
              </w:rPr>
            </w:pPr>
            <w:r>
              <w:rPr>
                <w:rFonts w:hint="eastAsia" w:ascii="仿宋" w:hAnsi="仿宋" w:eastAsia="仿宋_GB2312" w:cs="仿宋"/>
                <w:color w:val="auto"/>
                <w:sz w:val="24"/>
                <w:szCs w:val="24"/>
                <w:lang w:val="en-US" w:eastAsia="zh-CN"/>
              </w:rPr>
              <w:t>总体服务方案</w:t>
            </w:r>
          </w:p>
          <w:p w14:paraId="0340CE45">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6570" w:type="dxa"/>
            <w:tcBorders>
              <w:top w:val="single" w:color="000000" w:sz="4" w:space="0"/>
              <w:left w:val="nil"/>
              <w:bottom w:val="single" w:color="000000" w:sz="4" w:space="0"/>
              <w:right w:val="single" w:color="000000" w:sz="4" w:space="0"/>
            </w:tcBorders>
            <w:noWrap w:val="0"/>
            <w:vAlign w:val="center"/>
          </w:tcPr>
          <w:p w14:paraId="6F1E45CA">
            <w:pPr>
              <w:widowControl w:val="0"/>
              <w:numPr>
                <w:ilvl w:val="0"/>
                <w:numId w:val="7"/>
              </w:numPr>
              <w:autoSpaceDE w:val="0"/>
              <w:autoSpaceDN w:val="0"/>
              <w:adjustRightInd w:val="0"/>
              <w:spacing w:line="320" w:lineRule="exact"/>
              <w:rPr>
                <w:rFonts w:hint="eastAsia" w:ascii="仿宋" w:hAnsi="仿宋" w:eastAsia="仿宋_GB2312" w:cs="仿宋"/>
                <w:b/>
                <w:bCs/>
                <w:color w:val="auto"/>
                <w:sz w:val="24"/>
                <w:szCs w:val="24"/>
                <w:lang w:eastAsia="zh-CN"/>
              </w:rPr>
            </w:pPr>
            <w:r>
              <w:rPr>
                <w:rFonts w:hint="eastAsia" w:ascii="仿宋" w:hAnsi="仿宋" w:eastAsia="仿宋_GB2312" w:cs="仿宋"/>
                <w:b/>
                <w:bCs/>
                <w:color w:val="auto"/>
                <w:sz w:val="24"/>
                <w:szCs w:val="24"/>
                <w:lang w:eastAsia="zh-CN"/>
              </w:rPr>
              <w:t>评审内容</w:t>
            </w:r>
          </w:p>
          <w:p w14:paraId="646CDD27">
            <w:pPr>
              <w:widowControl w:val="0"/>
              <w:numPr>
                <w:ilvl w:val="0"/>
                <w:numId w:val="0"/>
              </w:numPr>
              <w:autoSpaceDE w:val="0"/>
              <w:autoSpaceDN w:val="0"/>
              <w:adjustRightInd w:val="0"/>
              <w:spacing w:line="320" w:lineRule="exact"/>
              <w:rPr>
                <w:rFonts w:hint="eastAsia" w:ascii="仿宋" w:hAnsi="仿宋" w:eastAsia="仿宋_GB2312" w:cs="仿宋"/>
                <w:color w:val="auto"/>
                <w:sz w:val="24"/>
                <w:szCs w:val="24"/>
              </w:rPr>
            </w:pPr>
            <w:r>
              <w:rPr>
                <w:rFonts w:hint="eastAsia" w:ascii="仿宋" w:hAnsi="仿宋" w:eastAsia="仿宋_GB2312" w:cs="仿宋"/>
                <w:color w:val="auto"/>
                <w:sz w:val="24"/>
                <w:szCs w:val="24"/>
              </w:rPr>
              <w:t>响</w:t>
            </w:r>
            <w:r>
              <w:rPr>
                <w:rFonts w:hint="eastAsia" w:ascii="仿宋" w:hAnsi="仿宋" w:eastAsia="仿宋_GB2312" w:cs="仿宋"/>
                <w:color w:val="auto"/>
                <w:spacing w:val="-6"/>
                <w:sz w:val="24"/>
                <w:szCs w:val="24"/>
              </w:rPr>
              <w:t>应人提供本项目总体服务方案，包括</w:t>
            </w:r>
            <w:r>
              <w:rPr>
                <w:rFonts w:hint="eastAsia" w:ascii="仿宋" w:hAnsi="仿宋" w:eastAsia="仿宋_GB2312" w:cs="仿宋"/>
                <w:color w:val="auto"/>
                <w:spacing w:val="-6"/>
                <w:sz w:val="24"/>
                <w:szCs w:val="24"/>
                <w:lang w:eastAsia="zh-CN"/>
              </w:rPr>
              <w:t>：</w:t>
            </w:r>
            <w:r>
              <w:rPr>
                <w:rFonts w:hint="eastAsia" w:ascii="仿宋" w:hAnsi="仿宋" w:eastAsia="仿宋_GB2312" w:cs="仿宋"/>
                <w:color w:val="auto"/>
                <w:spacing w:val="-6"/>
                <w:sz w:val="24"/>
                <w:szCs w:val="24"/>
                <w:lang w:val="en-US" w:eastAsia="zh-CN"/>
              </w:rPr>
              <w:t>①服务目标；②</w:t>
            </w:r>
            <w:r>
              <w:rPr>
                <w:rFonts w:hint="eastAsia" w:ascii="仿宋" w:hAnsi="仿宋" w:eastAsia="仿宋" w:cs="仿宋"/>
                <w:sz w:val="24"/>
                <w:szCs w:val="24"/>
              </w:rPr>
              <w:t>管理理念</w:t>
            </w:r>
            <w:r>
              <w:rPr>
                <w:rFonts w:hint="eastAsia" w:ascii="仿宋" w:hAnsi="仿宋" w:eastAsia="仿宋_GB2312" w:cs="仿宋"/>
                <w:color w:val="auto"/>
                <w:spacing w:val="-6"/>
                <w:sz w:val="24"/>
                <w:szCs w:val="24"/>
                <w:lang w:val="en-US" w:eastAsia="zh-CN"/>
              </w:rPr>
              <w:t>；③重难点分析及保障措施；④</w:t>
            </w:r>
            <w:r>
              <w:rPr>
                <w:rFonts w:hint="eastAsia" w:ascii="仿宋" w:hAnsi="仿宋" w:eastAsia="仿宋" w:cs="仿宋"/>
                <w:sz w:val="24"/>
                <w:szCs w:val="24"/>
              </w:rPr>
              <w:t>项目进驻及筹备程序</w:t>
            </w:r>
            <w:r>
              <w:rPr>
                <w:rFonts w:hint="eastAsia" w:ascii="仿宋" w:hAnsi="仿宋" w:eastAsia="仿宋_GB2312" w:cs="仿宋"/>
                <w:color w:val="auto"/>
                <w:sz w:val="24"/>
                <w:szCs w:val="24"/>
                <w:lang w:val="en-US" w:eastAsia="zh-CN"/>
              </w:rPr>
              <w:t>。</w:t>
            </w:r>
          </w:p>
          <w:p w14:paraId="4023D039">
            <w:pPr>
              <w:widowControl w:val="0"/>
              <w:numPr>
                <w:ilvl w:val="0"/>
                <w:numId w:val="7"/>
              </w:numPr>
              <w:autoSpaceDE w:val="0"/>
              <w:autoSpaceDN w:val="0"/>
              <w:adjustRightInd w:val="0"/>
              <w:spacing w:line="320" w:lineRule="exact"/>
              <w:ind w:left="0" w:leftChars="0" w:firstLine="0" w:firstLineChars="0"/>
              <w:rPr>
                <w:rFonts w:hint="eastAsia" w:ascii="仿宋" w:hAnsi="仿宋" w:eastAsia="仿宋_GB2312" w:cs="仿宋"/>
                <w:b/>
                <w:bCs/>
                <w:color w:val="auto"/>
                <w:sz w:val="24"/>
                <w:szCs w:val="24"/>
                <w:lang w:eastAsia="zh-CN"/>
              </w:rPr>
            </w:pPr>
            <w:r>
              <w:rPr>
                <w:rFonts w:hint="eastAsia" w:ascii="仿宋" w:hAnsi="仿宋" w:eastAsia="仿宋_GB2312" w:cs="仿宋"/>
                <w:b/>
                <w:bCs/>
                <w:color w:val="auto"/>
                <w:sz w:val="24"/>
                <w:szCs w:val="24"/>
                <w:lang w:eastAsia="zh-CN"/>
              </w:rPr>
              <w:t>赋分标准</w:t>
            </w:r>
          </w:p>
          <w:p w14:paraId="146E247F">
            <w:pPr>
              <w:keepNext w:val="0"/>
              <w:keepLines w:val="0"/>
              <w:pageBreakBefore w:val="0"/>
              <w:widowControl/>
              <w:numPr>
                <w:ilvl w:val="0"/>
                <w:numId w:val="0"/>
              </w:numPr>
              <w:kinsoku/>
              <w:wordWrap/>
              <w:overflowPunct/>
              <w:topLinePunct w:val="0"/>
              <w:autoSpaceDE w:val="0"/>
              <w:autoSpaceDN w:val="0"/>
              <w:bidi w:val="0"/>
              <w:adjustRightInd w:val="0"/>
              <w:spacing w:line="300" w:lineRule="exact"/>
              <w:ind w:firstLine="0" w:firstLineChars="0"/>
              <w:textAlignment w:val="auto"/>
              <w:rPr>
                <w:rFonts w:hint="eastAsia" w:ascii="仿宋" w:hAnsi="仿宋" w:eastAsia="仿宋_GB2312" w:cs="仿宋"/>
                <w:color w:val="auto"/>
                <w:kern w:val="0"/>
                <w:sz w:val="24"/>
                <w:szCs w:val="24"/>
                <w:lang w:val="en-US" w:eastAsia="zh-CN" w:bidi="ar"/>
              </w:rPr>
            </w:pPr>
            <w:r>
              <w:rPr>
                <w:rFonts w:hint="eastAsia" w:ascii="仿宋" w:hAnsi="仿宋" w:eastAsia="仿宋_GB2312" w:cs="仿宋"/>
                <w:color w:val="auto"/>
                <w:kern w:val="2"/>
                <w:sz w:val="24"/>
                <w:szCs w:val="24"/>
                <w:lang w:val="en-US" w:eastAsia="zh-CN" w:bidi="ar-SA"/>
              </w:rPr>
              <w:t>1、</w:t>
            </w:r>
            <w:r>
              <w:rPr>
                <w:rFonts w:hint="eastAsia" w:ascii="仿宋" w:hAnsi="仿宋" w:eastAsia="仿宋_GB2312" w:cs="仿宋"/>
                <w:color w:val="auto"/>
                <w:sz w:val="24"/>
                <w:szCs w:val="24"/>
              </w:rPr>
              <w:t>完整性：方案内容完整全面，对上述各项内容均有详细描述及说明，得</w:t>
            </w:r>
            <w:r>
              <w:rPr>
                <w:rFonts w:hint="eastAsia" w:ascii="仿宋" w:hAnsi="仿宋" w:eastAsia="仿宋_GB2312" w:cs="仿宋"/>
                <w:color w:val="auto"/>
                <w:sz w:val="24"/>
                <w:szCs w:val="24"/>
                <w:lang w:val="en-US" w:eastAsia="zh-CN"/>
              </w:rPr>
              <w:t>4</w:t>
            </w:r>
            <w:r>
              <w:rPr>
                <w:rFonts w:hint="eastAsia" w:ascii="仿宋" w:hAnsi="仿宋" w:eastAsia="仿宋_GB2312" w:cs="仿宋"/>
                <w:color w:val="auto"/>
                <w:sz w:val="24"/>
                <w:szCs w:val="24"/>
              </w:rPr>
              <w:t>分；</w:t>
            </w:r>
            <w:r>
              <w:rPr>
                <w:rFonts w:hint="eastAsia" w:ascii="仿宋" w:hAnsi="仿宋" w:eastAsia="仿宋_GB2312" w:cs="仿宋"/>
                <w:color w:val="auto"/>
                <w:kern w:val="0"/>
                <w:sz w:val="24"/>
                <w:szCs w:val="24"/>
                <w:lang w:val="en-US" w:eastAsia="zh-CN" w:bidi="ar"/>
              </w:rPr>
              <w:t>每缺1项，扣1分；不提供不得分。</w:t>
            </w:r>
          </w:p>
          <w:p w14:paraId="2D6CEF6B">
            <w:pPr>
              <w:widowControl w:val="0"/>
              <w:numPr>
                <w:ilvl w:val="0"/>
                <w:numId w:val="0"/>
              </w:numPr>
              <w:autoSpaceDE w:val="0"/>
              <w:autoSpaceDN w:val="0"/>
              <w:adjustRightInd w:val="0"/>
              <w:spacing w:line="320" w:lineRule="exact"/>
              <w:ind w:left="0" w:leftChars="0"/>
              <w:rPr>
                <w:rFonts w:hint="eastAsia" w:ascii="仿宋" w:hAnsi="仿宋" w:eastAsia="仿宋_GB2312" w:cs="仿宋"/>
                <w:color w:val="auto"/>
                <w:sz w:val="24"/>
                <w:szCs w:val="24"/>
              </w:rPr>
            </w:pPr>
            <w:r>
              <w:rPr>
                <w:rFonts w:hint="eastAsia" w:ascii="仿宋" w:hAnsi="仿宋" w:eastAsia="仿宋_GB2312" w:cs="仿宋"/>
                <w:color w:val="auto"/>
                <w:kern w:val="2"/>
                <w:sz w:val="24"/>
                <w:szCs w:val="24"/>
                <w:lang w:val="en-US" w:eastAsia="zh-CN" w:bidi="ar-SA"/>
              </w:rPr>
              <w:t>2、</w:t>
            </w:r>
            <w:r>
              <w:rPr>
                <w:rFonts w:hint="eastAsia" w:ascii="仿宋" w:hAnsi="仿宋" w:eastAsia="仿宋_GB2312" w:cs="仿宋"/>
                <w:color w:val="auto"/>
                <w:sz w:val="24"/>
                <w:szCs w:val="24"/>
              </w:rPr>
              <w:t>针对性：针对性强，得</w:t>
            </w:r>
            <w:r>
              <w:rPr>
                <w:rFonts w:hint="eastAsia" w:ascii="仿宋" w:hAnsi="仿宋" w:eastAsia="仿宋_GB2312" w:cs="仿宋"/>
                <w:color w:val="auto"/>
                <w:sz w:val="24"/>
                <w:szCs w:val="24"/>
                <w:lang w:val="en-US" w:eastAsia="zh-CN"/>
              </w:rPr>
              <w:t>2</w:t>
            </w:r>
            <w:r>
              <w:rPr>
                <w:rFonts w:hint="eastAsia" w:ascii="仿宋" w:hAnsi="仿宋" w:eastAsia="仿宋_GB2312" w:cs="仿宋"/>
                <w:color w:val="auto"/>
                <w:sz w:val="24"/>
                <w:szCs w:val="24"/>
              </w:rPr>
              <w:t>分；针对性一般，得</w:t>
            </w:r>
            <w:r>
              <w:rPr>
                <w:rFonts w:hint="eastAsia" w:ascii="仿宋" w:hAnsi="仿宋" w:eastAsia="仿宋_GB2312" w:cs="仿宋"/>
                <w:color w:val="auto"/>
                <w:sz w:val="24"/>
                <w:szCs w:val="24"/>
                <w:lang w:val="en-US" w:eastAsia="zh-CN"/>
              </w:rPr>
              <w:t>1</w:t>
            </w:r>
            <w:r>
              <w:rPr>
                <w:rFonts w:hint="eastAsia" w:ascii="仿宋" w:hAnsi="仿宋" w:eastAsia="仿宋_GB2312" w:cs="仿宋"/>
                <w:color w:val="auto"/>
                <w:sz w:val="24"/>
                <w:szCs w:val="24"/>
              </w:rPr>
              <w:t xml:space="preserve">分；缺乏针对性，得0分。 </w:t>
            </w:r>
          </w:p>
          <w:p w14:paraId="3567895A">
            <w:pPr>
              <w:widowControl w:val="0"/>
              <w:numPr>
                <w:ilvl w:val="0"/>
                <w:numId w:val="0"/>
              </w:numPr>
              <w:autoSpaceDE w:val="0"/>
              <w:autoSpaceDN w:val="0"/>
              <w:adjustRightInd w:val="0"/>
              <w:spacing w:line="320" w:lineRule="exact"/>
              <w:ind w:left="0" w:leftChars="0"/>
              <w:rPr>
                <w:rFonts w:hint="eastAsia" w:ascii="仿宋" w:hAnsi="仿宋" w:eastAsia="仿宋_GB2312" w:cs="仿宋"/>
                <w:color w:val="auto"/>
                <w:sz w:val="24"/>
                <w:szCs w:val="24"/>
              </w:rPr>
            </w:pPr>
            <w:r>
              <w:rPr>
                <w:rFonts w:hint="eastAsia" w:ascii="仿宋" w:hAnsi="仿宋" w:eastAsia="仿宋_GB2312" w:cs="仿宋"/>
                <w:color w:val="auto"/>
                <w:kern w:val="2"/>
                <w:sz w:val="24"/>
                <w:szCs w:val="24"/>
                <w:lang w:val="en-US" w:eastAsia="zh-CN" w:bidi="ar-SA"/>
              </w:rPr>
              <w:t>3、</w:t>
            </w:r>
            <w:r>
              <w:rPr>
                <w:rFonts w:hint="eastAsia" w:ascii="仿宋" w:hAnsi="仿宋" w:eastAsia="仿宋_GB2312" w:cs="仿宋"/>
                <w:color w:val="auto"/>
                <w:sz w:val="24"/>
                <w:szCs w:val="24"/>
              </w:rPr>
              <w:t>可实施性：可实施性强，得</w:t>
            </w:r>
            <w:r>
              <w:rPr>
                <w:rFonts w:hint="eastAsia" w:ascii="仿宋" w:hAnsi="仿宋" w:eastAsia="仿宋_GB2312" w:cs="仿宋"/>
                <w:color w:val="auto"/>
                <w:sz w:val="24"/>
                <w:szCs w:val="24"/>
                <w:lang w:val="en-US" w:eastAsia="zh-CN"/>
              </w:rPr>
              <w:t>2</w:t>
            </w:r>
            <w:r>
              <w:rPr>
                <w:rFonts w:hint="eastAsia" w:ascii="仿宋" w:hAnsi="仿宋" w:eastAsia="仿宋_GB2312" w:cs="仿宋"/>
                <w:color w:val="auto"/>
                <w:sz w:val="24"/>
                <w:szCs w:val="24"/>
              </w:rPr>
              <w:t>分；可实施性一般，得</w:t>
            </w:r>
            <w:r>
              <w:rPr>
                <w:rFonts w:hint="eastAsia" w:ascii="仿宋" w:hAnsi="仿宋" w:eastAsia="仿宋_GB2312" w:cs="仿宋"/>
                <w:color w:val="auto"/>
                <w:sz w:val="24"/>
                <w:szCs w:val="24"/>
                <w:lang w:val="en-US" w:eastAsia="zh-CN"/>
              </w:rPr>
              <w:t>1</w:t>
            </w:r>
            <w:r>
              <w:rPr>
                <w:rFonts w:hint="eastAsia" w:ascii="仿宋" w:hAnsi="仿宋" w:eastAsia="仿宋_GB2312" w:cs="仿宋"/>
                <w:color w:val="auto"/>
                <w:sz w:val="24"/>
                <w:szCs w:val="24"/>
              </w:rPr>
              <w:t xml:space="preserve">分；缺乏可实施性，得0分。 </w:t>
            </w:r>
          </w:p>
          <w:p w14:paraId="5845CD9A">
            <w:pPr>
              <w:keepNext w:val="0"/>
              <w:keepLines w:val="0"/>
              <w:pageBreakBefore w:val="0"/>
              <w:widowControl/>
              <w:numPr>
                <w:ilvl w:val="0"/>
                <w:numId w:val="0"/>
              </w:numPr>
              <w:kinsoku/>
              <w:wordWrap/>
              <w:overflowPunct/>
              <w:topLinePunct w:val="0"/>
              <w:autoSpaceDE w:val="0"/>
              <w:autoSpaceDN w:val="0"/>
              <w:bidi w:val="0"/>
              <w:adjustRightInd w:val="0"/>
              <w:snapToGrid/>
              <w:spacing w:line="280" w:lineRule="exact"/>
              <w:ind w:leftChars="0"/>
              <w:textAlignment w:val="auto"/>
              <w:rPr>
                <w:rFonts w:hint="eastAsia" w:ascii="仿宋" w:hAnsi="仿宋" w:eastAsia="仿宋" w:cs="仿宋"/>
                <w:color w:val="auto"/>
                <w:sz w:val="24"/>
                <w:szCs w:val="24"/>
              </w:rPr>
            </w:pPr>
            <w:r>
              <w:rPr>
                <w:rFonts w:hint="eastAsia" w:ascii="仿宋" w:hAnsi="仿宋" w:eastAsia="仿宋_GB2312" w:cs="仿宋"/>
                <w:color w:val="auto"/>
                <w:kern w:val="2"/>
                <w:sz w:val="24"/>
                <w:szCs w:val="24"/>
                <w:lang w:val="en-US" w:eastAsia="zh-CN" w:bidi="ar-SA"/>
              </w:rPr>
              <w:t>4、</w:t>
            </w:r>
            <w:r>
              <w:rPr>
                <w:rFonts w:hint="eastAsia" w:ascii="仿宋" w:hAnsi="仿宋" w:eastAsia="仿宋_GB2312" w:cs="仿宋"/>
                <w:color w:val="auto"/>
                <w:sz w:val="24"/>
                <w:szCs w:val="24"/>
              </w:rPr>
              <w:t>此项不提供不得分。</w:t>
            </w:r>
          </w:p>
        </w:tc>
        <w:tc>
          <w:tcPr>
            <w:tcW w:w="1170" w:type="dxa"/>
            <w:vMerge w:val="restart"/>
            <w:tcBorders>
              <w:top w:val="single" w:color="000000" w:sz="4" w:space="0"/>
              <w:left w:val="nil"/>
              <w:bottom w:val="single" w:color="auto" w:sz="4" w:space="0"/>
              <w:right w:val="single" w:color="000000" w:sz="4" w:space="0"/>
            </w:tcBorders>
            <w:noWrap w:val="0"/>
            <w:vAlign w:val="center"/>
          </w:tcPr>
          <w:p w14:paraId="358ADCB4">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rPr>
            </w:pPr>
          </w:p>
        </w:tc>
      </w:tr>
      <w:tr w14:paraId="38E92CE7">
        <w:tblPrEx>
          <w:tblCellMar>
            <w:top w:w="0" w:type="dxa"/>
            <w:left w:w="108" w:type="dxa"/>
            <w:bottom w:w="0" w:type="dxa"/>
            <w:right w:w="108" w:type="dxa"/>
          </w:tblCellMar>
        </w:tblPrEx>
        <w:trPr>
          <w:trHeight w:val="4053" w:hRule="atLeast"/>
        </w:trPr>
        <w:tc>
          <w:tcPr>
            <w:tcW w:w="565" w:type="dxa"/>
            <w:vMerge w:val="continue"/>
            <w:tcBorders>
              <w:top w:val="single" w:color="auto" w:sz="4" w:space="0"/>
              <w:left w:val="single" w:color="000000" w:sz="4" w:space="0"/>
              <w:bottom w:val="single" w:color="auto" w:sz="4" w:space="0"/>
              <w:right w:val="single" w:color="000000" w:sz="4" w:space="0"/>
            </w:tcBorders>
            <w:noWrap w:val="0"/>
            <w:vAlign w:val="center"/>
          </w:tcPr>
          <w:p w14:paraId="5F12029C">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p>
        </w:tc>
        <w:tc>
          <w:tcPr>
            <w:tcW w:w="630" w:type="dxa"/>
            <w:vMerge w:val="continue"/>
            <w:tcBorders>
              <w:top w:val="single" w:color="auto" w:sz="4" w:space="0"/>
              <w:left w:val="nil"/>
              <w:bottom w:val="single" w:color="auto" w:sz="4" w:space="0"/>
              <w:right w:val="single" w:color="000000" w:sz="4" w:space="0"/>
            </w:tcBorders>
            <w:noWrap w:val="0"/>
            <w:vAlign w:val="center"/>
          </w:tcPr>
          <w:p w14:paraId="37459084">
            <w:pPr>
              <w:pStyle w:val="11"/>
              <w:keepNext w:val="0"/>
              <w:keepLines w:val="0"/>
              <w:pageBreakBefore w:val="0"/>
              <w:widowControl/>
              <w:kinsoku/>
              <w:wordWrap/>
              <w:overflowPunct/>
              <w:topLinePunct w:val="0"/>
              <w:bidi w:val="0"/>
              <w:spacing w:line="300" w:lineRule="exact"/>
              <w:ind w:firstLine="0" w:firstLineChars="0"/>
              <w:jc w:val="center"/>
              <w:textAlignment w:val="auto"/>
              <w:rPr>
                <w:rFonts w:hint="eastAsia" w:ascii="仿宋" w:hAnsi="仿宋" w:eastAsia="仿宋" w:cs="仿宋"/>
                <w:color w:val="auto"/>
                <w:kern w:val="2"/>
                <w:sz w:val="24"/>
                <w:szCs w:val="24"/>
              </w:rPr>
            </w:pPr>
          </w:p>
        </w:tc>
        <w:tc>
          <w:tcPr>
            <w:tcW w:w="765" w:type="dxa"/>
            <w:tcBorders>
              <w:top w:val="single" w:color="000000" w:sz="4" w:space="0"/>
              <w:left w:val="nil"/>
              <w:bottom w:val="single" w:color="000000" w:sz="4" w:space="0"/>
              <w:right w:val="single" w:color="000000" w:sz="4" w:space="0"/>
            </w:tcBorders>
            <w:noWrap w:val="0"/>
            <w:vAlign w:val="center"/>
          </w:tcPr>
          <w:p w14:paraId="5DBA27FA">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组织机构设置</w:t>
            </w:r>
            <w:r>
              <w:rPr>
                <w:rFonts w:hint="eastAsia" w:ascii="仿宋" w:hAnsi="仿宋" w:eastAsia="仿宋" w:cs="仿宋"/>
                <w:color w:val="auto"/>
                <w:sz w:val="24"/>
                <w:szCs w:val="24"/>
                <w:lang w:val="en-US" w:eastAsia="zh-CN"/>
              </w:rPr>
              <w:t>10</w:t>
            </w:r>
          </w:p>
        </w:tc>
        <w:tc>
          <w:tcPr>
            <w:tcW w:w="6570" w:type="dxa"/>
            <w:tcBorders>
              <w:top w:val="single" w:color="000000" w:sz="4" w:space="0"/>
              <w:left w:val="nil"/>
              <w:bottom w:val="single" w:color="000000" w:sz="4" w:space="0"/>
              <w:right w:val="single" w:color="000000" w:sz="4" w:space="0"/>
            </w:tcBorders>
            <w:noWrap w:val="0"/>
            <w:vAlign w:val="center"/>
          </w:tcPr>
          <w:p w14:paraId="4B29418E">
            <w:pPr>
              <w:keepNext w:val="0"/>
              <w:keepLines w:val="0"/>
              <w:pageBreakBefore w:val="0"/>
              <w:widowControl/>
              <w:kinsoku/>
              <w:wordWrap/>
              <w:overflowPunct/>
              <w:topLinePunct w:val="0"/>
              <w:autoSpaceDE w:val="0"/>
              <w:autoSpaceDN w:val="0"/>
              <w:bidi w:val="0"/>
              <w:adjustRightInd w:val="0"/>
              <w:snapToGrid/>
              <w:spacing w:line="300" w:lineRule="exact"/>
              <w:ind w:firstLine="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一、评审内容</w:t>
            </w:r>
          </w:p>
          <w:p w14:paraId="05EC209D">
            <w:pPr>
              <w:keepNext w:val="0"/>
              <w:keepLines w:val="0"/>
              <w:pageBreakBefore w:val="0"/>
              <w:widowControl/>
              <w:kinsoku/>
              <w:wordWrap/>
              <w:overflowPunct/>
              <w:topLinePunct w:val="0"/>
              <w:autoSpaceDE w:val="0"/>
              <w:autoSpaceDN w:val="0"/>
              <w:bidi w:val="0"/>
              <w:adjustRightInd w:val="0"/>
              <w:snapToGrid/>
              <w:spacing w:line="300" w:lineRule="exact"/>
              <w:ind w:firstLine="0" w:firstLineChars="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响应人提供本项目组织机构设置，包括：①公司组织机构设置；②项目组织机构设置；③拟派人员情况；④拟派人员分工情况。</w:t>
            </w:r>
          </w:p>
          <w:p w14:paraId="1AE104AE">
            <w:pPr>
              <w:keepNext w:val="0"/>
              <w:keepLines w:val="0"/>
              <w:pageBreakBefore w:val="0"/>
              <w:widowControl/>
              <w:kinsoku/>
              <w:wordWrap/>
              <w:overflowPunct/>
              <w:topLinePunct w:val="0"/>
              <w:autoSpaceDE w:val="0"/>
              <w:autoSpaceDN w:val="0"/>
              <w:bidi w:val="0"/>
              <w:adjustRightInd w:val="0"/>
              <w:snapToGrid/>
              <w:spacing w:line="300" w:lineRule="exact"/>
              <w:ind w:firstLine="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二、赋分标准</w:t>
            </w:r>
          </w:p>
          <w:p w14:paraId="26EE5449">
            <w:pPr>
              <w:keepNext w:val="0"/>
              <w:keepLines w:val="0"/>
              <w:pageBreakBefore w:val="0"/>
              <w:widowControl/>
              <w:kinsoku/>
              <w:wordWrap/>
              <w:overflowPunct/>
              <w:topLinePunct w:val="0"/>
              <w:autoSpaceDE w:val="0"/>
              <w:autoSpaceDN w:val="0"/>
              <w:bidi w:val="0"/>
              <w:adjustRightInd w:val="0"/>
              <w:snapToGrid/>
              <w:spacing w:line="300" w:lineRule="exact"/>
              <w:ind w:firstLine="0" w:firstLineChars="0"/>
              <w:textAlignment w:val="auto"/>
              <w:rPr>
                <w:rFonts w:hint="eastAsia" w:ascii="仿宋" w:hAnsi="仿宋" w:eastAsia="仿宋_GB2312" w:cs="仿宋"/>
                <w:color w:val="auto"/>
                <w:kern w:val="0"/>
                <w:sz w:val="24"/>
                <w:szCs w:val="24"/>
                <w:lang w:val="en-US" w:eastAsia="zh-CN" w:bidi="ar"/>
              </w:rPr>
            </w:pPr>
            <w:r>
              <w:rPr>
                <w:rFonts w:hint="eastAsia" w:ascii="仿宋" w:hAnsi="仿宋" w:eastAsia="仿宋" w:cs="仿宋"/>
                <w:color w:val="auto"/>
                <w:sz w:val="24"/>
                <w:szCs w:val="24"/>
                <w:lang w:val="en-US" w:eastAsia="zh-CN"/>
              </w:rPr>
              <w:t>1、完整性：方案内容完整全面，对上述各项内容均有详细描述及说明，得4分；</w:t>
            </w:r>
            <w:r>
              <w:rPr>
                <w:rFonts w:hint="eastAsia" w:ascii="仿宋" w:hAnsi="仿宋" w:eastAsia="仿宋_GB2312" w:cs="仿宋"/>
                <w:color w:val="auto"/>
                <w:kern w:val="0"/>
                <w:sz w:val="24"/>
                <w:szCs w:val="24"/>
                <w:lang w:val="en-US" w:eastAsia="zh-CN" w:bidi="ar"/>
              </w:rPr>
              <w:t>每缺1项，扣1分；不提供不得分</w:t>
            </w:r>
          </w:p>
          <w:p w14:paraId="565313AB">
            <w:pPr>
              <w:keepNext w:val="0"/>
              <w:keepLines w:val="0"/>
              <w:pageBreakBefore w:val="0"/>
              <w:widowControl/>
              <w:kinsoku/>
              <w:wordWrap/>
              <w:overflowPunct/>
              <w:topLinePunct w:val="0"/>
              <w:autoSpaceDE w:val="0"/>
              <w:autoSpaceDN w:val="0"/>
              <w:bidi w:val="0"/>
              <w:adjustRightInd w:val="0"/>
              <w:snapToGrid/>
              <w:spacing w:line="3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2、针对性：针对性强，得3分；针对性一般，得1.5分；缺乏针对性，得0分。</w:t>
            </w:r>
          </w:p>
          <w:p w14:paraId="400F83BB">
            <w:pPr>
              <w:keepNext w:val="0"/>
              <w:keepLines w:val="0"/>
              <w:pageBreakBefore w:val="0"/>
              <w:widowControl/>
              <w:kinsoku/>
              <w:wordWrap/>
              <w:overflowPunct/>
              <w:topLinePunct w:val="0"/>
              <w:autoSpaceDE w:val="0"/>
              <w:autoSpaceDN w:val="0"/>
              <w:bidi w:val="0"/>
              <w:adjustRightInd w:val="0"/>
              <w:snapToGrid/>
              <w:spacing w:line="3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3、可实施性：可实施性强，得3分；可实施性一般，得1.5分；缺乏可实施性，得0分。</w:t>
            </w:r>
          </w:p>
          <w:p w14:paraId="5B75DD25">
            <w:pPr>
              <w:keepNext w:val="0"/>
              <w:keepLines w:val="0"/>
              <w:pageBreakBefore w:val="0"/>
              <w:widowControl/>
              <w:kinsoku/>
              <w:wordWrap/>
              <w:overflowPunct/>
              <w:topLinePunct w:val="0"/>
              <w:autoSpaceDE w:val="0"/>
              <w:autoSpaceDN w:val="0"/>
              <w:bidi w:val="0"/>
              <w:adjustRightInd w:val="0"/>
              <w:snapToGrid/>
              <w:spacing w:line="30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4、此项不提供不得分。</w:t>
            </w:r>
          </w:p>
        </w:tc>
        <w:tc>
          <w:tcPr>
            <w:tcW w:w="1170" w:type="dxa"/>
            <w:vMerge w:val="continue"/>
            <w:tcBorders>
              <w:top w:val="single" w:color="auto" w:sz="4" w:space="0"/>
              <w:left w:val="nil"/>
              <w:bottom w:val="single" w:color="auto" w:sz="4" w:space="0"/>
              <w:right w:val="single" w:color="000000" w:sz="4" w:space="0"/>
            </w:tcBorders>
            <w:noWrap w:val="0"/>
            <w:vAlign w:val="center"/>
          </w:tcPr>
          <w:p w14:paraId="04B3F868">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rPr>
            </w:pPr>
          </w:p>
        </w:tc>
      </w:tr>
      <w:tr w14:paraId="5E6272AE">
        <w:tblPrEx>
          <w:tblCellMar>
            <w:top w:w="0" w:type="dxa"/>
            <w:left w:w="108" w:type="dxa"/>
            <w:bottom w:w="0" w:type="dxa"/>
            <w:right w:w="108" w:type="dxa"/>
          </w:tblCellMar>
        </w:tblPrEx>
        <w:trPr>
          <w:trHeight w:val="385" w:hRule="atLeast"/>
        </w:trPr>
        <w:tc>
          <w:tcPr>
            <w:tcW w:w="565" w:type="dxa"/>
            <w:vMerge w:val="continue"/>
            <w:tcBorders>
              <w:top w:val="single" w:color="auto" w:sz="4" w:space="0"/>
              <w:left w:val="single" w:color="000000" w:sz="4" w:space="0"/>
              <w:bottom w:val="single" w:color="auto" w:sz="4" w:space="0"/>
              <w:right w:val="single" w:color="000000" w:sz="4" w:space="0"/>
            </w:tcBorders>
            <w:noWrap w:val="0"/>
            <w:vAlign w:val="center"/>
          </w:tcPr>
          <w:p w14:paraId="7EAE0E50">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p>
        </w:tc>
        <w:tc>
          <w:tcPr>
            <w:tcW w:w="630" w:type="dxa"/>
            <w:vMerge w:val="continue"/>
            <w:tcBorders>
              <w:top w:val="single" w:color="auto" w:sz="4" w:space="0"/>
              <w:left w:val="nil"/>
              <w:bottom w:val="single" w:color="auto" w:sz="4" w:space="0"/>
              <w:right w:val="single" w:color="000000" w:sz="4" w:space="0"/>
            </w:tcBorders>
            <w:noWrap w:val="0"/>
            <w:vAlign w:val="center"/>
          </w:tcPr>
          <w:p w14:paraId="7662499C">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p>
        </w:tc>
        <w:tc>
          <w:tcPr>
            <w:tcW w:w="765" w:type="dxa"/>
            <w:tcBorders>
              <w:top w:val="single" w:color="auto" w:sz="4" w:space="0"/>
              <w:left w:val="nil"/>
              <w:bottom w:val="single" w:color="auto" w:sz="4" w:space="0"/>
              <w:right w:val="single" w:color="000000" w:sz="4" w:space="0"/>
            </w:tcBorders>
            <w:noWrap w:val="0"/>
            <w:vAlign w:val="center"/>
          </w:tcPr>
          <w:p w14:paraId="498EA5E9">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管理</w:t>
            </w:r>
          </w:p>
          <w:p w14:paraId="44C4E00B">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制度</w:t>
            </w:r>
          </w:p>
          <w:p w14:paraId="6B81D420">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9</w:t>
            </w:r>
          </w:p>
        </w:tc>
        <w:tc>
          <w:tcPr>
            <w:tcW w:w="6570" w:type="dxa"/>
            <w:tcBorders>
              <w:top w:val="single" w:color="auto" w:sz="4" w:space="0"/>
              <w:left w:val="nil"/>
              <w:bottom w:val="single" w:color="auto" w:sz="4" w:space="0"/>
              <w:right w:val="single" w:color="000000" w:sz="4" w:space="0"/>
            </w:tcBorders>
            <w:noWrap w:val="0"/>
            <w:vAlign w:val="center"/>
          </w:tcPr>
          <w:p w14:paraId="48255847">
            <w:pPr>
              <w:keepNext w:val="0"/>
              <w:keepLines w:val="0"/>
              <w:pageBreakBefore w:val="0"/>
              <w:widowControl/>
              <w:kinsoku/>
              <w:wordWrap/>
              <w:overflowPunct/>
              <w:topLinePunct w:val="0"/>
              <w:autoSpaceDE w:val="0"/>
              <w:autoSpaceDN w:val="0"/>
              <w:bidi w:val="0"/>
              <w:adjustRightInd w:val="0"/>
              <w:snapToGrid/>
              <w:spacing w:line="300" w:lineRule="exact"/>
              <w:ind w:firstLine="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一、评审内容</w:t>
            </w:r>
          </w:p>
          <w:p w14:paraId="60E14C6D">
            <w:pPr>
              <w:keepNext w:val="0"/>
              <w:keepLines w:val="0"/>
              <w:pageBreakBefore w:val="0"/>
              <w:widowControl/>
              <w:kinsoku/>
              <w:wordWrap/>
              <w:overflowPunct/>
              <w:topLinePunct w:val="0"/>
              <w:autoSpaceDE w:val="0"/>
              <w:autoSpaceDN w:val="0"/>
              <w:bidi w:val="0"/>
              <w:adjustRightInd w:val="0"/>
              <w:snapToGrid/>
              <w:spacing w:line="3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针对本项目管理制度，①工作制度：岗位工作职责、服务质量标准、工作记录及档案管理制度；②内控制度：服务质量监督考核办法、奖惩制度、问责机制；③人员制度：人员考勤及请销假制度、仪容仪表制度、人员培训制度。</w:t>
            </w:r>
          </w:p>
          <w:p w14:paraId="32611509">
            <w:pPr>
              <w:keepNext w:val="0"/>
              <w:keepLines w:val="0"/>
              <w:pageBreakBefore w:val="0"/>
              <w:widowControl/>
              <w:kinsoku/>
              <w:wordWrap/>
              <w:overflowPunct/>
              <w:topLinePunct w:val="0"/>
              <w:autoSpaceDE w:val="0"/>
              <w:autoSpaceDN w:val="0"/>
              <w:bidi w:val="0"/>
              <w:adjustRightInd w:val="0"/>
              <w:snapToGrid/>
              <w:spacing w:line="300" w:lineRule="exact"/>
              <w:ind w:firstLine="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二、赋分标准</w:t>
            </w:r>
          </w:p>
          <w:p w14:paraId="64CC2FC3">
            <w:pPr>
              <w:keepNext w:val="0"/>
              <w:keepLines w:val="0"/>
              <w:pageBreakBefore w:val="0"/>
              <w:widowControl/>
              <w:kinsoku/>
              <w:wordWrap/>
              <w:overflowPunct/>
              <w:topLinePunct w:val="0"/>
              <w:autoSpaceDE w:val="0"/>
              <w:autoSpaceDN w:val="0"/>
              <w:bidi w:val="0"/>
              <w:adjustRightInd w:val="0"/>
              <w:snapToGrid/>
              <w:spacing w:line="3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1、完整性：方案内容完整全面，对上述各项内容均有详细描述及说明，得3分；</w:t>
            </w:r>
            <w:r>
              <w:rPr>
                <w:rFonts w:hint="eastAsia" w:ascii="仿宋" w:hAnsi="仿宋" w:eastAsia="仿宋_GB2312" w:cs="仿宋"/>
                <w:color w:val="auto"/>
                <w:kern w:val="0"/>
                <w:sz w:val="24"/>
                <w:szCs w:val="24"/>
                <w:lang w:val="en-US" w:eastAsia="zh-CN" w:bidi="ar"/>
              </w:rPr>
              <w:t>每缺1项，扣1分；不提供不得分</w:t>
            </w:r>
          </w:p>
          <w:p w14:paraId="44A53866">
            <w:pPr>
              <w:keepNext w:val="0"/>
              <w:keepLines w:val="0"/>
              <w:pageBreakBefore w:val="0"/>
              <w:widowControl/>
              <w:kinsoku/>
              <w:wordWrap/>
              <w:overflowPunct/>
              <w:topLinePunct w:val="0"/>
              <w:autoSpaceDE w:val="0"/>
              <w:autoSpaceDN w:val="0"/>
              <w:bidi w:val="0"/>
              <w:adjustRightInd w:val="0"/>
              <w:snapToGrid/>
              <w:spacing w:line="3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2、针对性：针对性强，得3分；针对性一般，得1.5分；缺乏针对性，得0分。</w:t>
            </w:r>
          </w:p>
          <w:p w14:paraId="6EBBFF54">
            <w:pPr>
              <w:keepNext w:val="0"/>
              <w:keepLines w:val="0"/>
              <w:pageBreakBefore w:val="0"/>
              <w:widowControl/>
              <w:kinsoku/>
              <w:wordWrap/>
              <w:overflowPunct/>
              <w:topLinePunct w:val="0"/>
              <w:autoSpaceDE w:val="0"/>
              <w:autoSpaceDN w:val="0"/>
              <w:bidi w:val="0"/>
              <w:adjustRightInd w:val="0"/>
              <w:snapToGrid/>
              <w:spacing w:line="3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3、可实施性：可实施性强，得3分；可实施性一般，得1.5分；缺乏可实施性，得0分。</w:t>
            </w:r>
          </w:p>
          <w:p w14:paraId="3527EDB2">
            <w:pPr>
              <w:keepNext w:val="0"/>
              <w:keepLines w:val="0"/>
              <w:pageBreakBefore w:val="0"/>
              <w:widowControl/>
              <w:kinsoku/>
              <w:wordWrap/>
              <w:overflowPunct/>
              <w:topLinePunct w:val="0"/>
              <w:autoSpaceDE w:val="0"/>
              <w:autoSpaceDN w:val="0"/>
              <w:bidi w:val="0"/>
              <w:adjustRightInd w:val="0"/>
              <w:snapToGrid/>
              <w:spacing w:line="30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4、此项不提供不得分。</w:t>
            </w:r>
          </w:p>
        </w:tc>
        <w:tc>
          <w:tcPr>
            <w:tcW w:w="1170" w:type="dxa"/>
            <w:vMerge w:val="continue"/>
            <w:tcBorders>
              <w:top w:val="single" w:color="auto" w:sz="4" w:space="0"/>
              <w:left w:val="nil"/>
              <w:bottom w:val="single" w:color="auto" w:sz="4" w:space="0"/>
              <w:right w:val="single" w:color="000000" w:sz="4" w:space="0"/>
            </w:tcBorders>
            <w:noWrap w:val="0"/>
            <w:vAlign w:val="center"/>
          </w:tcPr>
          <w:p w14:paraId="2AE90C91">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rPr>
            </w:pPr>
          </w:p>
        </w:tc>
      </w:tr>
      <w:tr w14:paraId="448408AE">
        <w:tblPrEx>
          <w:tblCellMar>
            <w:top w:w="0" w:type="dxa"/>
            <w:left w:w="108" w:type="dxa"/>
            <w:bottom w:w="0" w:type="dxa"/>
            <w:right w:w="108" w:type="dxa"/>
          </w:tblCellMar>
        </w:tblPrEx>
        <w:trPr>
          <w:trHeight w:val="1788" w:hRule="atLeast"/>
        </w:trPr>
        <w:tc>
          <w:tcPr>
            <w:tcW w:w="565" w:type="dxa"/>
            <w:vMerge w:val="continue"/>
            <w:tcBorders>
              <w:top w:val="single" w:color="auto" w:sz="4" w:space="0"/>
              <w:left w:val="single" w:color="000000" w:sz="4" w:space="0"/>
              <w:bottom w:val="single" w:color="auto" w:sz="4" w:space="0"/>
              <w:right w:val="single" w:color="000000" w:sz="4" w:space="0"/>
            </w:tcBorders>
            <w:noWrap w:val="0"/>
            <w:vAlign w:val="center"/>
          </w:tcPr>
          <w:p w14:paraId="6FBC0B08">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p>
        </w:tc>
        <w:tc>
          <w:tcPr>
            <w:tcW w:w="630" w:type="dxa"/>
            <w:vMerge w:val="continue"/>
            <w:tcBorders>
              <w:top w:val="single" w:color="auto" w:sz="4" w:space="0"/>
              <w:left w:val="nil"/>
              <w:bottom w:val="single" w:color="auto" w:sz="4" w:space="0"/>
              <w:right w:val="single" w:color="000000" w:sz="4" w:space="0"/>
            </w:tcBorders>
            <w:noWrap w:val="0"/>
            <w:vAlign w:val="center"/>
          </w:tcPr>
          <w:p w14:paraId="41F8609C">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p>
        </w:tc>
        <w:tc>
          <w:tcPr>
            <w:tcW w:w="765" w:type="dxa"/>
            <w:tcBorders>
              <w:top w:val="single" w:color="auto" w:sz="4" w:space="0"/>
              <w:left w:val="nil"/>
              <w:bottom w:val="single" w:color="auto" w:sz="4" w:space="0"/>
              <w:right w:val="single" w:color="000000" w:sz="4" w:space="0"/>
            </w:tcBorders>
            <w:noWrap w:val="0"/>
            <w:vAlign w:val="center"/>
          </w:tcPr>
          <w:p w14:paraId="1A86E64E">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_GB2312" w:cs="仿宋"/>
                <w:color w:val="auto"/>
                <w:sz w:val="24"/>
                <w:szCs w:val="24"/>
                <w:lang w:val="en-US" w:eastAsia="zh-CN"/>
              </w:rPr>
            </w:pPr>
            <w:r>
              <w:rPr>
                <w:rFonts w:hint="eastAsia" w:ascii="仿宋" w:hAnsi="仿宋" w:eastAsia="仿宋_GB2312" w:cs="仿宋"/>
                <w:color w:val="auto"/>
                <w:sz w:val="24"/>
                <w:szCs w:val="24"/>
                <w:lang w:val="en-US" w:eastAsia="zh-CN"/>
              </w:rPr>
              <w:t>安保、监控服务方案</w:t>
            </w:r>
          </w:p>
          <w:p w14:paraId="7B8F010F">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_GB2312" w:cs="仿宋"/>
                <w:color w:val="auto"/>
                <w:sz w:val="24"/>
                <w:szCs w:val="24"/>
                <w:lang w:val="en-US" w:eastAsia="zh-CN"/>
              </w:rPr>
              <w:t>8</w:t>
            </w:r>
          </w:p>
        </w:tc>
        <w:tc>
          <w:tcPr>
            <w:tcW w:w="6570" w:type="dxa"/>
            <w:tcBorders>
              <w:top w:val="single" w:color="auto" w:sz="4" w:space="0"/>
              <w:left w:val="nil"/>
              <w:bottom w:val="single" w:color="auto" w:sz="4" w:space="0"/>
              <w:right w:val="single" w:color="000000" w:sz="4" w:space="0"/>
            </w:tcBorders>
            <w:noWrap w:val="0"/>
            <w:vAlign w:val="center"/>
          </w:tcPr>
          <w:p w14:paraId="53DA1688">
            <w:pPr>
              <w:keepNext w:val="0"/>
              <w:keepLines w:val="0"/>
              <w:pageBreakBefore w:val="0"/>
              <w:widowControl/>
              <w:numPr>
                <w:ilvl w:val="0"/>
                <w:numId w:val="0"/>
              </w:numPr>
              <w:kinsoku/>
              <w:wordWrap/>
              <w:overflowPunct/>
              <w:topLinePunct w:val="0"/>
              <w:autoSpaceDE w:val="0"/>
              <w:autoSpaceDN w:val="0"/>
              <w:bidi w:val="0"/>
              <w:adjustRightInd w:val="0"/>
              <w:spacing w:line="300" w:lineRule="exact"/>
              <w:ind w:firstLine="0" w:firstLineChars="0"/>
              <w:textAlignment w:val="auto"/>
              <w:rPr>
                <w:rFonts w:hint="eastAsia" w:ascii="仿宋" w:hAnsi="仿宋" w:eastAsia="仿宋_GB2312" w:cs="仿宋"/>
                <w:color w:val="auto"/>
                <w:sz w:val="24"/>
                <w:szCs w:val="24"/>
              </w:rPr>
            </w:pPr>
            <w:r>
              <w:rPr>
                <w:rFonts w:hint="eastAsia" w:ascii="仿宋" w:hAnsi="仿宋" w:eastAsia="仿宋_GB2312" w:cs="仿宋"/>
                <w:b/>
                <w:bCs/>
                <w:color w:val="auto"/>
                <w:sz w:val="24"/>
                <w:szCs w:val="24"/>
                <w:lang w:val="en-US" w:eastAsia="zh-CN"/>
              </w:rPr>
              <w:t>一、评审内容;</w:t>
            </w:r>
            <w:r>
              <w:rPr>
                <w:rFonts w:hint="eastAsia" w:ascii="仿宋" w:hAnsi="仿宋" w:eastAsia="仿宋_GB2312" w:cs="仿宋"/>
                <w:color w:val="auto"/>
                <w:sz w:val="24"/>
                <w:szCs w:val="24"/>
              </w:rPr>
              <w:t>针对本项目提出安保、监控服务方案，包括：①门岗、监控室的执勤；②秩序维护；③</w:t>
            </w:r>
            <w:r>
              <w:rPr>
                <w:rFonts w:hint="eastAsia" w:ascii="仿宋" w:hAnsi="仿宋" w:eastAsia="仿宋" w:cs="仿宋"/>
                <w:color w:val="auto"/>
                <w:sz w:val="24"/>
                <w:szCs w:val="24"/>
                <w:lang w:val="en-US" w:eastAsia="zh-CN"/>
              </w:rPr>
              <w:t>巡逻检查重点及巡逻检查操作规范</w:t>
            </w:r>
            <w:r>
              <w:rPr>
                <w:rFonts w:hint="eastAsia" w:ascii="仿宋" w:hAnsi="仿宋" w:eastAsia="仿宋_GB2312" w:cs="仿宋"/>
                <w:color w:val="auto"/>
                <w:sz w:val="24"/>
                <w:szCs w:val="24"/>
              </w:rPr>
              <w:t>；④安防监控设备使用及维护。</w:t>
            </w:r>
          </w:p>
          <w:p w14:paraId="49023277">
            <w:pPr>
              <w:keepNext w:val="0"/>
              <w:keepLines w:val="0"/>
              <w:pageBreakBefore w:val="0"/>
              <w:widowControl/>
              <w:numPr>
                <w:ilvl w:val="0"/>
                <w:numId w:val="0"/>
              </w:numPr>
              <w:kinsoku/>
              <w:wordWrap/>
              <w:overflowPunct/>
              <w:topLinePunct w:val="0"/>
              <w:autoSpaceDE w:val="0"/>
              <w:autoSpaceDN w:val="0"/>
              <w:bidi w:val="0"/>
              <w:adjustRightInd w:val="0"/>
              <w:spacing w:line="300" w:lineRule="exact"/>
              <w:ind w:firstLine="0" w:firstLineChars="0"/>
              <w:textAlignment w:val="auto"/>
              <w:rPr>
                <w:rFonts w:hint="eastAsia" w:ascii="仿宋" w:hAnsi="仿宋" w:eastAsia="仿宋_GB2312" w:cs="仿宋"/>
                <w:b/>
                <w:bCs/>
                <w:color w:val="auto"/>
                <w:sz w:val="24"/>
                <w:szCs w:val="24"/>
              </w:rPr>
            </w:pPr>
            <w:r>
              <w:rPr>
                <w:rFonts w:hint="eastAsia" w:ascii="仿宋" w:hAnsi="仿宋" w:eastAsia="仿宋_GB2312" w:cs="仿宋"/>
                <w:b/>
                <w:bCs/>
                <w:color w:val="auto"/>
                <w:sz w:val="24"/>
                <w:szCs w:val="24"/>
              </w:rPr>
              <w:t>二、评审标准:</w:t>
            </w:r>
          </w:p>
          <w:p w14:paraId="0AABFEBA">
            <w:pPr>
              <w:keepNext w:val="0"/>
              <w:keepLines w:val="0"/>
              <w:pageBreakBefore w:val="0"/>
              <w:widowControl/>
              <w:numPr>
                <w:ilvl w:val="0"/>
                <w:numId w:val="0"/>
              </w:numPr>
              <w:kinsoku/>
              <w:wordWrap/>
              <w:overflowPunct/>
              <w:topLinePunct w:val="0"/>
              <w:autoSpaceDE w:val="0"/>
              <w:autoSpaceDN w:val="0"/>
              <w:bidi w:val="0"/>
              <w:adjustRightInd w:val="0"/>
              <w:spacing w:line="300" w:lineRule="exact"/>
              <w:ind w:firstLine="0" w:firstLineChars="0"/>
              <w:textAlignment w:val="auto"/>
              <w:rPr>
                <w:rFonts w:hint="eastAsia" w:ascii="仿宋" w:hAnsi="仿宋" w:eastAsia="仿宋_GB2312" w:cs="仿宋"/>
                <w:color w:val="auto"/>
                <w:sz w:val="24"/>
                <w:szCs w:val="24"/>
              </w:rPr>
            </w:pPr>
            <w:r>
              <w:rPr>
                <w:rFonts w:hint="eastAsia" w:ascii="仿宋" w:hAnsi="仿宋" w:eastAsia="仿宋_GB2312" w:cs="仿宋"/>
                <w:color w:val="auto"/>
                <w:sz w:val="24"/>
                <w:szCs w:val="24"/>
              </w:rPr>
              <w:t>1、完整性：方案内容完整全面，对上述各项内容均有详细描述及说明，得</w:t>
            </w:r>
            <w:r>
              <w:rPr>
                <w:rFonts w:hint="eastAsia" w:ascii="仿宋" w:hAnsi="仿宋" w:eastAsia="仿宋_GB2312" w:cs="仿宋"/>
                <w:color w:val="auto"/>
                <w:sz w:val="24"/>
                <w:szCs w:val="24"/>
                <w:lang w:val="en-US" w:eastAsia="zh-CN"/>
              </w:rPr>
              <w:t>4</w:t>
            </w:r>
            <w:r>
              <w:rPr>
                <w:rFonts w:hint="eastAsia" w:ascii="仿宋" w:hAnsi="仿宋" w:eastAsia="仿宋_GB2312" w:cs="仿宋"/>
                <w:color w:val="auto"/>
                <w:sz w:val="24"/>
                <w:szCs w:val="24"/>
              </w:rPr>
              <w:t>分；每缺1项，扣</w:t>
            </w:r>
            <w:r>
              <w:rPr>
                <w:rFonts w:hint="eastAsia" w:ascii="仿宋" w:hAnsi="仿宋" w:eastAsia="仿宋_GB2312" w:cs="仿宋"/>
                <w:color w:val="auto"/>
                <w:sz w:val="24"/>
                <w:szCs w:val="24"/>
                <w:lang w:val="en-US" w:eastAsia="zh-CN"/>
              </w:rPr>
              <w:t>1</w:t>
            </w:r>
            <w:r>
              <w:rPr>
                <w:rFonts w:hint="eastAsia" w:ascii="仿宋" w:hAnsi="仿宋" w:eastAsia="仿宋_GB2312" w:cs="仿宋"/>
                <w:color w:val="auto"/>
                <w:sz w:val="24"/>
                <w:szCs w:val="24"/>
              </w:rPr>
              <w:t>分；不提供不得分。</w:t>
            </w:r>
          </w:p>
          <w:p w14:paraId="0E5C1D2C">
            <w:pPr>
              <w:keepNext w:val="0"/>
              <w:keepLines w:val="0"/>
              <w:pageBreakBefore w:val="0"/>
              <w:widowControl/>
              <w:numPr>
                <w:ilvl w:val="0"/>
                <w:numId w:val="0"/>
              </w:numPr>
              <w:kinsoku/>
              <w:wordWrap/>
              <w:overflowPunct/>
              <w:topLinePunct w:val="0"/>
              <w:autoSpaceDE w:val="0"/>
              <w:autoSpaceDN w:val="0"/>
              <w:bidi w:val="0"/>
              <w:adjustRightInd w:val="0"/>
              <w:spacing w:line="300" w:lineRule="exact"/>
              <w:ind w:firstLine="0" w:firstLineChars="0"/>
              <w:textAlignment w:val="auto"/>
              <w:rPr>
                <w:rFonts w:hint="eastAsia" w:ascii="仿宋" w:hAnsi="仿宋" w:eastAsia="仿宋_GB2312" w:cs="仿宋"/>
                <w:color w:val="auto"/>
                <w:sz w:val="24"/>
                <w:szCs w:val="24"/>
              </w:rPr>
            </w:pPr>
            <w:r>
              <w:rPr>
                <w:rFonts w:hint="eastAsia" w:ascii="仿宋" w:hAnsi="仿宋" w:eastAsia="仿宋_GB2312" w:cs="仿宋"/>
                <w:color w:val="auto"/>
                <w:sz w:val="24"/>
                <w:szCs w:val="24"/>
              </w:rPr>
              <w:t>2、针对性：针对性强，得</w:t>
            </w:r>
            <w:r>
              <w:rPr>
                <w:rFonts w:hint="eastAsia" w:ascii="仿宋" w:hAnsi="仿宋" w:eastAsia="仿宋_GB2312" w:cs="仿宋"/>
                <w:color w:val="auto"/>
                <w:sz w:val="24"/>
                <w:szCs w:val="24"/>
                <w:lang w:val="en-US" w:eastAsia="zh-CN"/>
              </w:rPr>
              <w:t>2</w:t>
            </w:r>
            <w:r>
              <w:rPr>
                <w:rFonts w:hint="eastAsia" w:ascii="仿宋" w:hAnsi="仿宋" w:eastAsia="仿宋_GB2312" w:cs="仿宋"/>
                <w:color w:val="auto"/>
                <w:sz w:val="24"/>
                <w:szCs w:val="24"/>
              </w:rPr>
              <w:t>分；针对性一般，得</w:t>
            </w:r>
            <w:r>
              <w:rPr>
                <w:rFonts w:hint="eastAsia" w:ascii="仿宋" w:hAnsi="仿宋" w:eastAsia="仿宋_GB2312" w:cs="仿宋"/>
                <w:color w:val="auto"/>
                <w:sz w:val="24"/>
                <w:szCs w:val="24"/>
                <w:lang w:val="en-US" w:eastAsia="zh-CN"/>
              </w:rPr>
              <w:t>1</w:t>
            </w:r>
            <w:r>
              <w:rPr>
                <w:rFonts w:hint="eastAsia" w:ascii="仿宋" w:hAnsi="仿宋" w:eastAsia="仿宋_GB2312" w:cs="仿宋"/>
                <w:color w:val="auto"/>
                <w:sz w:val="24"/>
                <w:szCs w:val="24"/>
              </w:rPr>
              <w:t>分；缺乏针对性，得0分。</w:t>
            </w:r>
          </w:p>
          <w:p w14:paraId="62837B3F">
            <w:pPr>
              <w:keepNext w:val="0"/>
              <w:keepLines w:val="0"/>
              <w:pageBreakBefore w:val="0"/>
              <w:widowControl/>
              <w:numPr>
                <w:ilvl w:val="0"/>
                <w:numId w:val="0"/>
              </w:numPr>
              <w:kinsoku/>
              <w:wordWrap/>
              <w:overflowPunct/>
              <w:topLinePunct w:val="0"/>
              <w:autoSpaceDE w:val="0"/>
              <w:autoSpaceDN w:val="0"/>
              <w:bidi w:val="0"/>
              <w:adjustRightInd w:val="0"/>
              <w:spacing w:line="300" w:lineRule="exact"/>
              <w:ind w:firstLine="0" w:firstLineChars="0"/>
              <w:textAlignment w:val="auto"/>
              <w:rPr>
                <w:rFonts w:hint="eastAsia" w:ascii="仿宋" w:hAnsi="仿宋" w:eastAsia="仿宋_GB2312" w:cs="仿宋"/>
                <w:color w:val="auto"/>
                <w:sz w:val="24"/>
                <w:szCs w:val="24"/>
              </w:rPr>
            </w:pPr>
            <w:r>
              <w:rPr>
                <w:rFonts w:hint="eastAsia" w:ascii="仿宋" w:hAnsi="仿宋" w:eastAsia="仿宋_GB2312" w:cs="仿宋"/>
                <w:color w:val="auto"/>
                <w:sz w:val="24"/>
                <w:szCs w:val="24"/>
              </w:rPr>
              <w:t>3、可实施性：可实施性强，得</w:t>
            </w:r>
            <w:r>
              <w:rPr>
                <w:rFonts w:hint="eastAsia" w:ascii="仿宋" w:hAnsi="仿宋" w:eastAsia="仿宋_GB2312" w:cs="仿宋"/>
                <w:color w:val="auto"/>
                <w:sz w:val="24"/>
                <w:szCs w:val="24"/>
                <w:lang w:val="en-US" w:eastAsia="zh-CN"/>
              </w:rPr>
              <w:t>2</w:t>
            </w:r>
            <w:r>
              <w:rPr>
                <w:rFonts w:hint="eastAsia" w:ascii="仿宋" w:hAnsi="仿宋" w:eastAsia="仿宋_GB2312" w:cs="仿宋"/>
                <w:color w:val="auto"/>
                <w:sz w:val="24"/>
                <w:szCs w:val="24"/>
              </w:rPr>
              <w:t>分；可实施性一般，得</w:t>
            </w:r>
            <w:r>
              <w:rPr>
                <w:rFonts w:hint="eastAsia" w:ascii="仿宋" w:hAnsi="仿宋" w:eastAsia="仿宋_GB2312" w:cs="仿宋"/>
                <w:color w:val="auto"/>
                <w:sz w:val="24"/>
                <w:szCs w:val="24"/>
                <w:lang w:val="en-US" w:eastAsia="zh-CN"/>
              </w:rPr>
              <w:t>1</w:t>
            </w:r>
            <w:r>
              <w:rPr>
                <w:rFonts w:hint="eastAsia" w:ascii="仿宋" w:hAnsi="仿宋" w:eastAsia="仿宋_GB2312" w:cs="仿宋"/>
                <w:color w:val="auto"/>
                <w:sz w:val="24"/>
                <w:szCs w:val="24"/>
              </w:rPr>
              <w:t>分；缺乏可实施性，得0分。</w:t>
            </w:r>
          </w:p>
          <w:p w14:paraId="0D26F20E">
            <w:pPr>
              <w:keepNext w:val="0"/>
              <w:keepLines w:val="0"/>
              <w:pageBreakBefore w:val="0"/>
              <w:widowControl/>
              <w:numPr>
                <w:ilvl w:val="0"/>
                <w:numId w:val="0"/>
              </w:numPr>
              <w:kinsoku/>
              <w:wordWrap/>
              <w:overflowPunct/>
              <w:topLinePunct w:val="0"/>
              <w:autoSpaceDE w:val="0"/>
              <w:autoSpaceDN w:val="0"/>
              <w:bidi w:val="0"/>
              <w:adjustRightInd w:val="0"/>
              <w:spacing w:line="280" w:lineRule="exact"/>
              <w:ind w:firstLine="0" w:firstLineChars="0"/>
              <w:textAlignment w:val="auto"/>
              <w:rPr>
                <w:rFonts w:hint="eastAsia"/>
                <w:color w:val="auto"/>
                <w:lang w:val="en-US" w:eastAsia="zh-CN"/>
              </w:rPr>
            </w:pPr>
            <w:r>
              <w:rPr>
                <w:rFonts w:hint="eastAsia" w:ascii="仿宋" w:hAnsi="仿宋" w:eastAsia="仿宋_GB2312" w:cs="仿宋"/>
                <w:color w:val="auto"/>
                <w:sz w:val="24"/>
                <w:szCs w:val="24"/>
                <w:lang w:val="en-US" w:eastAsia="zh-CN"/>
              </w:rPr>
              <w:t>4、此项不提供不得分。</w:t>
            </w:r>
          </w:p>
        </w:tc>
        <w:tc>
          <w:tcPr>
            <w:tcW w:w="1170" w:type="dxa"/>
            <w:vMerge w:val="continue"/>
            <w:tcBorders>
              <w:top w:val="single" w:color="auto" w:sz="4" w:space="0"/>
              <w:left w:val="nil"/>
              <w:bottom w:val="single" w:color="auto" w:sz="4" w:space="0"/>
              <w:right w:val="single" w:color="000000" w:sz="4" w:space="0"/>
            </w:tcBorders>
            <w:noWrap w:val="0"/>
            <w:vAlign w:val="center"/>
          </w:tcPr>
          <w:p w14:paraId="515D25AA">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rPr>
            </w:pPr>
          </w:p>
        </w:tc>
      </w:tr>
      <w:tr w14:paraId="2B29F295">
        <w:tblPrEx>
          <w:tblCellMar>
            <w:top w:w="0" w:type="dxa"/>
            <w:left w:w="108" w:type="dxa"/>
            <w:bottom w:w="0" w:type="dxa"/>
            <w:right w:w="108" w:type="dxa"/>
          </w:tblCellMar>
        </w:tblPrEx>
        <w:trPr>
          <w:trHeight w:val="3559" w:hRule="atLeast"/>
        </w:trPr>
        <w:tc>
          <w:tcPr>
            <w:tcW w:w="565" w:type="dxa"/>
            <w:vMerge w:val="continue"/>
            <w:tcBorders>
              <w:top w:val="single" w:color="auto" w:sz="4" w:space="0"/>
              <w:left w:val="single" w:color="000000" w:sz="4" w:space="0"/>
              <w:bottom w:val="single" w:color="auto" w:sz="4" w:space="0"/>
              <w:right w:val="single" w:color="000000" w:sz="4" w:space="0"/>
            </w:tcBorders>
            <w:noWrap w:val="0"/>
            <w:vAlign w:val="center"/>
          </w:tcPr>
          <w:p w14:paraId="6F9701E9">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p>
        </w:tc>
        <w:tc>
          <w:tcPr>
            <w:tcW w:w="630" w:type="dxa"/>
            <w:vMerge w:val="continue"/>
            <w:tcBorders>
              <w:top w:val="single" w:color="auto" w:sz="4" w:space="0"/>
              <w:left w:val="nil"/>
              <w:bottom w:val="single" w:color="auto" w:sz="4" w:space="0"/>
              <w:right w:val="single" w:color="000000" w:sz="4" w:space="0"/>
            </w:tcBorders>
            <w:noWrap w:val="0"/>
            <w:vAlign w:val="center"/>
          </w:tcPr>
          <w:p w14:paraId="2A7428A6">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p>
        </w:tc>
        <w:tc>
          <w:tcPr>
            <w:tcW w:w="765" w:type="dxa"/>
            <w:tcBorders>
              <w:top w:val="single" w:color="auto" w:sz="4" w:space="0"/>
              <w:left w:val="nil"/>
              <w:bottom w:val="single" w:color="auto" w:sz="4" w:space="0"/>
              <w:right w:val="single" w:color="000000" w:sz="4" w:space="0"/>
            </w:tcBorders>
            <w:noWrap w:val="0"/>
            <w:vAlign w:val="center"/>
          </w:tcPr>
          <w:p w14:paraId="36B76FAA">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_GB2312" w:cs="仿宋"/>
                <w:color w:val="auto"/>
                <w:sz w:val="24"/>
                <w:szCs w:val="24"/>
                <w:lang w:val="en-US" w:eastAsia="zh-CN"/>
              </w:rPr>
            </w:pPr>
          </w:p>
          <w:p w14:paraId="6082BE5A">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_GB2312" w:cs="仿宋"/>
                <w:color w:val="auto"/>
                <w:sz w:val="24"/>
                <w:szCs w:val="24"/>
                <w:lang w:val="en-US" w:eastAsia="zh-CN"/>
              </w:rPr>
            </w:pPr>
          </w:p>
          <w:p w14:paraId="3A4E12DC">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_GB2312" w:cs="仿宋"/>
                <w:color w:val="auto"/>
                <w:sz w:val="24"/>
                <w:szCs w:val="24"/>
                <w:lang w:val="en-US" w:eastAsia="zh-CN"/>
              </w:rPr>
              <w:t>车辆管理方案8</w:t>
            </w:r>
          </w:p>
        </w:tc>
        <w:tc>
          <w:tcPr>
            <w:tcW w:w="6570" w:type="dxa"/>
            <w:tcBorders>
              <w:top w:val="single" w:color="auto" w:sz="4" w:space="0"/>
              <w:left w:val="nil"/>
              <w:bottom w:val="single" w:color="auto" w:sz="4" w:space="0"/>
              <w:right w:val="single" w:color="000000" w:sz="4" w:space="0"/>
            </w:tcBorders>
            <w:noWrap w:val="0"/>
            <w:vAlign w:val="center"/>
          </w:tcPr>
          <w:p w14:paraId="3AD82BE0">
            <w:pPr>
              <w:keepNext w:val="0"/>
              <w:keepLines w:val="0"/>
              <w:pageBreakBefore w:val="0"/>
              <w:widowControl/>
              <w:kinsoku/>
              <w:wordWrap/>
              <w:overflowPunct/>
              <w:topLinePunct w:val="0"/>
              <w:autoSpaceDE w:val="0"/>
              <w:autoSpaceDN w:val="0"/>
              <w:bidi w:val="0"/>
              <w:adjustRightInd w:val="0"/>
              <w:snapToGrid/>
              <w:spacing w:line="280" w:lineRule="exact"/>
              <w:ind w:firstLine="0" w:firstLineChars="0"/>
              <w:textAlignment w:val="auto"/>
              <w:rPr>
                <w:rFonts w:hint="eastAsia" w:ascii="仿宋" w:hAnsi="仿宋" w:eastAsia="仿宋_GB2312" w:cs="仿宋"/>
                <w:color w:val="auto"/>
                <w:sz w:val="24"/>
                <w:szCs w:val="24"/>
                <w:lang w:val="en-US" w:eastAsia="zh-CN"/>
              </w:rPr>
            </w:pPr>
            <w:r>
              <w:rPr>
                <w:rFonts w:hint="eastAsia" w:ascii="仿宋" w:hAnsi="仿宋" w:eastAsia="仿宋_GB2312" w:cs="仿宋"/>
                <w:b/>
                <w:bCs/>
                <w:color w:val="auto"/>
                <w:sz w:val="24"/>
                <w:szCs w:val="24"/>
                <w:lang w:val="en-US" w:eastAsia="zh-CN"/>
              </w:rPr>
              <w:t>一、评审内容：</w:t>
            </w:r>
            <w:r>
              <w:rPr>
                <w:rFonts w:hint="eastAsia" w:ascii="仿宋" w:hAnsi="仿宋" w:eastAsia="仿宋_GB2312" w:cs="仿宋"/>
                <w:color w:val="auto"/>
                <w:sz w:val="24"/>
                <w:szCs w:val="24"/>
                <w:lang w:val="en-US" w:eastAsia="zh-CN"/>
              </w:rPr>
              <w:t>针对本项目提出车辆出入、有序停放管理方案，包括：①机动车、非机动车的车辆停放引导；②违停车辆提醒及劝阻；③上下班高峰期交通疏导；④出现紧急事况处理方案。</w:t>
            </w:r>
          </w:p>
          <w:p w14:paraId="3AEB648C">
            <w:pPr>
              <w:keepNext w:val="0"/>
              <w:keepLines w:val="0"/>
              <w:pageBreakBefore w:val="0"/>
              <w:widowControl/>
              <w:kinsoku/>
              <w:wordWrap/>
              <w:overflowPunct/>
              <w:topLinePunct w:val="0"/>
              <w:autoSpaceDE w:val="0"/>
              <w:autoSpaceDN w:val="0"/>
              <w:bidi w:val="0"/>
              <w:adjustRightInd w:val="0"/>
              <w:snapToGrid/>
              <w:spacing w:line="280" w:lineRule="exact"/>
              <w:ind w:firstLine="0" w:firstLineChars="0"/>
              <w:textAlignment w:val="auto"/>
              <w:rPr>
                <w:rFonts w:hint="eastAsia" w:ascii="仿宋" w:hAnsi="仿宋" w:eastAsia="仿宋_GB2312" w:cs="仿宋"/>
                <w:color w:val="auto"/>
                <w:sz w:val="24"/>
                <w:szCs w:val="24"/>
                <w:lang w:val="en-US" w:eastAsia="zh-CN"/>
              </w:rPr>
            </w:pPr>
            <w:r>
              <w:rPr>
                <w:rFonts w:hint="eastAsia" w:ascii="仿宋" w:hAnsi="仿宋" w:eastAsia="仿宋_GB2312" w:cs="仿宋"/>
                <w:b/>
                <w:bCs/>
                <w:color w:val="auto"/>
                <w:sz w:val="24"/>
                <w:szCs w:val="24"/>
                <w:lang w:val="en-US" w:eastAsia="zh-CN"/>
              </w:rPr>
              <w:t>二、评审标准</w:t>
            </w:r>
            <w:r>
              <w:rPr>
                <w:rFonts w:hint="eastAsia" w:ascii="仿宋" w:hAnsi="仿宋" w:eastAsia="仿宋_GB2312" w:cs="仿宋"/>
                <w:color w:val="auto"/>
                <w:sz w:val="24"/>
                <w:szCs w:val="24"/>
                <w:lang w:val="en-US" w:eastAsia="zh-CN"/>
              </w:rPr>
              <w:t>：</w:t>
            </w:r>
          </w:p>
          <w:p w14:paraId="42B1FAFB">
            <w:pPr>
              <w:keepNext w:val="0"/>
              <w:keepLines w:val="0"/>
              <w:pageBreakBefore w:val="0"/>
              <w:widowControl/>
              <w:kinsoku/>
              <w:wordWrap/>
              <w:overflowPunct/>
              <w:topLinePunct w:val="0"/>
              <w:autoSpaceDE w:val="0"/>
              <w:autoSpaceDN w:val="0"/>
              <w:bidi w:val="0"/>
              <w:adjustRightInd w:val="0"/>
              <w:snapToGrid/>
              <w:spacing w:line="280" w:lineRule="exact"/>
              <w:ind w:firstLine="0" w:firstLineChars="0"/>
              <w:textAlignment w:val="auto"/>
              <w:rPr>
                <w:rFonts w:hint="eastAsia" w:ascii="仿宋" w:hAnsi="仿宋" w:eastAsia="仿宋_GB2312" w:cs="仿宋"/>
                <w:color w:val="auto"/>
                <w:sz w:val="24"/>
                <w:szCs w:val="24"/>
                <w:lang w:val="en-US" w:eastAsia="zh-CN"/>
              </w:rPr>
            </w:pPr>
            <w:r>
              <w:rPr>
                <w:rFonts w:hint="eastAsia" w:ascii="仿宋" w:hAnsi="仿宋" w:eastAsia="仿宋_GB2312" w:cs="仿宋"/>
                <w:color w:val="auto"/>
                <w:sz w:val="24"/>
                <w:szCs w:val="24"/>
                <w:lang w:val="en-US" w:eastAsia="zh-CN"/>
              </w:rPr>
              <w:t>1、完整性：方案内容完整全面，对上述各项内容均有详细描述及说明，得2分；每缺1项，扣0.5分；不提供不得分。</w:t>
            </w:r>
          </w:p>
          <w:p w14:paraId="30AC6D2A">
            <w:pPr>
              <w:keepNext w:val="0"/>
              <w:keepLines w:val="0"/>
              <w:pageBreakBefore w:val="0"/>
              <w:widowControl/>
              <w:kinsoku/>
              <w:wordWrap/>
              <w:overflowPunct/>
              <w:topLinePunct w:val="0"/>
              <w:autoSpaceDE w:val="0"/>
              <w:autoSpaceDN w:val="0"/>
              <w:bidi w:val="0"/>
              <w:adjustRightInd w:val="0"/>
              <w:snapToGrid/>
              <w:spacing w:line="280" w:lineRule="exact"/>
              <w:ind w:firstLine="0" w:firstLineChars="0"/>
              <w:textAlignment w:val="auto"/>
              <w:rPr>
                <w:rFonts w:hint="eastAsia" w:ascii="仿宋" w:hAnsi="仿宋" w:eastAsia="仿宋_GB2312" w:cs="仿宋"/>
                <w:color w:val="auto"/>
                <w:sz w:val="24"/>
                <w:szCs w:val="24"/>
                <w:lang w:val="en-US" w:eastAsia="zh-CN"/>
              </w:rPr>
            </w:pPr>
            <w:r>
              <w:rPr>
                <w:rFonts w:hint="eastAsia" w:ascii="仿宋" w:hAnsi="仿宋" w:eastAsia="仿宋_GB2312" w:cs="仿宋"/>
                <w:color w:val="auto"/>
                <w:sz w:val="24"/>
                <w:szCs w:val="24"/>
                <w:lang w:val="en-US" w:eastAsia="zh-CN"/>
              </w:rPr>
              <w:t>2、针对性：针对性强，得3分；针对性一般，得1.5分；缺乏针对性，得0分。</w:t>
            </w:r>
          </w:p>
          <w:p w14:paraId="164D2343">
            <w:pPr>
              <w:keepNext w:val="0"/>
              <w:keepLines w:val="0"/>
              <w:pageBreakBefore w:val="0"/>
              <w:widowControl/>
              <w:kinsoku/>
              <w:wordWrap/>
              <w:overflowPunct/>
              <w:topLinePunct w:val="0"/>
              <w:autoSpaceDE w:val="0"/>
              <w:autoSpaceDN w:val="0"/>
              <w:bidi w:val="0"/>
              <w:adjustRightInd w:val="0"/>
              <w:snapToGrid/>
              <w:spacing w:line="280" w:lineRule="exact"/>
              <w:ind w:firstLine="0" w:firstLineChars="0"/>
              <w:textAlignment w:val="auto"/>
              <w:rPr>
                <w:rFonts w:hint="eastAsia" w:ascii="仿宋" w:hAnsi="仿宋" w:eastAsia="仿宋_GB2312" w:cs="仿宋"/>
                <w:color w:val="auto"/>
                <w:sz w:val="24"/>
                <w:szCs w:val="24"/>
                <w:lang w:val="en-US" w:eastAsia="zh-CN"/>
              </w:rPr>
            </w:pPr>
            <w:r>
              <w:rPr>
                <w:rFonts w:hint="eastAsia" w:ascii="仿宋" w:hAnsi="仿宋" w:eastAsia="仿宋_GB2312" w:cs="仿宋"/>
                <w:color w:val="auto"/>
                <w:sz w:val="24"/>
                <w:szCs w:val="24"/>
                <w:lang w:val="en-US" w:eastAsia="zh-CN"/>
              </w:rPr>
              <w:t>3、可实施性：可实施性强，得3分；可实施性一般，得1.5分；缺乏可实施性，得0分。</w:t>
            </w:r>
          </w:p>
          <w:p w14:paraId="1E14BF9B">
            <w:pPr>
              <w:keepNext w:val="0"/>
              <w:keepLines w:val="0"/>
              <w:pageBreakBefore w:val="0"/>
              <w:widowControl/>
              <w:kinsoku/>
              <w:wordWrap/>
              <w:overflowPunct/>
              <w:topLinePunct w:val="0"/>
              <w:autoSpaceDE w:val="0"/>
              <w:autoSpaceDN w:val="0"/>
              <w:bidi w:val="0"/>
              <w:adjustRightInd w:val="0"/>
              <w:snapToGrid/>
              <w:spacing w:line="280" w:lineRule="exact"/>
              <w:ind w:firstLine="0" w:firstLineChars="0"/>
              <w:textAlignment w:val="auto"/>
              <w:rPr>
                <w:rFonts w:hint="eastAsia"/>
                <w:color w:val="auto"/>
              </w:rPr>
            </w:pPr>
            <w:r>
              <w:rPr>
                <w:rFonts w:hint="eastAsia" w:ascii="仿宋" w:hAnsi="仿宋" w:eastAsia="仿宋_GB2312" w:cs="仿宋"/>
                <w:color w:val="auto"/>
                <w:sz w:val="24"/>
                <w:szCs w:val="24"/>
                <w:lang w:val="en-US" w:eastAsia="zh-CN"/>
              </w:rPr>
              <w:t>4、此项不提供不得分。</w:t>
            </w:r>
          </w:p>
        </w:tc>
        <w:tc>
          <w:tcPr>
            <w:tcW w:w="1170" w:type="dxa"/>
            <w:vMerge w:val="continue"/>
            <w:tcBorders>
              <w:top w:val="single" w:color="auto" w:sz="4" w:space="0"/>
              <w:left w:val="nil"/>
              <w:bottom w:val="single" w:color="auto" w:sz="4" w:space="0"/>
              <w:right w:val="single" w:color="000000" w:sz="4" w:space="0"/>
            </w:tcBorders>
            <w:noWrap w:val="0"/>
            <w:vAlign w:val="center"/>
          </w:tcPr>
          <w:p w14:paraId="65DC7060">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rPr>
            </w:pPr>
          </w:p>
        </w:tc>
      </w:tr>
      <w:tr w14:paraId="5C7B8A09">
        <w:tblPrEx>
          <w:tblCellMar>
            <w:top w:w="0" w:type="dxa"/>
            <w:left w:w="108" w:type="dxa"/>
            <w:bottom w:w="0" w:type="dxa"/>
            <w:right w:w="108" w:type="dxa"/>
          </w:tblCellMar>
        </w:tblPrEx>
        <w:trPr>
          <w:trHeight w:val="3896" w:hRule="atLeast"/>
        </w:trPr>
        <w:tc>
          <w:tcPr>
            <w:tcW w:w="565" w:type="dxa"/>
            <w:vMerge w:val="continue"/>
            <w:tcBorders>
              <w:top w:val="single" w:color="auto" w:sz="4" w:space="0"/>
              <w:left w:val="single" w:color="000000" w:sz="4" w:space="0"/>
              <w:bottom w:val="single" w:color="auto" w:sz="4" w:space="0"/>
              <w:right w:val="single" w:color="000000" w:sz="4" w:space="0"/>
            </w:tcBorders>
            <w:noWrap w:val="0"/>
            <w:vAlign w:val="center"/>
          </w:tcPr>
          <w:p w14:paraId="68F0BD8A">
            <w:pPr>
              <w:pStyle w:val="5"/>
              <w:keepNext w:val="0"/>
              <w:keepLines w:val="0"/>
              <w:pageBreakBefore w:val="0"/>
              <w:widowControl/>
              <w:kinsoku/>
              <w:wordWrap/>
              <w:overflowPunct/>
              <w:topLinePunct w:val="0"/>
              <w:bidi w:val="0"/>
              <w:spacing w:line="300" w:lineRule="exact"/>
              <w:ind w:firstLine="0" w:firstLineChars="0"/>
              <w:jc w:val="center"/>
              <w:textAlignment w:val="auto"/>
              <w:rPr>
                <w:rFonts w:hint="eastAsia" w:ascii="仿宋" w:hAnsi="仿宋" w:eastAsia="仿宋" w:cs="仿宋"/>
                <w:color w:val="auto"/>
                <w:sz w:val="24"/>
                <w:szCs w:val="24"/>
              </w:rPr>
            </w:pPr>
          </w:p>
        </w:tc>
        <w:tc>
          <w:tcPr>
            <w:tcW w:w="630" w:type="dxa"/>
            <w:vMerge w:val="continue"/>
            <w:tcBorders>
              <w:top w:val="single" w:color="auto" w:sz="4" w:space="0"/>
              <w:left w:val="nil"/>
              <w:bottom w:val="single" w:color="auto" w:sz="4" w:space="0"/>
              <w:right w:val="single" w:color="000000" w:sz="4" w:space="0"/>
            </w:tcBorders>
            <w:noWrap w:val="0"/>
            <w:vAlign w:val="center"/>
          </w:tcPr>
          <w:p w14:paraId="08914995">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p>
        </w:tc>
        <w:tc>
          <w:tcPr>
            <w:tcW w:w="765" w:type="dxa"/>
            <w:tcBorders>
              <w:top w:val="single" w:color="auto" w:sz="4" w:space="0"/>
              <w:left w:val="nil"/>
              <w:bottom w:val="single" w:color="auto" w:sz="4" w:space="0"/>
              <w:right w:val="single" w:color="000000" w:sz="4" w:space="0"/>
            </w:tcBorders>
            <w:shd w:val="clear" w:color="auto" w:fill="auto"/>
            <w:noWrap w:val="0"/>
            <w:vAlign w:val="center"/>
          </w:tcPr>
          <w:p w14:paraId="25FAFAA9">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_GB2312" w:cs="仿宋"/>
                <w:color w:val="auto"/>
                <w:sz w:val="24"/>
                <w:szCs w:val="24"/>
                <w:lang w:val="en-US" w:eastAsia="zh-CN"/>
              </w:rPr>
            </w:pPr>
            <w:r>
              <w:rPr>
                <w:rFonts w:hint="eastAsia" w:ascii="仿宋" w:hAnsi="仿宋" w:eastAsia="仿宋_GB2312" w:cs="仿宋"/>
                <w:color w:val="auto"/>
                <w:sz w:val="24"/>
                <w:szCs w:val="24"/>
                <w:lang w:val="en-US" w:eastAsia="zh-CN"/>
              </w:rPr>
              <w:t>消防安全管理方案</w:t>
            </w:r>
          </w:p>
          <w:p w14:paraId="3BB8AA33">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default" w:ascii="Calibri Light" w:hAnsi="Calibri Light" w:eastAsia="华文仿宋" w:cs="Calibri Light"/>
                <w:color w:val="auto"/>
                <w:kern w:val="2"/>
                <w:sz w:val="28"/>
                <w:szCs w:val="28"/>
                <w:lang w:val="en-US" w:eastAsia="zh-CN" w:bidi="ar-SA"/>
              </w:rPr>
            </w:pPr>
            <w:r>
              <w:rPr>
                <w:rFonts w:hint="eastAsia" w:ascii="仿宋" w:hAnsi="仿宋" w:eastAsia="仿宋_GB2312" w:cs="仿宋"/>
                <w:color w:val="auto"/>
                <w:sz w:val="24"/>
                <w:szCs w:val="24"/>
                <w:lang w:val="en-US" w:eastAsia="zh-CN"/>
              </w:rPr>
              <w:t>6</w:t>
            </w:r>
          </w:p>
        </w:tc>
        <w:tc>
          <w:tcPr>
            <w:tcW w:w="6570" w:type="dxa"/>
            <w:tcBorders>
              <w:top w:val="single" w:color="auto" w:sz="4" w:space="0"/>
              <w:left w:val="nil"/>
              <w:right w:val="single" w:color="000000" w:sz="4" w:space="0"/>
            </w:tcBorders>
            <w:noWrap w:val="0"/>
            <w:vAlign w:val="center"/>
          </w:tcPr>
          <w:p w14:paraId="282F663A">
            <w:pPr>
              <w:keepNext w:val="0"/>
              <w:keepLines w:val="0"/>
              <w:pageBreakBefore w:val="0"/>
              <w:widowControl/>
              <w:numPr>
                <w:ilvl w:val="0"/>
                <w:numId w:val="8"/>
              </w:numPr>
              <w:kinsoku/>
              <w:wordWrap/>
              <w:overflowPunct/>
              <w:topLinePunct w:val="0"/>
              <w:bidi w:val="0"/>
              <w:snapToGrid w:val="0"/>
              <w:spacing w:line="300" w:lineRule="exact"/>
              <w:ind w:firstLine="0" w:firstLineChars="0"/>
              <w:textAlignment w:val="auto"/>
              <w:rPr>
                <w:rFonts w:hint="eastAsia" w:ascii="仿宋" w:hAnsi="仿宋" w:eastAsia="仿宋_GB2312" w:cs="仿宋"/>
                <w:color w:val="auto"/>
                <w:sz w:val="24"/>
                <w:szCs w:val="24"/>
                <w:lang w:eastAsia="zh-CN"/>
              </w:rPr>
            </w:pPr>
            <w:r>
              <w:rPr>
                <w:rFonts w:hint="eastAsia" w:ascii="仿宋" w:hAnsi="仿宋" w:eastAsia="仿宋_GB2312" w:cs="仿宋"/>
                <w:b/>
                <w:bCs/>
                <w:color w:val="auto"/>
                <w:sz w:val="24"/>
                <w:szCs w:val="24"/>
              </w:rPr>
              <w:t>评审内容：</w:t>
            </w:r>
            <w:r>
              <w:rPr>
                <w:rFonts w:hint="eastAsia" w:ascii="仿宋" w:hAnsi="仿宋" w:eastAsia="仿宋_GB2312" w:cs="仿宋"/>
                <w:color w:val="auto"/>
                <w:sz w:val="24"/>
                <w:szCs w:val="24"/>
              </w:rPr>
              <w:t>响应人提供本项目消防安全管理方案，包括：①消防安全应急方案；②消防日常巡检方案；③</w:t>
            </w:r>
            <w:r>
              <w:rPr>
                <w:rFonts w:hint="eastAsia" w:ascii="仿宋" w:hAnsi="仿宋" w:eastAsia="仿宋_GB2312" w:cs="仿宋"/>
                <w:color w:val="auto"/>
                <w:sz w:val="24"/>
                <w:szCs w:val="24"/>
                <w:lang w:eastAsia="zh-CN"/>
              </w:rPr>
              <w:t>消防设施、设备的检查及维护。</w:t>
            </w:r>
          </w:p>
          <w:p w14:paraId="4C69B6E7">
            <w:pPr>
              <w:keepNext w:val="0"/>
              <w:keepLines w:val="0"/>
              <w:pageBreakBefore w:val="0"/>
              <w:widowControl/>
              <w:numPr>
                <w:ilvl w:val="0"/>
                <w:numId w:val="0"/>
              </w:numPr>
              <w:kinsoku/>
              <w:wordWrap/>
              <w:overflowPunct/>
              <w:topLinePunct w:val="0"/>
              <w:bidi w:val="0"/>
              <w:snapToGrid w:val="0"/>
              <w:spacing w:line="300" w:lineRule="exact"/>
              <w:textAlignment w:val="auto"/>
              <w:rPr>
                <w:rFonts w:hint="eastAsia" w:ascii="仿宋" w:hAnsi="仿宋" w:eastAsia="仿宋_GB2312" w:cs="仿宋"/>
                <w:color w:val="auto"/>
                <w:sz w:val="24"/>
                <w:szCs w:val="24"/>
              </w:rPr>
            </w:pPr>
            <w:r>
              <w:rPr>
                <w:rFonts w:hint="eastAsia" w:ascii="仿宋" w:hAnsi="仿宋" w:eastAsia="仿宋_GB2312" w:cs="仿宋"/>
                <w:b/>
                <w:bCs/>
                <w:color w:val="auto"/>
                <w:sz w:val="24"/>
                <w:szCs w:val="24"/>
              </w:rPr>
              <w:t>二、评审标准</w:t>
            </w:r>
            <w:r>
              <w:rPr>
                <w:rFonts w:hint="eastAsia" w:ascii="仿宋" w:hAnsi="仿宋" w:eastAsia="仿宋_GB2312" w:cs="仿宋"/>
                <w:color w:val="auto"/>
                <w:sz w:val="24"/>
                <w:szCs w:val="24"/>
              </w:rPr>
              <w:t>：</w:t>
            </w:r>
          </w:p>
          <w:p w14:paraId="04AE3205">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_GB2312" w:cs="仿宋"/>
                <w:color w:val="auto"/>
                <w:sz w:val="24"/>
                <w:szCs w:val="24"/>
              </w:rPr>
            </w:pPr>
            <w:r>
              <w:rPr>
                <w:rFonts w:hint="eastAsia" w:ascii="仿宋" w:hAnsi="仿宋" w:eastAsia="仿宋_GB2312" w:cs="仿宋"/>
                <w:color w:val="auto"/>
                <w:sz w:val="24"/>
                <w:szCs w:val="24"/>
              </w:rPr>
              <w:t>1、完整性：方案内容完整全面，对上述各项内容均有详细描述及说明，得</w:t>
            </w:r>
            <w:r>
              <w:rPr>
                <w:rFonts w:hint="eastAsia" w:ascii="仿宋" w:hAnsi="仿宋" w:eastAsia="仿宋_GB2312" w:cs="仿宋"/>
                <w:color w:val="auto"/>
                <w:sz w:val="24"/>
                <w:szCs w:val="24"/>
                <w:lang w:val="en-US" w:eastAsia="zh-CN"/>
              </w:rPr>
              <w:t>3</w:t>
            </w:r>
            <w:r>
              <w:rPr>
                <w:rFonts w:hint="eastAsia" w:ascii="仿宋" w:hAnsi="仿宋" w:eastAsia="仿宋_GB2312" w:cs="仿宋"/>
                <w:color w:val="auto"/>
                <w:sz w:val="24"/>
                <w:szCs w:val="24"/>
              </w:rPr>
              <w:t>分；每缺1项，扣</w:t>
            </w:r>
            <w:r>
              <w:rPr>
                <w:rFonts w:hint="eastAsia" w:ascii="仿宋" w:hAnsi="仿宋" w:eastAsia="仿宋_GB2312" w:cs="仿宋"/>
                <w:color w:val="auto"/>
                <w:sz w:val="24"/>
                <w:szCs w:val="24"/>
                <w:lang w:val="en-US" w:eastAsia="zh-CN"/>
              </w:rPr>
              <w:t>1</w:t>
            </w:r>
            <w:r>
              <w:rPr>
                <w:rFonts w:hint="eastAsia" w:ascii="仿宋" w:hAnsi="仿宋" w:eastAsia="仿宋_GB2312" w:cs="仿宋"/>
                <w:color w:val="auto"/>
                <w:sz w:val="24"/>
                <w:szCs w:val="24"/>
              </w:rPr>
              <w:t>分；不提供不得分。</w:t>
            </w:r>
          </w:p>
          <w:p w14:paraId="0B708040">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_GB2312" w:cs="仿宋"/>
                <w:color w:val="auto"/>
                <w:sz w:val="24"/>
                <w:szCs w:val="24"/>
              </w:rPr>
            </w:pPr>
            <w:r>
              <w:rPr>
                <w:rFonts w:hint="eastAsia" w:ascii="仿宋" w:hAnsi="仿宋" w:eastAsia="仿宋_GB2312" w:cs="仿宋"/>
                <w:color w:val="auto"/>
                <w:sz w:val="24"/>
                <w:szCs w:val="24"/>
              </w:rPr>
              <w:t>2、针对性：针对性强，得</w:t>
            </w:r>
            <w:r>
              <w:rPr>
                <w:rFonts w:hint="eastAsia" w:ascii="仿宋" w:hAnsi="仿宋" w:eastAsia="仿宋_GB2312" w:cs="仿宋"/>
                <w:color w:val="auto"/>
                <w:sz w:val="24"/>
                <w:szCs w:val="24"/>
                <w:lang w:val="en-US" w:eastAsia="zh-CN"/>
              </w:rPr>
              <w:t>1.5</w:t>
            </w:r>
            <w:r>
              <w:rPr>
                <w:rFonts w:hint="eastAsia" w:ascii="仿宋" w:hAnsi="仿宋" w:eastAsia="仿宋_GB2312" w:cs="仿宋"/>
                <w:color w:val="auto"/>
                <w:sz w:val="24"/>
                <w:szCs w:val="24"/>
              </w:rPr>
              <w:t>分；针对性一般，得</w:t>
            </w:r>
            <w:r>
              <w:rPr>
                <w:rFonts w:hint="eastAsia" w:ascii="仿宋" w:hAnsi="仿宋" w:eastAsia="仿宋_GB2312" w:cs="仿宋"/>
                <w:color w:val="auto"/>
                <w:sz w:val="24"/>
                <w:szCs w:val="24"/>
                <w:lang w:val="en-US" w:eastAsia="zh-CN"/>
              </w:rPr>
              <w:t>0.5</w:t>
            </w:r>
            <w:r>
              <w:rPr>
                <w:rFonts w:hint="eastAsia" w:ascii="仿宋" w:hAnsi="仿宋" w:eastAsia="仿宋_GB2312" w:cs="仿宋"/>
                <w:color w:val="auto"/>
                <w:sz w:val="24"/>
                <w:szCs w:val="24"/>
              </w:rPr>
              <w:t>分；缺乏针对性，得0分。</w:t>
            </w:r>
          </w:p>
          <w:p w14:paraId="5A407561">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_GB2312" w:cs="仿宋"/>
                <w:color w:val="auto"/>
                <w:sz w:val="24"/>
                <w:szCs w:val="24"/>
              </w:rPr>
            </w:pPr>
            <w:r>
              <w:rPr>
                <w:rFonts w:hint="eastAsia" w:ascii="仿宋" w:hAnsi="仿宋" w:eastAsia="仿宋_GB2312" w:cs="仿宋"/>
                <w:color w:val="auto"/>
                <w:sz w:val="24"/>
                <w:szCs w:val="24"/>
              </w:rPr>
              <w:t>3、可实施性：可实施性强，得</w:t>
            </w:r>
            <w:r>
              <w:rPr>
                <w:rFonts w:hint="eastAsia" w:ascii="仿宋" w:hAnsi="仿宋" w:eastAsia="仿宋_GB2312" w:cs="仿宋"/>
                <w:color w:val="auto"/>
                <w:sz w:val="24"/>
                <w:szCs w:val="24"/>
                <w:lang w:val="en-US" w:eastAsia="zh-CN"/>
              </w:rPr>
              <w:t>1.5</w:t>
            </w:r>
            <w:r>
              <w:rPr>
                <w:rFonts w:hint="eastAsia" w:ascii="仿宋" w:hAnsi="仿宋" w:eastAsia="仿宋_GB2312" w:cs="仿宋"/>
                <w:color w:val="auto"/>
                <w:sz w:val="24"/>
                <w:szCs w:val="24"/>
              </w:rPr>
              <w:t>分；可实施性一般，得</w:t>
            </w:r>
            <w:r>
              <w:rPr>
                <w:rFonts w:hint="eastAsia" w:ascii="仿宋" w:hAnsi="仿宋" w:eastAsia="仿宋_GB2312" w:cs="仿宋"/>
                <w:color w:val="auto"/>
                <w:sz w:val="24"/>
                <w:szCs w:val="24"/>
                <w:lang w:val="en-US" w:eastAsia="zh-CN"/>
              </w:rPr>
              <w:t>0.5</w:t>
            </w:r>
            <w:r>
              <w:rPr>
                <w:rFonts w:hint="eastAsia" w:ascii="仿宋" w:hAnsi="仿宋" w:eastAsia="仿宋_GB2312" w:cs="仿宋"/>
                <w:color w:val="auto"/>
                <w:sz w:val="24"/>
                <w:szCs w:val="24"/>
              </w:rPr>
              <w:t>分；缺乏可实施性，得0分。</w:t>
            </w:r>
          </w:p>
          <w:p w14:paraId="2138B93C">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_GB2312" w:cs="仿宋"/>
                <w:color w:val="auto"/>
                <w:sz w:val="24"/>
                <w:szCs w:val="24"/>
                <w:lang w:val="en-US" w:eastAsia="zh-CN"/>
              </w:rPr>
              <w:t>4、此项不提供不得分。</w:t>
            </w:r>
          </w:p>
        </w:tc>
        <w:tc>
          <w:tcPr>
            <w:tcW w:w="1170" w:type="dxa"/>
            <w:tcBorders>
              <w:top w:val="single" w:color="auto" w:sz="4" w:space="0"/>
              <w:left w:val="nil"/>
              <w:right w:val="single" w:color="000000" w:sz="4" w:space="0"/>
            </w:tcBorders>
            <w:noWrap w:val="0"/>
            <w:vAlign w:val="center"/>
          </w:tcPr>
          <w:p w14:paraId="57B76A6F">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rPr>
            </w:pPr>
          </w:p>
        </w:tc>
      </w:tr>
      <w:tr w14:paraId="3CAC3F69">
        <w:tblPrEx>
          <w:tblCellMar>
            <w:top w:w="0" w:type="dxa"/>
            <w:left w:w="108" w:type="dxa"/>
            <w:bottom w:w="0" w:type="dxa"/>
            <w:right w:w="108" w:type="dxa"/>
          </w:tblCellMar>
        </w:tblPrEx>
        <w:trPr>
          <w:trHeight w:val="4588" w:hRule="atLeast"/>
        </w:trPr>
        <w:tc>
          <w:tcPr>
            <w:tcW w:w="565" w:type="dxa"/>
            <w:vMerge w:val="continue"/>
            <w:tcBorders>
              <w:top w:val="single" w:color="auto" w:sz="4" w:space="0"/>
              <w:left w:val="single" w:color="000000" w:sz="4" w:space="0"/>
              <w:bottom w:val="single" w:color="auto" w:sz="4" w:space="0"/>
              <w:right w:val="single" w:color="000000" w:sz="4" w:space="0"/>
            </w:tcBorders>
            <w:noWrap w:val="0"/>
            <w:vAlign w:val="center"/>
          </w:tcPr>
          <w:p w14:paraId="7ACD9336">
            <w:pPr>
              <w:pStyle w:val="5"/>
              <w:keepNext w:val="0"/>
              <w:keepLines w:val="0"/>
              <w:pageBreakBefore w:val="0"/>
              <w:widowControl/>
              <w:kinsoku/>
              <w:wordWrap/>
              <w:overflowPunct/>
              <w:topLinePunct w:val="0"/>
              <w:bidi w:val="0"/>
              <w:spacing w:line="300" w:lineRule="exact"/>
              <w:ind w:firstLine="0" w:firstLineChars="0"/>
              <w:jc w:val="center"/>
              <w:textAlignment w:val="auto"/>
              <w:rPr>
                <w:rFonts w:hint="eastAsia" w:ascii="仿宋" w:hAnsi="仿宋" w:eastAsia="仿宋" w:cs="仿宋"/>
                <w:color w:val="auto"/>
                <w:sz w:val="24"/>
                <w:szCs w:val="24"/>
              </w:rPr>
            </w:pPr>
          </w:p>
        </w:tc>
        <w:tc>
          <w:tcPr>
            <w:tcW w:w="630" w:type="dxa"/>
            <w:vMerge w:val="continue"/>
            <w:tcBorders>
              <w:top w:val="single" w:color="auto" w:sz="4" w:space="0"/>
              <w:left w:val="nil"/>
              <w:bottom w:val="single" w:color="auto" w:sz="4" w:space="0"/>
              <w:right w:val="single" w:color="000000" w:sz="4" w:space="0"/>
            </w:tcBorders>
            <w:noWrap w:val="0"/>
            <w:vAlign w:val="center"/>
          </w:tcPr>
          <w:p w14:paraId="061414DA">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p>
        </w:tc>
        <w:tc>
          <w:tcPr>
            <w:tcW w:w="765" w:type="dxa"/>
            <w:tcBorders>
              <w:top w:val="single" w:color="auto" w:sz="4" w:space="0"/>
              <w:left w:val="nil"/>
              <w:bottom w:val="single" w:color="auto" w:sz="4" w:space="0"/>
              <w:right w:val="single" w:color="000000" w:sz="4" w:space="0"/>
            </w:tcBorders>
            <w:shd w:val="clear" w:color="auto" w:fill="auto"/>
            <w:noWrap w:val="0"/>
            <w:vAlign w:val="center"/>
          </w:tcPr>
          <w:p w14:paraId="5C191011">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_GB2312" w:cs="仿宋"/>
                <w:color w:val="auto"/>
                <w:sz w:val="24"/>
                <w:szCs w:val="24"/>
                <w:lang w:val="en-US" w:eastAsia="zh-CN"/>
              </w:rPr>
            </w:pPr>
            <w:r>
              <w:rPr>
                <w:rFonts w:hint="eastAsia" w:ascii="仿宋" w:hAnsi="仿宋" w:eastAsia="仿宋_GB2312" w:cs="仿宋"/>
                <w:color w:val="auto"/>
                <w:sz w:val="24"/>
                <w:szCs w:val="24"/>
                <w:lang w:val="en-US" w:eastAsia="zh-CN"/>
              </w:rPr>
              <w:t>应急</w:t>
            </w:r>
          </w:p>
          <w:p w14:paraId="069C6EBE">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_GB2312" w:cs="仿宋"/>
                <w:color w:val="auto"/>
                <w:sz w:val="24"/>
                <w:szCs w:val="24"/>
                <w:lang w:val="en-US" w:eastAsia="zh-CN"/>
              </w:rPr>
            </w:pPr>
            <w:r>
              <w:rPr>
                <w:rFonts w:hint="eastAsia" w:ascii="仿宋" w:hAnsi="仿宋" w:eastAsia="仿宋_GB2312" w:cs="仿宋"/>
                <w:color w:val="auto"/>
                <w:sz w:val="24"/>
                <w:szCs w:val="24"/>
                <w:lang w:val="en-US" w:eastAsia="zh-CN"/>
              </w:rPr>
              <w:t>预案</w:t>
            </w:r>
          </w:p>
          <w:p w14:paraId="64E88403">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_GB2312" w:cs="仿宋"/>
                <w:color w:val="auto"/>
                <w:sz w:val="24"/>
                <w:szCs w:val="24"/>
                <w:lang w:val="en-US" w:eastAsia="zh-CN"/>
              </w:rPr>
              <w:t>7</w:t>
            </w:r>
          </w:p>
        </w:tc>
        <w:tc>
          <w:tcPr>
            <w:tcW w:w="6570" w:type="dxa"/>
            <w:tcBorders>
              <w:top w:val="single" w:color="auto" w:sz="4" w:space="0"/>
              <w:left w:val="nil"/>
              <w:bottom w:val="single" w:color="auto" w:sz="4" w:space="0"/>
              <w:right w:val="single" w:color="000000" w:sz="4" w:space="0"/>
            </w:tcBorders>
            <w:noWrap w:val="0"/>
            <w:vAlign w:val="center"/>
          </w:tcPr>
          <w:p w14:paraId="6ADDD7B1">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仿宋" w:hAnsi="仿宋" w:eastAsia="仿宋_GB2312" w:cs="仿宋"/>
                <w:color w:val="auto"/>
                <w:kern w:val="0"/>
                <w:sz w:val="24"/>
                <w:szCs w:val="24"/>
                <w:lang w:val="en-US" w:eastAsia="zh-CN" w:bidi="ar"/>
              </w:rPr>
            </w:pPr>
            <w:r>
              <w:rPr>
                <w:rFonts w:hint="eastAsia" w:ascii="仿宋" w:hAnsi="仿宋" w:eastAsia="仿宋_GB2312" w:cs="仿宋"/>
                <w:b/>
                <w:bCs/>
                <w:color w:val="auto"/>
                <w:kern w:val="0"/>
                <w:sz w:val="24"/>
                <w:szCs w:val="24"/>
                <w:lang w:val="en-US" w:eastAsia="zh-CN" w:bidi="ar"/>
              </w:rPr>
              <w:t>一、评审内容：</w:t>
            </w:r>
            <w:r>
              <w:rPr>
                <w:rFonts w:hint="eastAsia" w:ascii="仿宋" w:hAnsi="仿宋" w:eastAsia="仿宋_GB2312" w:cs="仿宋"/>
                <w:color w:val="auto"/>
                <w:kern w:val="0"/>
                <w:sz w:val="24"/>
                <w:szCs w:val="24"/>
                <w:lang w:val="en-US" w:eastAsia="zh-CN" w:bidi="ar"/>
              </w:rPr>
              <w:t>针对本项目特点提供应急预案，预案内容包含：①自然灾害处理：暴雨、暴雪、雷电、大风、地震等；②紧急情况的预防处置：供电系统故障、给排水系统故障等；③突发事件的预防及处置：盗窃、寻衅滋事、违法事件、上访事件等。</w:t>
            </w:r>
          </w:p>
          <w:p w14:paraId="2BDA622B">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仿宋" w:hAnsi="仿宋" w:eastAsia="仿宋_GB2312" w:cs="仿宋"/>
                <w:b/>
                <w:bCs/>
                <w:color w:val="auto"/>
                <w:kern w:val="0"/>
                <w:sz w:val="24"/>
                <w:szCs w:val="24"/>
                <w:lang w:val="en-US" w:eastAsia="zh-CN" w:bidi="ar"/>
              </w:rPr>
            </w:pPr>
            <w:r>
              <w:rPr>
                <w:rFonts w:hint="eastAsia" w:ascii="仿宋" w:hAnsi="仿宋" w:eastAsia="仿宋_GB2312" w:cs="仿宋"/>
                <w:b/>
                <w:bCs/>
                <w:color w:val="auto"/>
                <w:kern w:val="0"/>
                <w:sz w:val="24"/>
                <w:szCs w:val="24"/>
                <w:lang w:val="en-US" w:eastAsia="zh-CN" w:bidi="ar"/>
              </w:rPr>
              <w:t>二、评审标准：</w:t>
            </w:r>
          </w:p>
          <w:p w14:paraId="0A2CD364">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仿宋" w:hAnsi="仿宋" w:eastAsia="仿宋_GB2312" w:cs="仿宋"/>
                <w:color w:val="auto"/>
                <w:kern w:val="0"/>
                <w:sz w:val="24"/>
                <w:szCs w:val="24"/>
                <w:lang w:val="en-US" w:eastAsia="zh-CN" w:bidi="ar"/>
              </w:rPr>
            </w:pPr>
            <w:r>
              <w:rPr>
                <w:rFonts w:hint="eastAsia" w:ascii="仿宋" w:hAnsi="仿宋" w:eastAsia="仿宋_GB2312" w:cs="仿宋"/>
                <w:color w:val="auto"/>
                <w:kern w:val="0"/>
                <w:sz w:val="24"/>
                <w:szCs w:val="24"/>
                <w:lang w:val="en-US" w:eastAsia="zh-CN" w:bidi="ar"/>
              </w:rPr>
              <w:t>1、完整性：方案内容完整全面，对上述各项内容均有详细描述及说明，得3分；每缺1项，扣1分；不提供不得分。</w:t>
            </w:r>
          </w:p>
          <w:p w14:paraId="245859C9">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仿宋" w:hAnsi="仿宋" w:eastAsia="仿宋_GB2312" w:cs="仿宋"/>
                <w:color w:val="auto"/>
                <w:kern w:val="0"/>
                <w:sz w:val="24"/>
                <w:szCs w:val="24"/>
                <w:lang w:val="en-US" w:eastAsia="zh-CN" w:bidi="ar"/>
              </w:rPr>
            </w:pPr>
            <w:r>
              <w:rPr>
                <w:rFonts w:hint="eastAsia" w:ascii="仿宋" w:hAnsi="仿宋" w:eastAsia="仿宋_GB2312" w:cs="仿宋"/>
                <w:color w:val="auto"/>
                <w:kern w:val="0"/>
                <w:sz w:val="24"/>
                <w:szCs w:val="24"/>
                <w:lang w:val="en-US" w:eastAsia="zh-CN" w:bidi="ar"/>
              </w:rPr>
              <w:t>2、针对性：针对性强，得2分；针对性一般，得1分；缺乏针对性，得0分。</w:t>
            </w:r>
          </w:p>
          <w:p w14:paraId="5CB73C4C">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仿宋" w:hAnsi="仿宋" w:eastAsia="仿宋_GB2312" w:cs="仿宋"/>
                <w:color w:val="auto"/>
                <w:kern w:val="0"/>
                <w:sz w:val="24"/>
                <w:szCs w:val="24"/>
                <w:lang w:val="en-US" w:eastAsia="zh-CN" w:bidi="ar"/>
              </w:rPr>
            </w:pPr>
            <w:r>
              <w:rPr>
                <w:rFonts w:hint="eastAsia" w:ascii="仿宋" w:hAnsi="仿宋" w:eastAsia="仿宋_GB2312" w:cs="仿宋"/>
                <w:color w:val="auto"/>
                <w:kern w:val="0"/>
                <w:sz w:val="24"/>
                <w:szCs w:val="24"/>
                <w:lang w:val="en-US" w:eastAsia="zh-CN" w:bidi="ar"/>
              </w:rPr>
              <w:t>3、可实施性：可实施性强，得2分；可实施性一般，得1分；缺乏可实施性，得0分。</w:t>
            </w:r>
          </w:p>
          <w:p w14:paraId="1ECB1636">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color w:val="auto"/>
                <w:lang w:val="en-US" w:eastAsia="zh-CN"/>
              </w:rPr>
            </w:pPr>
            <w:r>
              <w:rPr>
                <w:rFonts w:hint="eastAsia" w:ascii="仿宋" w:hAnsi="仿宋" w:eastAsia="仿宋_GB2312" w:cs="仿宋"/>
                <w:color w:val="auto"/>
                <w:kern w:val="0"/>
                <w:sz w:val="24"/>
                <w:szCs w:val="24"/>
                <w:lang w:val="en-US" w:eastAsia="zh-CN" w:bidi="ar"/>
              </w:rPr>
              <w:t>4、此项不提供不得分。</w:t>
            </w:r>
          </w:p>
        </w:tc>
        <w:tc>
          <w:tcPr>
            <w:tcW w:w="1170" w:type="dxa"/>
            <w:tcBorders>
              <w:left w:val="nil"/>
              <w:bottom w:val="single" w:color="auto" w:sz="4" w:space="0"/>
              <w:right w:val="single" w:color="000000" w:sz="4" w:space="0"/>
            </w:tcBorders>
            <w:noWrap w:val="0"/>
            <w:vAlign w:val="center"/>
          </w:tcPr>
          <w:p w14:paraId="105416AA">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rPr>
            </w:pPr>
          </w:p>
        </w:tc>
      </w:tr>
      <w:tr w14:paraId="20B4AB49">
        <w:tblPrEx>
          <w:tblCellMar>
            <w:top w:w="0" w:type="dxa"/>
            <w:left w:w="108" w:type="dxa"/>
            <w:bottom w:w="0" w:type="dxa"/>
            <w:right w:w="108" w:type="dxa"/>
          </w:tblCellMar>
        </w:tblPrEx>
        <w:trPr>
          <w:trHeight w:val="4588" w:hRule="atLeast"/>
        </w:trPr>
        <w:tc>
          <w:tcPr>
            <w:tcW w:w="565" w:type="dxa"/>
            <w:vMerge w:val="continue"/>
            <w:tcBorders>
              <w:top w:val="single" w:color="auto" w:sz="4" w:space="0"/>
              <w:left w:val="single" w:color="000000" w:sz="4" w:space="0"/>
              <w:bottom w:val="single" w:color="auto" w:sz="4" w:space="0"/>
              <w:right w:val="single" w:color="000000" w:sz="4" w:space="0"/>
            </w:tcBorders>
            <w:noWrap w:val="0"/>
            <w:vAlign w:val="center"/>
          </w:tcPr>
          <w:p w14:paraId="202B9C4F">
            <w:pPr>
              <w:pStyle w:val="5"/>
              <w:keepNext w:val="0"/>
              <w:keepLines w:val="0"/>
              <w:pageBreakBefore w:val="0"/>
              <w:widowControl/>
              <w:kinsoku/>
              <w:wordWrap/>
              <w:overflowPunct/>
              <w:topLinePunct w:val="0"/>
              <w:bidi w:val="0"/>
              <w:spacing w:line="300" w:lineRule="exact"/>
              <w:ind w:firstLine="0" w:firstLineChars="0"/>
              <w:jc w:val="center"/>
              <w:textAlignment w:val="auto"/>
              <w:rPr>
                <w:rFonts w:hint="eastAsia" w:ascii="仿宋" w:hAnsi="仿宋" w:eastAsia="仿宋" w:cs="仿宋"/>
                <w:color w:val="auto"/>
                <w:sz w:val="24"/>
                <w:szCs w:val="24"/>
              </w:rPr>
            </w:pPr>
          </w:p>
        </w:tc>
        <w:tc>
          <w:tcPr>
            <w:tcW w:w="630" w:type="dxa"/>
            <w:vMerge w:val="continue"/>
            <w:tcBorders>
              <w:top w:val="single" w:color="auto" w:sz="4" w:space="0"/>
              <w:left w:val="nil"/>
              <w:bottom w:val="single" w:color="auto" w:sz="4" w:space="0"/>
              <w:right w:val="single" w:color="000000" w:sz="4" w:space="0"/>
            </w:tcBorders>
            <w:noWrap w:val="0"/>
            <w:vAlign w:val="center"/>
          </w:tcPr>
          <w:p w14:paraId="598ED988">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p>
        </w:tc>
        <w:tc>
          <w:tcPr>
            <w:tcW w:w="765" w:type="dxa"/>
            <w:tcBorders>
              <w:top w:val="single" w:color="auto" w:sz="4" w:space="0"/>
              <w:left w:val="nil"/>
              <w:bottom w:val="single" w:color="auto" w:sz="4" w:space="0"/>
              <w:right w:val="single" w:color="000000" w:sz="4" w:space="0"/>
            </w:tcBorders>
            <w:shd w:val="clear" w:color="auto" w:fill="auto"/>
            <w:noWrap w:val="0"/>
            <w:vAlign w:val="center"/>
          </w:tcPr>
          <w:p w14:paraId="49DB1A6A">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_GB2312" w:cs="仿宋"/>
                <w:color w:val="auto"/>
                <w:sz w:val="24"/>
                <w:szCs w:val="24"/>
                <w:lang w:val="en-US" w:eastAsia="zh-CN"/>
              </w:rPr>
            </w:pPr>
            <w:r>
              <w:rPr>
                <w:rFonts w:hint="eastAsia" w:ascii="仿宋" w:hAnsi="仿宋" w:eastAsia="仿宋_GB2312" w:cs="仿宋"/>
                <w:color w:val="auto"/>
                <w:sz w:val="24"/>
                <w:szCs w:val="24"/>
                <w:lang w:val="en-US" w:eastAsia="zh-CN"/>
              </w:rPr>
              <w:t>培训考核方案8</w:t>
            </w:r>
          </w:p>
        </w:tc>
        <w:tc>
          <w:tcPr>
            <w:tcW w:w="6570" w:type="dxa"/>
            <w:tcBorders>
              <w:top w:val="single" w:color="auto" w:sz="4" w:space="0"/>
              <w:left w:val="nil"/>
              <w:bottom w:val="single" w:color="auto" w:sz="4" w:space="0"/>
              <w:right w:val="single" w:color="000000" w:sz="4" w:space="0"/>
            </w:tcBorders>
            <w:noWrap w:val="0"/>
            <w:vAlign w:val="center"/>
          </w:tcPr>
          <w:p w14:paraId="0D48A9AA">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仿宋" w:hAnsi="仿宋" w:eastAsia="仿宋_GB2312" w:cs="仿宋"/>
                <w:b/>
                <w:bCs/>
                <w:color w:val="auto"/>
                <w:kern w:val="0"/>
                <w:sz w:val="24"/>
                <w:szCs w:val="24"/>
                <w:lang w:val="en-US" w:eastAsia="zh-CN" w:bidi="ar"/>
              </w:rPr>
            </w:pPr>
            <w:r>
              <w:rPr>
                <w:rFonts w:hint="eastAsia" w:ascii="仿宋" w:hAnsi="仿宋" w:eastAsia="仿宋_GB2312" w:cs="仿宋"/>
                <w:b/>
                <w:bCs/>
                <w:color w:val="auto"/>
                <w:kern w:val="0"/>
                <w:sz w:val="24"/>
                <w:szCs w:val="24"/>
                <w:lang w:val="en-US" w:eastAsia="zh-CN" w:bidi="ar"/>
              </w:rPr>
              <w:t xml:space="preserve">一、评审内容 </w:t>
            </w:r>
          </w:p>
          <w:p w14:paraId="240D8CAD">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仿宋" w:hAnsi="仿宋" w:eastAsia="仿宋_GB2312" w:cs="仿宋"/>
                <w:color w:val="auto"/>
                <w:kern w:val="0"/>
                <w:sz w:val="24"/>
                <w:szCs w:val="24"/>
              </w:rPr>
            </w:pPr>
            <w:r>
              <w:rPr>
                <w:rFonts w:hint="eastAsia" w:ascii="仿宋" w:hAnsi="仿宋" w:eastAsia="仿宋_GB2312" w:cs="仿宋"/>
                <w:color w:val="auto"/>
                <w:kern w:val="0"/>
                <w:sz w:val="24"/>
                <w:szCs w:val="24"/>
                <w:lang w:eastAsia="zh-CN"/>
              </w:rPr>
              <w:t>针对本项目</w:t>
            </w:r>
            <w:r>
              <w:rPr>
                <w:rFonts w:hint="eastAsia" w:ascii="仿宋" w:hAnsi="仿宋" w:eastAsia="仿宋_GB2312" w:cs="仿宋"/>
                <w:color w:val="auto"/>
                <w:kern w:val="0"/>
                <w:sz w:val="24"/>
                <w:szCs w:val="24"/>
              </w:rPr>
              <w:t>培训方案</w:t>
            </w:r>
            <w:r>
              <w:rPr>
                <w:rFonts w:hint="eastAsia" w:ascii="仿宋" w:hAnsi="仿宋" w:eastAsia="仿宋_GB2312" w:cs="仿宋"/>
                <w:color w:val="auto"/>
                <w:kern w:val="0"/>
                <w:sz w:val="24"/>
                <w:szCs w:val="24"/>
                <w:lang w:eastAsia="zh-CN"/>
              </w:rPr>
              <w:t>包含：①</w:t>
            </w:r>
            <w:r>
              <w:rPr>
                <w:rFonts w:hint="eastAsia" w:ascii="仿宋" w:hAnsi="仿宋" w:eastAsia="仿宋_GB2312" w:cs="仿宋"/>
                <w:color w:val="auto"/>
                <w:kern w:val="0"/>
                <w:sz w:val="24"/>
                <w:szCs w:val="24"/>
              </w:rPr>
              <w:t>岗前培训</w:t>
            </w:r>
            <w:r>
              <w:rPr>
                <w:rFonts w:hint="eastAsia" w:ascii="仿宋" w:hAnsi="仿宋" w:eastAsia="仿宋_GB2312" w:cs="仿宋"/>
                <w:color w:val="auto"/>
                <w:kern w:val="0"/>
                <w:sz w:val="24"/>
                <w:szCs w:val="24"/>
                <w:lang w:eastAsia="zh-CN"/>
              </w:rPr>
              <w:t>；②开展</w:t>
            </w:r>
            <w:r>
              <w:rPr>
                <w:rFonts w:hint="eastAsia" w:ascii="仿宋" w:hAnsi="仿宋" w:eastAsia="仿宋_GB2312" w:cs="仿宋"/>
                <w:color w:val="auto"/>
                <w:kern w:val="0"/>
                <w:sz w:val="24"/>
                <w:szCs w:val="24"/>
              </w:rPr>
              <w:t>定期</w:t>
            </w:r>
            <w:r>
              <w:rPr>
                <w:rFonts w:hint="eastAsia" w:ascii="仿宋" w:hAnsi="仿宋" w:eastAsia="仿宋_GB2312" w:cs="仿宋"/>
                <w:color w:val="auto"/>
                <w:kern w:val="0"/>
                <w:sz w:val="24"/>
                <w:szCs w:val="24"/>
                <w:lang w:eastAsia="zh-CN"/>
              </w:rPr>
              <w:t>消防、安保</w:t>
            </w:r>
            <w:r>
              <w:rPr>
                <w:rFonts w:hint="eastAsia" w:ascii="仿宋" w:hAnsi="仿宋" w:eastAsia="仿宋_GB2312" w:cs="仿宋"/>
                <w:color w:val="auto"/>
                <w:kern w:val="0"/>
                <w:sz w:val="24"/>
                <w:szCs w:val="24"/>
              </w:rPr>
              <w:t>常态化培训</w:t>
            </w:r>
            <w:r>
              <w:rPr>
                <w:rFonts w:hint="eastAsia" w:ascii="仿宋" w:hAnsi="仿宋" w:eastAsia="仿宋_GB2312" w:cs="仿宋"/>
                <w:color w:val="auto"/>
                <w:kern w:val="0"/>
                <w:sz w:val="24"/>
                <w:szCs w:val="24"/>
                <w:lang w:eastAsia="zh-CN"/>
              </w:rPr>
              <w:t>；③</w:t>
            </w:r>
            <w:r>
              <w:rPr>
                <w:rFonts w:hint="eastAsia" w:ascii="仿宋" w:hAnsi="仿宋" w:eastAsia="仿宋_GB2312" w:cs="仿宋"/>
                <w:color w:val="auto"/>
                <w:kern w:val="0"/>
                <w:sz w:val="24"/>
                <w:szCs w:val="24"/>
              </w:rPr>
              <w:t>安全责任</w:t>
            </w:r>
            <w:r>
              <w:rPr>
                <w:rFonts w:hint="eastAsia" w:ascii="仿宋" w:hAnsi="仿宋" w:eastAsia="仿宋_GB2312" w:cs="仿宋"/>
                <w:color w:val="auto"/>
                <w:kern w:val="0"/>
                <w:sz w:val="24"/>
                <w:szCs w:val="24"/>
                <w:lang w:eastAsia="zh-CN"/>
              </w:rPr>
              <w:t>培训；</w:t>
            </w:r>
            <w:r>
              <w:rPr>
                <w:rFonts w:hint="eastAsia" w:ascii="仿宋" w:hAnsi="仿宋" w:eastAsia="仿宋_GB2312" w:cs="仿宋"/>
                <w:color w:val="auto"/>
                <w:kern w:val="0"/>
                <w:sz w:val="24"/>
                <w:szCs w:val="24"/>
                <w:lang w:val="en-US" w:eastAsia="zh-CN"/>
              </w:rPr>
              <w:t>④</w:t>
            </w:r>
            <w:r>
              <w:rPr>
                <w:rFonts w:hint="eastAsia" w:ascii="仿宋" w:hAnsi="仿宋" w:eastAsia="仿宋_GB2312" w:cs="仿宋"/>
                <w:color w:val="auto"/>
                <w:kern w:val="0"/>
                <w:sz w:val="24"/>
                <w:szCs w:val="24"/>
              </w:rPr>
              <w:t>培训后的成果验收和考核。</w:t>
            </w:r>
          </w:p>
          <w:p w14:paraId="03CE884F">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仿宋" w:hAnsi="仿宋" w:eastAsia="仿宋_GB2312" w:cs="仿宋"/>
                <w:b/>
                <w:bCs/>
                <w:color w:val="auto"/>
                <w:kern w:val="0"/>
                <w:sz w:val="24"/>
                <w:szCs w:val="24"/>
                <w:lang w:val="en-US" w:eastAsia="zh-CN" w:bidi="ar"/>
              </w:rPr>
            </w:pPr>
            <w:r>
              <w:rPr>
                <w:rFonts w:hint="eastAsia" w:ascii="仿宋" w:hAnsi="仿宋" w:eastAsia="仿宋_GB2312" w:cs="仿宋"/>
                <w:b/>
                <w:bCs/>
                <w:color w:val="auto"/>
                <w:kern w:val="0"/>
                <w:sz w:val="24"/>
                <w:szCs w:val="24"/>
                <w:lang w:val="en-US" w:eastAsia="zh-CN" w:bidi="ar"/>
              </w:rPr>
              <w:t xml:space="preserve">二、赋分标准 </w:t>
            </w:r>
          </w:p>
          <w:p w14:paraId="036CB954">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仿宋" w:hAnsi="仿宋" w:eastAsia="仿宋_GB2312" w:cs="仿宋"/>
                <w:color w:val="auto"/>
                <w:sz w:val="24"/>
                <w:szCs w:val="24"/>
                <w:lang w:val="en-US" w:eastAsia="zh-CN"/>
              </w:rPr>
            </w:pPr>
            <w:r>
              <w:rPr>
                <w:rFonts w:hint="eastAsia" w:ascii="仿宋" w:hAnsi="仿宋" w:eastAsia="仿宋_GB2312" w:cs="仿宋"/>
                <w:color w:val="auto"/>
                <w:kern w:val="0"/>
                <w:sz w:val="24"/>
                <w:szCs w:val="24"/>
                <w:lang w:val="en-US" w:eastAsia="zh-CN" w:bidi="ar"/>
              </w:rPr>
              <w:t>1、完整性：方案全面，对评审内容中的各项要求有详细描述及说明，</w:t>
            </w:r>
            <w:r>
              <w:rPr>
                <w:rFonts w:hint="eastAsia" w:ascii="仿宋" w:hAnsi="仿宋" w:eastAsia="仿宋_GB2312" w:cs="仿宋"/>
                <w:color w:val="auto"/>
                <w:sz w:val="24"/>
                <w:szCs w:val="24"/>
                <w:lang w:val="en-US" w:eastAsia="zh-CN"/>
              </w:rPr>
              <w:t>得2分；</w:t>
            </w:r>
            <w:r>
              <w:rPr>
                <w:rFonts w:hint="eastAsia" w:ascii="仿宋" w:hAnsi="仿宋" w:eastAsia="仿宋_GB2312" w:cs="仿宋"/>
                <w:color w:val="auto"/>
                <w:kern w:val="0"/>
                <w:sz w:val="24"/>
                <w:szCs w:val="24"/>
                <w:lang w:val="en-US" w:eastAsia="zh-CN" w:bidi="ar"/>
              </w:rPr>
              <w:t>每缺1项，扣0.5分；不提供不得分。</w:t>
            </w:r>
          </w:p>
          <w:p w14:paraId="1E403792">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仿宋" w:hAnsi="仿宋" w:eastAsia="仿宋_GB2312" w:cs="仿宋"/>
                <w:color w:val="auto"/>
                <w:kern w:val="0"/>
                <w:sz w:val="24"/>
                <w:szCs w:val="24"/>
                <w:lang w:val="en-US" w:eastAsia="zh-CN" w:bidi="ar"/>
              </w:rPr>
            </w:pPr>
            <w:r>
              <w:rPr>
                <w:rFonts w:hint="eastAsia" w:ascii="仿宋" w:hAnsi="仿宋" w:eastAsia="仿宋_GB2312" w:cs="仿宋"/>
                <w:color w:val="auto"/>
                <w:kern w:val="0"/>
                <w:sz w:val="24"/>
                <w:szCs w:val="24"/>
                <w:lang w:val="en-US" w:eastAsia="zh-CN" w:bidi="ar"/>
              </w:rPr>
              <w:t>2、针对性：方案能够紧扣项目实际情况，内容科学合理，</w:t>
            </w:r>
            <w:r>
              <w:rPr>
                <w:rFonts w:hint="eastAsia" w:ascii="仿宋" w:hAnsi="仿宋" w:eastAsia="仿宋_GB2312" w:cs="仿宋"/>
                <w:color w:val="auto"/>
                <w:sz w:val="24"/>
                <w:szCs w:val="24"/>
                <w:lang w:val="en-US" w:eastAsia="zh-CN"/>
              </w:rPr>
              <w:t>针对性强，得3分；针对性一般，得1.5分；缺乏针对性，得0分。</w:t>
            </w:r>
          </w:p>
          <w:p w14:paraId="692BCF92">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仿宋" w:hAnsi="仿宋" w:eastAsia="仿宋_GB2312" w:cs="仿宋"/>
                <w:color w:val="auto"/>
                <w:sz w:val="24"/>
                <w:szCs w:val="24"/>
                <w:lang w:val="en-US" w:eastAsia="zh-CN"/>
              </w:rPr>
            </w:pPr>
            <w:r>
              <w:rPr>
                <w:rFonts w:hint="eastAsia" w:ascii="仿宋" w:hAnsi="仿宋" w:eastAsia="仿宋_GB2312" w:cs="仿宋"/>
                <w:color w:val="auto"/>
                <w:kern w:val="0"/>
                <w:sz w:val="24"/>
                <w:szCs w:val="24"/>
                <w:lang w:val="en-US" w:eastAsia="zh-CN" w:bidi="ar"/>
              </w:rPr>
              <w:t>3、可实施性：切合本项目实际情况，实施步骤清晰、合理</w:t>
            </w:r>
            <w:r>
              <w:rPr>
                <w:rFonts w:hint="eastAsia" w:ascii="仿宋" w:hAnsi="仿宋" w:eastAsia="仿宋_GB2312" w:cs="仿宋"/>
                <w:color w:val="auto"/>
                <w:sz w:val="24"/>
                <w:szCs w:val="24"/>
                <w:lang w:val="en-US" w:eastAsia="zh-CN"/>
              </w:rPr>
              <w:t>可实施性强，得3分；可实施性一般，得1.5分；缺乏可实施性，得0分。</w:t>
            </w:r>
          </w:p>
          <w:p w14:paraId="437CE13B">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仿宋" w:hAnsi="仿宋" w:eastAsia="仿宋_GB2312" w:cs="仿宋"/>
                <w:color w:val="auto"/>
                <w:kern w:val="0"/>
                <w:sz w:val="24"/>
                <w:szCs w:val="24"/>
                <w:lang w:val="en-US" w:eastAsia="zh-CN" w:bidi="ar"/>
              </w:rPr>
            </w:pPr>
            <w:r>
              <w:rPr>
                <w:rFonts w:hint="eastAsia" w:ascii="仿宋" w:hAnsi="仿宋" w:eastAsia="仿宋_GB2312" w:cs="仿宋"/>
                <w:color w:val="auto"/>
                <w:sz w:val="24"/>
                <w:szCs w:val="24"/>
                <w:lang w:val="en-US" w:eastAsia="zh-CN"/>
              </w:rPr>
              <w:t>4、此项不提供不得分。</w:t>
            </w:r>
          </w:p>
        </w:tc>
        <w:tc>
          <w:tcPr>
            <w:tcW w:w="1170" w:type="dxa"/>
            <w:tcBorders>
              <w:left w:val="nil"/>
              <w:bottom w:val="single" w:color="auto" w:sz="4" w:space="0"/>
              <w:right w:val="single" w:color="000000" w:sz="4" w:space="0"/>
            </w:tcBorders>
            <w:noWrap w:val="0"/>
            <w:vAlign w:val="center"/>
          </w:tcPr>
          <w:p w14:paraId="3D819CDD">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rPr>
            </w:pPr>
          </w:p>
        </w:tc>
      </w:tr>
      <w:tr w14:paraId="2F2D7B1C">
        <w:tblPrEx>
          <w:tblCellMar>
            <w:top w:w="0" w:type="dxa"/>
            <w:left w:w="108" w:type="dxa"/>
            <w:bottom w:w="0" w:type="dxa"/>
            <w:right w:w="108" w:type="dxa"/>
          </w:tblCellMar>
        </w:tblPrEx>
        <w:trPr>
          <w:trHeight w:val="3456" w:hRule="atLeast"/>
        </w:trPr>
        <w:tc>
          <w:tcPr>
            <w:tcW w:w="565" w:type="dxa"/>
            <w:vMerge w:val="continue"/>
            <w:tcBorders>
              <w:top w:val="single" w:color="auto" w:sz="4" w:space="0"/>
              <w:left w:val="single" w:color="000000" w:sz="4" w:space="0"/>
              <w:bottom w:val="single" w:color="auto" w:sz="4" w:space="0"/>
              <w:right w:val="single" w:color="000000" w:sz="4" w:space="0"/>
            </w:tcBorders>
            <w:noWrap w:val="0"/>
            <w:vAlign w:val="center"/>
          </w:tcPr>
          <w:p w14:paraId="0A683276">
            <w:pPr>
              <w:pStyle w:val="5"/>
              <w:keepNext w:val="0"/>
              <w:keepLines w:val="0"/>
              <w:pageBreakBefore w:val="0"/>
              <w:widowControl/>
              <w:kinsoku/>
              <w:wordWrap/>
              <w:overflowPunct/>
              <w:topLinePunct w:val="0"/>
              <w:bidi w:val="0"/>
              <w:spacing w:line="300" w:lineRule="exact"/>
              <w:ind w:firstLine="0" w:firstLineChars="0"/>
              <w:jc w:val="center"/>
              <w:textAlignment w:val="auto"/>
              <w:rPr>
                <w:rFonts w:hint="eastAsia" w:ascii="仿宋" w:hAnsi="仿宋" w:eastAsia="仿宋" w:cs="仿宋"/>
                <w:color w:val="auto"/>
                <w:sz w:val="24"/>
                <w:szCs w:val="24"/>
              </w:rPr>
            </w:pPr>
          </w:p>
        </w:tc>
        <w:tc>
          <w:tcPr>
            <w:tcW w:w="630" w:type="dxa"/>
            <w:vMerge w:val="continue"/>
            <w:tcBorders>
              <w:top w:val="single" w:color="auto" w:sz="4" w:space="0"/>
              <w:left w:val="nil"/>
              <w:bottom w:val="single" w:color="auto" w:sz="4" w:space="0"/>
              <w:right w:val="single" w:color="000000" w:sz="4" w:space="0"/>
            </w:tcBorders>
            <w:noWrap w:val="0"/>
            <w:vAlign w:val="center"/>
          </w:tcPr>
          <w:p w14:paraId="1C64230C">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p>
        </w:tc>
        <w:tc>
          <w:tcPr>
            <w:tcW w:w="765" w:type="dxa"/>
            <w:tcBorders>
              <w:top w:val="single" w:color="auto" w:sz="4" w:space="0"/>
              <w:left w:val="nil"/>
              <w:bottom w:val="single" w:color="auto" w:sz="4" w:space="0"/>
              <w:right w:val="single" w:color="000000" w:sz="4" w:space="0"/>
            </w:tcBorders>
            <w:shd w:val="clear" w:color="auto" w:fill="auto"/>
            <w:noWrap w:val="0"/>
            <w:vAlign w:val="center"/>
          </w:tcPr>
          <w:p w14:paraId="6CB70849">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大型活动安保方案</w:t>
            </w:r>
          </w:p>
          <w:p w14:paraId="1FE6A4D4">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6570" w:type="dxa"/>
            <w:tcBorders>
              <w:top w:val="single" w:color="auto" w:sz="4" w:space="0"/>
              <w:left w:val="nil"/>
              <w:bottom w:val="single" w:color="auto" w:sz="4" w:space="0"/>
              <w:right w:val="single" w:color="000000" w:sz="4" w:space="0"/>
            </w:tcBorders>
            <w:shd w:val="clear" w:color="auto" w:fill="auto"/>
            <w:noWrap w:val="0"/>
            <w:vAlign w:val="top"/>
          </w:tcPr>
          <w:p w14:paraId="07B439A0">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仿宋" w:hAnsi="仿宋" w:eastAsia="仿宋_GB2312" w:cs="仿宋"/>
                <w:b/>
                <w:bCs/>
                <w:color w:val="auto"/>
                <w:kern w:val="0"/>
                <w:sz w:val="24"/>
                <w:szCs w:val="24"/>
                <w:lang w:val="en-US" w:eastAsia="zh-CN" w:bidi="ar"/>
              </w:rPr>
            </w:pPr>
            <w:r>
              <w:rPr>
                <w:rFonts w:hint="eastAsia" w:ascii="仿宋" w:hAnsi="仿宋" w:eastAsia="仿宋_GB2312" w:cs="仿宋"/>
                <w:b/>
                <w:bCs/>
                <w:color w:val="auto"/>
                <w:kern w:val="0"/>
                <w:sz w:val="24"/>
                <w:szCs w:val="24"/>
                <w:lang w:val="en-US" w:eastAsia="zh-CN" w:bidi="ar"/>
              </w:rPr>
              <w:t>一、评审内容</w:t>
            </w:r>
          </w:p>
          <w:p w14:paraId="265EFEEF">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仿宋" w:hAnsi="仿宋" w:eastAsia="仿宋_GB2312" w:cs="仿宋"/>
                <w:color w:val="auto"/>
                <w:kern w:val="0"/>
                <w:sz w:val="24"/>
                <w:szCs w:val="24"/>
                <w:lang w:val="en-US" w:eastAsia="zh-CN" w:bidi="ar"/>
              </w:rPr>
            </w:pPr>
            <w:r>
              <w:rPr>
                <w:rFonts w:hint="eastAsia" w:ascii="仿宋" w:hAnsi="仿宋" w:eastAsia="仿宋_GB2312" w:cs="仿宋"/>
                <w:color w:val="auto"/>
                <w:kern w:val="0"/>
                <w:sz w:val="24"/>
                <w:szCs w:val="24"/>
                <w:lang w:val="en-US" w:eastAsia="zh-CN" w:bidi="ar"/>
              </w:rPr>
              <w:t>响应人提供本项目的大型活动安保方案，包括：①大型活动；②大型会议；③上级检查。</w:t>
            </w:r>
          </w:p>
          <w:p w14:paraId="306EC79B">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仿宋" w:hAnsi="仿宋" w:eastAsia="仿宋_GB2312" w:cs="仿宋"/>
                <w:b/>
                <w:bCs/>
                <w:color w:val="auto"/>
                <w:kern w:val="0"/>
                <w:sz w:val="24"/>
                <w:szCs w:val="24"/>
                <w:lang w:val="en-US" w:eastAsia="zh-CN" w:bidi="ar"/>
              </w:rPr>
            </w:pPr>
            <w:r>
              <w:rPr>
                <w:rFonts w:hint="eastAsia" w:ascii="仿宋" w:hAnsi="仿宋" w:eastAsia="仿宋_GB2312" w:cs="仿宋"/>
                <w:b/>
                <w:bCs/>
                <w:color w:val="auto"/>
                <w:kern w:val="0"/>
                <w:sz w:val="24"/>
                <w:szCs w:val="24"/>
                <w:lang w:val="en-US" w:eastAsia="zh-CN" w:bidi="ar"/>
              </w:rPr>
              <w:t>二、赋分标准</w:t>
            </w:r>
          </w:p>
          <w:p w14:paraId="37B2D86C">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default" w:ascii="仿宋" w:hAnsi="仿宋" w:eastAsia="仿宋_GB2312" w:cs="仿宋"/>
                <w:color w:val="auto"/>
                <w:kern w:val="0"/>
                <w:sz w:val="24"/>
                <w:szCs w:val="24"/>
                <w:lang w:val="en-US" w:eastAsia="zh-CN" w:bidi="ar"/>
              </w:rPr>
            </w:pPr>
            <w:r>
              <w:rPr>
                <w:rFonts w:hint="eastAsia" w:ascii="仿宋" w:hAnsi="仿宋" w:eastAsia="仿宋_GB2312" w:cs="仿宋"/>
                <w:color w:val="auto"/>
                <w:kern w:val="0"/>
                <w:sz w:val="24"/>
                <w:szCs w:val="24"/>
                <w:lang w:val="en-US" w:eastAsia="zh-CN" w:bidi="ar"/>
              </w:rPr>
              <w:t>1、完整性：方案内容完整全面，对上述各项内容均有详细描述及说明，得3分；每缺1项，扣1分；不提供不得分.</w:t>
            </w:r>
          </w:p>
          <w:p w14:paraId="6321C498">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仿宋" w:hAnsi="仿宋" w:eastAsia="仿宋_GB2312" w:cs="仿宋"/>
                <w:color w:val="auto"/>
                <w:kern w:val="0"/>
                <w:sz w:val="24"/>
                <w:szCs w:val="24"/>
                <w:lang w:val="en-US" w:eastAsia="zh-CN" w:bidi="ar"/>
              </w:rPr>
            </w:pPr>
            <w:r>
              <w:rPr>
                <w:rFonts w:hint="eastAsia" w:ascii="仿宋" w:hAnsi="仿宋" w:eastAsia="仿宋_GB2312" w:cs="仿宋"/>
                <w:color w:val="auto"/>
                <w:kern w:val="0"/>
                <w:sz w:val="24"/>
                <w:szCs w:val="24"/>
                <w:lang w:val="en-US" w:eastAsia="zh-CN" w:bidi="ar"/>
              </w:rPr>
              <w:t>2、针对性：针对性强，得1.5分；针对性一般，得0.5分；缺乏针对性，得0分。</w:t>
            </w:r>
          </w:p>
          <w:p w14:paraId="3671201A">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仿宋" w:hAnsi="仿宋" w:eastAsia="仿宋_GB2312" w:cs="仿宋"/>
                <w:color w:val="auto"/>
                <w:kern w:val="0"/>
                <w:sz w:val="24"/>
                <w:szCs w:val="24"/>
                <w:lang w:val="en-US" w:eastAsia="zh-CN" w:bidi="ar"/>
              </w:rPr>
            </w:pPr>
            <w:r>
              <w:rPr>
                <w:rFonts w:hint="eastAsia" w:ascii="仿宋" w:hAnsi="仿宋" w:eastAsia="仿宋_GB2312" w:cs="仿宋"/>
                <w:color w:val="auto"/>
                <w:kern w:val="0"/>
                <w:sz w:val="24"/>
                <w:szCs w:val="24"/>
                <w:lang w:val="en-US" w:eastAsia="zh-CN" w:bidi="ar"/>
              </w:rPr>
              <w:t>3、可实施性：可实施性强，得1.5分；可实施性一般，得0.5分；缺乏可实施性，得0分。</w:t>
            </w:r>
          </w:p>
          <w:p w14:paraId="537EAAD8">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仿宋" w:hAnsi="仿宋" w:eastAsia="仿宋_GB2312" w:cs="仿宋"/>
                <w:color w:val="auto"/>
                <w:kern w:val="2"/>
                <w:sz w:val="28"/>
                <w:szCs w:val="28"/>
                <w:lang w:val="en-US" w:eastAsia="zh-CN" w:bidi="ar-SA"/>
              </w:rPr>
            </w:pPr>
            <w:r>
              <w:rPr>
                <w:rFonts w:hint="eastAsia" w:ascii="仿宋" w:hAnsi="仿宋" w:eastAsia="仿宋_GB2312" w:cs="仿宋"/>
                <w:color w:val="auto"/>
                <w:kern w:val="0"/>
                <w:sz w:val="24"/>
                <w:szCs w:val="24"/>
                <w:lang w:val="en-US" w:eastAsia="zh-CN" w:bidi="ar"/>
              </w:rPr>
              <w:t>此项不提供不得分。</w:t>
            </w:r>
          </w:p>
        </w:tc>
        <w:tc>
          <w:tcPr>
            <w:tcW w:w="1170" w:type="dxa"/>
            <w:tcBorders>
              <w:left w:val="nil"/>
              <w:bottom w:val="single" w:color="auto" w:sz="4" w:space="0"/>
              <w:right w:val="single" w:color="000000" w:sz="4" w:space="0"/>
            </w:tcBorders>
            <w:noWrap w:val="0"/>
            <w:vAlign w:val="center"/>
          </w:tcPr>
          <w:p w14:paraId="25DA39A3">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rPr>
            </w:pPr>
          </w:p>
        </w:tc>
      </w:tr>
      <w:tr w14:paraId="51752ECA">
        <w:tblPrEx>
          <w:tblCellMar>
            <w:top w:w="0" w:type="dxa"/>
            <w:left w:w="108" w:type="dxa"/>
            <w:bottom w:w="0" w:type="dxa"/>
            <w:right w:w="108" w:type="dxa"/>
          </w:tblCellMar>
        </w:tblPrEx>
        <w:trPr>
          <w:trHeight w:val="420" w:hRule="atLeast"/>
        </w:trPr>
        <w:tc>
          <w:tcPr>
            <w:tcW w:w="565" w:type="dxa"/>
            <w:vMerge w:val="restart"/>
            <w:tcBorders>
              <w:top w:val="single" w:color="auto" w:sz="4" w:space="0"/>
              <w:left w:val="single" w:color="000000" w:sz="4" w:space="0"/>
              <w:bottom w:val="single" w:color="auto" w:sz="4" w:space="0"/>
              <w:right w:val="single" w:color="000000" w:sz="4" w:space="0"/>
            </w:tcBorders>
            <w:noWrap w:val="0"/>
            <w:vAlign w:val="center"/>
          </w:tcPr>
          <w:p w14:paraId="5232F58D">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_GB2312" w:cs="仿宋"/>
                <w:color w:val="auto"/>
                <w:sz w:val="24"/>
                <w:szCs w:val="24"/>
              </w:rPr>
              <w:t>商务</w:t>
            </w:r>
          </w:p>
        </w:tc>
        <w:tc>
          <w:tcPr>
            <w:tcW w:w="630" w:type="dxa"/>
            <w:vMerge w:val="restart"/>
            <w:tcBorders>
              <w:top w:val="single" w:color="auto" w:sz="4" w:space="0"/>
              <w:left w:val="nil"/>
              <w:bottom w:val="single" w:color="auto" w:sz="4" w:space="0"/>
              <w:right w:val="single" w:color="auto" w:sz="4" w:space="0"/>
            </w:tcBorders>
            <w:noWrap w:val="0"/>
            <w:vAlign w:val="center"/>
          </w:tcPr>
          <w:p w14:paraId="1C4D2C61">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_GB2312" w:cs="仿宋"/>
                <w:color w:val="auto"/>
                <w:sz w:val="24"/>
                <w:szCs w:val="24"/>
                <w:lang w:val="en-US" w:eastAsia="zh-CN"/>
              </w:rPr>
            </w:pPr>
          </w:p>
          <w:p w14:paraId="6CB09A1E">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_GB2312" w:cs="仿宋"/>
                <w:color w:val="auto"/>
                <w:sz w:val="24"/>
                <w:szCs w:val="24"/>
                <w:lang w:val="en-US" w:eastAsia="zh-CN"/>
              </w:rPr>
            </w:pPr>
          </w:p>
          <w:p w14:paraId="06DE45F3">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default" w:ascii="仿宋" w:hAnsi="仿宋" w:eastAsia="仿宋_GB2312" w:cs="仿宋"/>
                <w:color w:val="auto"/>
                <w:sz w:val="24"/>
                <w:szCs w:val="24"/>
                <w:lang w:val="en-US" w:eastAsia="zh-CN"/>
              </w:rPr>
            </w:pPr>
            <w:r>
              <w:rPr>
                <w:rFonts w:hint="eastAsia" w:ascii="仿宋" w:hAnsi="仿宋" w:eastAsia="仿宋_GB2312" w:cs="仿宋"/>
                <w:color w:val="auto"/>
                <w:sz w:val="24"/>
                <w:szCs w:val="24"/>
                <w:lang w:val="en-US" w:eastAsia="zh-CN"/>
              </w:rPr>
              <w:t>10</w:t>
            </w:r>
          </w:p>
          <w:p w14:paraId="6922370D">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_GB2312" w:cs="仿宋"/>
                <w:color w:val="auto"/>
                <w:sz w:val="24"/>
                <w:szCs w:val="24"/>
                <w:lang w:val="en-US" w:eastAsia="zh-CN"/>
              </w:rPr>
            </w:pPr>
          </w:p>
          <w:p w14:paraId="43FC335A">
            <w:pPr>
              <w:keepNext w:val="0"/>
              <w:keepLines w:val="0"/>
              <w:pageBreakBefore w:val="0"/>
              <w:widowControl/>
              <w:kinsoku/>
              <w:wordWrap/>
              <w:overflowPunct/>
              <w:topLinePunct w:val="0"/>
              <w:bidi w:val="0"/>
              <w:snapToGrid w:val="0"/>
              <w:spacing w:line="300" w:lineRule="exact"/>
              <w:ind w:firstLine="243" w:firstLineChars="100"/>
              <w:jc w:val="center"/>
              <w:textAlignment w:val="auto"/>
              <w:rPr>
                <w:rFonts w:hint="default" w:ascii="仿宋" w:hAnsi="仿宋" w:eastAsia="仿宋" w:cs="仿宋"/>
                <w:color w:val="auto"/>
                <w:sz w:val="24"/>
                <w:szCs w:val="24"/>
                <w:lang w:val="en-US" w:eastAsia="zh-CN"/>
              </w:rPr>
            </w:pPr>
          </w:p>
        </w:tc>
        <w:tc>
          <w:tcPr>
            <w:tcW w:w="765" w:type="dxa"/>
            <w:tcBorders>
              <w:top w:val="single" w:color="000000" w:sz="4" w:space="0"/>
              <w:left w:val="single" w:color="auto" w:sz="4" w:space="0"/>
              <w:right w:val="single" w:color="000000" w:sz="4" w:space="0"/>
            </w:tcBorders>
            <w:noWrap w:val="0"/>
            <w:vAlign w:val="center"/>
          </w:tcPr>
          <w:p w14:paraId="1C6DEAFA">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_GB2312" w:cs="仿宋"/>
                <w:color w:val="auto"/>
                <w:sz w:val="24"/>
                <w:szCs w:val="24"/>
                <w:lang w:eastAsia="zh-CN"/>
              </w:rPr>
            </w:pPr>
            <w:r>
              <w:rPr>
                <w:rFonts w:hint="eastAsia" w:ascii="仿宋" w:hAnsi="仿宋" w:eastAsia="仿宋_GB2312" w:cs="仿宋"/>
                <w:color w:val="auto"/>
                <w:sz w:val="24"/>
                <w:szCs w:val="24"/>
                <w:lang w:eastAsia="zh-CN"/>
              </w:rPr>
              <w:t>业绩</w:t>
            </w:r>
          </w:p>
          <w:p w14:paraId="037D9770">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_GB2312" w:cs="仿宋"/>
                <w:color w:val="auto"/>
                <w:sz w:val="24"/>
                <w:szCs w:val="24"/>
                <w:lang w:val="en-US" w:eastAsia="zh-CN"/>
              </w:rPr>
              <w:t>4</w:t>
            </w:r>
          </w:p>
        </w:tc>
        <w:tc>
          <w:tcPr>
            <w:tcW w:w="6570" w:type="dxa"/>
            <w:tcBorders>
              <w:top w:val="single" w:color="auto" w:sz="4" w:space="0"/>
              <w:left w:val="nil"/>
              <w:right w:val="single" w:color="000000" w:sz="4" w:space="0"/>
            </w:tcBorders>
            <w:noWrap w:val="0"/>
            <w:vAlign w:val="center"/>
          </w:tcPr>
          <w:p w14:paraId="28A38766">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仿宋" w:hAnsi="仿宋" w:eastAsia="仿宋" w:cs="仿宋"/>
                <w:color w:val="auto"/>
                <w:sz w:val="24"/>
                <w:szCs w:val="24"/>
              </w:rPr>
            </w:pPr>
            <w:r>
              <w:rPr>
                <w:rFonts w:hint="default" w:ascii="仿宋" w:hAnsi="仿宋" w:eastAsia="仿宋_GB2312" w:cs="仿宋"/>
                <w:color w:val="auto"/>
                <w:kern w:val="0"/>
                <w:sz w:val="24"/>
                <w:szCs w:val="24"/>
                <w:lang w:val="en-US" w:eastAsia="zh-CN" w:bidi="ar"/>
              </w:rPr>
              <w:t>提供 2022年1月1日以来类似项目业绩（以合同签订日期为准），每份合格业绩合同计</w:t>
            </w:r>
            <w:r>
              <w:rPr>
                <w:rFonts w:hint="eastAsia" w:ascii="仿宋" w:hAnsi="仿宋" w:eastAsia="仿宋_GB2312" w:cs="仿宋"/>
                <w:color w:val="auto"/>
                <w:kern w:val="0"/>
                <w:sz w:val="24"/>
                <w:szCs w:val="24"/>
                <w:lang w:val="en-US" w:eastAsia="zh-CN" w:bidi="ar"/>
              </w:rPr>
              <w:t>1</w:t>
            </w:r>
            <w:r>
              <w:rPr>
                <w:rFonts w:hint="default" w:ascii="仿宋" w:hAnsi="仿宋" w:eastAsia="仿宋_GB2312" w:cs="仿宋"/>
                <w:color w:val="auto"/>
                <w:kern w:val="0"/>
                <w:sz w:val="24"/>
                <w:szCs w:val="24"/>
                <w:lang w:val="en-US" w:eastAsia="zh-CN" w:bidi="ar"/>
              </w:rPr>
              <w:t>分，满分</w:t>
            </w:r>
            <w:r>
              <w:rPr>
                <w:rFonts w:hint="eastAsia" w:ascii="仿宋" w:hAnsi="仿宋" w:eastAsia="仿宋_GB2312" w:cs="仿宋"/>
                <w:color w:val="auto"/>
                <w:kern w:val="0"/>
                <w:sz w:val="24"/>
                <w:szCs w:val="24"/>
                <w:lang w:val="en-US" w:eastAsia="zh-CN" w:bidi="ar"/>
              </w:rPr>
              <w:t>4</w:t>
            </w:r>
            <w:r>
              <w:rPr>
                <w:rFonts w:hint="default" w:ascii="仿宋" w:hAnsi="仿宋" w:eastAsia="仿宋_GB2312" w:cs="仿宋"/>
                <w:color w:val="auto"/>
                <w:kern w:val="0"/>
                <w:sz w:val="24"/>
                <w:szCs w:val="24"/>
                <w:lang w:val="en-US" w:eastAsia="zh-CN" w:bidi="ar"/>
              </w:rPr>
              <w:t>分； 备注：须提供完整合同业绩及对应发票复印件（发票可提供服务期内任意一张），并加盖供应商公章，以上两种证明材料同时提供方可得分，否则不得分。</w:t>
            </w:r>
          </w:p>
        </w:tc>
        <w:tc>
          <w:tcPr>
            <w:tcW w:w="1170" w:type="dxa"/>
            <w:tcBorders>
              <w:top w:val="single" w:color="auto" w:sz="4" w:space="0"/>
              <w:left w:val="nil"/>
              <w:bottom w:val="single" w:color="auto" w:sz="4" w:space="0"/>
              <w:right w:val="single" w:color="000000" w:sz="4" w:space="0"/>
            </w:tcBorders>
            <w:noWrap w:val="0"/>
            <w:vAlign w:val="center"/>
          </w:tcPr>
          <w:p w14:paraId="300A7334">
            <w:pPr>
              <w:keepNext w:val="0"/>
              <w:keepLines w:val="0"/>
              <w:pageBreakBefore w:val="0"/>
              <w:widowControl/>
              <w:kinsoku/>
              <w:wordWrap/>
              <w:overflowPunct/>
              <w:topLinePunct w:val="0"/>
              <w:bidi w:val="0"/>
              <w:snapToGrid w:val="0"/>
              <w:spacing w:line="300" w:lineRule="exact"/>
              <w:ind w:firstLine="0" w:firstLineChars="0"/>
              <w:textAlignment w:val="auto"/>
              <w:rPr>
                <w:rFonts w:hint="eastAsia" w:ascii="仿宋" w:hAnsi="仿宋" w:eastAsia="仿宋" w:cs="仿宋"/>
                <w:color w:val="auto"/>
                <w:sz w:val="24"/>
                <w:szCs w:val="24"/>
              </w:rPr>
            </w:pPr>
            <w:r>
              <w:rPr>
                <w:rFonts w:hint="eastAsia" w:ascii="仿宋" w:hAnsi="仿宋" w:eastAsia="仿宋_GB2312" w:cs="仿宋"/>
                <w:color w:val="auto"/>
                <w:sz w:val="24"/>
                <w:szCs w:val="24"/>
              </w:rPr>
              <w:t>合同原件</w:t>
            </w:r>
            <w:r>
              <w:rPr>
                <w:rFonts w:hint="eastAsia" w:ascii="仿宋" w:hAnsi="仿宋" w:eastAsia="仿宋_GB2312" w:cs="仿宋"/>
                <w:color w:val="auto"/>
                <w:sz w:val="24"/>
                <w:szCs w:val="24"/>
                <w:lang w:eastAsia="zh-CN"/>
              </w:rPr>
              <w:t>或复印件（复印件加盖供应商公章）</w:t>
            </w:r>
            <w:r>
              <w:rPr>
                <w:rFonts w:hint="eastAsia" w:ascii="仿宋" w:hAnsi="仿宋" w:eastAsia="仿宋_GB2312" w:cs="仿宋"/>
                <w:color w:val="auto"/>
                <w:sz w:val="24"/>
                <w:szCs w:val="24"/>
              </w:rPr>
              <w:t>。</w:t>
            </w:r>
          </w:p>
        </w:tc>
      </w:tr>
      <w:tr w14:paraId="04C94B7C">
        <w:tblPrEx>
          <w:tblCellMar>
            <w:top w:w="0" w:type="dxa"/>
            <w:left w:w="108" w:type="dxa"/>
            <w:bottom w:w="0" w:type="dxa"/>
            <w:right w:w="108" w:type="dxa"/>
          </w:tblCellMar>
        </w:tblPrEx>
        <w:trPr>
          <w:trHeight w:val="390" w:hRule="atLeast"/>
        </w:trPr>
        <w:tc>
          <w:tcPr>
            <w:tcW w:w="565" w:type="dxa"/>
            <w:vMerge w:val="continue"/>
            <w:tcBorders>
              <w:top w:val="single" w:color="auto" w:sz="4" w:space="0"/>
              <w:left w:val="single" w:color="000000" w:sz="4" w:space="0"/>
              <w:bottom w:val="single" w:color="auto" w:sz="4" w:space="0"/>
              <w:right w:val="single" w:color="000000" w:sz="4" w:space="0"/>
            </w:tcBorders>
            <w:noWrap w:val="0"/>
            <w:vAlign w:val="center"/>
          </w:tcPr>
          <w:p w14:paraId="6E3F5455">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p>
        </w:tc>
        <w:tc>
          <w:tcPr>
            <w:tcW w:w="630" w:type="dxa"/>
            <w:vMerge w:val="continue"/>
            <w:tcBorders>
              <w:top w:val="single" w:color="auto" w:sz="4" w:space="0"/>
              <w:left w:val="single" w:color="000000" w:sz="4" w:space="0"/>
              <w:bottom w:val="single" w:color="auto" w:sz="4" w:space="0"/>
              <w:right w:val="single" w:color="auto" w:sz="4" w:space="0"/>
            </w:tcBorders>
            <w:noWrap w:val="0"/>
            <w:vAlign w:val="center"/>
          </w:tcPr>
          <w:p w14:paraId="6D49FDF4">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010653B0">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_GB2312" w:cs="仿宋"/>
                <w:color w:val="auto"/>
                <w:sz w:val="24"/>
                <w:szCs w:val="24"/>
                <w:lang w:eastAsia="zh-CN"/>
              </w:rPr>
            </w:pPr>
            <w:r>
              <w:rPr>
                <w:rFonts w:hint="eastAsia" w:ascii="仿宋" w:hAnsi="仿宋" w:eastAsia="仿宋_GB2312" w:cs="仿宋"/>
                <w:color w:val="auto"/>
                <w:sz w:val="24"/>
                <w:szCs w:val="24"/>
                <w:lang w:eastAsia="zh-CN"/>
              </w:rPr>
              <w:t>承诺</w:t>
            </w:r>
          </w:p>
          <w:p w14:paraId="1EF6E3D0">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_GB2312" w:cs="仿宋"/>
                <w:color w:val="auto"/>
                <w:sz w:val="24"/>
                <w:szCs w:val="24"/>
                <w:lang w:val="en-US" w:eastAsia="zh-CN"/>
              </w:rPr>
              <w:t>6</w:t>
            </w:r>
          </w:p>
        </w:tc>
        <w:tc>
          <w:tcPr>
            <w:tcW w:w="6570" w:type="dxa"/>
            <w:tcBorders>
              <w:top w:val="single" w:color="auto" w:sz="4" w:space="0"/>
              <w:left w:val="single" w:color="auto" w:sz="4" w:space="0"/>
              <w:bottom w:val="single" w:color="auto" w:sz="4" w:space="0"/>
              <w:right w:val="single" w:color="auto" w:sz="4" w:space="0"/>
            </w:tcBorders>
            <w:noWrap w:val="0"/>
            <w:vAlign w:val="top"/>
          </w:tcPr>
          <w:p w14:paraId="093F505F">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承诺：接受采购人对本项目服务的考核、监督及管理， 定期调研采购人对服务质量的满意度并加以改进，确保服务工作的优质高效，得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 xml:space="preserve">分。无承诺不得分。 </w:t>
            </w:r>
          </w:p>
          <w:p w14:paraId="5A8746A5">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承诺：上岗人员固定，不随意更换，若出现服务人员因事、病等不能工作的，能及时调整其他服务人员补充，确保服务工作的正常进行。人事变动及人事任免权由医院保卫科考查任命；人员辞退权归医院保卫科。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分。无承诺不得分。</w:t>
            </w:r>
          </w:p>
          <w:p w14:paraId="217F2CFA">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服务优化：针对本项目工作提出合理化建议，提供特色的管理服务思路和措施、增值服务等，</w:t>
            </w:r>
            <w:r>
              <w:rPr>
                <w:rFonts w:hint="eastAsia" w:ascii="仿宋" w:hAnsi="仿宋" w:eastAsia="仿宋" w:cs="仿宋"/>
                <w:color w:val="auto"/>
                <w:sz w:val="24"/>
                <w:szCs w:val="24"/>
                <w:lang w:val="en-US" w:eastAsia="zh-CN"/>
              </w:rPr>
              <w:t>每项1分，</w:t>
            </w:r>
            <w:r>
              <w:rPr>
                <w:rFonts w:hint="eastAsia" w:ascii="仿宋" w:hAnsi="仿宋" w:eastAsia="仿宋" w:cs="仿宋"/>
                <w:color w:val="auto"/>
                <w:sz w:val="24"/>
                <w:szCs w:val="24"/>
                <w:lang w:eastAsia="zh-CN"/>
              </w:rPr>
              <w:t>最多得</w:t>
            </w:r>
            <w:r>
              <w:rPr>
                <w:rFonts w:hint="eastAsia" w:ascii="仿宋" w:hAnsi="仿宋" w:eastAsia="仿宋" w:cs="仿宋"/>
                <w:color w:val="auto"/>
                <w:sz w:val="24"/>
                <w:szCs w:val="24"/>
                <w:lang w:val="en-US" w:eastAsia="zh-CN"/>
              </w:rPr>
              <w:t>2分。无建议不得分。</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62D2696">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p>
        </w:tc>
      </w:tr>
      <w:tr w14:paraId="74C001ED">
        <w:tblPrEx>
          <w:tblCellMar>
            <w:top w:w="0" w:type="dxa"/>
            <w:left w:w="108" w:type="dxa"/>
            <w:bottom w:w="0" w:type="dxa"/>
            <w:right w:w="108" w:type="dxa"/>
          </w:tblCellMar>
        </w:tblPrEx>
        <w:trPr>
          <w:trHeight w:val="4453" w:hRule="atLeast"/>
        </w:trPr>
        <w:tc>
          <w:tcPr>
            <w:tcW w:w="1195" w:type="dxa"/>
            <w:gridSpan w:val="2"/>
            <w:vMerge w:val="restart"/>
            <w:tcBorders>
              <w:top w:val="single" w:color="auto" w:sz="4" w:space="0"/>
              <w:left w:val="single" w:color="000000" w:sz="4" w:space="0"/>
              <w:bottom w:val="single" w:color="auto" w:sz="4" w:space="0"/>
              <w:right w:val="single" w:color="auto" w:sz="4" w:space="0"/>
            </w:tcBorders>
            <w:noWrap w:val="0"/>
            <w:vAlign w:val="center"/>
          </w:tcPr>
          <w:p w14:paraId="2A632B95">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_GB2312" w:cs="仿宋"/>
                <w:b/>
                <w:bCs/>
                <w:color w:val="auto"/>
              </w:rPr>
              <w:t>说明</w:t>
            </w:r>
          </w:p>
        </w:tc>
        <w:tc>
          <w:tcPr>
            <w:tcW w:w="8505" w:type="dxa"/>
            <w:gridSpan w:val="3"/>
            <w:tcBorders>
              <w:top w:val="single" w:color="auto" w:sz="4" w:space="0"/>
              <w:left w:val="single" w:color="auto" w:sz="4" w:space="0"/>
              <w:bottom w:val="single" w:color="auto" w:sz="4" w:space="0"/>
              <w:right w:val="single" w:color="auto" w:sz="4" w:space="0"/>
            </w:tcBorders>
            <w:noWrap w:val="0"/>
            <w:vAlign w:val="center"/>
          </w:tcPr>
          <w:p w14:paraId="65C7A582">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default" w:ascii="仿宋" w:hAnsi="仿宋" w:eastAsia="仿宋_GB2312" w:cs="仿宋"/>
                <w:b/>
                <w:bCs/>
                <w:color w:val="auto"/>
                <w:kern w:val="0"/>
                <w:sz w:val="24"/>
                <w:szCs w:val="24"/>
                <w:lang w:val="en-US" w:eastAsia="zh-CN" w:bidi="ar"/>
              </w:rPr>
            </w:pPr>
            <w:r>
              <w:rPr>
                <w:rFonts w:hint="default" w:ascii="仿宋" w:hAnsi="仿宋" w:eastAsia="仿宋_GB2312" w:cs="仿宋"/>
                <w:b/>
                <w:bCs/>
                <w:color w:val="auto"/>
                <w:kern w:val="0"/>
                <w:sz w:val="24"/>
                <w:szCs w:val="24"/>
                <w:lang w:val="en-US" w:eastAsia="zh-CN" w:bidi="ar"/>
              </w:rPr>
              <w:t>评审标准：</w:t>
            </w:r>
          </w:p>
          <w:p w14:paraId="0FFDCFAF">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default" w:ascii="仿宋" w:hAnsi="仿宋" w:eastAsia="仿宋_GB2312" w:cs="仿宋"/>
                <w:color w:val="auto"/>
                <w:kern w:val="0"/>
                <w:sz w:val="24"/>
                <w:szCs w:val="24"/>
                <w:lang w:val="en-US" w:eastAsia="zh-CN" w:bidi="ar"/>
              </w:rPr>
            </w:pPr>
            <w:r>
              <w:rPr>
                <w:rFonts w:hint="default" w:ascii="仿宋" w:hAnsi="仿宋" w:eastAsia="仿宋_GB2312" w:cs="仿宋"/>
                <w:color w:val="auto"/>
                <w:kern w:val="0"/>
                <w:sz w:val="24"/>
                <w:szCs w:val="24"/>
                <w:lang w:val="en-US" w:eastAsia="zh-CN" w:bidi="ar"/>
              </w:rPr>
              <w:t>1、针对性：</w:t>
            </w:r>
          </w:p>
          <w:p w14:paraId="0DD7E1C8">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default" w:ascii="仿宋" w:hAnsi="仿宋" w:eastAsia="仿宋_GB2312" w:cs="仿宋"/>
                <w:color w:val="auto"/>
                <w:kern w:val="0"/>
                <w:sz w:val="24"/>
                <w:szCs w:val="24"/>
                <w:lang w:val="en-US" w:eastAsia="zh-CN" w:bidi="ar"/>
              </w:rPr>
            </w:pPr>
            <w:r>
              <w:rPr>
                <w:rFonts w:hint="default" w:ascii="仿宋" w:hAnsi="仿宋" w:eastAsia="仿宋_GB2312" w:cs="仿宋"/>
                <w:color w:val="auto"/>
                <w:kern w:val="0"/>
                <w:sz w:val="24"/>
                <w:szCs w:val="24"/>
                <w:lang w:val="en-US" w:eastAsia="zh-CN" w:bidi="ar"/>
              </w:rPr>
              <w:t>（1）针对性强：方案能够完全切合本项目实际情况。</w:t>
            </w:r>
          </w:p>
          <w:p w14:paraId="76D72B0B">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default" w:ascii="仿宋" w:hAnsi="仿宋" w:eastAsia="仿宋_GB2312" w:cs="仿宋"/>
                <w:color w:val="auto"/>
                <w:kern w:val="0"/>
                <w:sz w:val="24"/>
                <w:szCs w:val="24"/>
                <w:lang w:val="en-US" w:eastAsia="zh-CN" w:bidi="ar"/>
              </w:rPr>
            </w:pPr>
            <w:r>
              <w:rPr>
                <w:rFonts w:hint="default" w:ascii="仿宋" w:hAnsi="仿宋" w:eastAsia="仿宋_GB2312" w:cs="仿宋"/>
                <w:color w:val="auto"/>
                <w:kern w:val="0"/>
                <w:sz w:val="24"/>
                <w:szCs w:val="24"/>
                <w:lang w:val="en-US" w:eastAsia="zh-CN" w:bidi="ar"/>
              </w:rPr>
              <w:t>（2）针对性一般：方案中多数内容能够切合本项目实际情况，但存在至少一处不适用本项目实际的内容。</w:t>
            </w:r>
          </w:p>
          <w:p w14:paraId="210A8289">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default" w:ascii="仿宋" w:hAnsi="仿宋" w:eastAsia="仿宋_GB2312" w:cs="仿宋"/>
                <w:color w:val="auto"/>
                <w:kern w:val="0"/>
                <w:sz w:val="24"/>
                <w:szCs w:val="24"/>
                <w:lang w:val="en-US" w:eastAsia="zh-CN" w:bidi="ar"/>
              </w:rPr>
            </w:pPr>
            <w:r>
              <w:rPr>
                <w:rFonts w:hint="default" w:ascii="仿宋" w:hAnsi="仿宋" w:eastAsia="仿宋_GB2312" w:cs="仿宋"/>
                <w:color w:val="auto"/>
                <w:kern w:val="0"/>
                <w:sz w:val="24"/>
                <w:szCs w:val="24"/>
                <w:lang w:val="en-US" w:eastAsia="zh-CN" w:bidi="ar"/>
              </w:rPr>
              <w:t>（3）缺乏针对性：方案描述不符合本项目实际情况，存在明显套用其他项目方案的内容。</w:t>
            </w:r>
          </w:p>
          <w:p w14:paraId="031C9FE4">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default" w:ascii="仿宋" w:hAnsi="仿宋" w:eastAsia="仿宋_GB2312" w:cs="仿宋"/>
                <w:color w:val="auto"/>
                <w:kern w:val="0"/>
                <w:sz w:val="24"/>
                <w:szCs w:val="24"/>
                <w:lang w:val="en-US" w:eastAsia="zh-CN" w:bidi="ar"/>
              </w:rPr>
            </w:pPr>
            <w:r>
              <w:rPr>
                <w:rFonts w:hint="default" w:ascii="仿宋" w:hAnsi="仿宋" w:eastAsia="仿宋_GB2312" w:cs="仿宋"/>
                <w:color w:val="auto"/>
                <w:kern w:val="0"/>
                <w:sz w:val="24"/>
                <w:szCs w:val="24"/>
                <w:lang w:val="en-US" w:eastAsia="zh-CN" w:bidi="ar"/>
              </w:rPr>
              <w:t>2、可实施性：</w:t>
            </w:r>
          </w:p>
          <w:p w14:paraId="7ECE7E8C">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default" w:ascii="仿宋" w:hAnsi="仿宋" w:eastAsia="仿宋_GB2312" w:cs="仿宋"/>
                <w:color w:val="auto"/>
                <w:kern w:val="0"/>
                <w:sz w:val="24"/>
                <w:szCs w:val="24"/>
                <w:lang w:val="en-US" w:eastAsia="zh-CN" w:bidi="ar"/>
              </w:rPr>
            </w:pPr>
            <w:r>
              <w:rPr>
                <w:rFonts w:hint="default" w:ascii="仿宋" w:hAnsi="仿宋" w:eastAsia="仿宋_GB2312" w:cs="仿宋"/>
                <w:color w:val="auto"/>
                <w:kern w:val="0"/>
                <w:sz w:val="24"/>
                <w:szCs w:val="24"/>
                <w:lang w:val="en-US" w:eastAsia="zh-CN" w:bidi="ar"/>
              </w:rPr>
              <w:t>（1）可实施性强：方案工作流程完善，实施步骤清晰，科学合理，可操作性强。</w:t>
            </w:r>
          </w:p>
          <w:p w14:paraId="65446746">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default" w:ascii="仿宋" w:hAnsi="仿宋" w:eastAsia="仿宋_GB2312" w:cs="仿宋"/>
                <w:color w:val="auto"/>
                <w:kern w:val="0"/>
                <w:sz w:val="24"/>
                <w:szCs w:val="24"/>
                <w:lang w:val="en-US" w:eastAsia="zh-CN" w:bidi="ar"/>
              </w:rPr>
            </w:pPr>
            <w:r>
              <w:rPr>
                <w:rFonts w:hint="default" w:ascii="仿宋" w:hAnsi="仿宋" w:eastAsia="仿宋_GB2312" w:cs="仿宋"/>
                <w:color w:val="auto"/>
                <w:kern w:val="0"/>
                <w:sz w:val="24"/>
                <w:szCs w:val="24"/>
                <w:lang w:val="en-US" w:eastAsia="zh-CN" w:bidi="ar"/>
              </w:rPr>
              <w:t>（2）可实施性一般：方案中存在至少一处表述模糊、难以执行或不够科学合理的内容。</w:t>
            </w:r>
          </w:p>
          <w:p w14:paraId="4121B900">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auto"/>
              <w:rPr>
                <w:rFonts w:hint="eastAsia" w:ascii="仿宋" w:hAnsi="仿宋" w:eastAsia="仿宋" w:cs="仿宋"/>
                <w:color w:val="auto"/>
                <w:sz w:val="24"/>
                <w:szCs w:val="24"/>
              </w:rPr>
            </w:pPr>
            <w:r>
              <w:rPr>
                <w:rFonts w:hint="default" w:ascii="仿宋" w:hAnsi="仿宋" w:eastAsia="仿宋_GB2312" w:cs="仿宋"/>
                <w:color w:val="auto"/>
                <w:kern w:val="0"/>
                <w:sz w:val="24"/>
                <w:szCs w:val="24"/>
                <w:lang w:val="en-US" w:eastAsia="zh-CN" w:bidi="ar"/>
              </w:rPr>
              <w:t>（3）缺乏可实施性：方案内容空洞，工作流程不完善，实施标准、实施质量不利于采购需求的实现，存在逻辑漏洞、常识错误或合理性差。</w:t>
            </w:r>
          </w:p>
        </w:tc>
      </w:tr>
      <w:tr w14:paraId="22337B2E">
        <w:tblPrEx>
          <w:tblCellMar>
            <w:top w:w="0" w:type="dxa"/>
            <w:left w:w="108" w:type="dxa"/>
            <w:bottom w:w="0" w:type="dxa"/>
            <w:right w:w="108" w:type="dxa"/>
          </w:tblCellMar>
        </w:tblPrEx>
        <w:trPr>
          <w:trHeight w:val="2579" w:hRule="atLeast"/>
        </w:trPr>
        <w:tc>
          <w:tcPr>
            <w:tcW w:w="1195" w:type="dxa"/>
            <w:gridSpan w:val="2"/>
            <w:vMerge w:val="continue"/>
            <w:tcBorders>
              <w:left w:val="single" w:color="000000" w:sz="4" w:space="0"/>
              <w:bottom w:val="single" w:color="auto" w:sz="4" w:space="0"/>
              <w:right w:val="single" w:color="auto" w:sz="4" w:space="0"/>
            </w:tcBorders>
            <w:noWrap w:val="0"/>
            <w:vAlign w:val="center"/>
          </w:tcPr>
          <w:p w14:paraId="39E911E5">
            <w:pPr>
              <w:keepNext w:val="0"/>
              <w:keepLines w:val="0"/>
              <w:pageBreakBefore w:val="0"/>
              <w:widowControl/>
              <w:kinsoku/>
              <w:wordWrap/>
              <w:overflowPunct/>
              <w:topLinePunct w:val="0"/>
              <w:bidi w:val="0"/>
              <w:snapToGrid w:val="0"/>
              <w:spacing w:line="300" w:lineRule="exact"/>
              <w:ind w:firstLine="0" w:firstLineChars="0"/>
              <w:jc w:val="center"/>
              <w:textAlignment w:val="auto"/>
              <w:rPr>
                <w:rFonts w:hint="eastAsia" w:ascii="仿宋" w:hAnsi="仿宋" w:eastAsia="仿宋" w:cs="仿宋"/>
                <w:b/>
                <w:bCs/>
                <w:color w:val="auto"/>
              </w:rPr>
            </w:pPr>
          </w:p>
        </w:tc>
        <w:tc>
          <w:tcPr>
            <w:tcW w:w="8505" w:type="dxa"/>
            <w:gridSpan w:val="3"/>
            <w:tcBorders>
              <w:top w:val="single" w:color="auto" w:sz="4" w:space="0"/>
              <w:left w:val="single" w:color="auto" w:sz="4" w:space="0"/>
              <w:bottom w:val="single" w:color="auto" w:sz="4" w:space="0"/>
              <w:right w:val="single" w:color="auto" w:sz="4" w:space="0"/>
            </w:tcBorders>
            <w:noWrap w:val="0"/>
            <w:vAlign w:val="center"/>
          </w:tcPr>
          <w:p w14:paraId="0EA6B362">
            <w:pPr>
              <w:keepNext w:val="0"/>
              <w:keepLines w:val="0"/>
              <w:pageBreakBefore w:val="0"/>
              <w:widowControl/>
              <w:kinsoku/>
              <w:wordWrap/>
              <w:overflowPunct/>
              <w:topLinePunct w:val="0"/>
              <w:autoSpaceDE/>
              <w:autoSpaceDN/>
              <w:bidi w:val="0"/>
              <w:adjustRightInd/>
              <w:snapToGrid w:val="0"/>
              <w:spacing w:line="360" w:lineRule="exact"/>
              <w:ind w:firstLine="0" w:firstLineChars="0"/>
              <w:jc w:val="both"/>
              <w:textAlignment w:val="auto"/>
              <w:rPr>
                <w:rFonts w:hint="eastAsia" w:ascii="仿宋" w:hAnsi="仿宋" w:eastAsia="仿宋" w:cs="仿宋"/>
                <w:color w:val="auto"/>
                <w:sz w:val="24"/>
                <w:szCs w:val="24"/>
              </w:rPr>
            </w:pPr>
            <w:r>
              <w:rPr>
                <w:rFonts w:hint="default" w:ascii="Times New Roman" w:hAnsi="Times New Roman" w:eastAsia="仿宋_GB2312" w:cs="Times New Roman"/>
                <w:b/>
                <w:bCs/>
                <w:color w:val="auto"/>
                <w:sz w:val="24"/>
                <w:szCs w:val="24"/>
                <w:lang w:eastAsia="zh-CN"/>
              </w:rPr>
              <w:t>注：</w:t>
            </w:r>
            <w:r>
              <w:rPr>
                <w:rFonts w:hint="default" w:ascii="Times New Roman" w:hAnsi="Times New Roman" w:eastAsia="仿宋_GB2312" w:cs="Times New Roman"/>
                <w:color w:val="auto"/>
                <w:sz w:val="24"/>
                <w:szCs w:val="24"/>
                <w:lang w:eastAsia="zh-CN"/>
              </w:rPr>
              <w:t>1.各种计算数字“四舍五入”保留二位小数。2.响应人提供的资质证书、企业经营状况及声明，经查证为虚假、伪造的，依照《政府采购法》第七十七条之规定处理。</w:t>
            </w:r>
            <w:r>
              <w:rPr>
                <w:rFonts w:hint="default" w:ascii="Times New Roman" w:hAnsi="Times New Roman" w:eastAsia="仿宋_GB2312" w:cs="Times New Roman"/>
                <w:b/>
                <w:bCs/>
                <w:color w:val="auto"/>
                <w:sz w:val="24"/>
                <w:szCs w:val="24"/>
                <w:lang w:eastAsia="zh-CN"/>
              </w:rPr>
              <w:t>3.响应人针对《评审要素及分值一览表 》中各打分项目的相关说明，需在提交的响应文件中标注该说明所在具体位置及页码</w:t>
            </w:r>
            <w:r>
              <w:rPr>
                <w:rFonts w:hint="default" w:ascii="Times New Roman" w:hAnsi="Times New Roman" w:eastAsia="仿宋_GB2312" w:cs="Times New Roman"/>
                <w:color w:val="auto"/>
                <w:sz w:val="24"/>
                <w:szCs w:val="24"/>
                <w:lang w:eastAsia="zh-CN"/>
              </w:rPr>
              <w:t>。4.为确保合同的真实性，采购代理机构视情况可对响应人提供的合同与中标公告一并公示。</w:t>
            </w:r>
          </w:p>
        </w:tc>
      </w:tr>
    </w:tbl>
    <w:p w14:paraId="1CDDB082">
      <w:pPr>
        <w:pageBreakBefore w:val="0"/>
        <w:widowControl/>
        <w:kinsoku/>
        <w:overflowPunct/>
        <w:topLinePunct w:val="0"/>
        <w:autoSpaceDE/>
        <w:autoSpaceDN/>
        <w:bidi w:val="0"/>
        <w:adjustRightInd/>
        <w:spacing w:line="470" w:lineRule="exact"/>
        <w:ind w:firstLine="566" w:firstLineChars="200"/>
        <w:textAlignment w:val="auto"/>
        <w:rPr>
          <w:rFonts w:hint="eastAsia" w:ascii="仿宋_GB2312" w:hAnsi="仿宋_GB2312" w:eastAsia="仿宋_GB2312" w:cs="仿宋_GB2312"/>
          <w:b/>
          <w:color w:val="auto"/>
        </w:rPr>
      </w:pPr>
      <w:r>
        <w:rPr>
          <w:rFonts w:hint="eastAsia" w:ascii="仿宋_GB2312" w:hAnsi="仿宋_GB2312" w:eastAsia="仿宋_GB2312" w:cs="仿宋_GB2312"/>
          <w:b/>
          <w:color w:val="auto"/>
        </w:rPr>
        <w:t>9、推荐成交候选供应商</w:t>
      </w:r>
    </w:p>
    <w:p w14:paraId="7FC927D7">
      <w:pPr>
        <w:pageBreakBefore w:val="0"/>
        <w:widowControl/>
        <w:kinsoku/>
        <w:overflowPunct/>
        <w:topLinePunct w:val="0"/>
        <w:autoSpaceDE/>
        <w:autoSpaceDN/>
        <w:bidi w:val="0"/>
        <w:adjustRightInd/>
        <w:spacing w:line="47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磋商小组应当根据综合评分情况，按照评审得分由高到低顺序推荐3名以上成交候选供应商（有效供应商不足三家时以实际数量推荐）。评审得分相同的，按照最后报价由低到高的顺序推荐。评审得分且最后报价相同的，按照技术指标优劣顺序推荐。</w:t>
      </w:r>
    </w:p>
    <w:p w14:paraId="630A6148">
      <w:pPr>
        <w:pageBreakBefore w:val="0"/>
        <w:widowControl/>
        <w:kinsoku/>
        <w:overflowPunct/>
        <w:topLinePunct w:val="0"/>
        <w:autoSpaceDE/>
        <w:autoSpaceDN/>
        <w:bidi w:val="0"/>
        <w:adjustRightInd/>
        <w:spacing w:line="470" w:lineRule="exact"/>
        <w:ind w:firstLine="566" w:firstLineChars="200"/>
        <w:textAlignment w:val="auto"/>
        <w:rPr>
          <w:rFonts w:hint="eastAsia" w:ascii="仿宋_GB2312" w:hAnsi="仿宋_GB2312" w:eastAsia="仿宋_GB2312" w:cs="仿宋_GB2312"/>
          <w:b/>
          <w:color w:val="auto"/>
        </w:rPr>
      </w:pPr>
      <w:r>
        <w:rPr>
          <w:rFonts w:hint="eastAsia" w:ascii="仿宋_GB2312" w:hAnsi="仿宋_GB2312" w:eastAsia="仿宋_GB2312" w:cs="仿宋_GB2312"/>
          <w:b/>
          <w:color w:val="auto"/>
        </w:rPr>
        <w:t>10、编写评审报告</w:t>
      </w:r>
    </w:p>
    <w:p w14:paraId="204302DD">
      <w:pPr>
        <w:pageBreakBefore w:val="0"/>
        <w:widowControl/>
        <w:kinsoku/>
        <w:overflowPunct/>
        <w:topLinePunct w:val="0"/>
        <w:autoSpaceDE/>
        <w:autoSpaceDN/>
        <w:bidi w:val="0"/>
        <w:adjustRightInd/>
        <w:spacing w:line="47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计入考核表。</w:t>
      </w:r>
    </w:p>
    <w:p w14:paraId="45D1ADDA">
      <w:pPr>
        <w:pageBreakBefore w:val="0"/>
        <w:widowControl/>
        <w:kinsoku/>
        <w:overflowPunct/>
        <w:topLinePunct w:val="0"/>
        <w:autoSpaceDE/>
        <w:autoSpaceDN/>
        <w:bidi w:val="0"/>
        <w:adjustRightInd/>
        <w:spacing w:line="47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当排序推荐磋商供应商名单出现多数评委成员的评审意见比较一致，某一个别评委的赋分畸高畸低，导致排序结果改变的，该评委应当重新进行评价，并向磋商小组说明其赋分的合理理由，对拒绝说明、拒绝重新评价的，报告同级财政政府采购管理部门处理。</w:t>
      </w:r>
    </w:p>
    <w:p w14:paraId="18076EAC">
      <w:pPr>
        <w:pageBreakBefore w:val="0"/>
        <w:widowControl/>
        <w:kinsoku/>
        <w:overflowPunct/>
        <w:topLinePunct w:val="0"/>
        <w:autoSpaceDE/>
        <w:autoSpaceDN/>
        <w:bidi w:val="0"/>
        <w:adjustRightInd/>
        <w:spacing w:line="47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（3）除下列情形外，任何人不得以任何理由组织重新评审：</w:t>
      </w:r>
    </w:p>
    <w:p w14:paraId="702D743A">
      <w:pPr>
        <w:pageBreakBefore w:val="0"/>
        <w:widowControl/>
        <w:kinsoku/>
        <w:overflowPunct/>
        <w:topLinePunct w:val="0"/>
        <w:autoSpaceDE/>
        <w:autoSpaceDN/>
        <w:bidi w:val="0"/>
        <w:adjustRightInd/>
        <w:spacing w:line="47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①资格性检查认定错误的；</w:t>
      </w:r>
    </w:p>
    <w:p w14:paraId="1AD0DAAC">
      <w:pPr>
        <w:pageBreakBefore w:val="0"/>
        <w:widowControl/>
        <w:kinsoku/>
        <w:overflowPunct/>
        <w:topLinePunct w:val="0"/>
        <w:autoSpaceDE/>
        <w:autoSpaceDN/>
        <w:bidi w:val="0"/>
        <w:adjustRightInd/>
        <w:spacing w:line="47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②分值汇总计算错误的； </w:t>
      </w:r>
    </w:p>
    <w:p w14:paraId="5961A6DD">
      <w:pPr>
        <w:pageBreakBefore w:val="0"/>
        <w:widowControl/>
        <w:kinsoku/>
        <w:overflowPunct/>
        <w:topLinePunct w:val="0"/>
        <w:autoSpaceDE/>
        <w:autoSpaceDN/>
        <w:bidi w:val="0"/>
        <w:adjustRightInd/>
        <w:spacing w:line="47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③分项评分超出评分标准范围的；</w:t>
      </w:r>
    </w:p>
    <w:p w14:paraId="124B56D6">
      <w:pPr>
        <w:pageBreakBefore w:val="0"/>
        <w:widowControl/>
        <w:kinsoku/>
        <w:overflowPunct/>
        <w:topLinePunct w:val="0"/>
        <w:autoSpaceDE/>
        <w:autoSpaceDN/>
        <w:bidi w:val="0"/>
        <w:adjustRightInd/>
        <w:spacing w:line="47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④客观分因素评分不一致的；</w:t>
      </w:r>
    </w:p>
    <w:p w14:paraId="6F4F0E74">
      <w:pPr>
        <w:pageBreakBefore w:val="0"/>
        <w:widowControl/>
        <w:kinsoku/>
        <w:overflowPunct/>
        <w:topLinePunct w:val="0"/>
        <w:autoSpaceDE/>
        <w:autoSpaceDN/>
        <w:bidi w:val="0"/>
        <w:adjustRightInd/>
        <w:spacing w:line="47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⑤经磋商小组一致认定评分畸高、畸低的情形。</w:t>
      </w:r>
    </w:p>
    <w:p w14:paraId="46EA799E">
      <w:pPr>
        <w:pageBreakBefore w:val="0"/>
        <w:widowControl/>
        <w:kinsoku/>
        <w:overflowPunct/>
        <w:topLinePunct w:val="0"/>
        <w:autoSpaceDE/>
        <w:autoSpaceDN/>
        <w:bidi w:val="0"/>
        <w:adjustRightInd/>
        <w:spacing w:line="470" w:lineRule="exact"/>
        <w:ind w:firstLine="566" w:firstLineChars="200"/>
        <w:textAlignment w:val="auto"/>
        <w:rPr>
          <w:rFonts w:hint="eastAsia" w:ascii="仿宋_GB2312" w:hAnsi="仿宋_GB2312" w:eastAsia="仿宋_GB2312" w:cs="仿宋_GB2312"/>
          <w:b/>
          <w:color w:val="auto"/>
        </w:rPr>
      </w:pPr>
      <w:r>
        <w:rPr>
          <w:rFonts w:hint="eastAsia" w:ascii="仿宋_GB2312" w:hAnsi="仿宋_GB2312" w:eastAsia="仿宋_GB2312" w:cs="仿宋_GB2312"/>
          <w:b/>
          <w:color w:val="auto"/>
        </w:rPr>
        <w:t>（六）有下列情况之一的，视为供应商串通投标，其投标无效：</w:t>
      </w:r>
    </w:p>
    <w:p w14:paraId="7C8223E0">
      <w:pPr>
        <w:pageBreakBefore w:val="0"/>
        <w:widowControl/>
        <w:kinsoku/>
        <w:overflowPunct/>
        <w:topLinePunct w:val="0"/>
        <w:autoSpaceDE/>
        <w:autoSpaceDN/>
        <w:bidi w:val="0"/>
        <w:adjustRightInd/>
        <w:spacing w:line="470" w:lineRule="exact"/>
        <w:ind w:firstLine="566" w:firstLineChars="200"/>
        <w:textAlignment w:val="auto"/>
        <w:rPr>
          <w:rFonts w:ascii="Times New Roman" w:hAnsi="Times New Roman" w:eastAsia="仿宋_GB2312" w:cs="Times New Roman"/>
          <w:color w:val="auto"/>
          <w:kern w:val="0"/>
          <w:lang w:bidi="ar"/>
        </w:rPr>
      </w:pPr>
      <w:bookmarkStart w:id="118" w:name="_Toc17612"/>
      <w:bookmarkStart w:id="119" w:name="_Toc25855"/>
      <w:bookmarkStart w:id="120" w:name="_Toc22712"/>
      <w:bookmarkStart w:id="121" w:name="_Toc28287"/>
      <w:bookmarkStart w:id="122" w:name="_Toc4670"/>
      <w:bookmarkStart w:id="123" w:name="_Toc3023"/>
      <w:bookmarkStart w:id="124" w:name="_Toc28384"/>
      <w:bookmarkStart w:id="125" w:name="_Toc495014920"/>
      <w:bookmarkStart w:id="126" w:name="_Toc495014649"/>
      <w:bookmarkStart w:id="127" w:name="_Toc424636365"/>
      <w:bookmarkStart w:id="128" w:name="_Toc495014954"/>
      <w:bookmarkStart w:id="129" w:name="_Toc495012771"/>
      <w:bookmarkStart w:id="130" w:name="_Toc619_WPSOffice_Level1"/>
      <w:bookmarkStart w:id="131" w:name="_Toc495012821"/>
      <w:bookmarkStart w:id="132" w:name="_Toc495014611"/>
      <w:bookmarkStart w:id="133" w:name="_Toc495014585"/>
      <w:bookmarkStart w:id="134" w:name="_Toc445306493"/>
      <w:bookmarkStart w:id="135" w:name="_Toc28286_WPSOffice_Level1"/>
      <w:r>
        <w:rPr>
          <w:rFonts w:ascii="Times New Roman" w:hAnsi="Times New Roman" w:eastAsia="仿宋_GB2312" w:cs="Times New Roman"/>
          <w:color w:val="auto"/>
          <w:kern w:val="0"/>
          <w:lang w:bidi="ar"/>
        </w:rPr>
        <w:t>1、不同供应商的响应文件由同一单位或者个人编制；</w:t>
      </w:r>
    </w:p>
    <w:p w14:paraId="27A73732">
      <w:pPr>
        <w:pageBreakBefore w:val="0"/>
        <w:widowControl/>
        <w:kinsoku/>
        <w:overflowPunct/>
        <w:topLinePunct w:val="0"/>
        <w:autoSpaceDE/>
        <w:autoSpaceDN/>
        <w:bidi w:val="0"/>
        <w:adjustRightInd/>
        <w:spacing w:line="470" w:lineRule="exact"/>
        <w:ind w:firstLine="566" w:firstLineChars="200"/>
        <w:textAlignment w:val="auto"/>
        <w:rPr>
          <w:rFonts w:ascii="Times New Roman" w:hAnsi="Times New Roman" w:eastAsia="仿宋_GB2312" w:cs="Times New Roman"/>
          <w:color w:val="auto"/>
          <w:kern w:val="0"/>
          <w:lang w:bidi="ar"/>
        </w:rPr>
      </w:pPr>
      <w:r>
        <w:rPr>
          <w:rFonts w:ascii="Times New Roman" w:hAnsi="Times New Roman" w:eastAsia="仿宋_GB2312" w:cs="Times New Roman"/>
          <w:color w:val="auto"/>
          <w:kern w:val="0"/>
          <w:lang w:bidi="ar"/>
        </w:rPr>
        <w:t>2、不同供应商的响应文件由同一台电脑编制；</w:t>
      </w:r>
    </w:p>
    <w:p w14:paraId="54FD4584">
      <w:pPr>
        <w:pageBreakBefore w:val="0"/>
        <w:widowControl/>
        <w:kinsoku/>
        <w:overflowPunct/>
        <w:topLinePunct w:val="0"/>
        <w:autoSpaceDE/>
        <w:autoSpaceDN/>
        <w:bidi w:val="0"/>
        <w:adjustRightInd/>
        <w:spacing w:line="470" w:lineRule="exact"/>
        <w:ind w:firstLine="566" w:firstLineChars="200"/>
        <w:textAlignment w:val="auto"/>
        <w:rPr>
          <w:rFonts w:ascii="Times New Roman" w:hAnsi="Times New Roman" w:eastAsia="仿宋_GB2312" w:cs="Times New Roman"/>
          <w:color w:val="auto"/>
          <w:kern w:val="0"/>
          <w:lang w:bidi="ar"/>
        </w:rPr>
      </w:pPr>
      <w:r>
        <w:rPr>
          <w:rFonts w:ascii="Times New Roman" w:hAnsi="Times New Roman" w:eastAsia="仿宋_GB2312" w:cs="Times New Roman"/>
          <w:color w:val="auto"/>
          <w:kern w:val="0"/>
          <w:lang w:bidi="ar"/>
        </w:rPr>
        <w:t>3、不同供应商委托同一单位或者个人办理响应事宜；</w:t>
      </w:r>
    </w:p>
    <w:p w14:paraId="1360B651">
      <w:pPr>
        <w:pageBreakBefore w:val="0"/>
        <w:widowControl/>
        <w:kinsoku/>
        <w:overflowPunct/>
        <w:topLinePunct w:val="0"/>
        <w:autoSpaceDE/>
        <w:autoSpaceDN/>
        <w:bidi w:val="0"/>
        <w:adjustRightInd/>
        <w:spacing w:line="470" w:lineRule="exact"/>
        <w:ind w:firstLine="566" w:firstLineChars="200"/>
        <w:textAlignment w:val="auto"/>
        <w:rPr>
          <w:rFonts w:ascii="Times New Roman" w:hAnsi="Times New Roman" w:eastAsia="仿宋_GB2312" w:cs="Times New Roman"/>
          <w:color w:val="auto"/>
          <w:spacing w:val="6"/>
          <w:kern w:val="0"/>
          <w:sz w:val="28"/>
          <w:lang w:bidi="ar"/>
        </w:rPr>
      </w:pPr>
      <w:r>
        <w:rPr>
          <w:rFonts w:ascii="Times New Roman" w:hAnsi="Times New Roman" w:eastAsia="仿宋_GB2312" w:cs="Times New Roman"/>
          <w:color w:val="auto"/>
          <w:kern w:val="0"/>
          <w:lang w:bidi="ar"/>
        </w:rPr>
        <w:t>4、</w:t>
      </w:r>
      <w:r>
        <w:rPr>
          <w:rFonts w:ascii="Times New Roman" w:hAnsi="Times New Roman" w:eastAsia="仿宋_GB2312" w:cs="Times New Roman"/>
          <w:color w:val="auto"/>
          <w:spacing w:val="6"/>
          <w:kern w:val="0"/>
          <w:sz w:val="28"/>
          <w:lang w:bidi="ar"/>
        </w:rPr>
        <w:t>不同供应商的响应文件载明的项目管理成员或者联系人员为同一人；</w:t>
      </w:r>
    </w:p>
    <w:p w14:paraId="003F0158">
      <w:pPr>
        <w:pageBreakBefore w:val="0"/>
        <w:widowControl/>
        <w:kinsoku/>
        <w:overflowPunct/>
        <w:topLinePunct w:val="0"/>
        <w:autoSpaceDE/>
        <w:autoSpaceDN/>
        <w:bidi w:val="0"/>
        <w:adjustRightInd/>
        <w:spacing w:line="470" w:lineRule="exact"/>
        <w:ind w:firstLine="566" w:firstLineChars="200"/>
        <w:textAlignment w:val="auto"/>
        <w:rPr>
          <w:rFonts w:ascii="Times New Roman" w:hAnsi="Times New Roman" w:eastAsia="仿宋_GB2312" w:cs="Times New Roman"/>
          <w:color w:val="auto"/>
          <w:kern w:val="0"/>
          <w:lang w:bidi="ar"/>
        </w:rPr>
      </w:pPr>
      <w:r>
        <w:rPr>
          <w:rFonts w:ascii="Times New Roman" w:hAnsi="Times New Roman" w:eastAsia="仿宋_GB2312" w:cs="Times New Roman"/>
          <w:color w:val="auto"/>
          <w:kern w:val="0"/>
          <w:lang w:bidi="ar"/>
        </w:rPr>
        <w:t>5、不同供应商的响应文件异常一致或者磋商报价呈规律性差异；</w:t>
      </w:r>
    </w:p>
    <w:p w14:paraId="0C233E20">
      <w:pPr>
        <w:pageBreakBefore w:val="0"/>
        <w:widowControl/>
        <w:kinsoku/>
        <w:overflowPunct/>
        <w:topLinePunct w:val="0"/>
        <w:autoSpaceDE/>
        <w:autoSpaceDN/>
        <w:bidi w:val="0"/>
        <w:adjustRightInd/>
        <w:spacing w:line="470" w:lineRule="exact"/>
        <w:ind w:firstLine="566" w:firstLineChars="200"/>
        <w:textAlignment w:val="auto"/>
        <w:rPr>
          <w:rFonts w:ascii="Times New Roman" w:hAnsi="Times New Roman" w:eastAsia="仿宋_GB2312" w:cs="Times New Roman"/>
          <w:color w:val="auto"/>
          <w:kern w:val="0"/>
          <w:lang w:bidi="ar"/>
        </w:rPr>
      </w:pPr>
      <w:r>
        <w:rPr>
          <w:rFonts w:ascii="Times New Roman" w:hAnsi="Times New Roman" w:eastAsia="仿宋_GB2312" w:cs="Times New Roman"/>
          <w:color w:val="auto"/>
          <w:kern w:val="0"/>
          <w:lang w:bidi="ar"/>
        </w:rPr>
        <w:t>6、不同供应商的响应文件相互混装；</w:t>
      </w:r>
    </w:p>
    <w:p w14:paraId="5AE2553A">
      <w:pPr>
        <w:pageBreakBefore w:val="0"/>
        <w:widowControl/>
        <w:kinsoku/>
        <w:overflowPunct/>
        <w:topLinePunct w:val="0"/>
        <w:autoSpaceDE/>
        <w:autoSpaceDN/>
        <w:bidi w:val="0"/>
        <w:adjustRightInd/>
        <w:spacing w:line="470" w:lineRule="exact"/>
        <w:ind w:firstLine="566" w:firstLineChars="200"/>
        <w:textAlignment w:val="auto"/>
        <w:rPr>
          <w:rFonts w:hint="eastAsia" w:ascii="仿宋_GB2312" w:hAnsi="仿宋_GB2312" w:eastAsia="仿宋_GB2312" w:cs="仿宋_GB2312"/>
          <w:color w:val="auto"/>
          <w:lang w:eastAsia="zh-CN"/>
        </w:rPr>
      </w:pPr>
      <w:r>
        <w:rPr>
          <w:rFonts w:ascii="Times New Roman" w:hAnsi="Times New Roman" w:eastAsia="仿宋_GB2312" w:cs="Times New Roman"/>
          <w:color w:val="auto"/>
          <w:kern w:val="0"/>
          <w:lang w:bidi="ar"/>
        </w:rPr>
        <w:t>7、政府采购法律法规及磋商文件规定的其他情形</w:t>
      </w:r>
      <w:r>
        <w:rPr>
          <w:rFonts w:hint="eastAsia" w:ascii="Times New Roman" w:hAnsi="Times New Roman" w:eastAsia="仿宋_GB2312" w:cs="Times New Roman"/>
          <w:color w:val="auto"/>
          <w:kern w:val="0"/>
          <w:lang w:eastAsia="zh-CN" w:bidi="ar"/>
        </w:rPr>
        <w:t>。</w:t>
      </w:r>
    </w:p>
    <w:bookmarkEnd w:id="118"/>
    <w:bookmarkEnd w:id="119"/>
    <w:bookmarkEnd w:id="120"/>
    <w:bookmarkEnd w:id="121"/>
    <w:bookmarkEnd w:id="122"/>
    <w:bookmarkEnd w:id="123"/>
    <w:bookmarkEnd w:id="124"/>
    <w:p w14:paraId="1C87F527">
      <w:pPr>
        <w:pageBreakBefore w:val="0"/>
        <w:widowControl/>
        <w:kinsoku/>
        <w:overflowPunct/>
        <w:topLinePunct w:val="0"/>
        <w:autoSpaceDE/>
        <w:autoSpaceDN/>
        <w:bidi w:val="0"/>
        <w:adjustRightInd/>
        <w:spacing w:line="470" w:lineRule="exact"/>
        <w:ind w:firstLine="566" w:firstLineChars="200"/>
        <w:textAlignment w:val="auto"/>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八、成交</w:t>
      </w:r>
    </w:p>
    <w:p w14:paraId="26D48BF9">
      <w:pPr>
        <w:pageBreakBefore w:val="0"/>
        <w:widowControl/>
        <w:kinsoku/>
        <w:overflowPunct/>
        <w:topLinePunct w:val="0"/>
        <w:autoSpaceDE/>
        <w:autoSpaceDN/>
        <w:bidi w:val="0"/>
        <w:adjustRightInd/>
        <w:spacing w:line="470" w:lineRule="exact"/>
        <w:ind w:firstLine="566" w:firstLineChars="200"/>
        <w:textAlignment w:val="auto"/>
        <w:rPr>
          <w:rFonts w:ascii="Times New Roman" w:hAnsi="Times New Roman" w:eastAsia="仿宋_GB2312" w:cs="Times New Roman"/>
          <w:color w:val="auto"/>
        </w:rPr>
      </w:pPr>
      <w:r>
        <w:rPr>
          <w:rFonts w:ascii="Times New Roman" w:hAnsi="Times New Roman" w:eastAsia="仿宋_GB2312" w:cs="Times New Roman"/>
          <w:color w:val="auto"/>
          <w:kern w:val="0"/>
          <w:lang w:bidi="ar"/>
        </w:rPr>
        <w:t>（一）本项目采用第</w:t>
      </w:r>
      <w:r>
        <w:rPr>
          <w:rFonts w:ascii="Times New Roman" w:hAnsi="Times New Roman" w:eastAsia="仿宋_GB2312" w:cs="Times New Roman"/>
          <w:color w:val="auto"/>
          <w:kern w:val="0"/>
          <w:u w:val="single"/>
          <w:lang w:bidi="ar"/>
        </w:rPr>
        <w:t xml:space="preserve"> 1 </w:t>
      </w:r>
      <w:r>
        <w:rPr>
          <w:rFonts w:ascii="Times New Roman" w:hAnsi="Times New Roman" w:eastAsia="仿宋_GB2312" w:cs="Times New Roman"/>
          <w:color w:val="auto"/>
          <w:kern w:val="0"/>
          <w:lang w:bidi="ar"/>
        </w:rPr>
        <w:t xml:space="preserve">种方式确定成交供应商： </w:t>
      </w:r>
    </w:p>
    <w:p w14:paraId="430A88C7">
      <w:pPr>
        <w:pageBreakBefore w:val="0"/>
        <w:widowControl/>
        <w:kinsoku/>
        <w:overflowPunct/>
        <w:topLinePunct w:val="0"/>
        <w:autoSpaceDE/>
        <w:autoSpaceDN/>
        <w:bidi w:val="0"/>
        <w:adjustRightInd/>
        <w:spacing w:line="470" w:lineRule="exact"/>
        <w:ind w:firstLine="849" w:firstLineChars="300"/>
        <w:textAlignment w:val="auto"/>
        <w:rPr>
          <w:rFonts w:ascii="Times New Roman" w:hAnsi="Times New Roman" w:eastAsia="仿宋_GB2312" w:cs="Times New Roman"/>
          <w:color w:val="auto"/>
        </w:rPr>
      </w:pPr>
      <w:r>
        <w:rPr>
          <w:rFonts w:ascii="Times New Roman" w:hAnsi="Times New Roman" w:eastAsia="仿宋_GB2312" w:cs="Times New Roman"/>
          <w:color w:val="auto"/>
          <w:kern w:val="0"/>
          <w:lang w:bidi="ar"/>
        </w:rPr>
        <w:t xml:space="preserve">1、采购人根据磋商小组评审结果确认。 </w:t>
      </w:r>
    </w:p>
    <w:p w14:paraId="062E126A">
      <w:pPr>
        <w:pageBreakBefore w:val="0"/>
        <w:widowControl/>
        <w:kinsoku/>
        <w:overflowPunct/>
        <w:topLinePunct w:val="0"/>
        <w:autoSpaceDE/>
        <w:autoSpaceDN/>
        <w:bidi w:val="0"/>
        <w:adjustRightInd/>
        <w:spacing w:line="470" w:lineRule="exact"/>
        <w:ind w:firstLine="566" w:firstLineChars="200"/>
        <w:textAlignment w:val="auto"/>
        <w:rPr>
          <w:rFonts w:ascii="Times New Roman" w:hAnsi="Times New Roman" w:eastAsia="仿宋_GB2312" w:cs="Times New Roman"/>
          <w:color w:val="auto"/>
        </w:rPr>
      </w:pPr>
      <w:r>
        <w:rPr>
          <w:rFonts w:ascii="Times New Roman" w:hAnsi="Times New Roman" w:eastAsia="仿宋_GB2312" w:cs="Times New Roman"/>
          <w:color w:val="auto"/>
          <w:kern w:val="0"/>
          <w:lang w:bidi="ar"/>
        </w:rPr>
        <w:t xml:space="preserve">采购代理机构在评审结束后 2 个工作日内将评审报告送采购人确认。采购人在收到评审报告之日起 5 个工作日内，从评审报告提出的成交候选供应商中，按照排序由高到低的原则确定成交供应商。采购人逾期未确定成交供应商且不提出异议的，视同按评审报告提出的排序第一的供应商为成交供应商。 </w:t>
      </w:r>
    </w:p>
    <w:p w14:paraId="30851100">
      <w:pPr>
        <w:pageBreakBefore w:val="0"/>
        <w:widowControl/>
        <w:kinsoku/>
        <w:overflowPunct/>
        <w:topLinePunct w:val="0"/>
        <w:autoSpaceDE/>
        <w:autoSpaceDN/>
        <w:bidi w:val="0"/>
        <w:adjustRightInd/>
        <w:spacing w:line="470" w:lineRule="exact"/>
        <w:ind w:firstLine="566" w:firstLineChars="200"/>
        <w:textAlignment w:val="auto"/>
        <w:rPr>
          <w:rFonts w:ascii="Times New Roman" w:hAnsi="Times New Roman" w:eastAsia="仿宋_GB2312" w:cs="Times New Roman"/>
          <w:color w:val="auto"/>
        </w:rPr>
      </w:pPr>
      <w:r>
        <w:rPr>
          <w:rFonts w:ascii="Times New Roman" w:hAnsi="Times New Roman" w:eastAsia="仿宋_GB2312" w:cs="Times New Roman"/>
          <w:color w:val="auto"/>
          <w:kern w:val="0"/>
          <w:lang w:bidi="ar"/>
        </w:rPr>
        <w:t xml:space="preserve">2、采购人书面授权磋商小组直接确定成交供应商。 </w:t>
      </w:r>
    </w:p>
    <w:p w14:paraId="7BE9F215">
      <w:pPr>
        <w:pageBreakBefore w:val="0"/>
        <w:widowControl/>
        <w:kinsoku/>
        <w:overflowPunct/>
        <w:topLinePunct w:val="0"/>
        <w:autoSpaceDE/>
        <w:autoSpaceDN/>
        <w:bidi w:val="0"/>
        <w:adjustRightInd/>
        <w:spacing w:line="470" w:lineRule="exact"/>
        <w:ind w:firstLine="566" w:firstLineChars="200"/>
        <w:textAlignment w:val="auto"/>
        <w:rPr>
          <w:rFonts w:ascii="Times New Roman" w:hAnsi="Times New Roman" w:eastAsia="仿宋_GB2312" w:cs="Times New Roman"/>
          <w:color w:val="auto"/>
        </w:rPr>
      </w:pPr>
      <w:r>
        <w:rPr>
          <w:rFonts w:ascii="Times New Roman" w:hAnsi="Times New Roman" w:eastAsia="仿宋_GB2312" w:cs="Times New Roman"/>
          <w:color w:val="auto"/>
          <w:kern w:val="0"/>
          <w:lang w:bidi="ar"/>
        </w:rPr>
        <w:t xml:space="preserve">采购人在评审前提供《委托评审小组定标授权书》，磋商小组将根据 </w:t>
      </w:r>
    </w:p>
    <w:p w14:paraId="58F8FB99">
      <w:pPr>
        <w:pageBreakBefore w:val="0"/>
        <w:widowControl/>
        <w:kinsoku/>
        <w:overflowPunct/>
        <w:topLinePunct w:val="0"/>
        <w:autoSpaceDE/>
        <w:autoSpaceDN/>
        <w:bidi w:val="0"/>
        <w:adjustRightInd/>
        <w:spacing w:line="470" w:lineRule="exact"/>
        <w:textAlignment w:val="auto"/>
        <w:rPr>
          <w:rFonts w:ascii="Times New Roman" w:hAnsi="Times New Roman" w:eastAsia="仿宋_GB2312" w:cs="Times New Roman"/>
          <w:color w:val="auto"/>
        </w:rPr>
      </w:pPr>
      <w:r>
        <w:rPr>
          <w:rFonts w:ascii="Times New Roman" w:hAnsi="Times New Roman" w:eastAsia="仿宋_GB2312" w:cs="Times New Roman"/>
          <w:color w:val="auto"/>
          <w:kern w:val="0"/>
          <w:lang w:bidi="ar"/>
        </w:rPr>
        <w:t>采购人授权直接确定成交供应商。</w:t>
      </w:r>
    </w:p>
    <w:p w14:paraId="62D9130B">
      <w:pPr>
        <w:pageBreakBefore w:val="0"/>
        <w:widowControl/>
        <w:kinsoku/>
        <w:wordWrap w:val="0"/>
        <w:overflowPunct/>
        <w:topLinePunct w:val="0"/>
        <w:autoSpaceDE/>
        <w:autoSpaceDN/>
        <w:bidi w:val="0"/>
        <w:adjustRightInd/>
        <w:spacing w:line="470" w:lineRule="exact"/>
        <w:ind w:firstLine="566" w:firstLineChars="200"/>
        <w:textAlignment w:val="auto"/>
        <w:rPr>
          <w:rFonts w:hint="eastAsia" w:ascii="仿宋_GB2312" w:hAnsi="仿宋_GB2312" w:eastAsia="仿宋_GB2312" w:cs="仿宋_GB2312"/>
          <w:color w:val="auto"/>
        </w:rPr>
      </w:pPr>
      <w:r>
        <w:rPr>
          <w:rFonts w:ascii="Times New Roman" w:hAnsi="Times New Roman" w:eastAsia="仿宋_GB2312" w:cs="Times New Roman"/>
          <w:color w:val="auto"/>
        </w:rPr>
        <w:t>（二）集中采购机构将在成交供应商确定之日起2个工作日内，在以</w:t>
      </w:r>
      <w:r>
        <w:rPr>
          <w:rFonts w:hint="eastAsia" w:ascii="仿宋_GB2312" w:hAnsi="仿宋_GB2312" w:eastAsia="仿宋_GB2312" w:cs="仿宋_GB2312"/>
          <w:color w:val="auto"/>
        </w:rPr>
        <w:t>下网址发布结果公告：</w:t>
      </w:r>
    </w:p>
    <w:p w14:paraId="3CBC6D81">
      <w:pPr>
        <w:pageBreakBefore w:val="0"/>
        <w:widowControl/>
        <w:kinsoku/>
        <w:wordWrap w:val="0"/>
        <w:overflowPunct/>
        <w:topLinePunct w:val="0"/>
        <w:autoSpaceDE/>
        <w:autoSpaceDN/>
        <w:bidi w:val="0"/>
        <w:adjustRightInd/>
        <w:spacing w:line="470" w:lineRule="exact"/>
        <w:ind w:firstLine="566" w:firstLineChars="200"/>
        <w:textAlignment w:val="auto"/>
        <w:rPr>
          <w:rFonts w:ascii="Times New Roman" w:hAnsi="Times New Roman" w:eastAsia="仿宋_GB2312" w:cs="Times New Roman"/>
          <w:color w:val="auto"/>
        </w:rPr>
      </w:pPr>
      <w:r>
        <w:rPr>
          <w:rFonts w:ascii="Times New Roman" w:hAnsi="Times New Roman" w:eastAsia="仿宋_GB2312" w:cs="Times New Roman"/>
          <w:color w:val="auto"/>
        </w:rPr>
        <w:t>【陕西省政府采购网（www.ccgp-shaanxi.gov.cn/）】中的〖首页·〉县（区）级公告·〉结果公告/终止公告〗；</w:t>
      </w:r>
    </w:p>
    <w:p w14:paraId="23C1C5E8">
      <w:pPr>
        <w:pageBreakBefore w:val="0"/>
        <w:widowControl/>
        <w:kinsoku/>
        <w:wordWrap w:val="0"/>
        <w:overflowPunct/>
        <w:topLinePunct w:val="0"/>
        <w:autoSpaceDE/>
        <w:autoSpaceDN/>
        <w:bidi w:val="0"/>
        <w:adjustRightInd/>
        <w:spacing w:line="470" w:lineRule="exact"/>
        <w:ind w:firstLine="566" w:firstLineChars="200"/>
        <w:textAlignment w:val="auto"/>
        <w:rPr>
          <w:rFonts w:ascii="Times New Roman" w:hAnsi="Times New Roman" w:eastAsia="仿宋_GB2312" w:cs="Times New Roman"/>
          <w:b/>
          <w:bCs/>
          <w:color w:val="auto"/>
        </w:rPr>
      </w:pPr>
      <w:r>
        <w:rPr>
          <w:rFonts w:ascii="Times New Roman" w:hAnsi="Times New Roman" w:eastAsia="仿宋_GB2312" w:cs="Times New Roman"/>
          <w:color w:val="auto"/>
        </w:rPr>
        <w:t>（三）</w:t>
      </w:r>
      <w:r>
        <w:rPr>
          <w:rFonts w:ascii="Times New Roman" w:hAnsi="Times New Roman" w:eastAsia="仿宋_GB2312" w:cs="Times New Roman"/>
          <w:b/>
          <w:bCs/>
          <w:color w:val="auto"/>
        </w:rPr>
        <w:t>采购人</w:t>
      </w:r>
      <w:r>
        <w:rPr>
          <w:rFonts w:ascii="Times New Roman" w:hAnsi="Times New Roman" w:eastAsia="仿宋_GB2312" w:cs="Times New Roman"/>
          <w:color w:val="auto"/>
        </w:rPr>
        <w:t>向成交供应商发出成交通知书。</w:t>
      </w:r>
    </w:p>
    <w:p w14:paraId="5BD2192A">
      <w:pPr>
        <w:pStyle w:val="4"/>
        <w:pageBreakBefore w:val="0"/>
        <w:widowControl/>
        <w:kinsoku/>
        <w:overflowPunct/>
        <w:topLinePunct w:val="0"/>
        <w:autoSpaceDE/>
        <w:autoSpaceDN/>
        <w:bidi w:val="0"/>
        <w:adjustRightInd/>
        <w:spacing w:line="470" w:lineRule="exact"/>
        <w:ind w:firstLine="569"/>
        <w:textAlignment w:val="auto"/>
        <w:rPr>
          <w:b/>
          <w:bCs/>
          <w:color w:val="auto"/>
        </w:rPr>
      </w:pPr>
      <w:bookmarkStart w:id="136" w:name="_Toc3100"/>
      <w:bookmarkStart w:id="137" w:name="_Toc20049"/>
      <w:bookmarkStart w:id="138" w:name="_Toc14009"/>
      <w:bookmarkStart w:id="139" w:name="_Toc23938"/>
      <w:bookmarkStart w:id="140" w:name="_Toc18233"/>
      <w:bookmarkStart w:id="141" w:name="_Toc28870"/>
      <w:bookmarkStart w:id="142" w:name="_Toc10386"/>
      <w:r>
        <w:rPr>
          <w:b/>
          <w:bCs/>
          <w:color w:val="auto"/>
        </w:rPr>
        <w:t>九、签订政府采购合同</w:t>
      </w:r>
      <w:bookmarkEnd w:id="136"/>
      <w:bookmarkEnd w:id="137"/>
      <w:bookmarkEnd w:id="138"/>
      <w:bookmarkEnd w:id="139"/>
      <w:bookmarkEnd w:id="140"/>
      <w:bookmarkEnd w:id="141"/>
      <w:bookmarkEnd w:id="142"/>
    </w:p>
    <w:p w14:paraId="261C4FD4">
      <w:pPr>
        <w:pageBreakBefore w:val="0"/>
        <w:widowControl/>
        <w:kinsoku/>
        <w:overflowPunct/>
        <w:topLinePunct w:val="0"/>
        <w:autoSpaceDE/>
        <w:autoSpaceDN/>
        <w:bidi w:val="0"/>
        <w:adjustRightInd/>
        <w:spacing w:line="470" w:lineRule="exact"/>
        <w:ind w:firstLine="566" w:firstLineChars="200"/>
        <w:textAlignment w:val="auto"/>
        <w:rPr>
          <w:rFonts w:ascii="Times New Roman" w:hAnsi="Times New Roman" w:eastAsia="仿宋_GB2312" w:cs="Times New Roman"/>
          <w:color w:val="auto"/>
        </w:rPr>
      </w:pPr>
      <w:r>
        <w:rPr>
          <w:rFonts w:ascii="Times New Roman" w:hAnsi="Times New Roman" w:eastAsia="仿宋_GB2312" w:cs="Times New Roman"/>
          <w:color w:val="auto"/>
        </w:rPr>
        <w:t>（一）采购人与成交供应商应当在《成交通知书》发出之后，洽谈合同条款内容，拟定合同文本草案。并在《成交通知书》发出之日起30日内签订书面合同。</w:t>
      </w:r>
    </w:p>
    <w:p w14:paraId="272F3D40">
      <w:pPr>
        <w:pageBreakBefore w:val="0"/>
        <w:widowControl/>
        <w:kinsoku/>
        <w:overflowPunct/>
        <w:topLinePunct w:val="0"/>
        <w:autoSpaceDE/>
        <w:autoSpaceDN/>
        <w:bidi w:val="0"/>
        <w:adjustRightInd/>
        <w:spacing w:line="470" w:lineRule="exact"/>
        <w:ind w:firstLine="566" w:firstLineChars="200"/>
        <w:textAlignment w:val="auto"/>
        <w:rPr>
          <w:rFonts w:ascii="Times New Roman" w:hAnsi="Times New Roman" w:eastAsia="仿宋_GB2312" w:cs="Times New Roman"/>
          <w:color w:val="auto"/>
        </w:rPr>
      </w:pPr>
      <w:r>
        <w:rPr>
          <w:rFonts w:ascii="Times New Roman" w:hAnsi="Times New Roman" w:eastAsia="仿宋_GB2312" w:cs="Times New Roman"/>
          <w:color w:val="auto"/>
        </w:rPr>
        <w:t>（二）合同在执行过程中，确需修改、变更时，应当按照相应的审核批准程序办理。</w:t>
      </w:r>
    </w:p>
    <w:p w14:paraId="5A4D93CB">
      <w:pPr>
        <w:pageBreakBefore w:val="0"/>
        <w:widowControl/>
        <w:kinsoku/>
        <w:overflowPunct/>
        <w:topLinePunct w:val="0"/>
        <w:autoSpaceDE/>
        <w:autoSpaceDN/>
        <w:bidi w:val="0"/>
        <w:adjustRightInd/>
        <w:spacing w:line="470" w:lineRule="exact"/>
        <w:ind w:firstLine="566" w:firstLineChars="200"/>
        <w:textAlignment w:val="auto"/>
        <w:rPr>
          <w:rFonts w:ascii="Times New Roman" w:hAnsi="Times New Roman" w:eastAsia="仿宋_GB2312" w:cs="Times New Roman"/>
          <w:color w:val="auto"/>
        </w:rPr>
      </w:pPr>
      <w:r>
        <w:rPr>
          <w:rFonts w:ascii="Times New Roman" w:hAnsi="Times New Roman" w:eastAsia="仿宋_GB2312" w:cs="Times New Roman"/>
          <w:color w:val="auto"/>
        </w:rPr>
        <w:t>（三）磋商文件、补充通知、磋商响应文件、补充协议等为合同的组成部分，具有同等法律效力。成交供应商不得将合同分包、转让他人。</w:t>
      </w:r>
    </w:p>
    <w:p w14:paraId="6D2BC0E3">
      <w:pPr>
        <w:pageBreakBefore w:val="0"/>
        <w:widowControl/>
        <w:kinsoku/>
        <w:overflowPunct/>
        <w:topLinePunct w:val="0"/>
        <w:autoSpaceDE/>
        <w:autoSpaceDN/>
        <w:bidi w:val="0"/>
        <w:adjustRightInd/>
        <w:spacing w:line="470" w:lineRule="exact"/>
        <w:ind w:firstLine="566" w:firstLineChars="200"/>
        <w:textAlignment w:val="auto"/>
        <w:rPr>
          <w:rFonts w:ascii="Times New Roman" w:hAnsi="Times New Roman" w:eastAsia="仿宋_GB2312" w:cs="Times New Roman"/>
          <w:b/>
          <w:bCs/>
          <w:color w:val="auto"/>
        </w:rPr>
      </w:pPr>
      <w:bookmarkStart w:id="143" w:name="_Toc404175353"/>
      <w:bookmarkStart w:id="144" w:name="_Toc402799208"/>
      <w:r>
        <w:rPr>
          <w:rFonts w:ascii="Times New Roman" w:hAnsi="Times New Roman" w:eastAsia="仿宋_GB2312" w:cs="Times New Roman"/>
          <w:b/>
          <w:bCs/>
          <w:color w:val="auto"/>
        </w:rPr>
        <w:t>十、项目验收</w:t>
      </w:r>
      <w:bookmarkEnd w:id="143"/>
      <w:bookmarkEnd w:id="144"/>
    </w:p>
    <w:p w14:paraId="4293C51E">
      <w:pPr>
        <w:pageBreakBefore w:val="0"/>
        <w:widowControl/>
        <w:kinsoku/>
        <w:overflowPunct/>
        <w:topLinePunct w:val="0"/>
        <w:autoSpaceDE/>
        <w:autoSpaceDN/>
        <w:bidi w:val="0"/>
        <w:adjustRightInd/>
        <w:spacing w:line="470" w:lineRule="exact"/>
        <w:ind w:firstLine="566" w:firstLineChars="200"/>
        <w:textAlignment w:val="auto"/>
        <w:rPr>
          <w:rFonts w:ascii="Times New Roman" w:hAnsi="Times New Roman" w:eastAsia="仿宋_GB2312" w:cs="Times New Roman"/>
          <w:color w:val="auto"/>
        </w:rPr>
      </w:pPr>
      <w:r>
        <w:rPr>
          <w:rFonts w:ascii="Times New Roman" w:hAnsi="Times New Roman" w:eastAsia="仿宋_GB2312" w:cs="Times New Roman"/>
          <w:color w:val="auto"/>
        </w:rPr>
        <w:t>依据合同约定（验收时间、人员、方式等），采购人定期对服务情况进行检查验收。</w:t>
      </w:r>
    </w:p>
    <w:p w14:paraId="39FDE518">
      <w:pPr>
        <w:pageBreakBefore w:val="0"/>
        <w:widowControl/>
        <w:kinsoku/>
        <w:overflowPunct/>
        <w:topLinePunct w:val="0"/>
        <w:autoSpaceDE/>
        <w:autoSpaceDN/>
        <w:bidi w:val="0"/>
        <w:adjustRightInd/>
        <w:spacing w:line="470" w:lineRule="exact"/>
        <w:ind w:firstLine="566" w:firstLineChars="200"/>
        <w:textAlignment w:val="auto"/>
        <w:rPr>
          <w:rFonts w:ascii="Times New Roman" w:hAnsi="Times New Roman" w:eastAsia="仿宋_GB2312" w:cs="Times New Roman"/>
          <w:bCs/>
          <w:color w:val="auto"/>
        </w:rPr>
      </w:pPr>
      <w:bookmarkStart w:id="145" w:name="_Toc404175354"/>
      <w:bookmarkStart w:id="146" w:name="_Toc402799209"/>
      <w:r>
        <w:rPr>
          <w:rFonts w:ascii="Times New Roman" w:hAnsi="Times New Roman" w:eastAsia="仿宋_GB2312" w:cs="Times New Roman"/>
          <w:b/>
          <w:color w:val="auto"/>
        </w:rPr>
        <w:t>十一、付款方式</w:t>
      </w:r>
      <w:bookmarkEnd w:id="145"/>
      <w:bookmarkEnd w:id="146"/>
    </w:p>
    <w:p w14:paraId="766F2BCB">
      <w:pPr>
        <w:pageBreakBefore w:val="0"/>
        <w:widowControl/>
        <w:kinsoku/>
        <w:overflowPunct/>
        <w:topLinePunct w:val="0"/>
        <w:autoSpaceDE/>
        <w:autoSpaceDN/>
        <w:bidi w:val="0"/>
        <w:adjustRightInd/>
        <w:snapToGrid w:val="0"/>
        <w:spacing w:line="470" w:lineRule="exact"/>
        <w:ind w:firstLine="566" w:firstLineChars="200"/>
        <w:textAlignment w:val="auto"/>
        <w:rPr>
          <w:rFonts w:hint="eastAsia" w:ascii="仿宋_GB2312" w:hAnsi="仿宋_GB2312" w:eastAsia="仿宋_GB2312" w:cs="仿宋_GB2312"/>
          <w:color w:val="auto"/>
        </w:rPr>
      </w:pPr>
      <w:bookmarkStart w:id="147" w:name="_Toc23303"/>
      <w:bookmarkStart w:id="148" w:name="_Toc5278"/>
      <w:bookmarkStart w:id="149" w:name="_Toc8426"/>
      <w:bookmarkStart w:id="150" w:name="_Toc11584"/>
      <w:bookmarkStart w:id="151" w:name="_Toc11780"/>
      <w:bookmarkStart w:id="152" w:name="_Toc14560"/>
      <w:bookmarkStart w:id="153" w:name="_Toc10336"/>
      <w:bookmarkStart w:id="154" w:name="_Toc4764"/>
      <w:bookmarkStart w:id="155" w:name="_Toc17324"/>
      <w:r>
        <w:rPr>
          <w:rFonts w:hint="eastAsia" w:ascii="仿宋_GB2312" w:hAnsi="仿宋_GB2312" w:eastAsia="仿宋_GB2312" w:cs="仿宋_GB2312"/>
          <w:color w:val="auto"/>
        </w:rPr>
        <w:t>根据相关服务内容及项目制定考核评分细则。服务期内每月进行考核并根据考核结果按月支付费用：</w:t>
      </w:r>
    </w:p>
    <w:p w14:paraId="48E962CC">
      <w:pPr>
        <w:pageBreakBefore w:val="0"/>
        <w:widowControl/>
        <w:kinsoku/>
        <w:overflowPunct/>
        <w:topLinePunct w:val="0"/>
        <w:autoSpaceDE/>
        <w:autoSpaceDN/>
        <w:bidi w:val="0"/>
        <w:adjustRightInd/>
        <w:snapToGrid w:val="0"/>
        <w:spacing w:line="47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考核“优良”（80-100）分，结付月度款的100%。</w:t>
      </w:r>
    </w:p>
    <w:p w14:paraId="02AF5659">
      <w:pPr>
        <w:pageBreakBefore w:val="0"/>
        <w:widowControl/>
        <w:kinsoku/>
        <w:overflowPunct/>
        <w:topLinePunct w:val="0"/>
        <w:autoSpaceDE/>
        <w:autoSpaceDN/>
        <w:bidi w:val="0"/>
        <w:adjustRightInd/>
        <w:snapToGrid w:val="0"/>
        <w:spacing w:line="47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考核“合格”（60-80）分，结付月度款的95%。罚金5%。</w:t>
      </w:r>
    </w:p>
    <w:p w14:paraId="397428E7">
      <w:pPr>
        <w:pageBreakBefore w:val="0"/>
        <w:widowControl/>
        <w:kinsoku/>
        <w:overflowPunct/>
        <w:topLinePunct w:val="0"/>
        <w:autoSpaceDE/>
        <w:autoSpaceDN/>
        <w:bidi w:val="0"/>
        <w:adjustRightInd/>
        <w:snapToGrid w:val="0"/>
        <w:spacing w:line="47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考核“不合格”，结付月度款的90%。罚金10%。</w:t>
      </w:r>
    </w:p>
    <w:p w14:paraId="30CAC557">
      <w:pPr>
        <w:pageBreakBefore w:val="0"/>
        <w:widowControl/>
        <w:kinsoku/>
        <w:overflowPunct/>
        <w:topLinePunct w:val="0"/>
        <w:autoSpaceDE/>
        <w:autoSpaceDN/>
        <w:bidi w:val="0"/>
        <w:adjustRightInd/>
        <w:snapToGrid w:val="0"/>
        <w:spacing w:line="470" w:lineRule="exact"/>
        <w:ind w:firstLine="566" w:firstLineChars="200"/>
        <w:textAlignment w:val="auto"/>
        <w:rPr>
          <w:rFonts w:ascii="仿宋_GB2312" w:hAnsi="仿宋_GB2312" w:eastAsia="仿宋_GB2312" w:cs="仿宋_GB2312"/>
          <w:color w:val="auto"/>
        </w:rPr>
      </w:pPr>
      <w:r>
        <w:rPr>
          <w:rFonts w:hint="eastAsia" w:ascii="仿宋_GB2312" w:hAnsi="仿宋_GB2312" w:eastAsia="仿宋_GB2312" w:cs="仿宋_GB2312"/>
          <w:color w:val="auto"/>
        </w:rPr>
        <w:t>考核事项在具体合同中约定。</w:t>
      </w:r>
    </w:p>
    <w:p w14:paraId="33B6F60C">
      <w:pPr>
        <w:pageBreakBefore w:val="0"/>
        <w:widowControl/>
        <w:kinsoku/>
        <w:overflowPunct/>
        <w:topLinePunct w:val="0"/>
        <w:autoSpaceDE/>
        <w:autoSpaceDN/>
        <w:bidi w:val="0"/>
        <w:adjustRightInd/>
        <w:snapToGrid w:val="0"/>
        <w:spacing w:line="470" w:lineRule="exact"/>
        <w:ind w:firstLine="566" w:firstLineChars="200"/>
        <w:textAlignment w:val="auto"/>
        <w:rPr>
          <w:b/>
          <w:bCs/>
          <w:color w:val="auto"/>
        </w:rPr>
      </w:pPr>
      <w:r>
        <w:rPr>
          <w:rFonts w:ascii="Times New Roman" w:hAnsi="Times New Roman" w:eastAsia="仿宋_GB2312" w:cs="Times New Roman"/>
          <w:b/>
          <w:bCs/>
          <w:color w:val="auto"/>
        </w:rPr>
        <w:t>十二、采购代理服务费</w:t>
      </w:r>
      <w:bookmarkEnd w:id="147"/>
      <w:bookmarkEnd w:id="148"/>
      <w:bookmarkEnd w:id="149"/>
      <w:bookmarkEnd w:id="150"/>
      <w:bookmarkEnd w:id="151"/>
      <w:bookmarkEnd w:id="152"/>
      <w:bookmarkEnd w:id="153"/>
      <w:bookmarkEnd w:id="154"/>
      <w:bookmarkEnd w:id="155"/>
      <w:r>
        <w:rPr>
          <w:rFonts w:ascii="Times New Roman" w:hAnsi="Times New Roman" w:eastAsia="仿宋_GB2312" w:cs="Times New Roman"/>
          <w:b/>
          <w:bCs/>
          <w:color w:val="auto"/>
        </w:rPr>
        <w:t xml:space="preserve">：免费 </w:t>
      </w:r>
      <w:r>
        <w:rPr>
          <w:b/>
          <w:bCs/>
          <w:color w:val="auto"/>
        </w:rPr>
        <w:t xml:space="preserve"> </w:t>
      </w:r>
    </w:p>
    <w:p w14:paraId="0D0A07B9">
      <w:pPr>
        <w:pageBreakBefore w:val="0"/>
        <w:widowControl/>
        <w:kinsoku/>
        <w:overflowPunct/>
        <w:topLinePunct w:val="0"/>
        <w:autoSpaceDE/>
        <w:autoSpaceDN/>
        <w:bidi w:val="0"/>
        <w:adjustRightInd/>
        <w:snapToGrid w:val="0"/>
        <w:spacing w:line="470" w:lineRule="exact"/>
        <w:ind w:firstLine="566" w:firstLineChars="200"/>
        <w:textAlignment w:val="auto"/>
        <w:rPr>
          <w:rFonts w:ascii="Times New Roman" w:hAnsi="Times New Roman" w:eastAsia="仿宋_GB2312" w:cs="Times New Roman"/>
          <w:b/>
          <w:bCs/>
          <w:color w:val="auto"/>
        </w:rPr>
      </w:pPr>
      <w:r>
        <w:rPr>
          <w:rFonts w:ascii="Times New Roman" w:hAnsi="Times New Roman" w:eastAsia="仿宋_GB2312" w:cs="Times New Roman"/>
          <w:b/>
          <w:bCs/>
          <w:color w:val="auto"/>
        </w:rPr>
        <w:t>十三、其它约定</w:t>
      </w:r>
    </w:p>
    <w:p w14:paraId="54D7041F">
      <w:pPr>
        <w:pageBreakBefore w:val="0"/>
        <w:widowControl/>
        <w:kinsoku/>
        <w:overflowPunct/>
        <w:topLinePunct w:val="0"/>
        <w:autoSpaceDE/>
        <w:autoSpaceDN/>
        <w:bidi w:val="0"/>
        <w:adjustRightInd/>
        <w:snapToGrid w:val="0"/>
        <w:spacing w:line="470" w:lineRule="exact"/>
        <w:ind w:firstLine="566" w:firstLineChars="200"/>
        <w:textAlignment w:val="auto"/>
        <w:rPr>
          <w:rFonts w:hint="eastAsia"/>
          <w:color w:val="auto"/>
        </w:rPr>
        <w:sectPr>
          <w:footerReference r:id="rId12" w:type="default"/>
          <w:pgSz w:w="11906" w:h="16838"/>
          <w:pgMar w:top="1417" w:right="1417" w:bottom="1134" w:left="1417" w:header="850" w:footer="992" w:gutter="0"/>
          <w:pgBorders>
            <w:top w:val="none" w:sz="0" w:space="0"/>
            <w:left w:val="none" w:sz="0" w:space="0"/>
            <w:bottom w:val="none" w:sz="0" w:space="0"/>
            <w:right w:val="none" w:sz="0" w:space="0"/>
          </w:pgBorders>
          <w:pgNumType w:fmt="decimal" w:start="3"/>
          <w:cols w:space="720" w:num="1"/>
          <w:docGrid w:type="linesAndChars" w:linePitch="381" w:charSpace="704"/>
        </w:sectPr>
      </w:pPr>
      <w:r>
        <w:rPr>
          <w:rFonts w:ascii="Times New Roman" w:hAnsi="Times New Roman" w:eastAsia="仿宋_GB2312" w:cs="Times New Roman"/>
          <w:color w:val="auto"/>
        </w:rPr>
        <w:t>为了保证采购活动顺利进行，要求各供应商要认真仔细阅读采购文件，严格按采购文件中规定条款制作响应文件。因供应商自身工作失误（如：①不按采购文件约定制作、封装“法人授权书”的；②不按要求密封采购文件的；③报价计算错误的；④评委会一致认定的其它行为。），造成有效响应供应商不足三家而导致采购活动失败的，将其列入“不良行为名单”一次，情节严重的按《政府采购法》有关规定予以处罚。</w:t>
      </w:r>
    </w:p>
    <w:p w14:paraId="3FBDFB56">
      <w:pPr>
        <w:pStyle w:val="3"/>
        <w:ind w:firstLine="647"/>
        <w:rPr>
          <w:rFonts w:hint="eastAsia" w:ascii="黑体" w:hAnsi="黑体" w:eastAsia="黑体" w:cs="黑体"/>
          <w:color w:val="auto"/>
          <w:sz w:val="32"/>
          <w:szCs w:val="32"/>
        </w:rPr>
      </w:pPr>
      <w:bookmarkStart w:id="156" w:name="_Toc10476_WPSOffice_Level1"/>
      <w:bookmarkStart w:id="157" w:name="_Toc31517"/>
      <w:bookmarkStart w:id="158" w:name="_Toc22915"/>
      <w:bookmarkStart w:id="159" w:name="_Toc2772"/>
      <w:bookmarkStart w:id="160" w:name="_Toc6345"/>
      <w:r>
        <w:rPr>
          <w:rFonts w:hint="eastAsia" w:ascii="黑体" w:hAnsi="黑体" w:eastAsia="黑体" w:cs="黑体"/>
          <w:b w:val="0"/>
          <w:bCs/>
          <w:color w:val="auto"/>
          <w:sz w:val="32"/>
          <w:szCs w:val="40"/>
        </w:rPr>
        <w:t>第三章  磋商内容及采</w:t>
      </w:r>
      <w:bookmarkEnd w:id="156"/>
      <w:r>
        <w:rPr>
          <w:rFonts w:hint="eastAsia" w:ascii="黑体" w:hAnsi="黑体" w:eastAsia="黑体" w:cs="黑体"/>
          <w:b w:val="0"/>
          <w:bCs/>
          <w:color w:val="auto"/>
          <w:sz w:val="32"/>
          <w:szCs w:val="40"/>
        </w:rPr>
        <w:t>购要求</w:t>
      </w:r>
      <w:bookmarkEnd w:id="125"/>
      <w:bookmarkEnd w:id="126"/>
      <w:bookmarkEnd w:id="127"/>
      <w:bookmarkEnd w:id="128"/>
      <w:bookmarkEnd w:id="129"/>
      <w:bookmarkEnd w:id="130"/>
      <w:bookmarkEnd w:id="131"/>
      <w:bookmarkEnd w:id="132"/>
      <w:bookmarkEnd w:id="133"/>
      <w:bookmarkEnd w:id="134"/>
      <w:bookmarkEnd w:id="135"/>
      <w:bookmarkEnd w:id="157"/>
      <w:bookmarkEnd w:id="158"/>
      <w:bookmarkEnd w:id="159"/>
      <w:bookmarkEnd w:id="160"/>
      <w:bookmarkStart w:id="161" w:name="_Toc35871571"/>
      <w:bookmarkStart w:id="162" w:name="_Toc10371"/>
      <w:bookmarkStart w:id="163" w:name="_Toc18466_WPSOffice_Level1"/>
      <w:bookmarkStart w:id="164" w:name="_Toc14089"/>
      <w:bookmarkStart w:id="165" w:name="_Toc19317"/>
      <w:bookmarkStart w:id="166" w:name="_Toc12628"/>
      <w:bookmarkStart w:id="167" w:name="_Toc495012773"/>
      <w:bookmarkStart w:id="168" w:name="_Toc495014587"/>
      <w:bookmarkStart w:id="169" w:name="_Toc784_WPSOffice_Level1"/>
      <w:bookmarkStart w:id="170" w:name="_Toc495014956"/>
      <w:bookmarkStart w:id="171" w:name="_Toc495014651"/>
      <w:bookmarkStart w:id="172" w:name="_Toc18484_WPSOffice_Level1"/>
      <w:bookmarkStart w:id="173" w:name="_Toc495014922"/>
      <w:bookmarkStart w:id="174" w:name="_Toc495014613"/>
      <w:bookmarkStart w:id="175" w:name="_Toc495012823"/>
      <w:bookmarkStart w:id="176" w:name="_Toc445306495"/>
    </w:p>
    <w:p w14:paraId="0B552A90">
      <w:pPr>
        <w:spacing w:line="240" w:lineRule="auto"/>
        <w:ind w:firstLine="566" w:firstLineChars="200"/>
        <w:rPr>
          <w:rFonts w:hint="eastAsia" w:ascii="仿宋" w:hAnsi="仿宋" w:eastAsia="仿宋_GB2312" w:cs="仿宋"/>
          <w:b/>
          <w:color w:val="auto"/>
        </w:rPr>
      </w:pPr>
    </w:p>
    <w:p w14:paraId="765FF512">
      <w:pPr>
        <w:spacing w:line="240" w:lineRule="auto"/>
        <w:ind w:firstLine="566" w:firstLineChars="200"/>
        <w:rPr>
          <w:rFonts w:hint="eastAsia" w:ascii="仿宋" w:hAnsi="仿宋" w:eastAsia="仿宋_GB2312" w:cs="仿宋"/>
          <w:b/>
          <w:color w:val="auto"/>
          <w:lang w:eastAsia="zh-CN"/>
        </w:rPr>
      </w:pPr>
      <w:r>
        <w:rPr>
          <w:rFonts w:hint="eastAsia" w:ascii="仿宋" w:hAnsi="仿宋" w:eastAsia="仿宋_GB2312" w:cs="仿宋"/>
          <w:b/>
          <w:color w:val="auto"/>
        </w:rPr>
        <w:t>服务内容及要求</w:t>
      </w:r>
      <w:r>
        <w:rPr>
          <w:rFonts w:hint="eastAsia" w:ascii="仿宋" w:hAnsi="仿宋" w:eastAsia="仿宋_GB2312" w:cs="仿宋"/>
          <w:b/>
          <w:color w:val="auto"/>
          <w:lang w:eastAsia="zh-CN"/>
        </w:rPr>
        <w:t>：</w:t>
      </w:r>
    </w:p>
    <w:p w14:paraId="4C8587F0">
      <w:pPr>
        <w:numPr>
          <w:ilvl w:val="0"/>
          <w:numId w:val="0"/>
        </w:numPr>
        <w:spacing w:line="240" w:lineRule="auto"/>
        <w:ind w:firstLine="566" w:firstLineChars="200"/>
        <w:rPr>
          <w:rFonts w:hint="eastAsia" w:ascii="仿宋" w:hAnsi="仿宋" w:eastAsia="仿宋_GB2312" w:cs="仿宋"/>
          <w:color w:val="auto"/>
          <w:lang w:eastAsia="zh-CN"/>
        </w:rPr>
      </w:pPr>
      <w:r>
        <w:rPr>
          <w:rFonts w:hint="eastAsia" w:ascii="仿宋" w:hAnsi="仿宋" w:eastAsia="仿宋_GB2312" w:cs="仿宋"/>
          <w:color w:val="auto"/>
          <w:lang w:eastAsia="zh-CN"/>
        </w:rPr>
        <w:t>一、</w:t>
      </w:r>
      <w:r>
        <w:rPr>
          <w:rFonts w:hint="eastAsia" w:ascii="仿宋" w:hAnsi="仿宋" w:eastAsia="仿宋_GB2312" w:cs="仿宋"/>
          <w:color w:val="auto"/>
        </w:rPr>
        <w:t>安保服务目标</w:t>
      </w:r>
      <w:r>
        <w:rPr>
          <w:rFonts w:hint="eastAsia" w:ascii="仿宋" w:hAnsi="仿宋" w:eastAsia="仿宋_GB2312" w:cs="仿宋"/>
          <w:color w:val="auto"/>
          <w:lang w:eastAsia="zh-CN"/>
        </w:rPr>
        <w:t>、</w:t>
      </w:r>
      <w:r>
        <w:rPr>
          <w:rFonts w:hint="eastAsia" w:ascii="仿宋" w:hAnsi="仿宋" w:eastAsia="仿宋_GB2312" w:cs="仿宋"/>
          <w:color w:val="auto"/>
        </w:rPr>
        <w:t>服务范围及期限在医院的指导下，负责医院所管保安项目的治安保卫、人身财产、消防安全、车辆管理停放等有关安保工作，维护医院所有工作人员、管理服务对象的人身财产安全，确保医院委托范围内的安全守卫、巡逻、巡查、公共财产安全，维护正常办公秩序、医疗秩序和公共安全。服务期限三年，以合同签订日为准</w:t>
      </w:r>
      <w:r>
        <w:rPr>
          <w:rFonts w:hint="eastAsia" w:ascii="仿宋" w:hAnsi="仿宋" w:eastAsia="仿宋_GB2312" w:cs="仿宋"/>
          <w:color w:val="auto"/>
          <w:lang w:eastAsia="zh-CN"/>
        </w:rPr>
        <w:t>。</w:t>
      </w:r>
    </w:p>
    <w:p w14:paraId="1F4E4FDF">
      <w:pPr>
        <w:numPr>
          <w:ilvl w:val="0"/>
          <w:numId w:val="0"/>
        </w:numPr>
        <w:spacing w:line="240" w:lineRule="auto"/>
        <w:ind w:firstLine="566" w:firstLineChars="200"/>
        <w:rPr>
          <w:rFonts w:hint="eastAsia" w:ascii="仿宋" w:hAnsi="仿宋" w:eastAsia="仿宋_GB2312" w:cs="仿宋"/>
          <w:color w:val="auto"/>
        </w:rPr>
      </w:pPr>
      <w:r>
        <w:rPr>
          <w:rFonts w:hint="eastAsia" w:ascii="仿宋" w:hAnsi="仿宋" w:eastAsia="仿宋_GB2312" w:cs="仿宋"/>
          <w:color w:val="auto"/>
        </w:rPr>
        <w:t>二、供应商资质要求供应商具有公安机关颁发的保安服务许可证。提供有效存续的企业营业执照（副本）/事业单位法人证书/专业服务机构执业许可证/民办非企业单位登记证书。</w:t>
      </w:r>
    </w:p>
    <w:p w14:paraId="042BE40A">
      <w:pPr>
        <w:numPr>
          <w:ilvl w:val="0"/>
          <w:numId w:val="0"/>
        </w:numPr>
        <w:spacing w:line="240" w:lineRule="auto"/>
        <w:ind w:firstLine="566" w:firstLineChars="200"/>
        <w:rPr>
          <w:rFonts w:hint="eastAsia" w:ascii="仿宋" w:hAnsi="仿宋" w:eastAsia="仿宋_GB2312" w:cs="仿宋"/>
          <w:color w:val="auto"/>
        </w:rPr>
      </w:pPr>
      <w:r>
        <w:rPr>
          <w:rFonts w:hint="eastAsia" w:ascii="仿宋" w:hAnsi="仿宋" w:eastAsia="仿宋_GB2312" w:cs="仿宋"/>
          <w:color w:val="auto"/>
        </w:rPr>
        <w:t>三、安保人员条件及素质</w:t>
      </w:r>
      <w:r>
        <w:rPr>
          <w:rFonts w:hint="eastAsia" w:ascii="仿宋" w:hAnsi="仿宋" w:eastAsia="仿宋_GB2312" w:cs="仿宋"/>
          <w:color w:val="auto"/>
          <w:lang w:eastAsia="zh-CN"/>
        </w:rPr>
        <w:t>：</w:t>
      </w:r>
      <w:r>
        <w:rPr>
          <w:rFonts w:hint="eastAsia" w:ascii="仿宋" w:hAnsi="仿宋" w:eastAsia="仿宋_GB2312" w:cs="仿宋"/>
          <w:color w:val="auto"/>
        </w:rPr>
        <w:t>（1）年龄60岁以下（其中50岁以下占比不低于20%），有保安证，男性，身高1.65米以上，身体健康，政治合格，有从事安保工作体能基础，能应急处理突发事件，有较强语言表达能力，经验丰富，有较强素质修养。（2）所有队员基本信息、身份证明、无违法犯罪纪录证明除保安公司审查存档外,还要向保卫科报送复印件一份备案。（3）医院保安的人事变动及人事任免权由医院保卫科考查任命；人员辞退权归医院保卫科。</w:t>
      </w:r>
    </w:p>
    <w:p w14:paraId="3CD9BE89">
      <w:pPr>
        <w:numPr>
          <w:ilvl w:val="0"/>
          <w:numId w:val="0"/>
        </w:numPr>
        <w:spacing w:line="240" w:lineRule="auto"/>
        <w:ind w:firstLine="566" w:firstLineChars="200"/>
        <w:rPr>
          <w:rFonts w:hint="eastAsia" w:ascii="仿宋" w:hAnsi="仿宋" w:eastAsia="仿宋_GB2312" w:cs="仿宋"/>
          <w:color w:val="auto"/>
        </w:rPr>
      </w:pPr>
      <w:r>
        <w:rPr>
          <w:rFonts w:hint="eastAsia" w:ascii="仿宋" w:hAnsi="仿宋" w:eastAsia="仿宋_GB2312" w:cs="仿宋"/>
          <w:color w:val="auto"/>
        </w:rPr>
        <w:t>四、工作标准</w:t>
      </w:r>
      <w:r>
        <w:rPr>
          <w:rFonts w:hint="eastAsia" w:ascii="仿宋" w:hAnsi="仿宋" w:eastAsia="仿宋_GB2312" w:cs="仿宋"/>
          <w:color w:val="auto"/>
          <w:lang w:eastAsia="zh-CN"/>
        </w:rPr>
        <w:t>：</w:t>
      </w:r>
      <w:r>
        <w:rPr>
          <w:rFonts w:hint="eastAsia" w:ascii="仿宋" w:hAnsi="仿宋" w:eastAsia="仿宋_GB2312" w:cs="仿宋"/>
          <w:color w:val="auto"/>
        </w:rPr>
        <w:t>（1）遵守管理员培训制度，坚持学习、训练；（2）每月定期开展消防、安保培训及操练。</w:t>
      </w:r>
    </w:p>
    <w:p w14:paraId="7C1EAF06">
      <w:pPr>
        <w:numPr>
          <w:ilvl w:val="0"/>
          <w:numId w:val="0"/>
        </w:numPr>
        <w:spacing w:line="240" w:lineRule="auto"/>
        <w:ind w:firstLine="566" w:firstLineChars="200"/>
        <w:rPr>
          <w:rFonts w:hint="eastAsia" w:ascii="仿宋" w:hAnsi="仿宋" w:eastAsia="仿宋_GB2312" w:cs="仿宋"/>
          <w:color w:val="auto"/>
        </w:rPr>
      </w:pPr>
      <w:r>
        <w:rPr>
          <w:rFonts w:hint="eastAsia" w:ascii="仿宋" w:hAnsi="仿宋" w:eastAsia="仿宋_GB2312" w:cs="仿宋"/>
          <w:color w:val="auto"/>
        </w:rPr>
        <w:t>五、人员配置保安班长1人，保安员7人（其中社区1名），共计8人。</w:t>
      </w:r>
    </w:p>
    <w:p w14:paraId="561D0D64">
      <w:pPr>
        <w:numPr>
          <w:ilvl w:val="0"/>
          <w:numId w:val="0"/>
        </w:numPr>
        <w:spacing w:line="240" w:lineRule="auto"/>
        <w:ind w:firstLine="566" w:firstLineChars="200"/>
        <w:rPr>
          <w:rFonts w:hint="eastAsia" w:ascii="仿宋" w:hAnsi="仿宋" w:eastAsia="仿宋" w:cs="仿宋"/>
          <w:b/>
          <w:color w:val="auto"/>
        </w:rPr>
      </w:pPr>
      <w:r>
        <w:rPr>
          <w:rFonts w:hint="eastAsia" w:ascii="仿宋" w:hAnsi="仿宋" w:eastAsia="仿宋_GB2312" w:cs="仿宋"/>
          <w:color w:val="auto"/>
        </w:rPr>
        <w:t>六、考核</w:t>
      </w:r>
      <w:r>
        <w:rPr>
          <w:rFonts w:hint="eastAsia" w:ascii="仿宋" w:hAnsi="仿宋" w:eastAsia="仿宋_GB2312" w:cs="仿宋"/>
          <w:color w:val="auto"/>
          <w:lang w:eastAsia="zh-CN"/>
        </w:rPr>
        <w:t>：</w:t>
      </w:r>
      <w:r>
        <w:rPr>
          <w:rFonts w:hint="eastAsia" w:ascii="仿宋" w:hAnsi="仿宋" w:eastAsia="仿宋_GB2312" w:cs="仿宋"/>
          <w:color w:val="auto"/>
        </w:rPr>
        <w:t>1、月考：根据相关服务内容及项目制定考核评分细则。服务期内每月进行考核并根据考核结果按月支付费用</w:t>
      </w:r>
      <w:r>
        <w:rPr>
          <w:rFonts w:hint="eastAsia" w:ascii="仿宋" w:hAnsi="仿宋" w:eastAsia="仿宋_GB2312" w:cs="仿宋"/>
          <w:color w:val="auto"/>
          <w:lang w:eastAsia="zh-CN"/>
        </w:rPr>
        <w:t>，</w:t>
      </w:r>
      <w:r>
        <w:rPr>
          <w:rFonts w:hint="eastAsia" w:ascii="仿宋" w:hAnsi="仿宋" w:eastAsia="仿宋_GB2312" w:cs="仿宋"/>
          <w:color w:val="auto"/>
        </w:rPr>
        <w:t>考核“优良”（80-100）分，结付月度款的100%</w:t>
      </w:r>
      <w:r>
        <w:rPr>
          <w:rFonts w:hint="eastAsia" w:ascii="仿宋" w:hAnsi="仿宋" w:eastAsia="仿宋_GB2312" w:cs="仿宋"/>
          <w:color w:val="auto"/>
          <w:lang w:eastAsia="zh-CN"/>
        </w:rPr>
        <w:t>；</w:t>
      </w:r>
      <w:r>
        <w:rPr>
          <w:rFonts w:hint="eastAsia" w:ascii="仿宋" w:hAnsi="仿宋" w:eastAsia="仿宋_GB2312" w:cs="仿宋"/>
          <w:color w:val="auto"/>
        </w:rPr>
        <w:t>考核“合格”（60-80）分，结付月度款的95%。罚金5%</w:t>
      </w:r>
      <w:r>
        <w:rPr>
          <w:rFonts w:hint="eastAsia" w:ascii="仿宋" w:hAnsi="仿宋" w:eastAsia="仿宋_GB2312" w:cs="仿宋"/>
          <w:color w:val="auto"/>
          <w:lang w:eastAsia="zh-CN"/>
        </w:rPr>
        <w:t>；</w:t>
      </w:r>
      <w:r>
        <w:rPr>
          <w:rFonts w:hint="eastAsia" w:ascii="仿宋" w:hAnsi="仿宋" w:eastAsia="仿宋_GB2312" w:cs="仿宋"/>
          <w:color w:val="auto"/>
        </w:rPr>
        <w:t>考核“不合格”，结付月度款的90%。罚金10%</w:t>
      </w:r>
      <w:r>
        <w:rPr>
          <w:rFonts w:hint="eastAsia" w:ascii="仿宋" w:hAnsi="仿宋" w:eastAsia="仿宋_GB2312" w:cs="仿宋"/>
          <w:color w:val="auto"/>
          <w:lang w:eastAsia="zh-CN"/>
        </w:rPr>
        <w:t>。</w:t>
      </w:r>
      <w:r>
        <w:rPr>
          <w:rFonts w:hint="eastAsia" w:ascii="仿宋" w:hAnsi="仿宋" w:eastAsia="仿宋_GB2312" w:cs="仿宋"/>
          <w:color w:val="auto"/>
        </w:rPr>
        <w:t>2、年考：服务期限三年，合同每年一签，到期前一个月进行年考，合格后再签订下一年合同。</w:t>
      </w:r>
    </w:p>
    <w:p w14:paraId="0B0D585A">
      <w:pPr>
        <w:widowControl w:val="0"/>
        <w:spacing w:line="500" w:lineRule="exact"/>
        <w:jc w:val="both"/>
        <w:rPr>
          <w:rFonts w:ascii="黑体" w:hAnsi="黑体" w:eastAsia="黑体"/>
          <w:color w:val="auto"/>
          <w:sz w:val="32"/>
          <w:szCs w:val="32"/>
        </w:rPr>
      </w:pPr>
    </w:p>
    <w:p w14:paraId="5EDF82DC">
      <w:pPr>
        <w:widowControl w:val="0"/>
        <w:spacing w:line="500" w:lineRule="exact"/>
        <w:jc w:val="both"/>
        <w:rPr>
          <w:rFonts w:ascii="黑体" w:hAnsi="黑体" w:eastAsia="黑体"/>
          <w:color w:val="auto"/>
          <w:sz w:val="32"/>
          <w:szCs w:val="32"/>
        </w:rPr>
      </w:pPr>
    </w:p>
    <w:p w14:paraId="7A915D80">
      <w:pPr>
        <w:widowControl w:val="0"/>
        <w:spacing w:line="500" w:lineRule="exact"/>
        <w:jc w:val="both"/>
        <w:rPr>
          <w:rFonts w:ascii="黑体" w:hAnsi="黑体" w:eastAsia="黑体"/>
          <w:color w:val="auto"/>
          <w:sz w:val="32"/>
          <w:szCs w:val="32"/>
        </w:rPr>
      </w:pPr>
    </w:p>
    <w:p w14:paraId="797DDA0A">
      <w:pPr>
        <w:rPr>
          <w:rFonts w:ascii="黑体" w:hAnsi="黑体" w:eastAsia="黑体"/>
          <w:color w:val="auto"/>
          <w:sz w:val="32"/>
          <w:szCs w:val="32"/>
        </w:rPr>
      </w:pPr>
      <w:r>
        <w:rPr>
          <w:rFonts w:ascii="黑体" w:hAnsi="黑体" w:eastAsia="黑体"/>
          <w:color w:val="auto"/>
          <w:sz w:val="32"/>
          <w:szCs w:val="32"/>
        </w:rPr>
        <w:br w:type="page"/>
      </w:r>
    </w:p>
    <w:p w14:paraId="30362823">
      <w:pPr>
        <w:widowControl w:val="0"/>
        <w:spacing w:line="240" w:lineRule="auto"/>
        <w:ind w:firstLine="2907" w:firstLineChars="900"/>
        <w:jc w:val="both"/>
        <w:rPr>
          <w:rFonts w:hint="eastAsia" w:ascii="黑体" w:hAnsi="黑体" w:eastAsia="黑体"/>
          <w:color w:val="auto"/>
          <w:sz w:val="32"/>
          <w:szCs w:val="32"/>
        </w:rPr>
      </w:pPr>
      <w:r>
        <w:rPr>
          <w:rFonts w:ascii="黑体" w:hAnsi="黑体" w:eastAsia="黑体"/>
          <w:color w:val="auto"/>
          <w:sz w:val="32"/>
          <w:szCs w:val="32"/>
        </w:rPr>
        <w:t>第</w:t>
      </w:r>
      <w:r>
        <w:rPr>
          <w:rFonts w:hint="eastAsia" w:ascii="黑体" w:hAnsi="黑体" w:eastAsia="黑体"/>
          <w:color w:val="auto"/>
          <w:sz w:val="32"/>
          <w:szCs w:val="32"/>
        </w:rPr>
        <w:t>四</w:t>
      </w:r>
      <w:r>
        <w:rPr>
          <w:rFonts w:ascii="黑体" w:hAnsi="黑体" w:eastAsia="黑体"/>
          <w:color w:val="auto"/>
          <w:sz w:val="32"/>
          <w:szCs w:val="32"/>
        </w:rPr>
        <w:t xml:space="preserve">章 </w:t>
      </w:r>
      <w:bookmarkEnd w:id="161"/>
      <w:bookmarkEnd w:id="162"/>
      <w:r>
        <w:rPr>
          <w:rFonts w:hint="eastAsia" w:ascii="黑体" w:hAnsi="黑体" w:eastAsia="黑体"/>
          <w:color w:val="auto"/>
          <w:sz w:val="32"/>
          <w:szCs w:val="32"/>
        </w:rPr>
        <w:t>合同主要条款</w:t>
      </w:r>
    </w:p>
    <w:p w14:paraId="28AE9AC9">
      <w:pPr>
        <w:keepNext w:val="0"/>
        <w:keepLines w:val="0"/>
        <w:pageBreakBefore w:val="0"/>
        <w:widowControl/>
        <w:kinsoku/>
        <w:wordWrap/>
        <w:overflowPunct/>
        <w:topLinePunct w:val="0"/>
        <w:autoSpaceDE/>
        <w:autoSpaceDN/>
        <w:bidi w:val="0"/>
        <w:adjustRightInd/>
        <w:snapToGrid/>
        <w:spacing w:line="460" w:lineRule="exact"/>
        <w:ind w:firstLine="566" w:firstLineChars="200"/>
        <w:textAlignment w:val="auto"/>
        <w:rPr>
          <w:rFonts w:hint="eastAsia" w:ascii="Times New Roman" w:hAnsi="Times New Roman" w:eastAsia="仿宋_GB2312" w:cs="Times New Roman"/>
          <w:b/>
          <w:bCs/>
          <w:color w:val="auto"/>
          <w:kern w:val="0"/>
          <w:lang w:bidi="ar"/>
        </w:rPr>
      </w:pPr>
      <w:r>
        <w:rPr>
          <w:rFonts w:hint="eastAsia" w:ascii="Times New Roman" w:hAnsi="Times New Roman" w:eastAsia="仿宋_GB2312" w:cs="Times New Roman"/>
          <w:b/>
          <w:bCs/>
          <w:color w:val="auto"/>
          <w:kern w:val="0"/>
          <w:lang w:bidi="ar"/>
        </w:rPr>
        <w:t xml:space="preserve">一、基本条件 </w:t>
      </w:r>
    </w:p>
    <w:p w14:paraId="4036E85F">
      <w:pPr>
        <w:keepNext w:val="0"/>
        <w:keepLines w:val="0"/>
        <w:pageBreakBefore w:val="0"/>
        <w:widowControl/>
        <w:kinsoku/>
        <w:wordWrap/>
        <w:overflowPunct/>
        <w:topLinePunct w:val="0"/>
        <w:autoSpaceDE/>
        <w:autoSpaceDN/>
        <w:bidi w:val="0"/>
        <w:adjustRightInd/>
        <w:snapToGrid/>
        <w:spacing w:line="460" w:lineRule="exact"/>
        <w:ind w:firstLine="566" w:firstLineChars="200"/>
        <w:textAlignment w:val="auto"/>
        <w:rPr>
          <w:rFonts w:hint="eastAsia" w:ascii="仿宋_GB2312" w:hAnsi="仿宋_GB2312" w:eastAsia="仿宋_GB2312" w:cs="仿宋_GB2312"/>
          <w:color w:val="auto"/>
          <w:u w:val="none"/>
          <w:lang w:eastAsia="zh-CN"/>
        </w:rPr>
      </w:pPr>
      <w:r>
        <w:rPr>
          <w:rFonts w:hint="eastAsia" w:ascii="Times New Roman" w:hAnsi="Times New Roman" w:eastAsia="仿宋_GB2312" w:cs="Times New Roman"/>
          <w:color w:val="auto"/>
          <w:kern w:val="0"/>
          <w:lang w:bidi="ar"/>
        </w:rPr>
        <w:t>（一）项目名称：</w:t>
      </w:r>
      <w:r>
        <w:rPr>
          <w:rFonts w:hint="eastAsia" w:ascii="仿宋_GB2312" w:hAnsi="仿宋_GB2312" w:eastAsia="仿宋_GB2312" w:cs="仿宋_GB2312"/>
          <w:color w:val="auto"/>
          <w:u w:val="none"/>
          <w:lang w:val="en-US" w:eastAsia="zh-CN"/>
        </w:rPr>
        <w:t>汉中市传染病医院（汉中市第二人民医院）安保服务</w:t>
      </w:r>
      <w:r>
        <w:rPr>
          <w:rFonts w:hint="eastAsia" w:ascii="仿宋_GB2312" w:hAnsi="仿宋_GB2312" w:eastAsia="仿宋_GB2312" w:cs="仿宋_GB2312"/>
          <w:color w:val="auto"/>
          <w:u w:val="none"/>
          <w:lang w:eastAsia="zh-CN"/>
        </w:rPr>
        <w:t>采购项目</w:t>
      </w:r>
    </w:p>
    <w:p w14:paraId="183D98CA">
      <w:pPr>
        <w:keepNext w:val="0"/>
        <w:keepLines w:val="0"/>
        <w:pageBreakBefore w:val="0"/>
        <w:widowControl/>
        <w:kinsoku/>
        <w:wordWrap/>
        <w:overflowPunct/>
        <w:topLinePunct w:val="0"/>
        <w:autoSpaceDE/>
        <w:autoSpaceDN/>
        <w:bidi w:val="0"/>
        <w:adjustRightInd/>
        <w:snapToGrid/>
        <w:spacing w:line="460" w:lineRule="exact"/>
        <w:ind w:firstLine="566" w:firstLineChars="200"/>
        <w:textAlignment w:val="auto"/>
        <w:rPr>
          <w:rFonts w:hint="eastAsia" w:ascii="Times New Roman" w:hAnsi="Times New Roman" w:eastAsia="仿宋_GB2312" w:cs="Times New Roman"/>
          <w:color w:val="auto"/>
          <w:kern w:val="0"/>
          <w:lang w:bidi="ar"/>
        </w:rPr>
      </w:pPr>
      <w:r>
        <w:rPr>
          <w:rFonts w:hint="eastAsia" w:ascii="Times New Roman" w:hAnsi="Times New Roman" w:eastAsia="仿宋_GB2312" w:cs="Times New Roman"/>
          <w:color w:val="auto"/>
          <w:kern w:val="0"/>
          <w:lang w:bidi="ar"/>
        </w:rPr>
        <w:t>（二）服务地点：</w:t>
      </w:r>
      <w:r>
        <w:rPr>
          <w:rFonts w:hint="eastAsia" w:ascii="Times New Roman" w:hAnsi="Times New Roman" w:eastAsia="仿宋_GB2312" w:cs="Times New Roman"/>
          <w:color w:val="auto"/>
          <w:kern w:val="0"/>
          <w:lang w:val="en-US" w:eastAsia="zh-CN" w:bidi="ar"/>
        </w:rPr>
        <w:t>汉中市传染病医院（汉中市第二人民医院）</w:t>
      </w:r>
    </w:p>
    <w:p w14:paraId="0E1B2EC4">
      <w:pPr>
        <w:keepNext w:val="0"/>
        <w:keepLines w:val="0"/>
        <w:pageBreakBefore w:val="0"/>
        <w:widowControl/>
        <w:kinsoku/>
        <w:wordWrap/>
        <w:overflowPunct/>
        <w:topLinePunct w:val="0"/>
        <w:autoSpaceDE/>
        <w:autoSpaceDN/>
        <w:bidi w:val="0"/>
        <w:adjustRightInd/>
        <w:snapToGrid/>
        <w:spacing w:line="460" w:lineRule="exact"/>
        <w:ind w:firstLine="566" w:firstLineChars="200"/>
        <w:textAlignment w:val="auto"/>
        <w:rPr>
          <w:rFonts w:hint="eastAsia" w:ascii="Times New Roman" w:hAnsi="Times New Roman" w:eastAsia="仿宋_GB2312" w:cs="Times New Roman"/>
          <w:color w:val="auto"/>
          <w:kern w:val="0"/>
          <w:lang w:bidi="ar"/>
        </w:rPr>
      </w:pPr>
      <w:r>
        <w:rPr>
          <w:rFonts w:hint="eastAsia" w:ascii="Times New Roman" w:hAnsi="Times New Roman" w:eastAsia="仿宋_GB2312" w:cs="Times New Roman"/>
          <w:color w:val="auto"/>
          <w:kern w:val="0"/>
          <w:lang w:bidi="ar"/>
        </w:rPr>
        <w:t>（三）服务期：</w:t>
      </w:r>
      <w:r>
        <w:rPr>
          <w:rFonts w:hint="eastAsia" w:ascii="Times New Roman" w:hAnsi="Times New Roman" w:eastAsia="仿宋_GB2312" w:cs="Times New Roman"/>
          <w:b w:val="0"/>
          <w:bCs w:val="0"/>
          <w:color w:val="auto"/>
          <w:sz w:val="28"/>
          <w:szCs w:val="28"/>
          <w:u w:val="none"/>
        </w:rPr>
        <w:t>本项目</w:t>
      </w:r>
      <w:r>
        <w:rPr>
          <w:rFonts w:hint="eastAsia" w:ascii="Times New Roman" w:hAnsi="Times New Roman" w:eastAsia="仿宋_GB2312" w:cs="Times New Roman"/>
          <w:b w:val="0"/>
          <w:bCs w:val="0"/>
          <w:color w:val="auto"/>
          <w:sz w:val="28"/>
          <w:szCs w:val="28"/>
          <w:u w:val="none"/>
          <w:lang w:eastAsia="zh-CN"/>
        </w:rPr>
        <w:t>年度预算为</w:t>
      </w:r>
      <w:r>
        <w:rPr>
          <w:rFonts w:hint="eastAsia" w:ascii="Times New Roman" w:hAnsi="Times New Roman" w:eastAsia="仿宋_GB2312" w:cs="Times New Roman"/>
          <w:b w:val="0"/>
          <w:bCs w:val="0"/>
          <w:color w:val="auto"/>
          <w:sz w:val="28"/>
          <w:szCs w:val="28"/>
          <w:u w:val="none"/>
          <w:lang w:val="en-US" w:eastAsia="zh-CN"/>
        </w:rPr>
        <w:t>30万元。</w:t>
      </w:r>
      <w:r>
        <w:rPr>
          <w:rFonts w:hint="eastAsia" w:ascii="Times New Roman" w:hAnsi="Times New Roman" w:eastAsia="仿宋_GB2312" w:cs="Times New Roman"/>
          <w:b w:val="0"/>
          <w:bCs w:val="0"/>
          <w:color w:val="auto"/>
          <w:sz w:val="28"/>
          <w:szCs w:val="28"/>
          <w:u w:val="none"/>
        </w:rPr>
        <w:t>服务期</w:t>
      </w:r>
      <w:r>
        <w:rPr>
          <w:rFonts w:hint="eastAsia" w:ascii="Times New Roman" w:hAnsi="Times New Roman" w:eastAsia="仿宋_GB2312" w:cs="Times New Roman"/>
          <w:b w:val="0"/>
          <w:bCs w:val="0"/>
          <w:color w:val="auto"/>
          <w:sz w:val="28"/>
          <w:szCs w:val="28"/>
          <w:u w:val="none"/>
          <w:lang w:eastAsia="zh-CN"/>
        </w:rPr>
        <w:t>为</w:t>
      </w:r>
      <w:r>
        <w:rPr>
          <w:rFonts w:hint="eastAsia" w:ascii="Times New Roman" w:hAnsi="Times New Roman" w:eastAsia="仿宋_GB2312" w:cs="Times New Roman"/>
          <w:b w:val="0"/>
          <w:bCs w:val="0"/>
          <w:color w:val="auto"/>
          <w:sz w:val="28"/>
          <w:szCs w:val="28"/>
          <w:u w:val="none"/>
        </w:rPr>
        <w:t>三年，</w:t>
      </w:r>
      <w:r>
        <w:rPr>
          <w:rFonts w:hint="eastAsia" w:ascii="Times New Roman" w:hAnsi="Times New Roman" w:eastAsia="仿宋_GB2312" w:cs="Times New Roman"/>
          <w:b w:val="0"/>
          <w:bCs w:val="0"/>
          <w:color w:val="auto"/>
          <w:sz w:val="28"/>
          <w:szCs w:val="28"/>
          <w:u w:val="none"/>
          <w:lang w:val="en-US" w:eastAsia="zh-CN"/>
        </w:rPr>
        <w:t>合同每年一签，到期前一个月进行年考，合格后再签订下一年合同。</w:t>
      </w:r>
    </w:p>
    <w:p w14:paraId="43DDBD37">
      <w:pPr>
        <w:keepNext w:val="0"/>
        <w:keepLines w:val="0"/>
        <w:pageBreakBefore w:val="0"/>
        <w:widowControl/>
        <w:kinsoku/>
        <w:wordWrap/>
        <w:overflowPunct/>
        <w:topLinePunct w:val="0"/>
        <w:autoSpaceDE/>
        <w:autoSpaceDN/>
        <w:bidi w:val="0"/>
        <w:adjustRightInd/>
        <w:snapToGrid/>
        <w:spacing w:line="460" w:lineRule="exact"/>
        <w:ind w:firstLine="566" w:firstLineChars="200"/>
        <w:textAlignment w:val="auto"/>
        <w:rPr>
          <w:rFonts w:hint="eastAsia" w:ascii="Times New Roman" w:hAnsi="Times New Roman" w:eastAsia="仿宋_GB2312" w:cs="Times New Roman"/>
          <w:color w:val="auto"/>
          <w:kern w:val="0"/>
          <w:lang w:bidi="ar"/>
        </w:rPr>
      </w:pPr>
      <w:r>
        <w:rPr>
          <w:rFonts w:hint="eastAsia" w:ascii="Times New Roman" w:hAnsi="Times New Roman" w:eastAsia="仿宋_GB2312" w:cs="Times New Roman"/>
          <w:color w:val="auto"/>
          <w:kern w:val="0"/>
          <w:lang w:bidi="ar"/>
        </w:rPr>
        <w:t xml:space="preserve">本合同有效期 </w:t>
      </w:r>
      <w:r>
        <w:rPr>
          <w:rFonts w:hint="eastAsia" w:ascii="Times New Roman" w:hAnsi="Times New Roman" w:eastAsia="仿宋_GB2312" w:cs="Times New Roman"/>
          <w:color w:val="auto"/>
          <w:kern w:val="0"/>
          <w:u w:val="single"/>
          <w:lang w:bidi="ar"/>
        </w:rPr>
        <w:t xml:space="preserve">   </w:t>
      </w:r>
      <w:r>
        <w:rPr>
          <w:rFonts w:hint="eastAsia" w:ascii="Times New Roman" w:hAnsi="Times New Roman" w:eastAsia="仿宋_GB2312" w:cs="Times New Roman"/>
          <w:color w:val="auto"/>
          <w:kern w:val="0"/>
          <w:u w:val="single"/>
          <w:lang w:val="en-US" w:eastAsia="zh-CN" w:bidi="ar"/>
        </w:rPr>
        <w:t xml:space="preserve">  </w:t>
      </w:r>
      <w:r>
        <w:rPr>
          <w:rFonts w:hint="eastAsia" w:ascii="Times New Roman" w:hAnsi="Times New Roman" w:eastAsia="仿宋_GB2312" w:cs="Times New Roman"/>
          <w:color w:val="auto"/>
          <w:kern w:val="0"/>
          <w:u w:val="single"/>
          <w:lang w:bidi="ar"/>
        </w:rPr>
        <w:t xml:space="preserve">  </w:t>
      </w:r>
      <w:r>
        <w:rPr>
          <w:rFonts w:hint="eastAsia" w:ascii="Times New Roman" w:hAnsi="Times New Roman" w:eastAsia="仿宋_GB2312" w:cs="Times New Roman"/>
          <w:color w:val="auto"/>
          <w:kern w:val="0"/>
          <w:u w:val="none"/>
          <w:lang w:bidi="ar"/>
        </w:rPr>
        <w:t>年</w:t>
      </w:r>
      <w:r>
        <w:rPr>
          <w:rFonts w:hint="eastAsia" w:ascii="Times New Roman" w:hAnsi="Times New Roman" w:eastAsia="仿宋_GB2312" w:cs="Times New Roman"/>
          <w:color w:val="auto"/>
          <w:kern w:val="0"/>
          <w:u w:val="single"/>
          <w:lang w:bidi="ar"/>
        </w:rPr>
        <w:t xml:space="preserve">    </w:t>
      </w:r>
      <w:r>
        <w:rPr>
          <w:rFonts w:hint="eastAsia" w:ascii="Times New Roman" w:hAnsi="Times New Roman" w:eastAsia="仿宋_GB2312" w:cs="Times New Roman"/>
          <w:color w:val="auto"/>
          <w:kern w:val="0"/>
          <w:u w:val="none"/>
          <w:lang w:bidi="ar"/>
        </w:rPr>
        <w:t>月</w:t>
      </w:r>
      <w:r>
        <w:rPr>
          <w:rFonts w:hint="eastAsia" w:ascii="Times New Roman" w:hAnsi="Times New Roman" w:eastAsia="仿宋_GB2312" w:cs="Times New Roman"/>
          <w:color w:val="auto"/>
          <w:kern w:val="0"/>
          <w:u w:val="single"/>
          <w:lang w:bidi="ar"/>
        </w:rPr>
        <w:t xml:space="preserve">    </w:t>
      </w:r>
      <w:r>
        <w:rPr>
          <w:rFonts w:hint="eastAsia" w:ascii="Times New Roman" w:hAnsi="Times New Roman" w:eastAsia="仿宋_GB2312" w:cs="Times New Roman"/>
          <w:color w:val="auto"/>
          <w:kern w:val="0"/>
          <w:u w:val="none"/>
          <w:lang w:bidi="ar"/>
        </w:rPr>
        <w:t>日至</w:t>
      </w:r>
      <w:r>
        <w:rPr>
          <w:rFonts w:hint="eastAsia" w:ascii="Times New Roman" w:hAnsi="Times New Roman" w:eastAsia="仿宋_GB2312" w:cs="Times New Roman"/>
          <w:color w:val="auto"/>
          <w:kern w:val="0"/>
          <w:u w:val="single"/>
          <w:lang w:bidi="ar"/>
        </w:rPr>
        <w:t xml:space="preserve">      </w:t>
      </w:r>
      <w:r>
        <w:rPr>
          <w:rFonts w:hint="eastAsia" w:ascii="Times New Roman" w:hAnsi="Times New Roman" w:eastAsia="仿宋_GB2312" w:cs="Times New Roman"/>
          <w:color w:val="auto"/>
          <w:kern w:val="0"/>
          <w:u w:val="none"/>
          <w:lang w:bidi="ar"/>
        </w:rPr>
        <w:t>年</w:t>
      </w:r>
      <w:r>
        <w:rPr>
          <w:rFonts w:hint="eastAsia" w:ascii="Times New Roman" w:hAnsi="Times New Roman" w:eastAsia="仿宋_GB2312" w:cs="Times New Roman"/>
          <w:color w:val="auto"/>
          <w:kern w:val="0"/>
          <w:u w:val="single"/>
          <w:lang w:bidi="ar"/>
        </w:rPr>
        <w:t xml:space="preserve">    </w:t>
      </w:r>
      <w:r>
        <w:rPr>
          <w:rFonts w:hint="eastAsia" w:ascii="Times New Roman" w:hAnsi="Times New Roman" w:eastAsia="仿宋_GB2312" w:cs="Times New Roman"/>
          <w:color w:val="auto"/>
          <w:kern w:val="0"/>
          <w:u w:val="none"/>
          <w:lang w:bidi="ar"/>
        </w:rPr>
        <w:t>月</w:t>
      </w:r>
      <w:r>
        <w:rPr>
          <w:rFonts w:hint="eastAsia" w:ascii="Times New Roman" w:hAnsi="Times New Roman" w:eastAsia="仿宋_GB2312" w:cs="Times New Roman"/>
          <w:color w:val="auto"/>
          <w:kern w:val="0"/>
          <w:u w:val="single"/>
          <w:lang w:bidi="ar"/>
        </w:rPr>
        <w:t xml:space="preserve">    </w:t>
      </w:r>
      <w:r>
        <w:rPr>
          <w:rFonts w:hint="eastAsia" w:ascii="Times New Roman" w:hAnsi="Times New Roman" w:eastAsia="仿宋_GB2312" w:cs="Times New Roman"/>
          <w:color w:val="auto"/>
          <w:kern w:val="0"/>
          <w:u w:val="none"/>
          <w:lang w:bidi="ar"/>
        </w:rPr>
        <w:t>日</w:t>
      </w:r>
      <w:r>
        <w:rPr>
          <w:rFonts w:hint="eastAsia" w:ascii="Times New Roman" w:hAnsi="Times New Roman" w:eastAsia="仿宋_GB2312" w:cs="Times New Roman"/>
          <w:color w:val="auto"/>
          <w:kern w:val="0"/>
          <w:lang w:bidi="ar"/>
        </w:rPr>
        <w:t>。</w:t>
      </w:r>
    </w:p>
    <w:p w14:paraId="2CB0C0AC">
      <w:pPr>
        <w:keepNext w:val="0"/>
        <w:keepLines w:val="0"/>
        <w:pageBreakBefore w:val="0"/>
        <w:widowControl/>
        <w:kinsoku/>
        <w:wordWrap/>
        <w:overflowPunct/>
        <w:topLinePunct w:val="0"/>
        <w:autoSpaceDE/>
        <w:autoSpaceDN/>
        <w:bidi w:val="0"/>
        <w:adjustRightInd/>
        <w:snapToGrid/>
        <w:spacing w:line="460" w:lineRule="exact"/>
        <w:ind w:firstLine="566" w:firstLineChars="200"/>
        <w:textAlignment w:val="auto"/>
        <w:rPr>
          <w:rFonts w:hint="eastAsia" w:ascii="Times New Roman" w:hAnsi="Times New Roman" w:eastAsia="仿宋_GB2312" w:cs="Times New Roman"/>
          <w:b/>
          <w:bCs/>
          <w:color w:val="auto"/>
          <w:kern w:val="0"/>
          <w:lang w:bidi="ar"/>
        </w:rPr>
      </w:pPr>
      <w:r>
        <w:rPr>
          <w:rFonts w:hint="eastAsia" w:ascii="Times New Roman" w:hAnsi="Times New Roman" w:eastAsia="仿宋_GB2312" w:cs="Times New Roman"/>
          <w:b/>
          <w:bCs/>
          <w:color w:val="auto"/>
          <w:kern w:val="0"/>
          <w:lang w:bidi="ar"/>
        </w:rPr>
        <w:t xml:space="preserve">二、合同价款 </w:t>
      </w:r>
    </w:p>
    <w:p w14:paraId="13DC4A39">
      <w:pPr>
        <w:keepNext w:val="0"/>
        <w:keepLines w:val="0"/>
        <w:pageBreakBefore w:val="0"/>
        <w:widowControl/>
        <w:kinsoku/>
        <w:wordWrap/>
        <w:overflowPunct/>
        <w:topLinePunct w:val="0"/>
        <w:autoSpaceDE/>
        <w:autoSpaceDN/>
        <w:bidi w:val="0"/>
        <w:adjustRightInd/>
        <w:snapToGrid/>
        <w:spacing w:line="460" w:lineRule="exact"/>
        <w:ind w:firstLine="566" w:firstLineChars="200"/>
        <w:textAlignment w:val="auto"/>
        <w:rPr>
          <w:rFonts w:hint="eastAsia" w:ascii="Times New Roman" w:hAnsi="Times New Roman" w:eastAsia="仿宋_GB2312" w:cs="Times New Roman"/>
          <w:color w:val="auto"/>
          <w:kern w:val="0"/>
          <w:lang w:bidi="ar"/>
        </w:rPr>
      </w:pPr>
      <w:r>
        <w:rPr>
          <w:rFonts w:hint="eastAsia" w:ascii="Times New Roman" w:hAnsi="Times New Roman" w:eastAsia="仿宋_GB2312" w:cs="Times New Roman"/>
          <w:color w:val="auto"/>
          <w:kern w:val="0"/>
          <w:lang w:bidi="ar"/>
        </w:rPr>
        <w:t>本合同总价不仅限于人员费用（工资、福利、社会保险）、服务所用设备工具购置及维修费用、服务所用材料消耗费用、管理费用、利润、税金等费用。合同总价一次性包死，不受市场价格变化因素的影响。</w:t>
      </w:r>
    </w:p>
    <w:p w14:paraId="051827FB">
      <w:pPr>
        <w:keepNext w:val="0"/>
        <w:keepLines w:val="0"/>
        <w:pageBreakBefore w:val="0"/>
        <w:widowControl/>
        <w:kinsoku/>
        <w:wordWrap/>
        <w:overflowPunct/>
        <w:topLinePunct w:val="0"/>
        <w:autoSpaceDE/>
        <w:autoSpaceDN/>
        <w:bidi w:val="0"/>
        <w:adjustRightInd/>
        <w:snapToGrid/>
        <w:spacing w:line="460" w:lineRule="exact"/>
        <w:ind w:firstLine="566" w:firstLineChars="200"/>
        <w:textAlignment w:val="auto"/>
        <w:rPr>
          <w:rFonts w:hint="eastAsia" w:ascii="Times New Roman" w:hAnsi="Times New Roman" w:eastAsia="仿宋_GB2312" w:cs="Times New Roman"/>
          <w:color w:val="auto"/>
          <w:kern w:val="0"/>
          <w:lang w:bidi="ar"/>
        </w:rPr>
      </w:pPr>
      <w:r>
        <w:rPr>
          <w:rFonts w:hint="eastAsia" w:ascii="Times New Roman" w:hAnsi="Times New Roman" w:eastAsia="仿宋_GB2312" w:cs="Times New Roman"/>
          <w:color w:val="auto"/>
          <w:kern w:val="0"/>
          <w:lang w:bidi="ar"/>
        </w:rPr>
        <w:t xml:space="preserve">三、款项结算 </w:t>
      </w:r>
    </w:p>
    <w:p w14:paraId="5A6148F2">
      <w:pPr>
        <w:keepNext w:val="0"/>
        <w:keepLines w:val="0"/>
        <w:pageBreakBefore w:val="0"/>
        <w:widowControl/>
        <w:kinsoku/>
        <w:wordWrap/>
        <w:overflowPunct/>
        <w:topLinePunct w:val="0"/>
        <w:autoSpaceDE/>
        <w:autoSpaceDN/>
        <w:bidi w:val="0"/>
        <w:adjustRightInd/>
        <w:snapToGrid/>
        <w:spacing w:line="460" w:lineRule="exact"/>
        <w:ind w:firstLine="566" w:firstLineChars="200"/>
        <w:textAlignment w:val="auto"/>
        <w:rPr>
          <w:rFonts w:hint="eastAsia" w:ascii="Times New Roman" w:hAnsi="Times New Roman" w:eastAsia="仿宋_GB2312" w:cs="Times New Roman"/>
          <w:color w:val="auto"/>
          <w:kern w:val="0"/>
          <w:lang w:bidi="ar"/>
        </w:rPr>
      </w:pPr>
      <w:r>
        <w:rPr>
          <w:rFonts w:hint="eastAsia" w:ascii="Times New Roman" w:hAnsi="Times New Roman" w:eastAsia="仿宋_GB2312" w:cs="Times New Roman"/>
          <w:color w:val="auto"/>
          <w:kern w:val="0"/>
          <w:lang w:bidi="ar"/>
        </w:rPr>
        <w:t>（一）结算方式：根据相关服务内容及项目制定考核评分细则。服务期内每月进行考核并根据考核结果按月支付费用：</w:t>
      </w:r>
    </w:p>
    <w:p w14:paraId="3442FD46">
      <w:pPr>
        <w:keepNext w:val="0"/>
        <w:keepLines w:val="0"/>
        <w:pageBreakBefore w:val="0"/>
        <w:widowControl/>
        <w:kinsoku/>
        <w:wordWrap/>
        <w:overflowPunct/>
        <w:topLinePunct w:val="0"/>
        <w:autoSpaceDE/>
        <w:autoSpaceDN/>
        <w:bidi w:val="0"/>
        <w:adjustRightInd/>
        <w:snapToGrid/>
        <w:spacing w:line="460" w:lineRule="exact"/>
        <w:ind w:firstLine="566" w:firstLineChars="200"/>
        <w:textAlignment w:val="auto"/>
        <w:rPr>
          <w:rFonts w:hint="eastAsia" w:ascii="Times New Roman" w:hAnsi="Times New Roman" w:eastAsia="仿宋_GB2312" w:cs="Times New Roman"/>
          <w:color w:val="auto"/>
          <w:kern w:val="0"/>
          <w:lang w:bidi="ar"/>
        </w:rPr>
      </w:pPr>
      <w:r>
        <w:rPr>
          <w:rFonts w:hint="eastAsia" w:ascii="Times New Roman" w:hAnsi="Times New Roman" w:eastAsia="仿宋_GB2312" w:cs="Times New Roman"/>
          <w:color w:val="auto"/>
          <w:kern w:val="0"/>
          <w:lang w:bidi="ar"/>
        </w:rPr>
        <w:t>考核“优良”（80-100）分，结付月度款的100%。</w:t>
      </w:r>
    </w:p>
    <w:p w14:paraId="44D27074">
      <w:pPr>
        <w:keepNext w:val="0"/>
        <w:keepLines w:val="0"/>
        <w:pageBreakBefore w:val="0"/>
        <w:widowControl/>
        <w:kinsoku/>
        <w:wordWrap/>
        <w:overflowPunct/>
        <w:topLinePunct w:val="0"/>
        <w:autoSpaceDE/>
        <w:autoSpaceDN/>
        <w:bidi w:val="0"/>
        <w:adjustRightInd/>
        <w:snapToGrid/>
        <w:spacing w:line="460" w:lineRule="exact"/>
        <w:ind w:firstLine="566" w:firstLineChars="200"/>
        <w:textAlignment w:val="auto"/>
        <w:rPr>
          <w:rFonts w:hint="eastAsia" w:ascii="Times New Roman" w:hAnsi="Times New Roman" w:eastAsia="仿宋_GB2312" w:cs="Times New Roman"/>
          <w:color w:val="auto"/>
          <w:kern w:val="0"/>
          <w:lang w:bidi="ar"/>
        </w:rPr>
      </w:pPr>
      <w:r>
        <w:rPr>
          <w:rFonts w:hint="eastAsia" w:ascii="Times New Roman" w:hAnsi="Times New Roman" w:eastAsia="仿宋_GB2312" w:cs="Times New Roman"/>
          <w:color w:val="auto"/>
          <w:kern w:val="0"/>
          <w:lang w:bidi="ar"/>
        </w:rPr>
        <w:t>考核“合格”（60-80）分，结付月度款的95%。罚金5%。</w:t>
      </w:r>
    </w:p>
    <w:p w14:paraId="40BA8AD4">
      <w:pPr>
        <w:keepNext w:val="0"/>
        <w:keepLines w:val="0"/>
        <w:pageBreakBefore w:val="0"/>
        <w:widowControl/>
        <w:kinsoku/>
        <w:wordWrap/>
        <w:overflowPunct/>
        <w:topLinePunct w:val="0"/>
        <w:autoSpaceDE/>
        <w:autoSpaceDN/>
        <w:bidi w:val="0"/>
        <w:adjustRightInd/>
        <w:snapToGrid/>
        <w:spacing w:line="460" w:lineRule="exact"/>
        <w:ind w:firstLine="566" w:firstLineChars="200"/>
        <w:textAlignment w:val="auto"/>
        <w:rPr>
          <w:rFonts w:hint="eastAsia" w:ascii="Times New Roman" w:hAnsi="Times New Roman" w:eastAsia="仿宋_GB2312" w:cs="Times New Roman"/>
          <w:color w:val="auto"/>
          <w:kern w:val="0"/>
          <w:lang w:bidi="ar"/>
        </w:rPr>
      </w:pPr>
      <w:r>
        <w:rPr>
          <w:rFonts w:hint="eastAsia" w:ascii="Times New Roman" w:hAnsi="Times New Roman" w:eastAsia="仿宋_GB2312" w:cs="Times New Roman"/>
          <w:color w:val="auto"/>
          <w:kern w:val="0"/>
          <w:lang w:bidi="ar"/>
        </w:rPr>
        <w:t>考核“不合格”，结付月度款的90%。罚金10%。</w:t>
      </w:r>
    </w:p>
    <w:p w14:paraId="0AC26F4D">
      <w:pPr>
        <w:keepNext w:val="0"/>
        <w:keepLines w:val="0"/>
        <w:pageBreakBefore w:val="0"/>
        <w:widowControl/>
        <w:kinsoku/>
        <w:wordWrap/>
        <w:overflowPunct/>
        <w:topLinePunct w:val="0"/>
        <w:autoSpaceDE/>
        <w:autoSpaceDN/>
        <w:bidi w:val="0"/>
        <w:adjustRightInd/>
        <w:snapToGrid/>
        <w:spacing w:line="460" w:lineRule="exact"/>
        <w:ind w:firstLine="566" w:firstLineChars="200"/>
        <w:textAlignment w:val="auto"/>
        <w:rPr>
          <w:rFonts w:hint="eastAsia" w:ascii="Times New Roman" w:hAnsi="Times New Roman" w:eastAsia="仿宋_GB2312" w:cs="Times New Roman"/>
          <w:color w:val="auto"/>
          <w:kern w:val="0"/>
          <w:lang w:bidi="ar"/>
        </w:rPr>
      </w:pPr>
      <w:r>
        <w:rPr>
          <w:rFonts w:hint="eastAsia" w:ascii="Times New Roman" w:hAnsi="Times New Roman" w:eastAsia="仿宋_GB2312" w:cs="Times New Roman"/>
          <w:color w:val="auto"/>
          <w:kern w:val="0"/>
          <w:lang w:bidi="ar"/>
        </w:rPr>
        <w:t>考核事项在具体合同中约定。</w:t>
      </w:r>
    </w:p>
    <w:p w14:paraId="60348967">
      <w:pPr>
        <w:keepNext w:val="0"/>
        <w:keepLines w:val="0"/>
        <w:pageBreakBefore w:val="0"/>
        <w:widowControl/>
        <w:kinsoku/>
        <w:wordWrap/>
        <w:overflowPunct/>
        <w:topLinePunct w:val="0"/>
        <w:autoSpaceDE/>
        <w:autoSpaceDN/>
        <w:bidi w:val="0"/>
        <w:adjustRightInd/>
        <w:snapToGrid/>
        <w:spacing w:line="460" w:lineRule="exact"/>
        <w:ind w:firstLine="566" w:firstLineChars="200"/>
        <w:textAlignment w:val="auto"/>
        <w:rPr>
          <w:rFonts w:hint="eastAsia" w:ascii="Times New Roman" w:hAnsi="Times New Roman" w:eastAsia="仿宋_GB2312" w:cs="Times New Roman"/>
          <w:color w:val="auto"/>
          <w:kern w:val="0"/>
          <w:lang w:bidi="ar"/>
        </w:rPr>
      </w:pPr>
      <w:r>
        <w:rPr>
          <w:rFonts w:hint="eastAsia" w:ascii="Times New Roman" w:hAnsi="Times New Roman" w:eastAsia="仿宋_GB2312" w:cs="Times New Roman"/>
          <w:color w:val="auto"/>
          <w:kern w:val="0"/>
          <w:lang w:bidi="ar"/>
        </w:rPr>
        <w:t xml:space="preserve">（二）货币单位：人民币 </w:t>
      </w:r>
    </w:p>
    <w:p w14:paraId="5A88299B">
      <w:pPr>
        <w:keepNext w:val="0"/>
        <w:keepLines w:val="0"/>
        <w:pageBreakBefore w:val="0"/>
        <w:widowControl/>
        <w:kinsoku/>
        <w:wordWrap/>
        <w:overflowPunct/>
        <w:topLinePunct w:val="0"/>
        <w:autoSpaceDE/>
        <w:autoSpaceDN/>
        <w:bidi w:val="0"/>
        <w:adjustRightInd/>
        <w:snapToGrid/>
        <w:spacing w:line="460" w:lineRule="exact"/>
        <w:ind w:firstLine="566" w:firstLineChars="200"/>
        <w:textAlignment w:val="auto"/>
        <w:rPr>
          <w:rFonts w:hint="eastAsia" w:ascii="Times New Roman" w:hAnsi="Times New Roman" w:eastAsia="仿宋_GB2312" w:cs="Times New Roman"/>
          <w:color w:val="auto"/>
          <w:kern w:val="0"/>
          <w:lang w:bidi="ar"/>
        </w:rPr>
      </w:pPr>
      <w:r>
        <w:rPr>
          <w:rFonts w:hint="eastAsia" w:ascii="Times New Roman" w:hAnsi="Times New Roman" w:eastAsia="仿宋_GB2312" w:cs="Times New Roman"/>
          <w:color w:val="auto"/>
          <w:kern w:val="0"/>
          <w:lang w:bidi="ar"/>
        </w:rPr>
        <w:t>四、服务保证</w:t>
      </w:r>
    </w:p>
    <w:p w14:paraId="34B0FC72">
      <w:pPr>
        <w:keepNext w:val="0"/>
        <w:keepLines w:val="0"/>
        <w:pageBreakBefore w:val="0"/>
        <w:widowControl/>
        <w:kinsoku/>
        <w:wordWrap/>
        <w:overflowPunct/>
        <w:topLinePunct w:val="0"/>
        <w:autoSpaceDE/>
        <w:autoSpaceDN/>
        <w:bidi w:val="0"/>
        <w:adjustRightInd/>
        <w:snapToGrid/>
        <w:spacing w:line="460" w:lineRule="exact"/>
        <w:ind w:firstLine="566" w:firstLineChars="200"/>
        <w:textAlignment w:val="auto"/>
        <w:rPr>
          <w:rFonts w:hint="eastAsia" w:ascii="Times New Roman" w:hAnsi="Times New Roman" w:eastAsia="仿宋_GB2312" w:cs="Times New Roman"/>
          <w:color w:val="auto"/>
          <w:kern w:val="0"/>
          <w:lang w:bidi="ar"/>
        </w:rPr>
      </w:pPr>
      <w:r>
        <w:rPr>
          <w:rFonts w:hint="eastAsia" w:ascii="Times New Roman" w:hAnsi="Times New Roman" w:eastAsia="仿宋_GB2312" w:cs="Times New Roman"/>
          <w:color w:val="auto"/>
          <w:kern w:val="0"/>
          <w:lang w:bidi="ar"/>
        </w:rPr>
        <w:t>1、成交供应商提供服务时，服务要求应按不低于国家、省、市有关部门规定的质量标准执行。</w:t>
      </w:r>
    </w:p>
    <w:p w14:paraId="04D172CA">
      <w:pPr>
        <w:keepNext w:val="0"/>
        <w:keepLines w:val="0"/>
        <w:pageBreakBefore w:val="0"/>
        <w:widowControl/>
        <w:kinsoku/>
        <w:wordWrap/>
        <w:overflowPunct/>
        <w:topLinePunct w:val="0"/>
        <w:autoSpaceDE/>
        <w:autoSpaceDN/>
        <w:bidi w:val="0"/>
        <w:adjustRightInd/>
        <w:snapToGrid/>
        <w:spacing w:line="460" w:lineRule="exact"/>
        <w:ind w:firstLine="566" w:firstLineChars="200"/>
        <w:textAlignment w:val="auto"/>
        <w:rPr>
          <w:rFonts w:hint="eastAsia" w:ascii="Times New Roman" w:hAnsi="Times New Roman" w:eastAsia="仿宋_GB2312" w:cs="Times New Roman"/>
          <w:color w:val="auto"/>
          <w:kern w:val="0"/>
          <w:lang w:bidi="ar"/>
        </w:rPr>
      </w:pPr>
      <w:r>
        <w:rPr>
          <w:rFonts w:hint="eastAsia" w:ascii="Times New Roman" w:hAnsi="Times New Roman" w:eastAsia="仿宋_GB2312" w:cs="Times New Roman"/>
          <w:color w:val="auto"/>
          <w:kern w:val="0"/>
          <w:lang w:bidi="ar"/>
        </w:rPr>
        <w:t>2、成交供应商承诺与拟投入人员均有劳动合同或聘用协议。引起劳动关系问题由成交供应商负责。</w:t>
      </w:r>
    </w:p>
    <w:p w14:paraId="722D6CE5">
      <w:pPr>
        <w:keepNext w:val="0"/>
        <w:keepLines w:val="0"/>
        <w:pageBreakBefore w:val="0"/>
        <w:widowControl/>
        <w:kinsoku/>
        <w:wordWrap/>
        <w:overflowPunct/>
        <w:topLinePunct w:val="0"/>
        <w:autoSpaceDE/>
        <w:autoSpaceDN/>
        <w:bidi w:val="0"/>
        <w:adjustRightInd/>
        <w:snapToGrid/>
        <w:spacing w:line="460" w:lineRule="exact"/>
        <w:ind w:firstLine="566" w:firstLineChars="200"/>
        <w:textAlignment w:val="auto"/>
        <w:rPr>
          <w:rFonts w:hint="eastAsia" w:ascii="Times New Roman" w:hAnsi="Times New Roman" w:eastAsia="仿宋_GB2312" w:cs="Times New Roman"/>
          <w:color w:val="auto"/>
          <w:kern w:val="0"/>
          <w:lang w:bidi="ar"/>
        </w:rPr>
      </w:pPr>
      <w:r>
        <w:rPr>
          <w:rFonts w:hint="eastAsia" w:ascii="Times New Roman" w:hAnsi="Times New Roman" w:eastAsia="仿宋_GB2312" w:cs="Times New Roman"/>
          <w:color w:val="auto"/>
          <w:kern w:val="0"/>
          <w:lang w:bidi="ar"/>
        </w:rPr>
        <w:t>3、成交供应商须保障所有人员待遇不得低于当地最低工资标准。</w:t>
      </w:r>
    </w:p>
    <w:p w14:paraId="53B79243">
      <w:pPr>
        <w:keepNext w:val="0"/>
        <w:keepLines w:val="0"/>
        <w:pageBreakBefore w:val="0"/>
        <w:widowControl/>
        <w:kinsoku/>
        <w:wordWrap/>
        <w:overflowPunct/>
        <w:topLinePunct w:val="0"/>
        <w:autoSpaceDE/>
        <w:autoSpaceDN/>
        <w:bidi w:val="0"/>
        <w:adjustRightInd/>
        <w:snapToGrid/>
        <w:spacing w:line="460" w:lineRule="exact"/>
        <w:ind w:firstLine="566" w:firstLineChars="200"/>
        <w:textAlignment w:val="auto"/>
        <w:rPr>
          <w:rFonts w:hint="eastAsia" w:ascii="Times New Roman" w:hAnsi="Times New Roman" w:eastAsia="仿宋_GB2312" w:cs="Times New Roman"/>
          <w:color w:val="auto"/>
          <w:kern w:val="0"/>
          <w:lang w:bidi="ar"/>
        </w:rPr>
      </w:pPr>
      <w:r>
        <w:rPr>
          <w:rFonts w:hint="eastAsia" w:ascii="Times New Roman" w:hAnsi="Times New Roman" w:eastAsia="仿宋_GB2312" w:cs="Times New Roman"/>
          <w:color w:val="auto"/>
          <w:kern w:val="0"/>
          <w:lang w:bidi="ar"/>
        </w:rPr>
        <w:t>4、在签订合同前，成交供应商应按照磋商文件第三章《磋商内容及采购要求》中所有承诺事项要求落实。</w:t>
      </w:r>
    </w:p>
    <w:p w14:paraId="447304F5">
      <w:pPr>
        <w:keepNext w:val="0"/>
        <w:keepLines w:val="0"/>
        <w:pageBreakBefore w:val="0"/>
        <w:widowControl/>
        <w:kinsoku/>
        <w:wordWrap/>
        <w:overflowPunct/>
        <w:topLinePunct w:val="0"/>
        <w:autoSpaceDE/>
        <w:autoSpaceDN/>
        <w:bidi w:val="0"/>
        <w:adjustRightInd/>
        <w:snapToGrid/>
        <w:spacing w:line="460" w:lineRule="exact"/>
        <w:ind w:firstLine="566" w:firstLineChars="200"/>
        <w:textAlignment w:val="auto"/>
        <w:rPr>
          <w:rFonts w:hint="eastAsia" w:ascii="Times New Roman" w:hAnsi="Times New Roman" w:eastAsia="仿宋_GB2312" w:cs="Times New Roman"/>
          <w:color w:val="auto"/>
          <w:kern w:val="0"/>
          <w:lang w:bidi="ar"/>
        </w:rPr>
      </w:pPr>
      <w:r>
        <w:rPr>
          <w:rFonts w:hint="eastAsia" w:ascii="Times New Roman" w:hAnsi="Times New Roman" w:eastAsia="仿宋_GB2312" w:cs="Times New Roman"/>
          <w:color w:val="auto"/>
          <w:kern w:val="0"/>
          <w:lang w:bidi="ar"/>
        </w:rPr>
        <w:t xml:space="preserve">五、服务承诺 </w:t>
      </w:r>
    </w:p>
    <w:p w14:paraId="0B920512">
      <w:pPr>
        <w:keepNext w:val="0"/>
        <w:keepLines w:val="0"/>
        <w:pageBreakBefore w:val="0"/>
        <w:widowControl/>
        <w:kinsoku/>
        <w:wordWrap/>
        <w:overflowPunct/>
        <w:topLinePunct w:val="0"/>
        <w:autoSpaceDE/>
        <w:autoSpaceDN/>
        <w:bidi w:val="0"/>
        <w:adjustRightInd/>
        <w:snapToGrid/>
        <w:spacing w:line="460" w:lineRule="exact"/>
        <w:ind w:firstLine="566" w:firstLineChars="200"/>
        <w:textAlignment w:val="auto"/>
        <w:rPr>
          <w:rFonts w:hint="eastAsia" w:ascii="Times New Roman" w:hAnsi="Times New Roman" w:eastAsia="仿宋_GB2312" w:cs="Times New Roman"/>
          <w:color w:val="auto"/>
          <w:kern w:val="0"/>
          <w:lang w:bidi="ar"/>
        </w:rPr>
      </w:pPr>
      <w:r>
        <w:rPr>
          <w:rFonts w:hint="eastAsia" w:ascii="Times New Roman" w:hAnsi="Times New Roman" w:eastAsia="仿宋_GB2312" w:cs="Times New Roman"/>
          <w:color w:val="auto"/>
          <w:kern w:val="0"/>
          <w:lang w:bidi="ar"/>
        </w:rPr>
        <w:t>以响应文件、澄清表（函）、合同等相关文件为准。</w:t>
      </w:r>
    </w:p>
    <w:p w14:paraId="7BD943C0">
      <w:pPr>
        <w:keepNext w:val="0"/>
        <w:keepLines w:val="0"/>
        <w:pageBreakBefore w:val="0"/>
        <w:widowControl/>
        <w:kinsoku/>
        <w:wordWrap/>
        <w:overflowPunct/>
        <w:topLinePunct w:val="0"/>
        <w:autoSpaceDE/>
        <w:autoSpaceDN/>
        <w:bidi w:val="0"/>
        <w:adjustRightInd/>
        <w:snapToGrid/>
        <w:spacing w:line="460" w:lineRule="exact"/>
        <w:ind w:firstLine="566" w:firstLineChars="200"/>
        <w:textAlignment w:val="auto"/>
        <w:rPr>
          <w:rFonts w:hint="eastAsia" w:ascii="Times New Roman" w:hAnsi="Times New Roman" w:eastAsia="仿宋_GB2312" w:cs="Times New Roman"/>
          <w:color w:val="auto"/>
          <w:kern w:val="0"/>
          <w:lang w:bidi="ar"/>
        </w:rPr>
      </w:pPr>
      <w:r>
        <w:rPr>
          <w:rFonts w:hint="eastAsia" w:ascii="Times New Roman" w:hAnsi="Times New Roman" w:eastAsia="仿宋_GB2312" w:cs="Times New Roman"/>
          <w:color w:val="auto"/>
          <w:kern w:val="0"/>
          <w:lang w:bidi="ar"/>
        </w:rPr>
        <w:t xml:space="preserve">六、违约责任 </w:t>
      </w:r>
    </w:p>
    <w:p w14:paraId="59091023">
      <w:pPr>
        <w:keepNext w:val="0"/>
        <w:keepLines w:val="0"/>
        <w:pageBreakBefore w:val="0"/>
        <w:widowControl/>
        <w:kinsoku/>
        <w:wordWrap/>
        <w:overflowPunct/>
        <w:topLinePunct w:val="0"/>
        <w:autoSpaceDE/>
        <w:autoSpaceDN/>
        <w:bidi w:val="0"/>
        <w:adjustRightInd/>
        <w:snapToGrid/>
        <w:spacing w:line="460" w:lineRule="exact"/>
        <w:ind w:firstLine="566" w:firstLineChars="200"/>
        <w:textAlignment w:val="auto"/>
        <w:rPr>
          <w:rFonts w:hint="eastAsia" w:ascii="Times New Roman" w:hAnsi="Times New Roman" w:eastAsia="仿宋_GB2312" w:cs="Times New Roman"/>
          <w:color w:val="auto"/>
          <w:kern w:val="0"/>
          <w:lang w:bidi="ar"/>
        </w:rPr>
      </w:pPr>
      <w:r>
        <w:rPr>
          <w:rFonts w:hint="eastAsia" w:ascii="Times New Roman" w:hAnsi="Times New Roman" w:eastAsia="仿宋_GB2312" w:cs="Times New Roman"/>
          <w:color w:val="auto"/>
          <w:kern w:val="0"/>
          <w:lang w:bidi="ar"/>
        </w:rPr>
        <w:t>成交供应商违约的，采购人有权终止合同；若给采购人造成经济损失的，采购人可依法向成交供应商进行经济索赔，并报请政府采购监管机关依法进行相应的行政处罚。采购人违约的，须依法赔偿给成交供应商造成的经济损失。</w:t>
      </w:r>
    </w:p>
    <w:p w14:paraId="4BBD046D">
      <w:pPr>
        <w:keepNext w:val="0"/>
        <w:keepLines w:val="0"/>
        <w:pageBreakBefore w:val="0"/>
        <w:widowControl/>
        <w:kinsoku/>
        <w:wordWrap/>
        <w:overflowPunct/>
        <w:topLinePunct w:val="0"/>
        <w:autoSpaceDE/>
        <w:autoSpaceDN/>
        <w:bidi w:val="0"/>
        <w:adjustRightInd/>
        <w:snapToGrid/>
        <w:spacing w:line="460" w:lineRule="exact"/>
        <w:ind w:firstLine="566" w:firstLineChars="200"/>
        <w:textAlignment w:val="auto"/>
        <w:rPr>
          <w:rFonts w:hint="eastAsia" w:ascii="Times New Roman" w:hAnsi="Times New Roman" w:eastAsia="仿宋_GB2312" w:cs="Times New Roman"/>
          <w:color w:val="auto"/>
          <w:kern w:val="0"/>
          <w:lang w:bidi="ar"/>
        </w:rPr>
      </w:pPr>
      <w:r>
        <w:rPr>
          <w:rFonts w:hint="eastAsia" w:ascii="Times New Roman" w:hAnsi="Times New Roman" w:eastAsia="仿宋_GB2312" w:cs="Times New Roman"/>
          <w:color w:val="auto"/>
          <w:kern w:val="0"/>
          <w:lang w:bidi="ar"/>
        </w:rPr>
        <w:t xml:space="preserve">七、争议解决 </w:t>
      </w:r>
    </w:p>
    <w:p w14:paraId="2D5FB126">
      <w:pPr>
        <w:keepNext w:val="0"/>
        <w:keepLines w:val="0"/>
        <w:pageBreakBefore w:val="0"/>
        <w:widowControl/>
        <w:kinsoku/>
        <w:wordWrap/>
        <w:overflowPunct/>
        <w:topLinePunct w:val="0"/>
        <w:autoSpaceDE/>
        <w:autoSpaceDN/>
        <w:bidi w:val="0"/>
        <w:adjustRightInd/>
        <w:snapToGrid/>
        <w:spacing w:line="460" w:lineRule="exact"/>
        <w:ind w:firstLine="566" w:firstLineChars="200"/>
        <w:textAlignment w:val="auto"/>
        <w:rPr>
          <w:rFonts w:hint="eastAsia" w:ascii="Times New Roman" w:hAnsi="Times New Roman" w:eastAsia="仿宋_GB2312" w:cs="Times New Roman"/>
          <w:color w:val="auto"/>
          <w:kern w:val="0"/>
          <w:lang w:bidi="ar"/>
        </w:rPr>
      </w:pPr>
      <w:r>
        <w:rPr>
          <w:rFonts w:hint="eastAsia" w:ascii="Times New Roman" w:hAnsi="Times New Roman" w:eastAsia="仿宋_GB2312" w:cs="Times New Roman"/>
          <w:color w:val="auto"/>
          <w:kern w:val="0"/>
          <w:lang w:bidi="ar"/>
        </w:rPr>
        <w:t xml:space="preserve">执行本合同中产生纠纷，由采购人与成交供应商双方协商解决；协商不成，向有管辖权的人民法院提起诉讼。 </w:t>
      </w:r>
    </w:p>
    <w:p w14:paraId="4B1BD9B1">
      <w:pPr>
        <w:keepNext w:val="0"/>
        <w:keepLines w:val="0"/>
        <w:pageBreakBefore w:val="0"/>
        <w:widowControl/>
        <w:kinsoku/>
        <w:wordWrap/>
        <w:overflowPunct/>
        <w:topLinePunct w:val="0"/>
        <w:autoSpaceDE/>
        <w:autoSpaceDN/>
        <w:bidi w:val="0"/>
        <w:adjustRightInd/>
        <w:snapToGrid/>
        <w:spacing w:line="460" w:lineRule="exact"/>
        <w:ind w:firstLine="566" w:firstLineChars="200"/>
        <w:textAlignment w:val="auto"/>
        <w:rPr>
          <w:rFonts w:hint="eastAsia" w:ascii="Times New Roman" w:hAnsi="Times New Roman" w:eastAsia="仿宋_GB2312" w:cs="Times New Roman"/>
          <w:color w:val="auto"/>
          <w:kern w:val="0"/>
          <w:lang w:bidi="ar"/>
        </w:rPr>
      </w:pPr>
      <w:r>
        <w:rPr>
          <w:rFonts w:hint="eastAsia" w:ascii="Times New Roman" w:hAnsi="Times New Roman" w:eastAsia="仿宋_GB2312" w:cs="Times New Roman"/>
          <w:color w:val="auto"/>
          <w:kern w:val="0"/>
          <w:lang w:bidi="ar"/>
        </w:rPr>
        <w:t xml:space="preserve">八、合同生效及其他 </w:t>
      </w:r>
    </w:p>
    <w:p w14:paraId="067B41CE">
      <w:pPr>
        <w:keepNext w:val="0"/>
        <w:keepLines w:val="0"/>
        <w:pageBreakBefore w:val="0"/>
        <w:widowControl/>
        <w:kinsoku/>
        <w:wordWrap/>
        <w:overflowPunct/>
        <w:topLinePunct w:val="0"/>
        <w:autoSpaceDE/>
        <w:autoSpaceDN/>
        <w:bidi w:val="0"/>
        <w:adjustRightInd/>
        <w:snapToGrid/>
        <w:spacing w:line="460" w:lineRule="exact"/>
        <w:ind w:firstLine="566" w:firstLineChars="200"/>
        <w:textAlignment w:val="auto"/>
        <w:rPr>
          <w:rFonts w:hint="eastAsia" w:ascii="Times New Roman" w:hAnsi="Times New Roman" w:eastAsia="仿宋_GB2312" w:cs="Times New Roman"/>
          <w:color w:val="auto"/>
          <w:kern w:val="0"/>
          <w:lang w:bidi="ar"/>
        </w:rPr>
      </w:pPr>
      <w:r>
        <w:rPr>
          <w:rFonts w:hint="eastAsia" w:ascii="Times New Roman" w:hAnsi="Times New Roman" w:eastAsia="仿宋_GB2312" w:cs="Times New Roman"/>
          <w:color w:val="auto"/>
          <w:kern w:val="0"/>
          <w:lang w:bidi="ar"/>
        </w:rPr>
        <w:t xml:space="preserve">1、本合同自签订之日起生效。 </w:t>
      </w:r>
    </w:p>
    <w:p w14:paraId="419841E5">
      <w:pPr>
        <w:keepNext w:val="0"/>
        <w:keepLines w:val="0"/>
        <w:pageBreakBefore w:val="0"/>
        <w:widowControl/>
        <w:kinsoku/>
        <w:wordWrap/>
        <w:overflowPunct/>
        <w:topLinePunct w:val="0"/>
        <w:autoSpaceDE/>
        <w:autoSpaceDN/>
        <w:bidi w:val="0"/>
        <w:adjustRightInd/>
        <w:snapToGrid/>
        <w:spacing w:line="460" w:lineRule="exact"/>
        <w:ind w:firstLine="566" w:firstLineChars="200"/>
        <w:textAlignment w:val="auto"/>
        <w:rPr>
          <w:rFonts w:hint="eastAsia" w:ascii="Times New Roman" w:hAnsi="Times New Roman" w:eastAsia="仿宋_GB2312" w:cs="Times New Roman"/>
          <w:color w:val="auto"/>
          <w:kern w:val="0"/>
          <w:lang w:bidi="ar"/>
        </w:rPr>
      </w:pPr>
      <w:r>
        <w:rPr>
          <w:rFonts w:hint="eastAsia" w:ascii="Times New Roman" w:hAnsi="Times New Roman" w:eastAsia="仿宋_GB2312" w:cs="Times New Roman"/>
          <w:color w:val="auto"/>
          <w:kern w:val="0"/>
          <w:lang w:bidi="ar"/>
        </w:rPr>
        <w:t>2、本合同一式三份，经双方签字盖章后生效。（采购人、成交供应商、采购代理机构各执一份）</w:t>
      </w:r>
    </w:p>
    <w:p w14:paraId="0924C1AA">
      <w:pPr>
        <w:keepNext w:val="0"/>
        <w:keepLines w:val="0"/>
        <w:pageBreakBefore w:val="0"/>
        <w:widowControl/>
        <w:kinsoku/>
        <w:wordWrap/>
        <w:overflowPunct/>
        <w:topLinePunct w:val="0"/>
        <w:autoSpaceDE/>
        <w:autoSpaceDN/>
        <w:bidi w:val="0"/>
        <w:adjustRightInd/>
        <w:snapToGrid/>
        <w:spacing w:line="460" w:lineRule="exact"/>
        <w:ind w:firstLine="566" w:firstLineChars="200"/>
        <w:textAlignment w:val="auto"/>
        <w:rPr>
          <w:rFonts w:hint="eastAsia" w:ascii="Times New Roman" w:hAnsi="Times New Roman" w:eastAsia="仿宋_GB2312" w:cs="Times New Roman"/>
          <w:color w:val="auto"/>
          <w:kern w:val="0"/>
          <w:lang w:bidi="ar"/>
        </w:rPr>
      </w:pPr>
      <w:r>
        <w:rPr>
          <w:rFonts w:hint="eastAsia" w:ascii="Times New Roman" w:hAnsi="Times New Roman" w:eastAsia="仿宋_GB2312" w:cs="Times New Roman"/>
          <w:color w:val="auto"/>
          <w:kern w:val="0"/>
          <w:lang w:bidi="ar"/>
        </w:rPr>
        <w:t>3、未尽事宜由双方在签订合同时具体明确。</w:t>
      </w:r>
    </w:p>
    <w:bookmarkEnd w:id="163"/>
    <w:bookmarkEnd w:id="164"/>
    <w:bookmarkEnd w:id="165"/>
    <w:bookmarkEnd w:id="166"/>
    <w:p w14:paraId="62265792">
      <w:pPr>
        <w:ind w:firstLine="566" w:firstLineChars="200"/>
        <w:rPr>
          <w:rFonts w:hint="eastAsia" w:ascii="Times New Roman" w:hAnsi="Times New Roman" w:eastAsia="仿宋_GB2312" w:cs="Times New Roman"/>
          <w:color w:val="auto"/>
          <w:kern w:val="0"/>
          <w:lang w:bidi="ar"/>
        </w:rPr>
      </w:pPr>
      <w:bookmarkStart w:id="177" w:name="_Toc5571"/>
      <w:r>
        <w:rPr>
          <w:rFonts w:hint="eastAsia" w:ascii="Times New Roman" w:hAnsi="Times New Roman" w:eastAsia="仿宋_GB2312" w:cs="Times New Roman"/>
          <w:color w:val="auto"/>
          <w:kern w:val="0"/>
          <w:lang w:bidi="ar"/>
        </w:rPr>
        <w:br w:type="page"/>
      </w:r>
    </w:p>
    <w:bookmarkEnd w:id="167"/>
    <w:bookmarkEnd w:id="168"/>
    <w:bookmarkEnd w:id="169"/>
    <w:bookmarkEnd w:id="170"/>
    <w:bookmarkEnd w:id="171"/>
    <w:bookmarkEnd w:id="172"/>
    <w:bookmarkEnd w:id="173"/>
    <w:bookmarkEnd w:id="174"/>
    <w:bookmarkEnd w:id="175"/>
    <w:bookmarkEnd w:id="176"/>
    <w:bookmarkEnd w:id="177"/>
    <w:p w14:paraId="20B64B1A">
      <w:pPr>
        <w:keepNext w:val="0"/>
        <w:keepLines w:val="0"/>
        <w:pageBreakBefore w:val="0"/>
        <w:widowControl/>
        <w:numPr>
          <w:ilvl w:val="0"/>
          <w:numId w:val="9"/>
        </w:numPr>
        <w:kinsoku/>
        <w:wordWrap/>
        <w:overflowPunct/>
        <w:topLinePunct w:val="0"/>
        <w:autoSpaceDE/>
        <w:autoSpaceDN/>
        <w:bidi w:val="0"/>
        <w:adjustRightInd/>
        <w:snapToGrid/>
        <w:ind w:firstLine="0" w:firstLineChars="0"/>
        <w:jc w:val="center"/>
        <w:textAlignment w:val="auto"/>
        <w:rPr>
          <w:rFonts w:hint="default" w:ascii="Times New Roman" w:hAnsi="Times New Roman" w:eastAsia="黑体" w:cs="Times New Roman"/>
          <w:b w:val="0"/>
          <w:bCs/>
          <w:color w:val="auto"/>
          <w:sz w:val="32"/>
          <w:szCs w:val="32"/>
        </w:rPr>
      </w:pPr>
      <w:bookmarkStart w:id="178" w:name="_Toc2083"/>
      <w:bookmarkStart w:id="179" w:name="_Toc18829"/>
      <w:bookmarkStart w:id="180" w:name="_Toc29866"/>
      <w:bookmarkStart w:id="181" w:name="_Toc1034"/>
      <w:bookmarkStart w:id="182" w:name="_Toc28770"/>
      <w:bookmarkStart w:id="183" w:name="_Toc9519_WPSOffice_Level2"/>
      <w:bookmarkStart w:id="184" w:name="_Toc29990_WPSOffice_Level2"/>
      <w:bookmarkStart w:id="185" w:name="_Toc17773_WPSOffice_Level2"/>
      <w:bookmarkStart w:id="186" w:name="_Toc29102_WPSOffice_Level2"/>
      <w:bookmarkStart w:id="187" w:name="_Toc20137"/>
      <w:r>
        <w:rPr>
          <w:rFonts w:hint="default" w:ascii="Times New Roman" w:hAnsi="Times New Roman" w:eastAsia="黑体" w:cs="Times New Roman"/>
          <w:b w:val="0"/>
          <w:bCs/>
          <w:color w:val="auto"/>
          <w:sz w:val="32"/>
          <w:szCs w:val="32"/>
        </w:rPr>
        <w:t>响应文件构成及格式</w:t>
      </w:r>
    </w:p>
    <w:tbl>
      <w:tblPr>
        <w:tblStyle w:val="12"/>
        <w:tblpPr w:leftFromText="180" w:rightFromText="180" w:vertAnchor="text" w:horzAnchor="page" w:tblpX="1911" w:tblpY="471"/>
        <w:tblOverlap w:val="never"/>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14:paraId="1A3F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9" w:hRule="atLeast"/>
        </w:trPr>
        <w:tc>
          <w:tcPr>
            <w:tcW w:w="8400" w:type="dxa"/>
          </w:tcPr>
          <w:p w14:paraId="0FF8403E">
            <w:pPr>
              <w:spacing w:before="120" w:line="240" w:lineRule="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注释： </w:t>
            </w:r>
          </w:p>
          <w:p w14:paraId="5867CC3A">
            <w:pPr>
              <w:snapToGrid w:val="0"/>
              <w:spacing w:line="240" w:lineRule="auto"/>
              <w:ind w:firstLine="566"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1、本章分为三部分，是为方便</w:t>
            </w:r>
            <w:r>
              <w:rPr>
                <w:rFonts w:hint="eastAsia" w:ascii="Times New Roman" w:hAnsi="Times New Roman" w:eastAsia="仿宋_GB2312" w:cs="Times New Roman"/>
                <w:color w:val="auto"/>
                <w:sz w:val="28"/>
                <w:szCs w:val="28"/>
                <w:lang w:eastAsia="zh-CN"/>
              </w:rPr>
              <w:t>响应人</w:t>
            </w:r>
            <w:r>
              <w:rPr>
                <w:rFonts w:hint="default" w:ascii="Times New Roman" w:hAnsi="Times New Roman" w:eastAsia="仿宋_GB2312" w:cs="Times New Roman"/>
                <w:color w:val="auto"/>
                <w:sz w:val="28"/>
                <w:szCs w:val="28"/>
              </w:rPr>
              <w:t>制作响应文件设计。第一、二部分应按要求或给定格式选择填报。</w:t>
            </w:r>
          </w:p>
          <w:p w14:paraId="6FDFCAA0">
            <w:pPr>
              <w:snapToGrid w:val="0"/>
              <w:spacing w:line="240" w:lineRule="auto"/>
              <w:ind w:firstLine="566"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2、第三部分</w:t>
            </w:r>
            <w:r>
              <w:rPr>
                <w:rFonts w:hint="default" w:ascii="Times New Roman" w:hAnsi="Times New Roman" w:eastAsia="仿宋_GB2312" w:cs="Times New Roman"/>
                <w:color w:val="auto"/>
                <w:sz w:val="28"/>
                <w:szCs w:val="28"/>
                <w:lang w:val="en-US" w:eastAsia="zh-CN"/>
              </w:rPr>
              <w:t>响应</w:t>
            </w:r>
            <w:r>
              <w:rPr>
                <w:rFonts w:hint="default" w:ascii="Times New Roman" w:hAnsi="Times New Roman" w:eastAsia="仿宋_GB2312" w:cs="Times New Roman"/>
                <w:color w:val="auto"/>
                <w:sz w:val="28"/>
                <w:szCs w:val="28"/>
              </w:rPr>
              <w:t>方案格式仅供参考，</w:t>
            </w:r>
            <w:r>
              <w:rPr>
                <w:rFonts w:hint="default" w:ascii="Times New Roman" w:hAnsi="Times New Roman" w:eastAsia="仿宋_GB2312" w:cs="Times New Roman"/>
                <w:color w:val="auto"/>
                <w:sz w:val="28"/>
                <w:szCs w:val="28"/>
                <w:lang w:val="en-US" w:eastAsia="zh-CN"/>
              </w:rPr>
              <w:t>供应商</w:t>
            </w:r>
            <w:r>
              <w:rPr>
                <w:rFonts w:hint="default" w:ascii="Times New Roman" w:hAnsi="Times New Roman" w:eastAsia="仿宋_GB2312" w:cs="Times New Roman"/>
                <w:color w:val="auto"/>
                <w:sz w:val="28"/>
                <w:szCs w:val="28"/>
              </w:rPr>
              <w:t>应根据项目特点，结合本次</w:t>
            </w:r>
            <w:r>
              <w:rPr>
                <w:rFonts w:hint="default" w:ascii="Times New Roman" w:hAnsi="Times New Roman" w:eastAsia="仿宋_GB2312" w:cs="Times New Roman"/>
                <w:color w:val="auto"/>
                <w:sz w:val="28"/>
                <w:szCs w:val="28"/>
                <w:lang w:val="en-US" w:eastAsia="zh-CN"/>
              </w:rPr>
              <w:t>磋商</w:t>
            </w:r>
            <w:r>
              <w:rPr>
                <w:rFonts w:hint="default" w:ascii="Times New Roman" w:hAnsi="Times New Roman" w:eastAsia="仿宋_GB2312" w:cs="Times New Roman"/>
                <w:color w:val="auto"/>
                <w:sz w:val="28"/>
                <w:szCs w:val="28"/>
              </w:rPr>
              <w:t>要求，对有关表格进行补充或修改，但不得对实质性文件的相关条款作出变动。</w:t>
            </w:r>
          </w:p>
          <w:p w14:paraId="75C78EA4">
            <w:pPr>
              <w:snapToGrid w:val="0"/>
              <w:spacing w:line="240" w:lineRule="auto"/>
              <w:ind w:firstLine="566"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3、磋商响应文件的正本、副本必须按照要求编制，凡正、副本不相符的，以正本为准。</w:t>
            </w:r>
          </w:p>
          <w:p w14:paraId="40E587C1">
            <w:pPr>
              <w:snapToGrid w:val="0"/>
              <w:spacing w:line="240" w:lineRule="auto"/>
              <w:ind w:firstLine="566" w:firstLineChars="200"/>
              <w:rPr>
                <w:rFonts w:hint="default" w:ascii="Times New Roman" w:hAnsi="Times New Roman" w:cs="Times New Roman"/>
                <w:color w:val="auto"/>
              </w:rPr>
            </w:pPr>
            <w:r>
              <w:rPr>
                <w:rFonts w:hint="default" w:ascii="Times New Roman" w:hAnsi="Times New Roman" w:eastAsia="仿宋_GB2312" w:cs="Times New Roman"/>
                <w:b/>
                <w:bCs/>
                <w:color w:val="auto"/>
                <w:kern w:val="1"/>
                <w:sz w:val="28"/>
                <w:szCs w:val="28"/>
              </w:rPr>
              <w:t>4、磋商文件应严格按照要求封装，凡未按要求分装、密封、盖章、贴标识者，视为无效标。</w:t>
            </w:r>
          </w:p>
        </w:tc>
      </w:tr>
    </w:tbl>
    <w:p w14:paraId="2E39F3DE">
      <w:pPr>
        <w:pStyle w:val="2"/>
        <w:numPr>
          <w:ilvl w:val="0"/>
          <w:numId w:val="0"/>
        </w:numPr>
        <w:jc w:val="both"/>
        <w:rPr>
          <w:rFonts w:hint="default" w:ascii="Times New Roman" w:hAnsi="Times New Roman" w:cs="Times New Roman"/>
          <w:color w:val="auto"/>
        </w:rPr>
      </w:pPr>
    </w:p>
    <w:p w14:paraId="7C9F70B5">
      <w:pPr>
        <w:rPr>
          <w:rFonts w:hint="default" w:ascii="Times New Roman" w:hAnsi="Times New Roman" w:eastAsia="仿宋_GB2312" w:cs="Times New Roman"/>
          <w:b/>
          <w:color w:val="auto"/>
          <w:sz w:val="32"/>
          <w:szCs w:val="32"/>
        </w:rPr>
      </w:pPr>
    </w:p>
    <w:p w14:paraId="20927037">
      <w:pPr>
        <w:snapToGrid w:val="0"/>
        <w:spacing w:line="360" w:lineRule="auto"/>
        <w:ind w:firstLine="2584" w:firstLineChars="800"/>
        <w:rPr>
          <w:rFonts w:hint="default" w:ascii="Times New Roman" w:hAnsi="Times New Roman" w:eastAsia="仿宋_GB2312" w:cs="Times New Roman"/>
          <w:b/>
          <w:color w:val="auto"/>
          <w:sz w:val="32"/>
          <w:szCs w:val="32"/>
        </w:rPr>
      </w:pPr>
    </w:p>
    <w:p w14:paraId="7EBCCB3E">
      <w:pPr>
        <w:snapToGrid w:val="0"/>
        <w:spacing w:line="360" w:lineRule="auto"/>
        <w:ind w:firstLine="2584" w:firstLineChars="800"/>
        <w:rPr>
          <w:rFonts w:hint="default" w:ascii="Times New Roman" w:hAnsi="Times New Roman" w:eastAsia="仿宋_GB2312" w:cs="Times New Roman"/>
          <w:b/>
          <w:color w:val="auto"/>
          <w:sz w:val="32"/>
          <w:szCs w:val="32"/>
        </w:rPr>
      </w:pPr>
    </w:p>
    <w:p w14:paraId="25E509F2">
      <w:pPr>
        <w:snapToGrid w:val="0"/>
        <w:spacing w:line="360" w:lineRule="auto"/>
        <w:ind w:firstLine="2584" w:firstLineChars="8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响应文件封袋正面标识式样</w:t>
      </w:r>
    </w:p>
    <w:p w14:paraId="30ACBFA8">
      <w:pPr>
        <w:rPr>
          <w:rFonts w:hint="default" w:ascii="Times New Roman" w:hAnsi="Times New Roman" w:eastAsia="仿宋_GB2312" w:cs="Times New Roman"/>
          <w:color w:val="auto"/>
          <w:sz w:val="32"/>
          <w:szCs w:val="32"/>
        </w:rPr>
      </w:pPr>
      <w:r>
        <w:rPr>
          <w:rFonts w:hint="default" w:ascii="Times New Roman" w:hAnsi="Times New Roman" w:eastAsia="仿宋" w:cs="Times New Roman"/>
          <w:b/>
          <w:color w:val="auto"/>
          <w:sz w:val="36"/>
          <w:szCs w:val="36"/>
        </w:rPr>
        <mc:AlternateContent>
          <mc:Choice Requires="wps">
            <w:drawing>
              <wp:anchor distT="0" distB="0" distL="114300" distR="114300" simplePos="0" relativeHeight="251660288" behindDoc="0" locked="0" layoutInCell="1" allowOverlap="1">
                <wp:simplePos x="0" y="0"/>
                <wp:positionH relativeFrom="column">
                  <wp:posOffset>271780</wp:posOffset>
                </wp:positionH>
                <wp:positionV relativeFrom="paragraph">
                  <wp:posOffset>116840</wp:posOffset>
                </wp:positionV>
                <wp:extent cx="5383530" cy="2644775"/>
                <wp:effectExtent l="19050" t="19050" r="26670" b="22225"/>
                <wp:wrapNone/>
                <wp:docPr id="13" name="文本框 13"/>
                <wp:cNvGraphicFramePr/>
                <a:graphic xmlns:a="http://schemas.openxmlformats.org/drawingml/2006/main">
                  <a:graphicData uri="http://schemas.microsoft.com/office/word/2010/wordprocessingShape">
                    <wps:wsp>
                      <wps:cNvSpPr txBox="1"/>
                      <wps:spPr>
                        <a:xfrm>
                          <a:off x="0" y="0"/>
                          <a:ext cx="5383530" cy="2644775"/>
                        </a:xfrm>
                        <a:prstGeom prst="rect">
                          <a:avLst/>
                        </a:prstGeom>
                        <a:solidFill>
                          <a:srgbClr val="FFFFFF"/>
                        </a:solidFill>
                        <a:ln w="38100" cap="flat" cmpd="dbl">
                          <a:solidFill>
                            <a:srgbClr val="000000"/>
                          </a:solidFill>
                          <a:prstDash val="solid"/>
                          <a:miter/>
                          <a:headEnd type="none" w="med" len="med"/>
                          <a:tailEnd type="none" w="med" len="med"/>
                        </a:ln>
                      </wps:spPr>
                      <wps:txbx>
                        <w:txbxContent>
                          <w:p w14:paraId="0326D7CC">
                            <w:pPr>
                              <w:spacing w:line="440" w:lineRule="exact"/>
                              <w:rPr>
                                <w:rFonts w:hint="eastAsia" w:ascii="仿宋" w:hAnsi="仿宋" w:eastAsia="仿宋_GB2312"/>
                                <w:sz w:val="30"/>
                                <w:szCs w:val="30"/>
                              </w:rPr>
                            </w:pPr>
                            <w:r>
                              <w:rPr>
                                <w:rFonts w:hint="eastAsia" w:ascii="仿宋" w:hAnsi="仿宋" w:eastAsia="仿宋_GB2312"/>
                                <w:sz w:val="30"/>
                                <w:szCs w:val="30"/>
                              </w:rPr>
                              <w:t>致：汉台区政府采购中心</w:t>
                            </w:r>
                          </w:p>
                          <w:p w14:paraId="312D59A7">
                            <w:pPr>
                              <w:spacing w:line="440" w:lineRule="exact"/>
                              <w:rPr>
                                <w:rFonts w:hint="eastAsia"/>
                                <w:sz w:val="30"/>
                                <w:szCs w:val="30"/>
                              </w:rPr>
                            </w:pPr>
                            <w:r>
                              <w:rPr>
                                <w:rFonts w:hint="eastAsia" w:ascii="仿宋" w:hAnsi="仿宋" w:eastAsia="仿宋_GB2312"/>
                                <w:sz w:val="30"/>
                                <w:szCs w:val="30"/>
                              </w:rPr>
                              <w:t>文件编号：</w:t>
                            </w:r>
                          </w:p>
                          <w:p w14:paraId="6E40AE58">
                            <w:pPr>
                              <w:spacing w:line="440" w:lineRule="exact"/>
                              <w:rPr>
                                <w:rFonts w:hint="eastAsia" w:ascii="仿宋" w:hAnsi="仿宋" w:eastAsia="仿宋_GB2312"/>
                                <w:sz w:val="30"/>
                                <w:szCs w:val="30"/>
                              </w:rPr>
                            </w:pPr>
                            <w:r>
                              <w:rPr>
                                <w:rFonts w:hint="eastAsia" w:ascii="仿宋" w:hAnsi="仿宋" w:eastAsia="仿宋_GB2312"/>
                                <w:color w:val="000000"/>
                                <w:sz w:val="30"/>
                                <w:szCs w:val="30"/>
                              </w:rPr>
                              <w:t>项目名称：</w:t>
                            </w:r>
                          </w:p>
                          <w:p w14:paraId="39763C63">
                            <w:pPr>
                              <w:spacing w:line="440" w:lineRule="exact"/>
                              <w:jc w:val="center"/>
                              <w:rPr>
                                <w:rFonts w:hint="eastAsia" w:ascii="仿宋" w:hAnsi="仿宋" w:eastAsia="仿宋_GB2312"/>
                                <w:sz w:val="30"/>
                                <w:szCs w:val="30"/>
                              </w:rPr>
                            </w:pPr>
                            <w:r>
                              <w:rPr>
                                <w:rFonts w:ascii="仿宋" w:hAnsi="仿宋" w:eastAsia="仿宋_GB2312"/>
                                <w:sz w:val="30"/>
                                <w:szCs w:val="30"/>
                              </w:rPr>
                              <w:t>竞</w:t>
                            </w:r>
                            <w:r>
                              <w:rPr>
                                <w:rFonts w:hint="eastAsia" w:ascii="仿宋" w:hAnsi="仿宋" w:eastAsia="仿宋_GB2312"/>
                                <w:sz w:val="30"/>
                                <w:szCs w:val="30"/>
                              </w:rPr>
                              <w:t xml:space="preserve"> </w:t>
                            </w:r>
                            <w:r>
                              <w:rPr>
                                <w:rFonts w:ascii="仿宋" w:hAnsi="仿宋" w:eastAsia="仿宋_GB2312"/>
                                <w:sz w:val="30"/>
                                <w:szCs w:val="30"/>
                              </w:rPr>
                              <w:t>争</w:t>
                            </w:r>
                            <w:r>
                              <w:rPr>
                                <w:rFonts w:hint="eastAsia" w:ascii="仿宋" w:hAnsi="仿宋" w:eastAsia="仿宋_GB2312"/>
                                <w:sz w:val="30"/>
                                <w:szCs w:val="30"/>
                              </w:rPr>
                              <w:t xml:space="preserve"> </w:t>
                            </w:r>
                            <w:r>
                              <w:rPr>
                                <w:rFonts w:ascii="仿宋" w:hAnsi="仿宋" w:eastAsia="仿宋_GB2312"/>
                                <w:sz w:val="30"/>
                                <w:szCs w:val="30"/>
                              </w:rPr>
                              <w:t>性</w:t>
                            </w:r>
                            <w:r>
                              <w:rPr>
                                <w:rFonts w:hint="eastAsia" w:ascii="仿宋" w:hAnsi="仿宋" w:eastAsia="仿宋_GB2312"/>
                                <w:sz w:val="30"/>
                                <w:szCs w:val="30"/>
                              </w:rPr>
                              <w:t xml:space="preserve"> 磋 商</w:t>
                            </w:r>
                          </w:p>
                          <w:p w14:paraId="58C99A86">
                            <w:pPr>
                              <w:spacing w:line="440" w:lineRule="exact"/>
                              <w:jc w:val="center"/>
                              <w:rPr>
                                <w:rFonts w:hint="eastAsia" w:ascii="仿宋" w:hAnsi="仿宋" w:eastAsia="仿宋_GB2312"/>
                                <w:sz w:val="30"/>
                                <w:szCs w:val="30"/>
                              </w:rPr>
                            </w:pPr>
                            <w:r>
                              <w:rPr>
                                <w:rFonts w:hint="eastAsia" w:ascii="仿宋" w:hAnsi="仿宋" w:eastAsia="仿宋_GB2312"/>
                                <w:sz w:val="30"/>
                                <w:szCs w:val="30"/>
                              </w:rPr>
                              <w:t>响 应 文 件（正本或副本）</w:t>
                            </w:r>
                          </w:p>
                          <w:p w14:paraId="78A51762">
                            <w:pPr>
                              <w:spacing w:line="440" w:lineRule="exact"/>
                              <w:jc w:val="center"/>
                              <w:rPr>
                                <w:rFonts w:hint="eastAsia" w:ascii="仿宋" w:hAnsi="仿宋" w:eastAsia="仿宋_GB2312"/>
                                <w:sz w:val="30"/>
                                <w:szCs w:val="30"/>
                              </w:rPr>
                            </w:pPr>
                            <w:r>
                              <w:rPr>
                                <w:rFonts w:hint="eastAsia" w:ascii="仿宋" w:hAnsi="仿宋" w:eastAsia="仿宋_GB2312"/>
                                <w:sz w:val="30"/>
                                <w:szCs w:val="30"/>
                              </w:rPr>
                              <w:t>（非磋商大会不得启封）</w:t>
                            </w:r>
                          </w:p>
                          <w:p w14:paraId="751E8F68">
                            <w:pPr>
                              <w:jc w:val="center"/>
                              <w:rPr>
                                <w:rFonts w:hint="eastAsia" w:ascii="仿宋_GB2312" w:eastAsia="仿宋_GB2312"/>
                                <w:sz w:val="30"/>
                                <w:szCs w:val="30"/>
                              </w:rPr>
                            </w:pPr>
                          </w:p>
                          <w:p w14:paraId="32CA5D9B">
                            <w:pPr>
                              <w:rPr>
                                <w:rFonts w:hint="eastAsia" w:ascii="仿宋" w:hAnsi="仿宋" w:eastAsia="仿宋_GB2312"/>
                                <w:sz w:val="30"/>
                                <w:szCs w:val="30"/>
                              </w:rPr>
                            </w:pPr>
                          </w:p>
                          <w:p w14:paraId="4C87C9AE">
                            <w:pPr>
                              <w:rPr>
                                <w:rFonts w:hint="eastAsia" w:ascii="仿宋_GB2312" w:eastAsia="仿宋_GB2312"/>
                                <w:sz w:val="30"/>
                                <w:szCs w:val="30"/>
                              </w:rPr>
                            </w:pPr>
                            <w:r>
                              <w:rPr>
                                <w:rFonts w:hint="eastAsia" w:ascii="仿宋" w:hAnsi="仿宋" w:eastAsia="仿宋_GB2312"/>
                                <w:sz w:val="30"/>
                                <w:szCs w:val="30"/>
                              </w:rPr>
                              <w:t>响应人名称：（法人&lt;或负责人&gt;公章）</w:t>
                            </w:r>
                          </w:p>
                        </w:txbxContent>
                      </wps:txbx>
                      <wps:bodyPr upright="1"/>
                    </wps:wsp>
                  </a:graphicData>
                </a:graphic>
              </wp:anchor>
            </w:drawing>
          </mc:Choice>
          <mc:Fallback>
            <w:pict>
              <v:shape id="_x0000_s1026" o:spid="_x0000_s1026" o:spt="202" type="#_x0000_t202" style="position:absolute;left:0pt;margin-left:21.4pt;margin-top:9.2pt;height:208.25pt;width:423.9pt;z-index:251660288;mso-width-relative:page;mso-height-relative:page;" fillcolor="#FFFFFF" filled="t" stroked="t" coordsize="21600,21600" o:gfxdata="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FLXYNgAAAAJAQAADwAAAAAAAAABACAA&#10;AAAiAAAAZHJzL2Rvd25yZXYueG1sUEsBAhQAFAAAAAgAh07iQMs4tCsNAgAAOgQAAA4AAAAAAAAA&#10;AQAgAAAAJwEAAGRycy9lMm9Eb2MueG1sUEsFBgAAAAAGAAYAWQEAAKYFAAAAAA==&#10;">
                <v:fill on="t" focussize="0,0"/>
                <v:stroke weight="3pt" color="#000000" linestyle="thinThin" joinstyle="miter"/>
                <v:imagedata o:title=""/>
                <o:lock v:ext="edit" aspectratio="f"/>
                <v:textbox>
                  <w:txbxContent>
                    <w:p w14:paraId="0326D7CC">
                      <w:pPr>
                        <w:spacing w:line="440" w:lineRule="exact"/>
                        <w:rPr>
                          <w:rFonts w:hint="eastAsia" w:ascii="仿宋" w:hAnsi="仿宋" w:eastAsia="仿宋_GB2312"/>
                          <w:sz w:val="30"/>
                          <w:szCs w:val="30"/>
                        </w:rPr>
                      </w:pPr>
                      <w:r>
                        <w:rPr>
                          <w:rFonts w:hint="eastAsia" w:ascii="仿宋" w:hAnsi="仿宋" w:eastAsia="仿宋_GB2312"/>
                          <w:sz w:val="30"/>
                          <w:szCs w:val="30"/>
                        </w:rPr>
                        <w:t>致：汉台区政府采购中心</w:t>
                      </w:r>
                    </w:p>
                    <w:p w14:paraId="312D59A7">
                      <w:pPr>
                        <w:spacing w:line="440" w:lineRule="exact"/>
                        <w:rPr>
                          <w:rFonts w:hint="eastAsia"/>
                          <w:sz w:val="30"/>
                          <w:szCs w:val="30"/>
                        </w:rPr>
                      </w:pPr>
                      <w:r>
                        <w:rPr>
                          <w:rFonts w:hint="eastAsia" w:ascii="仿宋" w:hAnsi="仿宋" w:eastAsia="仿宋_GB2312"/>
                          <w:sz w:val="30"/>
                          <w:szCs w:val="30"/>
                        </w:rPr>
                        <w:t>文件编号：</w:t>
                      </w:r>
                    </w:p>
                    <w:p w14:paraId="6E40AE58">
                      <w:pPr>
                        <w:spacing w:line="440" w:lineRule="exact"/>
                        <w:rPr>
                          <w:rFonts w:hint="eastAsia" w:ascii="仿宋" w:hAnsi="仿宋" w:eastAsia="仿宋_GB2312"/>
                          <w:sz w:val="30"/>
                          <w:szCs w:val="30"/>
                        </w:rPr>
                      </w:pPr>
                      <w:r>
                        <w:rPr>
                          <w:rFonts w:hint="eastAsia" w:ascii="仿宋" w:hAnsi="仿宋" w:eastAsia="仿宋_GB2312"/>
                          <w:color w:val="000000"/>
                          <w:sz w:val="30"/>
                          <w:szCs w:val="30"/>
                        </w:rPr>
                        <w:t>项目名称：</w:t>
                      </w:r>
                    </w:p>
                    <w:p w14:paraId="39763C63">
                      <w:pPr>
                        <w:spacing w:line="440" w:lineRule="exact"/>
                        <w:jc w:val="center"/>
                        <w:rPr>
                          <w:rFonts w:hint="eastAsia" w:ascii="仿宋" w:hAnsi="仿宋" w:eastAsia="仿宋_GB2312"/>
                          <w:sz w:val="30"/>
                          <w:szCs w:val="30"/>
                        </w:rPr>
                      </w:pPr>
                      <w:r>
                        <w:rPr>
                          <w:rFonts w:ascii="仿宋" w:hAnsi="仿宋" w:eastAsia="仿宋_GB2312"/>
                          <w:sz w:val="30"/>
                          <w:szCs w:val="30"/>
                        </w:rPr>
                        <w:t>竞</w:t>
                      </w:r>
                      <w:r>
                        <w:rPr>
                          <w:rFonts w:hint="eastAsia" w:ascii="仿宋" w:hAnsi="仿宋" w:eastAsia="仿宋_GB2312"/>
                          <w:sz w:val="30"/>
                          <w:szCs w:val="30"/>
                        </w:rPr>
                        <w:t xml:space="preserve"> </w:t>
                      </w:r>
                      <w:r>
                        <w:rPr>
                          <w:rFonts w:ascii="仿宋" w:hAnsi="仿宋" w:eastAsia="仿宋_GB2312"/>
                          <w:sz w:val="30"/>
                          <w:szCs w:val="30"/>
                        </w:rPr>
                        <w:t>争</w:t>
                      </w:r>
                      <w:r>
                        <w:rPr>
                          <w:rFonts w:hint="eastAsia" w:ascii="仿宋" w:hAnsi="仿宋" w:eastAsia="仿宋_GB2312"/>
                          <w:sz w:val="30"/>
                          <w:szCs w:val="30"/>
                        </w:rPr>
                        <w:t xml:space="preserve"> </w:t>
                      </w:r>
                      <w:r>
                        <w:rPr>
                          <w:rFonts w:ascii="仿宋" w:hAnsi="仿宋" w:eastAsia="仿宋_GB2312"/>
                          <w:sz w:val="30"/>
                          <w:szCs w:val="30"/>
                        </w:rPr>
                        <w:t>性</w:t>
                      </w:r>
                      <w:r>
                        <w:rPr>
                          <w:rFonts w:hint="eastAsia" w:ascii="仿宋" w:hAnsi="仿宋" w:eastAsia="仿宋_GB2312"/>
                          <w:sz w:val="30"/>
                          <w:szCs w:val="30"/>
                        </w:rPr>
                        <w:t xml:space="preserve"> 磋 商</w:t>
                      </w:r>
                    </w:p>
                    <w:p w14:paraId="58C99A86">
                      <w:pPr>
                        <w:spacing w:line="440" w:lineRule="exact"/>
                        <w:jc w:val="center"/>
                        <w:rPr>
                          <w:rFonts w:hint="eastAsia" w:ascii="仿宋" w:hAnsi="仿宋" w:eastAsia="仿宋_GB2312"/>
                          <w:sz w:val="30"/>
                          <w:szCs w:val="30"/>
                        </w:rPr>
                      </w:pPr>
                      <w:r>
                        <w:rPr>
                          <w:rFonts w:hint="eastAsia" w:ascii="仿宋" w:hAnsi="仿宋" w:eastAsia="仿宋_GB2312"/>
                          <w:sz w:val="30"/>
                          <w:szCs w:val="30"/>
                        </w:rPr>
                        <w:t>响 应 文 件（正本或副本）</w:t>
                      </w:r>
                    </w:p>
                    <w:p w14:paraId="78A51762">
                      <w:pPr>
                        <w:spacing w:line="440" w:lineRule="exact"/>
                        <w:jc w:val="center"/>
                        <w:rPr>
                          <w:rFonts w:hint="eastAsia" w:ascii="仿宋" w:hAnsi="仿宋" w:eastAsia="仿宋_GB2312"/>
                          <w:sz w:val="30"/>
                          <w:szCs w:val="30"/>
                        </w:rPr>
                      </w:pPr>
                      <w:r>
                        <w:rPr>
                          <w:rFonts w:hint="eastAsia" w:ascii="仿宋" w:hAnsi="仿宋" w:eastAsia="仿宋_GB2312"/>
                          <w:sz w:val="30"/>
                          <w:szCs w:val="30"/>
                        </w:rPr>
                        <w:t>（非磋商大会不得启封）</w:t>
                      </w:r>
                    </w:p>
                    <w:p w14:paraId="751E8F68">
                      <w:pPr>
                        <w:jc w:val="center"/>
                        <w:rPr>
                          <w:rFonts w:hint="eastAsia" w:ascii="仿宋_GB2312" w:eastAsia="仿宋_GB2312"/>
                          <w:sz w:val="30"/>
                          <w:szCs w:val="30"/>
                        </w:rPr>
                      </w:pPr>
                    </w:p>
                    <w:p w14:paraId="32CA5D9B">
                      <w:pPr>
                        <w:rPr>
                          <w:rFonts w:hint="eastAsia" w:ascii="仿宋" w:hAnsi="仿宋" w:eastAsia="仿宋_GB2312"/>
                          <w:sz w:val="30"/>
                          <w:szCs w:val="30"/>
                        </w:rPr>
                      </w:pPr>
                    </w:p>
                    <w:p w14:paraId="4C87C9AE">
                      <w:pPr>
                        <w:rPr>
                          <w:rFonts w:hint="eastAsia" w:ascii="仿宋_GB2312" w:eastAsia="仿宋_GB2312"/>
                          <w:sz w:val="30"/>
                          <w:szCs w:val="30"/>
                        </w:rPr>
                      </w:pPr>
                      <w:r>
                        <w:rPr>
                          <w:rFonts w:hint="eastAsia" w:ascii="仿宋" w:hAnsi="仿宋" w:eastAsia="仿宋_GB2312"/>
                          <w:sz w:val="30"/>
                          <w:szCs w:val="30"/>
                        </w:rPr>
                        <w:t>响应人名称：（法人&lt;或负责人&gt;公章）</w:t>
                      </w:r>
                    </w:p>
                  </w:txbxContent>
                </v:textbox>
              </v:shape>
            </w:pict>
          </mc:Fallback>
        </mc:AlternateContent>
      </w:r>
    </w:p>
    <w:p w14:paraId="30439CEC">
      <w:pPr>
        <w:rPr>
          <w:rFonts w:hint="default" w:ascii="Times New Roman" w:hAnsi="Times New Roman" w:eastAsia="仿宋_GB2312" w:cs="Times New Roman"/>
          <w:color w:val="auto"/>
          <w:sz w:val="32"/>
          <w:szCs w:val="32"/>
        </w:rPr>
      </w:pPr>
    </w:p>
    <w:p w14:paraId="440B1E6A">
      <w:pPr>
        <w:rPr>
          <w:rFonts w:hint="default" w:ascii="Times New Roman" w:hAnsi="Times New Roman" w:eastAsia="仿宋_GB2312" w:cs="Times New Roman"/>
          <w:color w:val="auto"/>
          <w:sz w:val="32"/>
          <w:szCs w:val="32"/>
        </w:rPr>
      </w:pPr>
    </w:p>
    <w:p w14:paraId="1496B332">
      <w:pPr>
        <w:rPr>
          <w:rFonts w:hint="default" w:ascii="Times New Roman" w:hAnsi="Times New Roman" w:eastAsia="仿宋_GB2312" w:cs="Times New Roman"/>
          <w:color w:val="auto"/>
          <w:sz w:val="32"/>
          <w:szCs w:val="32"/>
        </w:rPr>
      </w:pPr>
    </w:p>
    <w:p w14:paraId="4A2F4F49">
      <w:pPr>
        <w:rPr>
          <w:rFonts w:hint="default" w:ascii="Times New Roman" w:hAnsi="Times New Roman" w:eastAsia="仿宋_GB2312" w:cs="Times New Roman"/>
          <w:color w:val="auto"/>
          <w:sz w:val="32"/>
          <w:szCs w:val="32"/>
        </w:rPr>
      </w:pPr>
    </w:p>
    <w:p w14:paraId="35294B4A">
      <w:pPr>
        <w:rPr>
          <w:rFonts w:hint="default" w:ascii="Times New Roman" w:hAnsi="Times New Roman" w:eastAsia="仿宋_GB2312" w:cs="Times New Roman"/>
          <w:color w:val="auto"/>
          <w:sz w:val="32"/>
          <w:szCs w:val="32"/>
        </w:rPr>
      </w:pPr>
    </w:p>
    <w:p w14:paraId="49C90B86">
      <w:pPr>
        <w:rPr>
          <w:rFonts w:hint="default" w:ascii="Times New Roman" w:hAnsi="Times New Roman" w:eastAsia="仿宋_GB2312" w:cs="Times New Roman"/>
          <w:color w:val="auto"/>
          <w:sz w:val="32"/>
          <w:szCs w:val="32"/>
        </w:rPr>
      </w:pPr>
    </w:p>
    <w:p w14:paraId="37DE75FD">
      <w:pPr>
        <w:pStyle w:val="5"/>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rPr>
        <w:t xml:space="preserve"> </w:t>
      </w:r>
      <w:r>
        <w:rPr>
          <w:rFonts w:hint="default" w:ascii="Times New Roman" w:hAnsi="Times New Roman" w:eastAsia="仿宋_GB2312" w:cs="Times New Roman"/>
          <w:b/>
          <w:color w:val="auto"/>
          <w:sz w:val="32"/>
          <w:szCs w:val="32"/>
          <w:lang w:val="en-US" w:eastAsia="zh-CN"/>
        </w:rPr>
        <w:t xml:space="preserve">            </w:t>
      </w:r>
    </w:p>
    <w:p w14:paraId="4E5DB4CE">
      <w:pPr>
        <w:pStyle w:val="5"/>
        <w:jc w:val="center"/>
        <w:rPr>
          <w:rFonts w:hint="default" w:ascii="Times New Roman" w:hAnsi="Times New Roman" w:cs="Times New Roman"/>
          <w:color w:val="auto"/>
        </w:rPr>
      </w:pPr>
      <w:r>
        <w:rPr>
          <w:rFonts w:hint="default" w:ascii="Times New Roman" w:hAnsi="Times New Roman" w:eastAsia="仿宋_GB2312" w:cs="Times New Roman"/>
          <w:b/>
          <w:color w:val="auto"/>
          <w:sz w:val="32"/>
          <w:szCs w:val="32"/>
        </w:rPr>
        <w:t>报价一览表封袋正面标识式样</w:t>
      </w:r>
    </w:p>
    <w:p w14:paraId="53FAA5B8">
      <w:pPr>
        <w:pStyle w:val="11"/>
        <w:ind w:left="0" w:leftChars="0" w:firstLine="0" w:firstLineChars="0"/>
        <w:rPr>
          <w:rFonts w:hint="default" w:ascii="Times New Roman" w:hAnsi="Times New Roman" w:eastAsia="仿宋_GB2312" w:cs="Times New Roman"/>
          <w:color w:val="auto"/>
        </w:rPr>
      </w:pPr>
    </w:p>
    <w:p w14:paraId="10ABA746">
      <w:pPr>
        <w:rPr>
          <w:rFonts w:hint="default" w:ascii="Times New Roman" w:hAnsi="Times New Roman" w:eastAsia="仿宋_GB2312" w:cs="Times New Roman"/>
          <w:color w:val="auto"/>
        </w:rPr>
      </w:pPr>
    </w:p>
    <w:p w14:paraId="150B6CDB">
      <w:pPr>
        <w:pStyle w:val="5"/>
        <w:rPr>
          <w:rFonts w:hint="default" w:ascii="Times New Roman" w:hAnsi="Times New Roman" w:eastAsia="仿宋_GB2312" w:cs="Times New Roman"/>
          <w:color w:val="auto"/>
          <w:sz w:val="28"/>
          <w:szCs w:val="28"/>
        </w:rPr>
      </w:pPr>
    </w:p>
    <w:p w14:paraId="01A4A459">
      <w:pPr>
        <w:rPr>
          <w:rFonts w:hint="default" w:ascii="Times New Roman" w:hAnsi="Times New Roman" w:eastAsia="仿宋_GB2312" w:cs="Times New Roman"/>
          <w:color w:val="auto"/>
          <w:sz w:val="44"/>
          <w:szCs w:val="44"/>
        </w:rPr>
      </w:pPr>
      <w:r>
        <w:rPr>
          <w:rFonts w:hint="default" w:ascii="Times New Roman" w:hAnsi="Times New Roman" w:eastAsia="仿宋_GB2312" w:cs="Times New Roman"/>
          <w:color w:val="auto"/>
          <w:sz w:val="44"/>
          <w:szCs w:val="44"/>
        </w:rPr>
        <w:br w:type="page"/>
      </w:r>
    </w:p>
    <w:p w14:paraId="56408D72">
      <w:pPr>
        <w:pStyle w:val="2"/>
        <w:rPr>
          <w:rFonts w:hint="default"/>
          <w:color w:val="auto"/>
        </w:rPr>
      </w:pPr>
    </w:p>
    <w:p w14:paraId="13FB7509">
      <w:pPr>
        <w:spacing w:line="360" w:lineRule="auto"/>
        <w:jc w:val="center"/>
        <w:rPr>
          <w:rFonts w:hint="default" w:ascii="Times New Roman" w:hAnsi="Times New Roman" w:eastAsia="仿宋_GB2312" w:cs="Times New Roman"/>
          <w:color w:val="auto"/>
          <w:sz w:val="44"/>
          <w:szCs w:val="44"/>
        </w:rPr>
      </w:pPr>
    </w:p>
    <w:p w14:paraId="2D5DD3EB">
      <w:pPr>
        <w:spacing w:line="360" w:lineRule="auto"/>
        <w:jc w:val="center"/>
        <w:rPr>
          <w:rFonts w:hint="default" w:ascii="Times New Roman" w:hAnsi="Times New Roman" w:eastAsia="仿宋_GB2312" w:cs="Times New Roman"/>
          <w:color w:val="auto"/>
          <w:sz w:val="44"/>
          <w:szCs w:val="44"/>
        </w:rPr>
      </w:pPr>
      <w:r>
        <w:rPr>
          <w:rFonts w:hint="default" w:ascii="Times New Roman" w:hAnsi="Times New Roman" w:eastAsia="仿宋_GB2312" w:cs="Times New Roman"/>
          <w:color w:val="auto"/>
          <w:sz w:val="44"/>
          <w:szCs w:val="44"/>
        </w:rPr>
        <w:t>汉台区政府采购项目</w:t>
      </w:r>
    </w:p>
    <w:p w14:paraId="2F186939">
      <w:pPr>
        <w:spacing w:line="160" w:lineRule="exact"/>
        <w:rPr>
          <w:rFonts w:hint="default" w:ascii="Times New Roman" w:hAnsi="Times New Roman" w:eastAsia="仿宋_GB2312" w:cs="Times New Roman"/>
          <w:color w:val="auto"/>
        </w:rPr>
      </w:pPr>
    </w:p>
    <w:p w14:paraId="6C7D590A">
      <w:pPr>
        <w:spacing w:line="360" w:lineRule="auto"/>
        <w:jc w:val="center"/>
        <w:rPr>
          <w:rFonts w:hint="default" w:ascii="Times New Roman" w:hAnsi="Times New Roman" w:eastAsia="仿宋_GB2312" w:cs="Times New Roman"/>
          <w:color w:val="auto"/>
          <w:sz w:val="44"/>
          <w:szCs w:val="44"/>
        </w:rPr>
      </w:pPr>
      <w:r>
        <w:rPr>
          <w:rFonts w:hint="default" w:ascii="Times New Roman" w:hAnsi="Times New Roman" w:eastAsia="仿宋_GB2312" w:cs="Times New Roman"/>
          <w:color w:val="auto"/>
          <w:sz w:val="44"/>
          <w:szCs w:val="44"/>
        </w:rPr>
        <w:t>竞争性磋商响应文件（格式）</w:t>
      </w:r>
    </w:p>
    <w:p w14:paraId="6A67AD4B">
      <w:pPr>
        <w:spacing w:line="360" w:lineRule="auto"/>
        <w:jc w:val="center"/>
        <w:rPr>
          <w:rFonts w:hint="default" w:ascii="Times New Roman" w:hAnsi="Times New Roman" w:eastAsia="仿宋_GB2312" w:cs="Times New Roman"/>
          <w:bCs/>
          <w:color w:val="auto"/>
          <w:sz w:val="72"/>
          <w:szCs w:val="52"/>
        </w:rPr>
      </w:pPr>
    </w:p>
    <w:p w14:paraId="580B4540">
      <w:pPr>
        <w:spacing w:line="360" w:lineRule="auto"/>
        <w:jc w:val="center"/>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rPr>
        <w:t>（正本或副本）</w:t>
      </w:r>
    </w:p>
    <w:p w14:paraId="59B9DA90">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700" w:lineRule="exact"/>
        <w:ind w:firstLine="7073" w:firstLineChars="1100"/>
        <w:jc w:val="left"/>
        <w:textAlignment w:val="auto"/>
        <w:rPr>
          <w:rFonts w:hint="default" w:ascii="Times New Roman" w:hAnsi="Times New Roman" w:eastAsia="仿宋_GB2312" w:cs="Times New Roman"/>
          <w:bCs/>
          <w:caps/>
          <w:color w:val="auto"/>
          <w:sz w:val="64"/>
          <w:szCs w:val="64"/>
        </w:rPr>
      </w:pPr>
    </w:p>
    <w:p w14:paraId="75208916">
      <w:pPr>
        <w:tabs>
          <w:tab w:val="right" w:leader="dot" w:pos="9022"/>
        </w:tabs>
        <w:autoSpaceDE w:val="0"/>
        <w:autoSpaceDN w:val="0"/>
        <w:adjustRightInd w:val="0"/>
        <w:spacing w:line="500" w:lineRule="exact"/>
        <w:ind w:firstLine="3553" w:firstLineChars="1100"/>
        <w:jc w:val="left"/>
        <w:rPr>
          <w:rFonts w:hint="default" w:ascii="Times New Roman" w:hAnsi="Times New Roman" w:eastAsia="仿宋_GB2312" w:cs="Times New Roman"/>
          <w:bCs/>
          <w:caps/>
          <w:color w:val="auto"/>
          <w:sz w:val="32"/>
          <w:szCs w:val="32"/>
        </w:rPr>
      </w:pPr>
    </w:p>
    <w:p w14:paraId="34BD78DD">
      <w:pPr>
        <w:tabs>
          <w:tab w:val="right" w:leader="dot" w:pos="9022"/>
        </w:tabs>
        <w:autoSpaceDE w:val="0"/>
        <w:autoSpaceDN w:val="0"/>
        <w:adjustRightInd w:val="0"/>
        <w:spacing w:line="500" w:lineRule="exact"/>
        <w:ind w:firstLine="3553" w:firstLineChars="1100"/>
        <w:jc w:val="left"/>
        <w:rPr>
          <w:rFonts w:hint="default" w:ascii="Times New Roman" w:hAnsi="Times New Roman" w:eastAsia="仿宋_GB2312" w:cs="Times New Roman"/>
          <w:bCs/>
          <w:caps/>
          <w:color w:val="auto"/>
          <w:sz w:val="32"/>
          <w:szCs w:val="32"/>
        </w:rPr>
      </w:pPr>
    </w:p>
    <w:p w14:paraId="4BEEBE73">
      <w:pPr>
        <w:tabs>
          <w:tab w:val="right" w:leader="dot" w:pos="9022"/>
        </w:tabs>
        <w:autoSpaceDE w:val="0"/>
        <w:autoSpaceDN w:val="0"/>
        <w:adjustRightInd w:val="0"/>
        <w:spacing w:line="500" w:lineRule="exact"/>
        <w:ind w:firstLine="3553" w:firstLineChars="1100"/>
        <w:jc w:val="left"/>
        <w:rPr>
          <w:rFonts w:hint="default" w:ascii="Times New Roman" w:hAnsi="Times New Roman" w:eastAsia="仿宋_GB2312" w:cs="Times New Roman"/>
          <w:bCs/>
          <w:caps/>
          <w:color w:val="auto"/>
          <w:sz w:val="32"/>
          <w:szCs w:val="32"/>
        </w:rPr>
      </w:pPr>
    </w:p>
    <w:p w14:paraId="0B2CEEEC">
      <w:pPr>
        <w:tabs>
          <w:tab w:val="right" w:leader="dot" w:pos="9022"/>
        </w:tabs>
        <w:autoSpaceDE w:val="0"/>
        <w:autoSpaceDN w:val="0"/>
        <w:adjustRightInd w:val="0"/>
        <w:spacing w:line="500" w:lineRule="exact"/>
        <w:ind w:firstLine="3553" w:firstLineChars="1100"/>
        <w:jc w:val="left"/>
        <w:rPr>
          <w:rFonts w:hint="default" w:ascii="Times New Roman" w:hAnsi="Times New Roman" w:eastAsia="仿宋_GB2312" w:cs="Times New Roman"/>
          <w:bCs/>
          <w:caps/>
          <w:color w:val="auto"/>
          <w:sz w:val="32"/>
          <w:szCs w:val="32"/>
        </w:rPr>
      </w:pPr>
    </w:p>
    <w:p w14:paraId="44486069">
      <w:pPr>
        <w:tabs>
          <w:tab w:val="right" w:leader="dot" w:pos="9022"/>
        </w:tabs>
        <w:autoSpaceDE w:val="0"/>
        <w:autoSpaceDN w:val="0"/>
        <w:adjustRightInd w:val="0"/>
        <w:spacing w:line="500" w:lineRule="exact"/>
        <w:jc w:val="left"/>
        <w:rPr>
          <w:rFonts w:hint="default" w:ascii="Times New Roman" w:hAnsi="Times New Roman" w:eastAsia="仿宋_GB2312" w:cs="Times New Roman"/>
          <w:color w:val="auto"/>
          <w:sz w:val="32"/>
          <w:szCs w:val="24"/>
        </w:rPr>
      </w:pPr>
    </w:p>
    <w:p w14:paraId="7C2166BA">
      <w:pPr>
        <w:keepNext w:val="0"/>
        <w:keepLines w:val="0"/>
        <w:pageBreakBefore w:val="0"/>
        <w:widowControl w:val="0"/>
        <w:kinsoku/>
        <w:wordWrap/>
        <w:overflowPunct/>
        <w:topLinePunct w:val="0"/>
        <w:autoSpaceDE/>
        <w:autoSpaceDN/>
        <w:bidi w:val="0"/>
        <w:adjustRightInd/>
        <w:snapToGrid/>
        <w:spacing w:line="240" w:lineRule="auto"/>
        <w:ind w:firstLine="2584" w:firstLineChars="800"/>
        <w:jc w:val="both"/>
        <w:textAlignment w:val="auto"/>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rPr>
        <w:t>项  目：</w:t>
      </w:r>
      <w:r>
        <w:rPr>
          <w:rFonts w:hint="default" w:ascii="Times New Roman" w:hAnsi="Times New Roman" w:eastAsia="仿宋_GB2312" w:cs="Times New Roman"/>
          <w:color w:val="auto"/>
          <w:sz w:val="36"/>
          <w:u w:val="single"/>
        </w:rPr>
        <w:t xml:space="preserve"> </w:t>
      </w:r>
      <w:r>
        <w:rPr>
          <w:rFonts w:hint="default" w:ascii="Times New Roman" w:hAnsi="Times New Roman" w:eastAsia="仿宋_GB2312" w:cs="Times New Roman"/>
          <w:color w:val="auto"/>
          <w:sz w:val="36"/>
          <w:szCs w:val="36"/>
          <w:u w:val="single"/>
        </w:rPr>
        <w:t xml:space="preserve">            </w:t>
      </w:r>
      <w:r>
        <w:rPr>
          <w:rFonts w:hint="default" w:ascii="Times New Roman" w:hAnsi="Times New Roman" w:eastAsia="仿宋_GB2312" w:cs="Times New Roman"/>
          <w:color w:val="auto"/>
          <w:sz w:val="32"/>
          <w:szCs w:val="24"/>
        </w:rPr>
        <w:t xml:space="preserve">                     </w:t>
      </w:r>
    </w:p>
    <w:p w14:paraId="1D0E29C5">
      <w:pPr>
        <w:pStyle w:val="17"/>
        <w:spacing w:line="240" w:lineRule="auto"/>
        <w:ind w:firstLine="2261" w:firstLineChars="700"/>
        <w:outlineLvl w:val="0"/>
        <w:rPr>
          <w:rFonts w:hint="default" w:ascii="Times New Roman" w:hAnsi="Times New Roman" w:eastAsia="仿宋_GB2312" w:cs="Times New Roman"/>
          <w:color w:val="auto"/>
          <w:kern w:val="2"/>
          <w:sz w:val="36"/>
          <w:szCs w:val="36"/>
          <w:u w:val="single"/>
          <w:lang w:val="en-US" w:eastAsia="zh-CN" w:bidi="ar-SA"/>
        </w:rPr>
      </w:pPr>
      <w:bookmarkStart w:id="188" w:name="_Toc16607"/>
      <w:r>
        <w:rPr>
          <w:rFonts w:hint="default" w:ascii="Times New Roman" w:hAnsi="Times New Roman" w:eastAsia="仿宋_GB2312" w:cs="Times New Roman"/>
          <w:bCs/>
          <w:color w:val="auto"/>
          <w:sz w:val="32"/>
          <w:szCs w:val="32"/>
        </w:rPr>
        <w:t>项目</w:t>
      </w:r>
      <w:r>
        <w:rPr>
          <w:rFonts w:hint="default" w:ascii="Times New Roman" w:hAnsi="Times New Roman" w:eastAsia="仿宋_GB2312" w:cs="Times New Roman"/>
          <w:bCs/>
          <w:color w:val="auto"/>
          <w:sz w:val="32"/>
          <w:szCs w:val="32"/>
          <w:lang w:val="en-US" w:eastAsia="zh-CN"/>
        </w:rPr>
        <w:t>编号</w:t>
      </w:r>
      <w:r>
        <w:rPr>
          <w:rFonts w:hint="default" w:ascii="Times New Roman" w:hAnsi="Times New Roman" w:eastAsia="仿宋_GB2312" w:cs="Times New Roman"/>
          <w:bCs/>
          <w:color w:val="auto"/>
          <w:sz w:val="32"/>
          <w:szCs w:val="32"/>
        </w:rPr>
        <w:t>：</w:t>
      </w:r>
      <w:bookmarkEnd w:id="188"/>
      <w:r>
        <w:rPr>
          <w:rFonts w:hint="default" w:ascii="Times New Roman" w:hAnsi="Times New Roman" w:eastAsia="仿宋_GB2312" w:cs="Times New Roman"/>
          <w:color w:val="auto"/>
          <w:kern w:val="2"/>
          <w:sz w:val="36"/>
          <w:szCs w:val="36"/>
          <w:u w:val="single"/>
          <w:lang w:val="en-US" w:eastAsia="zh-CN" w:bidi="ar-SA"/>
        </w:rPr>
        <w:t xml:space="preserve">             </w:t>
      </w:r>
      <w:bookmarkStart w:id="189" w:name="_Toc18959"/>
    </w:p>
    <w:p w14:paraId="373F0180">
      <w:pPr>
        <w:keepNext w:val="0"/>
        <w:keepLines w:val="0"/>
        <w:pageBreakBefore w:val="0"/>
        <w:widowControl w:val="0"/>
        <w:kinsoku/>
        <w:wordWrap/>
        <w:overflowPunct/>
        <w:topLinePunct w:val="0"/>
        <w:autoSpaceDE/>
        <w:autoSpaceDN/>
        <w:bidi w:val="0"/>
        <w:adjustRightInd/>
        <w:snapToGrid/>
        <w:spacing w:line="240" w:lineRule="auto"/>
        <w:ind w:firstLine="2584" w:firstLineChars="800"/>
        <w:jc w:val="both"/>
        <w:textAlignment w:val="auto"/>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rPr>
        <w:t>供应商：</w:t>
      </w:r>
      <w:r>
        <w:rPr>
          <w:rFonts w:hint="default" w:ascii="Times New Roman" w:hAnsi="Times New Roman" w:eastAsia="仿宋_GB2312" w:cs="Times New Roman"/>
          <w:color w:val="auto"/>
          <w:sz w:val="36"/>
          <w:u w:val="single"/>
        </w:rPr>
        <w:t xml:space="preserve"> </w:t>
      </w:r>
      <w:r>
        <w:rPr>
          <w:rFonts w:hint="default" w:ascii="Times New Roman" w:hAnsi="Times New Roman" w:eastAsia="仿宋_GB2312" w:cs="Times New Roman"/>
          <w:color w:val="auto"/>
          <w:sz w:val="36"/>
          <w:szCs w:val="36"/>
          <w:u w:val="single"/>
        </w:rPr>
        <w:t xml:space="preserve">            </w:t>
      </w:r>
      <w:r>
        <w:rPr>
          <w:rFonts w:hint="default" w:ascii="Times New Roman" w:hAnsi="Times New Roman" w:eastAsia="仿宋_GB2312" w:cs="Times New Roman"/>
          <w:color w:val="auto"/>
          <w:sz w:val="32"/>
          <w:szCs w:val="24"/>
        </w:rPr>
        <w:t xml:space="preserve">（公章）          </w:t>
      </w:r>
      <w:bookmarkEnd w:id="189"/>
    </w:p>
    <w:p w14:paraId="52DA9E1A">
      <w:pPr>
        <w:keepNext w:val="0"/>
        <w:keepLines w:val="0"/>
        <w:pageBreakBefore w:val="0"/>
        <w:widowControl w:val="0"/>
        <w:kinsoku/>
        <w:wordWrap/>
        <w:overflowPunct/>
        <w:topLinePunct w:val="0"/>
        <w:autoSpaceDE/>
        <w:autoSpaceDN/>
        <w:bidi w:val="0"/>
        <w:adjustRightInd/>
        <w:snapToGrid/>
        <w:spacing w:line="240" w:lineRule="auto"/>
        <w:ind w:firstLine="2584" w:firstLineChars="800"/>
        <w:jc w:val="both"/>
        <w:textAlignment w:val="auto"/>
        <w:rPr>
          <w:rFonts w:hint="default" w:ascii="Times New Roman" w:hAnsi="Times New Roman" w:eastAsia="仿宋_GB2312" w:cs="Times New Roman"/>
          <w:color w:val="auto"/>
          <w:sz w:val="32"/>
          <w:szCs w:val="24"/>
        </w:rPr>
      </w:pPr>
      <w:bookmarkStart w:id="190" w:name="_Toc21702"/>
      <w:bookmarkStart w:id="191" w:name="_Toc9715"/>
      <w:bookmarkStart w:id="192" w:name="_Toc7734"/>
      <w:bookmarkStart w:id="193" w:name="_Toc26250"/>
      <w:bookmarkStart w:id="194" w:name="_Toc24294"/>
      <w:bookmarkStart w:id="195" w:name="_Toc880"/>
      <w:bookmarkStart w:id="196" w:name="_Toc5243"/>
      <w:bookmarkStart w:id="197" w:name="_Toc15429"/>
      <w:r>
        <w:rPr>
          <w:rFonts w:hint="default" w:ascii="Times New Roman" w:hAnsi="Times New Roman" w:eastAsia="仿宋_GB2312" w:cs="Times New Roman"/>
          <w:color w:val="auto"/>
          <w:sz w:val="32"/>
          <w:szCs w:val="24"/>
          <w:lang w:eastAsia="zh-CN"/>
        </w:rPr>
        <w:t>日</w:t>
      </w:r>
      <w:r>
        <w:rPr>
          <w:rFonts w:hint="default" w:ascii="Times New Roman" w:hAnsi="Times New Roman" w:eastAsia="仿宋_GB2312" w:cs="Times New Roman"/>
          <w:color w:val="auto"/>
          <w:sz w:val="32"/>
          <w:szCs w:val="24"/>
          <w:lang w:val="en-US" w:eastAsia="zh-CN"/>
        </w:rPr>
        <w:t xml:space="preserve">  </w:t>
      </w:r>
      <w:r>
        <w:rPr>
          <w:rFonts w:hint="default" w:ascii="Times New Roman" w:hAnsi="Times New Roman" w:eastAsia="仿宋_GB2312" w:cs="Times New Roman"/>
          <w:color w:val="auto"/>
          <w:sz w:val="32"/>
          <w:szCs w:val="24"/>
          <w:lang w:eastAsia="zh-CN"/>
        </w:rPr>
        <w:t>期</w:t>
      </w:r>
      <w:r>
        <w:rPr>
          <w:rFonts w:hint="default" w:ascii="Times New Roman" w:hAnsi="Times New Roman" w:eastAsia="仿宋_GB2312" w:cs="Times New Roman"/>
          <w:color w:val="auto"/>
          <w:sz w:val="32"/>
          <w:szCs w:val="24"/>
        </w:rPr>
        <w:t>：</w:t>
      </w:r>
      <w:bookmarkEnd w:id="190"/>
      <w:bookmarkEnd w:id="191"/>
      <w:bookmarkEnd w:id="192"/>
      <w:r>
        <w:rPr>
          <w:rFonts w:hint="default" w:ascii="Times New Roman" w:hAnsi="Times New Roman" w:eastAsia="仿宋_GB2312" w:cs="Times New Roman"/>
          <w:b w:val="0"/>
          <w:bCs w:val="0"/>
          <w:color w:val="auto"/>
          <w:kern w:val="2"/>
          <w:sz w:val="36"/>
          <w:szCs w:val="36"/>
          <w:u w:val="single"/>
          <w:lang w:val="en-US" w:eastAsia="zh-CN" w:bidi="ar-SA"/>
        </w:rPr>
        <w:t xml:space="preserve">             </w:t>
      </w:r>
      <w:bookmarkEnd w:id="193"/>
      <w:bookmarkEnd w:id="194"/>
      <w:bookmarkEnd w:id="195"/>
      <w:bookmarkEnd w:id="196"/>
      <w:bookmarkEnd w:id="197"/>
    </w:p>
    <w:p w14:paraId="4679FA31">
      <w:pPr>
        <w:keepNext w:val="0"/>
        <w:keepLines w:val="0"/>
        <w:pageBreakBefore w:val="0"/>
        <w:widowControl w:val="0"/>
        <w:kinsoku/>
        <w:wordWrap/>
        <w:overflowPunct/>
        <w:topLinePunct w:val="0"/>
        <w:autoSpaceDE/>
        <w:autoSpaceDN/>
        <w:bidi w:val="0"/>
        <w:adjustRightInd/>
        <w:snapToGrid/>
        <w:spacing w:line="360" w:lineRule="auto"/>
        <w:ind w:firstLine="2584" w:firstLineChars="800"/>
        <w:jc w:val="both"/>
        <w:textAlignment w:val="auto"/>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rPr>
        <w:t xml:space="preserve">                     </w:t>
      </w:r>
    </w:p>
    <w:p w14:paraId="481FDFCB">
      <w:pPr>
        <w:keepNext w:val="0"/>
        <w:keepLines w:val="0"/>
        <w:pageBreakBefore w:val="0"/>
        <w:widowControl w:val="0"/>
        <w:kinsoku/>
        <w:wordWrap/>
        <w:overflowPunct/>
        <w:topLinePunct w:val="0"/>
        <w:autoSpaceDE/>
        <w:autoSpaceDN/>
        <w:bidi w:val="0"/>
        <w:adjustRightInd/>
        <w:snapToGrid/>
        <w:spacing w:line="360" w:lineRule="auto"/>
        <w:ind w:firstLine="2584" w:firstLineChars="800"/>
        <w:jc w:val="both"/>
        <w:textAlignment w:val="auto"/>
        <w:rPr>
          <w:rFonts w:hint="default" w:ascii="Times New Roman" w:hAnsi="Times New Roman" w:eastAsia="仿宋_GB2312" w:cs="Times New Roman"/>
          <w:color w:val="auto"/>
          <w:sz w:val="32"/>
          <w:szCs w:val="24"/>
        </w:rPr>
      </w:pPr>
    </w:p>
    <w:p w14:paraId="01ACBB8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32"/>
          <w:szCs w:val="24"/>
        </w:rPr>
      </w:pPr>
    </w:p>
    <w:p w14:paraId="742CF383">
      <w:pPr>
        <w:rPr>
          <w:rFonts w:hint="default" w:ascii="Times New Roman" w:hAnsi="Times New Roman" w:eastAsia="黑体" w:cs="Times New Roman"/>
          <w:b w:val="0"/>
          <w:bCs w:val="0"/>
          <w:color w:val="auto"/>
          <w:sz w:val="44"/>
          <w:szCs w:val="44"/>
        </w:rPr>
      </w:pPr>
      <w:bookmarkStart w:id="198" w:name="_Toc23450"/>
      <w:bookmarkStart w:id="199" w:name="_Toc27037"/>
      <w:bookmarkStart w:id="200" w:name="_Toc10193"/>
      <w:bookmarkStart w:id="201" w:name="_Toc24906"/>
      <w:bookmarkStart w:id="202" w:name="_Toc11156"/>
      <w:r>
        <w:rPr>
          <w:rFonts w:hint="default" w:ascii="Times New Roman" w:hAnsi="Times New Roman" w:eastAsia="黑体" w:cs="Times New Roman"/>
          <w:b w:val="0"/>
          <w:bCs w:val="0"/>
          <w:color w:val="auto"/>
          <w:sz w:val="44"/>
          <w:szCs w:val="44"/>
        </w:rPr>
        <w:br w:type="page"/>
      </w:r>
      <w:bookmarkEnd w:id="198"/>
      <w:bookmarkEnd w:id="199"/>
      <w:bookmarkEnd w:id="200"/>
      <w:bookmarkEnd w:id="201"/>
      <w:bookmarkEnd w:id="202"/>
    </w:p>
    <w:p w14:paraId="61E81639">
      <w:pPr>
        <w:pStyle w:val="18"/>
        <w:jc w:val="center"/>
        <w:rPr>
          <w:rFonts w:hint="default" w:ascii="Times New Roman" w:hAnsi="Times New Roman" w:eastAsia="黑体" w:cs="Times New Roman"/>
          <w:b w:val="0"/>
          <w:bCs w:val="0"/>
          <w:color w:val="auto"/>
          <w:sz w:val="36"/>
          <w:szCs w:val="36"/>
        </w:rPr>
      </w:pPr>
      <w:r>
        <w:rPr>
          <w:rFonts w:hint="default" w:ascii="Times New Roman" w:hAnsi="Times New Roman" w:eastAsia="黑体" w:cs="Times New Roman"/>
          <w:b w:val="0"/>
          <w:bCs w:val="0"/>
          <w:color w:val="auto"/>
          <w:sz w:val="44"/>
          <w:szCs w:val="44"/>
        </w:rPr>
        <w:t>目  录</w:t>
      </w:r>
    </w:p>
    <w:p w14:paraId="0B71C7B9">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181" w:leftChars="200" w:right="849" w:rightChars="300" w:hanging="1615" w:hangingChars="500"/>
        <w:textAlignment w:val="auto"/>
        <w:rPr>
          <w:rFonts w:hint="default" w:ascii="Times New Roman" w:hAnsi="Times New Roman" w:eastAsia="黑体" w:cs="Times New Roman"/>
          <w:color w:val="auto"/>
          <w:sz w:val="32"/>
          <w:szCs w:val="32"/>
        </w:rPr>
      </w:pPr>
      <w:bookmarkStart w:id="203" w:name="_Toc19993_WPSOffice_Level1"/>
      <w:bookmarkStart w:id="204" w:name="_Toc25537_WPSOffice_Level1"/>
      <w:bookmarkStart w:id="205" w:name="_Toc8294_WPSOffice_Level1"/>
      <w:bookmarkStart w:id="206" w:name="_Toc26192_WPSOffice_Level1"/>
      <w:r>
        <w:rPr>
          <w:rFonts w:hint="default" w:ascii="Times New Roman" w:hAnsi="Times New Roman" w:eastAsia="黑体" w:cs="Times New Roman"/>
          <w:color w:val="auto"/>
          <w:sz w:val="32"/>
          <w:szCs w:val="32"/>
        </w:rPr>
        <w:t>第一部分  资格证明文件</w:t>
      </w:r>
      <w:r>
        <w:rPr>
          <w:rFonts w:hint="default" w:ascii="Times New Roman" w:hAnsi="Times New Roman" w:eastAsia="黑体" w:cs="Times New Roman"/>
          <w:color w:val="auto"/>
          <w:sz w:val="32"/>
          <w:szCs w:val="32"/>
        </w:rPr>
        <w:tab/>
      </w:r>
      <w:r>
        <w:rPr>
          <w:rFonts w:hint="default" w:ascii="Times New Roman" w:hAnsi="Times New Roman" w:eastAsia="黑体" w:cs="Times New Roman"/>
          <w:color w:val="auto"/>
          <w:sz w:val="32"/>
          <w:szCs w:val="32"/>
        </w:rPr>
        <w:t>X</w:t>
      </w:r>
      <w:bookmarkEnd w:id="203"/>
      <w:bookmarkEnd w:id="204"/>
      <w:bookmarkEnd w:id="205"/>
      <w:bookmarkEnd w:id="206"/>
    </w:p>
    <w:p w14:paraId="20884699">
      <w:pPr>
        <w:keepNext w:val="0"/>
        <w:keepLines w:val="0"/>
        <w:pageBreakBefore w:val="0"/>
        <w:widowControl/>
        <w:tabs>
          <w:tab w:val="right" w:leader="hyphen" w:pos="8504"/>
        </w:tabs>
        <w:kinsoku/>
        <w:wordWrap/>
        <w:overflowPunct/>
        <w:topLinePunct w:val="0"/>
        <w:autoSpaceDE/>
        <w:autoSpaceDN/>
        <w:bidi w:val="0"/>
        <w:adjustRightInd/>
        <w:snapToGrid/>
        <w:spacing w:line="540" w:lineRule="exact"/>
        <w:ind w:right="849" w:rightChars="300" w:firstLine="1292" w:firstLineChars="400"/>
        <w:textAlignment w:val="auto"/>
        <w:rPr>
          <w:rFonts w:hint="default" w:ascii="Times New Roman" w:hAnsi="Times New Roman" w:eastAsia="仿宋_GB2312" w:cs="Times New Roman"/>
          <w:color w:val="auto"/>
          <w:sz w:val="32"/>
          <w:szCs w:val="32"/>
        </w:rPr>
      </w:pPr>
      <w:bookmarkStart w:id="207" w:name="_Toc19993_WPSOffice_Level2"/>
      <w:bookmarkStart w:id="208" w:name="_Toc14464_WPSOffice_Level2"/>
      <w:bookmarkStart w:id="209" w:name="_Toc25969_WPSOffice_Level2"/>
      <w:bookmarkStart w:id="210" w:name="_Toc31082_WPSOffice_Level2"/>
      <w:bookmarkStart w:id="211" w:name="_Toc28184_WPSOffice_Level1"/>
      <w:bookmarkStart w:id="212" w:name="_Toc30252_WPSOffice_Level1"/>
      <w:bookmarkStart w:id="213" w:name="_Toc27026_WPSOffice_Level1"/>
      <w:bookmarkStart w:id="214" w:name="_Toc22849_WPSOffice_Level1"/>
      <w:r>
        <w:rPr>
          <w:rFonts w:hint="default" w:ascii="Times New Roman" w:hAnsi="Times New Roman" w:eastAsia="仿宋_GB2312" w:cs="Times New Roman"/>
          <w:color w:val="auto"/>
          <w:sz w:val="32"/>
          <w:szCs w:val="32"/>
        </w:rPr>
        <w:t>一、营业执照等主体资格证明文件</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bookmarkEnd w:id="207"/>
      <w:bookmarkEnd w:id="208"/>
      <w:bookmarkEnd w:id="209"/>
      <w:bookmarkEnd w:id="210"/>
    </w:p>
    <w:p w14:paraId="0EC5BCD0">
      <w:pPr>
        <w:keepNext w:val="0"/>
        <w:keepLines w:val="0"/>
        <w:pageBreakBefore w:val="0"/>
        <w:widowControl/>
        <w:tabs>
          <w:tab w:val="right" w:leader="hyphen" w:pos="8504"/>
        </w:tabs>
        <w:kinsoku/>
        <w:wordWrap/>
        <w:overflowPunct/>
        <w:topLinePunct w:val="0"/>
        <w:autoSpaceDE/>
        <w:autoSpaceDN/>
        <w:bidi w:val="0"/>
        <w:adjustRightInd/>
        <w:snapToGrid/>
        <w:spacing w:line="540" w:lineRule="exact"/>
        <w:ind w:right="849" w:rightChars="300" w:firstLine="1292" w:firstLineChars="400"/>
        <w:textAlignment w:val="auto"/>
        <w:rPr>
          <w:rFonts w:hint="default" w:ascii="Times New Roman" w:hAnsi="Times New Roman" w:eastAsia="仿宋_GB2312" w:cs="Times New Roman"/>
          <w:color w:val="auto"/>
          <w:sz w:val="32"/>
          <w:szCs w:val="32"/>
        </w:rPr>
      </w:pPr>
      <w:bookmarkStart w:id="215" w:name="_Toc12145_WPSOffice_Level2"/>
      <w:bookmarkStart w:id="216" w:name="_Toc21196_WPSOffice_Level2"/>
      <w:bookmarkStart w:id="217" w:name="_Toc17236_WPSOffice_Level2"/>
      <w:bookmarkStart w:id="218" w:name="_Toc5115_WPSOffice_Level2"/>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、法定代表人授权委托书</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bookmarkEnd w:id="215"/>
      <w:bookmarkEnd w:id="216"/>
      <w:bookmarkEnd w:id="217"/>
      <w:bookmarkEnd w:id="218"/>
    </w:p>
    <w:p w14:paraId="36D2EA91">
      <w:pPr>
        <w:keepNext w:val="0"/>
        <w:keepLines w:val="0"/>
        <w:pageBreakBefore w:val="0"/>
        <w:widowControl/>
        <w:tabs>
          <w:tab w:val="right" w:leader="hyphen" w:pos="8504"/>
        </w:tabs>
        <w:kinsoku/>
        <w:wordWrap/>
        <w:overflowPunct/>
        <w:topLinePunct w:val="0"/>
        <w:autoSpaceDE/>
        <w:autoSpaceDN/>
        <w:bidi w:val="0"/>
        <w:adjustRightInd/>
        <w:snapToGrid/>
        <w:spacing w:line="540" w:lineRule="exact"/>
        <w:ind w:right="849" w:rightChars="300" w:firstLine="1292" w:firstLineChars="4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、资格承诺函</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p>
    <w:p w14:paraId="5646814E">
      <w:pPr>
        <w:keepNext w:val="0"/>
        <w:keepLines w:val="0"/>
        <w:pageBreakBefore w:val="0"/>
        <w:widowControl/>
        <w:tabs>
          <w:tab w:val="right" w:leader="hyphen" w:pos="8504"/>
        </w:tabs>
        <w:kinsoku/>
        <w:wordWrap/>
        <w:overflowPunct/>
        <w:topLinePunct w:val="0"/>
        <w:autoSpaceDE/>
        <w:autoSpaceDN/>
        <w:bidi w:val="0"/>
        <w:adjustRightInd/>
        <w:snapToGrid/>
        <w:spacing w:line="540" w:lineRule="exact"/>
        <w:ind w:right="849" w:rightChars="300" w:firstLine="1292" w:firstLineChars="4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、特定资格要求</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p>
    <w:p w14:paraId="0006540B">
      <w:pPr>
        <w:keepNext w:val="0"/>
        <w:keepLines w:val="0"/>
        <w:pageBreakBefore w:val="0"/>
        <w:widowControl/>
        <w:tabs>
          <w:tab w:val="right" w:leader="hyphen" w:pos="8504"/>
        </w:tabs>
        <w:kinsoku/>
        <w:wordWrap/>
        <w:overflowPunct/>
        <w:topLinePunct w:val="0"/>
        <w:autoSpaceDE/>
        <w:autoSpaceDN/>
        <w:bidi w:val="0"/>
        <w:adjustRightInd/>
        <w:snapToGrid/>
        <w:spacing w:line="540" w:lineRule="exact"/>
        <w:ind w:right="849" w:rightChars="300" w:firstLine="1292" w:firstLineChars="4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五、落实政府采购政策需满足的资格要求</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p>
    <w:p w14:paraId="7A59A94E">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181" w:leftChars="200" w:right="849" w:rightChars="300" w:hanging="1615" w:hangingChars="5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第二部分  符合性证明文件</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t>X</w:t>
      </w:r>
      <w:bookmarkEnd w:id="211"/>
      <w:bookmarkEnd w:id="212"/>
      <w:bookmarkEnd w:id="213"/>
      <w:bookmarkEnd w:id="214"/>
    </w:p>
    <w:p w14:paraId="625C0BB7">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default" w:ascii="Times New Roman" w:hAnsi="Times New Roman" w:eastAsia="仿宋_GB2312" w:cs="Times New Roman"/>
          <w:color w:val="auto"/>
          <w:sz w:val="32"/>
          <w:szCs w:val="32"/>
        </w:rPr>
      </w:pPr>
      <w:bookmarkStart w:id="219" w:name="_Toc5795_WPSOffice_Level2"/>
      <w:bookmarkStart w:id="220" w:name="_Toc183_WPSOffice_Level2"/>
      <w:bookmarkStart w:id="221" w:name="_Toc28631_WPSOffice_Level2"/>
      <w:bookmarkStart w:id="222" w:name="_Toc7348_WPSOffice_Level2"/>
      <w:r>
        <w:rPr>
          <w:rFonts w:hint="default" w:ascii="Times New Roman" w:hAnsi="Times New Roman" w:eastAsia="仿宋_GB2312" w:cs="Times New Roman"/>
          <w:color w:val="auto"/>
          <w:sz w:val="32"/>
          <w:szCs w:val="32"/>
        </w:rPr>
        <w:t>一、响应函格式</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bookmarkEnd w:id="219"/>
      <w:bookmarkEnd w:id="220"/>
      <w:bookmarkEnd w:id="221"/>
      <w:bookmarkEnd w:id="222"/>
    </w:p>
    <w:p w14:paraId="4FEF8905">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default" w:ascii="Times New Roman" w:hAnsi="Times New Roman" w:eastAsia="仿宋_GB2312" w:cs="Times New Roman"/>
          <w:color w:val="auto"/>
          <w:sz w:val="32"/>
          <w:szCs w:val="32"/>
        </w:rPr>
      </w:pPr>
      <w:bookmarkStart w:id="223" w:name="_Toc1168_WPSOffice_Level2"/>
      <w:bookmarkStart w:id="224" w:name="_Toc9021_WPSOffice_Level2"/>
      <w:bookmarkStart w:id="225" w:name="_Toc27223_WPSOffice_Level2"/>
      <w:bookmarkStart w:id="226" w:name="_Toc8116_WPSOffice_Level2"/>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响应报价表</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bookmarkEnd w:id="223"/>
      <w:bookmarkEnd w:id="224"/>
      <w:bookmarkEnd w:id="225"/>
      <w:bookmarkEnd w:id="226"/>
    </w:p>
    <w:p w14:paraId="3F755949">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响应报价明细</w:t>
      </w:r>
      <w:r>
        <w:rPr>
          <w:rFonts w:hint="default" w:ascii="Times New Roman" w:hAnsi="Times New Roman" w:eastAsia="仿宋_GB2312" w:cs="Times New Roman"/>
          <w:color w:val="auto"/>
          <w:sz w:val="32"/>
          <w:szCs w:val="32"/>
        </w:rPr>
        <w:t>表</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p>
    <w:p w14:paraId="41413AE7">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default" w:ascii="Times New Roman" w:hAnsi="Times New Roman" w:eastAsia="仿宋_GB2312" w:cs="Times New Roman"/>
          <w:color w:val="auto"/>
          <w:sz w:val="32"/>
          <w:szCs w:val="32"/>
        </w:rPr>
      </w:pPr>
      <w:bookmarkStart w:id="227" w:name="_Toc3525_WPSOffice_Level2"/>
      <w:bookmarkStart w:id="228" w:name="_Toc27170_WPSOffice_Level2"/>
      <w:bookmarkStart w:id="229" w:name="_Toc29414_WPSOffice_Level2"/>
      <w:bookmarkStart w:id="230" w:name="_Toc11630_WPSOffice_Level2"/>
      <w:r>
        <w:rPr>
          <w:rFonts w:hint="default" w:ascii="Times New Roman" w:hAnsi="Times New Roman" w:eastAsia="仿宋_GB2312" w:cs="Times New Roman"/>
          <w:color w:val="auto"/>
          <w:sz w:val="32"/>
          <w:szCs w:val="32"/>
        </w:rPr>
        <w:t>三、供应商参加政府采购活动承诺书</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bookmarkEnd w:id="227"/>
      <w:bookmarkEnd w:id="228"/>
      <w:bookmarkEnd w:id="229"/>
      <w:bookmarkEnd w:id="230"/>
    </w:p>
    <w:p w14:paraId="28DCE47D">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default" w:ascii="Times New Roman" w:hAnsi="Times New Roman" w:eastAsia="仿宋_GB2312" w:cs="Times New Roman"/>
          <w:color w:val="auto"/>
          <w:sz w:val="32"/>
          <w:szCs w:val="32"/>
        </w:rPr>
      </w:pPr>
      <w:bookmarkStart w:id="231" w:name="_Toc1782_WPSOffice_Level2"/>
      <w:bookmarkStart w:id="232" w:name="_Toc18811_WPSOffice_Level2"/>
      <w:bookmarkStart w:id="233" w:name="_Toc20504_WPSOffice_Level2"/>
      <w:bookmarkStart w:id="234" w:name="_Toc31457_WPSOffice_Level2"/>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、技术服务偏差表</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bookmarkEnd w:id="231"/>
      <w:bookmarkEnd w:id="232"/>
      <w:bookmarkEnd w:id="233"/>
      <w:bookmarkEnd w:id="234"/>
    </w:p>
    <w:p w14:paraId="3CE0CD1E">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default" w:ascii="Times New Roman" w:hAnsi="Times New Roman" w:eastAsia="仿宋_GB2312" w:cs="Times New Roman"/>
          <w:color w:val="auto"/>
          <w:sz w:val="32"/>
          <w:szCs w:val="32"/>
        </w:rPr>
      </w:pPr>
      <w:bookmarkStart w:id="235" w:name="_Toc19486_WPSOffice_Level2"/>
      <w:bookmarkStart w:id="236" w:name="_Toc17428_WPSOffice_Level2"/>
      <w:bookmarkStart w:id="237" w:name="_Toc28279_WPSOffice_Level2"/>
      <w:bookmarkStart w:id="238" w:name="_Toc13258_WPSOffice_Level2"/>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rPr>
        <w:t>、合同</w:t>
      </w:r>
      <w:r>
        <w:rPr>
          <w:rFonts w:hint="default" w:ascii="Times New Roman" w:hAnsi="Times New Roman" w:eastAsia="仿宋_GB2312" w:cs="Times New Roman"/>
          <w:color w:val="auto"/>
          <w:sz w:val="32"/>
          <w:szCs w:val="32"/>
          <w:lang w:val="en-US" w:eastAsia="zh-CN"/>
        </w:rPr>
        <w:t>草案</w:t>
      </w:r>
      <w:r>
        <w:rPr>
          <w:rFonts w:hint="default" w:ascii="Times New Roman" w:hAnsi="Times New Roman" w:eastAsia="仿宋_GB2312" w:cs="Times New Roman"/>
          <w:color w:val="auto"/>
          <w:sz w:val="32"/>
          <w:szCs w:val="32"/>
        </w:rPr>
        <w:t>条款响应</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bookmarkEnd w:id="235"/>
      <w:bookmarkEnd w:id="236"/>
      <w:bookmarkEnd w:id="237"/>
      <w:bookmarkEnd w:id="238"/>
    </w:p>
    <w:p w14:paraId="7B3395FD">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646" w:firstLineChars="200"/>
        <w:textAlignment w:val="auto"/>
        <w:rPr>
          <w:rFonts w:hint="default" w:ascii="Times New Roman" w:hAnsi="Times New Roman" w:eastAsia="黑体" w:cs="Times New Roman"/>
          <w:color w:val="auto"/>
          <w:sz w:val="32"/>
          <w:szCs w:val="32"/>
        </w:rPr>
      </w:pPr>
      <w:bookmarkStart w:id="239" w:name="_Toc22808_WPSOffice_Level1"/>
      <w:bookmarkStart w:id="240" w:name="_Toc23092_WPSOffice_Level1"/>
      <w:bookmarkStart w:id="241" w:name="_Toc27464_WPSOffice_Level1"/>
      <w:bookmarkStart w:id="242" w:name="_Toc21905_WPSOffice_Level1"/>
      <w:r>
        <w:rPr>
          <w:rFonts w:hint="default" w:ascii="Times New Roman" w:hAnsi="Times New Roman" w:eastAsia="黑体" w:cs="Times New Roman"/>
          <w:color w:val="auto"/>
          <w:sz w:val="32"/>
          <w:szCs w:val="32"/>
        </w:rPr>
        <w:t>第三部分  响应方案</w:t>
      </w:r>
      <w:bookmarkEnd w:id="239"/>
      <w:bookmarkEnd w:id="240"/>
      <w:bookmarkEnd w:id="241"/>
      <w:bookmarkEnd w:id="242"/>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p>
    <w:p w14:paraId="1C0A1DEB">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default" w:ascii="Times New Roman" w:hAnsi="Times New Roman" w:eastAsia="仿宋_GB2312" w:cs="Times New Roman"/>
          <w:color w:val="auto"/>
          <w:sz w:val="32"/>
          <w:szCs w:val="32"/>
        </w:rPr>
      </w:pPr>
      <w:bookmarkStart w:id="243" w:name="_Toc7951_WPSOffice_Level2"/>
      <w:bookmarkStart w:id="244" w:name="_Toc7544_WPSOffice_Level2"/>
      <w:bookmarkStart w:id="245" w:name="_Toc980_WPSOffice_Level2"/>
      <w:bookmarkStart w:id="246" w:name="_Toc8316_WPSOffice_Level2"/>
      <w:r>
        <w:rPr>
          <w:rFonts w:hint="default" w:ascii="Times New Roman" w:hAnsi="Times New Roman" w:eastAsia="仿宋_GB2312" w:cs="Times New Roman"/>
          <w:color w:val="auto"/>
          <w:sz w:val="32"/>
          <w:szCs w:val="32"/>
        </w:rPr>
        <w:t>一、供应商</w:t>
      </w:r>
      <w:bookmarkEnd w:id="243"/>
      <w:r>
        <w:rPr>
          <w:rFonts w:hint="default" w:ascii="Times New Roman" w:hAnsi="Times New Roman" w:eastAsia="仿宋_GB2312" w:cs="Times New Roman"/>
          <w:color w:val="auto"/>
          <w:sz w:val="32"/>
          <w:szCs w:val="32"/>
          <w:lang w:val="en-US" w:eastAsia="zh-CN"/>
        </w:rPr>
        <w:t>基本情况及其性质</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bookmarkEnd w:id="244"/>
      <w:bookmarkEnd w:id="245"/>
      <w:bookmarkEnd w:id="246"/>
    </w:p>
    <w:p w14:paraId="7FF6C6DD">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default" w:ascii="Times New Roman" w:hAnsi="Times New Roman" w:eastAsia="仿宋_GB2312" w:cs="Times New Roman"/>
          <w:color w:val="auto"/>
          <w:sz w:val="32"/>
          <w:szCs w:val="32"/>
        </w:rPr>
      </w:pPr>
      <w:bookmarkStart w:id="247" w:name="_Toc10127_WPSOffice_Level2"/>
      <w:bookmarkStart w:id="248" w:name="_Toc2987_WPSOffice_Level2"/>
      <w:bookmarkStart w:id="249" w:name="_Toc2999_WPSOffice_Level2"/>
      <w:bookmarkStart w:id="250" w:name="_Toc15474_WPSOffice_Level2"/>
      <w:r>
        <w:rPr>
          <w:rFonts w:hint="default" w:ascii="Times New Roman" w:hAnsi="Times New Roman" w:eastAsia="仿宋_GB2312" w:cs="Times New Roman"/>
          <w:color w:val="auto"/>
          <w:sz w:val="32"/>
          <w:szCs w:val="32"/>
        </w:rPr>
        <w:t>二、技术服务方案</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bookmarkEnd w:id="247"/>
      <w:bookmarkEnd w:id="248"/>
      <w:bookmarkEnd w:id="249"/>
      <w:bookmarkEnd w:id="250"/>
    </w:p>
    <w:p w14:paraId="7616EDE7">
      <w:pPr>
        <w:keepNext w:val="0"/>
        <w:keepLines w:val="0"/>
        <w:pageBreakBefore w:val="0"/>
        <w:widowControl/>
        <w:numPr>
          <w:ilvl w:val="0"/>
          <w:numId w:val="0"/>
        </w:numPr>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default" w:ascii="Times New Roman" w:hAnsi="Times New Roman" w:eastAsia="仿宋_GB2312" w:cs="Times New Roman"/>
          <w:color w:val="auto"/>
          <w:sz w:val="32"/>
          <w:szCs w:val="32"/>
        </w:rPr>
      </w:pPr>
      <w:bookmarkStart w:id="251" w:name="_Toc22913_WPSOffice_Level2"/>
      <w:bookmarkStart w:id="252" w:name="_Toc28542_WPSOffice_Level2"/>
      <w:bookmarkStart w:id="253" w:name="_Toc15492_WPSOffice_Level2"/>
      <w:bookmarkStart w:id="254" w:name="_Toc13401_WPSOffice_Level2"/>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参考样表</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bookmarkEnd w:id="251"/>
      <w:bookmarkEnd w:id="252"/>
      <w:bookmarkEnd w:id="253"/>
      <w:bookmarkEnd w:id="254"/>
    </w:p>
    <w:p w14:paraId="6725FC59">
      <w:pPr>
        <w:spacing w:line="500" w:lineRule="exact"/>
        <w:jc w:val="center"/>
        <w:rPr>
          <w:rFonts w:hint="default" w:ascii="Times New Roman" w:hAnsi="Times New Roman" w:eastAsia="黑体" w:cs="Times New Roman"/>
          <w:b/>
          <w:color w:val="auto"/>
        </w:rPr>
      </w:pPr>
    </w:p>
    <w:p w14:paraId="5519B173">
      <w:pPr>
        <w:spacing w:line="500" w:lineRule="exact"/>
        <w:jc w:val="center"/>
        <w:rPr>
          <w:rFonts w:hint="default" w:ascii="Times New Roman" w:hAnsi="Times New Roman" w:eastAsia="黑体" w:cs="Times New Roman"/>
          <w:b/>
          <w:color w:val="auto"/>
        </w:rPr>
      </w:pPr>
    </w:p>
    <w:p w14:paraId="434E0E3D">
      <w:pPr>
        <w:spacing w:line="500" w:lineRule="exact"/>
        <w:jc w:val="center"/>
        <w:rPr>
          <w:rFonts w:hint="default" w:ascii="Times New Roman" w:hAnsi="Times New Roman" w:eastAsia="黑体" w:cs="Times New Roman"/>
          <w:b/>
          <w:color w:val="auto"/>
        </w:rPr>
      </w:pPr>
    </w:p>
    <w:p w14:paraId="4DF9949E">
      <w:pPr>
        <w:pStyle w:val="2"/>
        <w:rPr>
          <w:rFonts w:hint="default"/>
          <w:color w:val="auto"/>
        </w:rPr>
      </w:pPr>
    </w:p>
    <w:p w14:paraId="14D763BB">
      <w:pPr>
        <w:pStyle w:val="2"/>
        <w:jc w:val="both"/>
        <w:rPr>
          <w:rFonts w:hint="default"/>
          <w:color w:val="auto"/>
        </w:rPr>
      </w:pPr>
    </w:p>
    <w:p w14:paraId="372B6384">
      <w:pPr>
        <w:spacing w:line="500" w:lineRule="exact"/>
        <w:jc w:val="center"/>
        <w:rPr>
          <w:rFonts w:hint="default" w:ascii="Times New Roman" w:hAnsi="Times New Roman" w:eastAsia="黑体" w:cs="Times New Roman"/>
          <w:b/>
          <w:color w:val="auto"/>
        </w:rPr>
      </w:pPr>
    </w:p>
    <w:p w14:paraId="1FA2E421">
      <w:pPr>
        <w:keepNext w:val="0"/>
        <w:keepLines w:val="0"/>
        <w:pageBreakBefore w:val="0"/>
        <w:widowControl/>
        <w:kinsoku/>
        <w:wordWrap/>
        <w:overflowPunct/>
        <w:topLinePunct w:val="0"/>
        <w:autoSpaceDE/>
        <w:autoSpaceDN/>
        <w:bidi w:val="0"/>
        <w:adjustRightInd/>
        <w:snapToGrid/>
        <w:spacing w:line="560" w:lineRule="exact"/>
        <w:ind w:firstLine="2584" w:firstLineChars="800"/>
        <w:jc w:val="both"/>
        <w:textAlignment w:val="auto"/>
        <w:rPr>
          <w:rFonts w:hint="default" w:ascii="Times New Roman" w:hAnsi="Times New Roman" w:eastAsia="黑体" w:cs="Times New Roman"/>
          <w:b/>
          <w:color w:val="auto"/>
        </w:rPr>
      </w:pPr>
      <w:bookmarkStart w:id="255" w:name="_Toc16498"/>
      <w:bookmarkStart w:id="256" w:name="_Toc6199"/>
      <w:bookmarkStart w:id="257" w:name="_Toc23478"/>
      <w:bookmarkStart w:id="258" w:name="_Toc3534_WPSOffice_Level1"/>
      <w:bookmarkStart w:id="259" w:name="_Toc14670_WPSOffice_Level1"/>
      <w:bookmarkStart w:id="260" w:name="_Toc5115_WPSOffice_Level1"/>
      <w:bookmarkStart w:id="261" w:name="_Toc8079"/>
      <w:r>
        <w:rPr>
          <w:rStyle w:val="19"/>
          <w:rFonts w:hint="default" w:ascii="Times New Roman" w:hAnsi="Times New Roman" w:eastAsia="黑体" w:cs="Times New Roman"/>
          <w:b w:val="0"/>
          <w:bCs/>
          <w:color w:val="auto"/>
          <w:sz w:val="32"/>
          <w:szCs w:val="40"/>
        </w:rPr>
        <w:t>第一部分  资格证明文件</w:t>
      </w:r>
      <w:bookmarkEnd w:id="255"/>
      <w:bookmarkEnd w:id="256"/>
      <w:bookmarkEnd w:id="257"/>
      <w:bookmarkEnd w:id="258"/>
      <w:bookmarkEnd w:id="259"/>
      <w:bookmarkEnd w:id="260"/>
      <w:bookmarkEnd w:id="261"/>
    </w:p>
    <w:p w14:paraId="08C27A44">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color w:val="auto"/>
          <w:sz w:val="28"/>
          <w:szCs w:val="28"/>
        </w:rPr>
      </w:pPr>
    </w:p>
    <w:p w14:paraId="10CAD7AA">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供应商应按照磋商文件第</w:t>
      </w:r>
      <w:r>
        <w:rPr>
          <w:rFonts w:hint="default" w:ascii="Times New Roman" w:hAnsi="Times New Roman" w:eastAsia="仿宋_GB2312" w:cs="Times New Roman"/>
          <w:color w:val="auto"/>
          <w:sz w:val="28"/>
          <w:szCs w:val="28"/>
          <w:lang w:val="en-US" w:eastAsia="zh-CN"/>
        </w:rPr>
        <w:t>二</w:t>
      </w:r>
      <w:r>
        <w:rPr>
          <w:rFonts w:hint="default" w:ascii="Times New Roman" w:hAnsi="Times New Roman" w:eastAsia="仿宋_GB2312" w:cs="Times New Roman"/>
          <w:color w:val="auto"/>
          <w:sz w:val="28"/>
          <w:szCs w:val="28"/>
        </w:rPr>
        <w:t>章</w:t>
      </w:r>
      <w:r>
        <w:rPr>
          <w:rFonts w:hint="default" w:ascii="Times New Roman" w:hAnsi="Times New Roman" w:eastAsia="仿宋_GB2312" w:cs="Times New Roman"/>
          <w:color w:val="auto"/>
          <w:sz w:val="28"/>
          <w:szCs w:val="28"/>
          <w:lang w:val="en-US" w:eastAsia="zh-CN"/>
        </w:rPr>
        <w:t>《资格审查表》</w:t>
      </w:r>
      <w:r>
        <w:rPr>
          <w:rFonts w:hint="default" w:ascii="Times New Roman" w:hAnsi="Times New Roman" w:eastAsia="仿宋_GB2312" w:cs="Times New Roman"/>
          <w:color w:val="auto"/>
          <w:sz w:val="28"/>
          <w:szCs w:val="28"/>
        </w:rPr>
        <w:t>所列</w:t>
      </w:r>
      <w:r>
        <w:rPr>
          <w:rFonts w:hint="default" w:ascii="Times New Roman" w:hAnsi="Times New Roman" w:eastAsia="仿宋_GB2312" w:cs="Times New Roman"/>
          <w:color w:val="auto"/>
          <w:sz w:val="28"/>
          <w:szCs w:val="28"/>
          <w:lang w:val="en-US" w:eastAsia="zh-CN"/>
        </w:rPr>
        <w:t>审查项</w:t>
      </w:r>
      <w:r>
        <w:rPr>
          <w:rFonts w:hint="default" w:ascii="Times New Roman" w:hAnsi="Times New Roman" w:eastAsia="仿宋_GB2312" w:cs="Times New Roman"/>
          <w:color w:val="auto"/>
          <w:sz w:val="28"/>
          <w:szCs w:val="28"/>
        </w:rPr>
        <w:t>逐一提供全部资格证明文件。</w:t>
      </w:r>
      <w:r>
        <w:rPr>
          <w:rFonts w:hint="default" w:ascii="Times New Roman" w:hAnsi="Times New Roman" w:eastAsia="仿宋_GB2312" w:cs="Times New Roman"/>
          <w:b/>
          <w:bCs/>
          <w:color w:val="auto"/>
          <w:sz w:val="28"/>
          <w:szCs w:val="28"/>
        </w:rPr>
        <w:t>缺少其中任何一项，其响应文件将被视为无效文件。</w:t>
      </w:r>
    </w:p>
    <w:p w14:paraId="067691E5">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其中，《法定代表人授权委托书》</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汉台区</w:t>
      </w:r>
      <w:r>
        <w:rPr>
          <w:rFonts w:hint="default" w:ascii="Times New Roman" w:hAnsi="Times New Roman" w:eastAsia="仿宋_GB2312" w:cs="Times New Roman"/>
          <w:color w:val="auto"/>
          <w:sz w:val="28"/>
          <w:szCs w:val="28"/>
        </w:rPr>
        <w:t>政府采购供应商资格承诺函》</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《中小企业声明函》</w:t>
      </w:r>
      <w:r>
        <w:rPr>
          <w:rFonts w:hint="eastAsia" w:ascii="Times New Roman" w:hAnsi="Times New Roman" w:eastAsia="仿宋_GB2312" w:cs="Times New Roman"/>
          <w:color w:val="auto"/>
          <w:sz w:val="28"/>
          <w:szCs w:val="28"/>
          <w:lang w:eastAsia="zh-CN"/>
        </w:rPr>
        <w:t>、</w:t>
      </w:r>
      <w:r>
        <w:rPr>
          <w:rFonts w:hint="eastAsia" w:ascii="微软雅黑" w:hAnsi="微软雅黑" w:eastAsia="微软雅黑" w:cs="微软雅黑"/>
          <w:b w:val="0"/>
          <w:bCs w:val="0"/>
          <w:color w:val="auto"/>
          <w:sz w:val="28"/>
          <w:szCs w:val="28"/>
          <w:lang w:eastAsia="zh-CN"/>
        </w:rPr>
        <w:t>《</w:t>
      </w:r>
      <w:r>
        <w:rPr>
          <w:rFonts w:hint="default" w:ascii="Times New Roman" w:hAnsi="Times New Roman" w:eastAsia="仿宋_GB2312" w:cs="Times New Roman"/>
          <w:b w:val="0"/>
          <w:bCs w:val="0"/>
          <w:color w:val="auto"/>
          <w:kern w:val="0"/>
          <w:sz w:val="28"/>
          <w:szCs w:val="28"/>
          <w:lang w:val="en-US" w:eastAsia="zh-CN" w:bidi="ar"/>
        </w:rPr>
        <w:t>非联合体不分包投标声明</w:t>
      </w:r>
      <w:r>
        <w:rPr>
          <w:rFonts w:hint="eastAsia" w:ascii="微软雅黑" w:hAnsi="微软雅黑" w:eastAsia="微软雅黑" w:cs="微软雅黑"/>
          <w:b w:val="0"/>
          <w:bCs w:val="0"/>
          <w:color w:val="auto"/>
          <w:sz w:val="28"/>
          <w:szCs w:val="28"/>
          <w:lang w:eastAsia="zh-CN"/>
        </w:rPr>
        <w:t>》</w:t>
      </w:r>
      <w:r>
        <w:rPr>
          <w:rFonts w:hint="default" w:ascii="Times New Roman" w:hAnsi="Times New Roman" w:eastAsia="仿宋_GB2312" w:cs="Times New Roman"/>
          <w:color w:val="auto"/>
          <w:sz w:val="28"/>
          <w:szCs w:val="28"/>
        </w:rPr>
        <w:t>须按下文给定格式填写须按下文给定格式填写，</w:t>
      </w:r>
      <w:r>
        <w:rPr>
          <w:rFonts w:hint="default" w:ascii="Times New Roman" w:hAnsi="Times New Roman" w:eastAsia="仿宋_GB2312" w:cs="Times New Roman"/>
          <w:b/>
          <w:bCs/>
          <w:color w:val="auto"/>
          <w:sz w:val="28"/>
          <w:szCs w:val="28"/>
        </w:rPr>
        <w:t>否则按无效处理。</w:t>
      </w:r>
      <w:r>
        <w:rPr>
          <w:rFonts w:hint="default" w:ascii="Times New Roman" w:hAnsi="Times New Roman" w:eastAsia="仿宋_GB2312" w:cs="Times New Roman"/>
          <w:color w:val="auto"/>
          <w:sz w:val="28"/>
          <w:szCs w:val="28"/>
        </w:rPr>
        <w:t>特别说明，法定代表人亲自参加</w:t>
      </w:r>
      <w:r>
        <w:rPr>
          <w:rFonts w:hint="default" w:ascii="Times New Roman" w:hAnsi="Times New Roman" w:eastAsia="仿宋_GB2312" w:cs="Times New Roman"/>
          <w:color w:val="auto"/>
          <w:sz w:val="28"/>
          <w:szCs w:val="28"/>
          <w:lang w:val="en-US" w:eastAsia="zh-CN"/>
        </w:rPr>
        <w:t>磋商</w:t>
      </w:r>
      <w:r>
        <w:rPr>
          <w:rFonts w:hint="default" w:ascii="Times New Roman" w:hAnsi="Times New Roman" w:eastAsia="仿宋_GB2312" w:cs="Times New Roman"/>
          <w:color w:val="auto"/>
          <w:sz w:val="28"/>
          <w:szCs w:val="28"/>
        </w:rPr>
        <w:t>的，可不提供法定代表人授权委托书，但须提供其本人身份证（正反面）复印件。</w:t>
      </w:r>
    </w:p>
    <w:p w14:paraId="0629C489">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bookmarkStart w:id="262" w:name="_Toc19075_WPSOffice_Level2"/>
      <w:bookmarkStart w:id="263" w:name="_Toc6967_WPSOffice_Level2"/>
      <w:bookmarkStart w:id="264" w:name="_Toc9954_WPSOffice_Level2"/>
      <w:bookmarkStart w:id="265" w:name="_Toc26041_WPSOffice_Level2"/>
      <w:r>
        <w:rPr>
          <w:rFonts w:hint="default" w:ascii="Times New Roman" w:hAnsi="Times New Roman" w:eastAsia="仿宋_GB2312" w:cs="Times New Roman"/>
          <w:b/>
          <w:color w:val="auto"/>
          <w:sz w:val="28"/>
          <w:szCs w:val="28"/>
        </w:rPr>
        <w:t>一、营业执照等主体资格证明文件</w:t>
      </w:r>
      <w:bookmarkEnd w:id="262"/>
      <w:bookmarkEnd w:id="263"/>
      <w:bookmarkEnd w:id="264"/>
      <w:bookmarkEnd w:id="265"/>
    </w:p>
    <w:p w14:paraId="2AEA1B69">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5492D185">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4AD305DC">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3FEE7B83">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3C0E8A6C">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45E672AF">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1086CF82">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22D1C878">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6A576006">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62D825B2">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40C907B5">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668235CA">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62D566E0">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35A8A2B3">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206E06EA">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6FEE0E1B">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0EEC4601">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665CBB3E">
      <w:pPr>
        <w:pStyle w:val="20"/>
        <w:keepNext/>
        <w:keepLines/>
        <w:pageBreakBefore w:val="0"/>
        <w:widowControl/>
        <w:kinsoku/>
        <w:wordWrap/>
        <w:overflowPunct/>
        <w:topLinePunct w:val="0"/>
        <w:autoSpaceDE/>
        <w:autoSpaceDN/>
        <w:bidi w:val="0"/>
        <w:adjustRightInd/>
        <w:snapToGrid/>
        <w:spacing w:line="560" w:lineRule="exact"/>
        <w:ind w:firstLine="606" w:firstLineChars="200"/>
        <w:jc w:val="both"/>
        <w:textAlignment w:val="auto"/>
        <w:rPr>
          <w:rFonts w:hint="default" w:ascii="Times New Roman" w:hAnsi="Times New Roman" w:eastAsia="仿宋_GB2312" w:cs="Times New Roman"/>
          <w:color w:val="auto"/>
          <w:sz w:val="30"/>
          <w:szCs w:val="30"/>
        </w:rPr>
      </w:pPr>
      <w:bookmarkStart w:id="266" w:name="_Toc14516_WPSOffice_Level2"/>
      <w:bookmarkStart w:id="267" w:name="_Toc24625_WPSOffice_Level2"/>
      <w:bookmarkStart w:id="268" w:name="_Toc13298_WPSOffice_Level2"/>
      <w:bookmarkStart w:id="269" w:name="_Toc23486_WPSOffice_Level2"/>
      <w:r>
        <w:rPr>
          <w:rFonts w:hint="default" w:ascii="Times New Roman" w:hAnsi="Times New Roman" w:eastAsia="仿宋_GB2312" w:cs="Times New Roman"/>
          <w:color w:val="auto"/>
          <w:sz w:val="30"/>
          <w:szCs w:val="30"/>
          <w:lang w:eastAsia="zh-CN"/>
        </w:rPr>
        <w:t>二</w:t>
      </w:r>
      <w:r>
        <w:rPr>
          <w:rFonts w:hint="default" w:ascii="Times New Roman" w:hAnsi="Times New Roman" w:eastAsia="仿宋_GB2312" w:cs="Times New Roman"/>
          <w:color w:val="auto"/>
          <w:sz w:val="30"/>
          <w:szCs w:val="30"/>
        </w:rPr>
        <w:t>、法定代表人授权委托书</w:t>
      </w:r>
      <w:bookmarkEnd w:id="266"/>
      <w:bookmarkEnd w:id="267"/>
      <w:bookmarkEnd w:id="268"/>
      <w:bookmarkEnd w:id="269"/>
      <w:bookmarkStart w:id="270" w:name="_Toc19993_WPSOffice_Level3"/>
    </w:p>
    <w:bookmarkEnd w:id="270"/>
    <w:p w14:paraId="7669F454">
      <w:pPr>
        <w:tabs>
          <w:tab w:val="left" w:pos="1260"/>
        </w:tabs>
        <w:spacing w:line="440" w:lineRule="exact"/>
        <w:ind w:firstLine="1938" w:firstLineChars="600"/>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color w:val="auto"/>
          <w:kern w:val="1"/>
          <w:sz w:val="32"/>
          <w:szCs w:val="32"/>
          <w:u w:val="none"/>
        </w:rPr>
        <w:t>法定代表人（或负责人）授权书</w:t>
      </w:r>
    </w:p>
    <w:p w14:paraId="75EE333C">
      <w:pPr>
        <w:tabs>
          <w:tab w:val="left" w:pos="1260"/>
        </w:tabs>
        <w:spacing w:line="240" w:lineRule="exact"/>
        <w:rPr>
          <w:rFonts w:hint="default" w:ascii="Times New Roman" w:hAnsi="Times New Roman" w:eastAsia="仿宋" w:cs="Times New Roman"/>
          <w:b/>
          <w:bCs/>
          <w:color w:val="auto"/>
          <w:sz w:val="36"/>
          <w:szCs w:val="44"/>
        </w:rPr>
      </w:pPr>
    </w:p>
    <w:tbl>
      <w:tblPr>
        <w:tblStyle w:val="12"/>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028"/>
        <w:gridCol w:w="10"/>
        <w:gridCol w:w="1559"/>
        <w:gridCol w:w="294"/>
        <w:gridCol w:w="2038"/>
        <w:gridCol w:w="2241"/>
      </w:tblGrid>
      <w:tr w14:paraId="2BB5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944" w:type="dxa"/>
            <w:gridSpan w:val="7"/>
            <w:noWrap w:val="0"/>
            <w:vAlign w:val="center"/>
          </w:tcPr>
          <w:p w14:paraId="58CB0BA1">
            <w:pPr>
              <w:tabs>
                <w:tab w:val="left" w:pos="1260"/>
              </w:tabs>
              <w:spacing w:line="440" w:lineRule="exact"/>
              <w:ind w:firstLine="135" w:firstLineChars="56"/>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致：汉台区政府采购中心</w:t>
            </w:r>
          </w:p>
        </w:tc>
      </w:tr>
      <w:tr w14:paraId="7591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74" w:type="dxa"/>
            <w:vMerge w:val="restart"/>
            <w:noWrap w:val="0"/>
            <w:vAlign w:val="center"/>
          </w:tcPr>
          <w:p w14:paraId="16BC7A58">
            <w:pPr>
              <w:tabs>
                <w:tab w:val="left" w:pos="1260"/>
              </w:tabs>
              <w:spacing w:line="36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被授权人</w:t>
            </w:r>
          </w:p>
        </w:tc>
        <w:tc>
          <w:tcPr>
            <w:tcW w:w="2038" w:type="dxa"/>
            <w:gridSpan w:val="2"/>
            <w:noWrap w:val="0"/>
            <w:vAlign w:val="center"/>
          </w:tcPr>
          <w:p w14:paraId="31D44597">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姓    名</w:t>
            </w:r>
          </w:p>
        </w:tc>
        <w:tc>
          <w:tcPr>
            <w:tcW w:w="1853" w:type="dxa"/>
            <w:gridSpan w:val="2"/>
            <w:noWrap w:val="0"/>
            <w:vAlign w:val="top"/>
          </w:tcPr>
          <w:p w14:paraId="4DA853C2">
            <w:pPr>
              <w:tabs>
                <w:tab w:val="left" w:pos="1260"/>
              </w:tabs>
              <w:spacing w:line="440" w:lineRule="exact"/>
              <w:rPr>
                <w:rFonts w:hint="default" w:ascii="Times New Roman" w:hAnsi="Times New Roman" w:eastAsia="仿宋" w:cs="Times New Roman"/>
                <w:color w:val="auto"/>
                <w:sz w:val="24"/>
              </w:rPr>
            </w:pPr>
          </w:p>
        </w:tc>
        <w:tc>
          <w:tcPr>
            <w:tcW w:w="2038" w:type="dxa"/>
            <w:noWrap w:val="0"/>
            <w:vAlign w:val="top"/>
          </w:tcPr>
          <w:p w14:paraId="728DED35">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性    别</w:t>
            </w:r>
          </w:p>
        </w:tc>
        <w:tc>
          <w:tcPr>
            <w:tcW w:w="2241" w:type="dxa"/>
            <w:noWrap w:val="0"/>
            <w:vAlign w:val="top"/>
          </w:tcPr>
          <w:p w14:paraId="6BCB35E3">
            <w:pPr>
              <w:tabs>
                <w:tab w:val="left" w:pos="1260"/>
              </w:tabs>
              <w:spacing w:line="440" w:lineRule="exact"/>
              <w:rPr>
                <w:rFonts w:hint="default" w:ascii="Times New Roman" w:hAnsi="Times New Roman" w:eastAsia="仿宋" w:cs="Times New Roman"/>
                <w:color w:val="auto"/>
                <w:sz w:val="24"/>
              </w:rPr>
            </w:pPr>
          </w:p>
        </w:tc>
      </w:tr>
      <w:tr w14:paraId="63B7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74" w:type="dxa"/>
            <w:vMerge w:val="continue"/>
            <w:noWrap w:val="0"/>
            <w:vAlign w:val="center"/>
          </w:tcPr>
          <w:p w14:paraId="22AE5A37">
            <w:pPr>
              <w:tabs>
                <w:tab w:val="left" w:pos="1260"/>
              </w:tabs>
              <w:spacing w:line="360" w:lineRule="exact"/>
              <w:jc w:val="center"/>
              <w:rPr>
                <w:rFonts w:hint="default" w:ascii="Times New Roman" w:hAnsi="Times New Roman" w:eastAsia="仿宋" w:cs="Times New Roman"/>
                <w:color w:val="auto"/>
                <w:sz w:val="24"/>
              </w:rPr>
            </w:pPr>
          </w:p>
        </w:tc>
        <w:tc>
          <w:tcPr>
            <w:tcW w:w="2038" w:type="dxa"/>
            <w:gridSpan w:val="2"/>
            <w:noWrap w:val="0"/>
            <w:vAlign w:val="center"/>
          </w:tcPr>
          <w:p w14:paraId="0C58BC55">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职    务</w:t>
            </w:r>
          </w:p>
        </w:tc>
        <w:tc>
          <w:tcPr>
            <w:tcW w:w="1853" w:type="dxa"/>
            <w:gridSpan w:val="2"/>
            <w:noWrap w:val="0"/>
            <w:vAlign w:val="top"/>
          </w:tcPr>
          <w:p w14:paraId="0A8D0049">
            <w:pPr>
              <w:tabs>
                <w:tab w:val="left" w:pos="1260"/>
              </w:tabs>
              <w:spacing w:line="440" w:lineRule="exact"/>
              <w:rPr>
                <w:rFonts w:hint="default" w:ascii="Times New Roman" w:hAnsi="Times New Roman" w:eastAsia="仿宋" w:cs="Times New Roman"/>
                <w:color w:val="auto"/>
                <w:sz w:val="24"/>
              </w:rPr>
            </w:pPr>
          </w:p>
        </w:tc>
        <w:tc>
          <w:tcPr>
            <w:tcW w:w="2038" w:type="dxa"/>
            <w:noWrap w:val="0"/>
            <w:vAlign w:val="top"/>
          </w:tcPr>
          <w:p w14:paraId="547E9036">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手机号码</w:t>
            </w:r>
          </w:p>
        </w:tc>
        <w:tc>
          <w:tcPr>
            <w:tcW w:w="2241" w:type="dxa"/>
            <w:noWrap w:val="0"/>
            <w:vAlign w:val="top"/>
          </w:tcPr>
          <w:p w14:paraId="5E30EFE2">
            <w:pPr>
              <w:tabs>
                <w:tab w:val="left" w:pos="1260"/>
              </w:tabs>
              <w:spacing w:line="440" w:lineRule="exact"/>
              <w:rPr>
                <w:rFonts w:hint="default" w:ascii="Times New Roman" w:hAnsi="Times New Roman" w:eastAsia="仿宋" w:cs="Times New Roman"/>
                <w:color w:val="auto"/>
                <w:sz w:val="24"/>
              </w:rPr>
            </w:pPr>
          </w:p>
        </w:tc>
      </w:tr>
      <w:tr w14:paraId="3A02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74" w:type="dxa"/>
            <w:vMerge w:val="continue"/>
            <w:noWrap w:val="0"/>
            <w:vAlign w:val="center"/>
          </w:tcPr>
          <w:p w14:paraId="2F81B3C0">
            <w:pPr>
              <w:tabs>
                <w:tab w:val="left" w:pos="1260"/>
              </w:tabs>
              <w:spacing w:line="360" w:lineRule="exact"/>
              <w:jc w:val="center"/>
              <w:rPr>
                <w:rFonts w:hint="default" w:ascii="Times New Roman" w:hAnsi="Times New Roman" w:eastAsia="仿宋" w:cs="Times New Roman"/>
                <w:color w:val="auto"/>
                <w:sz w:val="24"/>
              </w:rPr>
            </w:pPr>
          </w:p>
        </w:tc>
        <w:tc>
          <w:tcPr>
            <w:tcW w:w="2038" w:type="dxa"/>
            <w:gridSpan w:val="2"/>
            <w:noWrap w:val="0"/>
            <w:vAlign w:val="center"/>
          </w:tcPr>
          <w:p w14:paraId="2A824695">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联系电话</w:t>
            </w:r>
          </w:p>
        </w:tc>
        <w:tc>
          <w:tcPr>
            <w:tcW w:w="1853" w:type="dxa"/>
            <w:gridSpan w:val="2"/>
            <w:noWrap w:val="0"/>
            <w:vAlign w:val="top"/>
          </w:tcPr>
          <w:p w14:paraId="09ECDC1A">
            <w:pPr>
              <w:tabs>
                <w:tab w:val="left" w:pos="1260"/>
              </w:tabs>
              <w:spacing w:line="440" w:lineRule="exact"/>
              <w:rPr>
                <w:rFonts w:hint="default" w:ascii="Times New Roman" w:hAnsi="Times New Roman" w:eastAsia="仿宋" w:cs="Times New Roman"/>
                <w:color w:val="auto"/>
                <w:sz w:val="24"/>
              </w:rPr>
            </w:pPr>
          </w:p>
        </w:tc>
        <w:tc>
          <w:tcPr>
            <w:tcW w:w="2038" w:type="dxa"/>
            <w:noWrap w:val="0"/>
            <w:vAlign w:val="top"/>
          </w:tcPr>
          <w:p w14:paraId="6AB45104">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图文传真</w:t>
            </w:r>
          </w:p>
        </w:tc>
        <w:tc>
          <w:tcPr>
            <w:tcW w:w="2241" w:type="dxa"/>
            <w:noWrap w:val="0"/>
            <w:vAlign w:val="top"/>
          </w:tcPr>
          <w:p w14:paraId="7140BEB8">
            <w:pPr>
              <w:tabs>
                <w:tab w:val="left" w:pos="1260"/>
              </w:tabs>
              <w:spacing w:line="440" w:lineRule="exact"/>
              <w:rPr>
                <w:rFonts w:hint="default" w:ascii="Times New Roman" w:hAnsi="Times New Roman" w:eastAsia="仿宋" w:cs="Times New Roman"/>
                <w:color w:val="auto"/>
                <w:sz w:val="24"/>
              </w:rPr>
            </w:pPr>
          </w:p>
        </w:tc>
      </w:tr>
      <w:tr w14:paraId="2A96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74" w:type="dxa"/>
            <w:vMerge w:val="continue"/>
            <w:noWrap w:val="0"/>
            <w:vAlign w:val="center"/>
          </w:tcPr>
          <w:p w14:paraId="4C47D1D8">
            <w:pPr>
              <w:tabs>
                <w:tab w:val="left" w:pos="1260"/>
              </w:tabs>
              <w:spacing w:line="360" w:lineRule="exact"/>
              <w:jc w:val="center"/>
              <w:rPr>
                <w:rFonts w:hint="default" w:ascii="Times New Roman" w:hAnsi="Times New Roman" w:eastAsia="仿宋" w:cs="Times New Roman"/>
                <w:color w:val="auto"/>
                <w:sz w:val="24"/>
              </w:rPr>
            </w:pPr>
          </w:p>
        </w:tc>
        <w:tc>
          <w:tcPr>
            <w:tcW w:w="2038" w:type="dxa"/>
            <w:gridSpan w:val="2"/>
            <w:noWrap w:val="0"/>
            <w:vAlign w:val="center"/>
          </w:tcPr>
          <w:p w14:paraId="3EF35313">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通讯地址</w:t>
            </w:r>
          </w:p>
        </w:tc>
        <w:tc>
          <w:tcPr>
            <w:tcW w:w="6132" w:type="dxa"/>
            <w:gridSpan w:val="4"/>
            <w:noWrap w:val="0"/>
            <w:vAlign w:val="top"/>
          </w:tcPr>
          <w:p w14:paraId="2B1B0633">
            <w:pPr>
              <w:tabs>
                <w:tab w:val="left" w:pos="1260"/>
              </w:tabs>
              <w:spacing w:line="440" w:lineRule="exact"/>
              <w:rPr>
                <w:rFonts w:hint="default" w:ascii="Times New Roman" w:hAnsi="Times New Roman" w:eastAsia="仿宋" w:cs="Times New Roman"/>
                <w:color w:val="auto"/>
                <w:sz w:val="24"/>
              </w:rPr>
            </w:pPr>
          </w:p>
        </w:tc>
      </w:tr>
      <w:tr w14:paraId="425A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74" w:type="dxa"/>
            <w:vMerge w:val="continue"/>
            <w:noWrap w:val="0"/>
            <w:vAlign w:val="center"/>
          </w:tcPr>
          <w:p w14:paraId="085A883B">
            <w:pPr>
              <w:tabs>
                <w:tab w:val="left" w:pos="1260"/>
              </w:tabs>
              <w:spacing w:line="360" w:lineRule="exact"/>
              <w:jc w:val="center"/>
              <w:rPr>
                <w:rFonts w:hint="default" w:ascii="Times New Roman" w:hAnsi="Times New Roman" w:eastAsia="仿宋" w:cs="Times New Roman"/>
                <w:color w:val="auto"/>
                <w:sz w:val="24"/>
              </w:rPr>
            </w:pPr>
          </w:p>
        </w:tc>
        <w:tc>
          <w:tcPr>
            <w:tcW w:w="2038" w:type="dxa"/>
            <w:gridSpan w:val="2"/>
            <w:noWrap w:val="0"/>
            <w:vAlign w:val="center"/>
          </w:tcPr>
          <w:p w14:paraId="3707C36F">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网    址</w:t>
            </w:r>
          </w:p>
        </w:tc>
        <w:tc>
          <w:tcPr>
            <w:tcW w:w="6132" w:type="dxa"/>
            <w:gridSpan w:val="4"/>
            <w:noWrap w:val="0"/>
            <w:vAlign w:val="top"/>
          </w:tcPr>
          <w:p w14:paraId="2F795528">
            <w:pPr>
              <w:tabs>
                <w:tab w:val="left" w:pos="1260"/>
              </w:tabs>
              <w:spacing w:line="440" w:lineRule="exact"/>
              <w:rPr>
                <w:rFonts w:hint="default" w:ascii="Times New Roman" w:hAnsi="Times New Roman" w:eastAsia="仿宋" w:cs="Times New Roman"/>
                <w:color w:val="auto"/>
                <w:sz w:val="24"/>
              </w:rPr>
            </w:pPr>
          </w:p>
        </w:tc>
      </w:tr>
      <w:tr w14:paraId="4585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4" w:type="dxa"/>
            <w:vMerge w:val="restart"/>
            <w:noWrap w:val="0"/>
            <w:vAlign w:val="center"/>
          </w:tcPr>
          <w:p w14:paraId="25FDD289">
            <w:pPr>
              <w:tabs>
                <w:tab w:val="left" w:pos="1260"/>
              </w:tabs>
              <w:spacing w:line="32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被授权项目与内容</w:t>
            </w:r>
          </w:p>
        </w:tc>
        <w:tc>
          <w:tcPr>
            <w:tcW w:w="2028" w:type="dxa"/>
            <w:noWrap w:val="0"/>
            <w:vAlign w:val="center"/>
          </w:tcPr>
          <w:p w14:paraId="5C9B8E7C">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项目名称</w:t>
            </w:r>
          </w:p>
        </w:tc>
        <w:tc>
          <w:tcPr>
            <w:tcW w:w="6142" w:type="dxa"/>
            <w:gridSpan w:val="5"/>
            <w:noWrap w:val="0"/>
            <w:vAlign w:val="top"/>
          </w:tcPr>
          <w:p w14:paraId="6B8B50F2">
            <w:pPr>
              <w:tabs>
                <w:tab w:val="left" w:pos="1260"/>
              </w:tabs>
              <w:spacing w:line="440" w:lineRule="exact"/>
              <w:rPr>
                <w:rFonts w:hint="default" w:ascii="Times New Roman" w:hAnsi="Times New Roman" w:eastAsia="仿宋" w:cs="Times New Roman"/>
                <w:color w:val="auto"/>
                <w:sz w:val="24"/>
              </w:rPr>
            </w:pPr>
          </w:p>
        </w:tc>
      </w:tr>
      <w:tr w14:paraId="7352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4" w:type="dxa"/>
            <w:vMerge w:val="continue"/>
            <w:noWrap w:val="0"/>
            <w:vAlign w:val="center"/>
          </w:tcPr>
          <w:p w14:paraId="6A8E5E11">
            <w:pPr>
              <w:tabs>
                <w:tab w:val="left" w:pos="1260"/>
              </w:tabs>
              <w:spacing w:line="440" w:lineRule="exact"/>
              <w:jc w:val="center"/>
              <w:rPr>
                <w:rFonts w:hint="default" w:ascii="Times New Roman" w:hAnsi="Times New Roman" w:eastAsia="仿宋" w:cs="Times New Roman"/>
                <w:color w:val="auto"/>
                <w:sz w:val="24"/>
              </w:rPr>
            </w:pPr>
          </w:p>
        </w:tc>
        <w:tc>
          <w:tcPr>
            <w:tcW w:w="2028" w:type="dxa"/>
            <w:noWrap w:val="0"/>
            <w:vAlign w:val="center"/>
          </w:tcPr>
          <w:p w14:paraId="41ADC044">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文件编号</w:t>
            </w:r>
          </w:p>
        </w:tc>
        <w:tc>
          <w:tcPr>
            <w:tcW w:w="6142" w:type="dxa"/>
            <w:gridSpan w:val="5"/>
            <w:noWrap w:val="0"/>
            <w:vAlign w:val="top"/>
          </w:tcPr>
          <w:p w14:paraId="5147DAE3">
            <w:pPr>
              <w:tabs>
                <w:tab w:val="left" w:pos="1260"/>
              </w:tabs>
              <w:spacing w:line="440" w:lineRule="exact"/>
              <w:rPr>
                <w:rFonts w:hint="default" w:ascii="Times New Roman" w:hAnsi="Times New Roman" w:eastAsia="仿宋" w:cs="Times New Roman"/>
                <w:b/>
                <w:color w:val="auto"/>
                <w:sz w:val="24"/>
              </w:rPr>
            </w:pPr>
          </w:p>
        </w:tc>
      </w:tr>
      <w:tr w14:paraId="5962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74" w:type="dxa"/>
            <w:vMerge w:val="continue"/>
            <w:noWrap w:val="0"/>
            <w:vAlign w:val="center"/>
          </w:tcPr>
          <w:p w14:paraId="3B13E670">
            <w:pPr>
              <w:tabs>
                <w:tab w:val="left" w:pos="1260"/>
              </w:tabs>
              <w:spacing w:line="440" w:lineRule="exact"/>
              <w:jc w:val="center"/>
              <w:rPr>
                <w:rFonts w:hint="default" w:ascii="Times New Roman" w:hAnsi="Times New Roman" w:eastAsia="仿宋" w:cs="Times New Roman"/>
                <w:color w:val="auto"/>
                <w:sz w:val="24"/>
              </w:rPr>
            </w:pPr>
          </w:p>
        </w:tc>
        <w:tc>
          <w:tcPr>
            <w:tcW w:w="2028" w:type="dxa"/>
            <w:noWrap w:val="0"/>
            <w:vAlign w:val="center"/>
          </w:tcPr>
          <w:p w14:paraId="474D9883">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授权范围</w:t>
            </w:r>
          </w:p>
        </w:tc>
        <w:tc>
          <w:tcPr>
            <w:tcW w:w="6142" w:type="dxa"/>
            <w:gridSpan w:val="5"/>
            <w:noWrap w:val="0"/>
            <w:vAlign w:val="center"/>
          </w:tcPr>
          <w:p w14:paraId="5CF28110">
            <w:pPr>
              <w:tabs>
                <w:tab w:val="left" w:pos="1260"/>
              </w:tabs>
              <w:spacing w:line="360" w:lineRule="exact"/>
              <w:ind w:firstLine="243" w:firstLineChars="100"/>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全权办理本磋商采购项目的响应、联系、洽谈、签约、执行等具体事务，签署全部有关的文件、文书、协议及合同。</w:t>
            </w:r>
          </w:p>
        </w:tc>
      </w:tr>
      <w:tr w14:paraId="2762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774" w:type="dxa"/>
            <w:vMerge w:val="continue"/>
            <w:noWrap w:val="0"/>
            <w:vAlign w:val="center"/>
          </w:tcPr>
          <w:p w14:paraId="48BF2DDC">
            <w:pPr>
              <w:tabs>
                <w:tab w:val="left" w:pos="1260"/>
              </w:tabs>
              <w:spacing w:line="440" w:lineRule="exact"/>
              <w:jc w:val="center"/>
              <w:rPr>
                <w:rFonts w:hint="default" w:ascii="Times New Roman" w:hAnsi="Times New Roman" w:eastAsia="仿宋" w:cs="Times New Roman"/>
                <w:color w:val="auto"/>
                <w:sz w:val="24"/>
              </w:rPr>
            </w:pPr>
          </w:p>
        </w:tc>
        <w:tc>
          <w:tcPr>
            <w:tcW w:w="2028" w:type="dxa"/>
            <w:noWrap w:val="0"/>
            <w:vAlign w:val="center"/>
          </w:tcPr>
          <w:p w14:paraId="36C4C047">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法律责任</w:t>
            </w:r>
          </w:p>
        </w:tc>
        <w:tc>
          <w:tcPr>
            <w:tcW w:w="6142" w:type="dxa"/>
            <w:gridSpan w:val="5"/>
            <w:noWrap w:val="0"/>
            <w:vAlign w:val="center"/>
          </w:tcPr>
          <w:p w14:paraId="3FA8A765">
            <w:pPr>
              <w:tabs>
                <w:tab w:val="left" w:pos="1260"/>
              </w:tabs>
              <w:spacing w:line="360" w:lineRule="exact"/>
              <w:ind w:firstLine="243" w:firstLineChars="100"/>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本公司对被授权人在本项目中的签名承担全部法律责任。</w:t>
            </w:r>
          </w:p>
        </w:tc>
      </w:tr>
      <w:tr w14:paraId="79D8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4" w:type="dxa"/>
            <w:vMerge w:val="continue"/>
            <w:noWrap w:val="0"/>
            <w:vAlign w:val="center"/>
          </w:tcPr>
          <w:p w14:paraId="0BFF2422">
            <w:pPr>
              <w:tabs>
                <w:tab w:val="left" w:pos="1260"/>
              </w:tabs>
              <w:spacing w:line="440" w:lineRule="exact"/>
              <w:jc w:val="center"/>
              <w:rPr>
                <w:rFonts w:hint="default" w:ascii="Times New Roman" w:hAnsi="Times New Roman" w:eastAsia="仿宋" w:cs="Times New Roman"/>
                <w:color w:val="auto"/>
                <w:sz w:val="24"/>
              </w:rPr>
            </w:pPr>
          </w:p>
        </w:tc>
        <w:tc>
          <w:tcPr>
            <w:tcW w:w="2028" w:type="dxa"/>
            <w:noWrap w:val="0"/>
            <w:vAlign w:val="center"/>
          </w:tcPr>
          <w:p w14:paraId="75D4230C">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授权期限</w:t>
            </w:r>
          </w:p>
        </w:tc>
        <w:tc>
          <w:tcPr>
            <w:tcW w:w="6142" w:type="dxa"/>
            <w:gridSpan w:val="5"/>
            <w:noWrap w:val="0"/>
            <w:vAlign w:val="center"/>
          </w:tcPr>
          <w:p w14:paraId="2CF6CA1A">
            <w:pPr>
              <w:tabs>
                <w:tab w:val="left" w:pos="1260"/>
              </w:tabs>
              <w:spacing w:line="360" w:lineRule="exact"/>
              <w:ind w:firstLine="237" w:firstLineChars="98"/>
              <w:rPr>
                <w:rFonts w:hint="default" w:ascii="Times New Roman" w:hAnsi="Times New Roman" w:eastAsia="仿宋" w:cs="Times New Roman"/>
                <w:b/>
                <w:color w:val="auto"/>
                <w:sz w:val="24"/>
              </w:rPr>
            </w:pPr>
            <w:r>
              <w:rPr>
                <w:rFonts w:hint="default" w:ascii="Times New Roman" w:hAnsi="Times New Roman" w:eastAsia="仿宋_GB2312" w:cs="Times New Roman"/>
                <w:b/>
                <w:color w:val="auto"/>
                <w:sz w:val="24"/>
              </w:rPr>
              <w:t>本授权书自磋商大会之日计算有效期为90天。</w:t>
            </w:r>
          </w:p>
        </w:tc>
      </w:tr>
      <w:tr w14:paraId="76A9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371" w:type="dxa"/>
            <w:gridSpan w:val="4"/>
            <w:noWrap w:val="0"/>
            <w:vAlign w:val="center"/>
          </w:tcPr>
          <w:p w14:paraId="35DCAB03">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被授权人身份证复印件</w:t>
            </w:r>
          </w:p>
        </w:tc>
        <w:tc>
          <w:tcPr>
            <w:tcW w:w="4573" w:type="dxa"/>
            <w:gridSpan w:val="3"/>
            <w:noWrap w:val="0"/>
            <w:vAlign w:val="center"/>
          </w:tcPr>
          <w:p w14:paraId="132143BE">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kern w:val="1"/>
                <w:sz w:val="24"/>
              </w:rPr>
              <w:t>法定代表人（或负责人）签署栏</w:t>
            </w:r>
          </w:p>
        </w:tc>
      </w:tr>
      <w:tr w14:paraId="676C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2" w:hRule="atLeast"/>
        </w:trPr>
        <w:tc>
          <w:tcPr>
            <w:tcW w:w="4371" w:type="dxa"/>
            <w:gridSpan w:val="4"/>
            <w:vMerge w:val="restart"/>
            <w:noWrap w:val="0"/>
            <w:vAlign w:val="center"/>
          </w:tcPr>
          <w:p w14:paraId="0B281477">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kern w:val="1"/>
                <w:sz w:val="24"/>
              </w:rPr>
              <w:t>复印件正反面（粘贴处）</w:t>
            </w:r>
          </w:p>
        </w:tc>
        <w:tc>
          <w:tcPr>
            <w:tcW w:w="4573" w:type="dxa"/>
            <w:gridSpan w:val="3"/>
            <w:noWrap w:val="0"/>
            <w:vAlign w:val="center"/>
          </w:tcPr>
          <w:p w14:paraId="7DDE55E2">
            <w:pPr>
              <w:tabs>
                <w:tab w:val="left" w:pos="1260"/>
              </w:tabs>
              <w:spacing w:line="440" w:lineRule="exact"/>
              <w:jc w:val="center"/>
              <w:rPr>
                <w:rFonts w:hint="default" w:ascii="Times New Roman" w:hAnsi="Times New Roman" w:eastAsia="仿宋_GB2312" w:cs="Times New Roman"/>
                <w:color w:val="auto"/>
                <w:kern w:val="1"/>
                <w:sz w:val="24"/>
              </w:rPr>
            </w:pPr>
            <w:r>
              <w:rPr>
                <w:rFonts w:hint="default" w:ascii="Times New Roman" w:hAnsi="Times New Roman" w:eastAsia="仿宋_GB2312" w:cs="Times New Roman"/>
                <w:color w:val="auto"/>
                <w:kern w:val="1"/>
                <w:sz w:val="24"/>
              </w:rPr>
              <w:t>（法人&lt;或负责人&gt;公章）</w:t>
            </w:r>
          </w:p>
          <w:p w14:paraId="603F69E5">
            <w:pPr>
              <w:tabs>
                <w:tab w:val="left" w:pos="1260"/>
              </w:tabs>
              <w:spacing w:line="220" w:lineRule="exact"/>
              <w:jc w:val="center"/>
              <w:rPr>
                <w:rFonts w:hint="default" w:ascii="Times New Roman" w:hAnsi="Times New Roman" w:eastAsia="仿宋_GB2312" w:cs="Times New Roman"/>
                <w:color w:val="auto"/>
                <w:sz w:val="24"/>
              </w:rPr>
            </w:pPr>
          </w:p>
          <w:p w14:paraId="46037FC9">
            <w:pPr>
              <w:tabs>
                <w:tab w:val="left" w:pos="1260"/>
              </w:tabs>
              <w:spacing w:line="440" w:lineRule="exact"/>
              <w:jc w:val="right"/>
              <w:rPr>
                <w:rFonts w:hint="default" w:ascii="Times New Roman" w:hAnsi="Times New Roman" w:eastAsia="仿宋" w:cs="Times New Roman"/>
                <w:color w:val="auto"/>
                <w:sz w:val="24"/>
              </w:rPr>
            </w:pPr>
          </w:p>
        </w:tc>
      </w:tr>
      <w:tr w14:paraId="0708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7" w:hRule="atLeast"/>
        </w:trPr>
        <w:tc>
          <w:tcPr>
            <w:tcW w:w="4371" w:type="dxa"/>
            <w:gridSpan w:val="4"/>
            <w:vMerge w:val="continue"/>
            <w:noWrap w:val="0"/>
            <w:vAlign w:val="center"/>
          </w:tcPr>
          <w:p w14:paraId="7C728AEA">
            <w:pPr>
              <w:tabs>
                <w:tab w:val="left" w:pos="1260"/>
              </w:tabs>
              <w:spacing w:line="440" w:lineRule="exact"/>
              <w:jc w:val="right"/>
              <w:rPr>
                <w:rFonts w:hint="default" w:ascii="Times New Roman" w:hAnsi="Times New Roman" w:eastAsia="仿宋" w:cs="Times New Roman"/>
                <w:color w:val="auto"/>
              </w:rPr>
            </w:pPr>
          </w:p>
        </w:tc>
        <w:tc>
          <w:tcPr>
            <w:tcW w:w="4573" w:type="dxa"/>
            <w:gridSpan w:val="3"/>
            <w:noWrap w:val="0"/>
            <w:vAlign w:val="center"/>
          </w:tcPr>
          <w:p w14:paraId="1A4641A6">
            <w:pPr>
              <w:tabs>
                <w:tab w:val="left" w:pos="1260"/>
              </w:tabs>
              <w:spacing w:line="440" w:lineRule="exact"/>
              <w:jc w:val="center"/>
              <w:rPr>
                <w:rFonts w:hint="default" w:ascii="Times New Roman" w:hAnsi="Times New Roman" w:eastAsia="仿宋_GB2312" w:cs="Times New Roman"/>
                <w:color w:val="auto"/>
                <w:kern w:val="1"/>
                <w:sz w:val="24"/>
              </w:rPr>
            </w:pPr>
            <w:r>
              <w:rPr>
                <w:rFonts w:hint="default" w:ascii="Times New Roman" w:hAnsi="Times New Roman" w:eastAsia="仿宋_GB2312" w:cs="Times New Roman"/>
                <w:color w:val="auto"/>
                <w:kern w:val="1"/>
                <w:sz w:val="24"/>
              </w:rPr>
              <w:t>（法定代表人&lt;或负责人&gt;签字或盖章）</w:t>
            </w:r>
          </w:p>
          <w:p w14:paraId="203839F1">
            <w:pPr>
              <w:tabs>
                <w:tab w:val="left" w:pos="1260"/>
              </w:tabs>
              <w:spacing w:line="220" w:lineRule="exact"/>
              <w:jc w:val="center"/>
              <w:rPr>
                <w:rFonts w:hint="default" w:ascii="Times New Roman" w:hAnsi="Times New Roman" w:eastAsia="仿宋_GB2312" w:cs="Times New Roman"/>
                <w:color w:val="auto"/>
                <w:kern w:val="1"/>
                <w:sz w:val="24"/>
              </w:rPr>
            </w:pPr>
          </w:p>
          <w:p w14:paraId="496E2443">
            <w:pPr>
              <w:tabs>
                <w:tab w:val="left" w:pos="1260"/>
              </w:tabs>
              <w:spacing w:line="440" w:lineRule="exact"/>
              <w:jc w:val="right"/>
              <w:rPr>
                <w:rFonts w:hint="default" w:ascii="Times New Roman" w:hAnsi="Times New Roman" w:eastAsia="仿宋" w:cs="Times New Roman"/>
                <w:color w:val="auto"/>
                <w:sz w:val="24"/>
              </w:rPr>
            </w:pPr>
            <w:r>
              <w:rPr>
                <w:rFonts w:hint="default" w:ascii="Times New Roman" w:hAnsi="Times New Roman" w:eastAsia="仿宋_GB2312" w:cs="Times New Roman"/>
                <w:color w:val="auto"/>
                <w:kern w:val="1"/>
                <w:sz w:val="24"/>
              </w:rPr>
              <w:t>年   月   日</w:t>
            </w:r>
          </w:p>
        </w:tc>
      </w:tr>
    </w:tbl>
    <w:p w14:paraId="6E2770C5">
      <w:pPr>
        <w:spacing w:line="480" w:lineRule="exact"/>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sz w:val="24"/>
        </w:rPr>
        <w:t>重要提示：</w:t>
      </w:r>
    </w:p>
    <w:p w14:paraId="623FB7CC">
      <w:pPr>
        <w:numPr>
          <w:ilvl w:val="0"/>
          <w:numId w:val="0"/>
        </w:numPr>
        <w:tabs>
          <w:tab w:val="left" w:pos="360"/>
        </w:tabs>
        <w:autoSpaceDE w:val="0"/>
        <w:autoSpaceDN w:val="0"/>
        <w:adjustRightInd w:val="0"/>
        <w:spacing w:line="400" w:lineRule="exact"/>
        <w:ind w:left="0" w:leftChars="0" w:firstLine="310" w:firstLineChars="128"/>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2"/>
          <w:sz w:val="24"/>
          <w:szCs w:val="28"/>
          <w:lang w:val="en-US" w:eastAsia="zh-CN" w:bidi="ar-SA"/>
        </w:rPr>
        <w:t>1.</w:t>
      </w:r>
      <w:r>
        <w:rPr>
          <w:rFonts w:hint="default" w:ascii="Times New Roman" w:hAnsi="Times New Roman" w:eastAsia="仿宋_GB2312" w:cs="Times New Roman"/>
          <w:color w:val="auto"/>
          <w:sz w:val="24"/>
        </w:rPr>
        <w:t>非法定代表人响应的须有法定代表人授权，并要求响应</w:t>
      </w:r>
      <w:r>
        <w:rPr>
          <w:rFonts w:hint="default" w:ascii="Times New Roman" w:hAnsi="Times New Roman" w:eastAsia="仿宋_GB2312" w:cs="Times New Roman"/>
          <w:bCs/>
          <w:color w:val="auto"/>
          <w:sz w:val="24"/>
        </w:rPr>
        <w:t>文件正本内装订授权书</w:t>
      </w:r>
      <w:r>
        <w:rPr>
          <w:rFonts w:hint="default" w:ascii="Times New Roman" w:hAnsi="Times New Roman" w:eastAsia="仿宋_GB2312" w:cs="Times New Roman"/>
          <w:b/>
          <w:bCs w:val="0"/>
          <w:color w:val="auto"/>
          <w:sz w:val="24"/>
        </w:rPr>
        <w:t>原件</w:t>
      </w:r>
      <w:r>
        <w:rPr>
          <w:rFonts w:hint="default" w:ascii="Times New Roman" w:hAnsi="Times New Roman" w:eastAsia="仿宋_GB2312" w:cs="Times New Roman"/>
          <w:color w:val="auto"/>
          <w:sz w:val="24"/>
        </w:rPr>
        <w:t>，</w:t>
      </w:r>
      <w:r>
        <w:rPr>
          <w:rFonts w:hint="default" w:ascii="Times New Roman" w:hAnsi="Times New Roman" w:eastAsia="仿宋_GB2312" w:cs="Times New Roman"/>
          <w:bCs/>
          <w:color w:val="auto"/>
          <w:sz w:val="24"/>
        </w:rPr>
        <w:t>否则作为符合性审查不合格处理，响应文件</w:t>
      </w:r>
      <w:r>
        <w:rPr>
          <w:rFonts w:hint="default" w:ascii="Times New Roman" w:hAnsi="Times New Roman" w:eastAsia="仿宋_GB2312" w:cs="Times New Roman"/>
          <w:b/>
          <w:bCs w:val="0"/>
          <w:color w:val="auto"/>
          <w:sz w:val="24"/>
        </w:rPr>
        <w:t>自动失效</w:t>
      </w:r>
      <w:r>
        <w:rPr>
          <w:rFonts w:hint="default" w:ascii="Times New Roman" w:hAnsi="Times New Roman" w:eastAsia="仿宋_GB2312" w:cs="Times New Roman"/>
          <w:bCs/>
          <w:color w:val="auto"/>
          <w:sz w:val="24"/>
        </w:rPr>
        <w:t xml:space="preserve">。 </w:t>
      </w:r>
    </w:p>
    <w:p w14:paraId="0C718E85">
      <w:pPr>
        <w:numPr>
          <w:ilvl w:val="0"/>
          <w:numId w:val="0"/>
        </w:numPr>
        <w:tabs>
          <w:tab w:val="left" w:pos="360"/>
        </w:tabs>
        <w:autoSpaceDE w:val="0"/>
        <w:autoSpaceDN w:val="0"/>
        <w:adjustRightInd w:val="0"/>
        <w:spacing w:line="400" w:lineRule="exact"/>
        <w:ind w:left="0" w:leftChars="0" w:firstLine="310" w:firstLineChars="128"/>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2.</w:t>
      </w:r>
      <w:r>
        <w:rPr>
          <w:rFonts w:hint="default" w:ascii="Times New Roman" w:hAnsi="Times New Roman" w:eastAsia="仿宋_GB2312" w:cs="Times New Roman"/>
          <w:color w:val="auto"/>
          <w:sz w:val="24"/>
        </w:rPr>
        <w:t>本授权书有效期应自磋商大会之日计算不得少于九十天。</w:t>
      </w:r>
    </w:p>
    <w:p w14:paraId="38F04489">
      <w:pP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br w:type="page"/>
      </w:r>
    </w:p>
    <w:p w14:paraId="2ECC000F">
      <w:pPr>
        <w:pStyle w:val="20"/>
        <w:keepNext/>
        <w:keepLines/>
        <w:pageBreakBefore w:val="0"/>
        <w:widowControl/>
        <w:kinsoku/>
        <w:wordWrap/>
        <w:overflowPunct/>
        <w:topLinePunct w:val="0"/>
        <w:autoSpaceDE/>
        <w:autoSpaceDN/>
        <w:bidi w:val="0"/>
        <w:adjustRightInd/>
        <w:snapToGrid/>
        <w:spacing w:line="560" w:lineRule="exact"/>
        <w:ind w:firstLine="606" w:firstLineChars="200"/>
        <w:jc w:val="both"/>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三、</w:t>
      </w:r>
      <w:bookmarkStart w:id="271" w:name="OLE_LINK2"/>
      <w:r>
        <w:rPr>
          <w:rFonts w:hint="default" w:ascii="Times New Roman" w:hAnsi="Times New Roman" w:eastAsia="仿宋_GB2312" w:cs="Times New Roman"/>
          <w:color w:val="auto"/>
          <w:sz w:val="30"/>
          <w:szCs w:val="30"/>
          <w:lang w:val="en-US" w:eastAsia="zh-CN"/>
        </w:rPr>
        <w:t>汉台区政府采购供应商资格承诺函</w:t>
      </w:r>
      <w:bookmarkEnd w:id="271"/>
    </w:p>
    <w:p w14:paraId="26F8CC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p>
    <w:p w14:paraId="3B64A6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eastAsia="zh-CN"/>
        </w:rPr>
        <w:t>汉台区</w:t>
      </w:r>
      <w:r>
        <w:rPr>
          <w:rFonts w:hint="default" w:ascii="Times New Roman" w:hAnsi="Times New Roman" w:eastAsia="仿宋_GB2312" w:cs="Times New Roman"/>
          <w:b/>
          <w:bCs/>
          <w:color w:val="auto"/>
          <w:sz w:val="32"/>
          <w:szCs w:val="32"/>
        </w:rPr>
        <w:t>政府采购供应商资格承诺函</w:t>
      </w:r>
    </w:p>
    <w:p w14:paraId="04439BAB">
      <w:pPr>
        <w:keepNext w:val="0"/>
        <w:keepLines w:val="0"/>
        <w:pageBreakBefore w:val="0"/>
        <w:widowControl w:val="0"/>
        <w:kinsoku/>
        <w:wordWrap/>
        <w:overflowPunct/>
        <w:topLinePunct w:val="0"/>
        <w:autoSpaceDE/>
        <w:autoSpaceDN/>
        <w:bidi w:val="0"/>
        <w:adjustRightInd/>
        <w:snapToGrid/>
        <w:spacing w:line="560" w:lineRule="exact"/>
        <w:ind w:firstLine="646" w:firstLineChars="200"/>
        <w:textAlignment w:val="auto"/>
        <w:rPr>
          <w:rFonts w:hint="default" w:ascii="Times New Roman" w:hAnsi="Times New Roman" w:eastAsia="仿宋_GB2312" w:cs="Times New Roman"/>
          <w:color w:val="auto"/>
          <w:sz w:val="32"/>
          <w:szCs w:val="32"/>
        </w:rPr>
      </w:pPr>
    </w:p>
    <w:p w14:paraId="2A8E835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致：（采购人</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采购代理机构名称）</w:t>
      </w:r>
    </w:p>
    <w:p w14:paraId="7289159E">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b/>
          <w:bCs/>
          <w:color w:val="auto"/>
          <w:sz w:val="28"/>
          <w:szCs w:val="28"/>
          <w:lang w:eastAsia="zh-CN"/>
        </w:rPr>
        <w:t>响应</w:t>
      </w:r>
      <w:r>
        <w:rPr>
          <w:rFonts w:hint="default" w:ascii="Times New Roman" w:hAnsi="Times New Roman" w:eastAsia="仿宋_GB2312" w:cs="Times New Roman"/>
          <w:b/>
          <w:bCs/>
          <w:color w:val="auto"/>
          <w:sz w:val="28"/>
          <w:szCs w:val="28"/>
        </w:rPr>
        <w:t>人名称）郑重承诺：</w:t>
      </w:r>
    </w:p>
    <w:p w14:paraId="0818FBD7">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1.我方具有良好的商业信誉和健全的财务会计制度，具有履行合同所必需的设备和专业技术能力，具有依法缴纳税收和社会保障金的良好记录，参加本项目采购活动前三年内无重大违法活动记录。</w:t>
      </w:r>
    </w:p>
    <w:p w14:paraId="4205CD1B">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2.我方未列入在信用中国网站“失信被执行人”、“重大税收违法案件当事人名单”中（www.creditchina.gov.cn），也未列入中国政府采购网“政府采购严重违法失信行为记录名单”中（www.ccgp.g</w:t>
      </w:r>
      <w:r>
        <w:rPr>
          <w:rFonts w:hint="default" w:ascii="Times New Roman" w:hAnsi="Times New Roman" w:eastAsia="仿宋_GB2312" w:cs="Times New Roman"/>
          <w:color w:val="auto"/>
          <w:sz w:val="28"/>
          <w:szCs w:val="28"/>
          <w:lang w:val="en-US" w:eastAsia="zh-CN"/>
        </w:rPr>
        <w:t>o</w:t>
      </w:r>
      <w:r>
        <w:rPr>
          <w:rFonts w:hint="default" w:ascii="Times New Roman" w:hAnsi="Times New Roman" w:eastAsia="仿宋_GB2312" w:cs="Times New Roman"/>
          <w:color w:val="auto"/>
          <w:sz w:val="28"/>
          <w:szCs w:val="28"/>
        </w:rPr>
        <w:t>v.cn）</w:t>
      </w:r>
      <w:r>
        <w:rPr>
          <w:rFonts w:hint="default" w:ascii="Times New Roman" w:hAnsi="Times New Roman" w:eastAsia="仿宋_GB2312" w:cs="Times New Roman"/>
          <w:color w:val="auto"/>
          <w:sz w:val="28"/>
          <w:szCs w:val="28"/>
          <w:lang w:eastAsia="zh-CN"/>
        </w:rPr>
        <w:t>。</w:t>
      </w:r>
    </w:p>
    <w:p w14:paraId="2DA63ABF">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3.我方在采购项目评审（评标）环节结束后，随时接受采购人</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采购代理机构的检查验证，配合提供相关证明材料，证明符合《中华人民共和国政府采购法》规定的</w:t>
      </w:r>
      <w:r>
        <w:rPr>
          <w:rFonts w:hint="eastAsia" w:ascii="Times New Roman" w:hAnsi="Times New Roman" w:eastAsia="仿宋_GB2312" w:cs="Times New Roman"/>
          <w:color w:val="auto"/>
          <w:sz w:val="28"/>
          <w:szCs w:val="28"/>
          <w:lang w:eastAsia="zh-CN"/>
        </w:rPr>
        <w:t>响应人</w:t>
      </w:r>
      <w:r>
        <w:rPr>
          <w:rFonts w:hint="default" w:ascii="Times New Roman" w:hAnsi="Times New Roman" w:eastAsia="仿宋_GB2312" w:cs="Times New Roman"/>
          <w:color w:val="auto"/>
          <w:sz w:val="28"/>
          <w:szCs w:val="28"/>
        </w:rPr>
        <w:t>基本资格条件。</w:t>
      </w:r>
    </w:p>
    <w:p w14:paraId="00711670">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我方对以上承诺负全部法律责任。</w:t>
      </w:r>
    </w:p>
    <w:p w14:paraId="6BF6CF74">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p>
    <w:p w14:paraId="2DC81ADF">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特此承诺。</w:t>
      </w:r>
    </w:p>
    <w:p w14:paraId="664018A9">
      <w:pPr>
        <w:keepNext w:val="0"/>
        <w:keepLines w:val="0"/>
        <w:pageBreakBefore w:val="0"/>
        <w:widowControl w:val="0"/>
        <w:kinsoku/>
        <w:wordWrap w:val="0"/>
        <w:overflowPunct/>
        <w:topLinePunct w:val="0"/>
        <w:autoSpaceDE/>
        <w:autoSpaceDN/>
        <w:bidi w:val="0"/>
        <w:adjustRightInd/>
        <w:snapToGrid/>
        <w:spacing w:line="560" w:lineRule="exact"/>
        <w:ind w:firstLine="566" w:firstLineChars="200"/>
        <w:jc w:val="righ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响应</w:t>
      </w:r>
      <w:r>
        <w:rPr>
          <w:rFonts w:hint="default" w:ascii="Times New Roman" w:hAnsi="Times New Roman" w:eastAsia="仿宋_GB2312" w:cs="Times New Roman"/>
          <w:color w:val="auto"/>
          <w:sz w:val="28"/>
          <w:szCs w:val="28"/>
        </w:rPr>
        <w:t>人公章）</w:t>
      </w:r>
      <w:r>
        <w:rPr>
          <w:rFonts w:hint="default" w:ascii="Times New Roman" w:hAnsi="Times New Roman" w:eastAsia="仿宋_GB2312" w:cs="Times New Roman"/>
          <w:color w:val="auto"/>
          <w:sz w:val="28"/>
          <w:szCs w:val="28"/>
          <w:lang w:val="en-US" w:eastAsia="zh-CN"/>
        </w:rPr>
        <w:t xml:space="preserve">     </w:t>
      </w:r>
    </w:p>
    <w:p w14:paraId="49D057C6">
      <w:pPr>
        <w:keepNext w:val="0"/>
        <w:keepLines w:val="0"/>
        <w:pageBreakBefore w:val="0"/>
        <w:widowControl w:val="0"/>
        <w:kinsoku/>
        <w:wordWrap w:val="0"/>
        <w:overflowPunct/>
        <w:topLinePunct w:val="0"/>
        <w:autoSpaceDE/>
        <w:autoSpaceDN/>
        <w:bidi w:val="0"/>
        <w:adjustRightInd/>
        <w:snapToGrid/>
        <w:spacing w:line="560" w:lineRule="exact"/>
        <w:ind w:firstLine="566" w:firstLineChars="200"/>
        <w:jc w:val="righ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日期：</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日</w:t>
      </w:r>
      <w:r>
        <w:rPr>
          <w:rFonts w:hint="default" w:ascii="Times New Roman" w:hAnsi="Times New Roman" w:eastAsia="仿宋_GB2312" w:cs="Times New Roman"/>
          <w:color w:val="auto"/>
          <w:sz w:val="28"/>
          <w:szCs w:val="28"/>
          <w:lang w:val="en-US" w:eastAsia="zh-CN"/>
        </w:rPr>
        <w:t xml:space="preserve">  </w:t>
      </w:r>
    </w:p>
    <w:p w14:paraId="51EDA97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kern w:val="2"/>
          <w:sz w:val="32"/>
          <w:szCs w:val="32"/>
          <w:lang w:val="en-US" w:eastAsia="zh-CN" w:bidi="ar-SA"/>
        </w:rPr>
      </w:pPr>
    </w:p>
    <w:p w14:paraId="272BB86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kern w:val="2"/>
          <w:sz w:val="32"/>
          <w:szCs w:val="32"/>
          <w:lang w:val="en-US" w:eastAsia="zh-CN" w:bidi="ar-SA"/>
        </w:rPr>
      </w:pPr>
    </w:p>
    <w:p w14:paraId="740CF17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kern w:val="2"/>
          <w:sz w:val="32"/>
          <w:szCs w:val="32"/>
          <w:lang w:val="en-US" w:eastAsia="zh-CN" w:bidi="ar-SA"/>
        </w:rPr>
      </w:pPr>
    </w:p>
    <w:p w14:paraId="37A347B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kern w:val="2"/>
          <w:sz w:val="32"/>
          <w:szCs w:val="32"/>
          <w:lang w:val="en-US" w:eastAsia="zh-CN" w:bidi="ar-SA"/>
        </w:rPr>
      </w:pPr>
    </w:p>
    <w:p w14:paraId="3DDC59A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四、特定资格要求：（</w:t>
      </w:r>
      <w:r>
        <w:rPr>
          <w:rFonts w:hint="default" w:ascii="Times New Roman" w:hAnsi="Times New Roman" w:eastAsia="仿宋_GB2312" w:cs="Times New Roman"/>
          <w:b/>
          <w:bCs w:val="0"/>
          <w:color w:val="auto"/>
          <w:sz w:val="32"/>
          <w:szCs w:val="32"/>
          <w:lang w:val="en-US" w:eastAsia="zh-CN"/>
        </w:rPr>
        <w:t>原件或</w:t>
      </w:r>
      <w:r>
        <w:rPr>
          <w:rFonts w:hint="default" w:ascii="Times New Roman" w:hAnsi="Times New Roman" w:eastAsia="仿宋_GB2312" w:cs="Times New Roman"/>
          <w:b/>
          <w:bCs w:val="0"/>
          <w:color w:val="auto"/>
          <w:kern w:val="1"/>
          <w:sz w:val="32"/>
          <w:szCs w:val="32"/>
          <w:lang w:eastAsia="zh-CN"/>
        </w:rPr>
        <w:t>复印件加盖响应人红色公章</w:t>
      </w:r>
      <w:r>
        <w:rPr>
          <w:rFonts w:hint="default" w:ascii="Times New Roman" w:hAnsi="Times New Roman" w:eastAsia="仿宋_GB2312" w:cs="Times New Roman"/>
          <w:b/>
          <w:bCs/>
          <w:color w:val="auto"/>
          <w:kern w:val="2"/>
          <w:sz w:val="32"/>
          <w:szCs w:val="32"/>
          <w:lang w:val="en-US" w:eastAsia="zh-CN" w:bidi="ar-SA"/>
        </w:rPr>
        <w:t>）</w:t>
      </w:r>
    </w:p>
    <w:p w14:paraId="6AAAA7EE">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Times New Roman" w:hAnsi="Times New Roman" w:eastAsia="仿宋_GB2312" w:cs="Times New Roman"/>
          <w:b/>
          <w:bCs/>
          <w:color w:val="auto"/>
          <w:sz w:val="28"/>
          <w:szCs w:val="28"/>
          <w:lang w:eastAsia="zh-CN"/>
        </w:rPr>
      </w:pPr>
    </w:p>
    <w:p w14:paraId="64B7C87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b w:val="0"/>
          <w:bCs w:val="0"/>
          <w:color w:val="auto"/>
          <w:sz w:val="28"/>
          <w:szCs w:val="28"/>
          <w:lang w:eastAsia="zh-CN"/>
        </w:rPr>
      </w:pPr>
      <w:r>
        <w:rPr>
          <w:rFonts w:hint="eastAsia" w:ascii="Times New Roman" w:hAnsi="Times New Roman" w:eastAsia="仿宋_GB2312" w:cs="Times New Roman"/>
          <w:b w:val="0"/>
          <w:bCs w:val="0"/>
          <w:color w:val="auto"/>
          <w:sz w:val="28"/>
          <w:szCs w:val="28"/>
          <w:lang w:eastAsia="zh-CN"/>
        </w:rPr>
        <w:t>供应商资质要求：供应商提供公安机关颁发的保安服务许可证。</w:t>
      </w:r>
    </w:p>
    <w:p w14:paraId="26C00696">
      <w:pPr>
        <w:ind w:firstLine="649"/>
        <w:rPr>
          <w:rFonts w:hint="eastAsia" w:ascii="仿宋_GB2312" w:hAnsi="仿宋_GB2312" w:eastAsia="仿宋_GB2312" w:cs="仿宋_GB2312"/>
          <w:b/>
          <w:bCs/>
          <w:color w:val="auto"/>
          <w:sz w:val="32"/>
          <w:szCs w:val="32"/>
        </w:rPr>
      </w:pPr>
    </w:p>
    <w:p w14:paraId="0D912B09">
      <w:pPr>
        <w:keepNext w:val="0"/>
        <w:keepLines w:val="0"/>
        <w:widowControl/>
        <w:suppressLineNumbers w:val="0"/>
        <w:jc w:val="left"/>
        <w:rPr>
          <w:rFonts w:hint="eastAsia" w:ascii="Times New Roman" w:hAnsi="Times New Roman" w:eastAsia="仿宋_GB2312" w:cs="Times New Roman"/>
          <w:b/>
          <w:bCs/>
          <w:color w:val="auto"/>
          <w:kern w:val="0"/>
          <w:sz w:val="30"/>
          <w:szCs w:val="30"/>
          <w:lang w:val="en-US" w:eastAsia="zh-CN" w:bidi="ar"/>
        </w:rPr>
      </w:pPr>
    </w:p>
    <w:p w14:paraId="4DFE0791">
      <w:pPr>
        <w:keepNext w:val="0"/>
        <w:keepLines w:val="0"/>
        <w:widowControl/>
        <w:suppressLineNumbers w:val="0"/>
        <w:jc w:val="left"/>
        <w:rPr>
          <w:rFonts w:hint="default" w:ascii="Times New Roman" w:hAnsi="Times New Roman" w:cs="Times New Roman"/>
          <w:color w:val="auto"/>
        </w:rPr>
      </w:pPr>
      <w:r>
        <w:rPr>
          <w:rFonts w:hint="eastAsia" w:ascii="Times New Roman" w:hAnsi="Times New Roman" w:eastAsia="仿宋_GB2312" w:cs="Times New Roman"/>
          <w:b/>
          <w:bCs/>
          <w:color w:val="auto"/>
          <w:kern w:val="0"/>
          <w:sz w:val="32"/>
          <w:szCs w:val="32"/>
          <w:lang w:val="en-US" w:eastAsia="zh-CN" w:bidi="ar"/>
        </w:rPr>
        <w:t>五</w:t>
      </w:r>
      <w:r>
        <w:rPr>
          <w:rFonts w:hint="default" w:ascii="Times New Roman" w:hAnsi="Times New Roman" w:eastAsia="仿宋_GB2312" w:cs="Times New Roman"/>
          <w:b/>
          <w:bCs/>
          <w:color w:val="auto"/>
          <w:kern w:val="0"/>
          <w:sz w:val="30"/>
          <w:szCs w:val="30"/>
          <w:lang w:val="en-US" w:eastAsia="zh-CN" w:bidi="ar"/>
        </w:rPr>
        <w:t xml:space="preserve">、本项目不接受联合体投标，不允许分包 </w:t>
      </w:r>
    </w:p>
    <w:p w14:paraId="7E36BA98">
      <w:pPr>
        <w:keepNext w:val="0"/>
        <w:keepLines w:val="0"/>
        <w:widowControl/>
        <w:suppressLineNumbers w:val="0"/>
        <w:ind w:firstLine="1415" w:firstLineChars="500"/>
        <w:jc w:val="left"/>
        <w:rPr>
          <w:rFonts w:hint="default" w:ascii="Times New Roman" w:hAnsi="Times New Roman" w:eastAsia="仿宋_GB2312" w:cs="Times New Roman"/>
          <w:b/>
          <w:bCs/>
          <w:color w:val="auto"/>
          <w:kern w:val="0"/>
          <w:sz w:val="28"/>
          <w:szCs w:val="28"/>
          <w:lang w:val="en-US" w:eastAsia="zh-CN" w:bidi="ar"/>
        </w:rPr>
      </w:pPr>
    </w:p>
    <w:p w14:paraId="3B192C79">
      <w:pPr>
        <w:keepNext w:val="0"/>
        <w:keepLines w:val="0"/>
        <w:widowControl/>
        <w:suppressLineNumbers w:val="0"/>
        <w:ind w:firstLine="1981" w:firstLineChars="700"/>
        <w:jc w:val="both"/>
        <w:rPr>
          <w:rFonts w:hint="default" w:ascii="Times New Roman" w:hAnsi="Times New Roman" w:eastAsia="仿宋_GB2312" w:cs="Times New Roman"/>
          <w:b/>
          <w:bCs/>
          <w:color w:val="auto"/>
          <w:kern w:val="0"/>
          <w:sz w:val="28"/>
          <w:szCs w:val="28"/>
          <w:lang w:val="en-US" w:eastAsia="zh-CN" w:bidi="ar"/>
        </w:rPr>
      </w:pPr>
    </w:p>
    <w:p w14:paraId="46D3B0BA">
      <w:pPr>
        <w:keepNext w:val="0"/>
        <w:keepLines w:val="0"/>
        <w:widowControl/>
        <w:suppressLineNumbers w:val="0"/>
        <w:ind w:firstLine="1981" w:firstLineChars="700"/>
        <w:jc w:val="both"/>
        <w:rPr>
          <w:rFonts w:hint="default" w:ascii="Times New Roman" w:hAnsi="Times New Roman" w:cs="Times New Roman"/>
          <w:color w:val="auto"/>
          <w:sz w:val="28"/>
          <w:szCs w:val="28"/>
        </w:rPr>
      </w:pPr>
      <w:r>
        <w:rPr>
          <w:rFonts w:hint="default" w:ascii="Times New Roman" w:hAnsi="Times New Roman" w:eastAsia="仿宋_GB2312" w:cs="Times New Roman"/>
          <w:b/>
          <w:bCs/>
          <w:color w:val="auto"/>
          <w:kern w:val="0"/>
          <w:sz w:val="28"/>
          <w:szCs w:val="28"/>
          <w:lang w:val="en-US" w:eastAsia="zh-CN" w:bidi="ar"/>
        </w:rPr>
        <w:t>非联合体不分包投标声明（格式）</w:t>
      </w:r>
    </w:p>
    <w:p w14:paraId="6EDE6740">
      <w:pPr>
        <w:keepNext w:val="0"/>
        <w:keepLines w:val="0"/>
        <w:widowControl/>
        <w:suppressLineNumbers w:val="0"/>
        <w:ind w:firstLine="566" w:firstLineChars="200"/>
        <w:jc w:val="left"/>
        <w:rPr>
          <w:rFonts w:hint="default" w:ascii="Times New Roman" w:hAnsi="Times New Roman" w:eastAsia="仿宋_GB2312" w:cs="Times New Roman"/>
          <w:color w:val="auto"/>
          <w:kern w:val="0"/>
          <w:sz w:val="28"/>
          <w:szCs w:val="28"/>
          <w:lang w:val="en-US" w:eastAsia="zh-CN" w:bidi="ar"/>
        </w:rPr>
      </w:pPr>
    </w:p>
    <w:p w14:paraId="2F139AD8">
      <w:pPr>
        <w:keepNext w:val="0"/>
        <w:keepLines w:val="0"/>
        <w:widowControl/>
        <w:suppressLineNumbers w:val="0"/>
        <w:ind w:firstLine="566" w:firstLineChars="200"/>
        <w:jc w:val="left"/>
        <w:rPr>
          <w:rFonts w:hint="default" w:ascii="Times New Roman" w:hAnsi="Times New Roman" w:cs="Times New Roman"/>
          <w:color w:val="auto"/>
        </w:rPr>
      </w:pPr>
      <w:r>
        <w:rPr>
          <w:rFonts w:hint="default" w:ascii="Times New Roman" w:hAnsi="Times New Roman" w:eastAsia="仿宋_GB2312" w:cs="Times New Roman"/>
          <w:color w:val="auto"/>
          <w:kern w:val="0"/>
          <w:sz w:val="28"/>
          <w:szCs w:val="28"/>
          <w:lang w:val="en-US" w:eastAsia="zh-CN" w:bidi="ar"/>
        </w:rPr>
        <w:t>本单位郑重声明，参加</w:t>
      </w:r>
      <w:r>
        <w:rPr>
          <w:rFonts w:hint="eastAsia" w:ascii="Times New Roman" w:hAnsi="Times New Roman" w:eastAsia="仿宋_GB2312" w:cs="Times New Roman"/>
          <w:color w:val="auto"/>
          <w:kern w:val="0"/>
          <w:sz w:val="28"/>
          <w:szCs w:val="28"/>
          <w:lang w:val="en-US" w:eastAsia="zh-CN" w:bidi="ar"/>
        </w:rPr>
        <w:t>汉中市汉台区</w:t>
      </w:r>
      <w:r>
        <w:rPr>
          <w:rFonts w:hint="default" w:ascii="Times New Roman" w:hAnsi="Times New Roman" w:eastAsia="仿宋_GB2312" w:cs="Times New Roman"/>
          <w:color w:val="auto"/>
          <w:kern w:val="0"/>
          <w:sz w:val="28"/>
          <w:szCs w:val="28"/>
          <w:lang w:val="en-US" w:eastAsia="zh-CN" w:bidi="ar"/>
        </w:rPr>
        <w:t xml:space="preserve">政府采购中心的项目名称（项目编号：         ）第     标段采购活动，为非联合体投标，本项目实施过程由本单位独立承担。 </w:t>
      </w:r>
    </w:p>
    <w:p w14:paraId="541E088A">
      <w:pPr>
        <w:keepNext w:val="0"/>
        <w:keepLines w:val="0"/>
        <w:widowControl/>
        <w:suppressLineNumbers w:val="0"/>
        <w:ind w:firstLine="566" w:firstLineChars="200"/>
        <w:jc w:val="left"/>
        <w:rPr>
          <w:rFonts w:hint="default" w:ascii="Times New Roman" w:hAnsi="Times New Roman" w:cs="Times New Roman"/>
          <w:color w:val="auto"/>
        </w:rPr>
      </w:pPr>
      <w:r>
        <w:rPr>
          <w:rFonts w:hint="default" w:ascii="Times New Roman" w:hAnsi="Times New Roman" w:eastAsia="仿宋_GB2312" w:cs="Times New Roman"/>
          <w:color w:val="auto"/>
          <w:kern w:val="0"/>
          <w:sz w:val="28"/>
          <w:szCs w:val="28"/>
          <w:lang w:val="en-US" w:eastAsia="zh-CN" w:bidi="ar"/>
        </w:rPr>
        <w:t xml:space="preserve">本单位对上述声明的真实性负责。如有虚假，将依法承担相应责任。 </w:t>
      </w:r>
    </w:p>
    <w:p w14:paraId="59D7E2BE">
      <w:pPr>
        <w:keepNext w:val="0"/>
        <w:keepLines w:val="0"/>
        <w:widowControl/>
        <w:suppressLineNumbers w:val="0"/>
        <w:jc w:val="left"/>
        <w:rPr>
          <w:rFonts w:hint="default" w:ascii="Times New Roman" w:hAnsi="Times New Roman" w:eastAsia="仿宋_GB2312" w:cs="Times New Roman"/>
          <w:color w:val="auto"/>
          <w:kern w:val="0"/>
          <w:sz w:val="28"/>
          <w:szCs w:val="28"/>
          <w:lang w:val="en-US" w:eastAsia="zh-CN" w:bidi="ar"/>
        </w:rPr>
      </w:pPr>
    </w:p>
    <w:p w14:paraId="76A21D7B">
      <w:pPr>
        <w:keepNext w:val="0"/>
        <w:keepLines w:val="0"/>
        <w:widowControl/>
        <w:suppressLineNumbers w:val="0"/>
        <w:ind w:firstLine="4811" w:firstLineChars="1700"/>
        <w:jc w:val="left"/>
        <w:rPr>
          <w:rFonts w:hint="default" w:ascii="Times New Roman" w:hAnsi="Times New Roman" w:cs="Times New Roman"/>
          <w:color w:val="auto"/>
        </w:rPr>
      </w:pPr>
      <w:r>
        <w:rPr>
          <w:rFonts w:hint="default" w:ascii="Times New Roman" w:hAnsi="Times New Roman" w:eastAsia="仿宋_GB2312" w:cs="Times New Roman"/>
          <w:color w:val="auto"/>
          <w:kern w:val="0"/>
          <w:sz w:val="28"/>
          <w:szCs w:val="28"/>
          <w:lang w:val="en-US" w:eastAsia="zh-CN" w:bidi="ar"/>
        </w:rPr>
        <w:t xml:space="preserve">响应人：名称（加盖公章） </w:t>
      </w:r>
    </w:p>
    <w:p w14:paraId="6815D96A">
      <w:pPr>
        <w:keepNext w:val="0"/>
        <w:keepLines w:val="0"/>
        <w:widowControl/>
        <w:suppressLineNumbers w:val="0"/>
        <w:ind w:firstLine="5094" w:firstLineChars="1800"/>
        <w:jc w:val="left"/>
        <w:rPr>
          <w:rFonts w:hint="default" w:ascii="Times New Roman" w:hAnsi="Times New Roman" w:cs="Times New Roman"/>
          <w:color w:val="auto"/>
        </w:rPr>
      </w:pPr>
      <w:r>
        <w:rPr>
          <w:rFonts w:hint="default" w:ascii="Times New Roman" w:hAnsi="Times New Roman" w:eastAsia="仿宋_GB2312" w:cs="Times New Roman"/>
          <w:color w:val="auto"/>
          <w:kern w:val="0"/>
          <w:sz w:val="28"/>
          <w:szCs w:val="28"/>
          <w:lang w:val="en-US" w:eastAsia="zh-CN" w:bidi="ar"/>
        </w:rPr>
        <w:t xml:space="preserve">日期：   年  月  日 </w:t>
      </w:r>
    </w:p>
    <w:p w14:paraId="5507CF8C">
      <w:pPr>
        <w:keepNext w:val="0"/>
        <w:keepLines w:val="0"/>
        <w:widowControl/>
        <w:suppressLineNumbers w:val="0"/>
        <w:jc w:val="left"/>
        <w:rPr>
          <w:rFonts w:hint="default" w:ascii="Times New Roman" w:hAnsi="Times New Roman" w:eastAsia="仿宋_GB2312" w:cs="Times New Roman"/>
          <w:color w:val="auto"/>
          <w:kern w:val="0"/>
          <w:sz w:val="24"/>
          <w:szCs w:val="24"/>
          <w:lang w:val="en-US" w:eastAsia="zh-CN" w:bidi="ar"/>
        </w:rPr>
      </w:pPr>
    </w:p>
    <w:p w14:paraId="30A15C59">
      <w:pPr>
        <w:keepNext w:val="0"/>
        <w:keepLines w:val="0"/>
        <w:widowControl/>
        <w:suppressLineNumbers w:val="0"/>
        <w:jc w:val="left"/>
        <w:rPr>
          <w:rFonts w:hint="default" w:ascii="Times New Roman" w:hAnsi="Times New Roman" w:eastAsia="黑体" w:cs="Times New Roman"/>
          <w:b w:val="0"/>
          <w:color w:val="auto"/>
          <w:sz w:val="32"/>
          <w:szCs w:val="32"/>
        </w:rPr>
      </w:pPr>
      <w:r>
        <w:rPr>
          <w:rFonts w:hint="default" w:ascii="Times New Roman" w:hAnsi="Times New Roman" w:eastAsia="仿宋_GB2312" w:cs="Times New Roman"/>
          <w:color w:val="auto"/>
          <w:kern w:val="0"/>
          <w:sz w:val="24"/>
          <w:szCs w:val="24"/>
          <w:lang w:val="en-US" w:eastAsia="zh-CN" w:bidi="ar"/>
        </w:rPr>
        <w:t>备注：项目不分标段的，第___标段空白处填写“/”。</w:t>
      </w:r>
    </w:p>
    <w:p w14:paraId="06716F32">
      <w:pPr>
        <w:ind w:firstLine="64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p>
    <w:p w14:paraId="48C38803">
      <w:pPr>
        <w:numPr>
          <w:ilvl w:val="0"/>
          <w:numId w:val="0"/>
        </w:numPr>
        <w:spacing w:line="560" w:lineRule="exac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落实政府采购政策需满足的资格要求</w:t>
      </w:r>
    </w:p>
    <w:p w14:paraId="76749B7E">
      <w:pPr>
        <w:keepNext w:val="0"/>
        <w:keepLines w:val="0"/>
        <w:widowControl/>
        <w:suppressLineNumbers w:val="0"/>
        <w:ind w:firstLine="566" w:firstLineChars="200"/>
        <w:jc w:val="left"/>
        <w:rPr>
          <w:rFonts w:hint="default" w:ascii="Times New Roman" w:hAnsi="Times New Roman" w:cs="Times New Roman"/>
          <w:color w:val="auto"/>
        </w:rPr>
      </w:pPr>
      <w:r>
        <w:rPr>
          <w:rFonts w:hint="default" w:ascii="Times New Roman" w:hAnsi="Times New Roman" w:eastAsia="华文仿宋" w:cs="Times New Roman"/>
          <w:color w:val="auto"/>
          <w:kern w:val="0"/>
          <w:sz w:val="28"/>
          <w:szCs w:val="28"/>
          <w:lang w:val="en-US" w:eastAsia="zh-CN" w:bidi="ar"/>
        </w:rPr>
        <w:t>本项目为专门面向中小企业项目，</w:t>
      </w:r>
      <w:r>
        <w:rPr>
          <w:rFonts w:hint="eastAsia" w:ascii="Times New Roman" w:hAnsi="Times New Roman" w:cs="Times New Roman"/>
          <w:color w:val="auto"/>
          <w:kern w:val="0"/>
          <w:sz w:val="28"/>
          <w:szCs w:val="28"/>
          <w:lang w:val="en-US" w:eastAsia="zh-CN" w:bidi="ar"/>
        </w:rPr>
        <w:t>响应人</w:t>
      </w:r>
      <w:r>
        <w:rPr>
          <w:rFonts w:hint="default" w:ascii="Times New Roman" w:hAnsi="Times New Roman" w:eastAsia="华文仿宋" w:cs="Times New Roman"/>
          <w:color w:val="auto"/>
          <w:kern w:val="0"/>
          <w:sz w:val="28"/>
          <w:szCs w:val="28"/>
          <w:lang w:val="en-US" w:eastAsia="zh-CN" w:bidi="ar"/>
        </w:rPr>
        <w:t>应为中型、小型、微型企业或监狱企业或残疾人福利性单位。</w:t>
      </w:r>
      <w:r>
        <w:rPr>
          <w:rFonts w:hint="eastAsia" w:ascii="Times New Roman" w:hAnsi="Times New Roman" w:cs="Times New Roman"/>
          <w:color w:val="auto"/>
          <w:kern w:val="0"/>
          <w:sz w:val="28"/>
          <w:szCs w:val="28"/>
          <w:lang w:val="en-US" w:eastAsia="zh-CN" w:bidi="ar"/>
        </w:rPr>
        <w:t>响应人</w:t>
      </w:r>
      <w:r>
        <w:rPr>
          <w:rFonts w:hint="default" w:ascii="Times New Roman" w:hAnsi="Times New Roman" w:eastAsia="华文仿宋" w:cs="Times New Roman"/>
          <w:color w:val="auto"/>
          <w:kern w:val="0"/>
          <w:sz w:val="28"/>
          <w:szCs w:val="28"/>
          <w:lang w:val="en-US" w:eastAsia="zh-CN" w:bidi="ar"/>
        </w:rPr>
        <w:t>为中小型企业的提供《中小企业声明函》，且中小企业的划分标准所属行业为</w:t>
      </w:r>
      <w:r>
        <w:rPr>
          <w:rFonts w:hint="eastAsia" w:ascii="仿宋_GB2312" w:hAnsi="仿宋_GB2312" w:eastAsia="仿宋_GB2312" w:cs="仿宋_GB2312"/>
          <w:b/>
          <w:bCs/>
          <w:color w:val="auto"/>
          <w:lang w:eastAsia="zh-CN"/>
        </w:rPr>
        <w:t>租赁和商务</w:t>
      </w:r>
      <w:r>
        <w:rPr>
          <w:rFonts w:hint="eastAsia" w:ascii="仿宋_GB2312" w:hAnsi="仿宋_GB2312" w:eastAsia="仿宋_GB2312" w:cs="仿宋_GB2312"/>
          <w:b/>
          <w:bCs/>
          <w:color w:val="auto"/>
        </w:rPr>
        <w:t>服务</w:t>
      </w:r>
      <w:r>
        <w:rPr>
          <w:rFonts w:hint="default" w:ascii="Times New Roman" w:hAnsi="Times New Roman" w:eastAsia="华文仿宋" w:cs="Times New Roman"/>
          <w:color w:val="auto"/>
          <w:kern w:val="0"/>
          <w:sz w:val="28"/>
          <w:szCs w:val="28"/>
          <w:lang w:val="en-US" w:eastAsia="zh-CN" w:bidi="ar"/>
        </w:rPr>
        <w:t>；</w:t>
      </w:r>
      <w:r>
        <w:rPr>
          <w:rFonts w:hint="eastAsia" w:ascii="Times New Roman" w:hAnsi="Times New Roman" w:cs="Times New Roman"/>
          <w:color w:val="auto"/>
          <w:kern w:val="0"/>
          <w:sz w:val="28"/>
          <w:szCs w:val="28"/>
          <w:lang w:val="en-US" w:eastAsia="zh-CN" w:bidi="ar"/>
        </w:rPr>
        <w:t>响应人</w:t>
      </w:r>
      <w:r>
        <w:rPr>
          <w:rFonts w:hint="default" w:ascii="Times New Roman" w:hAnsi="Times New Roman" w:eastAsia="华文仿宋" w:cs="Times New Roman"/>
          <w:color w:val="auto"/>
          <w:kern w:val="0"/>
          <w:sz w:val="28"/>
          <w:szCs w:val="28"/>
          <w:lang w:val="en-US" w:eastAsia="zh-CN" w:bidi="ar"/>
        </w:rPr>
        <w:t>为监狱企业的，应提供监狱企业的证明文件；</w:t>
      </w:r>
      <w:r>
        <w:rPr>
          <w:rFonts w:hint="eastAsia" w:ascii="Times New Roman" w:hAnsi="Times New Roman" w:cs="Times New Roman"/>
          <w:color w:val="auto"/>
          <w:kern w:val="0"/>
          <w:sz w:val="28"/>
          <w:szCs w:val="28"/>
          <w:lang w:val="en-US" w:eastAsia="zh-CN" w:bidi="ar"/>
        </w:rPr>
        <w:t>响应人</w:t>
      </w:r>
      <w:r>
        <w:rPr>
          <w:rFonts w:hint="default" w:ascii="Times New Roman" w:hAnsi="Times New Roman" w:eastAsia="华文仿宋" w:cs="Times New Roman"/>
          <w:color w:val="auto"/>
          <w:kern w:val="0"/>
          <w:sz w:val="28"/>
          <w:szCs w:val="28"/>
          <w:lang w:val="en-US" w:eastAsia="zh-CN" w:bidi="ar"/>
        </w:rPr>
        <w:t xml:space="preserve">为残疾人福利性单位的，应提供《残疾人福利性单位声明函》。 </w:t>
      </w:r>
    </w:p>
    <w:p w14:paraId="73FD9F58">
      <w:pPr>
        <w:keepNext w:val="0"/>
        <w:keepLines w:val="0"/>
        <w:widowControl/>
        <w:suppressLineNumbers w:val="0"/>
        <w:ind w:firstLine="566" w:firstLineChars="200"/>
        <w:jc w:val="left"/>
        <w:rPr>
          <w:rFonts w:hint="default" w:ascii="Times New Roman" w:hAnsi="Times New Roman" w:cs="Times New Roman"/>
          <w:color w:val="auto"/>
        </w:rPr>
      </w:pPr>
      <w:r>
        <w:rPr>
          <w:rFonts w:hint="default" w:ascii="Times New Roman" w:hAnsi="Times New Roman" w:eastAsia="华文仿宋" w:cs="Times New Roman"/>
          <w:color w:val="auto"/>
          <w:kern w:val="0"/>
          <w:sz w:val="28"/>
          <w:szCs w:val="28"/>
          <w:lang w:val="en-US" w:eastAsia="zh-CN" w:bidi="ar"/>
        </w:rPr>
        <w:t>各</w:t>
      </w:r>
      <w:r>
        <w:rPr>
          <w:rFonts w:hint="default" w:ascii="Times New Roman" w:hAnsi="Times New Roman" w:cs="Times New Roman"/>
          <w:color w:val="auto"/>
          <w:kern w:val="0"/>
          <w:sz w:val="28"/>
          <w:szCs w:val="28"/>
          <w:lang w:val="en-US" w:eastAsia="zh-CN" w:bidi="ar"/>
        </w:rPr>
        <w:t>响应</w:t>
      </w:r>
      <w:r>
        <w:rPr>
          <w:rFonts w:hint="default" w:ascii="Times New Roman" w:hAnsi="Times New Roman" w:eastAsia="华文仿宋" w:cs="Times New Roman"/>
          <w:color w:val="auto"/>
          <w:kern w:val="0"/>
          <w:sz w:val="28"/>
          <w:szCs w:val="28"/>
          <w:lang w:val="en-US" w:eastAsia="zh-CN" w:bidi="ar"/>
        </w:rPr>
        <w:t xml:space="preserve">人可根据企业从业人员、营业收入、资产总额等指标，按照招标文件约定的采购标的对应的中小企业划分标准所属行业和《中小企业划型标准规定》（工信部联企业〔2011〕300 号）进行自测，判断属于中型、小型还是微型企业。也可在微信小程序中搜索中小企业规模类型自测小程序进行测算。 </w:t>
      </w:r>
    </w:p>
    <w:p w14:paraId="1F183CFD">
      <w:pPr>
        <w:keepNext w:val="0"/>
        <w:keepLines w:val="0"/>
        <w:widowControl/>
        <w:suppressLineNumbers w:val="0"/>
        <w:ind w:firstLine="566" w:firstLineChars="200"/>
        <w:jc w:val="left"/>
        <w:rPr>
          <w:rFonts w:hint="default" w:ascii="Times New Roman" w:hAnsi="Times New Roman" w:cs="Times New Roman"/>
          <w:color w:val="auto"/>
        </w:rPr>
      </w:pPr>
      <w:r>
        <w:rPr>
          <w:rFonts w:hint="default" w:ascii="Times New Roman" w:hAnsi="Times New Roman" w:eastAsia="华文仿宋" w:cs="Times New Roman"/>
          <w:b/>
          <w:bCs/>
          <w:color w:val="auto"/>
          <w:kern w:val="0"/>
          <w:sz w:val="28"/>
          <w:szCs w:val="28"/>
          <w:lang w:val="en-US" w:eastAsia="zh-CN" w:bidi="ar"/>
        </w:rPr>
        <w:t>特别提醒：成交人的《中小企业声明函》或《残疾人福利性单位声明函》或监狱企业证明文件将随中标结果公告一同公布，接受社会监督。</w:t>
      </w:r>
    </w:p>
    <w:p w14:paraId="3B3D4B63">
      <w:pPr>
        <w:pStyle w:val="2"/>
        <w:numPr>
          <w:ilvl w:val="0"/>
          <w:numId w:val="0"/>
        </w:numPr>
        <w:jc w:val="both"/>
        <w:rPr>
          <w:rFonts w:hint="eastAsia"/>
          <w:color w:val="auto"/>
        </w:rPr>
      </w:pPr>
    </w:p>
    <w:p w14:paraId="112ABD2F">
      <w:pPr>
        <w:rPr>
          <w:rFonts w:hint="eastAsia"/>
          <w:color w:val="auto"/>
        </w:rPr>
      </w:pPr>
    </w:p>
    <w:p w14:paraId="0AE8A50E">
      <w:pPr>
        <w:pStyle w:val="2"/>
        <w:rPr>
          <w:rFonts w:hint="eastAsia"/>
          <w:color w:val="auto"/>
        </w:rPr>
      </w:pPr>
    </w:p>
    <w:p w14:paraId="482400DB">
      <w:pPr>
        <w:rPr>
          <w:rFonts w:hint="eastAsia"/>
          <w:color w:val="auto"/>
        </w:rPr>
      </w:pPr>
    </w:p>
    <w:p w14:paraId="26E1DA24">
      <w:pPr>
        <w:pStyle w:val="2"/>
        <w:rPr>
          <w:rFonts w:hint="eastAsia"/>
          <w:color w:val="auto"/>
        </w:rPr>
      </w:pPr>
    </w:p>
    <w:p w14:paraId="139B364B">
      <w:pPr>
        <w:rPr>
          <w:rFonts w:hint="eastAsia"/>
          <w:color w:val="auto"/>
        </w:rPr>
      </w:pPr>
    </w:p>
    <w:p w14:paraId="74644DF9">
      <w:pPr>
        <w:pStyle w:val="2"/>
        <w:rPr>
          <w:rFonts w:hint="eastAsia"/>
          <w:color w:val="auto"/>
        </w:rPr>
      </w:pPr>
    </w:p>
    <w:p w14:paraId="136A23AF">
      <w:pPr>
        <w:rPr>
          <w:rFonts w:hint="eastAsia"/>
          <w:color w:val="auto"/>
        </w:rPr>
      </w:pPr>
    </w:p>
    <w:p w14:paraId="054D3A21">
      <w:pPr>
        <w:pStyle w:val="2"/>
        <w:rPr>
          <w:rFonts w:hint="eastAsia"/>
          <w:color w:val="auto"/>
        </w:rPr>
      </w:pPr>
    </w:p>
    <w:p w14:paraId="0ED3A014">
      <w:pPr>
        <w:rPr>
          <w:rFonts w:hint="eastAsia"/>
          <w:color w:val="auto"/>
        </w:rPr>
      </w:pPr>
    </w:p>
    <w:p w14:paraId="5242861D">
      <w:pPr>
        <w:pStyle w:val="2"/>
        <w:rPr>
          <w:rFonts w:hint="eastAsia"/>
          <w:color w:val="auto"/>
        </w:rPr>
      </w:pPr>
    </w:p>
    <w:p w14:paraId="78936530">
      <w:pPr>
        <w:rPr>
          <w:rFonts w:hint="eastAsia"/>
          <w:color w:val="auto"/>
        </w:rPr>
      </w:pPr>
    </w:p>
    <w:p w14:paraId="52CFB0F7">
      <w:pPr>
        <w:pStyle w:val="2"/>
        <w:rPr>
          <w:rFonts w:hint="eastAsia"/>
          <w:color w:val="auto"/>
        </w:rPr>
      </w:pPr>
    </w:p>
    <w:p w14:paraId="1045B36F">
      <w:pPr>
        <w:widowControl w:val="0"/>
        <w:spacing w:line="240" w:lineRule="auto"/>
        <w:ind w:firstLine="208"/>
        <w:jc w:val="center"/>
        <w:rPr>
          <w:rFonts w:hint="eastAsia" w:ascii="仿宋_GB2312" w:hAnsi="仿宋_GB2312" w:eastAsia="仿宋_GB2312" w:cs="仿宋_GB2312"/>
          <w:b/>
          <w:bCs/>
          <w:color w:val="auto"/>
          <w:sz w:val="10"/>
          <w:szCs w:val="10"/>
        </w:rPr>
      </w:pPr>
    </w:p>
    <w:p w14:paraId="5D0162B8">
      <w:pPr>
        <w:widowControl w:val="0"/>
        <w:spacing w:line="500" w:lineRule="exact"/>
        <w:ind w:left="0" w:leftChars="0" w:firstLine="0" w:firstLineChars="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中小企业声明函</w:t>
      </w:r>
    </w:p>
    <w:p w14:paraId="19350BEE">
      <w:pPr>
        <w:pStyle w:val="2"/>
        <w:spacing w:line="240" w:lineRule="auto"/>
        <w:ind w:firstLine="208"/>
        <w:rPr>
          <w:color w:val="auto"/>
          <w:sz w:val="10"/>
          <w:szCs w:val="10"/>
        </w:rPr>
      </w:pPr>
    </w:p>
    <w:p w14:paraId="2A330DA8">
      <w:pPr>
        <w:keepNext w:val="0"/>
        <w:keepLines w:val="0"/>
        <w:pageBreakBefore w:val="0"/>
        <w:widowControl w:val="0"/>
        <w:kinsoku/>
        <w:wordWrap/>
        <w:overflowPunct/>
        <w:topLinePunct w:val="0"/>
        <w:autoSpaceDE/>
        <w:autoSpaceDN/>
        <w:bidi w:val="0"/>
        <w:adjustRightInd/>
        <w:snapToGrid/>
        <w:spacing w:line="240" w:lineRule="auto"/>
        <w:ind w:firstLine="566"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本公司（联合体）郑重声明，根据《政府采购促进中小企业发展管理办法》（财库﹝2020﹞46 号）的规定，本公司（联合体）参加</w:t>
      </w:r>
      <w:r>
        <w:rPr>
          <w:rFonts w:hint="default" w:ascii="Times New Roman" w:hAnsi="Times New Roman" w:eastAsia="仿宋_GB2312" w:cs="Times New Roman"/>
          <w:i/>
          <w:iCs/>
          <w:color w:val="auto"/>
          <w:sz w:val="28"/>
          <w:szCs w:val="28"/>
          <w:u w:val="single"/>
          <w:lang w:val="en-US" w:eastAsia="zh-CN"/>
        </w:rPr>
        <w:t>（单位名称）</w:t>
      </w:r>
      <w:r>
        <w:rPr>
          <w:rFonts w:hint="default" w:ascii="Times New Roman" w:hAnsi="Times New Roman" w:eastAsia="仿宋_GB2312" w:cs="Times New Roman"/>
          <w:color w:val="auto"/>
          <w:sz w:val="28"/>
          <w:szCs w:val="28"/>
          <w:lang w:val="en-US" w:eastAsia="zh-CN"/>
        </w:rPr>
        <w:t>的</w:t>
      </w:r>
      <w:r>
        <w:rPr>
          <w:rFonts w:hint="default" w:ascii="Times New Roman" w:hAnsi="Times New Roman" w:eastAsia="仿宋_GB2312" w:cs="Times New Roman"/>
          <w:i/>
          <w:iCs/>
          <w:color w:val="auto"/>
          <w:sz w:val="28"/>
          <w:szCs w:val="28"/>
          <w:u w:val="single"/>
          <w:lang w:val="en-US" w:eastAsia="zh-CN"/>
        </w:rPr>
        <w:t>（项目名称）</w:t>
      </w:r>
      <w:r>
        <w:rPr>
          <w:rFonts w:hint="default" w:ascii="Times New Roman" w:hAnsi="Times New Roman" w:eastAsia="仿宋_GB2312" w:cs="Times New Roman"/>
          <w:color w:val="auto"/>
          <w:sz w:val="28"/>
          <w:szCs w:val="28"/>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31BA6A9D">
      <w:pPr>
        <w:keepNext w:val="0"/>
        <w:keepLines w:val="0"/>
        <w:pageBreakBefore w:val="0"/>
        <w:widowControl w:val="0"/>
        <w:kinsoku/>
        <w:wordWrap/>
        <w:overflowPunct/>
        <w:topLinePunct w:val="0"/>
        <w:autoSpaceDE/>
        <w:autoSpaceDN/>
        <w:bidi w:val="0"/>
        <w:adjustRightInd/>
        <w:snapToGrid/>
        <w:spacing w:line="240" w:lineRule="auto"/>
        <w:ind w:firstLine="566"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i/>
          <w:iCs/>
          <w:color w:val="auto"/>
          <w:sz w:val="28"/>
          <w:szCs w:val="28"/>
          <w:u w:val="single"/>
          <w:lang w:val="en-US" w:eastAsia="zh-CN"/>
        </w:rPr>
        <w:t xml:space="preserve"> （标的名称） </w:t>
      </w:r>
      <w:r>
        <w:rPr>
          <w:rFonts w:hint="default" w:ascii="Times New Roman" w:hAnsi="Times New Roman" w:eastAsia="仿宋_GB2312" w:cs="Times New Roman"/>
          <w:color w:val="auto"/>
          <w:sz w:val="28"/>
          <w:szCs w:val="28"/>
          <w:lang w:val="en-US" w:eastAsia="zh-CN"/>
        </w:rPr>
        <w:t>，属于</w:t>
      </w:r>
      <w:r>
        <w:rPr>
          <w:rFonts w:hint="default" w:ascii="Times New Roman" w:hAnsi="Times New Roman" w:eastAsia="仿宋_GB2312" w:cs="Times New Roman"/>
          <w:i/>
          <w:iCs/>
          <w:color w:val="auto"/>
          <w:sz w:val="28"/>
          <w:szCs w:val="28"/>
          <w:u w:val="single"/>
          <w:lang w:val="en-US" w:eastAsia="zh-CN"/>
        </w:rPr>
        <w:t>（采购文件中明确的所属行业）</w:t>
      </w:r>
      <w:r>
        <w:rPr>
          <w:rFonts w:hint="default" w:ascii="Times New Roman" w:hAnsi="Times New Roman" w:eastAsia="仿宋_GB2312" w:cs="Times New Roman"/>
          <w:color w:val="auto"/>
          <w:sz w:val="28"/>
          <w:szCs w:val="28"/>
          <w:lang w:val="en-US" w:eastAsia="zh-CN"/>
        </w:rPr>
        <w:t>；承建（承接）企业为</w:t>
      </w:r>
      <w:r>
        <w:rPr>
          <w:rFonts w:hint="default" w:ascii="Times New Roman" w:hAnsi="Times New Roman" w:eastAsia="仿宋_GB2312" w:cs="Times New Roman"/>
          <w:i/>
          <w:iCs/>
          <w:color w:val="auto"/>
          <w:sz w:val="28"/>
          <w:szCs w:val="28"/>
          <w:u w:val="single"/>
          <w:lang w:val="en-US" w:eastAsia="zh-CN"/>
        </w:rPr>
        <w:t>（企业名称）</w:t>
      </w:r>
      <w:r>
        <w:rPr>
          <w:rFonts w:hint="default" w:ascii="Times New Roman" w:hAnsi="Times New Roman" w:eastAsia="仿宋_GB2312" w:cs="Times New Roman"/>
          <w:color w:val="auto"/>
          <w:sz w:val="28"/>
          <w:szCs w:val="28"/>
          <w:lang w:val="en-US" w:eastAsia="zh-CN"/>
        </w:rPr>
        <w:t>，从业人员</w:t>
      </w:r>
      <w:r>
        <w:rPr>
          <w:rFonts w:hint="default" w:ascii="Times New Roman" w:hAnsi="Times New Roman" w:eastAsia="仿宋_GB2312" w:cs="Times New Roman"/>
          <w:i/>
          <w:iCs/>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人，营业收入为</w:t>
      </w:r>
      <w:r>
        <w:rPr>
          <w:rFonts w:hint="default" w:ascii="Times New Roman" w:hAnsi="Times New Roman" w:eastAsia="仿宋_GB2312" w:cs="Times New Roman"/>
          <w:i/>
          <w:iCs/>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万元，资产总额为</w:t>
      </w:r>
      <w:r>
        <w:rPr>
          <w:rFonts w:hint="default" w:ascii="Times New Roman" w:hAnsi="Times New Roman" w:eastAsia="仿宋_GB2312" w:cs="Times New Roman"/>
          <w:i/>
          <w:iCs/>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万元，属于</w:t>
      </w:r>
      <w:r>
        <w:rPr>
          <w:rFonts w:hint="default" w:ascii="Times New Roman" w:hAnsi="Times New Roman" w:eastAsia="仿宋_GB2312" w:cs="Times New Roman"/>
          <w:i/>
          <w:iCs/>
          <w:color w:val="auto"/>
          <w:sz w:val="28"/>
          <w:szCs w:val="28"/>
          <w:u w:val="single"/>
          <w:lang w:val="en-US" w:eastAsia="zh-CN"/>
        </w:rPr>
        <w:t>（中型企业、小型企业、微型企业）</w:t>
      </w:r>
      <w:r>
        <w:rPr>
          <w:rFonts w:hint="default" w:ascii="Times New Roman" w:hAnsi="Times New Roman" w:eastAsia="仿宋_GB2312" w:cs="Times New Roman"/>
          <w:color w:val="auto"/>
          <w:sz w:val="28"/>
          <w:szCs w:val="28"/>
          <w:lang w:val="en-US" w:eastAsia="zh-CN"/>
        </w:rPr>
        <w:t>；</w:t>
      </w:r>
    </w:p>
    <w:p w14:paraId="3B97FF62">
      <w:pPr>
        <w:keepNext w:val="0"/>
        <w:keepLines w:val="0"/>
        <w:pageBreakBefore w:val="0"/>
        <w:widowControl w:val="0"/>
        <w:kinsoku/>
        <w:wordWrap/>
        <w:overflowPunct/>
        <w:topLinePunct w:val="0"/>
        <w:autoSpaceDE/>
        <w:autoSpaceDN/>
        <w:bidi w:val="0"/>
        <w:adjustRightInd/>
        <w:snapToGrid/>
        <w:spacing w:line="240" w:lineRule="auto"/>
        <w:ind w:firstLine="566"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i/>
          <w:iCs/>
          <w:color w:val="auto"/>
          <w:sz w:val="28"/>
          <w:szCs w:val="28"/>
          <w:u w:val="single"/>
          <w:lang w:val="en-US" w:eastAsia="zh-CN"/>
        </w:rPr>
        <w:t xml:space="preserve"> （标的名称） </w:t>
      </w:r>
      <w:r>
        <w:rPr>
          <w:rFonts w:hint="default" w:ascii="Times New Roman" w:hAnsi="Times New Roman" w:eastAsia="仿宋_GB2312" w:cs="Times New Roman"/>
          <w:color w:val="auto"/>
          <w:sz w:val="28"/>
          <w:szCs w:val="28"/>
          <w:lang w:val="en-US" w:eastAsia="zh-CN"/>
        </w:rPr>
        <w:t>，属于</w:t>
      </w:r>
      <w:r>
        <w:rPr>
          <w:rFonts w:hint="default" w:ascii="Times New Roman" w:hAnsi="Times New Roman" w:eastAsia="仿宋_GB2312" w:cs="Times New Roman"/>
          <w:i/>
          <w:iCs/>
          <w:color w:val="auto"/>
          <w:sz w:val="28"/>
          <w:szCs w:val="28"/>
          <w:u w:val="single"/>
          <w:lang w:val="en-US" w:eastAsia="zh-CN"/>
        </w:rPr>
        <w:t>（采购文件中明确的所属行业）</w:t>
      </w:r>
      <w:r>
        <w:rPr>
          <w:rFonts w:hint="default" w:ascii="Times New Roman" w:hAnsi="Times New Roman" w:eastAsia="仿宋_GB2312" w:cs="Times New Roman"/>
          <w:color w:val="auto"/>
          <w:sz w:val="28"/>
          <w:szCs w:val="28"/>
          <w:lang w:val="en-US" w:eastAsia="zh-CN"/>
        </w:rPr>
        <w:t>；承建（承接）企业为</w:t>
      </w:r>
      <w:r>
        <w:rPr>
          <w:rFonts w:hint="default" w:ascii="Times New Roman" w:hAnsi="Times New Roman" w:eastAsia="仿宋_GB2312" w:cs="Times New Roman"/>
          <w:i/>
          <w:iCs/>
          <w:color w:val="auto"/>
          <w:sz w:val="28"/>
          <w:szCs w:val="28"/>
          <w:u w:val="single"/>
          <w:lang w:val="en-US" w:eastAsia="zh-CN"/>
        </w:rPr>
        <w:t>（企业名称）</w:t>
      </w:r>
      <w:r>
        <w:rPr>
          <w:rFonts w:hint="default" w:ascii="Times New Roman" w:hAnsi="Times New Roman" w:eastAsia="仿宋_GB2312" w:cs="Times New Roman"/>
          <w:color w:val="auto"/>
          <w:sz w:val="28"/>
          <w:szCs w:val="28"/>
          <w:lang w:val="en-US" w:eastAsia="zh-CN"/>
        </w:rPr>
        <w:t>，从业人员</w:t>
      </w:r>
      <w:r>
        <w:rPr>
          <w:rFonts w:hint="default" w:ascii="Times New Roman" w:hAnsi="Times New Roman" w:eastAsia="仿宋_GB2312" w:cs="Times New Roman"/>
          <w:i/>
          <w:iCs/>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人，营业收入为</w:t>
      </w:r>
      <w:r>
        <w:rPr>
          <w:rFonts w:hint="default" w:ascii="Times New Roman" w:hAnsi="Times New Roman" w:eastAsia="仿宋_GB2312" w:cs="Times New Roman"/>
          <w:i/>
          <w:iCs/>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万元，资产总额为</w:t>
      </w:r>
      <w:r>
        <w:rPr>
          <w:rFonts w:hint="default" w:ascii="Times New Roman" w:hAnsi="Times New Roman" w:eastAsia="仿宋_GB2312" w:cs="Times New Roman"/>
          <w:i/>
          <w:iCs/>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万元，属于</w:t>
      </w:r>
      <w:r>
        <w:rPr>
          <w:rFonts w:hint="default" w:ascii="Times New Roman" w:hAnsi="Times New Roman" w:eastAsia="仿宋_GB2312" w:cs="Times New Roman"/>
          <w:i/>
          <w:iCs/>
          <w:color w:val="auto"/>
          <w:sz w:val="28"/>
          <w:szCs w:val="28"/>
          <w:u w:val="single"/>
          <w:lang w:val="en-US" w:eastAsia="zh-CN"/>
        </w:rPr>
        <w:t>（中型企业、小型企业、微型企业）</w:t>
      </w:r>
      <w:r>
        <w:rPr>
          <w:rFonts w:hint="default" w:ascii="Times New Roman" w:hAnsi="Times New Roman" w:eastAsia="仿宋_GB2312" w:cs="Times New Roman"/>
          <w:color w:val="auto"/>
          <w:sz w:val="28"/>
          <w:szCs w:val="28"/>
          <w:lang w:val="en-US" w:eastAsia="zh-CN"/>
        </w:rPr>
        <w:t>；</w:t>
      </w:r>
    </w:p>
    <w:p w14:paraId="1BD77C80">
      <w:pPr>
        <w:keepNext w:val="0"/>
        <w:keepLines w:val="0"/>
        <w:pageBreakBefore w:val="0"/>
        <w:widowControl w:val="0"/>
        <w:kinsoku/>
        <w:wordWrap/>
        <w:overflowPunct/>
        <w:topLinePunct w:val="0"/>
        <w:autoSpaceDE/>
        <w:autoSpaceDN/>
        <w:bidi w:val="0"/>
        <w:adjustRightInd/>
        <w:snapToGrid/>
        <w:spacing w:line="240" w:lineRule="auto"/>
        <w:ind w:firstLine="566"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w:t>
      </w:r>
    </w:p>
    <w:p w14:paraId="3AF9E030">
      <w:pPr>
        <w:keepNext w:val="0"/>
        <w:keepLines w:val="0"/>
        <w:pageBreakBefore w:val="0"/>
        <w:widowControl w:val="0"/>
        <w:kinsoku/>
        <w:wordWrap/>
        <w:overflowPunct/>
        <w:topLinePunct w:val="0"/>
        <w:autoSpaceDE/>
        <w:autoSpaceDN/>
        <w:bidi w:val="0"/>
        <w:adjustRightInd/>
        <w:snapToGrid/>
        <w:spacing w:line="240" w:lineRule="auto"/>
        <w:ind w:firstLine="566"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以上企业，不属于大企业的分支机构，不存在控股股东为大企业的情形，也不存在与大企业的负责人为同一人的情形。</w:t>
      </w:r>
    </w:p>
    <w:p w14:paraId="2E471F5D">
      <w:pPr>
        <w:keepNext w:val="0"/>
        <w:keepLines w:val="0"/>
        <w:pageBreakBefore w:val="0"/>
        <w:widowControl w:val="0"/>
        <w:kinsoku/>
        <w:wordWrap/>
        <w:overflowPunct/>
        <w:topLinePunct w:val="0"/>
        <w:autoSpaceDE/>
        <w:autoSpaceDN/>
        <w:bidi w:val="0"/>
        <w:adjustRightInd/>
        <w:snapToGrid/>
        <w:spacing w:line="240" w:lineRule="auto"/>
        <w:ind w:firstLine="566" w:firstLineChars="20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本企业对上述声明内容的真实性负责。如有虚假，将依法承担相应责任。</w:t>
      </w:r>
    </w:p>
    <w:p w14:paraId="1889C497">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企业名称（盖章）：</w:t>
      </w:r>
      <w:r>
        <w:rPr>
          <w:rFonts w:hint="default" w:ascii="Times New Roman" w:hAnsi="Times New Roman" w:eastAsia="仿宋_GB2312" w:cs="Times New Roman"/>
          <w:color w:val="auto"/>
          <w:sz w:val="28"/>
          <w:szCs w:val="28"/>
          <w:lang w:val="en-US" w:eastAsia="zh-CN"/>
        </w:rPr>
        <w:t xml:space="preserve">            </w:t>
      </w:r>
    </w:p>
    <w:p w14:paraId="33457655">
      <w:pPr>
        <w:widowControl w:val="0"/>
        <w:wordWrap w:val="0"/>
        <w:spacing w:line="500" w:lineRule="exact"/>
        <w:jc w:val="right"/>
        <w:rPr>
          <w:rFonts w:hint="eastAsia" w:ascii="仿宋_GB2312" w:hAnsi="仿宋_GB2312" w:eastAsia="仿宋_GB2312" w:cs="仿宋_GB2312"/>
          <w:color w:val="auto"/>
        </w:rPr>
      </w:pP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日 期：</w:t>
      </w:r>
      <w:r>
        <w:rPr>
          <w:rFonts w:hint="default" w:ascii="Times New Roman" w:hAnsi="Times New Roman" w:eastAsia="仿宋_GB2312" w:cs="Times New Roman"/>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rPr>
        <w:t xml:space="preserve">   </w:t>
      </w:r>
    </w:p>
    <w:p w14:paraId="0AD96968">
      <w:pPr>
        <w:spacing w:line="240" w:lineRule="auto"/>
        <w:ind w:firstLine="426" w:firstLineChars="200"/>
        <w:rPr>
          <w:rFonts w:hint="eastAsia" w:ascii="仿宋" w:hAnsi="仿宋" w:eastAsia="仿宋_GB2312" w:cs="仿宋"/>
          <w:color w:val="auto"/>
          <w:sz w:val="21"/>
          <w:szCs w:val="21"/>
        </w:rPr>
      </w:pPr>
    </w:p>
    <w:p w14:paraId="390AA8D1">
      <w:pPr>
        <w:keepNext w:val="0"/>
        <w:keepLines w:val="0"/>
        <w:pageBreakBefore w:val="0"/>
        <w:widowControl/>
        <w:suppressLineNumbers w:val="0"/>
        <w:kinsoku/>
        <w:wordWrap/>
        <w:overflowPunct/>
        <w:topLinePunct w:val="0"/>
        <w:autoSpaceDE/>
        <w:autoSpaceDN/>
        <w:bidi w:val="0"/>
        <w:adjustRightInd/>
        <w:snapToGrid/>
        <w:ind w:firstLine="486"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kern w:val="0"/>
          <w:sz w:val="24"/>
          <w:szCs w:val="24"/>
          <w:lang w:val="en-US" w:eastAsia="zh-CN" w:bidi="ar"/>
        </w:rPr>
        <w:t>备注：</w:t>
      </w:r>
      <w:r>
        <w:rPr>
          <w:rFonts w:hint="default" w:ascii="Times New Roman" w:hAnsi="Times New Roman" w:eastAsia="仿宋_GB2312" w:cs="Times New Roman"/>
          <w:color w:val="auto"/>
          <w:kern w:val="0"/>
          <w:sz w:val="24"/>
          <w:szCs w:val="24"/>
          <w:lang w:val="en-US" w:eastAsia="zh-CN" w:bidi="ar"/>
        </w:rPr>
        <w:t>1、填写前请认真阅读《工业和信息化部、国家统计局、国家发展和改革委员会、财政部关于印发中小企业划型标准规定的通知》（工信部联企业[2011]</w:t>
      </w:r>
      <w:r>
        <w:rPr>
          <w:rFonts w:hint="eastAsia"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color w:val="auto"/>
          <w:kern w:val="0"/>
          <w:sz w:val="24"/>
          <w:szCs w:val="24"/>
          <w:lang w:val="en-US" w:eastAsia="zh-CN" w:bidi="ar"/>
        </w:rPr>
        <w:t>300号）和财政部、工业和信息化部关于印发《政府采购促进中小企业发展管理办法》的通知(财库[2020]</w:t>
      </w:r>
      <w:r>
        <w:rPr>
          <w:rFonts w:hint="eastAsia"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color w:val="auto"/>
          <w:kern w:val="0"/>
          <w:sz w:val="24"/>
          <w:szCs w:val="24"/>
          <w:lang w:val="en-US" w:eastAsia="zh-CN" w:bidi="ar"/>
        </w:rPr>
        <w:t xml:space="preserve">46号)相关规定。 </w:t>
      </w:r>
    </w:p>
    <w:p w14:paraId="6FD9260B">
      <w:pPr>
        <w:keepNext w:val="0"/>
        <w:keepLines w:val="0"/>
        <w:pageBreakBefore w:val="0"/>
        <w:widowControl/>
        <w:suppressLineNumbers w:val="0"/>
        <w:kinsoku/>
        <w:wordWrap/>
        <w:overflowPunct/>
        <w:topLinePunct w:val="0"/>
        <w:autoSpaceDE/>
        <w:autoSpaceDN/>
        <w:bidi w:val="0"/>
        <w:adjustRightInd/>
        <w:snapToGrid/>
        <w:ind w:firstLine="486"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xml:space="preserve">2、从业人员、营业收入、资产总额填报上一年度数据，无上一年度数据的新成立企业可不填报。 </w:t>
      </w:r>
    </w:p>
    <w:p w14:paraId="2C2E4D83">
      <w:pPr>
        <w:keepNext w:val="0"/>
        <w:keepLines w:val="0"/>
        <w:pageBreakBefore w:val="0"/>
        <w:widowControl/>
        <w:suppressLineNumbers w:val="0"/>
        <w:kinsoku/>
        <w:wordWrap/>
        <w:overflowPunct/>
        <w:topLinePunct w:val="0"/>
        <w:autoSpaceDE/>
        <w:autoSpaceDN/>
        <w:bidi w:val="0"/>
        <w:adjustRightInd/>
        <w:snapToGrid/>
        <w:ind w:firstLine="486" w:firstLineChars="200"/>
        <w:jc w:val="left"/>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3、根据《工业和信息化部、国家统计局、国家发展和改革委员会、财政部关于印发中小企业划型标准规定的通知》（工信部联企业[2011]300 号），本项目所属行业中小企业划型标准具体如下：</w:t>
      </w:r>
      <w:r>
        <w:rPr>
          <w:rFonts w:hint="default" w:ascii="Times New Roman" w:hAnsi="Times New Roman" w:eastAsia="仿宋_GB2312" w:cs="Times New Roman"/>
          <w:b/>
          <w:bCs/>
          <w:color w:val="auto"/>
          <w:kern w:val="0"/>
          <w:sz w:val="24"/>
          <w:szCs w:val="24"/>
          <w:lang w:val="en-US" w:eastAsia="zh-CN" w:bidi="ar"/>
        </w:rPr>
        <w:t>租赁和商务服务</w:t>
      </w:r>
      <w:r>
        <w:rPr>
          <w:rFonts w:hint="default" w:ascii="Times New Roman" w:hAnsi="Times New Roman" w:eastAsia="仿宋_GB2312" w:cs="Times New Roman"/>
          <w:color w:val="auto"/>
          <w:kern w:val="0"/>
          <w:sz w:val="24"/>
          <w:szCs w:val="24"/>
          <w:lang w:val="en-US" w:eastAsia="zh-CN" w:bidi="ar"/>
        </w:rPr>
        <w:t>。从业人员1000人以下或营业收入5000万元以下的为中小微型企业。其中，从业人员300人及以上，且营业收入1000万元及以上的为中型企业； 从业人员100人及以上，且营业收入500万元及以上的为小型企业；从业人员100人以下或营业收入500万元以下的为微型企业。</w:t>
      </w:r>
    </w:p>
    <w:p w14:paraId="62BEC34C">
      <w:pPr>
        <w:keepNext w:val="0"/>
        <w:keepLines w:val="0"/>
        <w:pageBreakBefore w:val="0"/>
        <w:widowControl/>
        <w:suppressLineNumbers w:val="0"/>
        <w:kinsoku/>
        <w:wordWrap/>
        <w:overflowPunct/>
        <w:topLinePunct w:val="0"/>
        <w:autoSpaceDE/>
        <w:autoSpaceDN/>
        <w:bidi w:val="0"/>
        <w:adjustRightInd/>
        <w:snapToGrid/>
        <w:ind w:firstLine="486" w:firstLineChars="200"/>
        <w:jc w:val="left"/>
        <w:textAlignment w:val="auto"/>
        <w:rPr>
          <w:rFonts w:hint="default" w:ascii="Times New Roman" w:hAnsi="Times New Roman" w:eastAsia="仿宋_GB2312" w:cs="Times New Roman"/>
          <w:color w:val="auto"/>
          <w:sz w:val="24"/>
          <w:szCs w:val="24"/>
        </w:rPr>
      </w:pPr>
    </w:p>
    <w:p w14:paraId="13BDC49B">
      <w:pPr>
        <w:keepNext w:val="0"/>
        <w:keepLines w:val="0"/>
        <w:widowControl/>
        <w:suppressLineNumbers w:val="0"/>
        <w:jc w:val="left"/>
        <w:rPr>
          <w:rFonts w:hint="default" w:ascii="Times New Roman" w:hAnsi="Times New Roman" w:eastAsia="仿宋_GB2312" w:cs="Times New Roman"/>
          <w:b/>
          <w:bCs/>
          <w:color w:val="auto"/>
          <w:kern w:val="0"/>
          <w:sz w:val="28"/>
          <w:szCs w:val="28"/>
          <w:lang w:val="en-US" w:eastAsia="zh-CN" w:bidi="ar"/>
        </w:rPr>
      </w:pPr>
    </w:p>
    <w:p w14:paraId="736B13DB">
      <w:pPr>
        <w:keepNext w:val="0"/>
        <w:keepLines w:val="0"/>
        <w:widowControl/>
        <w:suppressLineNumbers w:val="0"/>
        <w:jc w:val="center"/>
        <w:rPr>
          <w:rFonts w:hint="default" w:ascii="Times New Roman" w:hAnsi="Times New Roman" w:cs="Times New Roman"/>
          <w:color w:val="auto"/>
          <w:sz w:val="32"/>
          <w:szCs w:val="32"/>
        </w:rPr>
      </w:pPr>
      <w:r>
        <w:rPr>
          <w:rFonts w:hint="default" w:ascii="Times New Roman" w:hAnsi="Times New Roman" w:eastAsia="仿宋_GB2312" w:cs="Times New Roman"/>
          <w:b/>
          <w:bCs/>
          <w:color w:val="auto"/>
          <w:kern w:val="0"/>
          <w:sz w:val="32"/>
          <w:szCs w:val="32"/>
          <w:lang w:val="en-US" w:eastAsia="zh-CN" w:bidi="ar"/>
        </w:rPr>
        <w:t>监狱企业证明函</w:t>
      </w:r>
    </w:p>
    <w:p w14:paraId="3C55013C">
      <w:pPr>
        <w:keepNext w:val="0"/>
        <w:keepLines w:val="0"/>
        <w:widowControl/>
        <w:suppressLineNumbers w:val="0"/>
        <w:ind w:firstLine="566" w:firstLineChars="200"/>
        <w:jc w:val="left"/>
        <w:rPr>
          <w:rFonts w:hint="default" w:ascii="Times New Roman" w:hAnsi="Times New Roman" w:eastAsia="仿宋_GB2312" w:cs="Times New Roman"/>
          <w:color w:val="auto"/>
          <w:kern w:val="0"/>
          <w:sz w:val="28"/>
          <w:szCs w:val="28"/>
          <w:lang w:val="en-US" w:eastAsia="zh-CN" w:bidi="ar"/>
        </w:rPr>
      </w:pPr>
    </w:p>
    <w:p w14:paraId="195B7123">
      <w:pPr>
        <w:keepNext w:val="0"/>
        <w:keepLines w:val="0"/>
        <w:widowControl/>
        <w:suppressLineNumbers w:val="0"/>
        <w:ind w:firstLine="566" w:firstLineChars="200"/>
        <w:jc w:val="left"/>
        <w:rPr>
          <w:rFonts w:hint="default" w:ascii="Times New Roman" w:hAnsi="Times New Roman"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根据财政部、司法部《关于政府采购支持监狱企业发展有关问题的通 </w:t>
      </w:r>
    </w:p>
    <w:p w14:paraId="3305B28D">
      <w:pPr>
        <w:keepNext w:val="0"/>
        <w:keepLines w:val="0"/>
        <w:widowControl/>
        <w:suppressLineNumbers w:val="0"/>
        <w:jc w:val="left"/>
        <w:rPr>
          <w:rFonts w:hint="default" w:ascii="Times New Roman" w:hAnsi="Times New Roman"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知》（财库〔2014〕68 号）的规定，监狱企业是指由司法部认定的为罪犯、 </w:t>
      </w:r>
    </w:p>
    <w:p w14:paraId="16A3DEA2">
      <w:pPr>
        <w:keepNext w:val="0"/>
        <w:keepLines w:val="0"/>
        <w:widowControl/>
        <w:suppressLineNumbers w:val="0"/>
        <w:jc w:val="left"/>
        <w:rPr>
          <w:rFonts w:hint="default" w:ascii="Times New Roman" w:hAnsi="Times New Roman"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戒毒人员提供生产项目和劳动对象，且全部产权属于司法部监狱管理局、 </w:t>
      </w:r>
    </w:p>
    <w:p w14:paraId="39F3DACB">
      <w:pPr>
        <w:keepNext w:val="0"/>
        <w:keepLines w:val="0"/>
        <w:widowControl/>
        <w:suppressLineNumbers w:val="0"/>
        <w:jc w:val="left"/>
        <w:rPr>
          <w:rFonts w:hint="default" w:ascii="Times New Roman" w:hAnsi="Times New Roman"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戒毒管理局、直属煤矿管理局，各省、自治区、直辖市监狱管理局、戒毒 </w:t>
      </w:r>
    </w:p>
    <w:p w14:paraId="5678FCF3">
      <w:pPr>
        <w:keepNext w:val="0"/>
        <w:keepLines w:val="0"/>
        <w:widowControl/>
        <w:suppressLineNumbers w:val="0"/>
        <w:jc w:val="left"/>
        <w:rPr>
          <w:rFonts w:hint="default" w:ascii="Times New Roman" w:hAnsi="Times New Roman"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管理局，各地（设区的市）监狱、强制隔离戒毒所、戒毒康复所，以及新 </w:t>
      </w:r>
    </w:p>
    <w:p w14:paraId="6985D37E">
      <w:pPr>
        <w:keepNext w:val="0"/>
        <w:keepLines w:val="0"/>
        <w:widowControl/>
        <w:suppressLineNumbers w:val="0"/>
        <w:jc w:val="left"/>
        <w:rPr>
          <w:rFonts w:hint="default" w:ascii="Times New Roman" w:hAnsi="Times New Roman"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疆生产建设兵团监狱管理局、戒毒管理局的企业。 </w:t>
      </w:r>
    </w:p>
    <w:p w14:paraId="21DF6416">
      <w:pPr>
        <w:keepNext w:val="0"/>
        <w:keepLines w:val="0"/>
        <w:widowControl/>
        <w:suppressLineNumbers w:val="0"/>
        <w:ind w:firstLine="283" w:firstLineChars="100"/>
        <w:jc w:val="left"/>
        <w:rPr>
          <w:rFonts w:hint="default" w:ascii="Times New Roman" w:hAnsi="Times New Roman"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监狱企业参加政府采购活动时，应当提供由省级以上监狱管理局、戒 </w:t>
      </w:r>
    </w:p>
    <w:p w14:paraId="739205CD">
      <w:pPr>
        <w:keepNext w:val="0"/>
        <w:keepLines w:val="0"/>
        <w:widowControl/>
        <w:suppressLineNumbers w:val="0"/>
        <w:jc w:val="left"/>
        <w:rPr>
          <w:rFonts w:hint="default" w:ascii="Times New Roman" w:hAnsi="Times New Roman"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毒管理局（含新疆生产建设兵团）出具的属于监狱企业的证明文件。</w:t>
      </w:r>
    </w:p>
    <w:p w14:paraId="04004551">
      <w:pPr>
        <w:pStyle w:val="18"/>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color w:val="auto"/>
          <w:sz w:val="32"/>
          <w:szCs w:val="32"/>
        </w:rPr>
      </w:pPr>
    </w:p>
    <w:p w14:paraId="700874CA">
      <w:pPr>
        <w:pStyle w:val="18"/>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color w:val="auto"/>
          <w:sz w:val="32"/>
          <w:szCs w:val="32"/>
        </w:rPr>
      </w:pPr>
    </w:p>
    <w:p w14:paraId="3EAF017A">
      <w:pPr>
        <w:pStyle w:val="18"/>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color w:val="auto"/>
          <w:sz w:val="32"/>
          <w:szCs w:val="32"/>
        </w:rPr>
      </w:pPr>
    </w:p>
    <w:p w14:paraId="53161A5D">
      <w:pPr>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br w:type="page"/>
      </w:r>
    </w:p>
    <w:p w14:paraId="4FE8A994">
      <w:pPr>
        <w:keepNext w:val="0"/>
        <w:keepLines w:val="0"/>
        <w:widowControl/>
        <w:suppressLineNumbers w:val="0"/>
        <w:jc w:val="center"/>
        <w:rPr>
          <w:rFonts w:hint="default" w:ascii="Times New Roman" w:hAnsi="Times New Roman" w:eastAsia="仿宋_GB2312" w:cs="Times New Roman"/>
          <w:b/>
          <w:bCs/>
          <w:color w:val="auto"/>
          <w:kern w:val="0"/>
          <w:sz w:val="32"/>
          <w:szCs w:val="32"/>
          <w:lang w:val="en-US" w:eastAsia="zh-CN" w:bidi="ar"/>
        </w:rPr>
      </w:pPr>
    </w:p>
    <w:p w14:paraId="16A2E6F9">
      <w:pPr>
        <w:keepNext w:val="0"/>
        <w:keepLines w:val="0"/>
        <w:widowControl/>
        <w:suppressLineNumbers w:val="0"/>
        <w:jc w:val="center"/>
        <w:rPr>
          <w:rFonts w:hint="default" w:ascii="Times New Roman" w:hAnsi="Times New Roman" w:cs="Times New Roman"/>
          <w:color w:val="auto"/>
        </w:rPr>
      </w:pPr>
      <w:r>
        <w:rPr>
          <w:rFonts w:hint="default" w:ascii="Times New Roman" w:hAnsi="Times New Roman" w:eastAsia="仿宋_GB2312" w:cs="Times New Roman"/>
          <w:b/>
          <w:bCs/>
          <w:color w:val="auto"/>
          <w:kern w:val="0"/>
          <w:sz w:val="32"/>
          <w:szCs w:val="32"/>
          <w:lang w:val="en-US" w:eastAsia="zh-CN" w:bidi="ar"/>
        </w:rPr>
        <w:t>残疾人福利性单位声明函（格式）</w:t>
      </w:r>
    </w:p>
    <w:p w14:paraId="226415FE">
      <w:pPr>
        <w:keepNext w:val="0"/>
        <w:keepLines w:val="0"/>
        <w:widowControl/>
        <w:suppressLineNumbers w:val="0"/>
        <w:ind w:firstLine="566" w:firstLineChars="200"/>
        <w:jc w:val="left"/>
        <w:rPr>
          <w:rFonts w:hint="default" w:ascii="Times New Roman" w:hAnsi="Times New Roman" w:eastAsia="仿宋_GB2312" w:cs="Times New Roman"/>
          <w:color w:val="auto"/>
          <w:kern w:val="0"/>
          <w:sz w:val="28"/>
          <w:szCs w:val="28"/>
          <w:lang w:val="en-US" w:eastAsia="zh-CN" w:bidi="ar"/>
        </w:rPr>
      </w:pPr>
    </w:p>
    <w:p w14:paraId="7B0B9EAF">
      <w:pPr>
        <w:keepNext w:val="0"/>
        <w:keepLines w:val="0"/>
        <w:widowControl/>
        <w:suppressLineNumbers w:val="0"/>
        <w:ind w:firstLine="566" w:firstLineChars="200"/>
        <w:jc w:val="left"/>
        <w:rPr>
          <w:rFonts w:hint="default" w:ascii="Times New Roman" w:hAnsi="Times New Roman" w:cs="Times New Roman"/>
          <w:color w:val="auto"/>
        </w:rPr>
      </w:pPr>
      <w:r>
        <w:rPr>
          <w:rFonts w:hint="default" w:ascii="Times New Roman" w:hAnsi="Times New Roman" w:eastAsia="仿宋_GB2312" w:cs="Times New Roman"/>
          <w:color w:val="auto"/>
          <w:kern w:val="0"/>
          <w:sz w:val="28"/>
          <w:szCs w:val="28"/>
          <w:lang w:val="en-US" w:eastAsia="zh-CN" w:bidi="ar"/>
        </w:rPr>
        <w:t xml:space="preserve">本单位郑重声明，根据《财政部 民政部 中国残疾人联合会关于促进残疾人就业政府采购政策的通知》（财库〔2017〕141 号）的规定，本单位为符合条件的残疾人福利性单位，且本单位参加（项目名称）（项目编号：      ）第___标段采购活动提供本单位制造的货物（由本单位承担工程/提供服务），或者提供其他残疾人福利性单位制造的货物（不包括使用非残疾人福利性单位注册商标的货物）。 </w:t>
      </w:r>
    </w:p>
    <w:p w14:paraId="38FD5E48">
      <w:pPr>
        <w:keepNext w:val="0"/>
        <w:keepLines w:val="0"/>
        <w:widowControl/>
        <w:suppressLineNumbers w:val="0"/>
        <w:jc w:val="left"/>
        <w:rPr>
          <w:rFonts w:hint="default" w:ascii="Times New Roman" w:hAnsi="Times New Roman" w:eastAsia="仿宋_GB2312" w:cs="Times New Roman"/>
          <w:color w:val="auto"/>
          <w:kern w:val="0"/>
          <w:sz w:val="28"/>
          <w:szCs w:val="28"/>
          <w:lang w:val="en-US" w:eastAsia="zh-CN" w:bidi="ar"/>
        </w:rPr>
      </w:pPr>
    </w:p>
    <w:p w14:paraId="44B2E0F3">
      <w:pPr>
        <w:keepNext w:val="0"/>
        <w:keepLines w:val="0"/>
        <w:widowControl/>
        <w:suppressLineNumbers w:val="0"/>
        <w:ind w:firstLine="566" w:firstLineChars="200"/>
        <w:jc w:val="left"/>
        <w:rPr>
          <w:rFonts w:hint="default" w:ascii="Times New Roman" w:hAnsi="Times New Roman" w:cs="Times New Roman"/>
          <w:color w:val="auto"/>
        </w:rPr>
      </w:pPr>
      <w:r>
        <w:rPr>
          <w:rFonts w:hint="default" w:ascii="Times New Roman" w:hAnsi="Times New Roman" w:eastAsia="仿宋_GB2312" w:cs="Times New Roman"/>
          <w:color w:val="auto"/>
          <w:kern w:val="0"/>
          <w:sz w:val="28"/>
          <w:szCs w:val="28"/>
          <w:lang w:val="en-US" w:eastAsia="zh-CN" w:bidi="ar"/>
        </w:rPr>
        <w:t xml:space="preserve">本单位对上述声明的真实性负责。如有虚假，将依法承担相应责任。 </w:t>
      </w:r>
    </w:p>
    <w:p w14:paraId="583B8B42">
      <w:pPr>
        <w:keepNext w:val="0"/>
        <w:keepLines w:val="0"/>
        <w:widowControl/>
        <w:suppressLineNumbers w:val="0"/>
        <w:ind w:firstLine="4811" w:firstLineChars="1700"/>
        <w:jc w:val="left"/>
        <w:rPr>
          <w:rFonts w:hint="default" w:ascii="Times New Roman" w:hAnsi="Times New Roman" w:eastAsia="仿宋_GB2312" w:cs="Times New Roman"/>
          <w:color w:val="auto"/>
          <w:kern w:val="0"/>
          <w:sz w:val="28"/>
          <w:szCs w:val="28"/>
          <w:lang w:val="en-US" w:eastAsia="zh-CN" w:bidi="ar"/>
        </w:rPr>
      </w:pPr>
    </w:p>
    <w:p w14:paraId="39568925">
      <w:pPr>
        <w:keepNext w:val="0"/>
        <w:keepLines w:val="0"/>
        <w:widowControl/>
        <w:suppressLineNumbers w:val="0"/>
        <w:ind w:firstLine="4811" w:firstLineChars="1700"/>
        <w:jc w:val="left"/>
        <w:rPr>
          <w:rFonts w:hint="default" w:ascii="Times New Roman" w:hAnsi="Times New Roman" w:cs="Times New Roman"/>
          <w:color w:val="auto"/>
        </w:rPr>
      </w:pPr>
      <w:r>
        <w:rPr>
          <w:rFonts w:hint="default" w:ascii="Times New Roman" w:hAnsi="Times New Roman" w:eastAsia="仿宋_GB2312" w:cs="Times New Roman"/>
          <w:color w:val="auto"/>
          <w:kern w:val="0"/>
          <w:sz w:val="28"/>
          <w:szCs w:val="28"/>
          <w:lang w:val="en-US" w:eastAsia="zh-CN" w:bidi="ar"/>
        </w:rPr>
        <w:t xml:space="preserve">响应人：名称（加盖公章） </w:t>
      </w:r>
    </w:p>
    <w:p w14:paraId="05A874A8">
      <w:pPr>
        <w:keepNext w:val="0"/>
        <w:keepLines w:val="0"/>
        <w:widowControl/>
        <w:suppressLineNumbers w:val="0"/>
        <w:ind w:firstLine="5094" w:firstLineChars="1800"/>
        <w:jc w:val="left"/>
        <w:rPr>
          <w:rFonts w:hint="default" w:ascii="Times New Roman" w:hAnsi="Times New Roman" w:cs="Times New Roman"/>
          <w:color w:val="auto"/>
        </w:rPr>
      </w:pPr>
      <w:r>
        <w:rPr>
          <w:rFonts w:hint="default" w:ascii="Times New Roman" w:hAnsi="Times New Roman" w:eastAsia="仿宋_GB2312" w:cs="Times New Roman"/>
          <w:color w:val="auto"/>
          <w:kern w:val="0"/>
          <w:sz w:val="28"/>
          <w:szCs w:val="28"/>
          <w:lang w:val="en-US" w:eastAsia="zh-CN" w:bidi="ar"/>
        </w:rPr>
        <w:t xml:space="preserve">日期： </w:t>
      </w:r>
    </w:p>
    <w:p w14:paraId="48154227">
      <w:pPr>
        <w:keepNext w:val="0"/>
        <w:keepLines w:val="0"/>
        <w:widowControl/>
        <w:suppressLineNumbers w:val="0"/>
        <w:ind w:firstLine="6509" w:firstLineChars="2300"/>
        <w:jc w:val="left"/>
        <w:rPr>
          <w:rFonts w:hint="default" w:ascii="Times New Roman" w:hAnsi="Times New Roman" w:cs="Times New Roman"/>
          <w:color w:val="auto"/>
        </w:rPr>
      </w:pPr>
      <w:r>
        <w:rPr>
          <w:rFonts w:hint="default" w:ascii="Times New Roman" w:hAnsi="Times New Roman" w:eastAsia="仿宋_GB2312" w:cs="Times New Roman"/>
          <w:color w:val="auto"/>
          <w:kern w:val="0"/>
          <w:sz w:val="28"/>
          <w:szCs w:val="28"/>
          <w:lang w:val="en-US" w:eastAsia="zh-CN" w:bidi="ar"/>
        </w:rPr>
        <w:t xml:space="preserve">年 月 日 </w:t>
      </w:r>
    </w:p>
    <w:p w14:paraId="399E2A45">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kern w:val="0"/>
          <w:sz w:val="24"/>
          <w:szCs w:val="24"/>
          <w:lang w:val="en-US" w:eastAsia="zh-CN" w:bidi="ar"/>
        </w:rPr>
        <w:t xml:space="preserve">备注：非残疾人福利性单位不用填写此表。 </w:t>
      </w:r>
    </w:p>
    <w:p w14:paraId="4A3999A8">
      <w:pPr>
        <w:keepNext w:val="0"/>
        <w:keepLines w:val="0"/>
        <w:widowControl/>
        <w:suppressLineNumbers w:val="0"/>
        <w:ind w:firstLine="486" w:firstLineChars="20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xml:space="preserve">项目不分标段的，第___标段空白处填写“/”。 根据《财政部 民政部 中国残疾人联合会关于促进残疾人就业政府采购政策的通知》（财库 〔2017〕141 号）的规定： </w:t>
      </w:r>
    </w:p>
    <w:p w14:paraId="5FE975B9">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xml:space="preserve">一、享受政府采购支持政策的残疾人福利性单位应当同时满足以下条件： </w:t>
      </w:r>
    </w:p>
    <w:p w14:paraId="494DBF14">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xml:space="preserve">（一）安置的残疾人占本单位在职职工人数的比例不低于 25%（含 25%），并且安置的残疾人人数不少于 10 人（含 10 人）； </w:t>
      </w:r>
    </w:p>
    <w:p w14:paraId="6531AEA1">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xml:space="preserve">（二）依法与安置的每位残疾人签订了一年以上（含一年）的劳动合同或服务协议； </w:t>
      </w:r>
    </w:p>
    <w:p w14:paraId="35A6C91E">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xml:space="preserve">（三）为安置的每位残疾人按月足额缴纳了基本养老保险、基本医疗保险、失业保险、工伤保险和生育保险等社会保险费； </w:t>
      </w:r>
    </w:p>
    <w:p w14:paraId="1EB7164B">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xml:space="preserve">（四）通过银行等金融机构向安置的每位残疾人，按月支付了不低于单位所在区县适用的经省级人民政府批准的月最低工资标准的工资； </w:t>
      </w:r>
    </w:p>
    <w:p w14:paraId="397FD877">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xml:space="preserve">（五）提供本单位制造的货物、承担的工程或者服务（以下简称产品），或者提供其他残疾人福利性单位制造的货物（不包括使用非残疾人福利性单位注册商标的货物）。 </w:t>
      </w:r>
    </w:p>
    <w:p w14:paraId="344B8304">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xml:space="preserve">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 </w:t>
      </w:r>
    </w:p>
    <w:p w14:paraId="43F39833">
      <w:pPr>
        <w:keepNext w:val="0"/>
        <w:keepLines w:val="0"/>
        <w:widowControl/>
        <w:suppressLineNumbers w:val="0"/>
        <w:jc w:val="left"/>
        <w:rPr>
          <w:rFonts w:hint="eastAsia" w:ascii="仿宋" w:hAnsi="仿宋" w:eastAsia="仿宋_GB2312" w:cs="仿宋"/>
          <w:color w:val="auto"/>
          <w:sz w:val="24"/>
          <w:szCs w:val="24"/>
        </w:rPr>
      </w:pPr>
      <w:r>
        <w:rPr>
          <w:rFonts w:hint="default" w:ascii="Times New Roman" w:hAnsi="Times New Roman" w:eastAsia="仿宋_GB2312" w:cs="Times New Roman"/>
          <w:color w:val="auto"/>
          <w:kern w:val="0"/>
          <w:sz w:val="24"/>
          <w:szCs w:val="24"/>
          <w:lang w:val="en-US" w:eastAsia="zh-CN" w:bidi="ar"/>
        </w:rPr>
        <w:t>二、中标、成交供应商为残疾人福利性单位的，采购人或者其委托的采购代理机构应当随中标、成交结果同时公告其《残疾人福利性单位声明函》，接受社会监督。</w:t>
      </w:r>
    </w:p>
    <w:p w14:paraId="7322AC79">
      <w:pPr>
        <w:keepNext w:val="0"/>
        <w:keepLines w:val="0"/>
        <w:pageBreakBefore w:val="0"/>
        <w:widowControl/>
        <w:kinsoku/>
        <w:wordWrap/>
        <w:overflowPunct/>
        <w:topLinePunct w:val="0"/>
        <w:autoSpaceDE/>
        <w:autoSpaceDN/>
        <w:bidi w:val="0"/>
        <w:adjustRightInd/>
        <w:snapToGrid/>
        <w:spacing w:line="560" w:lineRule="exact"/>
        <w:ind w:firstLine="2584" w:firstLineChars="800"/>
        <w:jc w:val="both"/>
        <w:textAlignment w:val="auto"/>
        <w:rPr>
          <w:rStyle w:val="19"/>
          <w:rFonts w:hint="eastAsia" w:ascii="Times New Roman" w:hAnsi="Times New Roman" w:eastAsia="黑体" w:cs="Times New Roman"/>
          <w:b w:val="0"/>
          <w:bCs/>
          <w:color w:val="auto"/>
          <w:sz w:val="32"/>
          <w:szCs w:val="40"/>
        </w:rPr>
      </w:pPr>
      <w:bookmarkStart w:id="272" w:name="_Toc9751"/>
      <w:r>
        <w:rPr>
          <w:rStyle w:val="19"/>
          <w:rFonts w:hint="eastAsia" w:ascii="Times New Roman" w:hAnsi="Times New Roman" w:eastAsia="黑体" w:cs="Times New Roman"/>
          <w:b w:val="0"/>
          <w:bCs/>
          <w:color w:val="auto"/>
          <w:sz w:val="32"/>
          <w:szCs w:val="40"/>
        </w:rPr>
        <w:t>第二部分  符合性证明文件</w:t>
      </w:r>
      <w:bookmarkEnd w:id="178"/>
      <w:bookmarkEnd w:id="179"/>
      <w:bookmarkEnd w:id="180"/>
      <w:bookmarkEnd w:id="181"/>
      <w:bookmarkEnd w:id="182"/>
      <w:bookmarkEnd w:id="272"/>
    </w:p>
    <w:p w14:paraId="143F96E5">
      <w:pPr>
        <w:spacing w:line="500" w:lineRule="exact"/>
        <w:ind w:firstLine="566" w:firstLineChars="200"/>
        <w:jc w:val="both"/>
        <w:rPr>
          <w:rFonts w:hint="eastAsia" w:ascii="仿宋_GB2312" w:hAnsi="仿宋_GB2312" w:eastAsia="仿宋_GB2312" w:cs="仿宋_GB2312"/>
          <w:b/>
          <w:bCs/>
          <w:color w:val="auto"/>
        </w:rPr>
      </w:pPr>
      <w:bookmarkStart w:id="273" w:name="_Toc3857"/>
      <w:bookmarkStart w:id="274" w:name="_Toc2230"/>
      <w:bookmarkStart w:id="275" w:name="_Toc14262"/>
      <w:bookmarkStart w:id="276" w:name="_Toc28961"/>
      <w:bookmarkStart w:id="277" w:name="_Toc19788"/>
      <w:bookmarkStart w:id="278" w:name="_Toc26623"/>
      <w:bookmarkStart w:id="279" w:name="_Toc26585"/>
      <w:bookmarkStart w:id="280" w:name="_Toc22486"/>
      <w:bookmarkStart w:id="281" w:name="_Toc7047"/>
      <w:r>
        <w:rPr>
          <w:rFonts w:hint="eastAsia" w:ascii="仿宋_GB2312" w:hAnsi="仿宋_GB2312" w:eastAsia="仿宋_GB2312" w:cs="仿宋_GB2312"/>
          <w:b/>
          <w:bCs/>
          <w:color w:val="auto"/>
        </w:rPr>
        <w:t>一、响应函格式</w:t>
      </w:r>
      <w:bookmarkEnd w:id="273"/>
      <w:bookmarkEnd w:id="274"/>
      <w:bookmarkEnd w:id="275"/>
      <w:bookmarkEnd w:id="276"/>
      <w:bookmarkEnd w:id="277"/>
      <w:bookmarkEnd w:id="278"/>
      <w:bookmarkEnd w:id="279"/>
      <w:bookmarkEnd w:id="280"/>
      <w:bookmarkEnd w:id="281"/>
    </w:p>
    <w:tbl>
      <w:tblPr>
        <w:tblStyle w:val="12"/>
        <w:tblW w:w="0" w:type="auto"/>
        <w:tblInd w:w="108" w:type="dxa"/>
        <w:tblLayout w:type="fixed"/>
        <w:tblCellMar>
          <w:top w:w="0" w:type="dxa"/>
          <w:left w:w="108" w:type="dxa"/>
          <w:bottom w:w="0" w:type="dxa"/>
          <w:right w:w="108" w:type="dxa"/>
        </w:tblCellMar>
      </w:tblPr>
      <w:tblGrid>
        <w:gridCol w:w="829"/>
        <w:gridCol w:w="613"/>
        <w:gridCol w:w="1473"/>
        <w:gridCol w:w="91"/>
        <w:gridCol w:w="2434"/>
        <w:gridCol w:w="384"/>
        <w:gridCol w:w="188"/>
        <w:gridCol w:w="413"/>
        <w:gridCol w:w="789"/>
        <w:gridCol w:w="1806"/>
      </w:tblGrid>
      <w:tr w14:paraId="3CE7D463">
        <w:tblPrEx>
          <w:tblCellMar>
            <w:top w:w="0" w:type="dxa"/>
            <w:left w:w="108" w:type="dxa"/>
            <w:bottom w:w="0" w:type="dxa"/>
            <w:right w:w="108" w:type="dxa"/>
          </w:tblCellMar>
        </w:tblPrEx>
        <w:trPr>
          <w:trHeight w:val="401" w:hRule="atLeast"/>
        </w:trPr>
        <w:tc>
          <w:tcPr>
            <w:tcW w:w="9020" w:type="dxa"/>
            <w:gridSpan w:val="10"/>
            <w:tcBorders>
              <w:top w:val="single" w:color="auto" w:sz="4" w:space="0"/>
              <w:left w:val="single" w:color="auto" w:sz="4" w:space="0"/>
              <w:bottom w:val="single" w:color="auto" w:sz="4" w:space="0"/>
              <w:right w:val="single" w:color="auto" w:sz="4" w:space="0"/>
            </w:tcBorders>
            <w:noWrap w:val="0"/>
            <w:vAlign w:val="center"/>
          </w:tcPr>
          <w:p w14:paraId="53F962A8">
            <w:pPr>
              <w:tabs>
                <w:tab w:val="left" w:pos="1260"/>
              </w:tabs>
              <w:ind w:firstLine="135" w:firstLineChars="56"/>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致：汉台区政府采购中心</w:t>
            </w:r>
          </w:p>
        </w:tc>
      </w:tr>
      <w:tr w14:paraId="7EAB67F6">
        <w:tblPrEx>
          <w:tblCellMar>
            <w:top w:w="0" w:type="dxa"/>
            <w:left w:w="108" w:type="dxa"/>
            <w:bottom w:w="0" w:type="dxa"/>
            <w:right w:w="108" w:type="dxa"/>
          </w:tblCellMar>
        </w:tblPrEx>
        <w:trPr>
          <w:cantSplit/>
          <w:trHeight w:val="410" w:hRule="atLeast"/>
        </w:trPr>
        <w:tc>
          <w:tcPr>
            <w:tcW w:w="829" w:type="dxa"/>
            <w:vMerge w:val="restart"/>
            <w:tcBorders>
              <w:top w:val="single" w:color="auto" w:sz="4" w:space="0"/>
              <w:left w:val="single" w:color="auto" w:sz="4" w:space="0"/>
              <w:bottom w:val="single" w:color="auto" w:sz="4" w:space="0"/>
              <w:right w:val="single" w:color="auto" w:sz="4" w:space="0"/>
            </w:tcBorders>
            <w:noWrap w:val="0"/>
            <w:vAlign w:val="center"/>
          </w:tcPr>
          <w:p w14:paraId="703463E3">
            <w:pPr>
              <w:tabs>
                <w:tab w:val="left" w:pos="1260"/>
              </w:tabs>
              <w:spacing w:line="30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kern w:val="1"/>
                <w:sz w:val="24"/>
              </w:rPr>
              <w:t>企 业 法 人（或负责人）</w:t>
            </w:r>
          </w:p>
        </w:tc>
        <w:tc>
          <w:tcPr>
            <w:tcW w:w="2086" w:type="dxa"/>
            <w:gridSpan w:val="2"/>
            <w:tcBorders>
              <w:top w:val="single" w:color="auto" w:sz="4" w:space="0"/>
              <w:left w:val="single" w:color="auto" w:sz="4" w:space="0"/>
              <w:bottom w:val="single" w:color="auto" w:sz="4" w:space="0"/>
              <w:right w:val="single" w:color="auto" w:sz="4" w:space="0"/>
            </w:tcBorders>
            <w:noWrap w:val="0"/>
            <w:vAlign w:val="center"/>
          </w:tcPr>
          <w:p w14:paraId="2927FCF8">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企业名称</w:t>
            </w:r>
          </w:p>
        </w:tc>
        <w:tc>
          <w:tcPr>
            <w:tcW w:w="6105" w:type="dxa"/>
            <w:gridSpan w:val="7"/>
            <w:tcBorders>
              <w:top w:val="single" w:color="auto" w:sz="4" w:space="0"/>
              <w:left w:val="single" w:color="auto" w:sz="4" w:space="0"/>
              <w:bottom w:val="single" w:color="auto" w:sz="4" w:space="0"/>
              <w:right w:val="single" w:color="auto" w:sz="4" w:space="0"/>
            </w:tcBorders>
            <w:noWrap w:val="0"/>
            <w:vAlign w:val="top"/>
          </w:tcPr>
          <w:p w14:paraId="5E7D5E7B">
            <w:pPr>
              <w:tabs>
                <w:tab w:val="left" w:pos="1260"/>
              </w:tabs>
              <w:rPr>
                <w:rFonts w:hint="default" w:ascii="Times New Roman" w:hAnsi="Times New Roman" w:eastAsia="仿宋" w:cs="Times New Roman"/>
                <w:color w:val="auto"/>
                <w:sz w:val="24"/>
              </w:rPr>
            </w:pPr>
          </w:p>
        </w:tc>
      </w:tr>
      <w:tr w14:paraId="059E6F8F">
        <w:tblPrEx>
          <w:tblCellMar>
            <w:top w:w="0" w:type="dxa"/>
            <w:left w:w="108" w:type="dxa"/>
            <w:bottom w:w="0" w:type="dxa"/>
            <w:right w:w="108" w:type="dxa"/>
          </w:tblCellMar>
        </w:tblPrEx>
        <w:trPr>
          <w:cantSplit/>
          <w:trHeight w:val="582"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611E20AD">
            <w:pPr>
              <w:widowControl/>
              <w:ind w:firstLine="459"/>
              <w:jc w:val="center"/>
              <w:rPr>
                <w:rFonts w:hint="default" w:ascii="Times New Roman" w:hAnsi="Times New Roman" w:eastAsia="仿宋" w:cs="Times New Roman"/>
                <w:color w:val="auto"/>
                <w:sz w:val="24"/>
              </w:rPr>
            </w:pPr>
          </w:p>
        </w:tc>
        <w:tc>
          <w:tcPr>
            <w:tcW w:w="2086" w:type="dxa"/>
            <w:gridSpan w:val="2"/>
            <w:tcBorders>
              <w:top w:val="single" w:color="auto" w:sz="4" w:space="0"/>
              <w:left w:val="single" w:color="auto" w:sz="4" w:space="0"/>
              <w:bottom w:val="single" w:color="auto" w:sz="4" w:space="0"/>
              <w:right w:val="single" w:color="auto" w:sz="4" w:space="0"/>
            </w:tcBorders>
            <w:noWrap w:val="0"/>
            <w:vAlign w:val="center"/>
          </w:tcPr>
          <w:p w14:paraId="7A76109D">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法定地址</w:t>
            </w:r>
          </w:p>
        </w:tc>
        <w:tc>
          <w:tcPr>
            <w:tcW w:w="6105" w:type="dxa"/>
            <w:gridSpan w:val="7"/>
            <w:tcBorders>
              <w:top w:val="single" w:color="auto" w:sz="4" w:space="0"/>
              <w:left w:val="single" w:color="auto" w:sz="4" w:space="0"/>
              <w:bottom w:val="single" w:color="auto" w:sz="4" w:space="0"/>
              <w:right w:val="single" w:color="auto" w:sz="4" w:space="0"/>
            </w:tcBorders>
            <w:noWrap w:val="0"/>
            <w:vAlign w:val="top"/>
          </w:tcPr>
          <w:p w14:paraId="19299B4C">
            <w:pPr>
              <w:tabs>
                <w:tab w:val="left" w:pos="1260"/>
              </w:tabs>
              <w:rPr>
                <w:rFonts w:hint="default" w:ascii="Times New Roman" w:hAnsi="Times New Roman" w:eastAsia="仿宋" w:cs="Times New Roman"/>
                <w:color w:val="auto"/>
                <w:sz w:val="24"/>
              </w:rPr>
            </w:pPr>
          </w:p>
        </w:tc>
      </w:tr>
      <w:tr w14:paraId="3821333C">
        <w:tblPrEx>
          <w:tblCellMar>
            <w:top w:w="0" w:type="dxa"/>
            <w:left w:w="108" w:type="dxa"/>
            <w:bottom w:w="0" w:type="dxa"/>
            <w:right w:w="108" w:type="dxa"/>
          </w:tblCellMar>
        </w:tblPrEx>
        <w:trPr>
          <w:cantSplit/>
          <w:trHeight w:val="483"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3A128777">
            <w:pPr>
              <w:widowControl/>
              <w:ind w:firstLine="459"/>
              <w:jc w:val="center"/>
              <w:rPr>
                <w:rFonts w:hint="default" w:ascii="Times New Roman" w:hAnsi="Times New Roman" w:eastAsia="仿宋" w:cs="Times New Roman"/>
                <w:color w:val="auto"/>
                <w:sz w:val="24"/>
              </w:rPr>
            </w:pPr>
          </w:p>
        </w:tc>
        <w:tc>
          <w:tcPr>
            <w:tcW w:w="2086" w:type="dxa"/>
            <w:gridSpan w:val="2"/>
            <w:tcBorders>
              <w:top w:val="single" w:color="auto" w:sz="4" w:space="0"/>
              <w:left w:val="single" w:color="auto" w:sz="4" w:space="0"/>
              <w:bottom w:val="single" w:color="auto" w:sz="4" w:space="0"/>
              <w:right w:val="single" w:color="auto" w:sz="4" w:space="0"/>
            </w:tcBorders>
            <w:noWrap w:val="0"/>
            <w:vAlign w:val="center"/>
          </w:tcPr>
          <w:p w14:paraId="5072ED1E">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法定代表人</w:t>
            </w:r>
          </w:p>
        </w:tc>
        <w:tc>
          <w:tcPr>
            <w:tcW w:w="2525" w:type="dxa"/>
            <w:gridSpan w:val="2"/>
            <w:tcBorders>
              <w:top w:val="single" w:color="auto" w:sz="4" w:space="0"/>
              <w:left w:val="single" w:color="auto" w:sz="4" w:space="0"/>
              <w:bottom w:val="single" w:color="auto" w:sz="4" w:space="0"/>
              <w:right w:val="single" w:color="auto" w:sz="4" w:space="0"/>
            </w:tcBorders>
            <w:noWrap w:val="0"/>
            <w:vAlign w:val="top"/>
          </w:tcPr>
          <w:p w14:paraId="520A8B53">
            <w:pPr>
              <w:tabs>
                <w:tab w:val="left" w:pos="1260"/>
              </w:tabs>
              <w:rPr>
                <w:rFonts w:hint="default" w:ascii="Times New Roman" w:hAnsi="Times New Roman" w:eastAsia="仿宋" w:cs="Times New Roman"/>
                <w:color w:val="auto"/>
                <w:sz w:val="24"/>
              </w:rPr>
            </w:pPr>
          </w:p>
        </w:tc>
        <w:tc>
          <w:tcPr>
            <w:tcW w:w="985" w:type="dxa"/>
            <w:gridSpan w:val="3"/>
            <w:tcBorders>
              <w:top w:val="single" w:color="auto" w:sz="4" w:space="0"/>
              <w:left w:val="single" w:color="auto" w:sz="4" w:space="0"/>
              <w:bottom w:val="single" w:color="auto" w:sz="4" w:space="0"/>
              <w:right w:val="single" w:color="auto" w:sz="4" w:space="0"/>
            </w:tcBorders>
            <w:noWrap w:val="0"/>
            <w:vAlign w:val="center"/>
          </w:tcPr>
          <w:p w14:paraId="612C9985">
            <w:pPr>
              <w:tabs>
                <w:tab w:val="left" w:pos="1260"/>
              </w:tabs>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职 务</w:t>
            </w:r>
          </w:p>
        </w:tc>
        <w:tc>
          <w:tcPr>
            <w:tcW w:w="2595" w:type="dxa"/>
            <w:gridSpan w:val="2"/>
            <w:tcBorders>
              <w:top w:val="single" w:color="auto" w:sz="4" w:space="0"/>
              <w:left w:val="single" w:color="auto" w:sz="4" w:space="0"/>
              <w:bottom w:val="single" w:color="auto" w:sz="4" w:space="0"/>
              <w:right w:val="single" w:color="auto" w:sz="4" w:space="0"/>
            </w:tcBorders>
            <w:noWrap w:val="0"/>
            <w:vAlign w:val="top"/>
          </w:tcPr>
          <w:p w14:paraId="29B29581">
            <w:pPr>
              <w:tabs>
                <w:tab w:val="left" w:pos="1260"/>
              </w:tabs>
              <w:ind w:firstLine="459"/>
              <w:rPr>
                <w:rFonts w:hint="default" w:ascii="Times New Roman" w:hAnsi="Times New Roman" w:eastAsia="仿宋" w:cs="Times New Roman"/>
                <w:color w:val="auto"/>
                <w:sz w:val="24"/>
              </w:rPr>
            </w:pPr>
          </w:p>
        </w:tc>
      </w:tr>
      <w:tr w14:paraId="4C1CBA09">
        <w:tblPrEx>
          <w:tblCellMar>
            <w:top w:w="0" w:type="dxa"/>
            <w:left w:w="108" w:type="dxa"/>
            <w:bottom w:w="0" w:type="dxa"/>
            <w:right w:w="108" w:type="dxa"/>
          </w:tblCellMar>
        </w:tblPrEx>
        <w:trPr>
          <w:cantSplit/>
          <w:trHeight w:val="444" w:hRule="atLeast"/>
        </w:trPr>
        <w:tc>
          <w:tcPr>
            <w:tcW w:w="829" w:type="dxa"/>
            <w:vMerge w:val="restart"/>
            <w:tcBorders>
              <w:top w:val="single" w:color="auto" w:sz="4" w:space="0"/>
              <w:left w:val="single" w:color="auto" w:sz="4" w:space="0"/>
              <w:bottom w:val="single" w:color="auto" w:sz="4" w:space="0"/>
              <w:right w:val="single" w:color="auto" w:sz="4" w:space="0"/>
            </w:tcBorders>
            <w:noWrap w:val="0"/>
            <w:vAlign w:val="center"/>
          </w:tcPr>
          <w:p w14:paraId="1F34841C">
            <w:pPr>
              <w:tabs>
                <w:tab w:val="left" w:pos="1260"/>
              </w:tabs>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响</w:t>
            </w:r>
          </w:p>
          <w:p w14:paraId="2B9DD666">
            <w:pPr>
              <w:tabs>
                <w:tab w:val="left" w:pos="1260"/>
              </w:tabs>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应</w:t>
            </w:r>
          </w:p>
          <w:p w14:paraId="18667148">
            <w:pPr>
              <w:tabs>
                <w:tab w:val="left" w:pos="1260"/>
              </w:tabs>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与</w:t>
            </w:r>
          </w:p>
          <w:p w14:paraId="3B34AC5E">
            <w:pPr>
              <w:tabs>
                <w:tab w:val="left" w:pos="1260"/>
              </w:tabs>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声</w:t>
            </w:r>
          </w:p>
          <w:p w14:paraId="2EF6885C">
            <w:pPr>
              <w:tabs>
                <w:tab w:val="left" w:pos="1260"/>
              </w:tabs>
              <w:spacing w:line="36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明</w:t>
            </w:r>
          </w:p>
        </w:tc>
        <w:tc>
          <w:tcPr>
            <w:tcW w:w="2086" w:type="dxa"/>
            <w:gridSpan w:val="2"/>
            <w:tcBorders>
              <w:top w:val="single" w:color="auto" w:sz="4" w:space="0"/>
              <w:left w:val="single" w:color="auto" w:sz="4" w:space="0"/>
              <w:bottom w:val="single" w:color="auto" w:sz="4" w:space="0"/>
              <w:right w:val="single" w:color="auto" w:sz="4" w:space="0"/>
            </w:tcBorders>
            <w:noWrap w:val="0"/>
            <w:vAlign w:val="top"/>
          </w:tcPr>
          <w:p w14:paraId="69E6C942">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项目名称</w:t>
            </w:r>
          </w:p>
        </w:tc>
        <w:tc>
          <w:tcPr>
            <w:tcW w:w="6105" w:type="dxa"/>
            <w:gridSpan w:val="7"/>
            <w:tcBorders>
              <w:top w:val="single" w:color="auto" w:sz="4" w:space="0"/>
              <w:left w:val="single" w:color="auto" w:sz="4" w:space="0"/>
              <w:bottom w:val="single" w:color="auto" w:sz="4" w:space="0"/>
              <w:right w:val="single" w:color="auto" w:sz="4" w:space="0"/>
            </w:tcBorders>
            <w:noWrap w:val="0"/>
            <w:vAlign w:val="top"/>
          </w:tcPr>
          <w:p w14:paraId="1EFF40A9">
            <w:pPr>
              <w:tabs>
                <w:tab w:val="left" w:pos="1260"/>
              </w:tabs>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 xml:space="preserve"> </w:t>
            </w:r>
          </w:p>
        </w:tc>
      </w:tr>
      <w:tr w14:paraId="6F8806B8">
        <w:tblPrEx>
          <w:tblCellMar>
            <w:top w:w="0" w:type="dxa"/>
            <w:left w:w="108" w:type="dxa"/>
            <w:bottom w:w="0" w:type="dxa"/>
            <w:right w:w="108" w:type="dxa"/>
          </w:tblCellMar>
        </w:tblPrEx>
        <w:trPr>
          <w:cantSplit/>
          <w:trHeight w:val="429"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0DB03AA2">
            <w:pPr>
              <w:widowControl/>
              <w:ind w:firstLine="459"/>
              <w:jc w:val="center"/>
              <w:rPr>
                <w:rFonts w:hint="default" w:ascii="Times New Roman" w:hAnsi="Times New Roman" w:eastAsia="仿宋" w:cs="Times New Roman"/>
                <w:color w:val="auto"/>
                <w:sz w:val="24"/>
              </w:rPr>
            </w:pPr>
          </w:p>
        </w:tc>
        <w:tc>
          <w:tcPr>
            <w:tcW w:w="2086" w:type="dxa"/>
            <w:gridSpan w:val="2"/>
            <w:tcBorders>
              <w:top w:val="single" w:color="auto" w:sz="4" w:space="0"/>
              <w:left w:val="single" w:color="auto" w:sz="4" w:space="0"/>
              <w:bottom w:val="single" w:color="auto" w:sz="4" w:space="0"/>
              <w:right w:val="single" w:color="auto" w:sz="4" w:space="0"/>
            </w:tcBorders>
            <w:noWrap w:val="0"/>
            <w:vAlign w:val="top"/>
          </w:tcPr>
          <w:p w14:paraId="588B1C69">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文件编号</w:t>
            </w:r>
          </w:p>
        </w:tc>
        <w:tc>
          <w:tcPr>
            <w:tcW w:w="6105" w:type="dxa"/>
            <w:gridSpan w:val="7"/>
            <w:tcBorders>
              <w:top w:val="single" w:color="auto" w:sz="4" w:space="0"/>
              <w:left w:val="single" w:color="auto" w:sz="4" w:space="0"/>
              <w:bottom w:val="single" w:color="auto" w:sz="4" w:space="0"/>
              <w:right w:val="single" w:color="auto" w:sz="4" w:space="0"/>
            </w:tcBorders>
            <w:noWrap w:val="0"/>
            <w:vAlign w:val="top"/>
          </w:tcPr>
          <w:p w14:paraId="3F3FAA59">
            <w:pPr>
              <w:tabs>
                <w:tab w:val="left" w:pos="1260"/>
              </w:tabs>
              <w:rPr>
                <w:rFonts w:hint="default" w:ascii="Times New Roman" w:hAnsi="Times New Roman" w:eastAsia="仿宋" w:cs="Times New Roman"/>
                <w:color w:val="auto"/>
                <w:sz w:val="24"/>
              </w:rPr>
            </w:pPr>
            <w:r>
              <w:rPr>
                <w:rFonts w:hint="default" w:ascii="Times New Roman" w:hAnsi="Times New Roman" w:eastAsia="仿宋_GB2312" w:cs="Times New Roman"/>
                <w:b/>
                <w:color w:val="auto"/>
                <w:sz w:val="24"/>
              </w:rPr>
              <w:t xml:space="preserve"> </w:t>
            </w:r>
          </w:p>
        </w:tc>
      </w:tr>
      <w:tr w14:paraId="60BB0EC4">
        <w:tblPrEx>
          <w:tblCellMar>
            <w:top w:w="0" w:type="dxa"/>
            <w:left w:w="108" w:type="dxa"/>
            <w:bottom w:w="0" w:type="dxa"/>
            <w:right w:w="108" w:type="dxa"/>
          </w:tblCellMar>
        </w:tblPrEx>
        <w:trPr>
          <w:cantSplit/>
          <w:trHeight w:val="501"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72B5C996">
            <w:pPr>
              <w:widowControl/>
              <w:ind w:firstLine="459"/>
              <w:jc w:val="center"/>
              <w:rPr>
                <w:rFonts w:hint="default" w:ascii="Times New Roman" w:hAnsi="Times New Roman" w:eastAsia="仿宋" w:cs="Times New Roman"/>
                <w:color w:val="auto"/>
                <w:sz w:val="24"/>
              </w:rPr>
            </w:pPr>
          </w:p>
        </w:tc>
        <w:tc>
          <w:tcPr>
            <w:tcW w:w="2086" w:type="dxa"/>
            <w:gridSpan w:val="2"/>
            <w:tcBorders>
              <w:top w:val="single" w:color="auto" w:sz="4" w:space="0"/>
              <w:left w:val="single" w:color="auto" w:sz="4" w:space="0"/>
              <w:bottom w:val="single" w:color="auto" w:sz="4" w:space="0"/>
              <w:right w:val="single" w:color="auto" w:sz="4" w:space="0"/>
            </w:tcBorders>
            <w:noWrap w:val="0"/>
            <w:vAlign w:val="top"/>
          </w:tcPr>
          <w:p w14:paraId="598D3C4A">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被授权人</w:t>
            </w:r>
          </w:p>
        </w:tc>
        <w:tc>
          <w:tcPr>
            <w:tcW w:w="2525" w:type="dxa"/>
            <w:gridSpan w:val="2"/>
            <w:tcBorders>
              <w:top w:val="single" w:color="auto" w:sz="4" w:space="0"/>
              <w:left w:val="single" w:color="auto" w:sz="4" w:space="0"/>
              <w:bottom w:val="single" w:color="auto" w:sz="4" w:space="0"/>
              <w:right w:val="single" w:color="auto" w:sz="4" w:space="0"/>
            </w:tcBorders>
            <w:noWrap w:val="0"/>
            <w:vAlign w:val="top"/>
          </w:tcPr>
          <w:p w14:paraId="264A6B6B">
            <w:pPr>
              <w:tabs>
                <w:tab w:val="left" w:pos="1260"/>
              </w:tabs>
              <w:ind w:firstLine="459"/>
              <w:rPr>
                <w:rFonts w:hint="default" w:ascii="Times New Roman" w:hAnsi="Times New Roman" w:eastAsia="仿宋" w:cs="Times New Roman"/>
                <w:color w:val="auto"/>
                <w:sz w:val="24"/>
              </w:rPr>
            </w:pPr>
          </w:p>
        </w:tc>
        <w:tc>
          <w:tcPr>
            <w:tcW w:w="985" w:type="dxa"/>
            <w:gridSpan w:val="3"/>
            <w:tcBorders>
              <w:top w:val="single" w:color="auto" w:sz="4" w:space="0"/>
              <w:left w:val="single" w:color="auto" w:sz="4" w:space="0"/>
              <w:bottom w:val="single" w:color="auto" w:sz="4" w:space="0"/>
              <w:right w:val="single" w:color="auto" w:sz="4" w:space="0"/>
            </w:tcBorders>
            <w:noWrap w:val="0"/>
            <w:vAlign w:val="center"/>
          </w:tcPr>
          <w:p w14:paraId="1E1DBD31">
            <w:pPr>
              <w:tabs>
                <w:tab w:val="left" w:pos="1260"/>
              </w:tabs>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职 务</w:t>
            </w:r>
          </w:p>
        </w:tc>
        <w:tc>
          <w:tcPr>
            <w:tcW w:w="2595" w:type="dxa"/>
            <w:gridSpan w:val="2"/>
            <w:tcBorders>
              <w:top w:val="single" w:color="auto" w:sz="4" w:space="0"/>
              <w:left w:val="single" w:color="auto" w:sz="4" w:space="0"/>
              <w:bottom w:val="single" w:color="auto" w:sz="4" w:space="0"/>
              <w:right w:val="single" w:color="auto" w:sz="4" w:space="0"/>
            </w:tcBorders>
            <w:noWrap w:val="0"/>
            <w:vAlign w:val="top"/>
          </w:tcPr>
          <w:p w14:paraId="7E3BA78A">
            <w:pPr>
              <w:tabs>
                <w:tab w:val="left" w:pos="1260"/>
              </w:tabs>
              <w:ind w:firstLine="459"/>
              <w:rPr>
                <w:rFonts w:hint="default" w:ascii="Times New Roman" w:hAnsi="Times New Roman" w:eastAsia="仿宋" w:cs="Times New Roman"/>
                <w:color w:val="auto"/>
                <w:sz w:val="24"/>
              </w:rPr>
            </w:pPr>
          </w:p>
        </w:tc>
      </w:tr>
      <w:tr w14:paraId="59EF21C7">
        <w:tblPrEx>
          <w:tblCellMar>
            <w:top w:w="0" w:type="dxa"/>
            <w:left w:w="108" w:type="dxa"/>
            <w:bottom w:w="0" w:type="dxa"/>
            <w:right w:w="108" w:type="dxa"/>
          </w:tblCellMar>
        </w:tblPrEx>
        <w:trPr>
          <w:cantSplit/>
          <w:trHeight w:val="421"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31E9DE74">
            <w:pPr>
              <w:widowControl/>
              <w:ind w:firstLine="459"/>
              <w:jc w:val="center"/>
              <w:rPr>
                <w:rFonts w:hint="default" w:ascii="Times New Roman" w:hAnsi="Times New Roman" w:eastAsia="仿宋" w:cs="Times New Roman"/>
                <w:color w:val="auto"/>
                <w:sz w:val="24"/>
              </w:rPr>
            </w:pPr>
          </w:p>
        </w:tc>
        <w:tc>
          <w:tcPr>
            <w:tcW w:w="2086" w:type="dxa"/>
            <w:gridSpan w:val="2"/>
            <w:tcBorders>
              <w:top w:val="single" w:color="auto" w:sz="4" w:space="0"/>
              <w:left w:val="single" w:color="auto" w:sz="4" w:space="0"/>
              <w:bottom w:val="single" w:color="auto" w:sz="4" w:space="0"/>
              <w:right w:val="single" w:color="auto" w:sz="4" w:space="0"/>
            </w:tcBorders>
            <w:noWrap w:val="0"/>
            <w:vAlign w:val="center"/>
          </w:tcPr>
          <w:p w14:paraId="670AF179">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递交响应文件</w:t>
            </w:r>
          </w:p>
        </w:tc>
        <w:tc>
          <w:tcPr>
            <w:tcW w:w="6105" w:type="dxa"/>
            <w:gridSpan w:val="7"/>
            <w:tcBorders>
              <w:top w:val="single" w:color="auto" w:sz="4" w:space="0"/>
              <w:left w:val="single" w:color="auto" w:sz="4" w:space="0"/>
              <w:bottom w:val="single" w:color="auto" w:sz="4" w:space="0"/>
              <w:right w:val="single" w:color="auto" w:sz="4" w:space="0"/>
            </w:tcBorders>
            <w:noWrap w:val="0"/>
            <w:vAlign w:val="center"/>
          </w:tcPr>
          <w:p w14:paraId="51B2BE6E">
            <w:pPr>
              <w:tabs>
                <w:tab w:val="left" w:pos="1260"/>
              </w:tabs>
              <w:spacing w:line="360" w:lineRule="exact"/>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正本</w:t>
            </w:r>
            <w:r>
              <w:rPr>
                <w:rFonts w:hint="default" w:ascii="Times New Roman" w:hAnsi="Times New Roman" w:eastAsia="仿宋_GB2312" w:cs="Times New Roman"/>
                <w:color w:val="auto"/>
                <w:sz w:val="24"/>
                <w:u w:val="single"/>
              </w:rPr>
              <w:t>1</w:t>
            </w:r>
            <w:r>
              <w:rPr>
                <w:rFonts w:hint="default" w:ascii="Times New Roman" w:hAnsi="Times New Roman" w:eastAsia="仿宋_GB2312" w:cs="Times New Roman"/>
                <w:color w:val="auto"/>
                <w:sz w:val="24"/>
              </w:rPr>
              <w:t>份、副本</w:t>
            </w:r>
            <w:r>
              <w:rPr>
                <w:rFonts w:hint="default" w:ascii="Times New Roman" w:hAnsi="Times New Roman" w:eastAsia="仿宋_GB2312" w:cs="Times New Roman"/>
                <w:color w:val="auto"/>
                <w:sz w:val="24"/>
                <w:u w:val="single"/>
              </w:rPr>
              <w:t>2</w:t>
            </w:r>
            <w:r>
              <w:rPr>
                <w:rFonts w:hint="default" w:ascii="Times New Roman" w:hAnsi="Times New Roman" w:eastAsia="仿宋_GB2312" w:cs="Times New Roman"/>
                <w:color w:val="auto"/>
                <w:sz w:val="24"/>
              </w:rPr>
              <w:t>份</w:t>
            </w:r>
          </w:p>
        </w:tc>
      </w:tr>
      <w:tr w14:paraId="223F13E4">
        <w:tblPrEx>
          <w:tblCellMar>
            <w:top w:w="0" w:type="dxa"/>
            <w:left w:w="108" w:type="dxa"/>
            <w:bottom w:w="0" w:type="dxa"/>
            <w:right w:w="108" w:type="dxa"/>
          </w:tblCellMar>
        </w:tblPrEx>
        <w:trPr>
          <w:cantSplit/>
          <w:trHeight w:val="443"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040EFE1E">
            <w:pPr>
              <w:widowControl/>
              <w:ind w:firstLine="459"/>
              <w:jc w:val="center"/>
              <w:rPr>
                <w:rFonts w:hint="default" w:ascii="Times New Roman" w:hAnsi="Times New Roman" w:eastAsia="仿宋" w:cs="Times New Roman"/>
                <w:color w:val="auto"/>
                <w:sz w:val="24"/>
              </w:rPr>
            </w:pPr>
          </w:p>
        </w:tc>
        <w:tc>
          <w:tcPr>
            <w:tcW w:w="2086" w:type="dxa"/>
            <w:gridSpan w:val="2"/>
            <w:tcBorders>
              <w:top w:val="single" w:color="auto" w:sz="4" w:space="0"/>
              <w:left w:val="single" w:color="auto" w:sz="4" w:space="0"/>
              <w:bottom w:val="single" w:color="auto" w:sz="4" w:space="0"/>
              <w:right w:val="single" w:color="auto" w:sz="4" w:space="0"/>
            </w:tcBorders>
            <w:noWrap w:val="0"/>
            <w:vAlign w:val="center"/>
          </w:tcPr>
          <w:p w14:paraId="4E70B10E">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交纳保证金</w:t>
            </w:r>
          </w:p>
        </w:tc>
        <w:tc>
          <w:tcPr>
            <w:tcW w:w="6105" w:type="dxa"/>
            <w:gridSpan w:val="7"/>
            <w:tcBorders>
              <w:top w:val="single" w:color="auto" w:sz="4" w:space="0"/>
              <w:left w:val="single" w:color="auto" w:sz="4" w:space="0"/>
              <w:bottom w:val="single" w:color="auto" w:sz="4" w:space="0"/>
              <w:right w:val="single" w:color="auto" w:sz="4" w:space="0"/>
            </w:tcBorders>
            <w:noWrap w:val="0"/>
            <w:vAlign w:val="center"/>
          </w:tcPr>
          <w:p w14:paraId="5F8486F4">
            <w:pPr>
              <w:tabs>
                <w:tab w:val="left" w:pos="1260"/>
              </w:tabs>
              <w:spacing w:line="360" w:lineRule="exact"/>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RMB：   元。</w:t>
            </w:r>
          </w:p>
        </w:tc>
      </w:tr>
      <w:tr w14:paraId="006A7C41">
        <w:tblPrEx>
          <w:tblCellMar>
            <w:top w:w="0" w:type="dxa"/>
            <w:left w:w="108" w:type="dxa"/>
            <w:bottom w:w="0" w:type="dxa"/>
            <w:right w:w="108" w:type="dxa"/>
          </w:tblCellMar>
        </w:tblPrEx>
        <w:trPr>
          <w:cantSplit/>
          <w:trHeight w:val="632"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66E718C1">
            <w:pPr>
              <w:widowControl/>
              <w:ind w:firstLine="459"/>
              <w:rPr>
                <w:rFonts w:hint="default" w:ascii="Times New Roman" w:hAnsi="Times New Roman" w:eastAsia="仿宋" w:cs="Times New Roman"/>
                <w:color w:val="auto"/>
                <w:sz w:val="24"/>
              </w:rPr>
            </w:pPr>
          </w:p>
        </w:tc>
        <w:tc>
          <w:tcPr>
            <w:tcW w:w="8191" w:type="dxa"/>
            <w:gridSpan w:val="9"/>
            <w:tcBorders>
              <w:top w:val="single" w:color="auto" w:sz="4" w:space="0"/>
              <w:left w:val="single" w:color="auto" w:sz="4" w:space="0"/>
              <w:bottom w:val="single" w:color="auto" w:sz="4" w:space="0"/>
              <w:right w:val="single" w:color="auto" w:sz="4" w:space="0"/>
            </w:tcBorders>
            <w:noWrap w:val="0"/>
            <w:vAlign w:val="center"/>
          </w:tcPr>
          <w:p w14:paraId="7CB958ED">
            <w:pPr>
              <w:tabs>
                <w:tab w:val="left" w:pos="1260"/>
              </w:tabs>
              <w:spacing w:line="360" w:lineRule="exact"/>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作为响应人郑重声明</w:t>
            </w:r>
          </w:p>
        </w:tc>
      </w:tr>
      <w:tr w14:paraId="02AF7435">
        <w:tblPrEx>
          <w:tblCellMar>
            <w:top w:w="0" w:type="dxa"/>
            <w:left w:w="108" w:type="dxa"/>
            <w:bottom w:w="0" w:type="dxa"/>
            <w:right w:w="108" w:type="dxa"/>
          </w:tblCellMar>
        </w:tblPrEx>
        <w:trPr>
          <w:cantSplit/>
          <w:trHeight w:val="633"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4EFEFE7B">
            <w:pPr>
              <w:widowControl/>
              <w:ind w:firstLine="459"/>
              <w:rPr>
                <w:rFonts w:hint="default" w:ascii="Times New Roman" w:hAnsi="Times New Roman" w:eastAsia="仿宋" w:cs="Times New Roman"/>
                <w:color w:val="auto"/>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300ACC15">
            <w:pPr>
              <w:tabs>
                <w:tab w:val="left" w:pos="1260"/>
              </w:tabs>
              <w:spacing w:line="36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A</w:t>
            </w:r>
          </w:p>
        </w:tc>
        <w:tc>
          <w:tcPr>
            <w:tcW w:w="7578" w:type="dxa"/>
            <w:gridSpan w:val="8"/>
            <w:tcBorders>
              <w:top w:val="single" w:color="auto" w:sz="4" w:space="0"/>
              <w:left w:val="single" w:color="auto" w:sz="4" w:space="0"/>
              <w:bottom w:val="single" w:color="auto" w:sz="4" w:space="0"/>
              <w:right w:val="single" w:color="auto" w:sz="4" w:space="0"/>
            </w:tcBorders>
            <w:noWrap w:val="0"/>
            <w:vAlign w:val="center"/>
          </w:tcPr>
          <w:p w14:paraId="1FF8A990">
            <w:pPr>
              <w:tabs>
                <w:tab w:val="left" w:pos="1260"/>
              </w:tabs>
              <w:spacing w:line="300" w:lineRule="exact"/>
              <w:ind w:firstLine="243" w:firstLineChars="100"/>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依据响应文件的内容要求，提供完全满足采购需求的合格产品和全面技术、售后服务保障。</w:t>
            </w:r>
          </w:p>
        </w:tc>
      </w:tr>
      <w:tr w14:paraId="49E01FCE">
        <w:tblPrEx>
          <w:tblCellMar>
            <w:top w:w="0" w:type="dxa"/>
            <w:left w:w="108" w:type="dxa"/>
            <w:bottom w:w="0" w:type="dxa"/>
            <w:right w:w="108" w:type="dxa"/>
          </w:tblCellMar>
        </w:tblPrEx>
        <w:trPr>
          <w:cantSplit/>
          <w:trHeight w:val="633"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1B615FFE">
            <w:pPr>
              <w:widowControl/>
              <w:ind w:firstLine="459"/>
              <w:rPr>
                <w:rFonts w:hint="default" w:ascii="Times New Roman" w:hAnsi="Times New Roman" w:eastAsia="仿宋" w:cs="Times New Roman"/>
                <w:color w:val="auto"/>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33D393FB">
            <w:pPr>
              <w:tabs>
                <w:tab w:val="left" w:pos="1260"/>
              </w:tabs>
              <w:spacing w:line="36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B</w:t>
            </w:r>
          </w:p>
        </w:tc>
        <w:tc>
          <w:tcPr>
            <w:tcW w:w="7578" w:type="dxa"/>
            <w:gridSpan w:val="8"/>
            <w:tcBorders>
              <w:top w:val="single" w:color="auto" w:sz="4" w:space="0"/>
              <w:left w:val="single" w:color="auto" w:sz="4" w:space="0"/>
              <w:bottom w:val="single" w:color="auto" w:sz="4" w:space="0"/>
              <w:right w:val="single" w:color="auto" w:sz="4" w:space="0"/>
            </w:tcBorders>
            <w:noWrap w:val="0"/>
            <w:vAlign w:val="center"/>
          </w:tcPr>
          <w:p w14:paraId="3894ABCC">
            <w:pPr>
              <w:tabs>
                <w:tab w:val="left" w:pos="1260"/>
              </w:tabs>
              <w:spacing w:line="300" w:lineRule="exact"/>
              <w:ind w:firstLine="243" w:firstLineChars="100"/>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已详细阅读和核实全部响应文件内容,完全清楚和知道必须放弃提出含糊不清或误解问题的所有权利。</w:t>
            </w:r>
          </w:p>
        </w:tc>
      </w:tr>
      <w:tr w14:paraId="49689267">
        <w:tblPrEx>
          <w:tblCellMar>
            <w:top w:w="0" w:type="dxa"/>
            <w:left w:w="108" w:type="dxa"/>
            <w:bottom w:w="0" w:type="dxa"/>
            <w:right w:w="108" w:type="dxa"/>
          </w:tblCellMar>
        </w:tblPrEx>
        <w:trPr>
          <w:cantSplit/>
          <w:trHeight w:val="518"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044CC44F">
            <w:pPr>
              <w:widowControl/>
              <w:ind w:firstLine="459"/>
              <w:rPr>
                <w:rFonts w:hint="default" w:ascii="Times New Roman" w:hAnsi="Times New Roman" w:eastAsia="仿宋" w:cs="Times New Roman"/>
                <w:color w:val="auto"/>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78D58841">
            <w:pPr>
              <w:tabs>
                <w:tab w:val="left" w:pos="1260"/>
              </w:tabs>
              <w:spacing w:line="36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C</w:t>
            </w:r>
          </w:p>
        </w:tc>
        <w:tc>
          <w:tcPr>
            <w:tcW w:w="7578" w:type="dxa"/>
            <w:gridSpan w:val="8"/>
            <w:tcBorders>
              <w:top w:val="single" w:color="auto" w:sz="4" w:space="0"/>
              <w:left w:val="single" w:color="auto" w:sz="4" w:space="0"/>
              <w:bottom w:val="single" w:color="auto" w:sz="4" w:space="0"/>
              <w:right w:val="single" w:color="auto" w:sz="4" w:space="0"/>
            </w:tcBorders>
            <w:noWrap w:val="0"/>
            <w:vAlign w:val="center"/>
          </w:tcPr>
          <w:p w14:paraId="6DB987A2">
            <w:pPr>
              <w:tabs>
                <w:tab w:val="left" w:pos="1260"/>
              </w:tabs>
              <w:spacing w:line="300" w:lineRule="exact"/>
              <w:ind w:firstLine="243" w:firstLineChars="100"/>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同意提供与本次磋商采购活动相关的其他任何证据和资料。</w:t>
            </w:r>
          </w:p>
        </w:tc>
      </w:tr>
      <w:tr w14:paraId="2262E94F">
        <w:tblPrEx>
          <w:tblCellMar>
            <w:top w:w="0" w:type="dxa"/>
            <w:left w:w="108" w:type="dxa"/>
            <w:bottom w:w="0" w:type="dxa"/>
            <w:right w:w="108" w:type="dxa"/>
          </w:tblCellMar>
        </w:tblPrEx>
        <w:trPr>
          <w:cantSplit/>
          <w:trHeight w:val="470"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6583FF09">
            <w:pPr>
              <w:widowControl/>
              <w:ind w:firstLine="459"/>
              <w:rPr>
                <w:rFonts w:hint="default" w:ascii="Times New Roman" w:hAnsi="Times New Roman" w:eastAsia="仿宋" w:cs="Times New Roman"/>
                <w:color w:val="auto"/>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2E5185CF">
            <w:pPr>
              <w:tabs>
                <w:tab w:val="left" w:pos="1260"/>
              </w:tabs>
              <w:spacing w:line="36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D</w:t>
            </w:r>
          </w:p>
        </w:tc>
        <w:tc>
          <w:tcPr>
            <w:tcW w:w="7578" w:type="dxa"/>
            <w:gridSpan w:val="8"/>
            <w:tcBorders>
              <w:top w:val="single" w:color="auto" w:sz="4" w:space="0"/>
              <w:left w:val="single" w:color="auto" w:sz="4" w:space="0"/>
              <w:bottom w:val="single" w:color="auto" w:sz="4" w:space="0"/>
              <w:right w:val="single" w:color="auto" w:sz="4" w:space="0"/>
            </w:tcBorders>
            <w:noWrap w:val="0"/>
            <w:vAlign w:val="center"/>
          </w:tcPr>
          <w:p w14:paraId="57295896">
            <w:pPr>
              <w:tabs>
                <w:tab w:val="left" w:pos="1260"/>
              </w:tabs>
              <w:spacing w:line="300" w:lineRule="exact"/>
              <w:ind w:firstLine="243" w:firstLineChars="100"/>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尊重评审委员会的评审结论及成交结果。</w:t>
            </w:r>
          </w:p>
        </w:tc>
      </w:tr>
      <w:tr w14:paraId="51722F72">
        <w:tblPrEx>
          <w:tblCellMar>
            <w:top w:w="0" w:type="dxa"/>
            <w:left w:w="108" w:type="dxa"/>
            <w:bottom w:w="0" w:type="dxa"/>
            <w:right w:w="108" w:type="dxa"/>
          </w:tblCellMar>
        </w:tblPrEx>
        <w:trPr>
          <w:cantSplit/>
          <w:trHeight w:val="633"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3464BD5E">
            <w:pPr>
              <w:widowControl/>
              <w:ind w:firstLine="459"/>
              <w:rPr>
                <w:rFonts w:hint="default" w:ascii="Times New Roman" w:hAnsi="Times New Roman" w:eastAsia="仿宋" w:cs="Times New Roman"/>
                <w:color w:val="auto"/>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6C164598">
            <w:pPr>
              <w:tabs>
                <w:tab w:val="left" w:pos="1260"/>
              </w:tabs>
              <w:spacing w:line="36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E</w:t>
            </w:r>
          </w:p>
        </w:tc>
        <w:tc>
          <w:tcPr>
            <w:tcW w:w="7578" w:type="dxa"/>
            <w:gridSpan w:val="8"/>
            <w:tcBorders>
              <w:top w:val="single" w:color="auto" w:sz="4" w:space="0"/>
              <w:left w:val="single" w:color="auto" w:sz="4" w:space="0"/>
              <w:bottom w:val="single" w:color="auto" w:sz="4" w:space="0"/>
              <w:right w:val="single" w:color="auto" w:sz="4" w:space="0"/>
            </w:tcBorders>
            <w:noWrap w:val="0"/>
            <w:vAlign w:val="center"/>
          </w:tcPr>
          <w:p w14:paraId="349B1004">
            <w:pPr>
              <w:tabs>
                <w:tab w:val="left" w:pos="1260"/>
              </w:tabs>
              <w:spacing w:line="300" w:lineRule="exact"/>
              <w:ind w:firstLine="243" w:firstLineChars="100"/>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如若成交，将根据磋商文件的要求、响应文件及承诺条件，全面签约并履行约定书规定的责任和义务。</w:t>
            </w:r>
          </w:p>
        </w:tc>
      </w:tr>
      <w:tr w14:paraId="233E8BDC">
        <w:tblPrEx>
          <w:tblCellMar>
            <w:top w:w="0" w:type="dxa"/>
            <w:left w:w="108" w:type="dxa"/>
            <w:bottom w:w="0" w:type="dxa"/>
            <w:right w:w="108" w:type="dxa"/>
          </w:tblCellMar>
        </w:tblPrEx>
        <w:trPr>
          <w:cantSplit/>
          <w:trHeight w:val="470"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1270F2EB">
            <w:pPr>
              <w:widowControl/>
              <w:ind w:firstLine="459"/>
              <w:rPr>
                <w:rFonts w:hint="default" w:ascii="Times New Roman" w:hAnsi="Times New Roman" w:eastAsia="仿宋" w:cs="Times New Roman"/>
                <w:color w:val="auto"/>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36A0CD88">
            <w:pPr>
              <w:tabs>
                <w:tab w:val="left" w:pos="1260"/>
              </w:tabs>
              <w:spacing w:line="36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F</w:t>
            </w:r>
          </w:p>
        </w:tc>
        <w:tc>
          <w:tcPr>
            <w:tcW w:w="7578" w:type="dxa"/>
            <w:gridSpan w:val="8"/>
            <w:tcBorders>
              <w:top w:val="single" w:color="auto" w:sz="4" w:space="0"/>
              <w:left w:val="single" w:color="auto" w:sz="4" w:space="0"/>
              <w:bottom w:val="single" w:color="auto" w:sz="4" w:space="0"/>
              <w:right w:val="single" w:color="auto" w:sz="4" w:space="0"/>
            </w:tcBorders>
            <w:noWrap w:val="0"/>
            <w:vAlign w:val="center"/>
          </w:tcPr>
          <w:p w14:paraId="0D2113F3">
            <w:pPr>
              <w:tabs>
                <w:tab w:val="left" w:pos="1260"/>
              </w:tabs>
              <w:spacing w:line="300" w:lineRule="exact"/>
              <w:ind w:firstLine="237" w:firstLineChars="98"/>
              <w:rPr>
                <w:rFonts w:hint="default" w:ascii="Times New Roman" w:hAnsi="Times New Roman" w:eastAsia="仿宋" w:cs="Times New Roman"/>
                <w:color w:val="auto"/>
                <w:sz w:val="24"/>
              </w:rPr>
            </w:pPr>
            <w:r>
              <w:rPr>
                <w:rFonts w:hint="default" w:ascii="Times New Roman" w:hAnsi="Times New Roman" w:eastAsia="仿宋_GB2312" w:cs="Times New Roman"/>
                <w:b/>
                <w:bCs/>
                <w:color w:val="auto"/>
                <w:sz w:val="24"/>
              </w:rPr>
              <w:t>本响应文件自磋商大会之日计算有效期为90天</w:t>
            </w:r>
            <w:r>
              <w:rPr>
                <w:rFonts w:hint="default" w:ascii="Times New Roman" w:hAnsi="Times New Roman" w:eastAsia="仿宋_GB2312" w:cs="Times New Roman"/>
                <w:color w:val="auto"/>
                <w:sz w:val="24"/>
              </w:rPr>
              <w:t>。</w:t>
            </w:r>
          </w:p>
        </w:tc>
      </w:tr>
      <w:tr w14:paraId="2948E625">
        <w:tblPrEx>
          <w:tblCellMar>
            <w:top w:w="0" w:type="dxa"/>
            <w:left w:w="108" w:type="dxa"/>
            <w:bottom w:w="0" w:type="dxa"/>
            <w:right w:w="108" w:type="dxa"/>
          </w:tblCellMar>
        </w:tblPrEx>
        <w:trPr>
          <w:trHeight w:val="580" w:hRule="atLeast"/>
        </w:trPr>
        <w:tc>
          <w:tcPr>
            <w:tcW w:w="9020" w:type="dxa"/>
            <w:gridSpan w:val="10"/>
            <w:tcBorders>
              <w:top w:val="single" w:color="auto" w:sz="4" w:space="0"/>
              <w:left w:val="single" w:color="auto" w:sz="4" w:space="0"/>
              <w:bottom w:val="single" w:color="auto" w:sz="4" w:space="0"/>
              <w:right w:val="single" w:color="auto" w:sz="4" w:space="0"/>
            </w:tcBorders>
            <w:noWrap w:val="0"/>
            <w:vAlign w:val="center"/>
          </w:tcPr>
          <w:p w14:paraId="1BBBC2F5">
            <w:pPr>
              <w:tabs>
                <w:tab w:val="left" w:pos="1260"/>
              </w:tabs>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有关本次磋商的所有联络函电，请按下列方式联系：</w:t>
            </w:r>
          </w:p>
        </w:tc>
      </w:tr>
      <w:tr w14:paraId="20888D4D">
        <w:tblPrEx>
          <w:tblCellMar>
            <w:top w:w="0" w:type="dxa"/>
            <w:left w:w="108" w:type="dxa"/>
            <w:bottom w:w="0" w:type="dxa"/>
            <w:right w:w="108" w:type="dxa"/>
          </w:tblCellMar>
        </w:tblPrEx>
        <w:trPr>
          <w:trHeight w:val="400" w:hRule="atLeast"/>
        </w:trPr>
        <w:tc>
          <w:tcPr>
            <w:tcW w:w="1442" w:type="dxa"/>
            <w:gridSpan w:val="2"/>
            <w:tcBorders>
              <w:top w:val="single" w:color="auto" w:sz="4" w:space="0"/>
              <w:left w:val="single" w:color="auto" w:sz="4" w:space="0"/>
              <w:bottom w:val="single" w:color="auto" w:sz="4" w:space="0"/>
              <w:right w:val="single" w:color="auto" w:sz="4" w:space="0"/>
            </w:tcBorders>
            <w:noWrap w:val="0"/>
            <w:vAlign w:val="center"/>
          </w:tcPr>
          <w:p w14:paraId="5D71B39F">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地    址</w:t>
            </w:r>
          </w:p>
        </w:tc>
        <w:tc>
          <w:tcPr>
            <w:tcW w:w="4382" w:type="dxa"/>
            <w:gridSpan w:val="4"/>
            <w:tcBorders>
              <w:top w:val="single" w:color="auto" w:sz="4" w:space="0"/>
              <w:left w:val="single" w:color="auto" w:sz="4" w:space="0"/>
              <w:bottom w:val="single" w:color="auto" w:sz="4" w:space="0"/>
              <w:right w:val="single" w:color="auto" w:sz="4" w:space="0"/>
            </w:tcBorders>
            <w:noWrap w:val="0"/>
            <w:vAlign w:val="center"/>
          </w:tcPr>
          <w:p w14:paraId="475393CF">
            <w:pPr>
              <w:tabs>
                <w:tab w:val="left" w:pos="1260"/>
              </w:tabs>
              <w:ind w:firstLine="394"/>
              <w:jc w:val="center"/>
              <w:rPr>
                <w:rFonts w:hint="default" w:ascii="Times New Roman" w:hAnsi="Times New Roman" w:eastAsia="仿宋" w:cs="Times New Roman"/>
                <w:color w:val="auto"/>
                <w:sz w:val="24"/>
              </w:rPr>
            </w:pPr>
          </w:p>
        </w:tc>
        <w:tc>
          <w:tcPr>
            <w:tcW w:w="1390" w:type="dxa"/>
            <w:gridSpan w:val="3"/>
            <w:tcBorders>
              <w:top w:val="single" w:color="auto" w:sz="4" w:space="0"/>
              <w:left w:val="single" w:color="auto" w:sz="4" w:space="0"/>
              <w:bottom w:val="single" w:color="auto" w:sz="4" w:space="0"/>
              <w:right w:val="single" w:color="auto" w:sz="4" w:space="0"/>
            </w:tcBorders>
            <w:noWrap w:val="0"/>
            <w:vAlign w:val="center"/>
          </w:tcPr>
          <w:p w14:paraId="6AF46C77">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邮政编码</w:t>
            </w:r>
          </w:p>
        </w:tc>
        <w:tc>
          <w:tcPr>
            <w:tcW w:w="1806" w:type="dxa"/>
            <w:tcBorders>
              <w:top w:val="single" w:color="auto" w:sz="4" w:space="0"/>
              <w:left w:val="single" w:color="auto" w:sz="4" w:space="0"/>
              <w:bottom w:val="single" w:color="auto" w:sz="4" w:space="0"/>
              <w:right w:val="single" w:color="auto" w:sz="4" w:space="0"/>
            </w:tcBorders>
            <w:noWrap w:val="0"/>
            <w:vAlign w:val="center"/>
          </w:tcPr>
          <w:p w14:paraId="45180F64">
            <w:pPr>
              <w:tabs>
                <w:tab w:val="left" w:pos="1260"/>
              </w:tabs>
              <w:ind w:firstLine="459"/>
              <w:rPr>
                <w:rFonts w:hint="default" w:ascii="Times New Roman" w:hAnsi="Times New Roman" w:eastAsia="仿宋" w:cs="Times New Roman"/>
                <w:color w:val="auto"/>
                <w:sz w:val="24"/>
              </w:rPr>
            </w:pPr>
          </w:p>
        </w:tc>
      </w:tr>
      <w:tr w14:paraId="1F0F16A4">
        <w:tblPrEx>
          <w:tblCellMar>
            <w:top w:w="0" w:type="dxa"/>
            <w:left w:w="108" w:type="dxa"/>
            <w:bottom w:w="0" w:type="dxa"/>
            <w:right w:w="108" w:type="dxa"/>
          </w:tblCellMar>
        </w:tblPrEx>
        <w:trPr>
          <w:trHeight w:val="400" w:hRule="atLeast"/>
        </w:trPr>
        <w:tc>
          <w:tcPr>
            <w:tcW w:w="1442" w:type="dxa"/>
            <w:gridSpan w:val="2"/>
            <w:tcBorders>
              <w:top w:val="single" w:color="auto" w:sz="4" w:space="0"/>
              <w:left w:val="single" w:color="auto" w:sz="4" w:space="0"/>
              <w:bottom w:val="single" w:color="auto" w:sz="4" w:space="0"/>
              <w:right w:val="single" w:color="auto" w:sz="4" w:space="0"/>
            </w:tcBorders>
            <w:noWrap w:val="0"/>
            <w:vAlign w:val="center"/>
          </w:tcPr>
          <w:p w14:paraId="03435FF8">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电话/传真</w:t>
            </w:r>
          </w:p>
        </w:tc>
        <w:tc>
          <w:tcPr>
            <w:tcW w:w="4382" w:type="dxa"/>
            <w:gridSpan w:val="4"/>
            <w:tcBorders>
              <w:top w:val="single" w:color="auto" w:sz="4" w:space="0"/>
              <w:left w:val="single" w:color="auto" w:sz="4" w:space="0"/>
              <w:bottom w:val="single" w:color="auto" w:sz="4" w:space="0"/>
              <w:right w:val="single" w:color="auto" w:sz="4" w:space="0"/>
            </w:tcBorders>
            <w:noWrap w:val="0"/>
            <w:vAlign w:val="center"/>
          </w:tcPr>
          <w:p w14:paraId="1D4F9133">
            <w:pPr>
              <w:tabs>
                <w:tab w:val="left" w:pos="1260"/>
              </w:tabs>
              <w:ind w:firstLine="394"/>
              <w:jc w:val="center"/>
              <w:rPr>
                <w:rFonts w:hint="default" w:ascii="Times New Roman" w:hAnsi="Times New Roman" w:eastAsia="仿宋" w:cs="Times New Roman"/>
                <w:color w:val="auto"/>
                <w:sz w:val="24"/>
              </w:rPr>
            </w:pPr>
          </w:p>
        </w:tc>
        <w:tc>
          <w:tcPr>
            <w:tcW w:w="1390" w:type="dxa"/>
            <w:gridSpan w:val="3"/>
            <w:tcBorders>
              <w:top w:val="single" w:color="auto" w:sz="4" w:space="0"/>
              <w:left w:val="single" w:color="auto" w:sz="4" w:space="0"/>
              <w:bottom w:val="single" w:color="auto" w:sz="4" w:space="0"/>
              <w:right w:val="single" w:color="auto" w:sz="4" w:space="0"/>
            </w:tcBorders>
            <w:noWrap w:val="0"/>
            <w:vAlign w:val="center"/>
          </w:tcPr>
          <w:p w14:paraId="0E776CAE">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联 系 人</w:t>
            </w:r>
          </w:p>
        </w:tc>
        <w:tc>
          <w:tcPr>
            <w:tcW w:w="1806" w:type="dxa"/>
            <w:tcBorders>
              <w:top w:val="single" w:color="auto" w:sz="4" w:space="0"/>
              <w:left w:val="single" w:color="auto" w:sz="4" w:space="0"/>
              <w:bottom w:val="single" w:color="auto" w:sz="4" w:space="0"/>
              <w:right w:val="single" w:color="auto" w:sz="4" w:space="0"/>
            </w:tcBorders>
            <w:noWrap w:val="0"/>
            <w:vAlign w:val="center"/>
          </w:tcPr>
          <w:p w14:paraId="7376A717">
            <w:pPr>
              <w:tabs>
                <w:tab w:val="left" w:pos="1260"/>
              </w:tabs>
              <w:ind w:firstLine="459"/>
              <w:rPr>
                <w:rFonts w:hint="default" w:ascii="Times New Roman" w:hAnsi="Times New Roman" w:eastAsia="仿宋" w:cs="Times New Roman"/>
                <w:color w:val="auto"/>
                <w:sz w:val="24"/>
              </w:rPr>
            </w:pPr>
          </w:p>
        </w:tc>
      </w:tr>
      <w:tr w14:paraId="6228C222">
        <w:tblPrEx>
          <w:tblCellMar>
            <w:top w:w="0" w:type="dxa"/>
            <w:left w:w="108" w:type="dxa"/>
            <w:bottom w:w="0" w:type="dxa"/>
            <w:right w:w="108" w:type="dxa"/>
          </w:tblCellMar>
        </w:tblPrEx>
        <w:trPr>
          <w:trHeight w:val="400" w:hRule="atLeast"/>
        </w:trPr>
        <w:tc>
          <w:tcPr>
            <w:tcW w:w="1442" w:type="dxa"/>
            <w:gridSpan w:val="2"/>
            <w:tcBorders>
              <w:top w:val="single" w:color="auto" w:sz="4" w:space="0"/>
              <w:left w:val="single" w:color="auto" w:sz="4" w:space="0"/>
              <w:bottom w:val="single" w:color="auto" w:sz="4" w:space="0"/>
              <w:right w:val="single" w:color="auto" w:sz="4" w:space="0"/>
            </w:tcBorders>
            <w:noWrap w:val="0"/>
            <w:vAlign w:val="center"/>
          </w:tcPr>
          <w:p w14:paraId="0DDE5A0B">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网    址</w:t>
            </w:r>
          </w:p>
        </w:tc>
        <w:tc>
          <w:tcPr>
            <w:tcW w:w="4382" w:type="dxa"/>
            <w:gridSpan w:val="4"/>
            <w:tcBorders>
              <w:top w:val="single" w:color="auto" w:sz="4" w:space="0"/>
              <w:left w:val="single" w:color="auto" w:sz="4" w:space="0"/>
              <w:bottom w:val="single" w:color="auto" w:sz="4" w:space="0"/>
              <w:right w:val="single" w:color="auto" w:sz="4" w:space="0"/>
            </w:tcBorders>
            <w:noWrap w:val="0"/>
            <w:vAlign w:val="center"/>
          </w:tcPr>
          <w:p w14:paraId="0AF711A7">
            <w:pPr>
              <w:tabs>
                <w:tab w:val="left" w:pos="1260"/>
              </w:tabs>
              <w:ind w:firstLine="394"/>
              <w:jc w:val="center"/>
              <w:rPr>
                <w:rFonts w:hint="default" w:ascii="Times New Roman" w:hAnsi="Times New Roman" w:eastAsia="仿宋" w:cs="Times New Roman"/>
                <w:color w:val="auto"/>
                <w:sz w:val="24"/>
              </w:rPr>
            </w:pPr>
          </w:p>
        </w:tc>
        <w:tc>
          <w:tcPr>
            <w:tcW w:w="1390" w:type="dxa"/>
            <w:gridSpan w:val="3"/>
            <w:tcBorders>
              <w:top w:val="single" w:color="auto" w:sz="4" w:space="0"/>
              <w:left w:val="single" w:color="auto" w:sz="4" w:space="0"/>
              <w:bottom w:val="single" w:color="auto" w:sz="4" w:space="0"/>
              <w:right w:val="single" w:color="auto" w:sz="4" w:space="0"/>
            </w:tcBorders>
            <w:noWrap w:val="0"/>
            <w:vAlign w:val="center"/>
          </w:tcPr>
          <w:p w14:paraId="3B340898">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手机号码</w:t>
            </w:r>
          </w:p>
        </w:tc>
        <w:tc>
          <w:tcPr>
            <w:tcW w:w="1806" w:type="dxa"/>
            <w:tcBorders>
              <w:top w:val="single" w:color="auto" w:sz="4" w:space="0"/>
              <w:left w:val="single" w:color="auto" w:sz="4" w:space="0"/>
              <w:bottom w:val="single" w:color="auto" w:sz="4" w:space="0"/>
              <w:right w:val="single" w:color="auto" w:sz="4" w:space="0"/>
            </w:tcBorders>
            <w:noWrap w:val="0"/>
            <w:vAlign w:val="center"/>
          </w:tcPr>
          <w:p w14:paraId="7BCDB756">
            <w:pPr>
              <w:tabs>
                <w:tab w:val="left" w:pos="1260"/>
              </w:tabs>
              <w:ind w:firstLine="459"/>
              <w:rPr>
                <w:rFonts w:hint="default" w:ascii="Times New Roman" w:hAnsi="Times New Roman" w:eastAsia="仿宋" w:cs="Times New Roman"/>
                <w:color w:val="auto"/>
                <w:sz w:val="24"/>
              </w:rPr>
            </w:pPr>
            <w:r>
              <w:rPr>
                <w:rFonts w:hint="default" w:ascii="Times New Roman" w:hAnsi="Times New Roman" w:eastAsia="仿宋" w:cs="Times New Roman"/>
                <w:b/>
                <w:bCs/>
                <w:color w:val="auto"/>
                <w:sz w:val="24"/>
              </w:rPr>
              <mc:AlternateContent>
                <mc:Choice Requires="wps">
                  <w:drawing>
                    <wp:anchor distT="0" distB="0" distL="114300" distR="114300" simplePos="0" relativeHeight="251661312" behindDoc="0" locked="0" layoutInCell="1" allowOverlap="1">
                      <wp:simplePos x="0" y="0"/>
                      <wp:positionH relativeFrom="column">
                        <wp:posOffset>1074420</wp:posOffset>
                      </wp:positionH>
                      <wp:positionV relativeFrom="paragraph">
                        <wp:posOffset>228600</wp:posOffset>
                      </wp:positionV>
                      <wp:extent cx="5080" cy="1478915"/>
                      <wp:effectExtent l="4445" t="0" r="9525" b="6985"/>
                      <wp:wrapNone/>
                      <wp:docPr id="1" name="直接连接符 1"/>
                      <wp:cNvGraphicFramePr/>
                      <a:graphic xmlns:a="http://schemas.openxmlformats.org/drawingml/2006/main">
                        <a:graphicData uri="http://schemas.microsoft.com/office/word/2010/wordprocessingShape">
                          <wps:wsp>
                            <wps:cNvCnPr/>
                            <wps:spPr>
                              <a:xfrm>
                                <a:off x="0" y="0"/>
                                <a:ext cx="5080" cy="14789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4.6pt;margin-top:18pt;height:116.45pt;width:0.4pt;z-index:251661312;mso-width-relative:page;mso-height-relative:page;" filled="f" stroked="t" coordsize="21600,21600" o:gfxdata="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0646D1wAAAAoBAAAPAAAAAAAAAAEAIAAAACIAAABkcnMvZG93bnJldi54bWxQSwEC&#10;FAAUAAAACACHTuJAZseDbvUBAADnAwAADgAAAAAAAAABACAAAAAmAQAAZHJzL2Uyb0RvYy54bWxQ&#10;SwUGAAAAAAYABgBZAQAAjQUAAAAA&#10;">
                      <v:fill on="f" focussize="0,0"/>
                      <v:stroke color="#000000" joinstyle="round"/>
                      <v:imagedata o:title=""/>
                      <o:lock v:ext="edit" aspectratio="f"/>
                    </v:line>
                  </w:pict>
                </mc:Fallback>
              </mc:AlternateContent>
            </w:r>
          </w:p>
        </w:tc>
      </w:tr>
      <w:tr w14:paraId="36F7697A">
        <w:tblPrEx>
          <w:tblCellMar>
            <w:top w:w="0" w:type="dxa"/>
            <w:left w:w="108" w:type="dxa"/>
            <w:bottom w:w="0" w:type="dxa"/>
            <w:right w:w="108" w:type="dxa"/>
          </w:tblCellMar>
        </w:tblPrEx>
        <w:trPr>
          <w:trHeight w:val="658" w:hRule="atLeast"/>
        </w:trPr>
        <w:tc>
          <w:tcPr>
            <w:tcW w:w="3006" w:type="dxa"/>
            <w:gridSpan w:val="4"/>
            <w:tcBorders>
              <w:top w:val="single" w:color="auto" w:sz="4" w:space="0"/>
              <w:left w:val="single" w:color="auto" w:sz="4" w:space="0"/>
              <w:bottom w:val="single" w:color="auto" w:sz="4" w:space="0"/>
            </w:tcBorders>
            <w:noWrap w:val="0"/>
            <w:vAlign w:val="center"/>
          </w:tcPr>
          <w:p w14:paraId="529D7794">
            <w:pPr>
              <w:tabs>
                <w:tab w:val="left" w:pos="1260"/>
              </w:tabs>
              <w:jc w:val="center"/>
              <w:rPr>
                <w:rFonts w:hint="default" w:ascii="Times New Roman" w:hAnsi="Times New Roman" w:eastAsia="仿宋" w:cs="Times New Roman"/>
                <w:bCs/>
                <w:color w:val="auto"/>
                <w:sz w:val="24"/>
              </w:rPr>
            </w:pPr>
            <w:r>
              <w:rPr>
                <w:rFonts w:hint="default" w:ascii="Times New Roman" w:hAnsi="Times New Roman" w:eastAsia="仿宋_GB2312" w:cs="Times New Roman"/>
                <w:color w:val="auto"/>
                <w:sz w:val="24"/>
              </w:rPr>
              <w:t>响应人</w:t>
            </w:r>
          </w:p>
        </w:tc>
        <w:tc>
          <w:tcPr>
            <w:tcW w:w="3006" w:type="dxa"/>
            <w:gridSpan w:val="3"/>
            <w:tcBorders>
              <w:top w:val="single" w:color="auto" w:sz="4" w:space="0"/>
              <w:left w:val="single" w:color="auto" w:sz="4" w:space="0"/>
              <w:bottom w:val="single" w:color="auto" w:sz="4" w:space="0"/>
            </w:tcBorders>
            <w:noWrap w:val="0"/>
            <w:vAlign w:val="center"/>
          </w:tcPr>
          <w:p w14:paraId="77FA21F3">
            <w:pPr>
              <w:tabs>
                <w:tab w:val="left" w:pos="1260"/>
              </w:tabs>
              <w:jc w:val="center"/>
              <w:rPr>
                <w:rFonts w:hint="default" w:ascii="Times New Roman" w:hAnsi="Times New Roman" w:eastAsia="仿宋" w:cs="Times New Roman"/>
                <w:bCs/>
                <w:color w:val="auto"/>
                <w:sz w:val="24"/>
              </w:rPr>
            </w:pPr>
            <w:r>
              <w:rPr>
                <w:rFonts w:hint="default" w:ascii="Times New Roman" w:hAnsi="Times New Roman" w:eastAsia="仿宋_GB2312" w:cs="Times New Roman"/>
                <w:color w:val="auto"/>
                <w:kern w:val="1"/>
                <w:sz w:val="24"/>
              </w:rPr>
              <w:t>法定代表人&lt;或负责人&gt;或被授权人</w:t>
            </w:r>
          </w:p>
        </w:tc>
        <w:tc>
          <w:tcPr>
            <w:tcW w:w="3008" w:type="dxa"/>
            <w:gridSpan w:val="3"/>
            <w:tcBorders>
              <w:top w:val="single" w:color="auto" w:sz="4" w:space="0"/>
              <w:left w:val="single" w:color="auto" w:sz="4" w:space="0"/>
              <w:bottom w:val="single" w:color="auto" w:sz="4" w:space="0"/>
            </w:tcBorders>
            <w:noWrap w:val="0"/>
            <w:vAlign w:val="center"/>
          </w:tcPr>
          <w:p w14:paraId="7650FBA6">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签署日期</w:t>
            </w:r>
          </w:p>
        </w:tc>
      </w:tr>
      <w:tr w14:paraId="07551959">
        <w:tblPrEx>
          <w:tblCellMar>
            <w:top w:w="0" w:type="dxa"/>
            <w:left w:w="108" w:type="dxa"/>
            <w:bottom w:w="0" w:type="dxa"/>
            <w:right w:w="108" w:type="dxa"/>
          </w:tblCellMar>
        </w:tblPrEx>
        <w:trPr>
          <w:trHeight w:val="1310" w:hRule="atLeast"/>
        </w:trPr>
        <w:tc>
          <w:tcPr>
            <w:tcW w:w="3006" w:type="dxa"/>
            <w:gridSpan w:val="4"/>
            <w:tcBorders>
              <w:top w:val="single" w:color="auto" w:sz="4" w:space="0"/>
              <w:left w:val="single" w:color="auto" w:sz="4" w:space="0"/>
              <w:bottom w:val="single" w:color="auto" w:sz="4" w:space="0"/>
            </w:tcBorders>
            <w:noWrap w:val="0"/>
            <w:vAlign w:val="center"/>
          </w:tcPr>
          <w:p w14:paraId="13F39428">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kern w:val="1"/>
                <w:sz w:val="24"/>
              </w:rPr>
              <w:t>（法人&lt;或负责人&gt;公章）</w:t>
            </w:r>
          </w:p>
        </w:tc>
        <w:tc>
          <w:tcPr>
            <w:tcW w:w="3006" w:type="dxa"/>
            <w:gridSpan w:val="3"/>
            <w:tcBorders>
              <w:top w:val="single" w:color="auto" w:sz="4" w:space="0"/>
              <w:left w:val="single" w:color="auto" w:sz="4" w:space="0"/>
              <w:bottom w:val="single" w:color="auto" w:sz="4" w:space="0"/>
            </w:tcBorders>
            <w:noWrap w:val="0"/>
            <w:vAlign w:val="center"/>
          </w:tcPr>
          <w:p w14:paraId="37E04477">
            <w:pPr>
              <w:tabs>
                <w:tab w:val="left" w:pos="1260"/>
              </w:tabs>
              <w:jc w:val="center"/>
              <w:rPr>
                <w:rFonts w:hint="default" w:ascii="Times New Roman" w:hAnsi="Times New Roman" w:eastAsia="仿宋" w:cs="Times New Roman"/>
                <w:bCs/>
                <w:color w:val="auto"/>
                <w:sz w:val="24"/>
              </w:rPr>
            </w:pPr>
            <w:r>
              <w:rPr>
                <w:rFonts w:hint="default" w:ascii="Times New Roman" w:hAnsi="Times New Roman" w:eastAsia="仿宋_GB2312" w:cs="Times New Roman"/>
                <w:color w:val="auto"/>
                <w:sz w:val="24"/>
              </w:rPr>
              <w:t>（签字或盖章）</w:t>
            </w:r>
          </w:p>
        </w:tc>
        <w:tc>
          <w:tcPr>
            <w:tcW w:w="3008" w:type="dxa"/>
            <w:gridSpan w:val="3"/>
            <w:tcBorders>
              <w:top w:val="single" w:color="auto" w:sz="4" w:space="0"/>
              <w:left w:val="single" w:color="auto" w:sz="4" w:space="0"/>
              <w:bottom w:val="single" w:color="auto" w:sz="4" w:space="0"/>
            </w:tcBorders>
            <w:noWrap w:val="0"/>
            <w:vAlign w:val="center"/>
          </w:tcPr>
          <w:p w14:paraId="0216A8C7">
            <w:pPr>
              <w:tabs>
                <w:tab w:val="left" w:pos="1260"/>
              </w:tabs>
              <w:ind w:firstLine="729" w:firstLineChars="300"/>
              <w:rPr>
                <w:rFonts w:hint="default" w:ascii="Times New Roman" w:hAnsi="Times New Roman" w:eastAsia="仿宋" w:cs="Times New Roman"/>
                <w:bCs/>
                <w:color w:val="auto"/>
                <w:sz w:val="24"/>
              </w:rPr>
            </w:pPr>
            <w:r>
              <w:rPr>
                <w:rFonts w:hint="default" w:ascii="Times New Roman" w:hAnsi="Times New Roman" w:eastAsia="仿宋_GB2312" w:cs="Times New Roman"/>
                <w:color w:val="auto"/>
                <w:sz w:val="24"/>
              </w:rPr>
              <w:t>年   月   日</w:t>
            </w:r>
          </w:p>
        </w:tc>
      </w:tr>
      <w:bookmarkEnd w:id="183"/>
      <w:bookmarkEnd w:id="184"/>
      <w:bookmarkEnd w:id="185"/>
      <w:bookmarkEnd w:id="186"/>
      <w:bookmarkEnd w:id="187"/>
    </w:tbl>
    <w:p w14:paraId="2FF2D66B">
      <w:pPr>
        <w:tabs>
          <w:tab w:val="left" w:pos="1260"/>
        </w:tabs>
        <w:spacing w:line="440" w:lineRule="exact"/>
        <w:ind w:firstLine="649"/>
        <w:rPr>
          <w:rFonts w:hint="eastAsia" w:ascii="仿宋" w:hAnsi="仿宋" w:eastAsia="仿宋_GB2312" w:cs="仿宋"/>
          <w:b/>
          <w:bCs/>
          <w:color w:val="auto"/>
          <w:sz w:val="32"/>
          <w:szCs w:val="32"/>
        </w:rPr>
      </w:pPr>
    </w:p>
    <w:p w14:paraId="1FA77AAB">
      <w:pPr>
        <w:spacing w:line="500" w:lineRule="exact"/>
        <w:ind w:firstLine="566" w:firstLineChars="200"/>
        <w:jc w:val="both"/>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二、响应报价表</w:t>
      </w:r>
    </w:p>
    <w:p w14:paraId="7719B075">
      <w:pPr>
        <w:tabs>
          <w:tab w:val="left" w:pos="7920"/>
        </w:tabs>
        <w:spacing w:line="240" w:lineRule="exact"/>
        <w:ind w:firstLine="647"/>
        <w:rPr>
          <w:rFonts w:hint="eastAsia" w:ascii="仿宋" w:hAnsi="仿宋" w:eastAsia="仿宋_GB2312" w:cs="仿宋"/>
          <w:color w:val="auto"/>
          <w:sz w:val="32"/>
          <w:szCs w:val="44"/>
        </w:rPr>
      </w:pPr>
    </w:p>
    <w:p w14:paraId="2F937D81">
      <w:pPr>
        <w:tabs>
          <w:tab w:val="left" w:pos="7920"/>
        </w:tabs>
        <w:ind w:firstLine="649"/>
        <w:jc w:val="center"/>
        <w:rPr>
          <w:rFonts w:hint="eastAsia" w:ascii="仿宋" w:hAnsi="仿宋" w:eastAsia="仿宋_GB2312" w:cs="仿宋"/>
          <w:b/>
          <w:color w:val="auto"/>
          <w:sz w:val="32"/>
          <w:szCs w:val="44"/>
          <w:u w:val="none"/>
        </w:rPr>
      </w:pPr>
      <w:r>
        <w:rPr>
          <w:rFonts w:hint="eastAsia" w:ascii="仿宋" w:hAnsi="仿宋" w:eastAsia="仿宋_GB2312" w:cs="仿宋"/>
          <w:b/>
          <w:color w:val="auto"/>
          <w:sz w:val="32"/>
          <w:szCs w:val="44"/>
          <w:u w:val="none"/>
        </w:rPr>
        <w:t>1.报价一览表</w:t>
      </w:r>
    </w:p>
    <w:p w14:paraId="48428139">
      <w:pPr>
        <w:tabs>
          <w:tab w:val="right" w:leader="dot" w:pos="9022"/>
        </w:tabs>
        <w:autoSpaceDE w:val="0"/>
        <w:autoSpaceDN w:val="0"/>
        <w:adjustRightInd w:val="0"/>
        <w:ind w:firstLine="121" w:firstLineChars="50"/>
        <w:jc w:val="left"/>
        <w:rPr>
          <w:rFonts w:hint="eastAsia" w:ascii="仿宋" w:hAnsi="仿宋" w:eastAsia="仿宋" w:cs="仿宋"/>
          <w:bCs/>
          <w:caps/>
          <w:color w:val="auto"/>
          <w:sz w:val="24"/>
        </w:rPr>
      </w:pPr>
      <w:r>
        <w:rPr>
          <w:rFonts w:hint="eastAsia" w:ascii="仿宋" w:hAnsi="仿宋" w:eastAsia="仿宋_GB2312" w:cs="仿宋"/>
          <w:bCs/>
          <w:caps/>
          <w:color w:val="auto"/>
          <w:sz w:val="24"/>
        </w:rPr>
        <w:t>响应人名称：                                           人民币：元</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3"/>
        <w:gridCol w:w="3315"/>
        <w:gridCol w:w="2420"/>
      </w:tblGrid>
      <w:tr w14:paraId="61EC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833" w:type="dxa"/>
            <w:vAlign w:val="center"/>
          </w:tcPr>
          <w:p w14:paraId="3A644CDC">
            <w:pPr>
              <w:tabs>
                <w:tab w:val="right" w:leader="dot" w:pos="9022"/>
              </w:tabs>
              <w:jc w:val="center"/>
              <w:rPr>
                <w:rFonts w:hint="eastAsia" w:ascii="仿宋" w:hAnsi="仿宋" w:eastAsia="仿宋" w:cs="仿宋"/>
                <w:bCs/>
                <w:caps/>
                <w:color w:val="auto"/>
                <w:sz w:val="24"/>
              </w:rPr>
            </w:pPr>
            <w:r>
              <w:rPr>
                <w:rFonts w:hint="eastAsia" w:ascii="仿宋" w:hAnsi="仿宋" w:eastAsia="仿宋_GB2312" w:cs="仿宋"/>
                <w:bCs/>
                <w:caps/>
                <w:color w:val="auto"/>
                <w:sz w:val="24"/>
              </w:rPr>
              <w:t>项目名称</w:t>
            </w:r>
          </w:p>
        </w:tc>
        <w:tc>
          <w:tcPr>
            <w:tcW w:w="5735" w:type="dxa"/>
            <w:gridSpan w:val="2"/>
            <w:vAlign w:val="center"/>
          </w:tcPr>
          <w:p w14:paraId="34E57601">
            <w:pPr>
              <w:tabs>
                <w:tab w:val="right" w:leader="dot" w:pos="9022"/>
              </w:tabs>
              <w:ind w:firstLine="489"/>
              <w:jc w:val="center"/>
              <w:rPr>
                <w:rFonts w:hint="eastAsia" w:ascii="仿宋" w:hAnsi="仿宋" w:eastAsia="仿宋" w:cs="仿宋"/>
                <w:b/>
                <w:color w:val="auto"/>
                <w:sz w:val="24"/>
              </w:rPr>
            </w:pPr>
          </w:p>
        </w:tc>
      </w:tr>
      <w:tr w14:paraId="59C8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833" w:type="dxa"/>
            <w:vAlign w:val="center"/>
          </w:tcPr>
          <w:p w14:paraId="55BF31F4">
            <w:pPr>
              <w:tabs>
                <w:tab w:val="right" w:leader="dot" w:pos="9022"/>
              </w:tabs>
              <w:ind w:left="487" w:hanging="486" w:hangingChars="200"/>
              <w:jc w:val="center"/>
              <w:rPr>
                <w:rFonts w:hint="eastAsia" w:ascii="仿宋" w:hAnsi="仿宋" w:eastAsia="仿宋" w:cs="仿宋"/>
                <w:bCs/>
                <w:caps/>
                <w:color w:val="auto"/>
                <w:sz w:val="24"/>
              </w:rPr>
            </w:pPr>
            <w:r>
              <w:rPr>
                <w:rFonts w:hint="eastAsia" w:ascii="仿宋" w:hAnsi="仿宋" w:eastAsia="仿宋_GB2312" w:cs="仿宋"/>
                <w:bCs/>
                <w:caps/>
                <w:color w:val="auto"/>
                <w:sz w:val="24"/>
              </w:rPr>
              <w:t>总报价小写</w:t>
            </w:r>
            <w:r>
              <w:rPr>
                <w:rFonts w:hint="eastAsia" w:ascii="仿宋" w:hAnsi="仿宋" w:eastAsia="仿宋_GB2312" w:cs="仿宋"/>
                <w:bCs/>
                <w:caps/>
                <w:color w:val="auto"/>
                <w:sz w:val="24"/>
                <w:lang w:val="en-US" w:eastAsia="zh-CN"/>
              </w:rPr>
              <w:t>(三年）</w:t>
            </w:r>
            <w:r>
              <w:rPr>
                <w:rFonts w:hint="eastAsia" w:ascii="仿宋" w:hAnsi="仿宋" w:eastAsia="仿宋_GB2312" w:cs="仿宋"/>
                <w:bCs/>
                <w:caps/>
                <w:color w:val="auto"/>
                <w:sz w:val="24"/>
              </w:rPr>
              <w:t>：</w:t>
            </w:r>
          </w:p>
        </w:tc>
        <w:tc>
          <w:tcPr>
            <w:tcW w:w="5735" w:type="dxa"/>
            <w:gridSpan w:val="2"/>
            <w:vAlign w:val="center"/>
          </w:tcPr>
          <w:p w14:paraId="22EC2EB7">
            <w:pPr>
              <w:tabs>
                <w:tab w:val="right" w:leader="dot" w:pos="9022"/>
              </w:tabs>
              <w:ind w:firstLine="487"/>
              <w:jc w:val="center"/>
              <w:rPr>
                <w:rFonts w:hint="eastAsia" w:ascii="仿宋" w:hAnsi="仿宋" w:eastAsia="仿宋" w:cs="仿宋"/>
                <w:bCs/>
                <w:caps/>
                <w:color w:val="auto"/>
                <w:sz w:val="24"/>
              </w:rPr>
            </w:pPr>
          </w:p>
        </w:tc>
      </w:tr>
      <w:tr w14:paraId="5ADD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833" w:type="dxa"/>
            <w:vAlign w:val="center"/>
          </w:tcPr>
          <w:p w14:paraId="0BD8863E">
            <w:pPr>
              <w:tabs>
                <w:tab w:val="right" w:leader="dot" w:pos="9022"/>
              </w:tabs>
              <w:ind w:left="487" w:hanging="486" w:hangingChars="200"/>
              <w:jc w:val="center"/>
              <w:rPr>
                <w:rFonts w:hint="eastAsia" w:ascii="仿宋" w:hAnsi="仿宋" w:eastAsia="仿宋" w:cs="仿宋"/>
                <w:bCs/>
                <w:caps/>
                <w:color w:val="auto"/>
                <w:sz w:val="24"/>
              </w:rPr>
            </w:pPr>
            <w:r>
              <w:rPr>
                <w:rFonts w:hint="eastAsia" w:ascii="仿宋" w:hAnsi="仿宋" w:eastAsia="仿宋_GB2312" w:cs="仿宋"/>
                <w:bCs/>
                <w:caps/>
                <w:color w:val="auto"/>
                <w:sz w:val="24"/>
              </w:rPr>
              <w:t>总报价大写</w:t>
            </w:r>
            <w:r>
              <w:rPr>
                <w:rFonts w:hint="eastAsia" w:ascii="仿宋" w:hAnsi="仿宋" w:eastAsia="仿宋_GB2312" w:cs="仿宋"/>
                <w:bCs/>
                <w:caps/>
                <w:color w:val="auto"/>
                <w:sz w:val="24"/>
                <w:lang w:eastAsia="zh-CN"/>
              </w:rPr>
              <w:t>（三年）</w:t>
            </w:r>
            <w:r>
              <w:rPr>
                <w:rFonts w:hint="eastAsia" w:ascii="仿宋" w:hAnsi="仿宋" w:eastAsia="仿宋_GB2312" w:cs="仿宋"/>
                <w:bCs/>
                <w:caps/>
                <w:color w:val="auto"/>
                <w:sz w:val="24"/>
              </w:rPr>
              <w:t>：</w:t>
            </w:r>
          </w:p>
        </w:tc>
        <w:tc>
          <w:tcPr>
            <w:tcW w:w="5735" w:type="dxa"/>
            <w:gridSpan w:val="2"/>
            <w:vAlign w:val="center"/>
          </w:tcPr>
          <w:p w14:paraId="0CA2C148">
            <w:pPr>
              <w:tabs>
                <w:tab w:val="right" w:leader="dot" w:pos="9022"/>
              </w:tabs>
              <w:ind w:firstLine="487"/>
              <w:jc w:val="center"/>
              <w:rPr>
                <w:rFonts w:hint="eastAsia" w:ascii="仿宋" w:hAnsi="仿宋" w:eastAsia="仿宋" w:cs="仿宋"/>
                <w:bCs/>
                <w:caps/>
                <w:color w:val="auto"/>
                <w:sz w:val="24"/>
              </w:rPr>
            </w:pPr>
          </w:p>
        </w:tc>
      </w:tr>
      <w:tr w14:paraId="3EC5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833" w:type="dxa"/>
            <w:vAlign w:val="center"/>
          </w:tcPr>
          <w:p w14:paraId="04A711D3">
            <w:pPr>
              <w:tabs>
                <w:tab w:val="right" w:leader="dot" w:pos="9022"/>
              </w:tabs>
              <w:jc w:val="center"/>
              <w:rPr>
                <w:rFonts w:hint="eastAsia" w:ascii="仿宋" w:hAnsi="仿宋" w:eastAsia="仿宋" w:cs="仿宋"/>
                <w:bCs/>
                <w:caps/>
                <w:color w:val="auto"/>
                <w:sz w:val="24"/>
                <w:lang w:eastAsia="zh-CN"/>
              </w:rPr>
            </w:pPr>
            <w:r>
              <w:rPr>
                <w:rFonts w:hint="eastAsia" w:ascii="仿宋" w:hAnsi="仿宋" w:eastAsia="仿宋" w:cs="仿宋"/>
                <w:bCs/>
                <w:caps/>
                <w:color w:val="auto"/>
                <w:sz w:val="24"/>
                <w:lang w:eastAsia="zh-CN"/>
              </w:rPr>
              <w:t>单年报价小写（一年）：</w:t>
            </w:r>
          </w:p>
        </w:tc>
        <w:tc>
          <w:tcPr>
            <w:tcW w:w="5735" w:type="dxa"/>
            <w:gridSpan w:val="2"/>
            <w:vAlign w:val="center"/>
          </w:tcPr>
          <w:p w14:paraId="18639130">
            <w:pPr>
              <w:tabs>
                <w:tab w:val="right" w:leader="dot" w:pos="9022"/>
              </w:tabs>
              <w:jc w:val="center"/>
              <w:rPr>
                <w:rFonts w:hint="eastAsia" w:ascii="仿宋" w:hAnsi="仿宋" w:eastAsia="仿宋" w:cs="仿宋"/>
                <w:b/>
                <w:bCs/>
                <w:caps/>
                <w:color w:val="auto"/>
                <w:sz w:val="24"/>
                <w:u w:val="single"/>
              </w:rPr>
            </w:pPr>
          </w:p>
        </w:tc>
      </w:tr>
      <w:tr w14:paraId="4D57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833" w:type="dxa"/>
            <w:vAlign w:val="center"/>
          </w:tcPr>
          <w:p w14:paraId="661ED42A">
            <w:pPr>
              <w:tabs>
                <w:tab w:val="right" w:leader="dot" w:pos="9022"/>
              </w:tabs>
              <w:jc w:val="center"/>
              <w:rPr>
                <w:rFonts w:hint="eastAsia" w:ascii="仿宋" w:hAnsi="仿宋" w:eastAsia="仿宋_GB2312" w:cs="仿宋"/>
                <w:bCs/>
                <w:caps/>
                <w:color w:val="auto"/>
                <w:sz w:val="24"/>
              </w:rPr>
            </w:pPr>
            <w:r>
              <w:rPr>
                <w:rFonts w:hint="eastAsia" w:ascii="仿宋" w:hAnsi="仿宋" w:eastAsia="仿宋" w:cs="仿宋"/>
                <w:bCs/>
                <w:caps/>
                <w:color w:val="auto"/>
                <w:sz w:val="24"/>
                <w:lang w:eastAsia="zh-CN"/>
              </w:rPr>
              <w:t>单年报价大写（一年）：</w:t>
            </w:r>
          </w:p>
        </w:tc>
        <w:tc>
          <w:tcPr>
            <w:tcW w:w="5735" w:type="dxa"/>
            <w:gridSpan w:val="2"/>
            <w:vAlign w:val="center"/>
          </w:tcPr>
          <w:p w14:paraId="6AC41102">
            <w:pPr>
              <w:tabs>
                <w:tab w:val="right" w:leader="dot" w:pos="9022"/>
              </w:tabs>
              <w:jc w:val="center"/>
              <w:rPr>
                <w:rFonts w:hint="eastAsia" w:ascii="仿宋" w:hAnsi="仿宋" w:eastAsia="仿宋" w:cs="仿宋"/>
                <w:b/>
                <w:bCs/>
                <w:caps/>
                <w:color w:val="auto"/>
                <w:sz w:val="24"/>
                <w:u w:val="single"/>
              </w:rPr>
            </w:pPr>
          </w:p>
        </w:tc>
      </w:tr>
      <w:tr w14:paraId="7487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833" w:type="dxa"/>
            <w:vAlign w:val="center"/>
          </w:tcPr>
          <w:p w14:paraId="3FB76A6F">
            <w:pPr>
              <w:tabs>
                <w:tab w:val="right" w:leader="dot" w:pos="9022"/>
              </w:tabs>
              <w:jc w:val="center"/>
              <w:rPr>
                <w:rFonts w:hint="eastAsia" w:ascii="仿宋" w:hAnsi="仿宋" w:eastAsia="仿宋" w:cs="仿宋"/>
                <w:bCs/>
                <w:caps/>
                <w:color w:val="auto"/>
                <w:sz w:val="24"/>
              </w:rPr>
            </w:pPr>
            <w:r>
              <w:rPr>
                <w:rFonts w:hint="eastAsia" w:ascii="仿宋" w:hAnsi="仿宋" w:eastAsia="仿宋_GB2312" w:cs="仿宋"/>
                <w:bCs/>
                <w:caps/>
                <w:color w:val="auto"/>
                <w:sz w:val="24"/>
              </w:rPr>
              <w:t>响应人</w:t>
            </w:r>
          </w:p>
        </w:tc>
        <w:tc>
          <w:tcPr>
            <w:tcW w:w="3315" w:type="dxa"/>
            <w:vAlign w:val="center"/>
          </w:tcPr>
          <w:p w14:paraId="7A7B001C">
            <w:pPr>
              <w:tabs>
                <w:tab w:val="right" w:leader="dot" w:pos="9022"/>
              </w:tabs>
              <w:jc w:val="center"/>
              <w:rPr>
                <w:rFonts w:hint="eastAsia" w:ascii="仿宋" w:hAnsi="仿宋" w:eastAsia="仿宋" w:cs="仿宋"/>
                <w:bCs/>
                <w:caps/>
                <w:color w:val="auto"/>
                <w:sz w:val="24"/>
              </w:rPr>
            </w:pPr>
            <w:r>
              <w:rPr>
                <w:rFonts w:hint="eastAsia" w:ascii="仿宋" w:hAnsi="仿宋" w:eastAsia="仿宋_GB2312" w:cs="仿宋"/>
                <w:caps/>
                <w:color w:val="auto"/>
                <w:kern w:val="1"/>
                <w:sz w:val="24"/>
              </w:rPr>
              <w:t>法人</w:t>
            </w:r>
            <w:r>
              <w:rPr>
                <w:rFonts w:hint="eastAsia" w:ascii="仿宋" w:hAnsi="仿宋" w:eastAsia="仿宋_GB2312" w:cs="仿宋"/>
                <w:color w:val="auto"/>
                <w:kern w:val="1"/>
                <w:sz w:val="24"/>
              </w:rPr>
              <w:t>/负责人或</w:t>
            </w:r>
            <w:r>
              <w:rPr>
                <w:rFonts w:hint="eastAsia" w:ascii="仿宋" w:hAnsi="仿宋" w:eastAsia="仿宋_GB2312" w:cs="仿宋"/>
                <w:bCs/>
                <w:caps/>
                <w:color w:val="auto"/>
                <w:sz w:val="24"/>
              </w:rPr>
              <w:t>被授权人</w:t>
            </w:r>
          </w:p>
        </w:tc>
        <w:tc>
          <w:tcPr>
            <w:tcW w:w="2420" w:type="dxa"/>
            <w:vAlign w:val="center"/>
          </w:tcPr>
          <w:p w14:paraId="5BC01F91">
            <w:pPr>
              <w:tabs>
                <w:tab w:val="right" w:leader="dot" w:pos="9022"/>
              </w:tabs>
              <w:jc w:val="center"/>
              <w:rPr>
                <w:rFonts w:hint="eastAsia" w:ascii="仿宋" w:hAnsi="仿宋" w:eastAsia="仿宋" w:cs="仿宋"/>
                <w:bCs/>
                <w:caps/>
                <w:color w:val="auto"/>
                <w:sz w:val="24"/>
              </w:rPr>
            </w:pPr>
            <w:r>
              <w:rPr>
                <w:rFonts w:hint="eastAsia" w:ascii="仿宋" w:hAnsi="仿宋" w:eastAsia="仿宋_GB2312" w:cs="仿宋"/>
                <w:bCs/>
                <w:caps/>
                <w:color w:val="auto"/>
                <w:sz w:val="24"/>
              </w:rPr>
              <w:t>日  期</w:t>
            </w:r>
          </w:p>
        </w:tc>
      </w:tr>
      <w:tr w14:paraId="70D2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833" w:type="dxa"/>
            <w:vAlign w:val="center"/>
          </w:tcPr>
          <w:p w14:paraId="1B8327B2">
            <w:pPr>
              <w:tabs>
                <w:tab w:val="right" w:leader="dot" w:pos="9022"/>
              </w:tabs>
              <w:jc w:val="center"/>
              <w:rPr>
                <w:rFonts w:hint="eastAsia" w:ascii="仿宋" w:hAnsi="仿宋" w:eastAsia="仿宋" w:cs="仿宋"/>
                <w:bCs/>
                <w:caps/>
                <w:color w:val="auto"/>
                <w:sz w:val="24"/>
              </w:rPr>
            </w:pPr>
            <w:r>
              <w:rPr>
                <w:rFonts w:hint="eastAsia" w:ascii="仿宋" w:hAnsi="仿宋" w:eastAsia="仿宋_GB2312" w:cs="仿宋"/>
                <w:caps/>
                <w:color w:val="auto"/>
                <w:kern w:val="1"/>
                <w:sz w:val="24"/>
              </w:rPr>
              <w:t>（法人</w:t>
            </w:r>
            <w:r>
              <w:rPr>
                <w:rFonts w:hint="eastAsia" w:ascii="仿宋" w:hAnsi="仿宋" w:eastAsia="仿宋_GB2312" w:cs="仿宋"/>
                <w:color w:val="auto"/>
                <w:kern w:val="1"/>
                <w:sz w:val="24"/>
              </w:rPr>
              <w:t>&lt;或负责人&gt;</w:t>
            </w:r>
            <w:r>
              <w:rPr>
                <w:rFonts w:hint="eastAsia" w:ascii="仿宋" w:hAnsi="仿宋" w:eastAsia="仿宋_GB2312" w:cs="仿宋"/>
                <w:caps/>
                <w:color w:val="auto"/>
                <w:kern w:val="1"/>
                <w:sz w:val="24"/>
              </w:rPr>
              <w:t>公章）</w:t>
            </w:r>
          </w:p>
        </w:tc>
        <w:tc>
          <w:tcPr>
            <w:tcW w:w="3315" w:type="dxa"/>
            <w:vAlign w:val="center"/>
          </w:tcPr>
          <w:p w14:paraId="119694BC">
            <w:pPr>
              <w:tabs>
                <w:tab w:val="right" w:leader="dot" w:pos="9022"/>
              </w:tabs>
              <w:jc w:val="center"/>
              <w:rPr>
                <w:rFonts w:hint="eastAsia" w:ascii="仿宋" w:hAnsi="仿宋" w:eastAsia="仿宋" w:cs="仿宋"/>
                <w:bCs/>
                <w:caps/>
                <w:color w:val="auto"/>
                <w:sz w:val="24"/>
              </w:rPr>
            </w:pPr>
            <w:r>
              <w:rPr>
                <w:rFonts w:hint="eastAsia" w:ascii="仿宋" w:hAnsi="仿宋" w:eastAsia="仿宋_GB2312" w:cs="仿宋"/>
                <w:bCs/>
                <w:caps/>
                <w:color w:val="auto"/>
                <w:sz w:val="24"/>
              </w:rPr>
              <w:t>（签字或盖章）</w:t>
            </w:r>
          </w:p>
        </w:tc>
        <w:tc>
          <w:tcPr>
            <w:tcW w:w="2420" w:type="dxa"/>
            <w:vAlign w:val="center"/>
          </w:tcPr>
          <w:p w14:paraId="58D4A532">
            <w:pPr>
              <w:tabs>
                <w:tab w:val="right" w:leader="dot" w:pos="9022"/>
              </w:tabs>
              <w:ind w:firstLine="487"/>
              <w:jc w:val="center"/>
              <w:rPr>
                <w:rFonts w:hint="eastAsia" w:ascii="仿宋" w:hAnsi="仿宋" w:eastAsia="仿宋" w:cs="仿宋"/>
                <w:bCs/>
                <w:caps/>
                <w:color w:val="auto"/>
                <w:sz w:val="24"/>
              </w:rPr>
            </w:pPr>
            <w:r>
              <w:rPr>
                <w:rFonts w:hint="eastAsia" w:ascii="仿宋" w:hAnsi="仿宋" w:eastAsia="仿宋_GB2312" w:cs="仿宋"/>
                <w:bCs/>
                <w:caps/>
                <w:color w:val="auto"/>
                <w:sz w:val="24"/>
              </w:rPr>
              <w:t>年   月   日</w:t>
            </w:r>
          </w:p>
        </w:tc>
      </w:tr>
    </w:tbl>
    <w:p w14:paraId="2FDA9583">
      <w:pPr>
        <w:spacing w:line="440" w:lineRule="exact"/>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sz w:val="24"/>
        </w:rPr>
        <w:t>特别提示：</w:t>
      </w:r>
    </w:p>
    <w:p w14:paraId="45BB4242">
      <w:pPr>
        <w:numPr>
          <w:ilvl w:val="0"/>
          <w:numId w:val="10"/>
        </w:numPr>
        <w:spacing w:line="240" w:lineRule="auto"/>
        <w:ind w:firstLine="486"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响应人</w:t>
      </w:r>
      <w:r>
        <w:rPr>
          <w:rFonts w:hint="default" w:ascii="Times New Roman" w:hAnsi="Times New Roman" w:eastAsia="仿宋_GB2312" w:cs="Times New Roman"/>
          <w:color w:val="auto"/>
          <w:sz w:val="24"/>
          <w:lang w:eastAsia="zh-CN"/>
        </w:rPr>
        <w:t>需</w:t>
      </w:r>
      <w:r>
        <w:rPr>
          <w:rFonts w:hint="default" w:ascii="Times New Roman" w:hAnsi="Times New Roman" w:eastAsia="仿宋_GB2312" w:cs="Times New Roman"/>
          <w:color w:val="auto"/>
          <w:sz w:val="24"/>
        </w:rPr>
        <w:t>按要求编制《报价一览表》</w:t>
      </w:r>
      <w:r>
        <w:rPr>
          <w:rFonts w:hint="default" w:ascii="Times New Roman" w:hAnsi="Times New Roman" w:eastAsia="仿宋_GB2312" w:cs="Times New Roman"/>
          <w:color w:val="auto"/>
          <w:sz w:val="24"/>
          <w:lang w:eastAsia="zh-CN"/>
        </w:rPr>
        <w:t>并</w:t>
      </w:r>
      <w:r>
        <w:rPr>
          <w:rFonts w:hint="default" w:ascii="Times New Roman" w:hAnsi="Times New Roman" w:eastAsia="仿宋_GB2312" w:cs="Times New Roman"/>
          <w:color w:val="auto"/>
          <w:sz w:val="24"/>
        </w:rPr>
        <w:t>装入响应文件正本</w:t>
      </w:r>
      <w:r>
        <w:rPr>
          <w:rFonts w:hint="default" w:ascii="Times New Roman" w:hAnsi="Times New Roman" w:eastAsia="仿宋_GB2312" w:cs="Times New Roman"/>
          <w:color w:val="auto"/>
          <w:sz w:val="24"/>
          <w:lang w:eastAsia="zh-CN"/>
        </w:rPr>
        <w:t>（须装原件）</w:t>
      </w:r>
      <w:r>
        <w:rPr>
          <w:rFonts w:hint="default" w:ascii="Times New Roman" w:hAnsi="Times New Roman" w:eastAsia="仿宋_GB2312" w:cs="Times New Roman"/>
          <w:color w:val="auto"/>
          <w:sz w:val="24"/>
        </w:rPr>
        <w:t>、副本</w:t>
      </w:r>
      <w:r>
        <w:rPr>
          <w:rFonts w:hint="default" w:ascii="Times New Roman" w:hAnsi="Times New Roman" w:eastAsia="仿宋_GB2312" w:cs="Times New Roman"/>
          <w:color w:val="auto"/>
          <w:sz w:val="24"/>
          <w:lang w:eastAsia="zh-CN"/>
        </w:rPr>
        <w:t>；</w:t>
      </w:r>
    </w:p>
    <w:p w14:paraId="33AB8535">
      <w:pPr>
        <w:numPr>
          <w:ilvl w:val="0"/>
          <w:numId w:val="10"/>
        </w:numPr>
        <w:spacing w:line="240" w:lineRule="auto"/>
        <w:ind w:firstLine="486"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报价一览表与明细表不一致时，以报价一览表为准；</w:t>
      </w:r>
    </w:p>
    <w:p w14:paraId="7B188A30">
      <w:pPr>
        <w:spacing w:line="240" w:lineRule="auto"/>
        <w:ind w:firstLine="486" w:firstLineChars="200"/>
        <w:rPr>
          <w:rFonts w:hint="default" w:ascii="Times New Roman" w:hAnsi="Times New Roman" w:eastAsia="仿宋_GB2312" w:cs="Times New Roman"/>
          <w:bCs/>
          <w:caps/>
          <w:color w:val="auto"/>
          <w:sz w:val="24"/>
        </w:rPr>
      </w:pPr>
      <w:r>
        <w:rPr>
          <w:rFonts w:hint="default" w:ascii="Times New Roman" w:hAnsi="Times New Roman" w:eastAsia="仿宋_GB2312" w:cs="Times New Roman"/>
          <w:color w:val="auto"/>
          <w:sz w:val="24"/>
        </w:rPr>
        <w:t>3、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14:paraId="5B96257A">
      <w:pPr>
        <w:spacing w:line="240" w:lineRule="auto"/>
        <w:ind w:firstLine="480"/>
        <w:rPr>
          <w:rFonts w:hint="default" w:ascii="Times New Roman" w:hAnsi="Times New Roman" w:eastAsia="仿宋_GB2312" w:cs="Times New Roman"/>
          <w:b/>
          <w:bCs/>
          <w:color w:val="auto"/>
          <w:kern w:val="1"/>
          <w:sz w:val="24"/>
          <w:lang w:eastAsia="zh-CN"/>
        </w:rPr>
      </w:pPr>
      <w:r>
        <w:rPr>
          <w:rFonts w:hint="default" w:ascii="Times New Roman" w:hAnsi="Times New Roman" w:eastAsia="仿宋_GB2312" w:cs="Times New Roman"/>
          <w:color w:val="auto"/>
          <w:kern w:val="1"/>
          <w:sz w:val="24"/>
          <w:lang w:val="en-US" w:eastAsia="zh-CN"/>
        </w:rPr>
        <w:t>4</w:t>
      </w:r>
      <w:r>
        <w:rPr>
          <w:rFonts w:hint="default" w:ascii="Times New Roman" w:hAnsi="Times New Roman" w:eastAsia="仿宋_GB2312" w:cs="Times New Roman"/>
          <w:color w:val="auto"/>
          <w:kern w:val="1"/>
          <w:sz w:val="24"/>
        </w:rPr>
        <w:t>、</w:t>
      </w:r>
      <w:r>
        <w:rPr>
          <w:rFonts w:hint="default" w:ascii="Times New Roman" w:hAnsi="Times New Roman" w:eastAsia="仿宋_GB2312" w:cs="Times New Roman"/>
          <w:b/>
          <w:bCs/>
          <w:color w:val="auto"/>
          <w:kern w:val="1"/>
          <w:sz w:val="24"/>
        </w:rPr>
        <w:t>报价一览表需加盖红色法人(或负责人)公章，</w:t>
      </w:r>
      <w:r>
        <w:rPr>
          <w:rFonts w:hint="default" w:ascii="Times New Roman" w:hAnsi="Times New Roman" w:eastAsia="仿宋_GB2312" w:cs="Times New Roman"/>
          <w:b/>
          <w:bCs/>
          <w:caps/>
          <w:color w:val="auto"/>
          <w:kern w:val="1"/>
          <w:sz w:val="24"/>
        </w:rPr>
        <w:t>法人</w:t>
      </w:r>
      <w:r>
        <w:rPr>
          <w:rFonts w:hint="default" w:ascii="Times New Roman" w:hAnsi="Times New Roman" w:eastAsia="仿宋_GB2312" w:cs="Times New Roman"/>
          <w:b/>
          <w:bCs/>
          <w:color w:val="auto"/>
          <w:kern w:val="1"/>
          <w:sz w:val="24"/>
        </w:rPr>
        <w:t>/负责人或被授权人需签字或盖章，否则为无效报价</w:t>
      </w:r>
      <w:r>
        <w:rPr>
          <w:rFonts w:hint="default" w:ascii="Times New Roman" w:hAnsi="Times New Roman" w:eastAsia="仿宋_GB2312" w:cs="Times New Roman"/>
          <w:b/>
          <w:bCs/>
          <w:color w:val="auto"/>
          <w:kern w:val="1"/>
          <w:sz w:val="24"/>
          <w:lang w:eastAsia="zh-CN"/>
        </w:rPr>
        <w:t>。</w:t>
      </w:r>
    </w:p>
    <w:p w14:paraId="10272492">
      <w:pPr>
        <w:pStyle w:val="5"/>
        <w:rPr>
          <w:color w:val="auto"/>
        </w:rPr>
      </w:pPr>
    </w:p>
    <w:p w14:paraId="6EAFE21B">
      <w:pPr>
        <w:pStyle w:val="11"/>
        <w:ind w:firstLine="0" w:firstLineChars="0"/>
        <w:rPr>
          <w:rFonts w:hint="eastAsia" w:ascii="仿宋" w:hAnsi="仿宋" w:eastAsia="仿宋_GB2312" w:cs="仿宋"/>
          <w:color w:val="auto"/>
          <w:sz w:val="24"/>
        </w:rPr>
      </w:pPr>
    </w:p>
    <w:p w14:paraId="6C820989">
      <w:pPr>
        <w:pStyle w:val="11"/>
        <w:ind w:firstLine="0" w:firstLineChars="0"/>
        <w:rPr>
          <w:rFonts w:hint="eastAsia" w:ascii="仿宋" w:hAnsi="仿宋" w:eastAsia="仿宋_GB2312" w:cs="仿宋"/>
          <w:color w:val="auto"/>
          <w:sz w:val="24"/>
        </w:rPr>
      </w:pPr>
    </w:p>
    <w:p w14:paraId="53B4C3FB">
      <w:pPr>
        <w:pStyle w:val="11"/>
        <w:ind w:firstLine="243"/>
        <w:rPr>
          <w:rFonts w:hint="eastAsia" w:ascii="仿宋" w:hAnsi="仿宋" w:eastAsia="仿宋_GB2312" w:cs="仿宋"/>
          <w:color w:val="auto"/>
          <w:sz w:val="24"/>
        </w:rPr>
      </w:pPr>
    </w:p>
    <w:p w14:paraId="58CF4DB9">
      <w:pPr>
        <w:ind w:firstLine="649"/>
        <w:rPr>
          <w:rFonts w:hint="eastAsia" w:ascii="仿宋" w:hAnsi="仿宋" w:eastAsia="仿宋_GB2312" w:cs="仿宋"/>
          <w:b/>
          <w:color w:val="auto"/>
          <w:sz w:val="32"/>
          <w:szCs w:val="44"/>
          <w:u w:val="single"/>
        </w:rPr>
      </w:pPr>
      <w:r>
        <w:rPr>
          <w:rFonts w:hint="eastAsia" w:ascii="仿宋" w:hAnsi="仿宋" w:eastAsia="仿宋_GB2312" w:cs="仿宋"/>
          <w:b/>
          <w:color w:val="auto"/>
          <w:sz w:val="32"/>
          <w:szCs w:val="44"/>
          <w:u w:val="single"/>
        </w:rPr>
        <w:br w:type="page"/>
      </w:r>
    </w:p>
    <w:p w14:paraId="23E58E5F">
      <w:pPr>
        <w:ind w:firstLine="649"/>
        <w:jc w:val="center"/>
        <w:rPr>
          <w:rFonts w:hint="eastAsia" w:ascii="仿宋" w:hAnsi="仿宋" w:eastAsia="仿宋_GB2312" w:cs="仿宋"/>
          <w:b/>
          <w:color w:val="auto"/>
          <w:sz w:val="32"/>
          <w:szCs w:val="44"/>
          <w:u w:val="single"/>
        </w:rPr>
      </w:pPr>
    </w:p>
    <w:p w14:paraId="38939606">
      <w:pPr>
        <w:ind w:firstLine="649"/>
        <w:jc w:val="center"/>
        <w:rPr>
          <w:rFonts w:hint="eastAsia" w:ascii="仿宋" w:hAnsi="仿宋" w:eastAsia="仿宋_GB2312" w:cs="仿宋"/>
          <w:b/>
          <w:color w:val="auto"/>
          <w:sz w:val="32"/>
          <w:szCs w:val="44"/>
        </w:rPr>
      </w:pPr>
      <w:r>
        <w:rPr>
          <w:rFonts w:hint="eastAsia" w:ascii="仿宋" w:hAnsi="仿宋" w:eastAsia="仿宋_GB2312" w:cs="仿宋"/>
          <w:b/>
          <w:color w:val="auto"/>
          <w:sz w:val="32"/>
          <w:szCs w:val="44"/>
        </w:rPr>
        <w:t>2.响应报价明细表</w:t>
      </w:r>
    </w:p>
    <w:p w14:paraId="10EF30E9">
      <w:pPr>
        <w:spacing w:line="520" w:lineRule="exact"/>
        <w:ind w:firstLine="649"/>
        <w:jc w:val="center"/>
        <w:rPr>
          <w:rFonts w:hint="eastAsia" w:ascii="华文仿宋" w:hAnsi="华文仿宋" w:cs="华文仿宋"/>
          <w:color w:val="auto"/>
          <w:sz w:val="24"/>
          <w:szCs w:val="24"/>
        </w:rPr>
      </w:pPr>
      <w:r>
        <w:rPr>
          <w:rFonts w:hint="eastAsia" w:ascii="仿宋" w:hAnsi="仿宋" w:eastAsia="仿宋_GB2312"/>
          <w:b/>
          <w:color w:val="auto"/>
          <w:sz w:val="32"/>
          <w:szCs w:val="44"/>
        </w:rPr>
        <w:t>（格式自定）</w:t>
      </w:r>
    </w:p>
    <w:p w14:paraId="43340E1F">
      <w:pPr>
        <w:tabs>
          <w:tab w:val="right" w:pos="9072"/>
        </w:tabs>
        <w:spacing w:line="500" w:lineRule="exact"/>
        <w:ind w:firstLine="646" w:firstLineChars="200"/>
        <w:rPr>
          <w:rFonts w:hint="eastAsia" w:ascii="华文仿宋" w:hAnsi="华文仿宋" w:cs="华文仿宋"/>
          <w:b/>
          <w:color w:val="auto"/>
          <w:sz w:val="32"/>
          <w:szCs w:val="32"/>
        </w:rPr>
      </w:pPr>
    </w:p>
    <w:p w14:paraId="2E9491F4">
      <w:pPr>
        <w:pStyle w:val="21"/>
        <w:shd w:val="clear" w:color="auto" w:fill="FFFFFF"/>
        <w:spacing w:before="0" w:beforeAutospacing="0" w:after="0" w:afterAutospacing="0" w:line="520" w:lineRule="exact"/>
        <w:ind w:firstLine="566"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注：</w:t>
      </w:r>
    </w:p>
    <w:p w14:paraId="3F0E8CEF">
      <w:pPr>
        <w:pStyle w:val="21"/>
        <w:shd w:val="clear" w:color="auto" w:fill="FFFFFF"/>
        <w:spacing w:before="0" w:beforeAutospacing="0" w:after="0" w:afterAutospacing="0" w:line="520" w:lineRule="exact"/>
        <w:ind w:firstLine="566" w:firstLineChars="200"/>
        <w:rPr>
          <w:rFonts w:hint="eastAsia" w:ascii="仿宋_GB2312" w:hAnsi="仿宋_GB2312" w:eastAsia="仿宋_GB2312" w:cs="仿宋_GB2312"/>
          <w:b/>
          <w:color w:val="auto"/>
          <w:kern w:val="2"/>
          <w:sz w:val="28"/>
          <w:szCs w:val="28"/>
        </w:rPr>
      </w:pPr>
      <w:r>
        <w:rPr>
          <w:rFonts w:hint="eastAsia" w:ascii="仿宋_GB2312" w:hAnsi="仿宋_GB2312" w:eastAsia="仿宋_GB2312" w:cs="仿宋_GB2312"/>
          <w:b/>
          <w:color w:val="auto"/>
          <w:kern w:val="2"/>
          <w:sz w:val="28"/>
          <w:szCs w:val="28"/>
        </w:rPr>
        <w:t>1.响应人须针对项目实际情况编制详细报价清单。</w:t>
      </w:r>
    </w:p>
    <w:p w14:paraId="2C418637">
      <w:pPr>
        <w:pStyle w:val="21"/>
        <w:shd w:val="clear" w:color="auto" w:fill="FFFFFF"/>
        <w:spacing w:before="0" w:beforeAutospacing="0" w:after="0" w:afterAutospacing="0" w:line="520" w:lineRule="exact"/>
        <w:ind w:firstLine="566" w:firstLineChars="200"/>
        <w:rPr>
          <w:rFonts w:hint="eastAsia" w:ascii="仿宋_GB2312" w:hAnsi="仿宋_GB2312" w:eastAsia="仿宋_GB2312" w:cs="仿宋_GB2312"/>
          <w:b/>
          <w:color w:val="auto"/>
          <w:kern w:val="2"/>
          <w:sz w:val="28"/>
          <w:szCs w:val="28"/>
        </w:rPr>
      </w:pPr>
      <w:r>
        <w:rPr>
          <w:rFonts w:hint="eastAsia" w:ascii="仿宋_GB2312" w:hAnsi="仿宋_GB2312" w:eastAsia="仿宋_GB2312" w:cs="仿宋_GB2312"/>
          <w:b/>
          <w:color w:val="auto"/>
          <w:kern w:val="2"/>
          <w:sz w:val="28"/>
          <w:szCs w:val="28"/>
        </w:rPr>
        <w:t>（报价清单中应包含员工工资且响应人给员工发放的工资不得低于当地最低工资标准。）</w:t>
      </w:r>
    </w:p>
    <w:p w14:paraId="68C6BA34">
      <w:pPr>
        <w:spacing w:line="360" w:lineRule="exact"/>
        <w:ind w:firstLine="566" w:firstLineChars="200"/>
        <w:jc w:val="left"/>
        <w:rPr>
          <w:rFonts w:hint="eastAsia" w:ascii="仿宋" w:hAnsi="仿宋" w:eastAsia="仿宋_GB2312"/>
          <w:color w:val="auto"/>
          <w:sz w:val="28"/>
          <w:szCs w:val="28"/>
        </w:rPr>
      </w:pPr>
      <w:r>
        <w:rPr>
          <w:rFonts w:hint="eastAsia" w:ascii="仿宋_GB2312" w:hAnsi="仿宋_GB2312" w:eastAsia="仿宋_GB2312" w:cs="仿宋_GB2312"/>
          <w:b/>
          <w:color w:val="auto"/>
          <w:sz w:val="28"/>
          <w:szCs w:val="28"/>
        </w:rPr>
        <w:t xml:space="preserve">2.提供《中小企业声明函》的中小企业，须在该表“备注”栏中注明各项是否为小型、微型企业产品（工程或服务），不注明者，视为非小型、微型企业产品（工程或服务）。 </w:t>
      </w:r>
    </w:p>
    <w:p w14:paraId="2AE24F02">
      <w:pPr>
        <w:tabs>
          <w:tab w:val="right" w:pos="9070"/>
        </w:tabs>
        <w:spacing w:line="240" w:lineRule="auto"/>
        <w:ind w:firstLine="647"/>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  </w:t>
      </w:r>
    </w:p>
    <w:p w14:paraId="46FDCBB4">
      <w:pPr>
        <w:tabs>
          <w:tab w:val="right" w:pos="9070"/>
        </w:tabs>
        <w:spacing w:line="500" w:lineRule="exact"/>
        <w:rPr>
          <w:rFonts w:hint="eastAsia" w:ascii="华文仿宋" w:hAnsi="华文仿宋" w:cs="华文仿宋"/>
          <w:bCs/>
          <w:color w:val="auto"/>
        </w:rPr>
      </w:pPr>
    </w:p>
    <w:p w14:paraId="117C9947">
      <w:pPr>
        <w:ind w:firstLine="647"/>
        <w:rPr>
          <w:rFonts w:hint="eastAsia" w:ascii="仿宋" w:hAnsi="仿宋" w:eastAsia="仿宋_GB2312" w:cs="仿宋"/>
          <w:color w:val="auto"/>
          <w:sz w:val="32"/>
          <w:szCs w:val="32"/>
        </w:rPr>
      </w:pPr>
    </w:p>
    <w:p w14:paraId="7410E6F2">
      <w:pPr>
        <w:ind w:firstLine="647"/>
        <w:rPr>
          <w:rFonts w:hint="eastAsia" w:ascii="仿宋" w:hAnsi="仿宋" w:eastAsia="仿宋_GB2312" w:cs="仿宋"/>
          <w:color w:val="auto"/>
          <w:sz w:val="32"/>
          <w:szCs w:val="32"/>
        </w:rPr>
      </w:pPr>
    </w:p>
    <w:p w14:paraId="4778CDEC">
      <w:pPr>
        <w:ind w:firstLine="647"/>
        <w:rPr>
          <w:rFonts w:hint="eastAsia" w:ascii="仿宋" w:hAnsi="仿宋" w:eastAsia="仿宋_GB2312" w:cs="仿宋"/>
          <w:color w:val="auto"/>
          <w:sz w:val="32"/>
          <w:szCs w:val="32"/>
        </w:rPr>
      </w:pPr>
    </w:p>
    <w:p w14:paraId="0080A1E4">
      <w:pPr>
        <w:ind w:firstLine="647"/>
        <w:rPr>
          <w:rFonts w:hint="eastAsia" w:ascii="仿宋" w:hAnsi="仿宋" w:eastAsia="仿宋_GB2312" w:cs="仿宋"/>
          <w:color w:val="auto"/>
          <w:sz w:val="32"/>
          <w:szCs w:val="32"/>
        </w:rPr>
      </w:pPr>
      <w:r>
        <w:rPr>
          <w:rFonts w:ascii="仿宋" w:hAnsi="仿宋" w:eastAsia="仿宋_GB2312" w:cs="仿宋"/>
          <w:color w:val="auto"/>
          <w:sz w:val="32"/>
          <w:szCs w:val="32"/>
        </w:rPr>
        <w:br w:type="page"/>
      </w:r>
    </w:p>
    <w:p w14:paraId="1617CBB8">
      <w:pPr>
        <w:spacing w:line="500" w:lineRule="exact"/>
        <w:jc w:val="both"/>
        <w:rPr>
          <w:rFonts w:hint="default" w:ascii="仿宋_GB2312" w:hAnsi="仿宋_GB2312" w:eastAsia="仿宋_GB2312" w:cs="仿宋_GB2312"/>
          <w:b/>
          <w:bCs/>
          <w:color w:val="auto"/>
        </w:rPr>
      </w:pPr>
      <w:bookmarkStart w:id="282" w:name="_Toc13309_WPSOffice_Level2"/>
      <w:bookmarkStart w:id="283" w:name="_Toc2393"/>
      <w:bookmarkStart w:id="284" w:name="_Toc20416"/>
      <w:bookmarkStart w:id="285" w:name="_Toc26668"/>
      <w:bookmarkStart w:id="286" w:name="_Toc1823_WPSOffice_Level2"/>
      <w:bookmarkStart w:id="287" w:name="_Toc18036_WPSOffice_Level2"/>
      <w:bookmarkStart w:id="288" w:name="_Toc26536_WPSOffice_Level2"/>
      <w:bookmarkStart w:id="289" w:name="_Toc13794"/>
      <w:bookmarkStart w:id="290" w:name="_Toc9727_WPSOffice_Level2"/>
      <w:r>
        <w:rPr>
          <w:rFonts w:hint="default" w:ascii="仿宋_GB2312" w:hAnsi="仿宋_GB2312" w:eastAsia="仿宋_GB2312" w:cs="仿宋_GB2312"/>
          <w:b/>
          <w:bCs/>
          <w:color w:val="auto"/>
        </w:rPr>
        <w:t>三、</w:t>
      </w:r>
      <w:bookmarkEnd w:id="282"/>
      <w:bookmarkEnd w:id="283"/>
      <w:bookmarkStart w:id="291" w:name="_Toc31081"/>
      <w:bookmarkStart w:id="292" w:name="_Toc4322"/>
      <w:r>
        <w:rPr>
          <w:rFonts w:hint="default" w:ascii="仿宋_GB2312" w:hAnsi="仿宋_GB2312" w:eastAsia="仿宋_GB2312" w:cs="仿宋_GB2312"/>
          <w:b/>
          <w:bCs/>
          <w:color w:val="auto"/>
        </w:rPr>
        <w:t>供应商参加政府采购活动承诺书</w:t>
      </w:r>
      <w:bookmarkEnd w:id="284"/>
      <w:bookmarkEnd w:id="291"/>
      <w:bookmarkEnd w:id="292"/>
    </w:p>
    <w:bookmarkEnd w:id="285"/>
    <w:bookmarkEnd w:id="286"/>
    <w:bookmarkEnd w:id="287"/>
    <w:bookmarkEnd w:id="288"/>
    <w:bookmarkEnd w:id="289"/>
    <w:bookmarkEnd w:id="290"/>
    <w:p w14:paraId="4B53707D">
      <w:pPr>
        <w:pageBreakBefore w:val="0"/>
        <w:widowControl/>
        <w:kinsoku/>
        <w:wordWrap/>
        <w:overflowPunct/>
        <w:topLinePunct w:val="0"/>
        <w:autoSpaceDE/>
        <w:autoSpaceDN/>
        <w:bidi w:val="0"/>
        <w:adjustRightInd/>
        <w:snapToGrid/>
        <w:spacing w:before="190" w:beforeLines="50" w:line="560" w:lineRule="exact"/>
        <w:ind w:firstLine="566" w:firstLineChars="200"/>
        <w:jc w:val="center"/>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
          <w:bCs/>
          <w:color w:val="auto"/>
          <w:sz w:val="28"/>
          <w:szCs w:val="28"/>
        </w:rPr>
        <w:t>拒绝政府采购领域商业贿赂承诺书</w:t>
      </w:r>
    </w:p>
    <w:p w14:paraId="7C678C22">
      <w:pPr>
        <w:pageBreakBefore w:val="0"/>
        <w:widowControl/>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为响应党中央、国务院关于治理政府采购领域商业贿赂行为的号召，我公司在此庄严承诺：</w:t>
      </w:r>
    </w:p>
    <w:p w14:paraId="487A4699">
      <w:pPr>
        <w:pageBreakBefore w:val="0"/>
        <w:widowControl/>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1、在参与政府采购活动中遵纪守法、诚信经营、公平竞标。</w:t>
      </w:r>
    </w:p>
    <w:p w14:paraId="694869D1">
      <w:pPr>
        <w:pageBreakBefore w:val="0"/>
        <w:widowControl/>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2、不向政府采购人、采购代理机构和政府采购评审专家进行任何形式的商业贿赂以谋取交易机会。</w:t>
      </w:r>
    </w:p>
    <w:p w14:paraId="42C5B6AE">
      <w:pPr>
        <w:pageBreakBefore w:val="0"/>
        <w:widowControl/>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3、不向政府采购代理机构和采购人提供虚假资质文件或采用虚假应标方式参与政府采购市场竞争并谋取中标、成交。</w:t>
      </w:r>
    </w:p>
    <w:p w14:paraId="7D900ADA">
      <w:pPr>
        <w:pageBreakBefore w:val="0"/>
        <w:widowControl/>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4、不采取“围标、陪标”等商业欺诈手段获得政府采购定单。</w:t>
      </w:r>
    </w:p>
    <w:p w14:paraId="41035AA1">
      <w:pPr>
        <w:pageBreakBefore w:val="0"/>
        <w:widowControl/>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5、不采取不正当手段诋毁、排挤其他供应商。</w:t>
      </w:r>
    </w:p>
    <w:p w14:paraId="61F454A1">
      <w:pPr>
        <w:pageBreakBefore w:val="0"/>
        <w:widowControl/>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6、不在提供商品和服务时“偷梁换柱、以次充好”损害采购人的合法权益。</w:t>
      </w:r>
    </w:p>
    <w:p w14:paraId="25C12176">
      <w:pPr>
        <w:pageBreakBefore w:val="0"/>
        <w:widowControl/>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7、不与采购人、采购代理机构政府采购评审专家或其它供应商恶意串通，进行质疑和投诉，维护政府采购市场秩序。</w:t>
      </w:r>
    </w:p>
    <w:p w14:paraId="378E9AAA">
      <w:pPr>
        <w:pageBreakBefore w:val="0"/>
        <w:widowControl/>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8、尊重和接受政府采购监督管理部门的监督和政府采购代理机构招标采购要求，承担因违约行为给采购人造成的损失。</w:t>
      </w:r>
    </w:p>
    <w:p w14:paraId="79CAB1F7">
      <w:pPr>
        <w:pageBreakBefore w:val="0"/>
        <w:widowControl/>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9、不发生其他有悖于政府采购公开、公平、公正和诚信原则的行为。</w:t>
      </w:r>
    </w:p>
    <w:p w14:paraId="030904FE">
      <w:pPr>
        <w:pStyle w:val="11"/>
        <w:pageBreakBefore w:val="0"/>
        <w:widowControl/>
        <w:kinsoku/>
        <w:wordWrap/>
        <w:overflowPunct/>
        <w:topLinePunct w:val="0"/>
        <w:autoSpaceDE/>
        <w:autoSpaceDN/>
        <w:bidi w:val="0"/>
        <w:adjustRightInd/>
        <w:snapToGrid/>
        <w:spacing w:line="560" w:lineRule="exact"/>
        <w:ind w:firstLine="183"/>
        <w:textAlignment w:val="auto"/>
        <w:rPr>
          <w:rFonts w:hint="default" w:ascii="Times New Roman" w:hAnsi="Times New Roman" w:eastAsia="仿宋_GB2312" w:cs="Times New Roman"/>
          <w:color w:val="auto"/>
          <w:sz w:val="28"/>
          <w:szCs w:val="28"/>
        </w:rPr>
      </w:pPr>
    </w:p>
    <w:p w14:paraId="60322E96">
      <w:pPr>
        <w:pageBreakBefore w:val="0"/>
        <w:widowControl/>
        <w:kinsoku/>
        <w:wordWrap/>
        <w:overflowPunct/>
        <w:topLinePunct w:val="0"/>
        <w:autoSpaceDE/>
        <w:autoSpaceDN/>
        <w:bidi w:val="0"/>
        <w:adjustRightInd/>
        <w:snapToGrid/>
        <w:spacing w:line="560" w:lineRule="exact"/>
        <w:ind w:firstLine="5377" w:firstLineChars="1900"/>
        <w:textAlignment w:val="auto"/>
        <w:rPr>
          <w:rFonts w:hint="default" w:ascii="Times New Roman" w:hAnsi="Times New Roman" w:eastAsia="仿宋_GB2312" w:cs="Times New Roman"/>
          <w:color w:val="auto"/>
          <w:sz w:val="28"/>
          <w:szCs w:val="28"/>
        </w:rPr>
      </w:pPr>
    </w:p>
    <w:p w14:paraId="4CAA48D4">
      <w:pPr>
        <w:pageBreakBefore w:val="0"/>
        <w:widowControl/>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供应商：</w:t>
      </w:r>
      <w:r>
        <w:rPr>
          <w:rFonts w:hint="default" w:ascii="Times New Roman" w:hAnsi="Times New Roman" w:eastAsia="仿宋_GB2312" w:cs="Times New Roman"/>
          <w:color w:val="auto"/>
          <w:sz w:val="28"/>
          <w:szCs w:val="28"/>
          <w:u w:val="single"/>
        </w:rPr>
        <w:t>名称</w:t>
      </w:r>
      <w:r>
        <w:rPr>
          <w:rFonts w:hint="default" w:ascii="Times New Roman" w:hAnsi="Times New Roman" w:eastAsia="仿宋_GB2312" w:cs="Times New Roman"/>
          <w:color w:val="auto"/>
          <w:sz w:val="28"/>
          <w:szCs w:val="28"/>
        </w:rPr>
        <w:t>（加盖公章）</w:t>
      </w:r>
    </w:p>
    <w:p w14:paraId="5FE59B8F">
      <w:pPr>
        <w:wordWrap w:val="0"/>
        <w:spacing w:line="560" w:lineRule="exact"/>
        <w:jc w:val="right"/>
        <w:rPr>
          <w:rFonts w:hint="eastAsia" w:ascii="仿宋_GB2312" w:hAnsi="仿宋_GB2312" w:eastAsia="仿宋_GB2312" w:cs="仿宋_GB2312"/>
          <w:color w:val="auto"/>
        </w:rPr>
      </w:pPr>
      <w:r>
        <w:rPr>
          <w:rFonts w:hint="default" w:ascii="Times New Roman" w:hAnsi="Times New Roman" w:eastAsia="仿宋_GB2312" w:cs="Times New Roman"/>
          <w:color w:val="auto"/>
          <w:sz w:val="28"/>
          <w:szCs w:val="28"/>
        </w:rPr>
        <w:t>日期：　 年　月　日</w:t>
      </w:r>
      <w:r>
        <w:rPr>
          <w:rFonts w:hint="default" w:ascii="Times New Roman" w:hAnsi="Times New Roman" w:eastAsia="仿宋_GB2312" w:cs="Times New Roman"/>
          <w:color w:val="auto"/>
          <w:sz w:val="28"/>
          <w:szCs w:val="28"/>
          <w:lang w:val="en-US" w:eastAsia="zh-CN"/>
        </w:rPr>
        <w:t xml:space="preserve"> </w:t>
      </w:r>
      <w:r>
        <w:rPr>
          <w:rFonts w:hint="eastAsia" w:ascii="仿宋_GB2312" w:hAnsi="仿宋_GB2312" w:eastAsia="仿宋_GB2312" w:cs="仿宋_GB2312"/>
          <w:color w:val="auto"/>
        </w:rPr>
        <w:t xml:space="preserve"> </w:t>
      </w:r>
    </w:p>
    <w:p w14:paraId="068D9405">
      <w:pPr>
        <w:spacing w:line="500" w:lineRule="exact"/>
        <w:ind w:firstLine="649"/>
        <w:rPr>
          <w:rFonts w:hint="eastAsia" w:ascii="仿宋" w:hAnsi="仿宋" w:eastAsia="仿宋_GB2312"/>
          <w:b/>
          <w:color w:val="auto"/>
          <w:sz w:val="32"/>
          <w:szCs w:val="32"/>
        </w:rPr>
      </w:pPr>
      <w:bookmarkStart w:id="293" w:name="_Toc27976_WPSOffice_Level2"/>
      <w:bookmarkStart w:id="294" w:name="_Toc16564_WPSOffice_Level2"/>
      <w:bookmarkStart w:id="295" w:name="_Toc10928_WPSOffice_Level2"/>
      <w:bookmarkStart w:id="296" w:name="_Toc16442_WPSOffice_Level2"/>
    </w:p>
    <w:p w14:paraId="007439D8">
      <w:pPr>
        <w:spacing w:line="500" w:lineRule="exact"/>
        <w:ind w:firstLine="649"/>
        <w:rPr>
          <w:rFonts w:hint="eastAsia" w:ascii="仿宋" w:hAnsi="仿宋" w:eastAsia="仿宋_GB2312"/>
          <w:b/>
          <w:color w:val="auto"/>
          <w:sz w:val="32"/>
          <w:szCs w:val="32"/>
        </w:rPr>
      </w:pPr>
    </w:p>
    <w:p w14:paraId="05DBC586">
      <w:pPr>
        <w:spacing w:line="500" w:lineRule="exact"/>
        <w:ind w:firstLine="649"/>
        <w:rPr>
          <w:rFonts w:hint="eastAsia" w:ascii="仿宋" w:hAnsi="仿宋" w:eastAsia="仿宋"/>
          <w:b/>
          <w:color w:val="auto"/>
          <w:sz w:val="32"/>
          <w:szCs w:val="32"/>
        </w:rPr>
      </w:pPr>
      <w:r>
        <w:rPr>
          <w:rFonts w:hint="eastAsia" w:ascii="仿宋" w:hAnsi="仿宋" w:eastAsia="仿宋_GB2312"/>
          <w:b/>
          <w:color w:val="auto"/>
          <w:sz w:val="32"/>
          <w:szCs w:val="32"/>
        </w:rPr>
        <w:t>四、</w:t>
      </w:r>
      <w:r>
        <w:rPr>
          <w:rFonts w:ascii="仿宋" w:hAnsi="仿宋" w:eastAsia="仿宋_GB2312"/>
          <w:b/>
          <w:color w:val="auto"/>
          <w:sz w:val="32"/>
          <w:szCs w:val="32"/>
        </w:rPr>
        <w:t>技术</w:t>
      </w:r>
      <w:r>
        <w:rPr>
          <w:rFonts w:hint="eastAsia" w:ascii="仿宋" w:hAnsi="仿宋" w:eastAsia="仿宋_GB2312"/>
          <w:b/>
          <w:color w:val="auto"/>
          <w:sz w:val="32"/>
          <w:szCs w:val="32"/>
        </w:rPr>
        <w:t>服务偏差表</w:t>
      </w:r>
      <w:bookmarkEnd w:id="293"/>
      <w:bookmarkEnd w:id="294"/>
      <w:bookmarkEnd w:id="295"/>
      <w:bookmarkEnd w:id="296"/>
    </w:p>
    <w:tbl>
      <w:tblPr>
        <w:tblStyle w:val="12"/>
        <w:tblpPr w:leftFromText="180" w:rightFromText="180" w:vertAnchor="text" w:horzAnchor="page" w:tblpX="1748" w:tblpY="384"/>
        <w:tblOverlap w:val="never"/>
        <w:tblW w:w="8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423"/>
        <w:gridCol w:w="2599"/>
        <w:gridCol w:w="1375"/>
        <w:gridCol w:w="2350"/>
      </w:tblGrid>
      <w:tr w14:paraId="207A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90" w:type="dxa"/>
            <w:shd w:val="clear" w:color="auto" w:fill="D8D8D8"/>
            <w:vAlign w:val="center"/>
          </w:tcPr>
          <w:p w14:paraId="1A04230C">
            <w:pPr>
              <w:spacing w:line="32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序号</w:t>
            </w:r>
          </w:p>
        </w:tc>
        <w:tc>
          <w:tcPr>
            <w:tcW w:w="1423" w:type="dxa"/>
            <w:shd w:val="clear" w:color="auto" w:fill="D8D8D8"/>
            <w:vAlign w:val="center"/>
          </w:tcPr>
          <w:p w14:paraId="08EC4001">
            <w:pPr>
              <w:spacing w:line="32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磋商文件要求</w:t>
            </w:r>
          </w:p>
        </w:tc>
        <w:tc>
          <w:tcPr>
            <w:tcW w:w="2599" w:type="dxa"/>
            <w:shd w:val="clear" w:color="auto" w:fill="D8D8D8"/>
            <w:vAlign w:val="center"/>
          </w:tcPr>
          <w:p w14:paraId="163E0C82">
            <w:pPr>
              <w:spacing w:line="32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响应文件响应条款</w:t>
            </w:r>
          </w:p>
        </w:tc>
        <w:tc>
          <w:tcPr>
            <w:tcW w:w="1375" w:type="dxa"/>
            <w:shd w:val="clear" w:color="auto" w:fill="D8D8D8"/>
            <w:vAlign w:val="center"/>
          </w:tcPr>
          <w:p w14:paraId="50BE572B">
            <w:pPr>
              <w:spacing w:line="32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bCs/>
                <w:color w:val="auto"/>
                <w:sz w:val="28"/>
                <w:szCs w:val="28"/>
              </w:rPr>
              <w:t>偏离程度</w:t>
            </w:r>
          </w:p>
        </w:tc>
        <w:tc>
          <w:tcPr>
            <w:tcW w:w="2350" w:type="dxa"/>
            <w:shd w:val="clear" w:color="auto" w:fill="D8D8D8"/>
            <w:vAlign w:val="center"/>
          </w:tcPr>
          <w:p w14:paraId="4D17AD77">
            <w:pPr>
              <w:spacing w:line="32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偏离简述</w:t>
            </w:r>
          </w:p>
          <w:p w14:paraId="6874DB8A">
            <w:pPr>
              <w:spacing w:line="32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或相关证明材料</w:t>
            </w:r>
          </w:p>
        </w:tc>
      </w:tr>
      <w:tr w14:paraId="13A0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90" w:type="dxa"/>
            <w:vAlign w:val="center"/>
          </w:tcPr>
          <w:p w14:paraId="7821F0A7">
            <w:pPr>
              <w:spacing w:line="44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p>
        </w:tc>
        <w:tc>
          <w:tcPr>
            <w:tcW w:w="1423" w:type="dxa"/>
            <w:vAlign w:val="center"/>
          </w:tcPr>
          <w:p w14:paraId="0456B095">
            <w:pPr>
              <w:spacing w:line="440" w:lineRule="exact"/>
              <w:rPr>
                <w:rFonts w:hint="default" w:ascii="Times New Roman" w:hAnsi="Times New Roman" w:eastAsia="仿宋_GB2312" w:cs="Times New Roman"/>
                <w:color w:val="auto"/>
                <w:sz w:val="28"/>
                <w:szCs w:val="28"/>
              </w:rPr>
            </w:pPr>
          </w:p>
        </w:tc>
        <w:tc>
          <w:tcPr>
            <w:tcW w:w="2599" w:type="dxa"/>
            <w:vAlign w:val="center"/>
          </w:tcPr>
          <w:p w14:paraId="6434B135">
            <w:pPr>
              <w:spacing w:line="440" w:lineRule="exact"/>
              <w:rPr>
                <w:rFonts w:hint="default" w:ascii="Times New Roman" w:hAnsi="Times New Roman" w:eastAsia="仿宋_GB2312" w:cs="Times New Roman"/>
                <w:color w:val="auto"/>
                <w:sz w:val="28"/>
                <w:szCs w:val="28"/>
              </w:rPr>
            </w:pPr>
          </w:p>
        </w:tc>
        <w:tc>
          <w:tcPr>
            <w:tcW w:w="1375" w:type="dxa"/>
            <w:vAlign w:val="center"/>
          </w:tcPr>
          <w:p w14:paraId="37C14FD7">
            <w:pPr>
              <w:spacing w:line="440" w:lineRule="exact"/>
              <w:rPr>
                <w:rFonts w:hint="default" w:ascii="Times New Roman" w:hAnsi="Times New Roman" w:eastAsia="仿宋_GB2312" w:cs="Times New Roman"/>
                <w:color w:val="auto"/>
                <w:sz w:val="28"/>
                <w:szCs w:val="28"/>
              </w:rPr>
            </w:pPr>
          </w:p>
        </w:tc>
        <w:tc>
          <w:tcPr>
            <w:tcW w:w="2350" w:type="dxa"/>
            <w:vAlign w:val="center"/>
          </w:tcPr>
          <w:p w14:paraId="73AD3372">
            <w:pPr>
              <w:spacing w:line="440" w:lineRule="exact"/>
              <w:rPr>
                <w:rFonts w:hint="default" w:ascii="Times New Roman" w:hAnsi="Times New Roman" w:eastAsia="仿宋_GB2312" w:cs="Times New Roman"/>
                <w:color w:val="auto"/>
                <w:sz w:val="28"/>
                <w:szCs w:val="28"/>
              </w:rPr>
            </w:pPr>
          </w:p>
        </w:tc>
      </w:tr>
      <w:tr w14:paraId="4CDB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90" w:type="dxa"/>
            <w:vAlign w:val="center"/>
          </w:tcPr>
          <w:p w14:paraId="3CA462DA">
            <w:pPr>
              <w:spacing w:line="44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p>
        </w:tc>
        <w:tc>
          <w:tcPr>
            <w:tcW w:w="1423" w:type="dxa"/>
            <w:vAlign w:val="center"/>
          </w:tcPr>
          <w:p w14:paraId="1EF6AF06">
            <w:pPr>
              <w:spacing w:line="440" w:lineRule="exact"/>
              <w:rPr>
                <w:rFonts w:hint="default" w:ascii="Times New Roman" w:hAnsi="Times New Roman" w:eastAsia="仿宋_GB2312" w:cs="Times New Roman"/>
                <w:color w:val="auto"/>
                <w:sz w:val="28"/>
                <w:szCs w:val="28"/>
              </w:rPr>
            </w:pPr>
          </w:p>
        </w:tc>
        <w:tc>
          <w:tcPr>
            <w:tcW w:w="2599" w:type="dxa"/>
            <w:vAlign w:val="center"/>
          </w:tcPr>
          <w:p w14:paraId="77E0E682">
            <w:pPr>
              <w:spacing w:line="440" w:lineRule="exact"/>
              <w:rPr>
                <w:rFonts w:hint="default" w:ascii="Times New Roman" w:hAnsi="Times New Roman" w:eastAsia="仿宋_GB2312" w:cs="Times New Roman"/>
                <w:color w:val="auto"/>
                <w:sz w:val="28"/>
                <w:szCs w:val="28"/>
              </w:rPr>
            </w:pPr>
          </w:p>
        </w:tc>
        <w:tc>
          <w:tcPr>
            <w:tcW w:w="1375" w:type="dxa"/>
            <w:vAlign w:val="center"/>
          </w:tcPr>
          <w:p w14:paraId="630FB5B6">
            <w:pPr>
              <w:spacing w:line="440" w:lineRule="exact"/>
              <w:rPr>
                <w:rFonts w:hint="default" w:ascii="Times New Roman" w:hAnsi="Times New Roman" w:eastAsia="仿宋_GB2312" w:cs="Times New Roman"/>
                <w:color w:val="auto"/>
                <w:sz w:val="28"/>
                <w:szCs w:val="28"/>
              </w:rPr>
            </w:pPr>
          </w:p>
        </w:tc>
        <w:tc>
          <w:tcPr>
            <w:tcW w:w="2350" w:type="dxa"/>
            <w:vAlign w:val="center"/>
          </w:tcPr>
          <w:p w14:paraId="0FAC0E9B">
            <w:pPr>
              <w:spacing w:line="440" w:lineRule="exact"/>
              <w:rPr>
                <w:rFonts w:hint="default" w:ascii="Times New Roman" w:hAnsi="Times New Roman" w:eastAsia="仿宋_GB2312" w:cs="Times New Roman"/>
                <w:color w:val="auto"/>
                <w:sz w:val="28"/>
                <w:szCs w:val="28"/>
              </w:rPr>
            </w:pPr>
          </w:p>
        </w:tc>
      </w:tr>
      <w:tr w14:paraId="7DA6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90" w:type="dxa"/>
            <w:vAlign w:val="center"/>
          </w:tcPr>
          <w:p w14:paraId="69EC0614">
            <w:pPr>
              <w:spacing w:line="44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p>
        </w:tc>
        <w:tc>
          <w:tcPr>
            <w:tcW w:w="1423" w:type="dxa"/>
            <w:vAlign w:val="center"/>
          </w:tcPr>
          <w:p w14:paraId="6B11E8E9">
            <w:pPr>
              <w:spacing w:line="440" w:lineRule="exact"/>
              <w:rPr>
                <w:rFonts w:hint="default" w:ascii="Times New Roman" w:hAnsi="Times New Roman" w:eastAsia="仿宋_GB2312" w:cs="Times New Roman"/>
                <w:color w:val="auto"/>
                <w:sz w:val="28"/>
                <w:szCs w:val="28"/>
              </w:rPr>
            </w:pPr>
          </w:p>
        </w:tc>
        <w:tc>
          <w:tcPr>
            <w:tcW w:w="2599" w:type="dxa"/>
            <w:vAlign w:val="center"/>
          </w:tcPr>
          <w:p w14:paraId="65205914">
            <w:pPr>
              <w:spacing w:line="440" w:lineRule="exact"/>
              <w:rPr>
                <w:rFonts w:hint="default" w:ascii="Times New Roman" w:hAnsi="Times New Roman" w:eastAsia="仿宋_GB2312" w:cs="Times New Roman"/>
                <w:color w:val="auto"/>
                <w:sz w:val="28"/>
                <w:szCs w:val="28"/>
              </w:rPr>
            </w:pPr>
          </w:p>
        </w:tc>
        <w:tc>
          <w:tcPr>
            <w:tcW w:w="1375" w:type="dxa"/>
            <w:vAlign w:val="center"/>
          </w:tcPr>
          <w:p w14:paraId="11707F6D">
            <w:pPr>
              <w:spacing w:line="440" w:lineRule="exact"/>
              <w:rPr>
                <w:rFonts w:hint="default" w:ascii="Times New Roman" w:hAnsi="Times New Roman" w:eastAsia="仿宋_GB2312" w:cs="Times New Roman"/>
                <w:color w:val="auto"/>
                <w:sz w:val="28"/>
                <w:szCs w:val="28"/>
              </w:rPr>
            </w:pPr>
          </w:p>
        </w:tc>
        <w:tc>
          <w:tcPr>
            <w:tcW w:w="2350" w:type="dxa"/>
            <w:vAlign w:val="center"/>
          </w:tcPr>
          <w:p w14:paraId="5B2E74E2">
            <w:pPr>
              <w:spacing w:line="440" w:lineRule="exact"/>
              <w:rPr>
                <w:rFonts w:hint="default" w:ascii="Times New Roman" w:hAnsi="Times New Roman" w:eastAsia="仿宋_GB2312" w:cs="Times New Roman"/>
                <w:color w:val="auto"/>
                <w:sz w:val="28"/>
                <w:szCs w:val="28"/>
              </w:rPr>
            </w:pPr>
          </w:p>
        </w:tc>
      </w:tr>
      <w:tr w14:paraId="747A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90" w:type="dxa"/>
            <w:vAlign w:val="center"/>
          </w:tcPr>
          <w:p w14:paraId="01366569">
            <w:pPr>
              <w:spacing w:line="440" w:lineRule="exact"/>
              <w:rPr>
                <w:rFonts w:hint="default" w:ascii="Times New Roman" w:hAnsi="Times New Roman" w:eastAsia="仿宋_GB2312" w:cs="Times New Roman"/>
                <w:color w:val="auto"/>
                <w:sz w:val="28"/>
                <w:szCs w:val="28"/>
              </w:rPr>
            </w:pPr>
          </w:p>
        </w:tc>
        <w:tc>
          <w:tcPr>
            <w:tcW w:w="1423" w:type="dxa"/>
            <w:vAlign w:val="center"/>
          </w:tcPr>
          <w:p w14:paraId="0CF6263D">
            <w:pPr>
              <w:spacing w:line="440" w:lineRule="exact"/>
              <w:rPr>
                <w:rFonts w:hint="default" w:ascii="Times New Roman" w:hAnsi="Times New Roman" w:eastAsia="仿宋_GB2312" w:cs="Times New Roman"/>
                <w:color w:val="auto"/>
                <w:sz w:val="28"/>
                <w:szCs w:val="28"/>
              </w:rPr>
            </w:pPr>
          </w:p>
        </w:tc>
        <w:tc>
          <w:tcPr>
            <w:tcW w:w="2599" w:type="dxa"/>
            <w:vAlign w:val="center"/>
          </w:tcPr>
          <w:p w14:paraId="1593E178">
            <w:pPr>
              <w:spacing w:line="440" w:lineRule="exact"/>
              <w:rPr>
                <w:rFonts w:hint="default" w:ascii="Times New Roman" w:hAnsi="Times New Roman" w:eastAsia="仿宋_GB2312" w:cs="Times New Roman"/>
                <w:color w:val="auto"/>
                <w:sz w:val="28"/>
                <w:szCs w:val="28"/>
              </w:rPr>
            </w:pPr>
          </w:p>
        </w:tc>
        <w:tc>
          <w:tcPr>
            <w:tcW w:w="1375" w:type="dxa"/>
            <w:vAlign w:val="center"/>
          </w:tcPr>
          <w:p w14:paraId="43F86838">
            <w:pPr>
              <w:spacing w:line="440" w:lineRule="exact"/>
              <w:rPr>
                <w:rFonts w:hint="default" w:ascii="Times New Roman" w:hAnsi="Times New Roman" w:eastAsia="仿宋_GB2312" w:cs="Times New Roman"/>
                <w:color w:val="auto"/>
                <w:sz w:val="28"/>
                <w:szCs w:val="28"/>
              </w:rPr>
            </w:pPr>
          </w:p>
        </w:tc>
        <w:tc>
          <w:tcPr>
            <w:tcW w:w="2350" w:type="dxa"/>
            <w:vAlign w:val="center"/>
          </w:tcPr>
          <w:p w14:paraId="43CED8CC">
            <w:pPr>
              <w:spacing w:line="440" w:lineRule="exact"/>
              <w:rPr>
                <w:rFonts w:hint="default" w:ascii="Times New Roman" w:hAnsi="Times New Roman" w:eastAsia="仿宋_GB2312" w:cs="Times New Roman"/>
                <w:color w:val="auto"/>
                <w:sz w:val="28"/>
                <w:szCs w:val="28"/>
              </w:rPr>
            </w:pPr>
          </w:p>
        </w:tc>
      </w:tr>
      <w:tr w14:paraId="28AA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90" w:type="dxa"/>
            <w:vAlign w:val="center"/>
          </w:tcPr>
          <w:p w14:paraId="11721BE3">
            <w:pPr>
              <w:spacing w:line="440" w:lineRule="exact"/>
              <w:rPr>
                <w:rFonts w:hint="default" w:ascii="Times New Roman" w:hAnsi="Times New Roman" w:eastAsia="仿宋_GB2312" w:cs="Times New Roman"/>
                <w:color w:val="auto"/>
                <w:sz w:val="28"/>
                <w:szCs w:val="28"/>
              </w:rPr>
            </w:pPr>
          </w:p>
        </w:tc>
        <w:tc>
          <w:tcPr>
            <w:tcW w:w="1423" w:type="dxa"/>
            <w:vAlign w:val="center"/>
          </w:tcPr>
          <w:p w14:paraId="4B622793">
            <w:pPr>
              <w:spacing w:line="440" w:lineRule="exact"/>
              <w:rPr>
                <w:rFonts w:hint="default" w:ascii="Times New Roman" w:hAnsi="Times New Roman" w:eastAsia="仿宋_GB2312" w:cs="Times New Roman"/>
                <w:color w:val="auto"/>
                <w:sz w:val="28"/>
                <w:szCs w:val="28"/>
              </w:rPr>
            </w:pPr>
          </w:p>
        </w:tc>
        <w:tc>
          <w:tcPr>
            <w:tcW w:w="2599" w:type="dxa"/>
            <w:vAlign w:val="center"/>
          </w:tcPr>
          <w:p w14:paraId="3EF1832C">
            <w:pPr>
              <w:spacing w:line="440" w:lineRule="exact"/>
              <w:rPr>
                <w:rFonts w:hint="default" w:ascii="Times New Roman" w:hAnsi="Times New Roman" w:eastAsia="仿宋_GB2312" w:cs="Times New Roman"/>
                <w:color w:val="auto"/>
                <w:sz w:val="28"/>
                <w:szCs w:val="28"/>
              </w:rPr>
            </w:pPr>
          </w:p>
        </w:tc>
        <w:tc>
          <w:tcPr>
            <w:tcW w:w="1375" w:type="dxa"/>
            <w:vAlign w:val="center"/>
          </w:tcPr>
          <w:p w14:paraId="13EDCBBA">
            <w:pPr>
              <w:spacing w:line="440" w:lineRule="exact"/>
              <w:rPr>
                <w:rFonts w:hint="default" w:ascii="Times New Roman" w:hAnsi="Times New Roman" w:eastAsia="仿宋_GB2312" w:cs="Times New Roman"/>
                <w:color w:val="auto"/>
                <w:sz w:val="28"/>
                <w:szCs w:val="28"/>
              </w:rPr>
            </w:pPr>
          </w:p>
        </w:tc>
        <w:tc>
          <w:tcPr>
            <w:tcW w:w="2350" w:type="dxa"/>
            <w:vAlign w:val="center"/>
          </w:tcPr>
          <w:p w14:paraId="02B2C264">
            <w:pPr>
              <w:spacing w:line="440" w:lineRule="exact"/>
              <w:rPr>
                <w:rFonts w:hint="default" w:ascii="Times New Roman" w:hAnsi="Times New Roman" w:eastAsia="仿宋_GB2312" w:cs="Times New Roman"/>
                <w:color w:val="auto"/>
                <w:sz w:val="28"/>
                <w:szCs w:val="28"/>
              </w:rPr>
            </w:pPr>
          </w:p>
        </w:tc>
      </w:tr>
      <w:tr w14:paraId="302C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90" w:type="dxa"/>
            <w:vAlign w:val="center"/>
          </w:tcPr>
          <w:p w14:paraId="51F8ED93">
            <w:pPr>
              <w:spacing w:line="440" w:lineRule="exact"/>
              <w:rPr>
                <w:rFonts w:hint="default" w:ascii="Times New Roman" w:hAnsi="Times New Roman" w:eastAsia="仿宋_GB2312" w:cs="Times New Roman"/>
                <w:color w:val="auto"/>
                <w:sz w:val="28"/>
                <w:szCs w:val="28"/>
              </w:rPr>
            </w:pPr>
          </w:p>
        </w:tc>
        <w:tc>
          <w:tcPr>
            <w:tcW w:w="1423" w:type="dxa"/>
            <w:vAlign w:val="center"/>
          </w:tcPr>
          <w:p w14:paraId="5FBF2855">
            <w:pPr>
              <w:spacing w:line="440" w:lineRule="exact"/>
              <w:rPr>
                <w:rFonts w:hint="default" w:ascii="Times New Roman" w:hAnsi="Times New Roman" w:eastAsia="仿宋_GB2312" w:cs="Times New Roman"/>
                <w:color w:val="auto"/>
                <w:sz w:val="28"/>
                <w:szCs w:val="28"/>
              </w:rPr>
            </w:pPr>
          </w:p>
        </w:tc>
        <w:tc>
          <w:tcPr>
            <w:tcW w:w="2599" w:type="dxa"/>
            <w:vAlign w:val="center"/>
          </w:tcPr>
          <w:p w14:paraId="1FE51192">
            <w:pPr>
              <w:spacing w:line="440" w:lineRule="exact"/>
              <w:rPr>
                <w:rFonts w:hint="default" w:ascii="Times New Roman" w:hAnsi="Times New Roman" w:eastAsia="仿宋_GB2312" w:cs="Times New Roman"/>
                <w:color w:val="auto"/>
                <w:sz w:val="28"/>
                <w:szCs w:val="28"/>
              </w:rPr>
            </w:pPr>
          </w:p>
        </w:tc>
        <w:tc>
          <w:tcPr>
            <w:tcW w:w="1375" w:type="dxa"/>
            <w:vAlign w:val="center"/>
          </w:tcPr>
          <w:p w14:paraId="0BD38C4F">
            <w:pPr>
              <w:spacing w:line="440" w:lineRule="exact"/>
              <w:rPr>
                <w:rFonts w:hint="default" w:ascii="Times New Roman" w:hAnsi="Times New Roman" w:eastAsia="仿宋_GB2312" w:cs="Times New Roman"/>
                <w:color w:val="auto"/>
                <w:sz w:val="28"/>
                <w:szCs w:val="28"/>
              </w:rPr>
            </w:pPr>
          </w:p>
        </w:tc>
        <w:tc>
          <w:tcPr>
            <w:tcW w:w="2350" w:type="dxa"/>
            <w:vAlign w:val="center"/>
          </w:tcPr>
          <w:p w14:paraId="594B2DBA">
            <w:pPr>
              <w:spacing w:line="440" w:lineRule="exact"/>
              <w:rPr>
                <w:rFonts w:hint="default" w:ascii="Times New Roman" w:hAnsi="Times New Roman" w:eastAsia="仿宋_GB2312" w:cs="Times New Roman"/>
                <w:color w:val="auto"/>
                <w:sz w:val="28"/>
                <w:szCs w:val="28"/>
              </w:rPr>
            </w:pPr>
          </w:p>
        </w:tc>
      </w:tr>
      <w:tr w14:paraId="58BF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90" w:type="dxa"/>
            <w:vAlign w:val="center"/>
          </w:tcPr>
          <w:p w14:paraId="7E2A95CE">
            <w:pPr>
              <w:spacing w:line="44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1423" w:type="dxa"/>
            <w:vAlign w:val="center"/>
          </w:tcPr>
          <w:p w14:paraId="02AF9EAE">
            <w:pPr>
              <w:spacing w:line="440" w:lineRule="exact"/>
              <w:rPr>
                <w:rFonts w:hint="default" w:ascii="Times New Roman" w:hAnsi="Times New Roman" w:eastAsia="仿宋_GB2312" w:cs="Times New Roman"/>
                <w:color w:val="auto"/>
                <w:sz w:val="28"/>
                <w:szCs w:val="28"/>
              </w:rPr>
            </w:pPr>
          </w:p>
        </w:tc>
        <w:tc>
          <w:tcPr>
            <w:tcW w:w="2599" w:type="dxa"/>
            <w:vAlign w:val="center"/>
          </w:tcPr>
          <w:p w14:paraId="6D1721D5">
            <w:pPr>
              <w:spacing w:line="440" w:lineRule="exact"/>
              <w:rPr>
                <w:rFonts w:hint="default" w:ascii="Times New Roman" w:hAnsi="Times New Roman" w:eastAsia="仿宋_GB2312" w:cs="Times New Roman"/>
                <w:color w:val="auto"/>
                <w:sz w:val="28"/>
                <w:szCs w:val="28"/>
              </w:rPr>
            </w:pPr>
          </w:p>
        </w:tc>
        <w:tc>
          <w:tcPr>
            <w:tcW w:w="1375" w:type="dxa"/>
            <w:vAlign w:val="center"/>
          </w:tcPr>
          <w:p w14:paraId="65D5762A">
            <w:pPr>
              <w:spacing w:line="440" w:lineRule="exact"/>
              <w:rPr>
                <w:rFonts w:hint="default" w:ascii="Times New Roman" w:hAnsi="Times New Roman" w:eastAsia="仿宋_GB2312" w:cs="Times New Roman"/>
                <w:color w:val="auto"/>
                <w:sz w:val="28"/>
                <w:szCs w:val="28"/>
              </w:rPr>
            </w:pPr>
          </w:p>
        </w:tc>
        <w:tc>
          <w:tcPr>
            <w:tcW w:w="2350" w:type="dxa"/>
            <w:vAlign w:val="center"/>
          </w:tcPr>
          <w:p w14:paraId="2979197B">
            <w:pPr>
              <w:spacing w:line="440" w:lineRule="exact"/>
              <w:rPr>
                <w:rFonts w:hint="default" w:ascii="Times New Roman" w:hAnsi="Times New Roman" w:eastAsia="仿宋_GB2312" w:cs="Times New Roman"/>
                <w:color w:val="auto"/>
                <w:sz w:val="28"/>
                <w:szCs w:val="28"/>
              </w:rPr>
            </w:pPr>
          </w:p>
        </w:tc>
      </w:tr>
    </w:tbl>
    <w:p w14:paraId="6AB609BD">
      <w:pPr>
        <w:pStyle w:val="2"/>
        <w:ind w:firstLine="649"/>
        <w:jc w:val="both"/>
        <w:rPr>
          <w:color w:val="auto"/>
        </w:rPr>
      </w:pPr>
    </w:p>
    <w:p w14:paraId="26A9E098">
      <w:pPr>
        <w:keepNext w:val="0"/>
        <w:keepLines w:val="0"/>
        <w:pageBreakBefore w:val="0"/>
        <w:widowControl/>
        <w:suppressLineNumbers w:val="0"/>
        <w:kinsoku/>
        <w:wordWrap/>
        <w:overflowPunct/>
        <w:topLinePunct w:val="0"/>
        <w:autoSpaceDE/>
        <w:autoSpaceDN/>
        <w:bidi w:val="0"/>
        <w:adjustRightInd/>
        <w:snapToGrid/>
        <w:spacing w:line="240" w:lineRule="auto"/>
        <w:ind w:firstLine="486" w:firstLineChars="200"/>
        <w:jc w:val="left"/>
        <w:textAlignment w:val="auto"/>
        <w:rPr>
          <w:rFonts w:hint="default" w:ascii="Times New Roman" w:hAnsi="Times New Roman" w:eastAsia="仿宋_GB2312" w:cs="Times New Roman"/>
          <w:color w:val="auto"/>
          <w:sz w:val="24"/>
          <w:szCs w:val="24"/>
          <w:lang w:eastAsia="zh-CN"/>
        </w:rPr>
      </w:pPr>
      <w:bookmarkStart w:id="297" w:name="_Toc9021_WPSOffice_Level1"/>
      <w:bookmarkStart w:id="298" w:name="_Toc31624_WPSOffice_Level1"/>
      <w:bookmarkStart w:id="299" w:name="_Toc5795_WPSOffice_Level1"/>
      <w:r>
        <w:rPr>
          <w:rFonts w:hint="default" w:ascii="Times New Roman" w:hAnsi="Times New Roman" w:eastAsia="仿宋_GB2312" w:cs="Times New Roman"/>
          <w:color w:val="auto"/>
          <w:sz w:val="24"/>
          <w:szCs w:val="24"/>
        </w:rPr>
        <w:t>备注：</w:t>
      </w: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填写此表时以第三章“磋商内容及采购要求”各条款为基本响应要求，满足磋商文件要求的，“偏离程度”注明“0”，无需填写“偏离简述”项。超出、不满足磋商文件要求的，列出“</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”偏差，并在“偏离简述”项做出详细说明；如果加“★”内容的“响应条款”</w:t>
      </w:r>
      <w:r>
        <w:rPr>
          <w:rFonts w:hint="default" w:ascii="Times New Roman" w:hAnsi="Times New Roman" w:eastAsia="仿宋_GB2312" w:cs="Times New Roman"/>
          <w:color w:val="auto"/>
          <w:sz w:val="24"/>
          <w:szCs w:val="24"/>
          <w:lang w:val="en-US" w:eastAsia="zh-CN"/>
        </w:rPr>
        <w:t>或</w:t>
      </w:r>
      <w:r>
        <w:rPr>
          <w:rFonts w:hint="default" w:ascii="Times New Roman" w:hAnsi="Times New Roman" w:eastAsia="仿宋_GB2312" w:cs="Times New Roman"/>
          <w:color w:val="auto"/>
          <w:sz w:val="24"/>
          <w:szCs w:val="24"/>
        </w:rPr>
        <w:t>“偏离程度”项未填写，将视为该项指标未响应，投标无效</w:t>
      </w:r>
      <w:r>
        <w:rPr>
          <w:rFonts w:hint="default" w:ascii="Times New Roman" w:hAnsi="Times New Roman" w:eastAsia="仿宋_GB2312" w:cs="Times New Roman"/>
          <w:color w:val="auto"/>
          <w:sz w:val="24"/>
          <w:szCs w:val="24"/>
          <w:lang w:eastAsia="zh-CN"/>
        </w:rPr>
        <w:t>。</w:t>
      </w:r>
    </w:p>
    <w:p w14:paraId="5FC7AAFC">
      <w:pPr>
        <w:keepNext w:val="0"/>
        <w:keepLines w:val="0"/>
        <w:pageBreakBefore w:val="0"/>
        <w:widowControl/>
        <w:suppressLineNumbers w:val="0"/>
        <w:kinsoku/>
        <w:wordWrap/>
        <w:overflowPunct/>
        <w:topLinePunct w:val="0"/>
        <w:autoSpaceDE/>
        <w:autoSpaceDN/>
        <w:bidi w:val="0"/>
        <w:adjustRightInd/>
        <w:snapToGrid/>
        <w:spacing w:line="240" w:lineRule="auto"/>
        <w:ind w:firstLine="486" w:firstLineChars="200"/>
        <w:jc w:val="lef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val="en-US" w:eastAsia="zh-CN" w:bidi="ar"/>
        </w:rPr>
        <w:t>2、“磋商文件响应条款”必须与磋商响应文件中提供的证明材料的实质性响应情况相一致。若在评审环节发现该项与磋商响应文件证明材料的实质性响应情况不一致，按无效响应处理。</w:t>
      </w:r>
    </w:p>
    <w:p w14:paraId="0244673B">
      <w:pPr>
        <w:spacing w:line="240" w:lineRule="auto"/>
        <w:ind w:firstLine="426" w:firstLineChars="200"/>
        <w:rPr>
          <w:rFonts w:hint="default" w:ascii="Times New Roman" w:hAnsi="Times New Roman" w:eastAsia="宋体" w:cs="Times New Roman"/>
          <w:color w:val="auto"/>
          <w:sz w:val="21"/>
          <w:szCs w:val="21"/>
        </w:rPr>
      </w:pPr>
    </w:p>
    <w:p w14:paraId="0AF8B0CA">
      <w:pPr>
        <w:spacing w:line="500" w:lineRule="exact"/>
        <w:ind w:firstLine="566" w:firstLineChars="200"/>
        <w:rPr>
          <w:rFonts w:hint="default" w:ascii="Times New Roman" w:hAnsi="Times New Roman" w:cs="Times New Roman"/>
          <w:color w:val="auto"/>
        </w:rPr>
      </w:pPr>
    </w:p>
    <w:p w14:paraId="29C8C7C6">
      <w:pPr>
        <w:spacing w:line="500" w:lineRule="exact"/>
        <w:ind w:firstLine="5094" w:firstLineChars="1800"/>
        <w:rPr>
          <w:rFonts w:hint="default" w:ascii="Times New Roman" w:hAnsi="Times New Roman" w:eastAsia="仿宋_GB2312" w:cs="Times New Roman"/>
          <w:color w:val="auto"/>
        </w:rPr>
      </w:pPr>
      <w:r>
        <w:rPr>
          <w:rFonts w:hint="default" w:ascii="Times New Roman" w:hAnsi="Times New Roman" w:eastAsia="仿宋_GB2312" w:cs="Times New Roman"/>
          <w:color w:val="auto"/>
        </w:rPr>
        <w:t>供应商：</w:t>
      </w:r>
      <w:r>
        <w:rPr>
          <w:rFonts w:hint="default" w:ascii="Times New Roman" w:hAnsi="Times New Roman" w:eastAsia="仿宋_GB2312" w:cs="Times New Roman"/>
          <w:color w:val="auto"/>
          <w:u w:val="single"/>
        </w:rPr>
        <w:t>名称</w:t>
      </w:r>
      <w:r>
        <w:rPr>
          <w:rFonts w:hint="default" w:ascii="Times New Roman" w:hAnsi="Times New Roman" w:eastAsia="仿宋_GB2312" w:cs="Times New Roman"/>
          <w:color w:val="auto"/>
        </w:rPr>
        <w:t>（加盖公章）</w:t>
      </w:r>
    </w:p>
    <w:p w14:paraId="502DA6F8">
      <w:pPr>
        <w:tabs>
          <w:tab w:val="right" w:pos="9070"/>
        </w:tabs>
        <w:spacing w:line="500" w:lineRule="exact"/>
        <w:ind w:firstLine="5094" w:firstLineChars="18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rPr>
        <w:t>日期：　　年　月　日</w:t>
      </w:r>
    </w:p>
    <w:p w14:paraId="78409067">
      <w:pPr>
        <w:ind w:firstLine="649"/>
        <w:rPr>
          <w:rFonts w:hint="eastAsia" w:ascii="仿宋_GB2312" w:hAnsi="仿宋_GB2312" w:eastAsia="仿宋_GB2312" w:cs="仿宋_GB2312"/>
          <w:b/>
          <w:color w:val="auto"/>
          <w:sz w:val="32"/>
          <w:szCs w:val="32"/>
        </w:rPr>
      </w:pPr>
    </w:p>
    <w:p w14:paraId="01329564">
      <w:pPr>
        <w:ind w:firstLine="649"/>
        <w:rPr>
          <w:rFonts w:hint="eastAsia" w:ascii="仿宋_GB2312" w:hAnsi="仿宋_GB2312" w:eastAsia="仿宋_GB2312" w:cs="仿宋_GB2312"/>
          <w:b/>
          <w:color w:val="auto"/>
          <w:sz w:val="32"/>
          <w:szCs w:val="32"/>
        </w:rPr>
      </w:pPr>
    </w:p>
    <w:p w14:paraId="0C99C245">
      <w:pPr>
        <w:ind w:firstLine="649"/>
        <w:rPr>
          <w:rFonts w:hint="eastAsia" w:ascii="仿宋_GB2312" w:hAnsi="仿宋_GB2312" w:eastAsia="仿宋_GB2312" w:cs="仿宋_GB2312"/>
          <w:b/>
          <w:color w:val="auto"/>
          <w:sz w:val="32"/>
          <w:szCs w:val="32"/>
        </w:rPr>
      </w:pPr>
    </w:p>
    <w:p w14:paraId="01BE999A">
      <w:pPr>
        <w:ind w:firstLine="649"/>
        <w:rPr>
          <w:rFonts w:hint="eastAsia" w:ascii="仿宋_GB2312" w:hAnsi="仿宋_GB2312" w:eastAsia="仿宋_GB2312" w:cs="仿宋_GB2312"/>
          <w:b/>
          <w:color w:val="auto"/>
          <w:sz w:val="32"/>
          <w:szCs w:val="32"/>
        </w:rPr>
      </w:pPr>
    </w:p>
    <w:p w14:paraId="08176155">
      <w:pPr>
        <w:ind w:firstLine="649"/>
        <w:rPr>
          <w:rFonts w:hint="eastAsia" w:ascii="仿宋_GB2312" w:hAnsi="仿宋_GB2312" w:eastAsia="仿宋_GB2312" w:cs="仿宋_GB2312"/>
          <w:b/>
          <w:color w:val="auto"/>
          <w:sz w:val="32"/>
          <w:szCs w:val="32"/>
        </w:rPr>
      </w:pPr>
    </w:p>
    <w:p w14:paraId="03FDB471">
      <w:pPr>
        <w:ind w:firstLine="649"/>
        <w:rPr>
          <w:rFonts w:hint="eastAsia" w:ascii="仿宋_GB2312" w:hAnsi="仿宋_GB2312" w:eastAsia="仿宋_GB2312" w:cs="仿宋_GB2312"/>
          <w:b/>
          <w:color w:val="auto"/>
          <w:sz w:val="32"/>
          <w:szCs w:val="32"/>
        </w:rPr>
      </w:pPr>
    </w:p>
    <w:p w14:paraId="37000881">
      <w:pPr>
        <w:ind w:firstLine="649"/>
        <w:rPr>
          <w:rFonts w:hint="eastAsia" w:ascii="仿宋_GB2312" w:hAnsi="仿宋_GB2312" w:eastAsia="仿宋_GB2312" w:cs="仿宋_GB2312"/>
          <w:b/>
          <w:color w:val="auto"/>
          <w:sz w:val="32"/>
          <w:szCs w:val="32"/>
        </w:rPr>
      </w:pPr>
    </w:p>
    <w:p w14:paraId="17530B4F">
      <w:pPr>
        <w:ind w:firstLine="649"/>
        <w:rPr>
          <w:rFonts w:hint="eastAsia" w:ascii="仿宋_GB2312" w:hAnsi="仿宋_GB2312" w:eastAsia="仿宋_GB2312" w:cs="仿宋_GB2312"/>
          <w:b/>
          <w:color w:val="auto"/>
          <w:sz w:val="32"/>
          <w:szCs w:val="32"/>
        </w:rPr>
      </w:pPr>
    </w:p>
    <w:p w14:paraId="04A647B6">
      <w:pPr>
        <w:ind w:firstLine="649"/>
        <w:rPr>
          <w:rFonts w:hint="eastAsia" w:ascii="仿宋_GB2312" w:hAnsi="仿宋_GB2312" w:eastAsia="仿宋_GB2312" w:cs="仿宋_GB2312"/>
          <w:bCs/>
          <w:color w:val="auto"/>
          <w:sz w:val="28"/>
          <w:szCs w:val="28"/>
        </w:rPr>
      </w:pPr>
      <w:r>
        <w:rPr>
          <w:rFonts w:hint="eastAsia" w:ascii="仿宋_GB2312" w:hAnsi="仿宋_GB2312" w:eastAsia="仿宋_GB2312" w:cs="仿宋_GB2312"/>
          <w:b/>
          <w:color w:val="auto"/>
          <w:sz w:val="32"/>
          <w:szCs w:val="32"/>
        </w:rPr>
        <w:t>五、合同草案条款响应</w:t>
      </w:r>
    </w:p>
    <w:tbl>
      <w:tblPr>
        <w:tblStyle w:val="12"/>
        <w:tblpPr w:leftFromText="180" w:rightFromText="180" w:vertAnchor="text" w:horzAnchor="page" w:tblpX="1717" w:tblpY="399"/>
        <w:tblOverlap w:val="never"/>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2880"/>
        <w:gridCol w:w="2880"/>
      </w:tblGrid>
      <w:tr w14:paraId="414F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8640" w:type="dxa"/>
            <w:gridSpan w:val="3"/>
            <w:noWrap w:val="0"/>
            <w:vAlign w:val="center"/>
          </w:tcPr>
          <w:p w14:paraId="63471F54">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致：汉台区政府采购中心</w:t>
            </w:r>
          </w:p>
        </w:tc>
      </w:tr>
      <w:tr w14:paraId="0751F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8640" w:type="dxa"/>
            <w:gridSpan w:val="3"/>
            <w:noWrap w:val="0"/>
            <w:vAlign w:val="center"/>
          </w:tcPr>
          <w:p w14:paraId="10A550B2">
            <w:pPr>
              <w:spacing w:line="500" w:lineRule="exact"/>
              <w:ind w:firstLine="849" w:firstLineChars="300"/>
              <w:rPr>
                <w:rFonts w:hint="default" w:ascii="Times New Roman" w:hAnsi="Times New Roman" w:eastAsia="仿宋_GB2312" w:cs="Times New Roman"/>
                <w:color w:val="auto"/>
                <w:sz w:val="28"/>
                <w:szCs w:val="28"/>
                <w:u w:val="single"/>
                <w:lang w:eastAsia="zh-CN"/>
              </w:rPr>
            </w:pPr>
            <w:r>
              <w:rPr>
                <w:rFonts w:hint="default" w:ascii="Times New Roman" w:hAnsi="Times New Roman" w:eastAsia="仿宋_GB2312" w:cs="Times New Roman"/>
                <w:color w:val="auto"/>
                <w:sz w:val="28"/>
                <w:szCs w:val="28"/>
              </w:rPr>
              <w:t>本企业（公司）参加本项目招标（谈判、磋商、询价）活动</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bCs/>
                <w:color w:val="auto"/>
                <w:sz w:val="28"/>
                <w:szCs w:val="28"/>
              </w:rPr>
              <w:t>完全理解并接受磋商文件中“合同</w:t>
            </w:r>
            <w:r>
              <w:rPr>
                <w:rFonts w:hint="default" w:ascii="Times New Roman" w:hAnsi="Times New Roman" w:eastAsia="仿宋_GB2312" w:cs="Times New Roman"/>
                <w:bCs/>
                <w:color w:val="auto"/>
                <w:sz w:val="28"/>
                <w:szCs w:val="28"/>
                <w:lang w:val="en-US" w:eastAsia="zh-CN"/>
              </w:rPr>
              <w:t>主要</w:t>
            </w:r>
            <w:r>
              <w:rPr>
                <w:rFonts w:hint="default" w:ascii="Times New Roman" w:hAnsi="Times New Roman" w:eastAsia="仿宋_GB2312" w:cs="Times New Roman"/>
                <w:bCs/>
                <w:color w:val="auto"/>
                <w:sz w:val="28"/>
                <w:szCs w:val="28"/>
              </w:rPr>
              <w:t>条款”要求。</w:t>
            </w:r>
          </w:p>
        </w:tc>
      </w:tr>
      <w:tr w14:paraId="19A1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880" w:type="dxa"/>
            <w:noWrap w:val="0"/>
            <w:vAlign w:val="center"/>
          </w:tcPr>
          <w:p w14:paraId="6AA33BC2">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响应</w:t>
            </w:r>
            <w:r>
              <w:rPr>
                <w:rFonts w:hint="default" w:ascii="Times New Roman" w:hAnsi="Times New Roman" w:eastAsia="仿宋_GB2312" w:cs="Times New Roman"/>
                <w:color w:val="auto"/>
                <w:sz w:val="24"/>
                <w:szCs w:val="24"/>
              </w:rPr>
              <w:t>人</w:t>
            </w:r>
          </w:p>
        </w:tc>
        <w:tc>
          <w:tcPr>
            <w:tcW w:w="2880" w:type="dxa"/>
            <w:noWrap w:val="0"/>
            <w:vAlign w:val="center"/>
          </w:tcPr>
          <w:p w14:paraId="56FB2E78">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1"/>
                <w:sz w:val="24"/>
                <w:szCs w:val="24"/>
              </w:rPr>
              <w:t>法定代表人(或负责人)</w:t>
            </w:r>
          </w:p>
        </w:tc>
        <w:tc>
          <w:tcPr>
            <w:tcW w:w="2880" w:type="dxa"/>
            <w:noWrap w:val="0"/>
            <w:vAlign w:val="center"/>
          </w:tcPr>
          <w:p w14:paraId="310135F4">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日  期</w:t>
            </w:r>
          </w:p>
        </w:tc>
      </w:tr>
      <w:tr w14:paraId="6ABD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2880" w:type="dxa"/>
            <w:noWrap w:val="0"/>
            <w:vAlign w:val="center"/>
          </w:tcPr>
          <w:p w14:paraId="535185D1">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（公章）</w:t>
            </w:r>
          </w:p>
        </w:tc>
        <w:tc>
          <w:tcPr>
            <w:tcW w:w="2880" w:type="dxa"/>
            <w:noWrap w:val="0"/>
            <w:vAlign w:val="center"/>
          </w:tcPr>
          <w:p w14:paraId="655EA26B">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（签字或盖章）</w:t>
            </w:r>
          </w:p>
        </w:tc>
        <w:tc>
          <w:tcPr>
            <w:tcW w:w="2880" w:type="dxa"/>
            <w:noWrap w:val="0"/>
            <w:vAlign w:val="center"/>
          </w:tcPr>
          <w:p w14:paraId="4F2690F6">
            <w:pPr>
              <w:spacing w:line="400" w:lineRule="exact"/>
              <w:ind w:firstLine="486"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   月   日</w:t>
            </w:r>
          </w:p>
        </w:tc>
      </w:tr>
    </w:tbl>
    <w:p w14:paraId="4FD4F7EE">
      <w:pPr>
        <w:pStyle w:val="11"/>
        <w:ind w:firstLine="183"/>
        <w:rPr>
          <w:color w:val="auto"/>
        </w:rPr>
      </w:pPr>
    </w:p>
    <w:p w14:paraId="0100FD39">
      <w:pPr>
        <w:rPr>
          <w:color w:val="auto"/>
        </w:rPr>
      </w:pPr>
    </w:p>
    <w:p w14:paraId="1DFF1367">
      <w:pPr>
        <w:pStyle w:val="2"/>
        <w:ind w:firstLine="649"/>
        <w:rPr>
          <w:color w:val="auto"/>
        </w:rPr>
      </w:pPr>
    </w:p>
    <w:p w14:paraId="5D9829E3">
      <w:pPr>
        <w:rPr>
          <w:color w:val="auto"/>
        </w:rPr>
      </w:pPr>
    </w:p>
    <w:p w14:paraId="318BDC25">
      <w:pPr>
        <w:pStyle w:val="2"/>
        <w:ind w:firstLine="649"/>
        <w:rPr>
          <w:color w:val="auto"/>
        </w:rPr>
      </w:pPr>
    </w:p>
    <w:p w14:paraId="5D893E2C">
      <w:pPr>
        <w:rPr>
          <w:color w:val="auto"/>
        </w:rPr>
      </w:pPr>
    </w:p>
    <w:p w14:paraId="752309CE">
      <w:pPr>
        <w:pStyle w:val="2"/>
        <w:ind w:firstLine="649"/>
        <w:rPr>
          <w:color w:val="auto"/>
        </w:rPr>
      </w:pPr>
    </w:p>
    <w:p w14:paraId="77C12FEA">
      <w:pPr>
        <w:rPr>
          <w:color w:val="auto"/>
        </w:rPr>
      </w:pPr>
    </w:p>
    <w:p w14:paraId="0AC88897">
      <w:pPr>
        <w:rPr>
          <w:color w:val="auto"/>
        </w:rPr>
      </w:pPr>
    </w:p>
    <w:p w14:paraId="519FCB61">
      <w:pPr>
        <w:rPr>
          <w:color w:val="auto"/>
        </w:rPr>
      </w:pPr>
    </w:p>
    <w:p w14:paraId="5C3C0C49">
      <w:pPr>
        <w:rPr>
          <w:color w:val="auto"/>
        </w:rPr>
      </w:pPr>
    </w:p>
    <w:p w14:paraId="06B02E74">
      <w:pPr>
        <w:pStyle w:val="18"/>
        <w:ind w:firstLine="647"/>
        <w:rPr>
          <w:rFonts w:hint="eastAsia"/>
          <w:b/>
          <w:color w:val="auto"/>
        </w:rPr>
      </w:pPr>
      <w:bookmarkStart w:id="300" w:name="_Toc17248"/>
      <w:bookmarkStart w:id="301" w:name="_Toc28832"/>
      <w:bookmarkStart w:id="302" w:name="_Toc19912"/>
      <w:bookmarkStart w:id="303" w:name="_Toc30940"/>
      <w:r>
        <w:rPr>
          <w:rStyle w:val="19"/>
          <w:rFonts w:hint="eastAsia" w:ascii="黑体" w:hAnsi="黑体" w:eastAsia="黑体"/>
          <w:b w:val="0"/>
          <w:color w:val="auto"/>
          <w:sz w:val="32"/>
          <w:szCs w:val="40"/>
        </w:rPr>
        <w:t>第三部分  响应方案</w:t>
      </w:r>
      <w:bookmarkEnd w:id="297"/>
      <w:bookmarkEnd w:id="298"/>
      <w:bookmarkEnd w:id="299"/>
      <w:bookmarkEnd w:id="300"/>
      <w:bookmarkEnd w:id="301"/>
      <w:bookmarkEnd w:id="302"/>
      <w:bookmarkEnd w:id="303"/>
    </w:p>
    <w:p w14:paraId="1972545E">
      <w:pPr>
        <w:pStyle w:val="18"/>
        <w:spacing w:before="190" w:beforeLines="50" w:after="190" w:afterLines="50" w:line="500" w:lineRule="exact"/>
        <w:ind w:left="0" w:leftChars="0" w:firstLine="0" w:firstLineChars="0"/>
        <w:jc w:val="both"/>
        <w:rPr>
          <w:rFonts w:hint="default" w:ascii="Times New Roman" w:hAnsi="Times New Roman" w:eastAsia="仿宋_GB2312" w:cs="Times New Roman"/>
          <w:b/>
          <w:bCs/>
          <w:color w:val="auto"/>
          <w:lang w:val="en-US" w:eastAsia="zh-CN"/>
        </w:rPr>
      </w:pPr>
      <w:bookmarkStart w:id="304" w:name="_Toc1481"/>
      <w:bookmarkStart w:id="305" w:name="_Toc9337_WPSOffice_Level2"/>
      <w:bookmarkStart w:id="306" w:name="_Toc29975_WPSOffice_Level2"/>
      <w:bookmarkStart w:id="307" w:name="_Toc11401"/>
      <w:bookmarkStart w:id="308" w:name="_Toc17062_WPSOffice_Level2"/>
      <w:bookmarkStart w:id="309" w:name="_Toc9079"/>
      <w:bookmarkStart w:id="310" w:name="_Toc11555"/>
      <w:bookmarkStart w:id="311" w:name="_Toc27817"/>
      <w:bookmarkStart w:id="312" w:name="_Toc15660_WPSOffice_Level2"/>
      <w:r>
        <w:rPr>
          <w:rFonts w:hint="default" w:ascii="Times New Roman" w:hAnsi="Times New Roman" w:eastAsia="仿宋_GB2312" w:cs="Times New Roman"/>
          <w:b/>
          <w:bCs/>
          <w:color w:val="auto"/>
        </w:rPr>
        <w:t>一、供应商</w:t>
      </w:r>
      <w:bookmarkEnd w:id="304"/>
      <w:bookmarkEnd w:id="305"/>
      <w:bookmarkEnd w:id="306"/>
      <w:bookmarkEnd w:id="307"/>
      <w:bookmarkEnd w:id="308"/>
      <w:bookmarkEnd w:id="309"/>
      <w:bookmarkEnd w:id="310"/>
      <w:bookmarkEnd w:id="311"/>
      <w:bookmarkEnd w:id="312"/>
      <w:r>
        <w:rPr>
          <w:rFonts w:hint="default" w:ascii="Times New Roman" w:hAnsi="Times New Roman" w:eastAsia="仿宋_GB2312" w:cs="Times New Roman"/>
          <w:b/>
          <w:bCs/>
          <w:color w:val="auto"/>
          <w:lang w:val="en-US" w:eastAsia="zh-CN"/>
        </w:rPr>
        <w:t>基本情况及其性质</w:t>
      </w:r>
    </w:p>
    <w:p w14:paraId="575C42D4">
      <w:pPr>
        <w:spacing w:line="500" w:lineRule="exact"/>
        <w:rPr>
          <w:rFonts w:hint="default" w:ascii="Times New Roman" w:hAnsi="Times New Roman" w:eastAsia="仿宋" w:cs="Times New Roman"/>
          <w:b/>
          <w:color w:val="auto"/>
        </w:rPr>
      </w:pPr>
      <w:bookmarkStart w:id="313" w:name="_Toc27223_WPSOffice_Level3"/>
      <w:r>
        <w:rPr>
          <w:rFonts w:hint="default" w:ascii="Times New Roman" w:hAnsi="Times New Roman" w:cs="Times New Roman"/>
          <w:b/>
          <w:color w:val="auto"/>
        </w:rPr>
        <w:t>（一）供应商基本信息</w:t>
      </w:r>
      <w:bookmarkEnd w:id="313"/>
    </w:p>
    <w:tbl>
      <w:tblPr>
        <w:tblStyle w:val="12"/>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239"/>
        <w:gridCol w:w="1770"/>
        <w:gridCol w:w="1395"/>
        <w:gridCol w:w="1692"/>
        <w:gridCol w:w="1398"/>
      </w:tblGrid>
      <w:tr w14:paraId="633D02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14:paraId="577346D9">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单位基本情况</w:t>
            </w:r>
          </w:p>
        </w:tc>
      </w:tr>
      <w:tr w14:paraId="35C955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vAlign w:val="center"/>
          </w:tcPr>
          <w:p w14:paraId="64ED75A0">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供应商全称</w:t>
            </w:r>
          </w:p>
        </w:tc>
        <w:tc>
          <w:tcPr>
            <w:tcW w:w="7494" w:type="dxa"/>
            <w:gridSpan w:val="5"/>
            <w:tcBorders>
              <w:top w:val="single" w:color="auto" w:sz="6" w:space="0"/>
              <w:bottom w:val="single" w:color="auto" w:sz="6" w:space="0"/>
              <w:right w:val="single" w:color="auto" w:sz="12" w:space="0"/>
            </w:tcBorders>
            <w:vAlign w:val="center"/>
          </w:tcPr>
          <w:p w14:paraId="7885EE5D">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r>
      <w:tr w14:paraId="454CD9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vAlign w:val="center"/>
          </w:tcPr>
          <w:p w14:paraId="318F9F53">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注册地址</w:t>
            </w:r>
          </w:p>
        </w:tc>
        <w:tc>
          <w:tcPr>
            <w:tcW w:w="3009" w:type="dxa"/>
            <w:gridSpan w:val="2"/>
            <w:tcBorders>
              <w:top w:val="single" w:color="auto" w:sz="6" w:space="0"/>
            </w:tcBorders>
            <w:vAlign w:val="center"/>
          </w:tcPr>
          <w:p w14:paraId="4F2C11AB">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395" w:type="dxa"/>
            <w:tcBorders>
              <w:top w:val="single" w:color="auto" w:sz="6" w:space="0"/>
            </w:tcBorders>
            <w:vAlign w:val="center"/>
          </w:tcPr>
          <w:p w14:paraId="4273928E">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成立时间</w:t>
            </w:r>
          </w:p>
        </w:tc>
        <w:tc>
          <w:tcPr>
            <w:tcW w:w="3090" w:type="dxa"/>
            <w:gridSpan w:val="2"/>
            <w:tcBorders>
              <w:top w:val="single" w:color="auto" w:sz="6" w:space="0"/>
              <w:right w:val="single" w:color="auto" w:sz="12" w:space="0"/>
            </w:tcBorders>
            <w:vAlign w:val="center"/>
          </w:tcPr>
          <w:p w14:paraId="0230FFE2">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r>
      <w:tr w14:paraId="55DEBD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7AD9A150">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登记证号</w:t>
            </w:r>
          </w:p>
        </w:tc>
        <w:tc>
          <w:tcPr>
            <w:tcW w:w="3009" w:type="dxa"/>
            <w:gridSpan w:val="2"/>
            <w:vAlign w:val="center"/>
          </w:tcPr>
          <w:p w14:paraId="30AD3923">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395" w:type="dxa"/>
            <w:vAlign w:val="center"/>
          </w:tcPr>
          <w:p w14:paraId="7677024D">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单位性质</w:t>
            </w:r>
          </w:p>
        </w:tc>
        <w:tc>
          <w:tcPr>
            <w:tcW w:w="3090" w:type="dxa"/>
            <w:gridSpan w:val="2"/>
            <w:tcBorders>
              <w:right w:val="single" w:color="auto" w:sz="12" w:space="0"/>
            </w:tcBorders>
            <w:vAlign w:val="center"/>
          </w:tcPr>
          <w:p w14:paraId="34D7420E">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r>
      <w:tr w14:paraId="6C3391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44CC66F2">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法定代表人</w:t>
            </w:r>
          </w:p>
          <w:p w14:paraId="1524FF81">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(主要负责人)</w:t>
            </w:r>
          </w:p>
        </w:tc>
        <w:tc>
          <w:tcPr>
            <w:tcW w:w="3009" w:type="dxa"/>
            <w:gridSpan w:val="2"/>
            <w:vAlign w:val="center"/>
          </w:tcPr>
          <w:p w14:paraId="49EE6994">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395" w:type="dxa"/>
            <w:vAlign w:val="center"/>
          </w:tcPr>
          <w:p w14:paraId="58759E15">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所属行业</w:t>
            </w:r>
          </w:p>
        </w:tc>
        <w:tc>
          <w:tcPr>
            <w:tcW w:w="3090" w:type="dxa"/>
            <w:gridSpan w:val="2"/>
            <w:tcBorders>
              <w:right w:val="single" w:color="auto" w:sz="12" w:space="0"/>
            </w:tcBorders>
            <w:vAlign w:val="center"/>
          </w:tcPr>
          <w:p w14:paraId="47A6E215">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r>
      <w:tr w14:paraId="091879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030295CB">
            <w:pPr>
              <w:autoSpaceDE w:val="0"/>
              <w:autoSpaceDN w:val="0"/>
              <w:adjustRightInd w:val="0"/>
              <w:spacing w:line="320" w:lineRule="exact"/>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rPr>
              <w:t>上年度</w:t>
            </w:r>
          </w:p>
          <w:p w14:paraId="63A2169B">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营业收入</w:t>
            </w:r>
          </w:p>
        </w:tc>
        <w:tc>
          <w:tcPr>
            <w:tcW w:w="3009" w:type="dxa"/>
            <w:gridSpan w:val="2"/>
            <w:vAlign w:val="center"/>
          </w:tcPr>
          <w:p w14:paraId="35D3F0E6">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395" w:type="dxa"/>
            <w:vAlign w:val="center"/>
          </w:tcPr>
          <w:p w14:paraId="5073C01C">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资产总额</w:t>
            </w:r>
          </w:p>
        </w:tc>
        <w:tc>
          <w:tcPr>
            <w:tcW w:w="3090" w:type="dxa"/>
            <w:gridSpan w:val="2"/>
            <w:tcBorders>
              <w:right w:val="single" w:color="auto" w:sz="12" w:space="0"/>
            </w:tcBorders>
            <w:vAlign w:val="center"/>
          </w:tcPr>
          <w:p w14:paraId="3278E82E">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r>
      <w:tr w14:paraId="586844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204AE311">
            <w:pPr>
              <w:autoSpaceDE w:val="0"/>
              <w:autoSpaceDN w:val="0"/>
              <w:adjustRightInd w:val="0"/>
              <w:spacing w:line="320" w:lineRule="exact"/>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rPr>
              <w:t>基本存款账户</w:t>
            </w:r>
          </w:p>
          <w:p w14:paraId="4FD77199">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开户银行</w:t>
            </w:r>
          </w:p>
        </w:tc>
        <w:tc>
          <w:tcPr>
            <w:tcW w:w="3009" w:type="dxa"/>
            <w:gridSpan w:val="2"/>
            <w:vAlign w:val="center"/>
          </w:tcPr>
          <w:p w14:paraId="62CB179A">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395" w:type="dxa"/>
            <w:vAlign w:val="center"/>
          </w:tcPr>
          <w:p w14:paraId="3F18450C">
            <w:pPr>
              <w:autoSpaceDE w:val="0"/>
              <w:autoSpaceDN w:val="0"/>
              <w:adjustRightInd w:val="0"/>
              <w:spacing w:line="320" w:lineRule="exact"/>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rPr>
              <w:t>基本存款</w:t>
            </w:r>
          </w:p>
          <w:p w14:paraId="2663A71D">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账户账号</w:t>
            </w:r>
          </w:p>
        </w:tc>
        <w:tc>
          <w:tcPr>
            <w:tcW w:w="3090" w:type="dxa"/>
            <w:gridSpan w:val="2"/>
            <w:tcBorders>
              <w:right w:val="single" w:color="auto" w:sz="12" w:space="0"/>
            </w:tcBorders>
            <w:vAlign w:val="center"/>
          </w:tcPr>
          <w:p w14:paraId="3E39F318">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r>
      <w:tr w14:paraId="2BEF6C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686" w:type="dxa"/>
            <w:tcBorders>
              <w:left w:val="single" w:color="auto" w:sz="12" w:space="0"/>
            </w:tcBorders>
            <w:vAlign w:val="center"/>
          </w:tcPr>
          <w:p w14:paraId="3ED79AB7">
            <w:pPr>
              <w:autoSpaceDE w:val="0"/>
              <w:autoSpaceDN w:val="0"/>
              <w:adjustRightInd w:val="0"/>
              <w:spacing w:line="32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联系电话</w:t>
            </w:r>
          </w:p>
        </w:tc>
        <w:tc>
          <w:tcPr>
            <w:tcW w:w="3009" w:type="dxa"/>
            <w:gridSpan w:val="2"/>
            <w:vAlign w:val="center"/>
          </w:tcPr>
          <w:p w14:paraId="5AF95068">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395" w:type="dxa"/>
            <w:vAlign w:val="center"/>
          </w:tcPr>
          <w:p w14:paraId="033A05E6">
            <w:pPr>
              <w:autoSpaceDE w:val="0"/>
              <w:autoSpaceDN w:val="0"/>
              <w:adjustRightInd w:val="0"/>
              <w:spacing w:line="32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邮箱</w:t>
            </w:r>
          </w:p>
        </w:tc>
        <w:tc>
          <w:tcPr>
            <w:tcW w:w="3090" w:type="dxa"/>
            <w:gridSpan w:val="2"/>
            <w:tcBorders>
              <w:right w:val="single" w:color="auto" w:sz="12" w:space="0"/>
            </w:tcBorders>
            <w:vAlign w:val="center"/>
          </w:tcPr>
          <w:p w14:paraId="4F4DF255">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r>
      <w:tr w14:paraId="193A1B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5D7A0FD2">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所获得资质及等级(国家行政部门颁发)</w:t>
            </w:r>
          </w:p>
        </w:tc>
        <w:tc>
          <w:tcPr>
            <w:tcW w:w="7494" w:type="dxa"/>
            <w:gridSpan w:val="5"/>
            <w:tcBorders>
              <w:right w:val="single" w:color="auto" w:sz="12" w:space="0"/>
            </w:tcBorders>
            <w:vAlign w:val="center"/>
          </w:tcPr>
          <w:p w14:paraId="2CB89CA9">
            <w:pPr>
              <w:autoSpaceDE w:val="0"/>
              <w:autoSpaceDN w:val="0"/>
              <w:adjustRightInd w:val="0"/>
              <w:spacing w:line="320" w:lineRule="exact"/>
              <w:rPr>
                <w:rFonts w:hint="default" w:ascii="Times New Roman" w:hAnsi="Times New Roman" w:eastAsia="仿宋_GB2312" w:cs="Times New Roman"/>
                <w:color w:val="auto"/>
                <w:kern w:val="0"/>
                <w:sz w:val="24"/>
                <w:szCs w:val="24"/>
              </w:rPr>
            </w:pPr>
          </w:p>
          <w:p w14:paraId="38D3634C">
            <w:pPr>
              <w:autoSpaceDE w:val="0"/>
              <w:autoSpaceDN w:val="0"/>
              <w:adjustRightInd w:val="0"/>
              <w:spacing w:line="320" w:lineRule="exact"/>
              <w:rPr>
                <w:rFonts w:hint="default" w:ascii="Times New Roman" w:hAnsi="Times New Roman" w:eastAsia="仿宋_GB2312" w:cs="Times New Roman"/>
                <w:color w:val="auto"/>
                <w:kern w:val="0"/>
                <w:sz w:val="24"/>
                <w:szCs w:val="24"/>
              </w:rPr>
            </w:pPr>
          </w:p>
        </w:tc>
      </w:tr>
      <w:tr w14:paraId="076792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686" w:type="dxa"/>
            <w:tcBorders>
              <w:left w:val="single" w:color="auto" w:sz="12" w:space="0"/>
            </w:tcBorders>
            <w:vAlign w:val="center"/>
          </w:tcPr>
          <w:p w14:paraId="7DD7907B">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经营范围</w:t>
            </w:r>
          </w:p>
        </w:tc>
        <w:tc>
          <w:tcPr>
            <w:tcW w:w="7494" w:type="dxa"/>
            <w:gridSpan w:val="5"/>
            <w:tcBorders>
              <w:right w:val="single" w:color="auto" w:sz="12" w:space="0"/>
            </w:tcBorders>
            <w:vAlign w:val="center"/>
          </w:tcPr>
          <w:p w14:paraId="5E3D91CB">
            <w:pPr>
              <w:autoSpaceDE w:val="0"/>
              <w:autoSpaceDN w:val="0"/>
              <w:adjustRightInd w:val="0"/>
              <w:spacing w:line="320" w:lineRule="exact"/>
              <w:rPr>
                <w:rFonts w:hint="default" w:ascii="Times New Roman" w:hAnsi="Times New Roman" w:eastAsia="仿宋_GB2312" w:cs="Times New Roman"/>
                <w:color w:val="auto"/>
                <w:kern w:val="0"/>
                <w:sz w:val="24"/>
                <w:szCs w:val="24"/>
              </w:rPr>
            </w:pPr>
          </w:p>
        </w:tc>
      </w:tr>
      <w:tr w14:paraId="4D593E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vAlign w:val="center"/>
          </w:tcPr>
          <w:p w14:paraId="2098B4C8">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人员情况</w:t>
            </w:r>
          </w:p>
        </w:tc>
      </w:tr>
      <w:tr w14:paraId="3EDCB9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vAlign w:val="center"/>
          </w:tcPr>
          <w:p w14:paraId="19BF959D">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从业人员总数</w:t>
            </w:r>
          </w:p>
        </w:tc>
        <w:tc>
          <w:tcPr>
            <w:tcW w:w="1239" w:type="dxa"/>
            <w:vMerge w:val="restart"/>
            <w:vAlign w:val="center"/>
          </w:tcPr>
          <w:p w14:paraId="306A2CA4">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770" w:type="dxa"/>
            <w:vAlign w:val="center"/>
          </w:tcPr>
          <w:p w14:paraId="518227B6">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管理人员数量</w:t>
            </w:r>
          </w:p>
        </w:tc>
        <w:tc>
          <w:tcPr>
            <w:tcW w:w="1395" w:type="dxa"/>
            <w:vAlign w:val="center"/>
          </w:tcPr>
          <w:p w14:paraId="2669002D">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692" w:type="dxa"/>
            <w:vAlign w:val="center"/>
          </w:tcPr>
          <w:p w14:paraId="35412B62">
            <w:pPr>
              <w:autoSpaceDE w:val="0"/>
              <w:autoSpaceDN w:val="0"/>
              <w:adjustRightInd w:val="0"/>
              <w:spacing w:line="320" w:lineRule="exact"/>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rPr>
              <w:t>专业技术</w:t>
            </w:r>
          </w:p>
          <w:p w14:paraId="36598805">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人员数量</w:t>
            </w:r>
          </w:p>
        </w:tc>
        <w:tc>
          <w:tcPr>
            <w:tcW w:w="1398" w:type="dxa"/>
            <w:tcBorders>
              <w:right w:val="single" w:color="auto" w:sz="12" w:space="0"/>
            </w:tcBorders>
            <w:vAlign w:val="center"/>
          </w:tcPr>
          <w:p w14:paraId="1133DDB8">
            <w:pPr>
              <w:autoSpaceDE w:val="0"/>
              <w:autoSpaceDN w:val="0"/>
              <w:adjustRightInd w:val="0"/>
              <w:spacing w:line="320" w:lineRule="exact"/>
              <w:jc w:val="center"/>
              <w:rPr>
                <w:rFonts w:hint="default" w:ascii="Times New Roman" w:hAnsi="Times New Roman" w:eastAsia="仿宋_GB2312" w:cs="Times New Roman"/>
                <w:bCs/>
                <w:color w:val="auto"/>
                <w:kern w:val="0"/>
                <w:sz w:val="24"/>
                <w:szCs w:val="24"/>
              </w:rPr>
            </w:pPr>
          </w:p>
        </w:tc>
      </w:tr>
      <w:tr w14:paraId="5CB4FD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vAlign w:val="center"/>
          </w:tcPr>
          <w:p w14:paraId="153B8293">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239" w:type="dxa"/>
            <w:vMerge w:val="continue"/>
            <w:tcBorders>
              <w:bottom w:val="single" w:color="auto" w:sz="4" w:space="0"/>
            </w:tcBorders>
            <w:vAlign w:val="center"/>
          </w:tcPr>
          <w:p w14:paraId="2690A9A0">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770" w:type="dxa"/>
            <w:tcBorders>
              <w:bottom w:val="single" w:color="auto" w:sz="4" w:space="0"/>
            </w:tcBorders>
            <w:vAlign w:val="center"/>
          </w:tcPr>
          <w:p w14:paraId="4026E195">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残疾人人数</w:t>
            </w:r>
          </w:p>
        </w:tc>
        <w:tc>
          <w:tcPr>
            <w:tcW w:w="1395" w:type="dxa"/>
            <w:tcBorders>
              <w:bottom w:val="single" w:color="auto" w:sz="4" w:space="0"/>
            </w:tcBorders>
            <w:vAlign w:val="center"/>
          </w:tcPr>
          <w:p w14:paraId="0D2E107E">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692" w:type="dxa"/>
            <w:tcBorders>
              <w:bottom w:val="single" w:color="auto" w:sz="4" w:space="0"/>
            </w:tcBorders>
            <w:vAlign w:val="center"/>
          </w:tcPr>
          <w:p w14:paraId="7B8453A3">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少数民族人数</w:t>
            </w:r>
          </w:p>
        </w:tc>
        <w:tc>
          <w:tcPr>
            <w:tcW w:w="1398" w:type="dxa"/>
            <w:tcBorders>
              <w:bottom w:val="single" w:color="auto" w:sz="4" w:space="0"/>
              <w:right w:val="single" w:color="auto" w:sz="12" w:space="0"/>
            </w:tcBorders>
            <w:vAlign w:val="center"/>
          </w:tcPr>
          <w:p w14:paraId="1403BB50">
            <w:pPr>
              <w:autoSpaceDE w:val="0"/>
              <w:autoSpaceDN w:val="0"/>
              <w:adjustRightInd w:val="0"/>
              <w:spacing w:line="320" w:lineRule="exact"/>
              <w:jc w:val="center"/>
              <w:rPr>
                <w:rFonts w:hint="default" w:ascii="Times New Roman" w:hAnsi="Times New Roman" w:eastAsia="仿宋_GB2312" w:cs="Times New Roman"/>
                <w:bCs/>
                <w:color w:val="auto"/>
                <w:kern w:val="0"/>
                <w:sz w:val="24"/>
                <w:szCs w:val="24"/>
              </w:rPr>
            </w:pPr>
          </w:p>
        </w:tc>
      </w:tr>
      <w:tr w14:paraId="1F0E2E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686" w:type="dxa"/>
            <w:tcBorders>
              <w:left w:val="single" w:color="auto" w:sz="12" w:space="0"/>
              <w:bottom w:val="single" w:color="auto" w:sz="12" w:space="0"/>
            </w:tcBorders>
            <w:vAlign w:val="center"/>
          </w:tcPr>
          <w:p w14:paraId="5418DD12">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说明</w:t>
            </w:r>
          </w:p>
        </w:tc>
        <w:tc>
          <w:tcPr>
            <w:tcW w:w="7494" w:type="dxa"/>
            <w:gridSpan w:val="5"/>
            <w:tcBorders>
              <w:bottom w:val="single" w:color="auto" w:sz="12" w:space="0"/>
              <w:right w:val="single" w:color="auto" w:sz="12" w:space="0"/>
            </w:tcBorders>
            <w:vAlign w:val="center"/>
          </w:tcPr>
          <w:p w14:paraId="483D527F">
            <w:pPr>
              <w:spacing w:line="320" w:lineRule="exact"/>
              <w:ind w:left="360" w:hanging="36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1、登记证号指营业执照/事业单位法人证书/专业服务机构执业许可证/民办非企业单位登记证书中的登记号。</w:t>
            </w:r>
          </w:p>
          <w:p w14:paraId="265D2447">
            <w:pPr>
              <w:spacing w:line="320" w:lineRule="exact"/>
              <w:ind w:left="360" w:hanging="36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2、成立时间至提交响应文件截止时间不足一年的可不提供“上年度营业收入”。</w:t>
            </w:r>
          </w:p>
          <w:p w14:paraId="137BB702">
            <w:pPr>
              <w:spacing w:line="320" w:lineRule="exact"/>
              <w:ind w:left="360" w:hanging="36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sz w:val="24"/>
                <w:szCs w:val="24"/>
              </w:rPr>
              <w:t>3、供应商应如实填写上述信息。</w:t>
            </w:r>
            <w:bookmarkStart w:id="314" w:name="■AcceptUnion_CH5_A■"/>
            <w:r>
              <w:rPr>
                <w:rFonts w:hint="default" w:ascii="Times New Roman" w:hAnsi="Times New Roman" w:eastAsia="仿宋_GB2312" w:cs="Times New Roman"/>
                <w:color w:val="auto"/>
                <w:sz w:val="24"/>
                <w:szCs w:val="24"/>
              </w:rPr>
              <w:t>磋商文件允许联合体投标的，联合体各方均应提供。</w:t>
            </w:r>
            <w:bookmarkEnd w:id="314"/>
          </w:p>
        </w:tc>
      </w:tr>
    </w:tbl>
    <w:p w14:paraId="73C03F8C">
      <w:pPr>
        <w:spacing w:line="500" w:lineRule="exact"/>
        <w:ind w:firstLine="566" w:firstLineChars="200"/>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bCs/>
          <w:color w:val="auto"/>
          <w:sz w:val="28"/>
          <w:szCs w:val="28"/>
          <w:lang w:val="en-US" w:eastAsia="zh-CN"/>
        </w:rPr>
        <w:t>二</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bCs/>
          <w:color w:val="auto"/>
          <w:sz w:val="28"/>
          <w:szCs w:val="28"/>
          <w:lang w:val="en-US" w:eastAsia="zh-CN"/>
        </w:rPr>
        <w:t>供应商其他情况</w:t>
      </w:r>
    </w:p>
    <w:p w14:paraId="1E7E4B79">
      <w:pPr>
        <w:tabs>
          <w:tab w:val="right" w:pos="8364"/>
        </w:tabs>
        <w:spacing w:line="240" w:lineRule="auto"/>
        <w:ind w:firstLine="566"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包括但不限于总公司分公司分布及经营状况、股权变更、管理制度、人员配备、用户评价、正在实施的项目，评优获奖等情况，以及供应商认为有利于成交的其他情况说明。</w:t>
      </w:r>
    </w:p>
    <w:p w14:paraId="0D1FE475">
      <w:pPr>
        <w:spacing w:line="500" w:lineRule="exact"/>
        <w:ind w:firstLine="4811" w:firstLineChars="1700"/>
        <w:rPr>
          <w:b/>
          <w:color w:val="auto"/>
        </w:rPr>
      </w:pPr>
      <w:r>
        <w:rPr>
          <w:rFonts w:hint="eastAsia"/>
          <w:b/>
          <w:color w:val="auto"/>
        </w:rPr>
        <w:br w:type="page"/>
      </w:r>
    </w:p>
    <w:p w14:paraId="1B8C136E">
      <w:pPr>
        <w:spacing w:line="560" w:lineRule="exact"/>
        <w:ind w:firstLine="569"/>
        <w:rPr>
          <w:rFonts w:hint="eastAsia" w:ascii="仿宋_GB2312" w:hAnsi="仿宋_GB2312" w:eastAsia="仿宋_GB2312" w:cs="仿宋_GB2312"/>
          <w:b/>
          <w:color w:val="auto"/>
        </w:rPr>
      </w:pPr>
      <w:r>
        <w:rPr>
          <w:rFonts w:hint="eastAsia" w:ascii="仿宋_GB2312" w:hAnsi="仿宋_GB2312" w:eastAsia="仿宋_GB2312" w:cs="仿宋_GB2312"/>
          <w:b/>
          <w:color w:val="auto"/>
        </w:rPr>
        <w:t>二、技术服务方案</w:t>
      </w:r>
    </w:p>
    <w:p w14:paraId="67D21BE8">
      <w:pPr>
        <w:spacing w:line="240" w:lineRule="auto"/>
        <w:ind w:firstLine="566" w:firstLineChars="200"/>
        <w:rPr>
          <w:rFonts w:hint="eastAsia" w:ascii="仿宋_GB2312" w:hAnsi="仿宋_GB2312" w:eastAsia="仿宋_GB2312" w:cs="仿宋_GB2312"/>
          <w:bCs/>
          <w:color w:val="auto"/>
        </w:rPr>
      </w:pPr>
      <w:r>
        <w:rPr>
          <w:rFonts w:hint="eastAsia" w:ascii="仿宋_GB2312" w:hAnsi="仿宋_GB2312" w:eastAsia="仿宋_GB2312" w:cs="仿宋_GB2312"/>
          <w:bCs/>
          <w:color w:val="auto"/>
        </w:rPr>
        <w:t>参照磋商文件第二章《组织评审》各条款的要求，结合第三章《磋商内容及采购要求》编制技术服务方案。</w:t>
      </w:r>
    </w:p>
    <w:p w14:paraId="02856EEC">
      <w:pPr>
        <w:spacing w:line="240" w:lineRule="auto"/>
        <w:ind w:firstLine="566" w:firstLineChars="200"/>
        <w:rPr>
          <w:rFonts w:hint="eastAsia" w:ascii="仿宋_GB2312" w:hAnsi="仿宋_GB2312" w:eastAsia="仿宋_GB2312" w:cs="仿宋_GB2312"/>
          <w:b/>
          <w:bCs/>
          <w:color w:val="auto"/>
        </w:rPr>
      </w:pPr>
      <w:r>
        <w:rPr>
          <w:rFonts w:hint="eastAsia" w:ascii="仿宋_GB2312" w:hAnsi="仿宋_GB2312" w:eastAsia="仿宋_GB2312" w:cs="仿宋_GB2312"/>
          <w:bCs/>
          <w:color w:val="auto"/>
        </w:rPr>
        <w:t>（一）</w:t>
      </w:r>
      <w:r>
        <w:rPr>
          <w:rFonts w:hint="eastAsia" w:ascii="仿宋_GB2312" w:hAnsi="仿宋_GB2312" w:eastAsia="仿宋_GB2312" w:cs="仿宋_GB2312"/>
          <w:b/>
          <w:bCs/>
          <w:color w:val="auto"/>
        </w:rPr>
        <w:t>总体服务方案</w:t>
      </w:r>
    </w:p>
    <w:p w14:paraId="53FD0CD4">
      <w:pPr>
        <w:spacing w:line="240" w:lineRule="auto"/>
        <w:ind w:firstLine="566" w:firstLineChars="200"/>
        <w:rPr>
          <w:rFonts w:hint="eastAsia" w:ascii="仿宋_GB2312" w:hAnsi="仿宋_GB2312" w:eastAsia="仿宋_GB2312" w:cs="仿宋_GB2312"/>
          <w:color w:val="auto"/>
          <w:lang w:eastAsia="zh-CN"/>
        </w:rPr>
      </w:pPr>
      <w:r>
        <w:rPr>
          <w:rFonts w:hint="eastAsia" w:ascii="仿宋_GB2312" w:hAnsi="仿宋_GB2312" w:eastAsia="仿宋_GB2312" w:cs="仿宋_GB2312"/>
          <w:bCs/>
          <w:color w:val="auto"/>
        </w:rPr>
        <w:t>（二）</w:t>
      </w:r>
      <w:r>
        <w:rPr>
          <w:rFonts w:hint="eastAsia" w:ascii="仿宋" w:hAnsi="仿宋" w:eastAsia="仿宋_GB2312" w:cs="仿宋"/>
          <w:b/>
          <w:bCs/>
          <w:color w:val="auto"/>
          <w:lang w:eastAsia="zh-CN"/>
        </w:rPr>
        <w:t>组织机构设置</w:t>
      </w:r>
    </w:p>
    <w:p w14:paraId="2DE20A98">
      <w:pPr>
        <w:spacing w:line="240" w:lineRule="auto"/>
        <w:ind w:firstLine="566" w:firstLineChars="200"/>
        <w:rPr>
          <w:rFonts w:hint="eastAsia" w:ascii="仿宋_GB2312" w:hAnsi="仿宋_GB2312" w:eastAsia="仿宋_GB2312" w:cs="仿宋_GB2312"/>
          <w:b/>
          <w:bCs/>
          <w:color w:val="auto"/>
          <w:lang w:eastAsia="zh-CN"/>
        </w:rPr>
      </w:pPr>
      <w:r>
        <w:rPr>
          <w:rFonts w:hint="eastAsia" w:ascii="仿宋_GB2312" w:hAnsi="仿宋_GB2312" w:eastAsia="仿宋_GB2312" w:cs="仿宋_GB2312"/>
          <w:bCs/>
          <w:color w:val="auto"/>
        </w:rPr>
        <w:t>（三）</w:t>
      </w:r>
      <w:r>
        <w:rPr>
          <w:rFonts w:hint="eastAsia" w:ascii="仿宋" w:hAnsi="仿宋" w:eastAsia="仿宋_GB2312" w:cs="仿宋"/>
          <w:b/>
          <w:bCs/>
          <w:color w:val="auto"/>
          <w:lang w:eastAsia="zh-CN"/>
        </w:rPr>
        <w:t>管理制度</w:t>
      </w:r>
    </w:p>
    <w:p w14:paraId="1C108729">
      <w:pPr>
        <w:spacing w:line="240" w:lineRule="auto"/>
        <w:ind w:firstLine="566" w:firstLineChars="200"/>
        <w:rPr>
          <w:rFonts w:hint="eastAsia" w:ascii="仿宋_GB2312" w:hAnsi="仿宋_GB2312" w:eastAsia="仿宋_GB2312" w:cs="仿宋_GB2312"/>
          <w:bCs/>
          <w:color w:val="auto"/>
          <w:lang w:eastAsia="zh-CN"/>
        </w:rPr>
      </w:pPr>
      <w:r>
        <w:rPr>
          <w:rFonts w:hint="eastAsia" w:ascii="仿宋_GB2312" w:hAnsi="仿宋_GB2312" w:eastAsia="仿宋_GB2312" w:cs="仿宋_GB2312"/>
          <w:bCs/>
          <w:color w:val="auto"/>
        </w:rPr>
        <w:t>（四）</w:t>
      </w:r>
      <w:r>
        <w:rPr>
          <w:rFonts w:hint="eastAsia" w:ascii="仿宋" w:hAnsi="仿宋" w:eastAsia="仿宋_GB2312" w:cs="仿宋"/>
          <w:b/>
          <w:bCs/>
          <w:color w:val="auto"/>
          <w:lang w:eastAsia="zh-CN"/>
        </w:rPr>
        <w:t>安保、监控</w:t>
      </w:r>
      <w:r>
        <w:rPr>
          <w:rFonts w:hint="eastAsia" w:ascii="仿宋" w:hAnsi="仿宋" w:eastAsia="仿宋_GB2312" w:cs="仿宋"/>
          <w:b/>
          <w:bCs/>
          <w:color w:val="auto"/>
        </w:rPr>
        <w:t>服务方案</w:t>
      </w:r>
    </w:p>
    <w:p w14:paraId="411E00E4">
      <w:pPr>
        <w:spacing w:line="240" w:lineRule="auto"/>
        <w:ind w:firstLine="566" w:firstLineChars="200"/>
        <w:rPr>
          <w:rFonts w:hint="eastAsia" w:ascii="仿宋" w:hAnsi="仿宋" w:eastAsia="仿宋_GB2312" w:cs="仿宋"/>
          <w:b/>
          <w:bCs/>
          <w:color w:val="auto"/>
        </w:rPr>
      </w:pPr>
      <w:r>
        <w:rPr>
          <w:rFonts w:hint="eastAsia" w:ascii="仿宋_GB2312" w:hAnsi="仿宋_GB2312" w:eastAsia="仿宋_GB2312" w:cs="仿宋_GB2312"/>
          <w:bCs/>
          <w:color w:val="auto"/>
        </w:rPr>
        <w:t>（</w:t>
      </w:r>
      <w:r>
        <w:rPr>
          <w:rFonts w:hint="eastAsia" w:ascii="仿宋_GB2312" w:hAnsi="仿宋_GB2312" w:eastAsia="仿宋_GB2312" w:cs="仿宋_GB2312"/>
          <w:bCs/>
          <w:color w:val="auto"/>
          <w:lang w:eastAsia="zh-CN"/>
        </w:rPr>
        <w:t>五</w:t>
      </w:r>
      <w:r>
        <w:rPr>
          <w:rFonts w:hint="eastAsia" w:ascii="仿宋_GB2312" w:hAnsi="仿宋_GB2312" w:eastAsia="仿宋_GB2312" w:cs="仿宋_GB2312"/>
          <w:bCs/>
          <w:color w:val="auto"/>
        </w:rPr>
        <w:t>）</w:t>
      </w:r>
      <w:r>
        <w:rPr>
          <w:rFonts w:hint="eastAsia" w:ascii="仿宋" w:hAnsi="仿宋" w:eastAsia="仿宋_GB2312" w:cs="仿宋"/>
          <w:b/>
          <w:bCs/>
          <w:color w:val="auto"/>
        </w:rPr>
        <w:t>车辆管理方案</w:t>
      </w:r>
    </w:p>
    <w:p w14:paraId="7E97A2EF">
      <w:pPr>
        <w:spacing w:line="240" w:lineRule="auto"/>
        <w:ind w:firstLine="566" w:firstLineChars="200"/>
        <w:rPr>
          <w:rFonts w:hint="eastAsia" w:ascii="仿宋" w:hAnsi="仿宋" w:eastAsia="仿宋_GB2312" w:cs="仿宋"/>
          <w:b/>
          <w:bCs/>
          <w:color w:val="auto"/>
          <w:lang w:eastAsia="zh-CN"/>
        </w:rPr>
      </w:pPr>
      <w:r>
        <w:rPr>
          <w:rFonts w:hint="eastAsia" w:ascii="仿宋_GB2312" w:hAnsi="仿宋_GB2312" w:eastAsia="仿宋_GB2312" w:cs="仿宋_GB2312"/>
          <w:bCs/>
          <w:color w:val="auto"/>
        </w:rPr>
        <w:t>（六）</w:t>
      </w:r>
      <w:r>
        <w:rPr>
          <w:rFonts w:hint="eastAsia" w:ascii="仿宋" w:hAnsi="仿宋" w:eastAsia="仿宋_GB2312" w:cs="仿宋"/>
          <w:b/>
          <w:bCs/>
          <w:color w:val="auto"/>
          <w:lang w:eastAsia="zh-CN"/>
        </w:rPr>
        <w:t>消防安全管理方案</w:t>
      </w:r>
    </w:p>
    <w:p w14:paraId="3715123B">
      <w:pPr>
        <w:spacing w:line="240" w:lineRule="auto"/>
        <w:ind w:firstLine="566" w:firstLineChars="200"/>
        <w:rPr>
          <w:rFonts w:hint="eastAsia" w:ascii="仿宋_GB2312" w:hAnsi="仿宋_GB2312" w:eastAsia="仿宋_GB2312" w:cs="仿宋_GB2312"/>
          <w:bCs/>
          <w:color w:val="auto"/>
        </w:rPr>
      </w:pPr>
      <w:r>
        <w:rPr>
          <w:rFonts w:hint="eastAsia" w:ascii="仿宋_GB2312" w:hAnsi="仿宋_GB2312" w:eastAsia="仿宋_GB2312" w:cs="仿宋_GB2312"/>
          <w:bCs/>
          <w:color w:val="auto"/>
        </w:rPr>
        <w:t>（七）</w:t>
      </w:r>
      <w:r>
        <w:rPr>
          <w:rFonts w:hint="eastAsia" w:ascii="仿宋_GB2312" w:hAnsi="仿宋_GB2312" w:eastAsia="仿宋_GB2312" w:cs="仿宋_GB2312"/>
          <w:b/>
          <w:bCs/>
          <w:color w:val="auto"/>
        </w:rPr>
        <w:t>应急预案</w:t>
      </w:r>
    </w:p>
    <w:p w14:paraId="3E692E63">
      <w:pPr>
        <w:spacing w:line="240" w:lineRule="auto"/>
        <w:ind w:firstLine="566" w:firstLineChars="200"/>
        <w:rPr>
          <w:rFonts w:hint="eastAsia" w:ascii="仿宋_GB2312" w:hAnsi="仿宋_GB2312" w:eastAsia="仿宋_GB2312" w:cs="仿宋_GB2312"/>
          <w:bCs/>
          <w:color w:val="auto"/>
        </w:rPr>
      </w:pPr>
      <w:r>
        <w:rPr>
          <w:rFonts w:hint="eastAsia" w:ascii="仿宋_GB2312" w:hAnsi="仿宋_GB2312" w:eastAsia="仿宋_GB2312" w:cs="仿宋_GB2312"/>
          <w:bCs/>
          <w:color w:val="auto"/>
        </w:rPr>
        <w:t>（八）</w:t>
      </w:r>
      <w:r>
        <w:rPr>
          <w:rFonts w:hint="eastAsia" w:ascii="仿宋" w:hAnsi="仿宋" w:eastAsia="仿宋_GB2312" w:cs="仿宋"/>
          <w:b/>
          <w:bCs/>
          <w:color w:val="auto"/>
        </w:rPr>
        <w:t>培训考核方案</w:t>
      </w:r>
    </w:p>
    <w:p w14:paraId="3B08814B">
      <w:pPr>
        <w:spacing w:line="240" w:lineRule="auto"/>
        <w:ind w:firstLine="566" w:firstLineChars="200"/>
        <w:rPr>
          <w:rFonts w:hint="eastAsia" w:ascii="仿宋_GB2312" w:hAnsi="仿宋_GB2312" w:eastAsia="仿宋_GB2312" w:cs="仿宋_GB2312"/>
          <w:b/>
          <w:bCs/>
          <w:color w:val="auto"/>
          <w:lang w:eastAsia="zh-CN"/>
        </w:rPr>
      </w:pPr>
      <w:r>
        <w:rPr>
          <w:rFonts w:hint="eastAsia" w:ascii="仿宋_GB2312" w:hAnsi="仿宋_GB2312" w:eastAsia="仿宋_GB2312" w:cs="仿宋_GB2312"/>
          <w:bCs/>
          <w:color w:val="auto"/>
        </w:rPr>
        <w:t>（九）</w:t>
      </w:r>
      <w:r>
        <w:rPr>
          <w:rFonts w:hint="eastAsia" w:ascii="仿宋_GB2312" w:hAnsi="仿宋_GB2312" w:eastAsia="仿宋_GB2312" w:cs="仿宋_GB2312"/>
          <w:b/>
          <w:bCs w:val="0"/>
          <w:color w:val="auto"/>
          <w:lang w:val="en-US" w:eastAsia="zh-CN"/>
        </w:rPr>
        <w:t>大型活动安保方案</w:t>
      </w:r>
    </w:p>
    <w:p w14:paraId="07219FA5">
      <w:pPr>
        <w:spacing w:line="240" w:lineRule="auto"/>
        <w:ind w:firstLine="566" w:firstLineChars="200"/>
        <w:rPr>
          <w:rFonts w:hint="eastAsia" w:ascii="仿宋_GB2312" w:hAnsi="仿宋_GB2312" w:eastAsia="仿宋_GB2312" w:cs="仿宋_GB2312"/>
          <w:b/>
          <w:bCs/>
          <w:color w:val="auto"/>
        </w:rPr>
      </w:pPr>
      <w:r>
        <w:rPr>
          <w:rFonts w:hint="eastAsia" w:ascii="仿宋_GB2312" w:hAnsi="仿宋_GB2312" w:eastAsia="仿宋_GB2312" w:cs="仿宋_GB2312"/>
          <w:bCs/>
          <w:color w:val="auto"/>
        </w:rPr>
        <w:t>（十）</w:t>
      </w:r>
      <w:r>
        <w:rPr>
          <w:rFonts w:hint="eastAsia" w:ascii="仿宋" w:hAnsi="仿宋" w:eastAsia="仿宋_GB2312" w:cs="仿宋"/>
          <w:b/>
          <w:bCs/>
          <w:color w:val="auto"/>
          <w:lang w:eastAsia="zh-CN"/>
        </w:rPr>
        <w:t>业绩</w:t>
      </w:r>
    </w:p>
    <w:p w14:paraId="2FF63118">
      <w:pPr>
        <w:spacing w:line="240" w:lineRule="auto"/>
        <w:ind w:firstLine="566" w:firstLineChars="200"/>
        <w:rPr>
          <w:rFonts w:hint="eastAsia" w:ascii="仿宋_GB2312" w:hAnsi="仿宋_GB2312" w:eastAsia="仿宋_GB2312" w:cs="仿宋_GB2312"/>
          <w:color w:val="auto"/>
        </w:rPr>
      </w:pPr>
      <w:r>
        <w:rPr>
          <w:rFonts w:hint="eastAsia" w:ascii="仿宋_GB2312" w:hAnsi="仿宋_GB2312" w:eastAsia="仿宋_GB2312" w:cs="仿宋_GB2312"/>
          <w:bCs/>
          <w:color w:val="auto"/>
        </w:rPr>
        <w:t>（十一）</w:t>
      </w:r>
      <w:r>
        <w:rPr>
          <w:rFonts w:hint="eastAsia" w:ascii="仿宋_GB2312" w:hAnsi="仿宋_GB2312" w:eastAsia="仿宋_GB2312" w:cs="仿宋_GB2312"/>
          <w:b/>
          <w:color w:val="auto"/>
          <w:lang w:eastAsia="zh-CN"/>
        </w:rPr>
        <w:t>承诺</w:t>
      </w:r>
    </w:p>
    <w:p w14:paraId="08A345E9">
      <w:pPr>
        <w:spacing w:line="240" w:lineRule="auto"/>
        <w:ind w:firstLine="566" w:firstLineChars="200"/>
        <w:rPr>
          <w:rFonts w:hint="default" w:ascii="Times New Roman" w:hAnsi="Times New Roman" w:eastAsia="仿宋_GB2312" w:cs="Times New Roman"/>
          <w:b/>
          <w:color w:val="auto"/>
          <w:kern w:val="2"/>
          <w:sz w:val="28"/>
          <w:szCs w:val="28"/>
          <w:lang w:val="en-US" w:eastAsia="zh-CN" w:bidi="ar-SA"/>
        </w:rPr>
      </w:pPr>
      <w:r>
        <w:rPr>
          <w:rFonts w:hint="default" w:ascii="Times New Roman" w:hAnsi="Times New Roman" w:eastAsia="仿宋_GB2312" w:cs="Times New Roman"/>
          <w:b/>
          <w:color w:val="auto"/>
          <w:kern w:val="2"/>
          <w:sz w:val="28"/>
          <w:szCs w:val="28"/>
          <w:lang w:val="en-US" w:eastAsia="zh-CN" w:bidi="ar-SA"/>
        </w:rPr>
        <w:t>三、参考样表</w:t>
      </w:r>
    </w:p>
    <w:p w14:paraId="77D629CC">
      <w:pPr>
        <w:spacing w:line="240" w:lineRule="auto"/>
        <w:ind w:firstLine="566" w:firstLineChars="200"/>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（一）履约进度计划表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000"/>
        <w:gridCol w:w="2925"/>
        <w:gridCol w:w="2523"/>
      </w:tblGrid>
      <w:tr w14:paraId="5BAA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0"/>
            <w:vAlign w:val="center"/>
          </w:tcPr>
          <w:p w14:paraId="0E6BC86E">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kern w:val="2"/>
                <w:sz w:val="28"/>
                <w:szCs w:val="28"/>
                <w:shd w:val="clear" w:color="auto" w:fill="auto"/>
                <w:lang w:val="en-US" w:eastAsia="zh-CN" w:bidi="ar-SA"/>
              </w:rPr>
            </w:pPr>
            <w:r>
              <w:rPr>
                <w:rFonts w:hint="default" w:ascii="Times New Roman" w:hAnsi="Times New Roman" w:eastAsia="仿宋_GB2312" w:cs="Times New Roman"/>
                <w:b/>
                <w:color w:val="auto"/>
                <w:sz w:val="28"/>
                <w:szCs w:val="28"/>
                <w:shd w:val="clear" w:color="auto" w:fill="auto"/>
              </w:rPr>
              <w:t>序号</w:t>
            </w:r>
          </w:p>
        </w:tc>
        <w:tc>
          <w:tcPr>
            <w:tcW w:w="3000" w:type="dxa"/>
            <w:noWrap w:val="0"/>
            <w:vAlign w:val="center"/>
          </w:tcPr>
          <w:p w14:paraId="4BCDDF07">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kern w:val="2"/>
                <w:sz w:val="28"/>
                <w:szCs w:val="28"/>
                <w:shd w:val="clear" w:color="auto" w:fill="auto"/>
                <w:lang w:val="en-US" w:eastAsia="zh-CN" w:bidi="ar-SA"/>
              </w:rPr>
            </w:pPr>
            <w:r>
              <w:rPr>
                <w:rFonts w:hint="default" w:ascii="Times New Roman" w:hAnsi="Times New Roman" w:eastAsia="仿宋_GB2312" w:cs="Times New Roman"/>
                <w:b/>
                <w:color w:val="auto"/>
                <w:sz w:val="28"/>
                <w:szCs w:val="28"/>
                <w:shd w:val="clear" w:color="auto" w:fill="auto"/>
              </w:rPr>
              <w:t>拟定时间安排</w:t>
            </w:r>
          </w:p>
        </w:tc>
        <w:tc>
          <w:tcPr>
            <w:tcW w:w="2925" w:type="dxa"/>
            <w:noWrap w:val="0"/>
            <w:vAlign w:val="center"/>
          </w:tcPr>
          <w:p w14:paraId="316E56FB">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kern w:val="2"/>
                <w:sz w:val="28"/>
                <w:szCs w:val="28"/>
                <w:shd w:val="clear" w:color="auto" w:fill="auto"/>
                <w:lang w:val="en-US" w:eastAsia="zh-CN" w:bidi="ar-SA"/>
              </w:rPr>
            </w:pPr>
            <w:r>
              <w:rPr>
                <w:rFonts w:hint="default" w:ascii="Times New Roman" w:hAnsi="Times New Roman" w:eastAsia="仿宋_GB2312" w:cs="Times New Roman"/>
                <w:b/>
                <w:color w:val="auto"/>
                <w:sz w:val="28"/>
                <w:szCs w:val="28"/>
                <w:shd w:val="clear" w:color="auto" w:fill="auto"/>
              </w:rPr>
              <w:t>计划完成的工作内容</w:t>
            </w:r>
          </w:p>
        </w:tc>
        <w:tc>
          <w:tcPr>
            <w:tcW w:w="2523" w:type="dxa"/>
            <w:noWrap w:val="0"/>
            <w:vAlign w:val="center"/>
          </w:tcPr>
          <w:p w14:paraId="4482E16C">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kern w:val="2"/>
                <w:sz w:val="28"/>
                <w:szCs w:val="28"/>
                <w:shd w:val="clear" w:color="auto" w:fill="auto"/>
                <w:lang w:val="en-US" w:eastAsia="zh-CN" w:bidi="ar-SA"/>
              </w:rPr>
            </w:pPr>
            <w:r>
              <w:rPr>
                <w:rFonts w:hint="default" w:ascii="Times New Roman" w:hAnsi="Times New Roman" w:eastAsia="仿宋_GB2312" w:cs="Times New Roman"/>
                <w:b/>
                <w:color w:val="auto"/>
                <w:sz w:val="28"/>
                <w:szCs w:val="28"/>
                <w:shd w:val="clear" w:color="auto" w:fill="auto"/>
              </w:rPr>
              <w:t>实施方建议或要求</w:t>
            </w:r>
          </w:p>
        </w:tc>
      </w:tr>
      <w:tr w14:paraId="5A9E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noWrap w:val="0"/>
            <w:vAlign w:val="center"/>
          </w:tcPr>
          <w:p w14:paraId="1E70D09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w:t>
            </w:r>
          </w:p>
        </w:tc>
        <w:tc>
          <w:tcPr>
            <w:tcW w:w="3000" w:type="dxa"/>
            <w:noWrap w:val="0"/>
            <w:vAlign w:val="center"/>
          </w:tcPr>
          <w:p w14:paraId="4CD270F1">
            <w:pPr>
              <w:keepNext w:val="0"/>
              <w:keepLines w:val="0"/>
              <w:pageBreakBefore w:val="0"/>
              <w:widowControl w:val="0"/>
              <w:tabs>
                <w:tab w:val="left" w:pos="540"/>
              </w:tabs>
              <w:kinsoku/>
              <w:wordWrap/>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拟定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年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月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日</w:t>
            </w:r>
          </w:p>
        </w:tc>
        <w:tc>
          <w:tcPr>
            <w:tcW w:w="2925" w:type="dxa"/>
            <w:noWrap w:val="0"/>
            <w:vAlign w:val="center"/>
          </w:tcPr>
          <w:p w14:paraId="58A71379">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签定合同并生效</w:t>
            </w:r>
          </w:p>
        </w:tc>
        <w:tc>
          <w:tcPr>
            <w:tcW w:w="2523" w:type="dxa"/>
            <w:noWrap w:val="0"/>
            <w:vAlign w:val="center"/>
          </w:tcPr>
          <w:p w14:paraId="021E2130">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r>
      <w:tr w14:paraId="76B7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noWrap w:val="0"/>
            <w:vAlign w:val="center"/>
          </w:tcPr>
          <w:p w14:paraId="7B13CFE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w:t>
            </w:r>
          </w:p>
        </w:tc>
        <w:tc>
          <w:tcPr>
            <w:tcW w:w="3000" w:type="dxa"/>
            <w:noWrap w:val="0"/>
            <w:vAlign w:val="center"/>
          </w:tcPr>
          <w:p w14:paraId="216E7CBC">
            <w:pPr>
              <w:keepNext w:val="0"/>
              <w:keepLines w:val="0"/>
              <w:pageBreakBefore w:val="0"/>
              <w:widowControl w:val="0"/>
              <w:tabs>
                <w:tab w:val="left" w:pos="540"/>
              </w:tabs>
              <w:kinsoku/>
              <w:wordWrap/>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月  日—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月  日</w:t>
            </w:r>
          </w:p>
        </w:tc>
        <w:tc>
          <w:tcPr>
            <w:tcW w:w="2925" w:type="dxa"/>
            <w:noWrap w:val="0"/>
            <w:vAlign w:val="center"/>
          </w:tcPr>
          <w:p w14:paraId="1D3E8EAE">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2523" w:type="dxa"/>
            <w:noWrap w:val="0"/>
            <w:vAlign w:val="center"/>
          </w:tcPr>
          <w:p w14:paraId="48152D91">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r>
      <w:tr w14:paraId="67E5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noWrap w:val="0"/>
            <w:vAlign w:val="center"/>
          </w:tcPr>
          <w:p w14:paraId="2E507D5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w:t>
            </w:r>
          </w:p>
        </w:tc>
        <w:tc>
          <w:tcPr>
            <w:tcW w:w="3000" w:type="dxa"/>
            <w:noWrap w:val="0"/>
            <w:vAlign w:val="center"/>
          </w:tcPr>
          <w:p w14:paraId="51F406C8">
            <w:pPr>
              <w:keepNext w:val="0"/>
              <w:keepLines w:val="0"/>
              <w:pageBreakBefore w:val="0"/>
              <w:widowControl w:val="0"/>
              <w:tabs>
                <w:tab w:val="left" w:pos="540"/>
              </w:tabs>
              <w:kinsoku/>
              <w:wordWrap/>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月  日—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月  日</w:t>
            </w:r>
          </w:p>
        </w:tc>
        <w:tc>
          <w:tcPr>
            <w:tcW w:w="2925" w:type="dxa"/>
            <w:noWrap w:val="0"/>
            <w:vAlign w:val="center"/>
          </w:tcPr>
          <w:p w14:paraId="412E24A5">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2523" w:type="dxa"/>
            <w:noWrap w:val="0"/>
            <w:vAlign w:val="center"/>
          </w:tcPr>
          <w:p w14:paraId="7240BE6C">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r>
      <w:tr w14:paraId="1324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noWrap w:val="0"/>
            <w:vAlign w:val="center"/>
          </w:tcPr>
          <w:p w14:paraId="37AFBF7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w:t>
            </w:r>
          </w:p>
        </w:tc>
        <w:tc>
          <w:tcPr>
            <w:tcW w:w="3000" w:type="dxa"/>
            <w:noWrap w:val="0"/>
            <w:vAlign w:val="center"/>
          </w:tcPr>
          <w:p w14:paraId="7183BA5F">
            <w:pPr>
              <w:keepNext w:val="0"/>
              <w:keepLines w:val="0"/>
              <w:pageBreakBefore w:val="0"/>
              <w:widowControl w:val="0"/>
              <w:tabs>
                <w:tab w:val="left" w:pos="540"/>
              </w:tabs>
              <w:kinsoku/>
              <w:wordWrap/>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月  日—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月  日</w:t>
            </w:r>
          </w:p>
        </w:tc>
        <w:tc>
          <w:tcPr>
            <w:tcW w:w="2925" w:type="dxa"/>
            <w:noWrap w:val="0"/>
            <w:vAlign w:val="center"/>
          </w:tcPr>
          <w:p w14:paraId="76418EB7">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质保期</w:t>
            </w:r>
          </w:p>
        </w:tc>
        <w:tc>
          <w:tcPr>
            <w:tcW w:w="2523" w:type="dxa"/>
            <w:noWrap w:val="0"/>
            <w:vAlign w:val="center"/>
          </w:tcPr>
          <w:p w14:paraId="3A86375F">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r>
    </w:tbl>
    <w:p w14:paraId="663475CE">
      <w:pPr>
        <w:spacing w:line="500" w:lineRule="exact"/>
        <w:ind w:firstLine="566" w:firstLineChars="200"/>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bCs/>
          <w:color w:val="auto"/>
          <w:sz w:val="28"/>
          <w:szCs w:val="28"/>
          <w:lang w:val="en-US" w:eastAsia="zh-CN"/>
        </w:rPr>
        <w:t>二</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bCs/>
          <w:color w:val="auto"/>
          <w:sz w:val="28"/>
          <w:szCs w:val="28"/>
        </w:rPr>
        <w:t>业绩合同样表</w:t>
      </w:r>
    </w:p>
    <w:tbl>
      <w:tblPr>
        <w:tblStyle w:val="12"/>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027"/>
        <w:gridCol w:w="1592"/>
        <w:gridCol w:w="2375"/>
        <w:gridCol w:w="2082"/>
      </w:tblGrid>
      <w:tr w14:paraId="2EAA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14:paraId="25A437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序号</w:t>
            </w:r>
          </w:p>
        </w:tc>
        <w:tc>
          <w:tcPr>
            <w:tcW w:w="2027" w:type="dxa"/>
            <w:vAlign w:val="center"/>
          </w:tcPr>
          <w:p w14:paraId="552300B6">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采购单位名称</w:t>
            </w:r>
          </w:p>
        </w:tc>
        <w:tc>
          <w:tcPr>
            <w:tcW w:w="1592" w:type="dxa"/>
            <w:vAlign w:val="center"/>
          </w:tcPr>
          <w:p w14:paraId="05D5FEB5">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合同名称</w:t>
            </w:r>
          </w:p>
        </w:tc>
        <w:tc>
          <w:tcPr>
            <w:tcW w:w="2375" w:type="dxa"/>
            <w:vAlign w:val="center"/>
          </w:tcPr>
          <w:p w14:paraId="664EEBE0">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合同起止时间</w:t>
            </w:r>
          </w:p>
        </w:tc>
        <w:tc>
          <w:tcPr>
            <w:tcW w:w="2082" w:type="dxa"/>
            <w:vAlign w:val="center"/>
          </w:tcPr>
          <w:p w14:paraId="683A90F7">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合同金额</w:t>
            </w:r>
          </w:p>
          <w:p w14:paraId="56BAA44C">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（万元）</w:t>
            </w:r>
          </w:p>
        </w:tc>
      </w:tr>
      <w:tr w14:paraId="0C2D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7B4F07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w:t>
            </w:r>
          </w:p>
        </w:tc>
        <w:tc>
          <w:tcPr>
            <w:tcW w:w="2027" w:type="dxa"/>
            <w:vAlign w:val="center"/>
          </w:tcPr>
          <w:p w14:paraId="1459DB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1592" w:type="dxa"/>
            <w:vAlign w:val="center"/>
          </w:tcPr>
          <w:p w14:paraId="1AEFF0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2375" w:type="dxa"/>
            <w:vAlign w:val="center"/>
          </w:tcPr>
          <w:p w14:paraId="413C51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2082" w:type="dxa"/>
            <w:vAlign w:val="center"/>
          </w:tcPr>
          <w:p w14:paraId="7CFFE0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r>
      <w:tr w14:paraId="0568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2E73EA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w:t>
            </w:r>
          </w:p>
        </w:tc>
        <w:tc>
          <w:tcPr>
            <w:tcW w:w="2027" w:type="dxa"/>
            <w:vAlign w:val="center"/>
          </w:tcPr>
          <w:p w14:paraId="5DB83D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1592" w:type="dxa"/>
            <w:vAlign w:val="center"/>
          </w:tcPr>
          <w:p w14:paraId="0063A9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2375" w:type="dxa"/>
            <w:vAlign w:val="center"/>
          </w:tcPr>
          <w:p w14:paraId="0A4CA9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2082" w:type="dxa"/>
            <w:vAlign w:val="center"/>
          </w:tcPr>
          <w:p w14:paraId="60A6F2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r>
      <w:tr w14:paraId="0B5B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0FD7BA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w:t>
            </w:r>
          </w:p>
        </w:tc>
        <w:tc>
          <w:tcPr>
            <w:tcW w:w="2027" w:type="dxa"/>
            <w:vAlign w:val="center"/>
          </w:tcPr>
          <w:p w14:paraId="753A9F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1592" w:type="dxa"/>
            <w:vAlign w:val="center"/>
          </w:tcPr>
          <w:p w14:paraId="5A9BD1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2375" w:type="dxa"/>
            <w:vAlign w:val="center"/>
          </w:tcPr>
          <w:p w14:paraId="2DADE4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2082" w:type="dxa"/>
            <w:vAlign w:val="center"/>
          </w:tcPr>
          <w:p w14:paraId="24C807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r>
      <w:tr w14:paraId="2CBA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56" w:type="dxa"/>
            <w:vAlign w:val="center"/>
          </w:tcPr>
          <w:p w14:paraId="3EE7A0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2027" w:type="dxa"/>
            <w:vAlign w:val="center"/>
          </w:tcPr>
          <w:p w14:paraId="741F2E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1592" w:type="dxa"/>
            <w:vAlign w:val="center"/>
          </w:tcPr>
          <w:p w14:paraId="52E8F9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2375" w:type="dxa"/>
            <w:vAlign w:val="center"/>
          </w:tcPr>
          <w:p w14:paraId="3F7A62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2082" w:type="dxa"/>
            <w:vAlign w:val="center"/>
          </w:tcPr>
          <w:p w14:paraId="14AA81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r>
      <w:tr w14:paraId="1ED7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132" w:type="dxa"/>
            <w:gridSpan w:val="5"/>
            <w:vAlign w:val="center"/>
          </w:tcPr>
          <w:p w14:paraId="68DADF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color w:val="auto"/>
                <w:sz w:val="28"/>
                <w:szCs w:val="28"/>
              </w:rPr>
              <w:t>数量合计（个）</w:t>
            </w:r>
            <w:r>
              <w:rPr>
                <w:rFonts w:hint="default" w:ascii="Times New Roman" w:hAnsi="Times New Roman" w:eastAsia="仿宋_GB2312" w:cs="Times New Roman"/>
                <w:color w:val="auto"/>
                <w:sz w:val="28"/>
                <w:szCs w:val="28"/>
              </w:rPr>
              <w:t>：</w:t>
            </w:r>
          </w:p>
        </w:tc>
      </w:tr>
    </w:tbl>
    <w:p w14:paraId="53C83F55">
      <w:pPr>
        <w:tabs>
          <w:tab w:val="right" w:pos="9070"/>
        </w:tabs>
        <w:snapToGrid w:val="0"/>
        <w:spacing w:line="240" w:lineRule="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color w:val="auto"/>
          <w:sz w:val="28"/>
          <w:szCs w:val="28"/>
        </w:rPr>
        <w:t xml:space="preserve">    注：</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后附20</w:t>
      </w:r>
      <w:r>
        <w:rPr>
          <w:rFonts w:hint="default" w:ascii="Times New Roman" w:hAnsi="Times New Roman" w:eastAsia="仿宋_GB2312" w:cs="Times New Roman"/>
          <w:color w:val="auto"/>
          <w:sz w:val="28"/>
          <w:szCs w:val="28"/>
          <w:lang w:val="en-US" w:eastAsia="zh-CN"/>
        </w:rPr>
        <w:t>22</w:t>
      </w:r>
      <w:r>
        <w:rPr>
          <w:rFonts w:hint="default" w:ascii="Times New Roman" w:hAnsi="Times New Roman" w:eastAsia="仿宋_GB2312" w:cs="Times New Roman"/>
          <w:color w:val="auto"/>
          <w:sz w:val="28"/>
          <w:szCs w:val="28"/>
        </w:rPr>
        <w:t>年1月1日以来</w:t>
      </w:r>
      <w:r>
        <w:rPr>
          <w:rFonts w:hint="default" w:ascii="Times New Roman" w:hAnsi="Times New Roman" w:eastAsia="仿宋_GB2312" w:cs="Times New Roman"/>
          <w:color w:val="auto"/>
          <w:sz w:val="28"/>
          <w:szCs w:val="28"/>
          <w:lang w:eastAsia="zh-CN"/>
        </w:rPr>
        <w:t>类似</w:t>
      </w:r>
      <w:r>
        <w:rPr>
          <w:rFonts w:hint="default" w:ascii="Times New Roman" w:hAnsi="Times New Roman" w:eastAsia="仿宋_GB2312" w:cs="Times New Roman"/>
          <w:color w:val="auto"/>
          <w:sz w:val="28"/>
          <w:szCs w:val="28"/>
        </w:rPr>
        <w:t>项目合同复印件加盖响应人公章（以合同签订日期为准）</w:t>
      </w:r>
      <w:r>
        <w:rPr>
          <w:rFonts w:hint="default" w:ascii="Times New Roman" w:hAnsi="Times New Roman" w:eastAsia="仿宋_GB2312" w:cs="Times New Roman"/>
          <w:bCs/>
          <w:color w:val="auto"/>
          <w:sz w:val="28"/>
          <w:szCs w:val="28"/>
          <w:lang w:val="en-US" w:eastAsia="zh-CN"/>
        </w:rPr>
        <w:t>2、视情况，此表一并随《成交结果》公示。</w:t>
      </w:r>
    </w:p>
    <w:p w14:paraId="7226F5A9">
      <w:pPr>
        <w:tabs>
          <w:tab w:val="right" w:pos="9070"/>
        </w:tabs>
        <w:snapToGrid w:val="0"/>
        <w:spacing w:line="500" w:lineRule="exact"/>
        <w:ind w:left="566" w:left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b/>
          <w:bCs/>
          <w:color w:val="auto"/>
          <w:sz w:val="28"/>
          <w:szCs w:val="28"/>
          <w:lang w:val="en-US" w:eastAsia="zh-CN"/>
        </w:rPr>
        <w:t>三</w:t>
      </w:r>
      <w:r>
        <w:rPr>
          <w:rFonts w:hint="default" w:ascii="Times New Roman" w:hAnsi="Times New Roman" w:eastAsia="仿宋_GB2312" w:cs="Times New Roman"/>
          <w:b/>
          <w:bCs/>
          <w:color w:val="auto"/>
          <w:sz w:val="28"/>
          <w:szCs w:val="28"/>
        </w:rPr>
        <w:t>）项目团队样表</w:t>
      </w:r>
    </w:p>
    <w:p w14:paraId="18618767">
      <w:pPr>
        <w:tabs>
          <w:tab w:val="right" w:pos="9070"/>
        </w:tabs>
        <w:spacing w:line="240" w:lineRule="auto"/>
        <w:ind w:firstLine="566"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1、项目团队情况概述</w:t>
      </w:r>
    </w:p>
    <w:p w14:paraId="62B8C5FB">
      <w:pPr>
        <w:tabs>
          <w:tab w:val="right" w:pos="9070"/>
        </w:tabs>
        <w:spacing w:line="240" w:lineRule="auto"/>
        <w:ind w:firstLine="566"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概述内容包括但不限于为本项目提供服务的团队整体情况、团队负责人、联系人基本情况、背景、能力介绍等，具体内容自行编制。</w:t>
      </w:r>
    </w:p>
    <w:p w14:paraId="4F326B30">
      <w:pPr>
        <w:tabs>
          <w:tab w:val="right" w:pos="9070"/>
        </w:tabs>
        <w:spacing w:line="500" w:lineRule="exact"/>
        <w:ind w:firstLine="566"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2、项目团队人员清单</w:t>
      </w:r>
    </w:p>
    <w:tbl>
      <w:tblPr>
        <w:tblStyle w:val="12"/>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42"/>
        <w:gridCol w:w="1049"/>
      </w:tblGrid>
      <w:tr w14:paraId="6A37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85" w:type="dxa"/>
            <w:gridSpan w:val="11"/>
            <w:tcBorders>
              <w:tl2br w:val="nil"/>
              <w:tr2bl w:val="nil"/>
            </w:tcBorders>
            <w:noWrap w:val="0"/>
            <w:vAlign w:val="center"/>
          </w:tcPr>
          <w:p w14:paraId="2B0D3000">
            <w:pPr>
              <w:tabs>
                <w:tab w:val="right" w:pos="9070"/>
              </w:tabs>
              <w:spacing w:line="500" w:lineRule="exact"/>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1、</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none"/>
                <w:lang w:val="en-US" w:eastAsia="zh-CN"/>
              </w:rPr>
              <w:t>（</w:t>
            </w:r>
            <w:r>
              <w:rPr>
                <w:rFonts w:hint="default" w:ascii="Times New Roman" w:hAnsi="Times New Roman" w:eastAsia="仿宋_GB2312" w:cs="Times New Roman"/>
                <w:color w:val="auto"/>
                <w:sz w:val="28"/>
                <w:szCs w:val="28"/>
                <w:u w:val="none"/>
              </w:rPr>
              <w:t>自行编制</w:t>
            </w:r>
            <w:r>
              <w:rPr>
                <w:rFonts w:hint="default" w:ascii="Times New Roman" w:hAnsi="Times New Roman" w:eastAsia="仿宋_GB2312" w:cs="Times New Roman"/>
                <w:color w:val="auto"/>
                <w:sz w:val="28"/>
                <w:szCs w:val="28"/>
                <w:u w:val="none"/>
                <w:lang w:val="en-US" w:eastAsia="zh-CN"/>
              </w:rPr>
              <w:t>）</w:t>
            </w:r>
          </w:p>
        </w:tc>
      </w:tr>
      <w:tr w14:paraId="66A6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dxa"/>
            <w:tcBorders>
              <w:tl2br w:val="nil"/>
              <w:tr2bl w:val="nil"/>
            </w:tcBorders>
            <w:noWrap w:val="0"/>
            <w:vAlign w:val="center"/>
          </w:tcPr>
          <w:p w14:paraId="2AD055DE">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969" w:type="dxa"/>
            <w:tcBorders>
              <w:tl2br w:val="nil"/>
              <w:tr2bl w:val="nil"/>
            </w:tcBorders>
            <w:noWrap w:val="0"/>
            <w:vAlign w:val="center"/>
          </w:tcPr>
          <w:p w14:paraId="2678FC97">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年龄</w:t>
            </w:r>
          </w:p>
        </w:tc>
        <w:tc>
          <w:tcPr>
            <w:tcW w:w="1260" w:type="dxa"/>
            <w:tcBorders>
              <w:tl2br w:val="nil"/>
              <w:tr2bl w:val="nil"/>
            </w:tcBorders>
            <w:noWrap w:val="0"/>
            <w:vAlign w:val="center"/>
          </w:tcPr>
          <w:p w14:paraId="64545B33">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资格</w:t>
            </w:r>
          </w:p>
        </w:tc>
        <w:tc>
          <w:tcPr>
            <w:tcW w:w="1387" w:type="dxa"/>
            <w:gridSpan w:val="2"/>
            <w:tcBorders>
              <w:tl2br w:val="nil"/>
              <w:tr2bl w:val="nil"/>
            </w:tcBorders>
            <w:noWrap w:val="0"/>
            <w:vAlign w:val="center"/>
          </w:tcPr>
          <w:p w14:paraId="648C983A">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职称</w:t>
            </w:r>
          </w:p>
        </w:tc>
        <w:tc>
          <w:tcPr>
            <w:tcW w:w="1604" w:type="dxa"/>
            <w:gridSpan w:val="3"/>
            <w:tcBorders>
              <w:tl2br w:val="nil"/>
              <w:tr2bl w:val="nil"/>
            </w:tcBorders>
            <w:noWrap w:val="0"/>
            <w:vAlign w:val="center"/>
          </w:tcPr>
          <w:p w14:paraId="54B9A278">
            <w:pPr>
              <w:spacing w:line="2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在本行业从业工作年限</w:t>
            </w:r>
          </w:p>
        </w:tc>
        <w:tc>
          <w:tcPr>
            <w:tcW w:w="1740" w:type="dxa"/>
            <w:tcBorders>
              <w:tl2br w:val="nil"/>
              <w:tr2bl w:val="nil"/>
            </w:tcBorders>
            <w:noWrap w:val="0"/>
            <w:vAlign w:val="center"/>
          </w:tcPr>
          <w:p w14:paraId="6811AB9E">
            <w:pPr>
              <w:spacing w:line="2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主要工作</w:t>
            </w:r>
          </w:p>
          <w:p w14:paraId="64F099E7">
            <w:pPr>
              <w:spacing w:line="2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业绩和经历</w:t>
            </w:r>
          </w:p>
        </w:tc>
        <w:tc>
          <w:tcPr>
            <w:tcW w:w="1091" w:type="dxa"/>
            <w:gridSpan w:val="2"/>
            <w:tcBorders>
              <w:tl2br w:val="nil"/>
              <w:tr2bl w:val="nil"/>
            </w:tcBorders>
            <w:noWrap w:val="0"/>
            <w:vAlign w:val="center"/>
          </w:tcPr>
          <w:p w14:paraId="79031137">
            <w:pPr>
              <w:spacing w:line="2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本项目</w:t>
            </w:r>
            <w:r>
              <w:rPr>
                <w:rFonts w:hint="default" w:ascii="Times New Roman" w:hAnsi="Times New Roman" w:eastAsia="仿宋_GB2312" w:cs="Times New Roman"/>
                <w:color w:val="auto"/>
                <w:sz w:val="24"/>
                <w:szCs w:val="24"/>
              </w:rPr>
              <w:t>分工</w:t>
            </w:r>
          </w:p>
        </w:tc>
      </w:tr>
      <w:tr w14:paraId="4FA1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dxa"/>
            <w:tcBorders>
              <w:tl2br w:val="nil"/>
              <w:tr2bl w:val="nil"/>
            </w:tcBorders>
            <w:noWrap w:val="0"/>
            <w:vAlign w:val="center"/>
          </w:tcPr>
          <w:p w14:paraId="3BAC81AC">
            <w:pPr>
              <w:rPr>
                <w:rFonts w:hint="default" w:ascii="Times New Roman" w:hAnsi="Times New Roman" w:eastAsia="仿宋_GB2312" w:cs="Times New Roman"/>
                <w:color w:val="auto"/>
                <w:sz w:val="24"/>
                <w:szCs w:val="24"/>
              </w:rPr>
            </w:pPr>
          </w:p>
        </w:tc>
        <w:tc>
          <w:tcPr>
            <w:tcW w:w="969" w:type="dxa"/>
            <w:tcBorders>
              <w:tl2br w:val="nil"/>
              <w:tr2bl w:val="nil"/>
            </w:tcBorders>
            <w:noWrap w:val="0"/>
            <w:vAlign w:val="center"/>
          </w:tcPr>
          <w:p w14:paraId="3AF77198">
            <w:pPr>
              <w:rPr>
                <w:rFonts w:hint="default" w:ascii="Times New Roman" w:hAnsi="Times New Roman" w:eastAsia="仿宋_GB2312" w:cs="Times New Roman"/>
                <w:color w:val="auto"/>
                <w:sz w:val="24"/>
                <w:szCs w:val="24"/>
              </w:rPr>
            </w:pPr>
          </w:p>
        </w:tc>
        <w:tc>
          <w:tcPr>
            <w:tcW w:w="1260" w:type="dxa"/>
            <w:tcBorders>
              <w:tl2br w:val="nil"/>
              <w:tr2bl w:val="nil"/>
            </w:tcBorders>
            <w:noWrap w:val="0"/>
            <w:vAlign w:val="center"/>
          </w:tcPr>
          <w:p w14:paraId="5B22EFAF">
            <w:pPr>
              <w:rPr>
                <w:rFonts w:hint="default" w:ascii="Times New Roman" w:hAnsi="Times New Roman" w:eastAsia="仿宋_GB2312" w:cs="Times New Roman"/>
                <w:color w:val="auto"/>
                <w:sz w:val="24"/>
                <w:szCs w:val="24"/>
              </w:rPr>
            </w:pPr>
          </w:p>
        </w:tc>
        <w:tc>
          <w:tcPr>
            <w:tcW w:w="1387" w:type="dxa"/>
            <w:gridSpan w:val="2"/>
            <w:tcBorders>
              <w:tl2br w:val="nil"/>
              <w:tr2bl w:val="nil"/>
            </w:tcBorders>
            <w:noWrap w:val="0"/>
            <w:vAlign w:val="center"/>
          </w:tcPr>
          <w:p w14:paraId="5CD0C4AE">
            <w:pPr>
              <w:rPr>
                <w:rFonts w:hint="default" w:ascii="Times New Roman" w:hAnsi="Times New Roman" w:eastAsia="仿宋_GB2312" w:cs="Times New Roman"/>
                <w:color w:val="auto"/>
                <w:sz w:val="24"/>
                <w:szCs w:val="24"/>
              </w:rPr>
            </w:pPr>
          </w:p>
        </w:tc>
        <w:tc>
          <w:tcPr>
            <w:tcW w:w="1604" w:type="dxa"/>
            <w:gridSpan w:val="3"/>
            <w:tcBorders>
              <w:tl2br w:val="nil"/>
              <w:tr2bl w:val="nil"/>
            </w:tcBorders>
            <w:noWrap w:val="0"/>
            <w:vAlign w:val="center"/>
          </w:tcPr>
          <w:p w14:paraId="63AAE664">
            <w:pPr>
              <w:rPr>
                <w:rFonts w:hint="default" w:ascii="Times New Roman" w:hAnsi="Times New Roman" w:eastAsia="仿宋_GB2312" w:cs="Times New Roman"/>
                <w:color w:val="auto"/>
                <w:sz w:val="24"/>
                <w:szCs w:val="24"/>
              </w:rPr>
            </w:pPr>
          </w:p>
        </w:tc>
        <w:tc>
          <w:tcPr>
            <w:tcW w:w="1740" w:type="dxa"/>
            <w:tcBorders>
              <w:tl2br w:val="nil"/>
              <w:tr2bl w:val="nil"/>
            </w:tcBorders>
            <w:noWrap w:val="0"/>
            <w:vAlign w:val="center"/>
          </w:tcPr>
          <w:p w14:paraId="71C7FC00">
            <w:pPr>
              <w:rPr>
                <w:rFonts w:hint="default" w:ascii="Times New Roman" w:hAnsi="Times New Roman" w:eastAsia="仿宋_GB2312" w:cs="Times New Roman"/>
                <w:color w:val="auto"/>
                <w:sz w:val="24"/>
                <w:szCs w:val="24"/>
              </w:rPr>
            </w:pPr>
          </w:p>
        </w:tc>
        <w:tc>
          <w:tcPr>
            <w:tcW w:w="1091" w:type="dxa"/>
            <w:gridSpan w:val="2"/>
            <w:tcBorders>
              <w:tl2br w:val="nil"/>
              <w:tr2bl w:val="nil"/>
            </w:tcBorders>
            <w:noWrap w:val="0"/>
            <w:vAlign w:val="center"/>
          </w:tcPr>
          <w:p w14:paraId="40C4DB4B">
            <w:pPr>
              <w:rPr>
                <w:rFonts w:hint="default" w:ascii="Times New Roman" w:hAnsi="Times New Roman" w:eastAsia="仿宋_GB2312" w:cs="Times New Roman"/>
                <w:color w:val="auto"/>
                <w:sz w:val="24"/>
                <w:szCs w:val="24"/>
              </w:rPr>
            </w:pPr>
          </w:p>
        </w:tc>
      </w:tr>
      <w:tr w14:paraId="78D2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85" w:type="dxa"/>
            <w:gridSpan w:val="11"/>
            <w:tcBorders>
              <w:tl2br w:val="nil"/>
              <w:tr2bl w:val="nil"/>
            </w:tcBorders>
            <w:noWrap w:val="0"/>
            <w:vAlign w:val="center"/>
          </w:tcPr>
          <w:p w14:paraId="58823F8D">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none"/>
                <w:lang w:val="en-US" w:eastAsia="zh-CN"/>
              </w:rPr>
              <w:t>（</w:t>
            </w:r>
            <w:r>
              <w:rPr>
                <w:rFonts w:hint="default" w:ascii="Times New Roman" w:hAnsi="Times New Roman" w:eastAsia="仿宋_GB2312" w:cs="Times New Roman"/>
                <w:color w:val="auto"/>
                <w:sz w:val="28"/>
                <w:szCs w:val="28"/>
                <w:u w:val="none"/>
              </w:rPr>
              <w:t>自行编制</w:t>
            </w:r>
            <w:r>
              <w:rPr>
                <w:rFonts w:hint="default" w:ascii="Times New Roman" w:hAnsi="Times New Roman" w:eastAsia="仿宋_GB2312" w:cs="Times New Roman"/>
                <w:color w:val="auto"/>
                <w:sz w:val="28"/>
                <w:szCs w:val="28"/>
                <w:u w:val="none"/>
                <w:lang w:val="en-US" w:eastAsia="zh-CN"/>
              </w:rPr>
              <w:t>）</w:t>
            </w:r>
          </w:p>
        </w:tc>
      </w:tr>
      <w:tr w14:paraId="1854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dxa"/>
            <w:tcBorders>
              <w:tl2br w:val="nil"/>
              <w:tr2bl w:val="nil"/>
            </w:tcBorders>
            <w:noWrap w:val="0"/>
            <w:vAlign w:val="center"/>
          </w:tcPr>
          <w:p w14:paraId="36B6CC2B">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969" w:type="dxa"/>
            <w:tcBorders>
              <w:tl2br w:val="nil"/>
              <w:tr2bl w:val="nil"/>
            </w:tcBorders>
            <w:noWrap w:val="0"/>
            <w:vAlign w:val="center"/>
          </w:tcPr>
          <w:p w14:paraId="7517B8E3">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年龄</w:t>
            </w:r>
          </w:p>
        </w:tc>
        <w:tc>
          <w:tcPr>
            <w:tcW w:w="1260" w:type="dxa"/>
            <w:tcBorders>
              <w:tl2br w:val="nil"/>
              <w:tr2bl w:val="nil"/>
            </w:tcBorders>
            <w:noWrap w:val="0"/>
            <w:vAlign w:val="center"/>
          </w:tcPr>
          <w:p w14:paraId="04C11C0B">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资格</w:t>
            </w:r>
          </w:p>
        </w:tc>
        <w:tc>
          <w:tcPr>
            <w:tcW w:w="1404" w:type="dxa"/>
            <w:gridSpan w:val="3"/>
            <w:tcBorders>
              <w:tl2br w:val="nil"/>
              <w:tr2bl w:val="nil"/>
            </w:tcBorders>
            <w:noWrap w:val="0"/>
            <w:vAlign w:val="center"/>
          </w:tcPr>
          <w:p w14:paraId="3EFAA5AB">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职称</w:t>
            </w:r>
          </w:p>
        </w:tc>
        <w:tc>
          <w:tcPr>
            <w:tcW w:w="1587" w:type="dxa"/>
            <w:gridSpan w:val="2"/>
            <w:tcBorders>
              <w:tl2br w:val="nil"/>
              <w:tr2bl w:val="nil"/>
            </w:tcBorders>
            <w:noWrap w:val="0"/>
            <w:vAlign w:val="center"/>
          </w:tcPr>
          <w:p w14:paraId="225521CD">
            <w:pPr>
              <w:spacing w:line="2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在本行业从业工作年限</w:t>
            </w:r>
          </w:p>
        </w:tc>
        <w:tc>
          <w:tcPr>
            <w:tcW w:w="1782" w:type="dxa"/>
            <w:gridSpan w:val="2"/>
            <w:tcBorders>
              <w:tl2br w:val="nil"/>
              <w:tr2bl w:val="nil"/>
            </w:tcBorders>
            <w:noWrap w:val="0"/>
            <w:vAlign w:val="center"/>
          </w:tcPr>
          <w:p w14:paraId="277FE78D">
            <w:pPr>
              <w:spacing w:line="2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主要工作</w:t>
            </w:r>
          </w:p>
          <w:p w14:paraId="62307AF4">
            <w:pPr>
              <w:spacing w:line="2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业绩和经历</w:t>
            </w:r>
          </w:p>
        </w:tc>
        <w:tc>
          <w:tcPr>
            <w:tcW w:w="1049" w:type="dxa"/>
            <w:tcBorders>
              <w:tl2br w:val="nil"/>
              <w:tr2bl w:val="nil"/>
            </w:tcBorders>
            <w:noWrap w:val="0"/>
            <w:vAlign w:val="center"/>
          </w:tcPr>
          <w:p w14:paraId="7B6EBB0B">
            <w:pPr>
              <w:spacing w:line="2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本项目</w:t>
            </w:r>
          </w:p>
          <w:p w14:paraId="187D1DFD">
            <w:pPr>
              <w:spacing w:line="2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分工</w:t>
            </w:r>
          </w:p>
        </w:tc>
      </w:tr>
      <w:tr w14:paraId="410B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dxa"/>
            <w:tcBorders>
              <w:tl2br w:val="nil"/>
              <w:tr2bl w:val="nil"/>
            </w:tcBorders>
            <w:noWrap w:val="0"/>
            <w:vAlign w:val="center"/>
          </w:tcPr>
          <w:p w14:paraId="07CBA243">
            <w:pPr>
              <w:rPr>
                <w:rFonts w:hint="default" w:ascii="Times New Roman" w:hAnsi="Times New Roman" w:eastAsia="仿宋_GB2312" w:cs="Times New Roman"/>
                <w:color w:val="auto"/>
                <w:sz w:val="24"/>
                <w:szCs w:val="24"/>
              </w:rPr>
            </w:pPr>
          </w:p>
        </w:tc>
        <w:tc>
          <w:tcPr>
            <w:tcW w:w="969" w:type="dxa"/>
            <w:tcBorders>
              <w:tl2br w:val="nil"/>
              <w:tr2bl w:val="nil"/>
            </w:tcBorders>
            <w:noWrap w:val="0"/>
            <w:vAlign w:val="center"/>
          </w:tcPr>
          <w:p w14:paraId="4D3C4CE8">
            <w:pPr>
              <w:rPr>
                <w:rFonts w:hint="default" w:ascii="Times New Roman" w:hAnsi="Times New Roman" w:eastAsia="仿宋_GB2312" w:cs="Times New Roman"/>
                <w:color w:val="auto"/>
                <w:sz w:val="24"/>
                <w:szCs w:val="24"/>
              </w:rPr>
            </w:pPr>
          </w:p>
        </w:tc>
        <w:tc>
          <w:tcPr>
            <w:tcW w:w="1260" w:type="dxa"/>
            <w:tcBorders>
              <w:tl2br w:val="nil"/>
              <w:tr2bl w:val="nil"/>
            </w:tcBorders>
            <w:noWrap w:val="0"/>
            <w:vAlign w:val="center"/>
          </w:tcPr>
          <w:p w14:paraId="03940148">
            <w:pPr>
              <w:rPr>
                <w:rFonts w:hint="default" w:ascii="Times New Roman" w:hAnsi="Times New Roman" w:eastAsia="仿宋_GB2312" w:cs="Times New Roman"/>
                <w:color w:val="auto"/>
                <w:sz w:val="24"/>
                <w:szCs w:val="24"/>
              </w:rPr>
            </w:pPr>
          </w:p>
        </w:tc>
        <w:tc>
          <w:tcPr>
            <w:tcW w:w="1404" w:type="dxa"/>
            <w:gridSpan w:val="3"/>
            <w:tcBorders>
              <w:tl2br w:val="nil"/>
              <w:tr2bl w:val="nil"/>
            </w:tcBorders>
            <w:noWrap w:val="0"/>
            <w:vAlign w:val="center"/>
          </w:tcPr>
          <w:p w14:paraId="15917571">
            <w:pPr>
              <w:rPr>
                <w:rFonts w:hint="default" w:ascii="Times New Roman" w:hAnsi="Times New Roman" w:eastAsia="仿宋_GB2312" w:cs="Times New Roman"/>
                <w:color w:val="auto"/>
                <w:sz w:val="24"/>
                <w:szCs w:val="24"/>
              </w:rPr>
            </w:pPr>
          </w:p>
        </w:tc>
        <w:tc>
          <w:tcPr>
            <w:tcW w:w="1587" w:type="dxa"/>
            <w:gridSpan w:val="2"/>
            <w:tcBorders>
              <w:tl2br w:val="nil"/>
              <w:tr2bl w:val="nil"/>
            </w:tcBorders>
            <w:noWrap w:val="0"/>
            <w:vAlign w:val="center"/>
          </w:tcPr>
          <w:p w14:paraId="57BFADB4">
            <w:pPr>
              <w:rPr>
                <w:rFonts w:hint="default" w:ascii="Times New Roman" w:hAnsi="Times New Roman" w:eastAsia="仿宋_GB2312" w:cs="Times New Roman"/>
                <w:color w:val="auto"/>
                <w:sz w:val="24"/>
                <w:szCs w:val="24"/>
              </w:rPr>
            </w:pPr>
          </w:p>
        </w:tc>
        <w:tc>
          <w:tcPr>
            <w:tcW w:w="1782" w:type="dxa"/>
            <w:gridSpan w:val="2"/>
            <w:tcBorders>
              <w:tl2br w:val="nil"/>
              <w:tr2bl w:val="nil"/>
            </w:tcBorders>
            <w:noWrap w:val="0"/>
            <w:vAlign w:val="center"/>
          </w:tcPr>
          <w:p w14:paraId="40B9C27C">
            <w:pPr>
              <w:rPr>
                <w:rFonts w:hint="default" w:ascii="Times New Roman" w:hAnsi="Times New Roman" w:eastAsia="仿宋_GB2312" w:cs="Times New Roman"/>
                <w:color w:val="auto"/>
                <w:sz w:val="24"/>
                <w:szCs w:val="24"/>
              </w:rPr>
            </w:pPr>
          </w:p>
        </w:tc>
        <w:tc>
          <w:tcPr>
            <w:tcW w:w="1049" w:type="dxa"/>
            <w:tcBorders>
              <w:tl2br w:val="nil"/>
              <w:tr2bl w:val="nil"/>
            </w:tcBorders>
            <w:noWrap w:val="0"/>
            <w:vAlign w:val="center"/>
          </w:tcPr>
          <w:p w14:paraId="758C4F8D">
            <w:pPr>
              <w:rPr>
                <w:rFonts w:hint="default" w:ascii="Times New Roman" w:hAnsi="Times New Roman" w:eastAsia="仿宋_GB2312" w:cs="Times New Roman"/>
                <w:color w:val="auto"/>
                <w:sz w:val="24"/>
                <w:szCs w:val="24"/>
              </w:rPr>
            </w:pPr>
          </w:p>
        </w:tc>
      </w:tr>
      <w:tr w14:paraId="3170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dxa"/>
            <w:tcBorders>
              <w:tl2br w:val="nil"/>
              <w:tr2bl w:val="nil"/>
            </w:tcBorders>
            <w:noWrap w:val="0"/>
            <w:vAlign w:val="center"/>
          </w:tcPr>
          <w:p w14:paraId="49225DE6">
            <w:pPr>
              <w:rPr>
                <w:rFonts w:hint="default" w:ascii="Times New Roman" w:hAnsi="Times New Roman" w:eastAsia="仿宋_GB2312" w:cs="Times New Roman"/>
                <w:color w:val="auto"/>
                <w:sz w:val="24"/>
                <w:szCs w:val="24"/>
              </w:rPr>
            </w:pPr>
          </w:p>
        </w:tc>
        <w:tc>
          <w:tcPr>
            <w:tcW w:w="969" w:type="dxa"/>
            <w:tcBorders>
              <w:tl2br w:val="nil"/>
              <w:tr2bl w:val="nil"/>
            </w:tcBorders>
            <w:noWrap w:val="0"/>
            <w:vAlign w:val="center"/>
          </w:tcPr>
          <w:p w14:paraId="7A22F580">
            <w:pPr>
              <w:rPr>
                <w:rFonts w:hint="default" w:ascii="Times New Roman" w:hAnsi="Times New Roman" w:eastAsia="仿宋_GB2312" w:cs="Times New Roman"/>
                <w:color w:val="auto"/>
                <w:sz w:val="24"/>
                <w:szCs w:val="24"/>
              </w:rPr>
            </w:pPr>
          </w:p>
        </w:tc>
        <w:tc>
          <w:tcPr>
            <w:tcW w:w="1260" w:type="dxa"/>
            <w:tcBorders>
              <w:tl2br w:val="nil"/>
              <w:tr2bl w:val="nil"/>
            </w:tcBorders>
            <w:noWrap w:val="0"/>
            <w:vAlign w:val="center"/>
          </w:tcPr>
          <w:p w14:paraId="595D7FB9">
            <w:pPr>
              <w:rPr>
                <w:rFonts w:hint="default" w:ascii="Times New Roman" w:hAnsi="Times New Roman" w:eastAsia="仿宋_GB2312" w:cs="Times New Roman"/>
                <w:color w:val="auto"/>
                <w:sz w:val="24"/>
                <w:szCs w:val="24"/>
              </w:rPr>
            </w:pPr>
          </w:p>
        </w:tc>
        <w:tc>
          <w:tcPr>
            <w:tcW w:w="1404" w:type="dxa"/>
            <w:gridSpan w:val="3"/>
            <w:tcBorders>
              <w:tl2br w:val="nil"/>
              <w:tr2bl w:val="nil"/>
            </w:tcBorders>
            <w:noWrap w:val="0"/>
            <w:vAlign w:val="center"/>
          </w:tcPr>
          <w:p w14:paraId="7A8BD23F">
            <w:pPr>
              <w:rPr>
                <w:rFonts w:hint="default" w:ascii="Times New Roman" w:hAnsi="Times New Roman" w:eastAsia="仿宋_GB2312" w:cs="Times New Roman"/>
                <w:color w:val="auto"/>
                <w:sz w:val="24"/>
                <w:szCs w:val="24"/>
              </w:rPr>
            </w:pPr>
          </w:p>
        </w:tc>
        <w:tc>
          <w:tcPr>
            <w:tcW w:w="1587" w:type="dxa"/>
            <w:gridSpan w:val="2"/>
            <w:tcBorders>
              <w:tl2br w:val="nil"/>
              <w:tr2bl w:val="nil"/>
            </w:tcBorders>
            <w:noWrap w:val="0"/>
            <w:vAlign w:val="center"/>
          </w:tcPr>
          <w:p w14:paraId="25D0EF37">
            <w:pPr>
              <w:rPr>
                <w:rFonts w:hint="default" w:ascii="Times New Roman" w:hAnsi="Times New Roman" w:eastAsia="仿宋_GB2312" w:cs="Times New Roman"/>
                <w:color w:val="auto"/>
                <w:sz w:val="24"/>
                <w:szCs w:val="24"/>
              </w:rPr>
            </w:pPr>
          </w:p>
        </w:tc>
        <w:tc>
          <w:tcPr>
            <w:tcW w:w="1782" w:type="dxa"/>
            <w:gridSpan w:val="2"/>
            <w:tcBorders>
              <w:tl2br w:val="nil"/>
              <w:tr2bl w:val="nil"/>
            </w:tcBorders>
            <w:noWrap w:val="0"/>
            <w:vAlign w:val="center"/>
          </w:tcPr>
          <w:p w14:paraId="1356390C">
            <w:pPr>
              <w:rPr>
                <w:rFonts w:hint="default" w:ascii="Times New Roman" w:hAnsi="Times New Roman" w:eastAsia="仿宋_GB2312" w:cs="Times New Roman"/>
                <w:color w:val="auto"/>
                <w:sz w:val="24"/>
                <w:szCs w:val="24"/>
              </w:rPr>
            </w:pPr>
          </w:p>
        </w:tc>
        <w:tc>
          <w:tcPr>
            <w:tcW w:w="1049" w:type="dxa"/>
            <w:tcBorders>
              <w:tl2br w:val="nil"/>
              <w:tr2bl w:val="nil"/>
            </w:tcBorders>
            <w:noWrap w:val="0"/>
            <w:vAlign w:val="center"/>
          </w:tcPr>
          <w:p w14:paraId="1BCADA58">
            <w:pPr>
              <w:rPr>
                <w:rFonts w:hint="default" w:ascii="Times New Roman" w:hAnsi="Times New Roman" w:eastAsia="仿宋_GB2312" w:cs="Times New Roman"/>
                <w:color w:val="auto"/>
                <w:sz w:val="24"/>
                <w:szCs w:val="24"/>
              </w:rPr>
            </w:pPr>
          </w:p>
        </w:tc>
      </w:tr>
      <w:tr w14:paraId="4F18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85" w:type="dxa"/>
            <w:gridSpan w:val="11"/>
            <w:tcBorders>
              <w:tl2br w:val="nil"/>
              <w:tr2bl w:val="nil"/>
            </w:tcBorders>
            <w:noWrap w:val="0"/>
            <w:vAlign w:val="center"/>
          </w:tcPr>
          <w:p w14:paraId="3E336517">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none"/>
                <w:lang w:val="en-US" w:eastAsia="zh-CN"/>
              </w:rPr>
              <w:t>（</w:t>
            </w:r>
            <w:r>
              <w:rPr>
                <w:rFonts w:hint="default" w:ascii="Times New Roman" w:hAnsi="Times New Roman" w:eastAsia="仿宋_GB2312" w:cs="Times New Roman"/>
                <w:color w:val="auto"/>
                <w:sz w:val="28"/>
                <w:szCs w:val="28"/>
                <w:u w:val="none"/>
              </w:rPr>
              <w:t>自行编制</w:t>
            </w:r>
            <w:r>
              <w:rPr>
                <w:rFonts w:hint="default" w:ascii="Times New Roman" w:hAnsi="Times New Roman" w:eastAsia="仿宋_GB2312" w:cs="Times New Roman"/>
                <w:color w:val="auto"/>
                <w:sz w:val="28"/>
                <w:szCs w:val="28"/>
                <w:u w:val="none"/>
                <w:lang w:val="en-US" w:eastAsia="zh-CN"/>
              </w:rPr>
              <w:t>）</w:t>
            </w:r>
          </w:p>
        </w:tc>
      </w:tr>
      <w:tr w14:paraId="2B19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dxa"/>
            <w:tcBorders>
              <w:tl2br w:val="nil"/>
              <w:tr2bl w:val="nil"/>
            </w:tcBorders>
            <w:noWrap w:val="0"/>
            <w:vAlign w:val="center"/>
          </w:tcPr>
          <w:p w14:paraId="5DF2AB97">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969" w:type="dxa"/>
            <w:tcBorders>
              <w:tl2br w:val="nil"/>
              <w:tr2bl w:val="nil"/>
            </w:tcBorders>
            <w:noWrap w:val="0"/>
            <w:vAlign w:val="center"/>
          </w:tcPr>
          <w:p w14:paraId="7280E69F">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年龄</w:t>
            </w:r>
          </w:p>
        </w:tc>
        <w:tc>
          <w:tcPr>
            <w:tcW w:w="1284" w:type="dxa"/>
            <w:gridSpan w:val="2"/>
            <w:tcBorders>
              <w:tl2br w:val="nil"/>
              <w:tr2bl w:val="nil"/>
            </w:tcBorders>
            <w:noWrap w:val="0"/>
            <w:vAlign w:val="center"/>
          </w:tcPr>
          <w:p w14:paraId="59EBDCF3">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学历</w:t>
            </w:r>
          </w:p>
        </w:tc>
        <w:tc>
          <w:tcPr>
            <w:tcW w:w="1386" w:type="dxa"/>
            <w:gridSpan w:val="3"/>
            <w:tcBorders>
              <w:tl2br w:val="nil"/>
              <w:tr2bl w:val="nil"/>
            </w:tcBorders>
            <w:noWrap w:val="0"/>
            <w:vAlign w:val="center"/>
          </w:tcPr>
          <w:p w14:paraId="436AA8D8">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职称</w:t>
            </w:r>
          </w:p>
        </w:tc>
        <w:tc>
          <w:tcPr>
            <w:tcW w:w="1581" w:type="dxa"/>
            <w:tcBorders>
              <w:tl2br w:val="nil"/>
              <w:tr2bl w:val="nil"/>
            </w:tcBorders>
            <w:noWrap w:val="0"/>
            <w:vAlign w:val="center"/>
          </w:tcPr>
          <w:p w14:paraId="602161EF">
            <w:pPr>
              <w:spacing w:line="2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从事类似项目工作年限</w:t>
            </w:r>
          </w:p>
        </w:tc>
        <w:tc>
          <w:tcPr>
            <w:tcW w:w="1782" w:type="dxa"/>
            <w:gridSpan w:val="2"/>
            <w:tcBorders>
              <w:tl2br w:val="nil"/>
              <w:tr2bl w:val="nil"/>
            </w:tcBorders>
            <w:noWrap w:val="0"/>
            <w:vAlign w:val="center"/>
          </w:tcPr>
          <w:p w14:paraId="25318851">
            <w:pPr>
              <w:spacing w:line="2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主要工作</w:t>
            </w:r>
          </w:p>
          <w:p w14:paraId="1312FA82">
            <w:pPr>
              <w:spacing w:line="2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业绩和经历</w:t>
            </w:r>
          </w:p>
        </w:tc>
        <w:tc>
          <w:tcPr>
            <w:tcW w:w="1049" w:type="dxa"/>
            <w:tcBorders>
              <w:tl2br w:val="nil"/>
              <w:tr2bl w:val="nil"/>
            </w:tcBorders>
            <w:noWrap w:val="0"/>
            <w:vAlign w:val="center"/>
          </w:tcPr>
          <w:p w14:paraId="1820820D">
            <w:pPr>
              <w:spacing w:line="2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本项目</w:t>
            </w:r>
            <w:r>
              <w:rPr>
                <w:rFonts w:hint="default" w:ascii="Times New Roman" w:hAnsi="Times New Roman" w:eastAsia="仿宋_GB2312" w:cs="Times New Roman"/>
                <w:color w:val="auto"/>
                <w:sz w:val="24"/>
                <w:szCs w:val="24"/>
              </w:rPr>
              <w:t>分工</w:t>
            </w:r>
          </w:p>
        </w:tc>
      </w:tr>
      <w:tr w14:paraId="32C6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dxa"/>
            <w:tcBorders>
              <w:tl2br w:val="nil"/>
              <w:tr2bl w:val="nil"/>
            </w:tcBorders>
            <w:noWrap w:val="0"/>
            <w:vAlign w:val="center"/>
          </w:tcPr>
          <w:p w14:paraId="15275F62">
            <w:pPr>
              <w:rPr>
                <w:rFonts w:hint="default" w:ascii="Times New Roman" w:hAnsi="Times New Roman" w:eastAsia="仿宋_GB2312" w:cs="Times New Roman"/>
                <w:color w:val="auto"/>
                <w:sz w:val="24"/>
                <w:szCs w:val="24"/>
              </w:rPr>
            </w:pPr>
          </w:p>
        </w:tc>
        <w:tc>
          <w:tcPr>
            <w:tcW w:w="969" w:type="dxa"/>
            <w:tcBorders>
              <w:tl2br w:val="nil"/>
              <w:tr2bl w:val="nil"/>
            </w:tcBorders>
            <w:noWrap w:val="0"/>
            <w:vAlign w:val="center"/>
          </w:tcPr>
          <w:p w14:paraId="4FB5998D">
            <w:pPr>
              <w:rPr>
                <w:rFonts w:hint="default" w:ascii="Times New Roman" w:hAnsi="Times New Roman" w:eastAsia="仿宋_GB2312" w:cs="Times New Roman"/>
                <w:color w:val="auto"/>
                <w:sz w:val="24"/>
                <w:szCs w:val="24"/>
              </w:rPr>
            </w:pPr>
          </w:p>
        </w:tc>
        <w:tc>
          <w:tcPr>
            <w:tcW w:w="1284" w:type="dxa"/>
            <w:gridSpan w:val="2"/>
            <w:tcBorders>
              <w:tl2br w:val="nil"/>
              <w:tr2bl w:val="nil"/>
            </w:tcBorders>
            <w:noWrap w:val="0"/>
            <w:vAlign w:val="center"/>
          </w:tcPr>
          <w:p w14:paraId="2AE34B01">
            <w:pPr>
              <w:rPr>
                <w:rFonts w:hint="default" w:ascii="Times New Roman" w:hAnsi="Times New Roman" w:eastAsia="仿宋_GB2312" w:cs="Times New Roman"/>
                <w:color w:val="auto"/>
                <w:sz w:val="24"/>
                <w:szCs w:val="24"/>
              </w:rPr>
            </w:pPr>
          </w:p>
        </w:tc>
        <w:tc>
          <w:tcPr>
            <w:tcW w:w="1386" w:type="dxa"/>
            <w:gridSpan w:val="3"/>
            <w:tcBorders>
              <w:tl2br w:val="nil"/>
              <w:tr2bl w:val="nil"/>
            </w:tcBorders>
            <w:noWrap w:val="0"/>
            <w:vAlign w:val="center"/>
          </w:tcPr>
          <w:p w14:paraId="6CDFEAF9">
            <w:pPr>
              <w:rPr>
                <w:rFonts w:hint="default" w:ascii="Times New Roman" w:hAnsi="Times New Roman" w:eastAsia="仿宋_GB2312" w:cs="Times New Roman"/>
                <w:color w:val="auto"/>
                <w:sz w:val="24"/>
                <w:szCs w:val="24"/>
              </w:rPr>
            </w:pPr>
          </w:p>
        </w:tc>
        <w:tc>
          <w:tcPr>
            <w:tcW w:w="1581" w:type="dxa"/>
            <w:tcBorders>
              <w:tl2br w:val="nil"/>
              <w:tr2bl w:val="nil"/>
            </w:tcBorders>
            <w:noWrap w:val="0"/>
            <w:vAlign w:val="center"/>
          </w:tcPr>
          <w:p w14:paraId="1DC3E23E">
            <w:pPr>
              <w:rPr>
                <w:rFonts w:hint="default" w:ascii="Times New Roman" w:hAnsi="Times New Roman" w:eastAsia="仿宋_GB2312" w:cs="Times New Roman"/>
                <w:color w:val="auto"/>
                <w:sz w:val="24"/>
                <w:szCs w:val="24"/>
              </w:rPr>
            </w:pPr>
          </w:p>
        </w:tc>
        <w:tc>
          <w:tcPr>
            <w:tcW w:w="1782" w:type="dxa"/>
            <w:gridSpan w:val="2"/>
            <w:tcBorders>
              <w:tl2br w:val="nil"/>
              <w:tr2bl w:val="nil"/>
            </w:tcBorders>
            <w:noWrap w:val="0"/>
            <w:vAlign w:val="center"/>
          </w:tcPr>
          <w:p w14:paraId="616A8EA3">
            <w:pPr>
              <w:rPr>
                <w:rFonts w:hint="default" w:ascii="Times New Roman" w:hAnsi="Times New Roman" w:eastAsia="仿宋_GB2312" w:cs="Times New Roman"/>
                <w:color w:val="auto"/>
                <w:sz w:val="24"/>
                <w:szCs w:val="24"/>
              </w:rPr>
            </w:pPr>
          </w:p>
        </w:tc>
        <w:tc>
          <w:tcPr>
            <w:tcW w:w="1049" w:type="dxa"/>
            <w:tcBorders>
              <w:tl2br w:val="nil"/>
              <w:tr2bl w:val="nil"/>
            </w:tcBorders>
            <w:noWrap w:val="0"/>
            <w:vAlign w:val="center"/>
          </w:tcPr>
          <w:p w14:paraId="11A23922">
            <w:pPr>
              <w:rPr>
                <w:rFonts w:hint="default" w:ascii="Times New Roman" w:hAnsi="Times New Roman" w:eastAsia="仿宋_GB2312" w:cs="Times New Roman"/>
                <w:color w:val="auto"/>
                <w:sz w:val="24"/>
                <w:szCs w:val="24"/>
              </w:rPr>
            </w:pPr>
          </w:p>
        </w:tc>
      </w:tr>
      <w:tr w14:paraId="33D2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dxa"/>
            <w:tcBorders>
              <w:tl2br w:val="nil"/>
              <w:tr2bl w:val="nil"/>
            </w:tcBorders>
            <w:noWrap w:val="0"/>
            <w:vAlign w:val="center"/>
          </w:tcPr>
          <w:p w14:paraId="1817560A">
            <w:pPr>
              <w:rPr>
                <w:rFonts w:hint="default" w:ascii="Times New Roman" w:hAnsi="Times New Roman" w:eastAsia="仿宋_GB2312" w:cs="Times New Roman"/>
                <w:color w:val="auto"/>
                <w:sz w:val="24"/>
                <w:szCs w:val="24"/>
              </w:rPr>
            </w:pPr>
          </w:p>
        </w:tc>
        <w:tc>
          <w:tcPr>
            <w:tcW w:w="969" w:type="dxa"/>
            <w:tcBorders>
              <w:tl2br w:val="nil"/>
              <w:tr2bl w:val="nil"/>
            </w:tcBorders>
            <w:noWrap w:val="0"/>
            <w:vAlign w:val="center"/>
          </w:tcPr>
          <w:p w14:paraId="5C1E6DA9">
            <w:pPr>
              <w:rPr>
                <w:rFonts w:hint="default" w:ascii="Times New Roman" w:hAnsi="Times New Roman" w:eastAsia="仿宋_GB2312" w:cs="Times New Roman"/>
                <w:color w:val="auto"/>
                <w:sz w:val="24"/>
                <w:szCs w:val="24"/>
              </w:rPr>
            </w:pPr>
          </w:p>
        </w:tc>
        <w:tc>
          <w:tcPr>
            <w:tcW w:w="1284" w:type="dxa"/>
            <w:gridSpan w:val="2"/>
            <w:tcBorders>
              <w:tl2br w:val="nil"/>
              <w:tr2bl w:val="nil"/>
            </w:tcBorders>
            <w:noWrap w:val="0"/>
            <w:vAlign w:val="center"/>
          </w:tcPr>
          <w:p w14:paraId="057662BD">
            <w:pPr>
              <w:rPr>
                <w:rFonts w:hint="default" w:ascii="Times New Roman" w:hAnsi="Times New Roman" w:eastAsia="仿宋_GB2312" w:cs="Times New Roman"/>
                <w:color w:val="auto"/>
                <w:sz w:val="24"/>
                <w:szCs w:val="24"/>
              </w:rPr>
            </w:pPr>
          </w:p>
        </w:tc>
        <w:tc>
          <w:tcPr>
            <w:tcW w:w="1386" w:type="dxa"/>
            <w:gridSpan w:val="3"/>
            <w:tcBorders>
              <w:tl2br w:val="nil"/>
              <w:tr2bl w:val="nil"/>
            </w:tcBorders>
            <w:noWrap w:val="0"/>
            <w:vAlign w:val="center"/>
          </w:tcPr>
          <w:p w14:paraId="42CC7E20">
            <w:pPr>
              <w:rPr>
                <w:rFonts w:hint="default" w:ascii="Times New Roman" w:hAnsi="Times New Roman" w:eastAsia="仿宋_GB2312" w:cs="Times New Roman"/>
                <w:color w:val="auto"/>
                <w:sz w:val="24"/>
                <w:szCs w:val="24"/>
              </w:rPr>
            </w:pPr>
          </w:p>
        </w:tc>
        <w:tc>
          <w:tcPr>
            <w:tcW w:w="1581" w:type="dxa"/>
            <w:tcBorders>
              <w:tl2br w:val="nil"/>
              <w:tr2bl w:val="nil"/>
            </w:tcBorders>
            <w:noWrap w:val="0"/>
            <w:vAlign w:val="center"/>
          </w:tcPr>
          <w:p w14:paraId="18408ADD">
            <w:pPr>
              <w:rPr>
                <w:rFonts w:hint="default" w:ascii="Times New Roman" w:hAnsi="Times New Roman" w:eastAsia="仿宋_GB2312" w:cs="Times New Roman"/>
                <w:color w:val="auto"/>
                <w:sz w:val="24"/>
                <w:szCs w:val="24"/>
              </w:rPr>
            </w:pPr>
          </w:p>
        </w:tc>
        <w:tc>
          <w:tcPr>
            <w:tcW w:w="1782" w:type="dxa"/>
            <w:gridSpan w:val="2"/>
            <w:tcBorders>
              <w:tl2br w:val="nil"/>
              <w:tr2bl w:val="nil"/>
            </w:tcBorders>
            <w:noWrap w:val="0"/>
            <w:vAlign w:val="center"/>
          </w:tcPr>
          <w:p w14:paraId="6B6193C9">
            <w:pPr>
              <w:rPr>
                <w:rFonts w:hint="default" w:ascii="Times New Roman" w:hAnsi="Times New Roman" w:eastAsia="仿宋_GB2312" w:cs="Times New Roman"/>
                <w:color w:val="auto"/>
                <w:sz w:val="24"/>
                <w:szCs w:val="24"/>
              </w:rPr>
            </w:pPr>
          </w:p>
        </w:tc>
        <w:tc>
          <w:tcPr>
            <w:tcW w:w="1049" w:type="dxa"/>
            <w:tcBorders>
              <w:tl2br w:val="nil"/>
              <w:tr2bl w:val="nil"/>
            </w:tcBorders>
            <w:noWrap w:val="0"/>
            <w:vAlign w:val="center"/>
          </w:tcPr>
          <w:p w14:paraId="0D532447">
            <w:pPr>
              <w:rPr>
                <w:rFonts w:hint="default" w:ascii="Times New Roman" w:hAnsi="Times New Roman" w:eastAsia="仿宋_GB2312" w:cs="Times New Roman"/>
                <w:color w:val="auto"/>
                <w:sz w:val="24"/>
                <w:szCs w:val="24"/>
              </w:rPr>
            </w:pPr>
          </w:p>
        </w:tc>
      </w:tr>
      <w:tr w14:paraId="1911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dxa"/>
            <w:tcBorders>
              <w:tl2br w:val="nil"/>
              <w:tr2bl w:val="nil"/>
            </w:tcBorders>
            <w:noWrap w:val="0"/>
            <w:vAlign w:val="center"/>
          </w:tcPr>
          <w:p w14:paraId="04199F2A">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备注</w:t>
            </w:r>
          </w:p>
        </w:tc>
        <w:tc>
          <w:tcPr>
            <w:tcW w:w="8051" w:type="dxa"/>
            <w:gridSpan w:val="10"/>
            <w:tcBorders>
              <w:tl2br w:val="nil"/>
              <w:tr2bl w:val="nil"/>
            </w:tcBorders>
            <w:noWrap w:val="0"/>
            <w:vAlign w:val="center"/>
          </w:tcPr>
          <w:p w14:paraId="124067ED">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表格空间不足时请自行扩展。</w:t>
            </w:r>
          </w:p>
        </w:tc>
      </w:tr>
    </w:tbl>
    <w:p w14:paraId="4F788B2C">
      <w:pPr>
        <w:rPr>
          <w:color w:val="auto"/>
        </w:rPr>
      </w:pPr>
    </w:p>
    <w:sectPr>
      <w:footerReference r:id="rId15" w:type="first"/>
      <w:headerReference r:id="rId13" w:type="default"/>
      <w:footerReference r:id="rId14" w:type="default"/>
      <w:pgSz w:w="11906" w:h="16838"/>
      <w:pgMar w:top="1417" w:right="1417" w:bottom="1417" w:left="1417" w:header="850" w:footer="992" w:gutter="0"/>
      <w:pgBorders>
        <w:top w:val="none" w:sz="0" w:space="0"/>
        <w:left w:val="none" w:sz="0" w:space="0"/>
        <w:bottom w:val="none" w:sz="0" w:space="0"/>
        <w:right w:val="none" w:sz="0" w:space="0"/>
      </w:pgBorders>
      <w:pgNumType w:fmt="decimal"/>
      <w:cols w:space="720" w:num="1"/>
      <w:docGrid w:type="linesAndChar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65208">
    <w:pPr>
      <w:pStyle w:val="6"/>
      <w:tabs>
        <w:tab w:val="center" w:pos="4536"/>
        <w:tab w:val="right" w:pos="10489"/>
        <w:tab w:val="clear" w:pos="4153"/>
        <w:tab w:val="clear" w:pos="8306"/>
      </w:tabs>
      <w:jc w:val="center"/>
      <w:rPr>
        <w:rFonts w:hint="eastAsia"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0CD96">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44286">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C99DB">
    <w:pPr>
      <w:pStyle w:val="6"/>
      <w:tabs>
        <w:tab w:val="center" w:pos="4536"/>
        <w:tab w:val="right" w:pos="10489"/>
        <w:tab w:val="clear" w:pos="4153"/>
        <w:tab w:val="clear" w:pos="8306"/>
      </w:tabs>
      <w:jc w:val="center"/>
      <w:rPr>
        <w:rFonts w:hint="eastAsia" w:ascii="宋体" w:hAnsi="宋体" w:eastAsia="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09AA5">
    <w:pPr>
      <w:pStyle w:val="6"/>
      <w:tabs>
        <w:tab w:val="center" w:pos="4536"/>
        <w:tab w:val="right" w:pos="10489"/>
        <w:tab w:val="clear" w:pos="4153"/>
        <w:tab w:val="clear" w:pos="8306"/>
      </w:tabs>
      <w:jc w:val="center"/>
      <w:rPr>
        <w:rFonts w:hint="eastAsia" w:ascii="宋体" w:hAnsi="宋体" w:eastAsia="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2A8FE9">
                          <w:pPr>
                            <w:pStyle w:val="8"/>
                            <w:rPr>
                              <w:rFonts w:hint="default" w:ascii="Times New Roman" w:hAnsi="Times New Roman" w:cs="Times New Roman"/>
                              <w:sz w:val="21"/>
                              <w:szCs w:val="21"/>
                            </w:rPr>
                          </w:pPr>
                          <w:r>
                            <w:rPr>
                              <w:rFonts w:hint="default" w:ascii="Times New Roman" w:hAnsi="Times New Roman" w:cs="Times New Roman"/>
                              <w:sz w:val="21"/>
                              <w:szCs w:val="21"/>
                            </w:rPr>
                            <w:t xml:space="preserve">第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D2A8FE9">
                    <w:pPr>
                      <w:pStyle w:val="8"/>
                      <w:rPr>
                        <w:rFonts w:hint="default" w:ascii="Times New Roman" w:hAnsi="Times New Roman" w:cs="Times New Roman"/>
                        <w:sz w:val="21"/>
                        <w:szCs w:val="21"/>
                      </w:rPr>
                    </w:pPr>
                    <w:r>
                      <w:rPr>
                        <w:rFonts w:hint="default" w:ascii="Times New Roman" w:hAnsi="Times New Roman" w:cs="Times New Roman"/>
                        <w:sz w:val="21"/>
                        <w:szCs w:val="21"/>
                      </w:rPr>
                      <w:t xml:space="preserve">第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页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4CE6E">
    <w:pPr>
      <w:pStyle w:val="6"/>
      <w:tabs>
        <w:tab w:val="clear" w:pos="4153"/>
        <w:tab w:val="clear" w:pos="8306"/>
      </w:tabs>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A5F108">
                          <w:pPr>
                            <w:pStyle w:val="6"/>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第 </w:t>
                          </w:r>
                          <w:r>
                            <w:rPr>
                              <w:rFonts w:hint="default" w:ascii="Times New Roman" w:hAnsi="Times New Roman" w:eastAsia="仿宋_GB2312" w:cs="Times New Roman"/>
                              <w:sz w:val="21"/>
                              <w:szCs w:val="21"/>
                            </w:rPr>
                            <w:fldChar w:fldCharType="begin"/>
                          </w:r>
                          <w:r>
                            <w:rPr>
                              <w:rFonts w:hint="default" w:ascii="Times New Roman" w:hAnsi="Times New Roman" w:eastAsia="仿宋_GB2312" w:cs="Times New Roman"/>
                              <w:sz w:val="21"/>
                              <w:szCs w:val="21"/>
                            </w:rPr>
                            <w:instrText xml:space="preserve"> PAGE  \* MERGEFORMAT </w:instrText>
                          </w:r>
                          <w:r>
                            <w:rPr>
                              <w:rFonts w:hint="default" w:ascii="Times New Roman" w:hAnsi="Times New Roman" w:eastAsia="仿宋_GB2312" w:cs="Times New Roman"/>
                              <w:sz w:val="21"/>
                              <w:szCs w:val="21"/>
                            </w:rPr>
                            <w:fldChar w:fldCharType="separate"/>
                          </w:r>
                          <w:r>
                            <w:rPr>
                              <w:rFonts w:hint="default" w:ascii="Times New Roman" w:hAnsi="Times New Roman" w:eastAsia="仿宋_GB2312" w:cs="Times New Roman"/>
                              <w:sz w:val="21"/>
                              <w:szCs w:val="21"/>
                            </w:rPr>
                            <w:t>3</w:t>
                          </w:r>
                          <w:r>
                            <w:rPr>
                              <w:rFonts w:hint="default" w:ascii="Times New Roman" w:hAnsi="Times New Roman" w:eastAsia="仿宋_GB2312" w:cs="Times New Roman"/>
                              <w:sz w:val="21"/>
                              <w:szCs w:val="21"/>
                            </w:rPr>
                            <w:fldChar w:fldCharType="end"/>
                          </w:r>
                          <w:r>
                            <w:rPr>
                              <w:rFonts w:hint="default" w:ascii="Times New Roman" w:hAnsi="Times New Roman" w:eastAsia="仿宋_GB2312" w:cs="Times New Roman"/>
                              <w:sz w:val="21"/>
                              <w:szCs w:val="21"/>
                            </w:rP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2A5F108">
                    <w:pPr>
                      <w:pStyle w:val="6"/>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第 </w:t>
                    </w:r>
                    <w:r>
                      <w:rPr>
                        <w:rFonts w:hint="default" w:ascii="Times New Roman" w:hAnsi="Times New Roman" w:eastAsia="仿宋_GB2312" w:cs="Times New Roman"/>
                        <w:sz w:val="21"/>
                        <w:szCs w:val="21"/>
                      </w:rPr>
                      <w:fldChar w:fldCharType="begin"/>
                    </w:r>
                    <w:r>
                      <w:rPr>
                        <w:rFonts w:hint="default" w:ascii="Times New Roman" w:hAnsi="Times New Roman" w:eastAsia="仿宋_GB2312" w:cs="Times New Roman"/>
                        <w:sz w:val="21"/>
                        <w:szCs w:val="21"/>
                      </w:rPr>
                      <w:instrText xml:space="preserve"> PAGE  \* MERGEFORMAT </w:instrText>
                    </w:r>
                    <w:r>
                      <w:rPr>
                        <w:rFonts w:hint="default" w:ascii="Times New Roman" w:hAnsi="Times New Roman" w:eastAsia="仿宋_GB2312" w:cs="Times New Roman"/>
                        <w:sz w:val="21"/>
                        <w:szCs w:val="21"/>
                      </w:rPr>
                      <w:fldChar w:fldCharType="separate"/>
                    </w:r>
                    <w:r>
                      <w:rPr>
                        <w:rFonts w:hint="default" w:ascii="Times New Roman" w:hAnsi="Times New Roman" w:eastAsia="仿宋_GB2312" w:cs="Times New Roman"/>
                        <w:sz w:val="21"/>
                        <w:szCs w:val="21"/>
                      </w:rPr>
                      <w:t>3</w:t>
                    </w:r>
                    <w:r>
                      <w:rPr>
                        <w:rFonts w:hint="default" w:ascii="Times New Roman" w:hAnsi="Times New Roman" w:eastAsia="仿宋_GB2312" w:cs="Times New Roman"/>
                        <w:sz w:val="21"/>
                        <w:szCs w:val="21"/>
                      </w:rPr>
                      <w:fldChar w:fldCharType="end"/>
                    </w:r>
                    <w:r>
                      <w:rPr>
                        <w:rFonts w:hint="default" w:ascii="Times New Roman" w:hAnsi="Times New Roman" w:eastAsia="仿宋_GB2312" w:cs="Times New Roman"/>
                        <w:sz w:val="21"/>
                        <w:szCs w:val="21"/>
                      </w:rPr>
                      <w:t xml:space="preserve"> 页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11780">
    <w:pPr>
      <w:pStyle w:val="6"/>
      <w:tabs>
        <w:tab w:val="clear" w:pos="4153"/>
        <w:tab w:val="clear" w:pos="8306"/>
      </w:tabs>
      <w:ind w:firstLine="360"/>
    </w:pPr>
    <w:r>
      <w:rPr>
        <w:rFonts w:hint="eastAsia" w:ascii="宋体" w:hAnsi="宋体" w:eastAsia="宋体"/>
      </w:rPr>
      <w:t>西安市市级单位政府采购中心第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68</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hint="eastAsia" w:ascii="宋体" w:hAnsi="宋体" w:eastAsia="宋体"/>
      </w:rPr>
      <w:t>页</w:t>
    </w:r>
  </w:p>
  <w:p w14:paraId="31416441">
    <w:pPr>
      <w:ind w:firstLine="560"/>
    </w:pPr>
  </w:p>
  <w:p w14:paraId="5BB05ABC">
    <w:pPr>
      <w:ind w:firstLine="560"/>
    </w:pPr>
  </w:p>
  <w:p w14:paraId="61BB262E">
    <w:pPr>
      <w:ind w:firstLine="560"/>
    </w:pPr>
  </w:p>
  <w:p w14:paraId="42C6E698">
    <w:pPr>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65E54">
    <w:pPr>
      <w:pStyle w:val="7"/>
    </w:pPr>
    <w:r>
      <w:rPr>
        <w:rFonts w:hint="eastAsia" w:ascii="宋体" w:hAnsi="宋体" w:eastAsia="宋体" w:cs="华文仿宋"/>
      </w:rPr>
      <w:t>汉台区政府采购中心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5EAFE">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DDCF6">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ED649">
    <w:pPr>
      <w:pStyle w:val="7"/>
      <w:ind w:firstLine="360"/>
    </w:pPr>
    <w:r>
      <w:rPr>
        <w:rFonts w:hint="eastAsia" w:ascii="宋体" w:hAnsi="宋体" w:eastAsia="宋体" w:cs="华文仿宋"/>
      </w:rPr>
      <w:t xml:space="preserve">汉台区政府采购中心                   </w:t>
    </w:r>
    <w:r>
      <w:rPr>
        <w:rFonts w:hint="eastAsia" w:ascii="宋体" w:hAnsi="宋体" w:eastAsia="宋体" w:cs="华文仿宋"/>
        <w:lang w:val="en-US" w:eastAsia="zh-CN"/>
      </w:rPr>
      <w:t xml:space="preserve">          </w:t>
    </w:r>
    <w:r>
      <w:rPr>
        <w:rFonts w:hint="eastAsia" w:ascii="宋体" w:hAnsi="宋体" w:eastAsia="宋体" w:cs="华文仿宋"/>
      </w:rPr>
      <w:t xml:space="preserve">                              竞争性磋商文件</w:t>
    </w:r>
  </w:p>
  <w:p w14:paraId="24B4ED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5C5ED"/>
    <w:multiLevelType w:val="singleLevel"/>
    <w:tmpl w:val="99B5C5ED"/>
    <w:lvl w:ilvl="0" w:tentative="0">
      <w:start w:val="1"/>
      <w:numFmt w:val="chineseCounting"/>
      <w:suff w:val="nothing"/>
      <w:lvlText w:val="%1、"/>
      <w:lvlJc w:val="left"/>
      <w:rPr>
        <w:rFonts w:hint="eastAsia"/>
      </w:rPr>
    </w:lvl>
  </w:abstractNum>
  <w:abstractNum w:abstractNumId="1">
    <w:nsid w:val="B0CE80AC"/>
    <w:multiLevelType w:val="singleLevel"/>
    <w:tmpl w:val="B0CE80AC"/>
    <w:lvl w:ilvl="0" w:tentative="0">
      <w:start w:val="5"/>
      <w:numFmt w:val="chineseCounting"/>
      <w:suff w:val="space"/>
      <w:lvlText w:val="第%1章"/>
      <w:lvlJc w:val="left"/>
      <w:rPr>
        <w:rFonts w:hint="eastAsia"/>
      </w:rPr>
    </w:lvl>
  </w:abstractNum>
  <w:abstractNum w:abstractNumId="2">
    <w:nsid w:val="BF434230"/>
    <w:multiLevelType w:val="singleLevel"/>
    <w:tmpl w:val="BF434230"/>
    <w:lvl w:ilvl="0" w:tentative="0">
      <w:start w:val="7"/>
      <w:numFmt w:val="chineseCounting"/>
      <w:suff w:val="nothing"/>
      <w:lvlText w:val="%1、"/>
      <w:lvlJc w:val="left"/>
      <w:rPr>
        <w:rFonts w:hint="eastAsia"/>
      </w:rPr>
    </w:lvl>
  </w:abstractNum>
  <w:abstractNum w:abstractNumId="3">
    <w:nsid w:val="C43092E9"/>
    <w:multiLevelType w:val="singleLevel"/>
    <w:tmpl w:val="C43092E9"/>
    <w:lvl w:ilvl="0" w:tentative="0">
      <w:start w:val="1"/>
      <w:numFmt w:val="chineseCounting"/>
      <w:suff w:val="nothing"/>
      <w:lvlText w:val="%1、"/>
      <w:lvlJc w:val="left"/>
      <w:rPr>
        <w:rFonts w:hint="eastAsia"/>
      </w:rPr>
    </w:lvl>
  </w:abstractNum>
  <w:abstractNum w:abstractNumId="4">
    <w:nsid w:val="C54F25C8"/>
    <w:multiLevelType w:val="singleLevel"/>
    <w:tmpl w:val="C54F25C8"/>
    <w:lvl w:ilvl="0" w:tentative="0">
      <w:start w:val="2"/>
      <w:numFmt w:val="decimal"/>
      <w:suff w:val="nothing"/>
      <w:lvlText w:val="%1、"/>
      <w:lvlJc w:val="left"/>
    </w:lvl>
  </w:abstractNum>
  <w:abstractNum w:abstractNumId="5">
    <w:nsid w:val="D7BA63B9"/>
    <w:multiLevelType w:val="singleLevel"/>
    <w:tmpl w:val="D7BA63B9"/>
    <w:lvl w:ilvl="0" w:tentative="0">
      <w:start w:val="1"/>
      <w:numFmt w:val="chineseCounting"/>
      <w:suff w:val="space"/>
      <w:lvlText w:val="第%1章"/>
      <w:lvlJc w:val="left"/>
      <w:rPr>
        <w:rFonts w:hint="eastAsia"/>
      </w:rPr>
    </w:lvl>
  </w:abstractNum>
  <w:abstractNum w:abstractNumId="6">
    <w:nsid w:val="0053208E"/>
    <w:multiLevelType w:val="singleLevel"/>
    <w:tmpl w:val="0053208E"/>
    <w:lvl w:ilvl="0" w:tentative="0">
      <w:start w:val="1"/>
      <w:numFmt w:val="chineseCounting"/>
      <w:suff w:val="nothing"/>
      <w:lvlText w:val="（%1）"/>
      <w:lvlJc w:val="left"/>
      <w:rPr>
        <w:rFonts w:hint="eastAsia"/>
      </w:rPr>
    </w:lvl>
  </w:abstractNum>
  <w:abstractNum w:abstractNumId="7">
    <w:nsid w:val="4A55CE31"/>
    <w:multiLevelType w:val="singleLevel"/>
    <w:tmpl w:val="4A55CE31"/>
    <w:lvl w:ilvl="0" w:tentative="0">
      <w:start w:val="1"/>
      <w:numFmt w:val="decimal"/>
      <w:suff w:val="nothing"/>
      <w:lvlText w:val="%1、"/>
      <w:lvlJc w:val="left"/>
    </w:lvl>
  </w:abstractNum>
  <w:abstractNum w:abstractNumId="8">
    <w:nsid w:val="699138A9"/>
    <w:multiLevelType w:val="singleLevel"/>
    <w:tmpl w:val="699138A9"/>
    <w:lvl w:ilvl="0" w:tentative="0">
      <w:start w:val="3"/>
      <w:numFmt w:val="decimal"/>
      <w:suff w:val="nothing"/>
      <w:lvlText w:val="（%1）"/>
      <w:lvlJc w:val="left"/>
    </w:lvl>
  </w:abstractNum>
  <w:abstractNum w:abstractNumId="9">
    <w:nsid w:val="7E0B4DE3"/>
    <w:multiLevelType w:val="singleLevel"/>
    <w:tmpl w:val="7E0B4DE3"/>
    <w:lvl w:ilvl="0" w:tentative="0">
      <w:start w:val="5"/>
      <w:numFmt w:val="decimal"/>
      <w:suff w:val="nothing"/>
      <w:lvlText w:val="%1、"/>
      <w:lvlJc w:val="left"/>
    </w:lvl>
  </w:abstractNum>
  <w:num w:numId="1">
    <w:abstractNumId w:val="5"/>
  </w:num>
  <w:num w:numId="2">
    <w:abstractNumId w:val="8"/>
  </w:num>
  <w:num w:numId="3">
    <w:abstractNumId w:val="2"/>
  </w:num>
  <w:num w:numId="4">
    <w:abstractNumId w:val="9"/>
  </w:num>
  <w:num w:numId="5">
    <w:abstractNumId w:val="6"/>
  </w:num>
  <w:num w:numId="6">
    <w:abstractNumId w:val="4"/>
  </w:num>
  <w:num w:numId="7">
    <w:abstractNumId w:val="3"/>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26C21"/>
    <w:rsid w:val="034A3834"/>
    <w:rsid w:val="03664B5B"/>
    <w:rsid w:val="04997726"/>
    <w:rsid w:val="04B8467F"/>
    <w:rsid w:val="05D01809"/>
    <w:rsid w:val="061E4834"/>
    <w:rsid w:val="0790437D"/>
    <w:rsid w:val="07C5765D"/>
    <w:rsid w:val="09E76AC0"/>
    <w:rsid w:val="0DBC505E"/>
    <w:rsid w:val="0E9E6512"/>
    <w:rsid w:val="103C09CF"/>
    <w:rsid w:val="109E6965"/>
    <w:rsid w:val="10FB628C"/>
    <w:rsid w:val="11756034"/>
    <w:rsid w:val="11CC3396"/>
    <w:rsid w:val="128A74D9"/>
    <w:rsid w:val="1394313F"/>
    <w:rsid w:val="139E2A9C"/>
    <w:rsid w:val="148166BA"/>
    <w:rsid w:val="15DF7649"/>
    <w:rsid w:val="163559AE"/>
    <w:rsid w:val="16CB1113"/>
    <w:rsid w:val="17C2391B"/>
    <w:rsid w:val="186C6E8E"/>
    <w:rsid w:val="1E3E7C7A"/>
    <w:rsid w:val="1EF437C6"/>
    <w:rsid w:val="20411ADF"/>
    <w:rsid w:val="2197751D"/>
    <w:rsid w:val="21D53FD2"/>
    <w:rsid w:val="22364342"/>
    <w:rsid w:val="24155071"/>
    <w:rsid w:val="264F5996"/>
    <w:rsid w:val="284877C3"/>
    <w:rsid w:val="28A0332E"/>
    <w:rsid w:val="298C6130"/>
    <w:rsid w:val="29D34CC9"/>
    <w:rsid w:val="2A7D4D93"/>
    <w:rsid w:val="2A8E7088"/>
    <w:rsid w:val="2B6E45ED"/>
    <w:rsid w:val="2C29269E"/>
    <w:rsid w:val="2C911821"/>
    <w:rsid w:val="2F155DA1"/>
    <w:rsid w:val="31B163D9"/>
    <w:rsid w:val="32C01FCC"/>
    <w:rsid w:val="33DB598F"/>
    <w:rsid w:val="34850EF4"/>
    <w:rsid w:val="36315D3A"/>
    <w:rsid w:val="38EE1E93"/>
    <w:rsid w:val="3AB40842"/>
    <w:rsid w:val="3B9062F7"/>
    <w:rsid w:val="3E8E3828"/>
    <w:rsid w:val="3E924036"/>
    <w:rsid w:val="407C43AD"/>
    <w:rsid w:val="42624941"/>
    <w:rsid w:val="42A92D2F"/>
    <w:rsid w:val="43A94262"/>
    <w:rsid w:val="448117F3"/>
    <w:rsid w:val="471F398D"/>
    <w:rsid w:val="48E822E1"/>
    <w:rsid w:val="49B20D82"/>
    <w:rsid w:val="4A190B67"/>
    <w:rsid w:val="4A81421E"/>
    <w:rsid w:val="4C067A35"/>
    <w:rsid w:val="4DBF21CF"/>
    <w:rsid w:val="4EBC7D13"/>
    <w:rsid w:val="50EF6325"/>
    <w:rsid w:val="51501312"/>
    <w:rsid w:val="5472334E"/>
    <w:rsid w:val="55A261AC"/>
    <w:rsid w:val="58FF3E2B"/>
    <w:rsid w:val="5ED533DF"/>
    <w:rsid w:val="638D1F52"/>
    <w:rsid w:val="64175CC0"/>
    <w:rsid w:val="64CE0EDE"/>
    <w:rsid w:val="659C7FA0"/>
    <w:rsid w:val="66C47D25"/>
    <w:rsid w:val="6BF77DEF"/>
    <w:rsid w:val="6C4800AA"/>
    <w:rsid w:val="759C5FC8"/>
    <w:rsid w:val="769B32FE"/>
    <w:rsid w:val="78805C95"/>
    <w:rsid w:val="79BD47BC"/>
    <w:rsid w:val="7C284456"/>
    <w:rsid w:val="7C5F0527"/>
    <w:rsid w:val="7D166040"/>
    <w:rsid w:val="7EAA3560"/>
    <w:rsid w:val="7F9E1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3">
    <w:name w:val="heading 1"/>
    <w:basedOn w:val="1"/>
    <w:next w:val="1"/>
    <w:link w:val="19"/>
    <w:qFormat/>
    <w:uiPriority w:val="9"/>
    <w:pPr>
      <w:keepNext/>
      <w:keepLines/>
      <w:spacing w:line="240" w:lineRule="auto"/>
      <w:jc w:val="center"/>
      <w:outlineLvl w:val="0"/>
    </w:pPr>
    <w:rPr>
      <w:rFonts w:eastAsia="仿宋"/>
      <w:b/>
      <w:color w:val="000000"/>
      <w:kern w:val="44"/>
      <w:sz w:val="36"/>
      <w:szCs w:val="44"/>
    </w:rPr>
  </w:style>
  <w:style w:type="paragraph" w:styleId="4">
    <w:name w:val="heading 2"/>
    <w:basedOn w:val="1"/>
    <w:next w:val="1"/>
    <w:qFormat/>
    <w:uiPriority w:val="9"/>
    <w:pPr>
      <w:keepNext/>
      <w:keepLines/>
      <w:spacing w:line="240" w:lineRule="auto"/>
      <w:ind w:firstLine="567" w:firstLineChars="200"/>
      <w:outlineLvl w:val="1"/>
    </w:pPr>
    <w:rPr>
      <w:rFonts w:ascii="Times New Roman" w:hAnsi="Times New Roman" w:eastAsia="仿宋_GB2312" w:cs="Times New Roman"/>
      <w:color w:val="EE0000"/>
    </w:rPr>
  </w:style>
  <w:style w:type="paragraph" w:styleId="2">
    <w:name w:val="heading 3"/>
    <w:basedOn w:val="1"/>
    <w:next w:val="1"/>
    <w:qFormat/>
    <w:uiPriority w:val="9"/>
    <w:pPr>
      <w:keepNext/>
      <w:keepLines/>
      <w:spacing w:line="400" w:lineRule="atLeast"/>
      <w:jc w:val="center"/>
      <w:outlineLvl w:val="2"/>
    </w:pPr>
    <w:rPr>
      <w:b/>
      <w:bCs/>
      <w:sz w:val="32"/>
      <w:szCs w:val="32"/>
      <w:u w:val="double"/>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99"/>
    <w:pPr>
      <w:spacing w:after="120"/>
    </w:pPr>
  </w:style>
  <w:style w:type="paragraph" w:styleId="6">
    <w:name w:val="footer"/>
    <w:basedOn w:val="1"/>
    <w:qFormat/>
    <w:uiPriority w:val="99"/>
    <w:pPr>
      <w:widowControl w:val="0"/>
      <w:tabs>
        <w:tab w:val="center" w:pos="4153"/>
        <w:tab w:val="right" w:pos="8306"/>
      </w:tabs>
      <w:snapToGrid w:val="0"/>
      <w:spacing w:line="240" w:lineRule="auto"/>
      <w:jc w:val="left"/>
    </w:pPr>
    <w:rPr>
      <w:sz w:val="18"/>
    </w:rPr>
  </w:style>
  <w:style w:type="paragraph" w:styleId="7">
    <w:name w:val="header"/>
    <w:basedOn w:val="1"/>
    <w:qFormat/>
    <w:uiPriority w:val="0"/>
    <w:pPr>
      <w:widowControl w:val="0"/>
      <w:pBdr>
        <w:bottom w:val="single" w:color="auto" w:sz="6" w:space="1"/>
      </w:pBdr>
      <w:tabs>
        <w:tab w:val="center" w:pos="4153"/>
        <w:tab w:val="right" w:pos="8306"/>
      </w:tabs>
      <w:snapToGrid w:val="0"/>
      <w:spacing w:line="240" w:lineRule="auto"/>
      <w:jc w:val="center"/>
    </w:pPr>
    <w:rPr>
      <w:sz w:val="18"/>
    </w:rPr>
  </w:style>
  <w:style w:type="paragraph" w:styleId="8">
    <w:name w:val="toc 1"/>
    <w:basedOn w:val="1"/>
    <w:next w:val="1"/>
    <w:qFormat/>
    <w:uiPriority w:val="39"/>
  </w:style>
  <w:style w:type="paragraph" w:styleId="9">
    <w:name w:val="toc 2"/>
    <w:basedOn w:val="1"/>
    <w:next w:val="1"/>
    <w:unhideWhenUsed/>
    <w:qFormat/>
    <w:uiPriority w:val="39"/>
    <w:pPr>
      <w:ind w:left="420" w:leftChars="200"/>
    </w:p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Body Text First Indent"/>
    <w:basedOn w:val="5"/>
    <w:unhideWhenUsed/>
    <w:qFormat/>
    <w:uiPriority w:val="0"/>
    <w:pPr>
      <w:spacing w:line="240" w:lineRule="auto"/>
      <w:ind w:firstLine="420" w:firstLineChars="100"/>
    </w:pPr>
    <w:rPr>
      <w:rFonts w:ascii="Times New Roman" w:hAnsi="Times New Roman"/>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qFormat/>
    <w:uiPriority w:val="99"/>
    <w:rPr>
      <w:color w:val="000000"/>
      <w:sz w:val="18"/>
      <w:szCs w:val="18"/>
      <w:u w:val="none"/>
    </w:rPr>
  </w:style>
  <w:style w:type="paragraph" w:customStyle="1" w:styleId="16">
    <w:name w:val="正文缩进1"/>
    <w:basedOn w:val="1"/>
    <w:autoRedefine/>
    <w:qFormat/>
    <w:uiPriority w:val="0"/>
    <w:pPr>
      <w:ind w:firstLine="420" w:firstLineChars="200"/>
    </w:pPr>
  </w:style>
  <w:style w:type="paragraph" w:customStyle="1" w:styleId="17">
    <w:name w:val="正文（缩进 2 字符）"/>
    <w:basedOn w:val="1"/>
    <w:autoRedefine/>
    <w:qFormat/>
    <w:uiPriority w:val="0"/>
    <w:pPr>
      <w:ind w:firstLine="200" w:firstLineChars="200"/>
    </w:pPr>
  </w:style>
  <w:style w:type="paragraph" w:customStyle="1" w:styleId="18">
    <w:name w:val="标题 2（投标文件）"/>
    <w:basedOn w:val="4"/>
    <w:autoRedefine/>
    <w:qFormat/>
    <w:uiPriority w:val="0"/>
    <w:pPr>
      <w:jc w:val="center"/>
    </w:pPr>
  </w:style>
  <w:style w:type="character" w:customStyle="1" w:styleId="19">
    <w:name w:val="标题 1 字符"/>
    <w:link w:val="3"/>
    <w:autoRedefine/>
    <w:qFormat/>
    <w:uiPriority w:val="9"/>
    <w:rPr>
      <w:rFonts w:eastAsia="仿宋"/>
      <w:b/>
      <w:color w:val="000000"/>
      <w:kern w:val="44"/>
      <w:sz w:val="36"/>
      <w:szCs w:val="44"/>
    </w:rPr>
  </w:style>
  <w:style w:type="paragraph" w:customStyle="1" w:styleId="20">
    <w:name w:val="标题 3（投标文件）"/>
    <w:basedOn w:val="2"/>
    <w:autoRedefine/>
    <w:qFormat/>
    <w:uiPriority w:val="0"/>
    <w:pPr>
      <w:jc w:val="left"/>
    </w:pPr>
    <w:rPr>
      <w:u w:val="none"/>
    </w:rPr>
  </w:style>
  <w:style w:type="paragraph" w:customStyle="1" w:styleId="21">
    <w:name w:val="reader-word-layer reader-word-s34-5"/>
    <w:basedOn w:val="1"/>
    <w:autoRedefine/>
    <w:qFormat/>
    <w:uiPriority w:val="0"/>
    <w:pPr>
      <w:spacing w:before="100" w:beforeAutospacing="1" w:after="100" w:afterAutospacing="1"/>
      <w:jc w:val="left"/>
    </w:pPr>
    <w:rPr>
      <w:rFonts w:ascii="宋体" w:hAnsi="宋体" w:cs="宋体"/>
      <w:kern w:val="0"/>
      <w:sz w:val="24"/>
      <w:szCs w:val="24"/>
    </w:rPr>
  </w:style>
  <w:style w:type="paragraph" w:customStyle="1" w:styleId="22">
    <w:name w:val="段"/>
    <w:next w:val="1"/>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16205</Words>
  <Characters>16621</Characters>
  <Lines>0</Lines>
  <Paragraphs>0</Paragraphs>
  <TotalTime>27</TotalTime>
  <ScaleCrop>false</ScaleCrop>
  <LinksUpToDate>false</LinksUpToDate>
  <CharactersWithSpaces>16768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2025-07-10T00:45:00Z</dcterms:created>
  <dc:creator>Administrator</dc:creator>
  <cp:lastModifiedBy>锅巴 </cp:lastModifiedBy>
  <cp:lastPrinted>2025-08-06T03:38:00Z</cp:lastPrinted>
  <dcterms:modified xsi:type="dcterms:W3CDTF">2025-08-20T04:04:40Z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eyJoZGlkIjoiYzllOTQ1NTE5ZTJmNDZjYTgwZjQ5YjFlYWMzMGUxZDQiLCJ1c2VySWQiOiIzMjQxODY3MzYifQ==</vt:lpwstr>
  </property>
  <property fmtid="{D5CDD505-2E9C-101B-9397-08002B2CF9AE}" pid="4" name="ICV">
    <vt:lpwstr>FB50A7590481426F80B21AF6935F3ED7_13</vt:lpwstr>
  </property>
</Properties>
</file>