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B4D794">
      <w:pPr>
        <w:shd w:val="clear"/>
        <w:spacing w:line="480" w:lineRule="exact"/>
        <w:ind w:firstLine="723" w:firstLineChars="200"/>
        <w:jc w:val="right"/>
        <w:rPr>
          <w:rFonts w:hint="eastAsia" w:asciiTheme="minorEastAsia" w:hAnsiTheme="minorEastAsia" w:eastAsiaTheme="minorEastAsia" w:cstheme="minorEastAsia"/>
          <w:b/>
          <w:color w:val="auto"/>
          <w:sz w:val="36"/>
          <w:szCs w:val="36"/>
          <w:highlight w:val="none"/>
          <w:bdr w:val="single" w:color="auto" w:sz="4" w:space="0"/>
          <w:shd w:val="pct10" w:color="auto" w:fill="FFFFFF"/>
        </w:rPr>
      </w:pPr>
      <w:bookmarkStart w:id="106" w:name="_GoBack"/>
      <w:bookmarkEnd w:id="106"/>
      <w:r>
        <w:rPr>
          <w:rFonts w:hint="eastAsia" w:asciiTheme="minorEastAsia" w:hAnsiTheme="minorEastAsia" w:eastAsiaTheme="minorEastAsia" w:cstheme="minorEastAsia"/>
          <w:b/>
          <w:color w:val="auto"/>
          <w:sz w:val="36"/>
          <w:szCs w:val="36"/>
          <w:highlight w:val="none"/>
          <w:bdr w:val="single" w:color="auto" w:sz="4" w:space="0"/>
          <w:shd w:val="pct10" w:color="auto" w:fill="FFFFFF"/>
        </w:rPr>
        <w:t>政府采购项目</w:t>
      </w:r>
    </w:p>
    <w:p w14:paraId="0FD90824">
      <w:pPr>
        <w:shd w:val="clear"/>
        <w:autoSpaceDE w:val="0"/>
        <w:autoSpaceDN w:val="0"/>
        <w:adjustRightInd w:val="0"/>
        <w:snapToGrid w:val="0"/>
        <w:spacing w:line="360" w:lineRule="auto"/>
        <w:jc w:val="left"/>
        <w:rPr>
          <w:rFonts w:hint="eastAsia" w:asciiTheme="minorEastAsia" w:hAnsiTheme="minorEastAsia" w:eastAsiaTheme="minorEastAsia" w:cstheme="minorEastAsia"/>
          <w:color w:val="auto"/>
          <w:sz w:val="32"/>
          <w:szCs w:val="32"/>
          <w:highlight w:val="none"/>
          <w:lang w:val="zh-CN"/>
        </w:rPr>
      </w:pPr>
    </w:p>
    <w:p w14:paraId="0F8D890A">
      <w:pPr>
        <w:shd w:val="clear"/>
        <w:autoSpaceDE w:val="0"/>
        <w:autoSpaceDN w:val="0"/>
        <w:adjustRightInd w:val="0"/>
        <w:snapToGrid w:val="0"/>
        <w:spacing w:line="360" w:lineRule="auto"/>
        <w:jc w:val="left"/>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b/>
          <w:bCs/>
          <w:color w:val="auto"/>
          <w:sz w:val="32"/>
          <w:szCs w:val="32"/>
          <w:highlight w:val="none"/>
          <w:lang w:val="zh-CN"/>
        </w:rPr>
        <w:t>项目编号：</w:t>
      </w:r>
      <w:r>
        <w:rPr>
          <w:rFonts w:hint="eastAsia" w:asciiTheme="minorEastAsia" w:hAnsiTheme="minorEastAsia" w:eastAsiaTheme="minorEastAsia" w:cstheme="minorEastAsia"/>
          <w:b/>
          <w:bCs/>
          <w:color w:val="auto"/>
          <w:sz w:val="32"/>
          <w:szCs w:val="32"/>
          <w:highlight w:val="none"/>
          <w:lang w:val="zh-CN" w:eastAsia="zh-CN"/>
        </w:rPr>
        <w:t>SXJX-2025-010号</w:t>
      </w:r>
    </w:p>
    <w:p w14:paraId="03960F39">
      <w:pPr>
        <w:shd w:val="clear"/>
        <w:spacing w:line="360" w:lineRule="auto"/>
        <w:jc w:val="center"/>
        <w:rPr>
          <w:rFonts w:hint="eastAsia" w:asciiTheme="minorEastAsia" w:hAnsiTheme="minorEastAsia" w:eastAsiaTheme="minorEastAsia" w:cstheme="minorEastAsia"/>
          <w:b/>
          <w:bCs/>
          <w:color w:val="auto"/>
          <w:sz w:val="56"/>
          <w:szCs w:val="56"/>
          <w:highlight w:val="none"/>
        </w:rPr>
      </w:pPr>
    </w:p>
    <w:p w14:paraId="58337228">
      <w:pPr>
        <w:pStyle w:val="5"/>
        <w:shd w:val="clear"/>
        <w:spacing w:line="240" w:lineRule="auto"/>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pacing w:val="4"/>
          <w:sz w:val="56"/>
          <w:szCs w:val="56"/>
          <w:highlight w:val="none"/>
          <w:lang w:eastAsia="zh-CN"/>
        </w:rPr>
        <w:t>蟠龙高新区国民经济和社会发展第十五个五年规划编制与产业创新集群行动计划工作编制项目</w:t>
      </w:r>
    </w:p>
    <w:p w14:paraId="163EAFE7">
      <w:pPr>
        <w:shd w:val="clear"/>
        <w:spacing w:line="360" w:lineRule="auto"/>
        <w:ind w:firstLine="281" w:firstLineChars="50"/>
        <w:jc w:val="center"/>
        <w:rPr>
          <w:rFonts w:hint="eastAsia" w:asciiTheme="minorEastAsia" w:hAnsiTheme="minorEastAsia" w:eastAsiaTheme="minorEastAsia" w:cstheme="minorEastAsia"/>
          <w:b/>
          <w:bCs/>
          <w:color w:val="auto"/>
          <w:sz w:val="56"/>
          <w:szCs w:val="56"/>
          <w:highlight w:val="none"/>
        </w:rPr>
      </w:pPr>
    </w:p>
    <w:p w14:paraId="1DCC800E">
      <w:pPr>
        <w:shd w:val="clear"/>
        <w:spacing w:line="360" w:lineRule="auto"/>
        <w:ind w:firstLine="281" w:firstLineChars="50"/>
        <w:jc w:val="center"/>
        <w:rPr>
          <w:rFonts w:hint="eastAsia" w:asciiTheme="minorEastAsia" w:hAnsiTheme="minorEastAsia" w:eastAsiaTheme="minorEastAsia" w:cstheme="minorEastAsia"/>
          <w:b/>
          <w:bCs/>
          <w:color w:val="auto"/>
          <w:spacing w:val="4"/>
          <w:sz w:val="56"/>
          <w:szCs w:val="56"/>
          <w:highlight w:val="none"/>
        </w:rPr>
      </w:pPr>
      <w:r>
        <w:rPr>
          <w:rFonts w:hint="eastAsia" w:asciiTheme="minorEastAsia" w:hAnsiTheme="minorEastAsia" w:eastAsiaTheme="minorEastAsia" w:cstheme="minorEastAsia"/>
          <w:b/>
          <w:bCs/>
          <w:color w:val="auto"/>
          <w:sz w:val="56"/>
          <w:szCs w:val="56"/>
          <w:highlight w:val="none"/>
        </w:rPr>
        <w:t>竞争性磋商</w:t>
      </w:r>
      <w:r>
        <w:rPr>
          <w:rFonts w:hint="eastAsia" w:asciiTheme="minorEastAsia" w:hAnsiTheme="minorEastAsia" w:eastAsiaTheme="minorEastAsia" w:cstheme="minorEastAsia"/>
          <w:b/>
          <w:bCs/>
          <w:color w:val="auto"/>
          <w:spacing w:val="4"/>
          <w:sz w:val="56"/>
          <w:szCs w:val="56"/>
          <w:highlight w:val="none"/>
        </w:rPr>
        <w:t>文件</w:t>
      </w:r>
    </w:p>
    <w:p w14:paraId="7FCD7521">
      <w:pPr>
        <w:shd w:val="clear"/>
        <w:spacing w:line="360" w:lineRule="auto"/>
        <w:rPr>
          <w:rFonts w:hint="eastAsia" w:asciiTheme="minorEastAsia" w:hAnsiTheme="minorEastAsia" w:eastAsiaTheme="minorEastAsia" w:cstheme="minorEastAsia"/>
          <w:b/>
          <w:bCs/>
          <w:color w:val="auto"/>
          <w:spacing w:val="4"/>
          <w:highlight w:val="none"/>
        </w:rPr>
      </w:pPr>
    </w:p>
    <w:p w14:paraId="699B9BD7">
      <w:pPr>
        <w:pStyle w:val="11"/>
        <w:shd w:val="clear"/>
        <w:rPr>
          <w:rFonts w:hint="eastAsia" w:asciiTheme="minorEastAsia" w:hAnsiTheme="minorEastAsia" w:eastAsiaTheme="minorEastAsia" w:cstheme="minorEastAsia"/>
          <w:color w:val="auto"/>
          <w:highlight w:val="none"/>
        </w:rPr>
      </w:pPr>
    </w:p>
    <w:p w14:paraId="1D292BBB">
      <w:pPr>
        <w:shd w:val="clear"/>
        <w:tabs>
          <w:tab w:val="left" w:pos="5670"/>
        </w:tabs>
        <w:autoSpaceDE w:val="0"/>
        <w:autoSpaceDN w:val="0"/>
        <w:adjustRightInd w:val="0"/>
        <w:snapToGrid w:val="0"/>
        <w:spacing w:line="360" w:lineRule="auto"/>
        <w:ind w:firstLine="2249" w:firstLineChars="700"/>
        <w:rPr>
          <w:rFonts w:hint="eastAsia" w:asciiTheme="minorEastAsia" w:hAnsiTheme="minorEastAsia" w:eastAsiaTheme="minorEastAsia" w:cstheme="minorEastAsia"/>
          <w:b/>
          <w:bCs/>
          <w:color w:val="auto"/>
          <w:sz w:val="32"/>
          <w:szCs w:val="32"/>
          <w:highlight w:val="none"/>
          <w:lang w:val="zh-CN"/>
        </w:rPr>
      </w:pPr>
    </w:p>
    <w:p w14:paraId="5B508D1E">
      <w:pPr>
        <w:shd w:val="clear"/>
        <w:tabs>
          <w:tab w:val="left" w:pos="5670"/>
        </w:tabs>
        <w:autoSpaceDE w:val="0"/>
        <w:autoSpaceDN w:val="0"/>
        <w:adjustRightInd w:val="0"/>
        <w:snapToGrid w:val="0"/>
        <w:spacing w:line="360" w:lineRule="auto"/>
        <w:rPr>
          <w:rFonts w:hint="eastAsia" w:asciiTheme="minorEastAsia" w:hAnsiTheme="minorEastAsia" w:eastAsiaTheme="minorEastAsia" w:cstheme="minorEastAsia"/>
          <w:b/>
          <w:bCs/>
          <w:color w:val="auto"/>
          <w:sz w:val="32"/>
          <w:szCs w:val="32"/>
          <w:highlight w:val="none"/>
          <w:lang w:val="zh-CN"/>
        </w:rPr>
      </w:pPr>
    </w:p>
    <w:p w14:paraId="1296B6DB">
      <w:pPr>
        <w:shd w:val="clea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val="zh-CN"/>
        </w:rPr>
        <w:t>采购单位：</w:t>
      </w:r>
      <w:r>
        <w:rPr>
          <w:rFonts w:hint="eastAsia" w:asciiTheme="minorEastAsia" w:hAnsiTheme="minorEastAsia" w:eastAsiaTheme="minorEastAsia" w:cstheme="minorEastAsia"/>
          <w:b/>
          <w:bCs/>
          <w:color w:val="auto"/>
          <w:sz w:val="32"/>
          <w:szCs w:val="32"/>
          <w:highlight w:val="none"/>
          <w:lang w:eastAsia="zh-CN"/>
        </w:rPr>
        <w:t>宝鸡蟠龙高新技术产业开发区管理委员会</w:t>
      </w:r>
    </w:p>
    <w:p w14:paraId="07C0B3AA">
      <w:pPr>
        <w:shd w:val="clea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2"/>
          <w:szCs w:val="32"/>
          <w:highlight w:val="none"/>
        </w:rPr>
      </w:pPr>
    </w:p>
    <w:p w14:paraId="419BD350">
      <w:pPr>
        <w:shd w:val="clea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2"/>
          <w:szCs w:val="32"/>
          <w:highlight w:val="none"/>
          <w:lang w:val="zh-CN"/>
        </w:rPr>
      </w:pPr>
      <w:r>
        <w:rPr>
          <w:rFonts w:hint="eastAsia" w:asciiTheme="minorEastAsia" w:hAnsiTheme="minorEastAsia" w:eastAsiaTheme="minorEastAsia" w:cstheme="minorEastAsia"/>
          <w:b/>
          <w:bCs/>
          <w:color w:val="auto"/>
          <w:sz w:val="32"/>
          <w:szCs w:val="32"/>
          <w:highlight w:val="none"/>
        </w:rPr>
        <w:t>代理单位：</w:t>
      </w:r>
      <w:r>
        <w:rPr>
          <w:rFonts w:hint="eastAsia" w:asciiTheme="minorEastAsia" w:hAnsiTheme="minorEastAsia" w:eastAsiaTheme="minorEastAsia" w:cstheme="minorEastAsia"/>
          <w:b/>
          <w:bCs/>
          <w:color w:val="auto"/>
          <w:sz w:val="32"/>
          <w:szCs w:val="32"/>
          <w:highlight w:val="none"/>
          <w:lang w:val="zh-CN"/>
        </w:rPr>
        <w:t>陕西佳信项目管理有限公司</w:t>
      </w:r>
    </w:p>
    <w:p w14:paraId="71CA10D4">
      <w:pPr>
        <w:shd w:val="clear"/>
        <w:tabs>
          <w:tab w:val="left" w:pos="546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2"/>
          <w:szCs w:val="32"/>
          <w:highlight w:val="none"/>
          <w:lang w:val="zh-CN"/>
        </w:rPr>
      </w:pPr>
    </w:p>
    <w:p w14:paraId="53C81B29">
      <w:pPr>
        <w:shd w:val="clear"/>
        <w:tabs>
          <w:tab w:val="left" w:pos="546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2"/>
          <w:szCs w:val="32"/>
          <w:highlight w:val="none"/>
          <w:lang w:val="zh-CN"/>
        </w:rPr>
        <w:sectPr>
          <w:headerReference r:id="rId5" w:type="first"/>
          <w:headerReference r:id="rId3" w:type="default"/>
          <w:footerReference r:id="rId6" w:type="default"/>
          <w:headerReference r:id="rId4" w:type="even"/>
          <w:footerReference r:id="rId7" w:type="even"/>
          <w:pgSz w:w="11849" w:h="16781"/>
          <w:pgMar w:top="1327" w:right="1417" w:bottom="1383" w:left="1468" w:header="720" w:footer="720" w:gutter="0"/>
          <w:cols w:space="720" w:num="1"/>
          <w:titlePg/>
          <w:docGrid w:linePitch="312" w:charSpace="0"/>
        </w:sectPr>
      </w:pPr>
      <w:r>
        <w:rPr>
          <w:rFonts w:hint="eastAsia" w:asciiTheme="minorEastAsia" w:hAnsiTheme="minorEastAsia" w:eastAsiaTheme="minorEastAsia" w:cstheme="minorEastAsia"/>
          <w:b/>
          <w:bCs/>
          <w:color w:val="auto"/>
          <w:sz w:val="32"/>
          <w:szCs w:val="32"/>
          <w:highlight w:val="none"/>
        </w:rPr>
        <w:t xml:space="preserve">  </w:t>
      </w:r>
      <w:r>
        <w:rPr>
          <w:rFonts w:hint="eastAsia" w:asciiTheme="minorEastAsia" w:hAnsiTheme="minorEastAsia" w:eastAsiaTheme="minorEastAsia" w:cstheme="minorEastAsia"/>
          <w:b/>
          <w:bCs/>
          <w:color w:val="auto"/>
          <w:sz w:val="32"/>
          <w:szCs w:val="32"/>
          <w:highlight w:val="none"/>
          <w:lang w:val="zh-CN"/>
        </w:rPr>
        <w:t>二〇二五年</w:t>
      </w:r>
      <w:r>
        <w:rPr>
          <w:rFonts w:hint="eastAsia" w:asciiTheme="minorEastAsia" w:hAnsiTheme="minorEastAsia" w:eastAsiaTheme="minorEastAsia" w:cstheme="minorEastAsia"/>
          <w:b/>
          <w:bCs/>
          <w:color w:val="auto"/>
          <w:sz w:val="32"/>
          <w:szCs w:val="32"/>
          <w:highlight w:val="none"/>
          <w:lang w:val="zh-CN" w:eastAsia="zh-CN"/>
        </w:rPr>
        <w:t>八</w:t>
      </w:r>
      <w:r>
        <w:rPr>
          <w:rFonts w:hint="eastAsia" w:asciiTheme="minorEastAsia" w:hAnsiTheme="minorEastAsia" w:eastAsiaTheme="minorEastAsia" w:cstheme="minorEastAsia"/>
          <w:b/>
          <w:bCs/>
          <w:color w:val="auto"/>
          <w:sz w:val="32"/>
          <w:szCs w:val="32"/>
          <w:highlight w:val="none"/>
          <w:lang w:val="zh-CN"/>
        </w:rPr>
        <w:t>月</w:t>
      </w:r>
    </w:p>
    <w:p w14:paraId="4B841E2D">
      <w:pPr>
        <w:pStyle w:val="11"/>
        <w:shd w:val="clear"/>
        <w:rPr>
          <w:rFonts w:hint="eastAsia" w:asciiTheme="minorEastAsia" w:hAnsiTheme="minorEastAsia" w:eastAsiaTheme="minorEastAsia" w:cstheme="minorEastAsia"/>
          <w:color w:val="auto"/>
          <w:highlight w:val="none"/>
          <w:lang w:val="zh-CN"/>
        </w:rPr>
      </w:pPr>
    </w:p>
    <w:p w14:paraId="1D735B58">
      <w:pPr>
        <w:shd w:val="clear"/>
        <w:tabs>
          <w:tab w:val="left" w:pos="546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kern w:val="44"/>
          <w:sz w:val="44"/>
          <w:szCs w:val="44"/>
          <w:highlight w:val="none"/>
          <w:lang w:val="zh-CN"/>
        </w:rPr>
      </w:pPr>
      <w:r>
        <w:rPr>
          <w:rFonts w:hint="eastAsia" w:asciiTheme="minorEastAsia" w:hAnsiTheme="minorEastAsia" w:eastAsiaTheme="minorEastAsia" w:cstheme="minorEastAsia"/>
          <w:b/>
          <w:bCs/>
          <w:color w:val="auto"/>
          <w:kern w:val="44"/>
          <w:sz w:val="44"/>
          <w:szCs w:val="44"/>
          <w:highlight w:val="none"/>
          <w:lang w:val="zh-CN"/>
        </w:rPr>
        <w:t>温馨提示</w:t>
      </w:r>
    </w:p>
    <w:p w14:paraId="14500147">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1、请您仔细阅读磋商文件并正确理解磋商文件中各项具体要求。</w:t>
      </w:r>
    </w:p>
    <w:p w14:paraId="147478BD">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项目采用不见面开标电子化投标方式磋商，投标供应商须使用数字认证证书（CA锁）对电子磋商响应文件进行签章、加密、递交、开标时解密以及二次报价等相关招投标事宜;供应商通过线上观看开标现场视频，无需到现场参加开标会议。</w:t>
      </w:r>
    </w:p>
    <w:p w14:paraId="7192803C">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3、实施“不见面开标”，供应商应确保自己的电脑环境、CA锁、网络等状况良好，以免影响其参与交易活动。</w:t>
      </w:r>
    </w:p>
    <w:p w14:paraId="73B60166">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4、请您确保磋商保证金凭证已办理。</w:t>
      </w:r>
    </w:p>
    <w:p w14:paraId="0A334F21">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5、咨询其他问题，请与我们的工作人员联系，竭诚为您服务。</w:t>
      </w:r>
    </w:p>
    <w:p w14:paraId="1A25C524">
      <w:pPr>
        <w:shd w:val="clear"/>
        <w:spacing w:line="360" w:lineRule="auto"/>
        <w:ind w:firstLine="720" w:firstLineChars="3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代理机构：</w:t>
      </w:r>
      <w:r>
        <w:rPr>
          <w:rFonts w:hint="eastAsia" w:asciiTheme="minorEastAsia" w:hAnsiTheme="minorEastAsia" w:eastAsiaTheme="minorEastAsia" w:cstheme="minorEastAsia"/>
          <w:color w:val="auto"/>
          <w:sz w:val="24"/>
          <w:szCs w:val="24"/>
          <w:highlight w:val="none"/>
          <w:lang w:eastAsia="zh-CN"/>
        </w:rPr>
        <w:t>陕西佳信项目管理有限公司</w:t>
      </w:r>
    </w:p>
    <w:p w14:paraId="693F76BD">
      <w:pPr>
        <w:shd w:val="clear"/>
        <w:spacing w:line="360" w:lineRule="auto"/>
        <w:ind w:firstLine="120" w:firstLineChars="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地　　址：</w:t>
      </w:r>
      <w:r>
        <w:rPr>
          <w:rFonts w:hint="eastAsia" w:asciiTheme="minorEastAsia" w:hAnsiTheme="minorEastAsia" w:eastAsiaTheme="minorEastAsia" w:cstheme="minorEastAsia"/>
          <w:color w:val="auto"/>
          <w:sz w:val="24"/>
          <w:szCs w:val="24"/>
          <w:highlight w:val="none"/>
          <w:lang w:eastAsia="zh-CN"/>
        </w:rPr>
        <w:t>陕西省宝鸡市金台区行政东路三迪金融中心8层806室</w:t>
      </w:r>
    </w:p>
    <w:p w14:paraId="5227FD69">
      <w:pPr>
        <w:shd w:val="clear"/>
        <w:spacing w:line="360" w:lineRule="auto"/>
        <w:ind w:firstLine="720" w:firstLineChars="3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eastAsia="zh-CN"/>
        </w:rPr>
        <w:t>严萍0917-3213637</w:t>
      </w:r>
    </w:p>
    <w:p w14:paraId="72CAB52F">
      <w:pPr>
        <w:shd w:val="clear"/>
        <w:spacing w:line="360" w:lineRule="auto"/>
        <w:ind w:firstLine="1303" w:firstLineChars="543"/>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8480" behindDoc="0" locked="0" layoutInCell="1" allowOverlap="1">
                <wp:simplePos x="0" y="0"/>
                <wp:positionH relativeFrom="column">
                  <wp:posOffset>142875</wp:posOffset>
                </wp:positionH>
                <wp:positionV relativeFrom="paragraph">
                  <wp:posOffset>740410</wp:posOffset>
                </wp:positionV>
                <wp:extent cx="5532755" cy="793115"/>
                <wp:effectExtent l="4445" t="4445" r="10160" b="10160"/>
                <wp:wrapSquare wrapText="bothSides"/>
                <wp:docPr id="14" name="文本框 14"/>
                <wp:cNvGraphicFramePr/>
                <a:graphic xmlns:a="http://schemas.openxmlformats.org/drawingml/2006/main">
                  <a:graphicData uri="http://schemas.microsoft.com/office/word/2010/wordprocessingShape">
                    <wps:wsp>
                      <wps:cNvSpPr txBox="1"/>
                      <wps:spPr>
                        <a:xfrm>
                          <a:off x="0" y="0"/>
                          <a:ext cx="5532755" cy="793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BD5B46">
                            <w:pPr>
                              <w:spacing w:line="480" w:lineRule="auto"/>
                              <w:jc w:val="left"/>
                              <w:rPr>
                                <w:rFonts w:ascii="宋体" w:hAnsi="宋体"/>
                                <w:b/>
                                <w:sz w:val="24"/>
                              </w:rPr>
                            </w:pPr>
                            <w:r>
                              <w:rPr>
                                <w:rFonts w:hint="eastAsia" w:ascii="宋体" w:hAnsi="宋体"/>
                                <w:b/>
                                <w:sz w:val="24"/>
                              </w:rPr>
                              <w:t>温馨提示：获取磋商文件后，请仔细阅读，特别注意粗体及划线部分，如有疑问请来电咨询。</w:t>
                            </w:r>
                          </w:p>
                        </w:txbxContent>
                      </wps:txbx>
                      <wps:bodyPr upright="1"/>
                    </wps:wsp>
                  </a:graphicData>
                </a:graphic>
              </wp:anchor>
            </w:drawing>
          </mc:Choice>
          <mc:Fallback>
            <w:pict>
              <v:shape id="_x0000_s1026" o:spid="_x0000_s1026" o:spt="202" type="#_x0000_t202" style="position:absolute;left:0pt;margin-left:11.25pt;margin-top:58.3pt;height:62.45pt;width:435.65pt;mso-wrap-distance-bottom:0pt;mso-wrap-distance-left:9pt;mso-wrap-distance-right:9pt;mso-wrap-distance-top:0pt;z-index:251668480;mso-width-relative:page;mso-height-relative:page;" fillcolor="#FFFFFF" filled="t" stroked="t" coordsize="21600,21600" o:gfxdata="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BwcJ2QAAAAoBAAAPAAAAAAAA&#10;AAEAIAAAACIAAABkcnMvZG93bnJldi54bWxQSwECFAAUAAAACACHTuJA3mw8CxECAABGBAAADgAA&#10;AAAAAAABACAAAAAoAQAAZHJzL2Uyb0RvYy54bWxQSwUGAAAAAAYABgBZAQAAqwUAAAAA&#10;">
                <v:fill on="t" focussize="0,0"/>
                <v:stroke color="#000000" joinstyle="miter"/>
                <v:imagedata o:title=""/>
                <o:lock v:ext="edit" aspectratio="f"/>
                <v:textbox>
                  <w:txbxContent>
                    <w:p w14:paraId="0CBD5B46">
                      <w:pPr>
                        <w:spacing w:line="480" w:lineRule="auto"/>
                        <w:jc w:val="left"/>
                        <w:rPr>
                          <w:rFonts w:ascii="宋体" w:hAnsi="宋体"/>
                          <w:b/>
                          <w:sz w:val="24"/>
                        </w:rPr>
                      </w:pPr>
                      <w:r>
                        <w:rPr>
                          <w:rFonts w:hint="eastAsia" w:ascii="宋体" w:hAnsi="宋体"/>
                          <w:b/>
                          <w:sz w:val="24"/>
                        </w:rPr>
                        <w:t>温馨提示：获取磋商文件后，请仔细阅读，特别注意粗体及划线部分，如有疑问请来电咨询。</w:t>
                      </w:r>
                    </w:p>
                  </w:txbxContent>
                </v:textbox>
                <w10:wrap type="square"/>
              </v:shape>
            </w:pict>
          </mc:Fallback>
        </mc:AlternateContent>
      </w:r>
    </w:p>
    <w:p w14:paraId="3DFAD411">
      <w:pPr>
        <w:pStyle w:val="14"/>
        <w:shd w:val="clear"/>
        <w:ind w:firstLine="248"/>
        <w:rPr>
          <w:rFonts w:hint="eastAsia" w:asciiTheme="minorEastAsia" w:hAnsiTheme="minorEastAsia" w:eastAsiaTheme="minorEastAsia" w:cstheme="minorEastAsia"/>
          <w:color w:val="auto"/>
          <w:spacing w:val="4"/>
          <w:sz w:val="24"/>
          <w:szCs w:val="24"/>
          <w:highlight w:val="none"/>
        </w:rPr>
      </w:pPr>
    </w:p>
    <w:p w14:paraId="7157870B">
      <w:pPr>
        <w:pStyle w:val="14"/>
        <w:shd w:val="clear"/>
        <w:ind w:firstLine="248"/>
        <w:rPr>
          <w:rFonts w:hint="eastAsia" w:asciiTheme="minorEastAsia" w:hAnsiTheme="minorEastAsia" w:eastAsiaTheme="minorEastAsia" w:cstheme="minorEastAsia"/>
          <w:color w:val="auto"/>
          <w:spacing w:val="4"/>
          <w:sz w:val="24"/>
          <w:szCs w:val="24"/>
          <w:highlight w:val="none"/>
        </w:rPr>
      </w:pPr>
    </w:p>
    <w:p w14:paraId="56233E44">
      <w:pPr>
        <w:pStyle w:val="14"/>
        <w:shd w:val="clear"/>
        <w:ind w:firstLine="248"/>
        <w:rPr>
          <w:rFonts w:hint="eastAsia" w:asciiTheme="minorEastAsia" w:hAnsiTheme="minorEastAsia" w:eastAsiaTheme="minorEastAsia" w:cstheme="minorEastAsia"/>
          <w:color w:val="auto"/>
          <w:spacing w:val="4"/>
          <w:sz w:val="24"/>
          <w:szCs w:val="24"/>
          <w:highlight w:val="none"/>
        </w:rPr>
      </w:pPr>
    </w:p>
    <w:p w14:paraId="698A0AC9">
      <w:pPr>
        <w:pStyle w:val="14"/>
        <w:shd w:val="clear"/>
        <w:ind w:firstLine="248"/>
        <w:rPr>
          <w:rFonts w:hint="eastAsia" w:asciiTheme="minorEastAsia" w:hAnsiTheme="minorEastAsia" w:eastAsiaTheme="minorEastAsia" w:cstheme="minorEastAsia"/>
          <w:color w:val="auto"/>
          <w:spacing w:val="4"/>
          <w:sz w:val="24"/>
          <w:szCs w:val="24"/>
          <w:highlight w:val="none"/>
        </w:rPr>
      </w:pPr>
    </w:p>
    <w:p w14:paraId="702E2073">
      <w:pPr>
        <w:pStyle w:val="14"/>
        <w:shd w:val="clear"/>
        <w:ind w:firstLine="248"/>
        <w:rPr>
          <w:rFonts w:hint="eastAsia" w:asciiTheme="minorEastAsia" w:hAnsiTheme="minorEastAsia" w:eastAsiaTheme="minorEastAsia" w:cstheme="minorEastAsia"/>
          <w:color w:val="auto"/>
          <w:spacing w:val="4"/>
          <w:sz w:val="24"/>
          <w:szCs w:val="24"/>
          <w:highlight w:val="none"/>
        </w:rPr>
      </w:pPr>
    </w:p>
    <w:p w14:paraId="6595830E">
      <w:pPr>
        <w:shd w:val="clear"/>
        <w:spacing w:line="360" w:lineRule="auto"/>
        <w:ind w:firstLine="2432" w:firstLineChars="543"/>
        <w:rPr>
          <w:rFonts w:hint="eastAsia" w:asciiTheme="minorEastAsia" w:hAnsiTheme="minorEastAsia" w:eastAsiaTheme="minorEastAsia" w:cstheme="minorEastAsia"/>
          <w:color w:val="auto"/>
          <w:spacing w:val="4"/>
          <w:sz w:val="44"/>
          <w:highlight w:val="none"/>
        </w:rPr>
      </w:pPr>
    </w:p>
    <w:p w14:paraId="16376985">
      <w:pPr>
        <w:pStyle w:val="14"/>
        <w:shd w:val="clear"/>
        <w:ind w:firstLine="448"/>
        <w:rPr>
          <w:rFonts w:hint="eastAsia" w:asciiTheme="minorEastAsia" w:hAnsiTheme="minorEastAsia" w:eastAsiaTheme="minorEastAsia" w:cstheme="minorEastAsia"/>
          <w:color w:val="auto"/>
          <w:spacing w:val="4"/>
          <w:sz w:val="44"/>
          <w:highlight w:val="none"/>
        </w:rPr>
      </w:pPr>
    </w:p>
    <w:p w14:paraId="453D0281">
      <w:pPr>
        <w:shd w:val="clear"/>
        <w:spacing w:line="360" w:lineRule="auto"/>
        <w:ind w:firstLine="2432" w:firstLineChars="543"/>
        <w:rPr>
          <w:rFonts w:hint="eastAsia" w:asciiTheme="minorEastAsia" w:hAnsiTheme="minorEastAsia" w:eastAsiaTheme="minorEastAsia" w:cstheme="minorEastAsia"/>
          <w:color w:val="auto"/>
          <w:spacing w:val="4"/>
          <w:sz w:val="44"/>
          <w:highlight w:val="none"/>
        </w:rPr>
      </w:pPr>
      <w:r>
        <w:rPr>
          <w:rFonts w:hint="eastAsia" w:asciiTheme="minorEastAsia" w:hAnsiTheme="minorEastAsia" w:eastAsiaTheme="minorEastAsia" w:cstheme="minorEastAsia"/>
          <w:color w:val="auto"/>
          <w:spacing w:val="4"/>
          <w:sz w:val="44"/>
          <w:highlight w:val="none"/>
        </w:rPr>
        <w:br w:type="page"/>
      </w:r>
    </w:p>
    <w:p w14:paraId="2360B2CE">
      <w:pPr>
        <w:shd w:val="clear"/>
        <w:spacing w:line="360" w:lineRule="auto"/>
        <w:ind w:firstLine="2432" w:firstLineChars="543"/>
        <w:rPr>
          <w:rFonts w:hint="eastAsia" w:asciiTheme="minorEastAsia" w:hAnsiTheme="minorEastAsia" w:eastAsiaTheme="minorEastAsia" w:cstheme="minorEastAsia"/>
          <w:color w:val="auto"/>
          <w:spacing w:val="4"/>
          <w:sz w:val="44"/>
          <w:highlight w:val="none"/>
        </w:rPr>
      </w:pPr>
    </w:p>
    <w:p w14:paraId="49C45F8F">
      <w:pPr>
        <w:shd w:val="clear"/>
        <w:spacing w:line="360" w:lineRule="auto"/>
        <w:ind w:firstLine="2432" w:firstLineChars="543"/>
        <w:rPr>
          <w:rFonts w:hint="eastAsia" w:asciiTheme="minorEastAsia" w:hAnsiTheme="minorEastAsia" w:eastAsiaTheme="minorEastAsia" w:cstheme="minorEastAsia"/>
          <w:color w:val="auto"/>
          <w:spacing w:val="4"/>
          <w:sz w:val="44"/>
          <w:highlight w:val="none"/>
        </w:rPr>
      </w:pPr>
      <w:r>
        <w:rPr>
          <w:rFonts w:hint="eastAsia" w:asciiTheme="minorEastAsia" w:hAnsiTheme="minorEastAsia" w:eastAsiaTheme="minorEastAsia" w:cstheme="minorEastAsia"/>
          <w:color w:val="auto"/>
          <w:spacing w:val="4"/>
          <w:sz w:val="44"/>
          <w:highlight w:val="none"/>
        </w:rPr>
        <w:t>竞争性磋商文件目录</w:t>
      </w:r>
    </w:p>
    <w:p w14:paraId="6BE9C4D3">
      <w:pPr>
        <w:shd w:val="clear"/>
        <w:spacing w:line="360" w:lineRule="auto"/>
        <w:ind w:firstLine="2432" w:firstLineChars="543"/>
        <w:rPr>
          <w:rFonts w:hint="eastAsia" w:asciiTheme="minorEastAsia" w:hAnsiTheme="minorEastAsia" w:eastAsiaTheme="minorEastAsia" w:cstheme="minorEastAsia"/>
          <w:color w:val="auto"/>
          <w:spacing w:val="4"/>
          <w:sz w:val="44"/>
          <w:highlight w:val="none"/>
        </w:rPr>
      </w:pPr>
    </w:p>
    <w:p w14:paraId="6DD2D63C">
      <w:pPr>
        <w:pStyle w:val="20"/>
        <w:shd w:val="clear"/>
        <w:tabs>
          <w:tab w:val="right" w:leader="underscore" w:pos="8133"/>
        </w:tabs>
        <w:spacing w:line="60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sz w:val="32"/>
          <w:highlight w:val="none"/>
        </w:rPr>
        <w:fldChar w:fldCharType="begin"/>
      </w:r>
      <w:r>
        <w:rPr>
          <w:rFonts w:hint="eastAsia" w:asciiTheme="minorEastAsia" w:hAnsiTheme="minorEastAsia" w:eastAsiaTheme="minorEastAsia" w:cstheme="minorEastAsia"/>
          <w:color w:val="auto"/>
          <w:spacing w:val="4"/>
          <w:sz w:val="32"/>
          <w:highlight w:val="none"/>
        </w:rPr>
        <w:instrText xml:space="preserve">TOC \o "1-1" \h \u </w:instrText>
      </w:r>
      <w:r>
        <w:rPr>
          <w:rFonts w:hint="eastAsia" w:asciiTheme="minorEastAsia" w:hAnsiTheme="minorEastAsia" w:eastAsiaTheme="minorEastAsia" w:cstheme="minorEastAsia"/>
          <w:color w:val="auto"/>
          <w:spacing w:val="4"/>
          <w:sz w:val="32"/>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"_Toc26243"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44"/>
          <w:highlight w:val="none"/>
        </w:rPr>
        <w:t>第一章  竞争性磋商公告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_Toc26243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263FD53">
      <w:pPr>
        <w:pStyle w:val="20"/>
        <w:shd w:val="clear"/>
        <w:tabs>
          <w:tab w:val="right" w:leader="underscore" w:pos="8133"/>
        </w:tabs>
        <w:spacing w:line="60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"_Toc8887"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Cs w:val="44"/>
          <w:highlight w:val="none"/>
        </w:rPr>
        <w:t>第二章  竞争性磋商须知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_Toc8887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7722FB1">
      <w:pPr>
        <w:pStyle w:val="20"/>
        <w:shd w:val="clear"/>
        <w:tabs>
          <w:tab w:val="right" w:leader="underscore" w:pos="8133"/>
        </w:tabs>
        <w:spacing w:line="60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"_Toc29969"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0"/>
          <w:highlight w:val="none"/>
        </w:rPr>
        <w:t>第三章  采购内</w:t>
      </w:r>
      <w:r>
        <w:rPr>
          <w:rFonts w:hint="eastAsia" w:asciiTheme="minorEastAsia" w:hAnsiTheme="minorEastAsia" w:eastAsiaTheme="minorEastAsia" w:cstheme="minorEastAsia"/>
          <w:bCs/>
          <w:color w:val="auto"/>
          <w:kern w:val="0"/>
          <w:highlight w:val="none"/>
          <w:shd w:val="clear" w:color="auto" w:fill="FFFFFF" w:themeFill="background1"/>
        </w:rPr>
        <w:t>容及要求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_Toc29969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0A938C3">
      <w:pPr>
        <w:pStyle w:val="20"/>
        <w:shd w:val="clear"/>
        <w:tabs>
          <w:tab w:val="right" w:leader="underscore" w:pos="8133"/>
        </w:tabs>
        <w:spacing w:line="60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"_Toc3982"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kern w:val="0"/>
          <w:highlight w:val="none"/>
        </w:rPr>
        <w:t>第四章  商务要求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_Toc3982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52B1466">
      <w:pPr>
        <w:pStyle w:val="20"/>
        <w:shd w:val="clear"/>
        <w:tabs>
          <w:tab w:val="right" w:leader="underscore" w:pos="8133"/>
        </w:tabs>
        <w:spacing w:line="60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"_Toc22566"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第五章  合同示范文本</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_Toc22566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49A9DF1">
      <w:pPr>
        <w:pStyle w:val="20"/>
        <w:shd w:val="clear"/>
        <w:tabs>
          <w:tab w:val="right" w:leader="underscore" w:pos="8133"/>
        </w:tabs>
        <w:spacing w:line="60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"_Toc4134"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第六章  竞争性磋商响应文件组成</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_Toc4134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85C42B6">
      <w:pPr>
        <w:pStyle w:val="20"/>
        <w:shd w:val="clear"/>
        <w:tabs>
          <w:tab w:val="right" w:leader="underscore" w:pos="8133"/>
        </w:tabs>
        <w:rPr>
          <w:rFonts w:hint="eastAsia" w:asciiTheme="minorEastAsia" w:hAnsiTheme="minorEastAsia" w:eastAsiaTheme="minorEastAsia" w:cstheme="minorEastAsia"/>
          <w:color w:val="auto"/>
          <w:highlight w:val="none"/>
        </w:rPr>
      </w:pPr>
    </w:p>
    <w:p w14:paraId="38A62345">
      <w:pPr>
        <w:shd w:val="clear"/>
        <w:spacing w:line="480" w:lineRule="auto"/>
        <w:ind w:firstLine="1491" w:firstLineChars="518"/>
        <w:jc w:val="left"/>
        <w:rPr>
          <w:rFonts w:hint="eastAsia" w:asciiTheme="minorEastAsia" w:hAnsiTheme="minorEastAsia" w:eastAsiaTheme="minorEastAsia" w:cstheme="minorEastAsia"/>
          <w:color w:val="auto"/>
          <w:spacing w:val="4"/>
          <w:sz w:val="32"/>
          <w:highlight w:val="none"/>
        </w:rPr>
      </w:pPr>
      <w:r>
        <w:rPr>
          <w:rFonts w:hint="eastAsia" w:asciiTheme="minorEastAsia" w:hAnsiTheme="minorEastAsia" w:eastAsiaTheme="minorEastAsia" w:cstheme="minorEastAsia"/>
          <w:color w:val="auto"/>
          <w:spacing w:val="4"/>
          <w:highlight w:val="none"/>
        </w:rPr>
        <w:fldChar w:fldCharType="end"/>
      </w:r>
    </w:p>
    <w:p w14:paraId="753A804F">
      <w:pPr>
        <w:shd w:val="clear"/>
        <w:spacing w:line="360" w:lineRule="auto"/>
        <w:ind w:firstLine="656" w:firstLineChars="200"/>
        <w:jc w:val="center"/>
        <w:rPr>
          <w:rFonts w:hint="eastAsia" w:asciiTheme="minorEastAsia" w:hAnsiTheme="minorEastAsia" w:eastAsiaTheme="minorEastAsia" w:cstheme="minorEastAsia"/>
          <w:color w:val="auto"/>
          <w:spacing w:val="4"/>
          <w:sz w:val="32"/>
          <w:highlight w:val="none"/>
        </w:rPr>
      </w:pPr>
    </w:p>
    <w:p w14:paraId="77902BDB">
      <w:pPr>
        <w:shd w:val="clear"/>
        <w:spacing w:line="360" w:lineRule="auto"/>
        <w:ind w:firstLine="656" w:firstLineChars="200"/>
        <w:rPr>
          <w:rFonts w:hint="eastAsia" w:asciiTheme="minorEastAsia" w:hAnsiTheme="minorEastAsia" w:eastAsiaTheme="minorEastAsia" w:cstheme="minorEastAsia"/>
          <w:color w:val="auto"/>
          <w:spacing w:val="4"/>
          <w:sz w:val="32"/>
          <w:highlight w:val="none"/>
        </w:rPr>
      </w:pPr>
    </w:p>
    <w:p w14:paraId="52869660">
      <w:pPr>
        <w:shd w:val="clear"/>
        <w:spacing w:line="360" w:lineRule="auto"/>
        <w:ind w:firstLine="656" w:firstLineChars="200"/>
        <w:rPr>
          <w:rFonts w:hint="eastAsia" w:asciiTheme="minorEastAsia" w:hAnsiTheme="minorEastAsia" w:eastAsiaTheme="minorEastAsia" w:cstheme="minorEastAsia"/>
          <w:color w:val="auto"/>
          <w:spacing w:val="4"/>
          <w:sz w:val="32"/>
          <w:highlight w:val="none"/>
        </w:rPr>
      </w:pPr>
    </w:p>
    <w:p w14:paraId="1FA0CCCB">
      <w:pPr>
        <w:shd w:val="clear"/>
        <w:spacing w:line="360" w:lineRule="auto"/>
        <w:ind w:firstLine="656" w:firstLineChars="200"/>
        <w:rPr>
          <w:rFonts w:hint="eastAsia" w:asciiTheme="minorEastAsia" w:hAnsiTheme="minorEastAsia" w:eastAsiaTheme="minorEastAsia" w:cstheme="minorEastAsia"/>
          <w:color w:val="auto"/>
          <w:spacing w:val="4"/>
          <w:sz w:val="32"/>
          <w:highlight w:val="none"/>
        </w:rPr>
      </w:pPr>
    </w:p>
    <w:p w14:paraId="2866F710">
      <w:pPr>
        <w:shd w:val="clear"/>
        <w:spacing w:line="360" w:lineRule="auto"/>
        <w:rPr>
          <w:rFonts w:hint="eastAsia" w:asciiTheme="minorEastAsia" w:hAnsiTheme="minorEastAsia" w:eastAsiaTheme="minorEastAsia" w:cstheme="minorEastAsia"/>
          <w:color w:val="auto"/>
          <w:spacing w:val="4"/>
          <w:sz w:val="32"/>
          <w:highlight w:val="none"/>
        </w:rPr>
      </w:pPr>
    </w:p>
    <w:p w14:paraId="3370CB97">
      <w:pPr>
        <w:shd w:val="clear"/>
        <w:spacing w:line="360" w:lineRule="auto"/>
        <w:rPr>
          <w:rFonts w:hint="eastAsia" w:asciiTheme="minorEastAsia" w:hAnsiTheme="minorEastAsia" w:eastAsiaTheme="minorEastAsia" w:cstheme="minorEastAsia"/>
          <w:color w:val="auto"/>
          <w:spacing w:val="4"/>
          <w:sz w:val="32"/>
          <w:highlight w:val="none"/>
        </w:rPr>
      </w:pPr>
    </w:p>
    <w:p w14:paraId="6243E7DE">
      <w:pPr>
        <w:shd w:val="clear"/>
        <w:spacing w:line="360" w:lineRule="auto"/>
        <w:rPr>
          <w:rFonts w:hint="eastAsia" w:asciiTheme="minorEastAsia" w:hAnsiTheme="minorEastAsia" w:eastAsiaTheme="minorEastAsia" w:cstheme="minorEastAsia"/>
          <w:color w:val="auto"/>
          <w:spacing w:val="4"/>
          <w:sz w:val="32"/>
          <w:highlight w:val="none"/>
        </w:rPr>
      </w:pPr>
    </w:p>
    <w:p w14:paraId="51AB169A">
      <w:pPr>
        <w:numPr>
          <w:ilvl w:val="0"/>
          <w:numId w:val="0"/>
        </w:numPr>
        <w:shd w:val="clear"/>
        <w:jc w:val="center"/>
        <w:outlineLvl w:val="0"/>
        <w:rPr>
          <w:rFonts w:hint="eastAsia" w:asciiTheme="minorEastAsia" w:hAnsiTheme="minorEastAsia" w:eastAsiaTheme="minorEastAsia" w:cstheme="minorEastAsia"/>
          <w:b/>
          <w:bCs/>
          <w:i w:val="0"/>
          <w:iCs w:val="0"/>
          <w:caps w:val="0"/>
          <w:color w:val="auto"/>
          <w:spacing w:val="0"/>
          <w:kern w:val="0"/>
          <w:sz w:val="44"/>
          <w:szCs w:val="44"/>
          <w:highlight w:val="none"/>
          <w:shd w:val="clear" w:fill="FFFFFF"/>
          <w:lang w:val="en-US" w:eastAsia="zh-CN" w:bidi="ar-SA"/>
        </w:rPr>
      </w:pPr>
      <w:r>
        <w:rPr>
          <w:rFonts w:hint="eastAsia" w:asciiTheme="minorEastAsia" w:hAnsiTheme="minorEastAsia" w:eastAsiaTheme="minorEastAsia" w:cstheme="minorEastAsia"/>
          <w:b/>
          <w:bCs/>
          <w:i w:val="0"/>
          <w:iCs w:val="0"/>
          <w:caps w:val="0"/>
          <w:color w:val="auto"/>
          <w:spacing w:val="0"/>
          <w:kern w:val="0"/>
          <w:sz w:val="44"/>
          <w:szCs w:val="44"/>
          <w:highlight w:val="none"/>
          <w:shd w:val="clear" w:fill="FFFFFF"/>
          <w:lang w:val="en-US" w:eastAsia="zh-CN" w:bidi="ar-SA"/>
        </w:rPr>
        <w:t>第一章</w:t>
      </w:r>
      <w:bookmarkStart w:id="0" w:name="_Toc26243"/>
      <w:r>
        <w:rPr>
          <w:rFonts w:hint="eastAsia" w:asciiTheme="minorEastAsia" w:hAnsiTheme="minorEastAsia" w:eastAsiaTheme="minorEastAsia" w:cstheme="minorEastAsia"/>
          <w:b/>
          <w:bCs/>
          <w:i w:val="0"/>
          <w:iCs w:val="0"/>
          <w:caps w:val="0"/>
          <w:color w:val="auto"/>
          <w:spacing w:val="0"/>
          <w:kern w:val="0"/>
          <w:sz w:val="44"/>
          <w:szCs w:val="44"/>
          <w:highlight w:val="none"/>
          <w:shd w:val="clear" w:fill="FFFFFF"/>
          <w:lang w:val="en-US" w:eastAsia="zh-CN" w:bidi="ar-SA"/>
        </w:rPr>
        <w:t xml:space="preserve"> 竞争性磋商公告</w:t>
      </w:r>
      <w:bookmarkEnd w:id="0"/>
    </w:p>
    <w:p w14:paraId="06366BB8">
      <w:pPr>
        <w:pStyle w:val="13"/>
        <w:shd w:val="clear"/>
        <w:ind w:left="560" w:leftChars="200" w:firstLine="0" w:firstLineChars="0"/>
        <w:rPr>
          <w:rFonts w:hint="eastAsia" w:ascii="微软雅黑" w:hAnsi="微软雅黑" w:eastAsia="微软雅黑" w:cs="微软雅黑"/>
          <w:i w:val="0"/>
          <w:iCs w:val="0"/>
          <w:caps w:val="0"/>
          <w:color w:val="auto"/>
          <w:spacing w:val="0"/>
          <w:kern w:val="0"/>
          <w:sz w:val="21"/>
          <w:szCs w:val="21"/>
          <w:highlight w:val="none"/>
          <w:shd w:val="clear" w:fill="FFFFFF"/>
          <w:lang w:val="en-US" w:eastAsia="zh-CN" w:bidi="ar-SA"/>
        </w:rPr>
      </w:pPr>
    </w:p>
    <w:p w14:paraId="1036B3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300" w:afterAutospacing="0" w:line="400" w:lineRule="exact"/>
        <w:ind w:left="0" w:right="0" w:firstLine="0"/>
        <w:jc w:val="center"/>
        <w:textAlignment w:val="baseline"/>
        <w:rPr>
          <w:rFonts w:hint="eastAsia" w:asciiTheme="minorEastAsia" w:hAnsiTheme="minorEastAsia" w:eastAsiaTheme="minorEastAsia" w:cstheme="minorEastAsia"/>
          <w:b/>
          <w:bCs/>
          <w:i w:val="0"/>
          <w:iCs w:val="0"/>
          <w:caps w:val="0"/>
          <w:color w:val="333333"/>
          <w:spacing w:val="0"/>
          <w:sz w:val="28"/>
          <w:szCs w:val="28"/>
        </w:rPr>
      </w:pPr>
      <w:r>
        <w:rPr>
          <w:rFonts w:hint="eastAsia" w:asciiTheme="minorEastAsia" w:hAnsiTheme="minorEastAsia" w:eastAsiaTheme="minorEastAsia" w:cstheme="minorEastAsia"/>
          <w:b/>
          <w:bCs/>
          <w:i w:val="0"/>
          <w:iCs w:val="0"/>
          <w:caps w:val="0"/>
          <w:color w:val="333333"/>
          <w:spacing w:val="0"/>
          <w:sz w:val="28"/>
          <w:szCs w:val="28"/>
          <w:shd w:val="clear" w:fill="FFFFFF"/>
          <w:vertAlign w:val="baseline"/>
        </w:rPr>
        <w:t>蟠龙高新区国民经济和社会发展第十五个五年规划编制与产业创新集群行动计划工作编制项目竞争性磋商公告</w:t>
      </w:r>
    </w:p>
    <w:p w14:paraId="1BB724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400" w:lineRule="exact"/>
        <w:ind w:left="0" w:right="0"/>
        <w:jc w:val="left"/>
        <w:textAlignment w:val="baseline"/>
        <w:rPr>
          <w:rFonts w:hint="eastAsia" w:asciiTheme="minorEastAsia" w:hAnsiTheme="minorEastAsia" w:eastAsiaTheme="minorEastAsia" w:cstheme="minorEastAsia"/>
          <w:b w:val="0"/>
          <w:bCs w:val="0"/>
          <w:sz w:val="21"/>
          <w:szCs w:val="21"/>
        </w:rPr>
      </w:pPr>
      <w:r>
        <w:rPr>
          <w:rStyle w:val="28"/>
          <w:rFonts w:hint="eastAsia" w:asciiTheme="minorEastAsia" w:hAnsiTheme="minorEastAsia" w:eastAsiaTheme="minorEastAsia" w:cstheme="minorEastAsia"/>
          <w:b/>
          <w:bCs/>
          <w:i w:val="0"/>
          <w:iCs w:val="0"/>
          <w:caps w:val="0"/>
          <w:color w:val="333333"/>
          <w:spacing w:val="0"/>
          <w:sz w:val="21"/>
          <w:szCs w:val="21"/>
          <w:shd w:val="clear" w:fill="FFFFFF"/>
          <w:vertAlign w:val="baseline"/>
        </w:rPr>
        <w:t>项目概况</w:t>
      </w:r>
    </w:p>
    <w:p w14:paraId="7DE9957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400" w:lineRule="exact"/>
        <w:ind w:left="0" w:right="0" w:firstLine="480"/>
        <w:jc w:val="both"/>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shd w:val="clear" w:fill="FFFFFF"/>
          <w:vertAlign w:val="baseline"/>
        </w:rPr>
        <w:t>蟠龙高新区国民经济和社会发展第十五个五年规划编制与产业创新集群行动计划工作编制项目采购项目的潜在供应商应在全国公共资源交易平台（陕西省·宝鸡市）宝鸡市公共资源交易中心（ggzy.baoji.gov.cn）下载获取采购文件，并于 2025年08月28日 14时00分 （北京时间）前提交响应文件。</w:t>
      </w:r>
    </w:p>
    <w:p w14:paraId="29297D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400" w:lineRule="exact"/>
        <w:ind w:left="0" w:right="0"/>
        <w:jc w:val="left"/>
        <w:textAlignment w:val="baseline"/>
        <w:rPr>
          <w:rFonts w:hint="eastAsia" w:asciiTheme="minorEastAsia" w:hAnsiTheme="minorEastAsia" w:eastAsiaTheme="minorEastAsia" w:cstheme="minorEastAsia"/>
          <w:b w:val="0"/>
          <w:bCs w:val="0"/>
          <w:sz w:val="21"/>
          <w:szCs w:val="21"/>
        </w:rPr>
      </w:pPr>
      <w:r>
        <w:rPr>
          <w:rStyle w:val="28"/>
          <w:rFonts w:hint="eastAsia" w:asciiTheme="minorEastAsia" w:hAnsiTheme="minorEastAsia" w:eastAsiaTheme="minorEastAsia" w:cstheme="minorEastAsia"/>
          <w:b/>
          <w:bCs/>
          <w:i w:val="0"/>
          <w:iCs w:val="0"/>
          <w:caps w:val="0"/>
          <w:color w:val="333333"/>
          <w:spacing w:val="0"/>
          <w:sz w:val="21"/>
          <w:szCs w:val="21"/>
          <w:shd w:val="clear" w:fill="FFFFFF"/>
          <w:vertAlign w:val="baseline"/>
        </w:rPr>
        <w:t>一、项目基本情况</w:t>
      </w:r>
    </w:p>
    <w:p w14:paraId="1D9A5F9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baseline"/>
        <w:rPr>
          <w:rFonts w:hint="eastAsia" w:asciiTheme="minorEastAsia" w:hAnsiTheme="minorEastAsia" w:eastAsiaTheme="minorEastAsia" w:cstheme="minorEastAsia"/>
          <w:i w:val="0"/>
          <w:iCs w:val="0"/>
          <w:caps w:val="0"/>
          <w:color w:val="333333"/>
          <w:spacing w:val="0"/>
          <w:sz w:val="21"/>
          <w:szCs w:val="21"/>
          <w:shd w:val="clear" w:fill="FFFFFF"/>
          <w:vertAlign w:val="baseline"/>
        </w:rPr>
      </w:pPr>
      <w:r>
        <w:rPr>
          <w:rFonts w:hint="eastAsia" w:asciiTheme="minorEastAsia" w:hAnsiTheme="minorEastAsia" w:eastAsiaTheme="minorEastAsia" w:cstheme="minorEastAsia"/>
          <w:i w:val="0"/>
          <w:iCs w:val="0"/>
          <w:caps w:val="0"/>
          <w:color w:val="333333"/>
          <w:spacing w:val="0"/>
          <w:sz w:val="21"/>
          <w:szCs w:val="21"/>
          <w:shd w:val="clear" w:fill="FFFFFF"/>
          <w:vertAlign w:val="baseline"/>
        </w:rPr>
        <w:t>项目编号：SXJX-2025-010号</w:t>
      </w:r>
    </w:p>
    <w:p w14:paraId="17E46A4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20" w:firstLineChars="200"/>
        <w:jc w:val="both"/>
        <w:textAlignment w:val="baseline"/>
        <w:rPr>
          <w:rFonts w:hint="eastAsia" w:asciiTheme="minorEastAsia" w:hAnsiTheme="minorEastAsia" w:eastAsiaTheme="minorEastAsia" w:cstheme="minorEastAsia"/>
          <w:i w:val="0"/>
          <w:iCs w:val="0"/>
          <w:caps w:val="0"/>
          <w:color w:val="333333"/>
          <w:spacing w:val="0"/>
          <w:sz w:val="21"/>
          <w:szCs w:val="21"/>
          <w:shd w:val="clear" w:fill="FFFFFF"/>
          <w:vertAlign w:val="baseline"/>
        </w:rPr>
      </w:pPr>
      <w:r>
        <w:rPr>
          <w:rFonts w:hint="eastAsia" w:asciiTheme="minorEastAsia" w:hAnsiTheme="minorEastAsia" w:eastAsiaTheme="minorEastAsia" w:cstheme="minorEastAsia"/>
          <w:i w:val="0"/>
          <w:iCs w:val="0"/>
          <w:caps w:val="0"/>
          <w:color w:val="333333"/>
          <w:spacing w:val="0"/>
          <w:sz w:val="21"/>
          <w:szCs w:val="21"/>
          <w:shd w:val="clear" w:fill="FFFFFF"/>
          <w:vertAlign w:val="baseline"/>
        </w:rPr>
        <w:t>项目名称：蟠龙高新区国民经济和社会发展第十五个五年规划编制与产业创新集群行动计划工作编制项目</w:t>
      </w:r>
    </w:p>
    <w:p w14:paraId="5EAA72D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baseline"/>
        <w:rPr>
          <w:rFonts w:hint="eastAsia" w:asciiTheme="minorEastAsia" w:hAnsiTheme="minorEastAsia" w:eastAsiaTheme="minorEastAsia" w:cstheme="minorEastAsia"/>
          <w:i w:val="0"/>
          <w:iCs w:val="0"/>
          <w:caps w:val="0"/>
          <w:color w:val="333333"/>
          <w:spacing w:val="0"/>
          <w:sz w:val="21"/>
          <w:szCs w:val="21"/>
          <w:shd w:val="clear" w:fill="FFFFFF"/>
          <w:vertAlign w:val="baseline"/>
        </w:rPr>
      </w:pPr>
      <w:r>
        <w:rPr>
          <w:rFonts w:hint="eastAsia" w:asciiTheme="minorEastAsia" w:hAnsiTheme="minorEastAsia" w:eastAsiaTheme="minorEastAsia" w:cstheme="minorEastAsia"/>
          <w:i w:val="0"/>
          <w:iCs w:val="0"/>
          <w:caps w:val="0"/>
          <w:color w:val="333333"/>
          <w:spacing w:val="0"/>
          <w:sz w:val="21"/>
          <w:szCs w:val="21"/>
          <w:shd w:val="clear" w:fill="FFFFFF"/>
          <w:vertAlign w:val="baseline"/>
        </w:rPr>
        <w:t>采购方式：竞争性磋商</w:t>
      </w:r>
    </w:p>
    <w:p w14:paraId="4A1C1D0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baseline"/>
        <w:rPr>
          <w:rFonts w:hint="eastAsia" w:asciiTheme="minorEastAsia" w:hAnsiTheme="minorEastAsia" w:eastAsiaTheme="minorEastAsia" w:cstheme="minorEastAsia"/>
          <w:i w:val="0"/>
          <w:iCs w:val="0"/>
          <w:caps w:val="0"/>
          <w:color w:val="333333"/>
          <w:spacing w:val="0"/>
          <w:sz w:val="21"/>
          <w:szCs w:val="21"/>
          <w:shd w:val="clear" w:fill="FFFFFF"/>
          <w:vertAlign w:val="baseline"/>
        </w:rPr>
      </w:pPr>
      <w:r>
        <w:rPr>
          <w:rFonts w:hint="eastAsia" w:asciiTheme="minorEastAsia" w:hAnsiTheme="minorEastAsia" w:eastAsiaTheme="minorEastAsia" w:cstheme="minorEastAsia"/>
          <w:i w:val="0"/>
          <w:iCs w:val="0"/>
          <w:caps w:val="0"/>
          <w:color w:val="333333"/>
          <w:spacing w:val="0"/>
          <w:sz w:val="21"/>
          <w:szCs w:val="21"/>
          <w:shd w:val="clear" w:fill="FFFFFF"/>
          <w:vertAlign w:val="baseline"/>
        </w:rPr>
        <w:t>预算金额：290,000.00元</w:t>
      </w:r>
    </w:p>
    <w:p w14:paraId="6F0A65A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baseline"/>
        <w:rPr>
          <w:rFonts w:hint="eastAsia" w:asciiTheme="minorEastAsia" w:hAnsiTheme="minorEastAsia" w:eastAsiaTheme="minorEastAsia" w:cstheme="minorEastAsia"/>
          <w:i w:val="0"/>
          <w:iCs w:val="0"/>
          <w:caps w:val="0"/>
          <w:color w:val="333333"/>
          <w:spacing w:val="0"/>
          <w:sz w:val="21"/>
          <w:szCs w:val="21"/>
          <w:shd w:val="clear" w:fill="FFFFFF"/>
          <w:vertAlign w:val="baseline"/>
        </w:rPr>
      </w:pPr>
      <w:r>
        <w:rPr>
          <w:rFonts w:hint="eastAsia" w:asciiTheme="minorEastAsia" w:hAnsiTheme="minorEastAsia" w:eastAsiaTheme="minorEastAsia" w:cstheme="minorEastAsia"/>
          <w:i w:val="0"/>
          <w:iCs w:val="0"/>
          <w:caps w:val="0"/>
          <w:color w:val="333333"/>
          <w:spacing w:val="0"/>
          <w:sz w:val="21"/>
          <w:szCs w:val="21"/>
          <w:shd w:val="clear" w:fill="FFFFFF"/>
          <w:vertAlign w:val="baseline"/>
        </w:rPr>
        <w:t>采购需求：</w:t>
      </w:r>
    </w:p>
    <w:p w14:paraId="42009CF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firstLine="420" w:firstLineChars="200"/>
        <w:jc w:val="both"/>
        <w:textAlignment w:val="baseline"/>
        <w:rPr>
          <w:rFonts w:hint="eastAsia" w:asciiTheme="minorEastAsia" w:hAnsiTheme="minorEastAsia" w:eastAsiaTheme="minorEastAsia" w:cstheme="minorEastAsia"/>
          <w:i w:val="0"/>
          <w:iCs w:val="0"/>
          <w:caps w:val="0"/>
          <w:color w:val="333333"/>
          <w:spacing w:val="0"/>
          <w:sz w:val="21"/>
          <w:szCs w:val="21"/>
          <w:shd w:val="clear" w:fill="FFFFFF"/>
          <w:vertAlign w:val="baseline"/>
        </w:rPr>
      </w:pPr>
      <w:r>
        <w:rPr>
          <w:rFonts w:hint="eastAsia" w:asciiTheme="minorEastAsia" w:hAnsiTheme="minorEastAsia" w:eastAsiaTheme="minorEastAsia" w:cstheme="minorEastAsia"/>
          <w:i w:val="0"/>
          <w:iCs w:val="0"/>
          <w:caps w:val="0"/>
          <w:color w:val="333333"/>
          <w:spacing w:val="0"/>
          <w:sz w:val="21"/>
          <w:szCs w:val="21"/>
          <w:shd w:val="clear" w:fill="FFFFFF"/>
          <w:vertAlign w:val="baseline"/>
        </w:rPr>
        <w:t>合同包1(蟠龙高新区国民经济和社会发展第十五个五年规划编制与产业创新集群行动计划工作编制项目):</w:t>
      </w:r>
    </w:p>
    <w:p w14:paraId="721C19C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baseline"/>
        <w:rPr>
          <w:rFonts w:hint="eastAsia" w:asciiTheme="minorEastAsia" w:hAnsiTheme="minorEastAsia" w:eastAsiaTheme="minorEastAsia" w:cstheme="minorEastAsia"/>
          <w:i w:val="0"/>
          <w:iCs w:val="0"/>
          <w:caps w:val="0"/>
          <w:color w:val="333333"/>
          <w:spacing w:val="0"/>
          <w:sz w:val="21"/>
          <w:szCs w:val="21"/>
          <w:shd w:val="clear" w:fill="FFFFFF"/>
          <w:vertAlign w:val="baseline"/>
        </w:rPr>
      </w:pPr>
      <w:r>
        <w:rPr>
          <w:rFonts w:hint="eastAsia" w:asciiTheme="minorEastAsia" w:hAnsiTheme="minorEastAsia" w:eastAsiaTheme="minorEastAsia" w:cstheme="minorEastAsia"/>
          <w:i w:val="0"/>
          <w:iCs w:val="0"/>
          <w:caps w:val="0"/>
          <w:color w:val="333333"/>
          <w:spacing w:val="0"/>
          <w:sz w:val="21"/>
          <w:szCs w:val="21"/>
          <w:shd w:val="clear" w:fill="FFFFFF"/>
          <w:vertAlign w:val="baseline"/>
        </w:rPr>
        <w:t>合同包预算金额：290,000.00元</w:t>
      </w:r>
    </w:p>
    <w:p w14:paraId="12863C5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baseline"/>
        <w:rPr>
          <w:rFonts w:hint="eastAsia" w:asciiTheme="minorEastAsia" w:hAnsiTheme="minorEastAsia" w:eastAsiaTheme="minorEastAsia" w:cstheme="minorEastAsia"/>
          <w:i w:val="0"/>
          <w:iCs w:val="0"/>
          <w:caps w:val="0"/>
          <w:color w:val="333333"/>
          <w:spacing w:val="0"/>
          <w:sz w:val="21"/>
          <w:szCs w:val="21"/>
          <w:shd w:val="clear" w:fill="FFFFFF"/>
          <w:vertAlign w:val="baseline"/>
        </w:rPr>
      </w:pPr>
      <w:r>
        <w:rPr>
          <w:rFonts w:hint="eastAsia" w:asciiTheme="minorEastAsia" w:hAnsiTheme="minorEastAsia" w:eastAsiaTheme="minorEastAsia" w:cstheme="minorEastAsia"/>
          <w:i w:val="0"/>
          <w:iCs w:val="0"/>
          <w:caps w:val="0"/>
          <w:color w:val="333333"/>
          <w:spacing w:val="0"/>
          <w:sz w:val="21"/>
          <w:szCs w:val="21"/>
          <w:shd w:val="clear" w:fill="FFFFFF"/>
          <w:vertAlign w:val="baseline"/>
        </w:rPr>
        <w:t>合同包最高限价：290,000.00元</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5"/>
        <w:gridCol w:w="2453"/>
        <w:gridCol w:w="2904"/>
        <w:gridCol w:w="892"/>
        <w:gridCol w:w="1690"/>
        <w:gridCol w:w="1291"/>
      </w:tblGrid>
      <w:tr w14:paraId="77B11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58CE6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val="en-US" w:eastAsia="zh-CN" w:bidi="ar"/>
              </w:rPr>
              <w:t>品目号</w:t>
            </w:r>
          </w:p>
        </w:tc>
        <w:tc>
          <w:tcPr>
            <w:tcW w:w="12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A5FA6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val="en-US" w:eastAsia="zh-CN" w:bidi="ar"/>
              </w:rPr>
              <w:t>品目名称</w:t>
            </w:r>
          </w:p>
        </w:tc>
        <w:tc>
          <w:tcPr>
            <w:tcW w:w="14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BC622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val="en-US" w:eastAsia="zh-CN" w:bidi="ar"/>
              </w:rPr>
              <w:t>采购标的</w:t>
            </w:r>
          </w:p>
        </w:tc>
        <w:tc>
          <w:tcPr>
            <w:tcW w:w="4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E350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val="en-US" w:eastAsia="zh-CN" w:bidi="ar"/>
              </w:rPr>
              <w:t>数量（单位）</w:t>
            </w:r>
          </w:p>
        </w:tc>
        <w:tc>
          <w:tcPr>
            <w:tcW w:w="8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EAAB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val="en-US" w:eastAsia="zh-CN" w:bidi="ar"/>
              </w:rPr>
              <w:t>技术规格、参数及要求</w:t>
            </w:r>
          </w:p>
        </w:tc>
        <w:tc>
          <w:tcPr>
            <w:tcW w:w="5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A8069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val="en-US" w:eastAsia="zh-CN" w:bidi="ar"/>
              </w:rPr>
              <w:t>品目预算(元)</w:t>
            </w:r>
          </w:p>
        </w:tc>
      </w:tr>
      <w:tr w14:paraId="32D2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E104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1-1</w:t>
            </w:r>
          </w:p>
        </w:tc>
        <w:tc>
          <w:tcPr>
            <w:tcW w:w="12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E1AD9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其他专业技术服务</w:t>
            </w:r>
          </w:p>
        </w:tc>
        <w:tc>
          <w:tcPr>
            <w:tcW w:w="14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98C4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“十五五”规划编制、产业创新集群行动计划工作编制</w:t>
            </w:r>
          </w:p>
        </w:tc>
        <w:tc>
          <w:tcPr>
            <w:tcW w:w="4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259F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1(项)</w:t>
            </w:r>
          </w:p>
        </w:tc>
        <w:tc>
          <w:tcPr>
            <w:tcW w:w="8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32AB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详见采购文件</w:t>
            </w:r>
          </w:p>
        </w:tc>
        <w:tc>
          <w:tcPr>
            <w:tcW w:w="5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54C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vertAlign w:val="baseline"/>
                <w:lang w:val="en-US" w:eastAsia="zh-CN" w:bidi="ar"/>
              </w:rPr>
              <w:t>290,000.00</w:t>
            </w:r>
          </w:p>
        </w:tc>
      </w:tr>
    </w:tbl>
    <w:p w14:paraId="2805186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400" w:lineRule="exac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本合同包不接受联合体投标</w:t>
      </w:r>
    </w:p>
    <w:p w14:paraId="4378AEA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400" w:lineRule="exact"/>
        <w:ind w:left="0" w:right="0" w:firstLine="63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合同履行期限：自合同签订之日起180日历天内完成</w:t>
      </w:r>
    </w:p>
    <w:p w14:paraId="609DA2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40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二、申请人的资格要求：</w:t>
      </w:r>
    </w:p>
    <w:p w14:paraId="20B6CB8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1.满足《中华人民共和国政府采购法》第二十二条规定;</w:t>
      </w:r>
    </w:p>
    <w:p w14:paraId="0B3E4A7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2.落实政府采购政策需满足的资格要求：</w:t>
      </w:r>
    </w:p>
    <w:p w14:paraId="5995846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合同包1(蟠龙高新区国民经济和社会发展第十五个五年规划编制与产业创新集群行动计划工作编制项目)落实政府采购政策需满足的资格要求如下:</w:t>
      </w:r>
    </w:p>
    <w:p w14:paraId="78831F9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本项目专门面向中小企业采购。（残疾人福利性单位、监狱企业视同小型、微型企业）；须符合《政府采购促进中小企业发展管理办法》（财库〔2020〕46号）规定的中小企业参加。本项目采购标的所属行业为：其他未列明行业；</w:t>
      </w:r>
    </w:p>
    <w:p w14:paraId="32E9D81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3.本项目的特定资格要求：</w:t>
      </w:r>
    </w:p>
    <w:p w14:paraId="03BE324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合同包1(蟠龙高新区国民经济和社会发展第十五个五年规划编制与产业创新集群行动计划工作编制项目)特定资格要求如下:</w:t>
      </w:r>
    </w:p>
    <w:p w14:paraId="315BC2E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（1）供应商须是具有独立承担民事责任能力的法人、其他组织或自然人，并出具合法有效的营业执照或事业单位法人证书等国家规定的相关证明，自然人参与的提供其身份证明；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     （2）供应商须提供2024年度财务审计报告（成立时间至提交投标文件截止时间不足一年的可提供成立后任意时段的资产负债表）或基本存款账户开户银行出具的资信证明（附开户许可证或开户备案证明）；   </w:t>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    （3）供应商须提供2024年8月至今已缴存的至少一个月的社会保险参保缴费情况证明。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    （4）供应商须提供2024年8月至今缴纳的至少一个月的纳税证明或完税证明，依法免税的单位应提供相关证明材料；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    （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 xml:space="preserve">   （6）单位负责人为同一人或者存在直接控股、管理关系的不同投标人，不得参加同一合同项下的政府采购活动；（提供承诺书)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 xml:space="preserve">  （7）企业开具的近三年在政府采购经营活动中无重大违法记录声明；（成立时间不足三年的供应商提供自成立之日起至开标截止之日止的无重大违法记录声明）；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 xml:space="preserve">  （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 xml:space="preserve">  （9）提供具有履行合同所必需的设备和专业技术能力的承诺书；</w:t>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br w:type="textWrapping"/>
      </w: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 xml:space="preserve">  （10）供应商须提供城乡规划编制资质乙级及以上证书。</w:t>
      </w:r>
    </w:p>
    <w:p w14:paraId="53F34D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40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三、获取采购文件</w:t>
      </w:r>
    </w:p>
    <w:p w14:paraId="38E086E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时间： 2025年08月15日 至 2025年08月21日 ，每天上午 09:00:00 至 12:00:00 ，下午 12:00:00 至 17:00:00 （北京时间）</w:t>
      </w:r>
    </w:p>
    <w:p w14:paraId="5266D9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途径：全国公共资源交易平台（陕西省·宝鸡市）宝鸡市公共资源交易中心（ggzy.baoji.gov.cn）下载</w:t>
      </w:r>
    </w:p>
    <w:p w14:paraId="2A3D6D7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方式：在线获取</w:t>
      </w:r>
    </w:p>
    <w:p w14:paraId="6F4E893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售价： 0元</w:t>
      </w:r>
    </w:p>
    <w:p w14:paraId="179D5C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40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四、响应文件提交</w:t>
      </w:r>
    </w:p>
    <w:p w14:paraId="5283D51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截止时间： 2025年08月28日 14时00分00秒 （北京时间）</w:t>
      </w:r>
    </w:p>
    <w:p w14:paraId="4E8B81D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地点：全国公共资源交易平台（陕西省·宝鸡市）宝鸡市公共资源交易中心（http://ggzy.baoji.gov.cn/）在线提交</w:t>
      </w:r>
    </w:p>
    <w:p w14:paraId="069A4A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40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五、开启</w:t>
      </w:r>
    </w:p>
    <w:p w14:paraId="1624623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时间： 2025年08月28日 14时00分00秒 （北京时间）</w:t>
      </w:r>
    </w:p>
    <w:p w14:paraId="4C93201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地点：全国公共资源交易平台(陕西省·宝鸡市)宝鸡市公共资源交易中心-不见面开标</w:t>
      </w:r>
    </w:p>
    <w:p w14:paraId="7482D8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40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六、公告期限</w:t>
      </w:r>
    </w:p>
    <w:p w14:paraId="37A48B5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shd w:val="clear" w:fill="FFFFFF"/>
          <w:vertAlign w:val="baseline"/>
        </w:rPr>
        <w:t>自本公告发布之日起3个工作日。</w:t>
      </w:r>
    </w:p>
    <w:p w14:paraId="5F1BAA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40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七、其他补充事宜</w:t>
      </w:r>
    </w:p>
    <w:p w14:paraId="501AB2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1、落实的政府采购政策:</w:t>
      </w:r>
    </w:p>
    <w:p w14:paraId="59A17B2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关于进一步加大政府采购支持中小企业力度的通知财库〔2022〕19号；（5）《财政部 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陕西省中小企业政府采购信用融资办法》（陕财办采〔2018〕23号）；（9）《陕西省财政厅关于加快推进我省中小企业政府采购信用融资工作的通知》（陕财办采〔2020〕15号文件）；</w:t>
      </w:r>
    </w:p>
    <w:p w14:paraId="5399E2A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2、本项目有意向投标供应商须登录全国公共资源交易平台（陕西省·宝鸡市）宝鸡市公共资源交易中心（http://ggzy.baoji.gov.cn/，交易平台〖首页〉电子交易平台〉企业端〗后，在〖招标公告/出让公告〗模块中选择有意向的项目点击“我要投标”。即可从〖我的项目〉项目流程〉交易文件下载〗中下载电子招标文件（*.SXSZF格式）；</w:t>
      </w:r>
    </w:p>
    <w:p w14:paraId="5B11BFD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3、投标供应商在网上填写单位信息（单位名称、营业执照相关信息）时应与磋商文件要求及后期上传的电子投标文件中相关信息一致，否则造成资格审查不通过的后果自负；</w:t>
      </w:r>
    </w:p>
    <w:p w14:paraId="477E1D1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4、本项目采用不见面开标方式，各投标供应商可登录（http://ggzy.baoji.gov.cn/fwzn/004003/subPage.html）下载《政府采购电子标书制作工具》、《政府采购投标单位操作手册》,《政府采购电子交易-不见面系统操作手册》，并在投标截止时间前通过全国公共资源交易平台（陕西省·宝鸡市）宝鸡市公共资源交易中心网站递交电子响应文件。磋商时在线解密响应文件、在线询标、在线多轮报价。为了保证远程不见面开标顺利进行，投标人需使用配备相关设备的电脑提前一小时登录网络开标大厅。因供应商自身设施故障或自身原因导致无法完成磋商的，由供应商自行承担后果；（建议使用IE11或者360极速浏览器兼容模式，投标单位电脑需配备耳麦）</w:t>
      </w:r>
    </w:p>
    <w:p w14:paraId="081477C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5、未完成网上投标或未在规定时间内在平台上下载电子磋商文件的，导致无法完成后续流程的责任自负；</w:t>
      </w:r>
    </w:p>
    <w:p w14:paraId="2606999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6、有意向投标供应商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w:t>
      </w:r>
    </w:p>
    <w:p w14:paraId="3508B2B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7、供应商须提前在陕西省政府采购网（http://www.ccgp-shaanxi.gov.cn/），按照“供应商注册注意事项”要求，完成注册审核，以保证后续流程的进行。</w:t>
      </w:r>
    </w:p>
    <w:p w14:paraId="367A6C4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注意事项：投标供应商应随时留意可能发布的变更公告，当澄清或修改的内容影响投标文件编制时，将在交易平台上同步发布答疑文件，此时投标供应商应从“项目流程”答疑文件下载、下载最新发布的答疑文件。</w:t>
      </w:r>
    </w:p>
    <w:p w14:paraId="51BCC26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28F455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400" w:lineRule="exact"/>
        <w:ind w:left="0" w:right="0"/>
        <w:jc w:val="left"/>
        <w:textAlignment w:val="baseline"/>
        <w:rPr>
          <w:rFonts w:hint="eastAsia" w:asciiTheme="minorEastAsia" w:hAnsiTheme="minorEastAsia" w:eastAsiaTheme="minorEastAsia" w:cstheme="minorEastAsia"/>
          <w:b w:val="0"/>
          <w:bCs w:val="0"/>
          <w:color w:val="auto"/>
          <w:sz w:val="21"/>
          <w:szCs w:val="21"/>
        </w:rPr>
      </w:pPr>
      <w:r>
        <w:rPr>
          <w:rStyle w:val="28"/>
          <w:rFonts w:hint="eastAsia" w:asciiTheme="minorEastAsia" w:hAnsiTheme="minorEastAsia" w:eastAsiaTheme="minorEastAsia" w:cstheme="minorEastAsia"/>
          <w:b/>
          <w:bCs/>
          <w:i w:val="0"/>
          <w:iCs w:val="0"/>
          <w:caps w:val="0"/>
          <w:color w:val="auto"/>
          <w:spacing w:val="0"/>
          <w:sz w:val="21"/>
          <w:szCs w:val="21"/>
          <w:shd w:val="clear" w:fill="FFFFFF"/>
          <w:vertAlign w:val="baseline"/>
        </w:rPr>
        <w:t>八、对本次招标提出询问，请按以下方式联系。</w:t>
      </w:r>
    </w:p>
    <w:p w14:paraId="2756490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1.采购人信息</w:t>
      </w:r>
    </w:p>
    <w:p w14:paraId="4ED100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779" w:firstLineChars="371"/>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名称：宝鸡蟠龙高新技术产业开发区管理委员会</w:t>
      </w:r>
    </w:p>
    <w:p w14:paraId="3817541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779" w:firstLineChars="371"/>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地址：宝鸡市金台区蟠龙镇蟠龙观邸C区</w:t>
      </w:r>
    </w:p>
    <w:p w14:paraId="4189808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779" w:firstLineChars="371"/>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联系方式：0917-6261006</w:t>
      </w:r>
    </w:p>
    <w:p w14:paraId="74E3BD9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2.采购代理机构信息</w:t>
      </w:r>
    </w:p>
    <w:p w14:paraId="33BF047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779" w:firstLineChars="371"/>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名称：陕西佳信项目管理有限公司</w:t>
      </w:r>
    </w:p>
    <w:p w14:paraId="69B8775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779" w:firstLineChars="371"/>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地址：陕西省宝鸡市金台区卧龙寺街道办事处行政东路三迪金融中心8层806室</w:t>
      </w:r>
    </w:p>
    <w:p w14:paraId="2EAA0ED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779" w:firstLineChars="371"/>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联系方式：0917-3213637</w:t>
      </w:r>
    </w:p>
    <w:p w14:paraId="22B7C96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3.项目联系方式</w:t>
      </w:r>
    </w:p>
    <w:p w14:paraId="52467A0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779" w:firstLineChars="371"/>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项目联系人：严萍</w:t>
      </w:r>
    </w:p>
    <w:p w14:paraId="6B25C62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779" w:firstLineChars="371"/>
        <w:jc w:val="both"/>
        <w:textAlignment w:val="baseline"/>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pPr>
      <w:r>
        <w:rPr>
          <w:rFonts w:hint="eastAsia" w:asciiTheme="minorEastAsia" w:hAnsiTheme="minorEastAsia" w:eastAsiaTheme="minorEastAsia" w:cstheme="minorEastAsia"/>
          <w:i w:val="0"/>
          <w:iCs w:val="0"/>
          <w:caps w:val="0"/>
          <w:color w:val="auto"/>
          <w:spacing w:val="0"/>
          <w:kern w:val="0"/>
          <w:sz w:val="21"/>
          <w:szCs w:val="21"/>
          <w:shd w:val="clear" w:fill="FFFFFF"/>
          <w:vertAlign w:val="baseline"/>
          <w:lang w:val="en-US" w:eastAsia="zh-CN" w:bidi="ar"/>
        </w:rPr>
        <w:t>电话：0917-3213637</w:t>
      </w:r>
    </w:p>
    <w:p w14:paraId="5A08A95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right"/>
        <w:textAlignment w:val="baseline"/>
        <w:rPr>
          <w:rFonts w:hint="eastAsia" w:asciiTheme="minorEastAsia" w:hAnsiTheme="minorEastAsia" w:eastAsiaTheme="minorEastAsia" w:cstheme="minorEastAsia"/>
          <w:i w:val="0"/>
          <w:iCs w:val="0"/>
          <w:caps w:val="0"/>
          <w:color w:val="auto"/>
          <w:spacing w:val="0"/>
          <w:sz w:val="21"/>
          <w:szCs w:val="21"/>
          <w:highlight w:val="none"/>
          <w:lang w:eastAsia="zh-CN"/>
        </w:rPr>
      </w:pPr>
      <w:r>
        <w:rPr>
          <w:rFonts w:hint="eastAsia" w:asciiTheme="minorEastAsia" w:hAnsiTheme="minorEastAsia" w:eastAsiaTheme="minorEastAsia" w:cstheme="minorEastAsia"/>
          <w:i w:val="0"/>
          <w:iCs w:val="0"/>
          <w:caps w:val="0"/>
          <w:color w:val="auto"/>
          <w:spacing w:val="0"/>
          <w:sz w:val="21"/>
          <w:szCs w:val="21"/>
          <w:highlight w:val="none"/>
          <w:shd w:val="clear" w:fill="FFFFFF"/>
          <w:vertAlign w:val="baseline"/>
          <w:lang w:eastAsia="zh-CN"/>
        </w:rPr>
        <w:t>陕西佳信项目管理有限公司</w:t>
      </w:r>
    </w:p>
    <w:p w14:paraId="2A3467F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right"/>
        <w:textAlignment w:val="baseline"/>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shd w:val="clear" w:fill="FFFFFF"/>
          <w:vertAlign w:val="baseline"/>
        </w:rPr>
        <w:t>2025年0</w:t>
      </w:r>
      <w:r>
        <w:rPr>
          <w:rFonts w:hint="eastAsia" w:asciiTheme="minorEastAsia" w:hAnsiTheme="minorEastAsia" w:eastAsiaTheme="minorEastAsia" w:cstheme="minorEastAsia"/>
          <w:i w:val="0"/>
          <w:iCs w:val="0"/>
          <w:caps w:val="0"/>
          <w:color w:val="auto"/>
          <w:spacing w:val="0"/>
          <w:sz w:val="21"/>
          <w:szCs w:val="21"/>
          <w:highlight w:val="none"/>
          <w:shd w:val="clear" w:fill="FFFFFF"/>
          <w:vertAlign w:val="baseline"/>
          <w:lang w:val="en-US" w:eastAsia="zh-CN"/>
        </w:rPr>
        <w:t>8</w:t>
      </w:r>
      <w:r>
        <w:rPr>
          <w:rFonts w:hint="eastAsia" w:asciiTheme="minorEastAsia" w:hAnsiTheme="minorEastAsia" w:eastAsiaTheme="minorEastAsia" w:cstheme="minorEastAsia"/>
          <w:i w:val="0"/>
          <w:iCs w:val="0"/>
          <w:caps w:val="0"/>
          <w:color w:val="auto"/>
          <w:spacing w:val="0"/>
          <w:sz w:val="21"/>
          <w:szCs w:val="21"/>
          <w:highlight w:val="none"/>
          <w:shd w:val="clear" w:fill="FFFFFF"/>
          <w:vertAlign w:val="baseline"/>
        </w:rPr>
        <w:t>月</w:t>
      </w:r>
      <w:r>
        <w:rPr>
          <w:rFonts w:hint="eastAsia" w:asciiTheme="minorEastAsia" w:hAnsiTheme="minorEastAsia" w:eastAsiaTheme="minorEastAsia" w:cstheme="minorEastAsia"/>
          <w:i w:val="0"/>
          <w:iCs w:val="0"/>
          <w:caps w:val="0"/>
          <w:color w:val="auto"/>
          <w:spacing w:val="0"/>
          <w:sz w:val="21"/>
          <w:szCs w:val="21"/>
          <w:highlight w:val="none"/>
          <w:shd w:val="clear" w:fill="FFFFFF"/>
          <w:vertAlign w:val="baseline"/>
          <w:lang w:val="en-US" w:eastAsia="zh-CN"/>
        </w:rPr>
        <w:t>14</w:t>
      </w:r>
      <w:r>
        <w:rPr>
          <w:rFonts w:hint="eastAsia" w:asciiTheme="minorEastAsia" w:hAnsiTheme="minorEastAsia" w:eastAsiaTheme="minorEastAsia" w:cstheme="minorEastAsia"/>
          <w:i w:val="0"/>
          <w:iCs w:val="0"/>
          <w:caps w:val="0"/>
          <w:color w:val="auto"/>
          <w:spacing w:val="0"/>
          <w:sz w:val="21"/>
          <w:szCs w:val="21"/>
          <w:highlight w:val="none"/>
          <w:shd w:val="clear" w:fill="FFFFFF"/>
          <w:vertAlign w:val="baseline"/>
        </w:rPr>
        <w:t>日</w:t>
      </w:r>
    </w:p>
    <w:p w14:paraId="58D862DA">
      <w:pPr>
        <w:pStyle w:val="24"/>
        <w:shd w:val="clear" w:color="auto"/>
        <w:spacing w:before="0" w:beforeAutospacing="0" w:after="0" w:afterAutospacing="0" w:line="384" w:lineRule="atLeast"/>
        <w:ind w:firstLine="384"/>
        <w:jc w:val="both"/>
        <w:textAlignment w:val="baseline"/>
        <w:rPr>
          <w:rFonts w:hint="eastAsia" w:asciiTheme="minorEastAsia" w:hAnsiTheme="minorEastAsia" w:eastAsiaTheme="minorEastAsia" w:cstheme="minorEastAsia"/>
          <w:color w:val="auto"/>
          <w:sz w:val="21"/>
          <w:szCs w:val="21"/>
          <w:highlight w:val="none"/>
        </w:rPr>
      </w:pPr>
    </w:p>
    <w:p w14:paraId="546E629B">
      <w:pPr>
        <w:shd w:val="clea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p>
    <w:p w14:paraId="1CA589A9">
      <w:pPr>
        <w:widowControl/>
        <w:shd w:val="clear"/>
        <w:tabs>
          <w:tab w:val="center" w:pos="4466"/>
          <w:tab w:val="right" w:pos="8479"/>
        </w:tabs>
        <w:spacing w:line="360" w:lineRule="auto"/>
        <w:ind w:right="78" w:rightChars="28"/>
        <w:jc w:val="center"/>
        <w:outlineLvl w:val="0"/>
        <w:rPr>
          <w:rFonts w:hint="eastAsia" w:asciiTheme="minorEastAsia" w:hAnsiTheme="minorEastAsia" w:eastAsiaTheme="minorEastAsia" w:cstheme="minorEastAsia"/>
          <w:b/>
          <w:bCs/>
          <w:color w:val="auto"/>
          <w:sz w:val="44"/>
          <w:szCs w:val="44"/>
          <w:highlight w:val="none"/>
        </w:rPr>
      </w:pPr>
      <w:bookmarkStart w:id="1" w:name="_Toc8887"/>
      <w:r>
        <w:rPr>
          <w:rFonts w:hint="eastAsia" w:asciiTheme="minorEastAsia" w:hAnsiTheme="minorEastAsia" w:eastAsiaTheme="minorEastAsia" w:cstheme="minorEastAsia"/>
          <w:b/>
          <w:bCs/>
          <w:color w:val="auto"/>
          <w:sz w:val="44"/>
          <w:szCs w:val="44"/>
          <w:highlight w:val="none"/>
        </w:rPr>
        <w:t>第二章  竞争性磋商须知</w:t>
      </w:r>
      <w:bookmarkEnd w:id="1"/>
    </w:p>
    <w:p w14:paraId="629FF0B4">
      <w:pPr>
        <w:pStyle w:val="3"/>
        <w:shd w:val="clear"/>
        <w:spacing w:before="0" w:after="0" w:line="48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一、供应商须知前附表</w:t>
      </w:r>
    </w:p>
    <w:tbl>
      <w:tblPr>
        <w:tblStyle w:val="25"/>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24"/>
        <w:gridCol w:w="6449"/>
      </w:tblGrid>
      <w:tr w14:paraId="6DFF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4222F2CB">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024" w:type="dxa"/>
            <w:vAlign w:val="center"/>
          </w:tcPr>
          <w:p w14:paraId="5D2FB1BD">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条款名称</w:t>
            </w:r>
          </w:p>
        </w:tc>
        <w:tc>
          <w:tcPr>
            <w:tcW w:w="6449" w:type="dxa"/>
          </w:tcPr>
          <w:p w14:paraId="1367CFE2">
            <w:pPr>
              <w:shd w:val="clea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说明和要求</w:t>
            </w:r>
          </w:p>
        </w:tc>
      </w:tr>
      <w:tr w14:paraId="7BF5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54CBEBED">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024" w:type="dxa"/>
            <w:vAlign w:val="center"/>
          </w:tcPr>
          <w:p w14:paraId="1C4788DC">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w:t>
            </w:r>
          </w:p>
        </w:tc>
        <w:tc>
          <w:tcPr>
            <w:tcW w:w="6449" w:type="dxa"/>
          </w:tcPr>
          <w:p w14:paraId="7F8A39BB">
            <w:pPr>
              <w:widowControl/>
              <w:shd w:val="clear"/>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宝鸡蟠龙高新技术产业开发区管理委员会</w:t>
            </w:r>
          </w:p>
          <w:p w14:paraId="3ECB6EE5">
            <w:pPr>
              <w:widowControl/>
              <w:shd w:val="clea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地址：宝鸡市金台区蟠龙镇蟠龙观邸C区</w:t>
            </w:r>
          </w:p>
          <w:p w14:paraId="4DAE33C2">
            <w:pPr>
              <w:widowControl/>
              <w:shd w:val="clear"/>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杨军平</w:t>
            </w:r>
          </w:p>
          <w:p w14:paraId="32EAA3A2">
            <w:pPr>
              <w:widowControl/>
              <w:shd w:val="clear"/>
              <w:spacing w:line="360"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0917-6261006</w:t>
            </w:r>
          </w:p>
        </w:tc>
      </w:tr>
      <w:tr w14:paraId="55EB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3C1B230F">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024" w:type="dxa"/>
            <w:vAlign w:val="center"/>
          </w:tcPr>
          <w:p w14:paraId="75B8FEA6">
            <w:pPr>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w:t>
            </w:r>
          </w:p>
        </w:tc>
        <w:tc>
          <w:tcPr>
            <w:tcW w:w="6449" w:type="dxa"/>
          </w:tcPr>
          <w:p w14:paraId="0A56D46D">
            <w:pPr>
              <w:shd w:val="clear"/>
              <w:spacing w:line="365"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陕西佳信项目管理有限公司</w:t>
            </w:r>
          </w:p>
          <w:p w14:paraId="39C57626">
            <w:pPr>
              <w:shd w:val="clear"/>
              <w:spacing w:line="365"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陕西省宝鸡市金台区行政东路三迪金融中心8层806室</w:t>
            </w:r>
          </w:p>
          <w:p w14:paraId="3FE37AC7">
            <w:pPr>
              <w:shd w:val="clear"/>
              <w:spacing w:line="365"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严萍</w:t>
            </w:r>
          </w:p>
          <w:p w14:paraId="05F4DD69">
            <w:pPr>
              <w:shd w:val="clear"/>
              <w:spacing w:line="365"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eastAsia="zh-CN"/>
              </w:rPr>
              <w:t>0917-3213637</w:t>
            </w:r>
          </w:p>
        </w:tc>
      </w:tr>
      <w:tr w14:paraId="68B0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14:paraId="0F35585F">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024" w:type="dxa"/>
            <w:vAlign w:val="center"/>
          </w:tcPr>
          <w:p w14:paraId="79263B18">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监督管理机构</w:t>
            </w:r>
          </w:p>
        </w:tc>
        <w:tc>
          <w:tcPr>
            <w:tcW w:w="6449" w:type="dxa"/>
          </w:tcPr>
          <w:p w14:paraId="66432406">
            <w:pPr>
              <w:shd w:val="clear"/>
              <w:spacing w:line="365"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宝鸡市金台区财政局</w:t>
            </w:r>
          </w:p>
        </w:tc>
      </w:tr>
      <w:tr w14:paraId="0DB6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43C094EA">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024" w:type="dxa"/>
            <w:vAlign w:val="center"/>
          </w:tcPr>
          <w:p w14:paraId="3F82AD3A">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6449" w:type="dxa"/>
          </w:tcPr>
          <w:p w14:paraId="6250C296">
            <w:pPr>
              <w:shd w:val="clear"/>
              <w:spacing w:line="365"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蟠龙高新区国民经济和社会发展第十五个五年规划编制与产业创新集群行动计划工作编制项目</w:t>
            </w:r>
          </w:p>
        </w:tc>
      </w:tr>
      <w:tr w14:paraId="65EC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14:paraId="57BBB9BC">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024" w:type="dxa"/>
            <w:vAlign w:val="center"/>
          </w:tcPr>
          <w:p w14:paraId="737E7C38">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tc>
        <w:tc>
          <w:tcPr>
            <w:tcW w:w="6449" w:type="dxa"/>
          </w:tcPr>
          <w:p w14:paraId="4AF607AC">
            <w:pPr>
              <w:shd w:val="clear"/>
              <w:spacing w:line="365"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SXJX-2025-010号</w:t>
            </w:r>
          </w:p>
        </w:tc>
      </w:tr>
      <w:tr w14:paraId="2B90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3E9F14B4">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024" w:type="dxa"/>
            <w:vAlign w:val="center"/>
          </w:tcPr>
          <w:p w14:paraId="2A1737A4">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资金性质</w:t>
            </w:r>
          </w:p>
        </w:tc>
        <w:tc>
          <w:tcPr>
            <w:tcW w:w="6449" w:type="dxa"/>
          </w:tcPr>
          <w:p w14:paraId="47F85D3D">
            <w:pPr>
              <w:shd w:val="clear"/>
              <w:spacing w:line="365"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财政资金</w:t>
            </w:r>
          </w:p>
        </w:tc>
      </w:tr>
      <w:tr w14:paraId="120D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9" w:type="dxa"/>
            <w:vAlign w:val="center"/>
          </w:tcPr>
          <w:p w14:paraId="6B79B4C1">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2024" w:type="dxa"/>
            <w:vAlign w:val="center"/>
          </w:tcPr>
          <w:p w14:paraId="51F6A8F5">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p>
        </w:tc>
        <w:tc>
          <w:tcPr>
            <w:tcW w:w="6449" w:type="dxa"/>
            <w:vAlign w:val="center"/>
          </w:tcPr>
          <w:p w14:paraId="4F14973C">
            <w:pPr>
              <w:shd w:val="clear"/>
              <w:spacing w:line="365"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0000.00元</w:t>
            </w:r>
          </w:p>
        </w:tc>
      </w:tr>
      <w:tr w14:paraId="4D79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14:paraId="70415995">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2024" w:type="dxa"/>
            <w:vAlign w:val="center"/>
          </w:tcPr>
          <w:p w14:paraId="5EAB2118">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项目用途</w:t>
            </w:r>
          </w:p>
        </w:tc>
        <w:tc>
          <w:tcPr>
            <w:tcW w:w="6449" w:type="dxa"/>
            <w:vAlign w:val="center"/>
          </w:tcPr>
          <w:p w14:paraId="70015292">
            <w:pPr>
              <w:shd w:val="clear"/>
              <w:spacing w:line="365"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第十五个五年规划编制与产业创新集群行动计划工作编制</w:t>
            </w:r>
          </w:p>
        </w:tc>
      </w:tr>
      <w:tr w14:paraId="5DA4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0B07D88C">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2024" w:type="dxa"/>
            <w:vAlign w:val="center"/>
          </w:tcPr>
          <w:p w14:paraId="5D3FCEBE">
            <w:pPr>
              <w:shd w:val="clear"/>
              <w:spacing w:line="365"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采购内容和要求</w:t>
            </w:r>
          </w:p>
        </w:tc>
        <w:tc>
          <w:tcPr>
            <w:tcW w:w="6449" w:type="dxa"/>
            <w:vAlign w:val="center"/>
          </w:tcPr>
          <w:p w14:paraId="2E8D1D21">
            <w:pPr>
              <w:shd w:val="clear"/>
              <w:spacing w:line="365"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详见第三章</w:t>
            </w:r>
          </w:p>
        </w:tc>
      </w:tr>
      <w:tr w14:paraId="05D5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4B3A7699">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2024" w:type="dxa"/>
            <w:vAlign w:val="center"/>
          </w:tcPr>
          <w:p w14:paraId="0C623D8B">
            <w:pPr>
              <w:shd w:val="clear"/>
              <w:spacing w:line="48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w:t>
            </w:r>
          </w:p>
        </w:tc>
        <w:tc>
          <w:tcPr>
            <w:tcW w:w="6449" w:type="dxa"/>
          </w:tcPr>
          <w:p w14:paraId="7A8845E5">
            <w:pPr>
              <w:shd w:val="clear"/>
              <w:spacing w:line="4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"http://baike.baidu.com/view/8707.htm" \t "_blank"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highlight w:val="none"/>
              </w:rPr>
              <w:t>磋商</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并且符合竞争性磋商文件规定资格条件和参加磋商竞争的法人。</w:t>
            </w:r>
          </w:p>
        </w:tc>
      </w:tr>
      <w:tr w14:paraId="1AC6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049FD487">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2024" w:type="dxa"/>
            <w:vAlign w:val="center"/>
          </w:tcPr>
          <w:p w14:paraId="231DA3CE">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供应商资格要求</w:t>
            </w:r>
          </w:p>
        </w:tc>
        <w:tc>
          <w:tcPr>
            <w:tcW w:w="6449" w:type="dxa"/>
          </w:tcPr>
          <w:p w14:paraId="4006AB55">
            <w:pPr>
              <w:pStyle w:val="24"/>
              <w:shd w:val="clear"/>
              <w:spacing w:before="0" w:beforeAutospacing="0" w:after="0" w:afterAutospacing="0" w:line="480" w:lineRule="atLeast"/>
              <w:jc w:val="both"/>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1.满足《中华人民共和国政府采购法》第二十二条规定;</w:t>
            </w:r>
          </w:p>
          <w:p w14:paraId="13C7C277">
            <w:pPr>
              <w:pStyle w:val="24"/>
              <w:shd w:val="clear"/>
              <w:spacing w:before="0" w:beforeAutospacing="0" w:after="0" w:afterAutospacing="0" w:line="480" w:lineRule="atLeast"/>
              <w:jc w:val="both"/>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2.落实政府采购政策需满足的资格要求：</w:t>
            </w:r>
          </w:p>
          <w:p w14:paraId="49254C6F">
            <w:pPr>
              <w:pStyle w:val="24"/>
              <w:shd w:val="clear"/>
              <w:spacing w:before="0" w:beforeAutospacing="0" w:after="0" w:afterAutospacing="0" w:line="480" w:lineRule="atLeast"/>
              <w:ind w:firstLine="480" w:firstLineChars="200"/>
              <w:jc w:val="both"/>
              <w:textAlignment w:val="baseline"/>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合同包1(</w:t>
            </w:r>
            <w:r>
              <w:rPr>
                <w:rFonts w:hint="eastAsia" w:asciiTheme="minorEastAsia" w:hAnsiTheme="minorEastAsia" w:eastAsiaTheme="minorEastAsia" w:cstheme="minorEastAsia"/>
                <w:color w:val="auto"/>
                <w:highlight w:val="none"/>
                <w:shd w:val="clear" w:color="auto" w:fill="FFFFFF"/>
                <w:lang w:eastAsia="zh-CN"/>
              </w:rPr>
              <w:t>蟠龙高新区国民经济和社会发展第十五个五年规划编制与产业创新集群行动计划工作编制项目</w:t>
            </w:r>
            <w:r>
              <w:rPr>
                <w:rFonts w:hint="eastAsia" w:asciiTheme="minorEastAsia" w:hAnsiTheme="minorEastAsia" w:eastAsiaTheme="minorEastAsia" w:cstheme="minorEastAsia"/>
                <w:color w:val="auto"/>
                <w:highlight w:val="none"/>
                <w:shd w:val="clear" w:color="auto" w:fill="FFFFFF"/>
              </w:rPr>
              <w:t>)落实政府采购政策需满足的资格要求如下:</w:t>
            </w:r>
          </w:p>
          <w:p w14:paraId="04687280">
            <w:pPr>
              <w:pStyle w:val="24"/>
              <w:shd w:val="clear"/>
              <w:spacing w:before="0" w:beforeAutospacing="0" w:after="0" w:afterAutospacing="0" w:line="480" w:lineRule="atLeast"/>
              <w:ind w:firstLine="482" w:firstLineChars="200"/>
              <w:jc w:val="both"/>
              <w:textAlignment w:val="baseline"/>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b/>
                <w:bCs/>
                <w:color w:val="auto"/>
                <w:highlight w:val="none"/>
                <w:shd w:val="clear" w:color="auto" w:fill="FFFFFF"/>
              </w:rPr>
              <w:t>本项目专门面向中小企业采购。</w:t>
            </w:r>
            <w:r>
              <w:rPr>
                <w:rFonts w:hint="eastAsia" w:asciiTheme="minorEastAsia" w:hAnsiTheme="minorEastAsia" w:eastAsiaTheme="minorEastAsia" w:cstheme="minorEastAsia"/>
                <w:color w:val="auto"/>
                <w:highlight w:val="none"/>
                <w:shd w:val="clear" w:color="auto" w:fill="FFFFFF"/>
              </w:rPr>
              <w:t>（残疾人福利性单位、监狱企业视同小型、微型企业）；须符合《政府采购促进中小企业发展管理办法》（财库〔2020〕46号）规定的中小企业参加。本项目采购标的所属行业为：其他未列明行业；</w:t>
            </w:r>
          </w:p>
          <w:p w14:paraId="31979FB0">
            <w:pPr>
              <w:pStyle w:val="24"/>
              <w:shd w:val="clear"/>
              <w:spacing w:before="0" w:beforeAutospacing="0" w:after="0" w:afterAutospacing="0" w:line="480" w:lineRule="atLeast"/>
              <w:jc w:val="both"/>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3.本项目的特定资格要求：</w:t>
            </w:r>
          </w:p>
          <w:p w14:paraId="46DD5551">
            <w:pPr>
              <w:pStyle w:val="24"/>
              <w:shd w:val="clear"/>
              <w:spacing w:before="0" w:beforeAutospacing="0" w:after="0" w:afterAutospacing="0" w:line="480" w:lineRule="atLeast"/>
              <w:jc w:val="both"/>
              <w:textAlignment w:val="baseline"/>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合同包1(</w:t>
            </w:r>
            <w:r>
              <w:rPr>
                <w:rFonts w:hint="eastAsia" w:asciiTheme="minorEastAsia" w:hAnsiTheme="minorEastAsia" w:eastAsiaTheme="minorEastAsia" w:cstheme="minorEastAsia"/>
                <w:color w:val="auto"/>
                <w:highlight w:val="none"/>
                <w:shd w:val="clear" w:color="auto" w:fill="FFFFFF"/>
                <w:lang w:eastAsia="zh-CN"/>
              </w:rPr>
              <w:t>蟠龙高新区国民经济和社会发展第十五个五年规划编制与产业创新集群行动计划工作编制项目</w:t>
            </w:r>
            <w:r>
              <w:rPr>
                <w:rFonts w:hint="eastAsia" w:asciiTheme="minorEastAsia" w:hAnsiTheme="minorEastAsia" w:eastAsiaTheme="minorEastAsia" w:cstheme="minorEastAsia"/>
                <w:color w:val="auto"/>
                <w:highlight w:val="none"/>
                <w:shd w:val="clear" w:color="auto" w:fill="FFFFFF"/>
              </w:rPr>
              <w:t>)特定资格要求如下:</w:t>
            </w:r>
          </w:p>
          <w:p w14:paraId="65D71089">
            <w:pPr>
              <w:pStyle w:val="2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right="0" w:rightChars="0"/>
              <w:jc w:val="both"/>
              <w:textAlignment w:val="baseline"/>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（2）</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供应商须提供2024年度财务审计报告（成立时间至提交投标文件截止时间不足一年的可提供成立后任意时段的资产负债表）或基本存款账户开户银行出具的资信证明（附开户许可证或开户备案证明）；</w:t>
            </w:r>
          </w:p>
          <w:p w14:paraId="4A5B7375">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right="0" w:rightChars="0"/>
              <w:jc w:val="both"/>
              <w:textAlignment w:val="baseline"/>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（3）</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（4）</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（9）提供具有履行合同所必需的设备和专业技术能力的承诺书；</w:t>
            </w:r>
          </w:p>
          <w:p w14:paraId="4A45BBC1">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right="0" w:rightChars="0"/>
              <w:jc w:val="both"/>
              <w:textAlignment w:val="baseline"/>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val="en-US" w:eastAsia="zh-CN"/>
              </w:rPr>
              <w:t>10</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供应商须</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提供城乡规划编制资质乙级及以上证书。</w:t>
            </w:r>
          </w:p>
        </w:tc>
      </w:tr>
      <w:tr w14:paraId="114D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7205C2A2">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2024" w:type="dxa"/>
            <w:vAlign w:val="center"/>
          </w:tcPr>
          <w:p w14:paraId="27D9E061">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服务期、项目地点</w:t>
            </w:r>
          </w:p>
        </w:tc>
        <w:tc>
          <w:tcPr>
            <w:tcW w:w="6449" w:type="dxa"/>
          </w:tcPr>
          <w:p w14:paraId="27557012">
            <w:pPr>
              <w:pStyle w:val="24"/>
              <w:shd w:val="clear"/>
              <w:wordWrap w:val="0"/>
              <w:spacing w:before="0" w:beforeAutospacing="0" w:after="0" w:afterAutospacing="0" w:line="360" w:lineRule="auto"/>
              <w:jc w:val="both"/>
              <w:rPr>
                <w:rFonts w:hint="eastAsia" w:asciiTheme="minorEastAsia" w:hAnsiTheme="minorEastAsia" w:eastAsiaTheme="minorEastAsia" w:cstheme="minorEastAsia"/>
                <w:color w:val="auto"/>
                <w:kern w:val="2"/>
                <w:szCs w:val="20"/>
                <w:highlight w:val="none"/>
                <w:lang w:eastAsia="zh-CN"/>
              </w:rPr>
            </w:pPr>
            <w:r>
              <w:rPr>
                <w:rFonts w:hint="eastAsia" w:asciiTheme="minorEastAsia" w:hAnsiTheme="minorEastAsia" w:eastAsiaTheme="minorEastAsia" w:cstheme="minorEastAsia"/>
                <w:color w:val="auto"/>
                <w:kern w:val="2"/>
                <w:szCs w:val="20"/>
                <w:highlight w:val="none"/>
              </w:rPr>
              <w:t>服务期：</w:t>
            </w:r>
            <w:r>
              <w:rPr>
                <w:rFonts w:hint="eastAsia" w:asciiTheme="minorEastAsia" w:hAnsiTheme="minorEastAsia" w:eastAsiaTheme="minorEastAsia" w:cstheme="minorEastAsia"/>
                <w:color w:val="auto"/>
                <w:kern w:val="2"/>
                <w:szCs w:val="20"/>
                <w:highlight w:val="none"/>
                <w:lang w:eastAsia="zh-CN"/>
              </w:rPr>
              <w:t>自合同签订之日起</w:t>
            </w:r>
            <w:r>
              <w:rPr>
                <w:rFonts w:hint="eastAsia" w:asciiTheme="minorEastAsia" w:hAnsiTheme="minorEastAsia" w:eastAsiaTheme="minorEastAsia" w:cstheme="minorEastAsia"/>
                <w:color w:val="auto"/>
                <w:kern w:val="2"/>
                <w:szCs w:val="20"/>
                <w:highlight w:val="none"/>
                <w:lang w:val="en-US" w:eastAsia="zh-CN"/>
              </w:rPr>
              <w:t>180</w:t>
            </w:r>
            <w:r>
              <w:rPr>
                <w:rFonts w:hint="eastAsia" w:asciiTheme="minorEastAsia" w:hAnsiTheme="minorEastAsia" w:eastAsiaTheme="minorEastAsia" w:cstheme="minorEastAsia"/>
                <w:color w:val="auto"/>
                <w:kern w:val="2"/>
                <w:szCs w:val="20"/>
                <w:highlight w:val="none"/>
                <w:lang w:eastAsia="zh-CN"/>
              </w:rPr>
              <w:t>日历天内完成</w:t>
            </w:r>
          </w:p>
          <w:p w14:paraId="1C2B0E0E">
            <w:pPr>
              <w:shd w:val="clea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项目地点</w:t>
            </w:r>
            <w:r>
              <w:rPr>
                <w:rFonts w:hint="eastAsia" w:asciiTheme="minorEastAsia" w:hAnsiTheme="minorEastAsia" w:eastAsiaTheme="minorEastAsia" w:cstheme="minorEastAsia"/>
                <w:color w:val="auto"/>
                <w:sz w:val="24"/>
                <w:highlight w:val="none"/>
                <w:lang w:val="zh-CN"/>
              </w:rPr>
              <w:t>：采购人指定地点</w:t>
            </w:r>
          </w:p>
        </w:tc>
      </w:tr>
      <w:tr w14:paraId="2247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Align w:val="center"/>
          </w:tcPr>
          <w:p w14:paraId="5B53B963">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2024" w:type="dxa"/>
            <w:vAlign w:val="center"/>
          </w:tcPr>
          <w:p w14:paraId="12D9FFF9">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竞争性磋商文件获取</w:t>
            </w:r>
          </w:p>
        </w:tc>
        <w:tc>
          <w:tcPr>
            <w:tcW w:w="6449" w:type="dxa"/>
          </w:tcPr>
          <w:p w14:paraId="2249931E">
            <w:pPr>
              <w:pStyle w:val="64"/>
              <w:shd w:val="clear"/>
              <w:spacing w:line="460" w:lineRule="exact"/>
              <w:ind w:left="240" w:hanging="240" w:hanging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获取</w:t>
            </w: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shd w:val="clear" w:color="auto" w:fill="FFFFFF"/>
              </w:rPr>
              <w:t>2025年0</w:t>
            </w:r>
            <w:r>
              <w:rPr>
                <w:rFonts w:hint="eastAsia" w:asciiTheme="minorEastAsia" w:hAnsiTheme="minorEastAsia" w:eastAsiaTheme="minorEastAsia" w:cstheme="minorEastAsia"/>
                <w:color w:val="auto"/>
                <w:sz w:val="24"/>
                <w:szCs w:val="24"/>
                <w:highlight w:val="none"/>
                <w:shd w:val="clear" w:color="auto" w:fill="FFFFFF"/>
                <w:lang w:val="en-US" w:eastAsia="zh-CN"/>
              </w:rPr>
              <w:t>8</w:t>
            </w:r>
            <w:r>
              <w:rPr>
                <w:rFonts w:hint="eastAsia" w:asciiTheme="minorEastAsia" w:hAnsiTheme="minorEastAsia" w:eastAsiaTheme="minorEastAsia" w:cstheme="minorEastAsia"/>
                <w:color w:val="auto"/>
                <w:sz w:val="24"/>
                <w:szCs w:val="24"/>
                <w:highlight w:val="none"/>
                <w:shd w:val="clear" w:color="auto" w:fill="FFFFFF"/>
              </w:rPr>
              <w:t>月</w:t>
            </w:r>
            <w:r>
              <w:rPr>
                <w:rFonts w:hint="eastAsia" w:asciiTheme="minorEastAsia" w:hAnsiTheme="minorEastAsia" w:eastAsiaTheme="minorEastAsia" w:cstheme="minorEastAsia"/>
                <w:color w:val="auto"/>
                <w:sz w:val="24"/>
                <w:szCs w:val="24"/>
                <w:highlight w:val="none"/>
                <w:shd w:val="clear" w:color="auto" w:fill="FFFFFF"/>
                <w:lang w:val="en-US" w:eastAsia="zh-CN"/>
              </w:rPr>
              <w:t>15</w:t>
            </w:r>
            <w:r>
              <w:rPr>
                <w:rFonts w:hint="eastAsia" w:asciiTheme="minorEastAsia" w:hAnsiTheme="minorEastAsia" w:eastAsiaTheme="minorEastAsia" w:cstheme="minorEastAsia"/>
                <w:color w:val="auto"/>
                <w:sz w:val="24"/>
                <w:szCs w:val="24"/>
                <w:highlight w:val="none"/>
                <w:shd w:val="clear" w:color="auto" w:fill="FFFFFF"/>
              </w:rPr>
              <w:t>日至2025年0</w:t>
            </w:r>
            <w:r>
              <w:rPr>
                <w:rFonts w:hint="eastAsia" w:asciiTheme="minorEastAsia" w:hAnsiTheme="minorEastAsia" w:eastAsiaTheme="minorEastAsia" w:cstheme="minorEastAsia"/>
                <w:color w:val="auto"/>
                <w:sz w:val="24"/>
                <w:szCs w:val="24"/>
                <w:highlight w:val="none"/>
                <w:shd w:val="clear" w:color="auto" w:fill="FFFFFF"/>
                <w:lang w:val="en-US" w:eastAsia="zh-CN"/>
              </w:rPr>
              <w:t>8</w:t>
            </w:r>
            <w:r>
              <w:rPr>
                <w:rFonts w:hint="eastAsia" w:asciiTheme="minorEastAsia" w:hAnsiTheme="minorEastAsia" w:eastAsiaTheme="minorEastAsia" w:cstheme="minorEastAsia"/>
                <w:color w:val="auto"/>
                <w:sz w:val="24"/>
                <w:szCs w:val="24"/>
                <w:highlight w:val="none"/>
                <w:shd w:val="clear" w:color="auto" w:fill="FFFFFF"/>
              </w:rPr>
              <w:t>月</w:t>
            </w:r>
            <w:r>
              <w:rPr>
                <w:rFonts w:hint="eastAsia" w:asciiTheme="minorEastAsia" w:hAnsiTheme="minorEastAsia" w:eastAsiaTheme="minorEastAsia" w:cstheme="minorEastAsia"/>
                <w:color w:val="auto"/>
                <w:sz w:val="24"/>
                <w:szCs w:val="24"/>
                <w:highlight w:val="none"/>
                <w:shd w:val="clear" w:color="auto" w:fill="FFFFFF"/>
                <w:lang w:val="en-US" w:eastAsia="zh-CN"/>
              </w:rPr>
              <w:t>21</w:t>
            </w:r>
            <w:r>
              <w:rPr>
                <w:rFonts w:hint="eastAsia" w:asciiTheme="minorEastAsia" w:hAnsiTheme="minorEastAsia" w:eastAsiaTheme="minorEastAsia" w:cstheme="minorEastAsia"/>
                <w:color w:val="auto"/>
                <w:sz w:val="24"/>
                <w:szCs w:val="24"/>
                <w:highlight w:val="none"/>
                <w:shd w:val="clear" w:color="auto" w:fill="FFFFFF"/>
              </w:rPr>
              <w:t>日</w:t>
            </w:r>
            <w:r>
              <w:rPr>
                <w:rFonts w:hint="eastAsia" w:asciiTheme="minorEastAsia" w:hAnsiTheme="minorEastAsia" w:eastAsiaTheme="minorEastAsia" w:cstheme="minorEastAsia"/>
                <w:color w:val="auto"/>
                <w:sz w:val="24"/>
                <w:szCs w:val="24"/>
                <w:highlight w:val="none"/>
              </w:rPr>
              <w:t>9:00-17:00止（节假日除外）。</w:t>
            </w:r>
          </w:p>
          <w:p w14:paraId="57C4514F">
            <w:pPr>
              <w:pStyle w:val="64"/>
              <w:shd w:val="clear"/>
              <w:spacing w:line="4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获取</w:t>
            </w:r>
            <w:r>
              <w:rPr>
                <w:rFonts w:hint="eastAsia" w:asciiTheme="minorEastAsia" w:hAnsiTheme="minorEastAsia" w:eastAsiaTheme="minorEastAsia" w:cstheme="minorEastAsia"/>
                <w:color w:val="auto"/>
                <w:sz w:val="24"/>
                <w:szCs w:val="24"/>
                <w:highlight w:val="none"/>
              </w:rPr>
              <w:t>地点：在线获取。</w:t>
            </w:r>
          </w:p>
        </w:tc>
      </w:tr>
      <w:tr w14:paraId="0EF5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9" w:type="dxa"/>
            <w:vAlign w:val="center"/>
          </w:tcPr>
          <w:p w14:paraId="41AA91F1">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2024" w:type="dxa"/>
            <w:vAlign w:val="center"/>
          </w:tcPr>
          <w:p w14:paraId="0898EF11">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联合体磋商</w:t>
            </w:r>
          </w:p>
        </w:tc>
        <w:tc>
          <w:tcPr>
            <w:tcW w:w="6449" w:type="dxa"/>
          </w:tcPr>
          <w:p w14:paraId="5FFB2B70">
            <w:pPr>
              <w:shd w:val="clear"/>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不接受</w:t>
            </w:r>
          </w:p>
        </w:tc>
      </w:tr>
      <w:tr w14:paraId="568A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99" w:type="dxa"/>
            <w:vAlign w:val="center"/>
          </w:tcPr>
          <w:p w14:paraId="1C8DAEA2">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2024" w:type="dxa"/>
            <w:vAlign w:val="center"/>
          </w:tcPr>
          <w:p w14:paraId="6B15AF54">
            <w:pPr>
              <w:shd w:val="clear"/>
              <w:spacing w:line="4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现场勘查、标前答疑会</w:t>
            </w:r>
          </w:p>
        </w:tc>
        <w:tc>
          <w:tcPr>
            <w:tcW w:w="6449" w:type="dxa"/>
            <w:vAlign w:val="center"/>
          </w:tcPr>
          <w:p w14:paraId="7A540D6E">
            <w:pPr>
              <w:shd w:val="clear"/>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不统一组织。供应商认为有必要可自行勘查，并承担所有费用及风险。</w:t>
            </w:r>
          </w:p>
        </w:tc>
      </w:tr>
      <w:tr w14:paraId="4CA8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48547B7A">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2024" w:type="dxa"/>
            <w:vAlign w:val="center"/>
          </w:tcPr>
          <w:p w14:paraId="1E55288E">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供应商对竞争性磋商文件提出质疑的时间</w:t>
            </w:r>
          </w:p>
        </w:tc>
        <w:tc>
          <w:tcPr>
            <w:tcW w:w="6449" w:type="dxa"/>
          </w:tcPr>
          <w:p w14:paraId="27D3DF5C">
            <w:pPr>
              <w:shd w:val="clear"/>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可在领取磋商文件之日起或本项目磋商公告期限届满之日起七个工作日内，以书面形式向采购代理机构一次性提出，</w:t>
            </w:r>
            <w:r>
              <w:rPr>
                <w:rFonts w:hint="eastAsia" w:asciiTheme="minorEastAsia" w:hAnsiTheme="minorEastAsia" w:eastAsiaTheme="minorEastAsia" w:cstheme="minorEastAsia"/>
                <w:color w:val="auto"/>
                <w:sz w:val="24"/>
                <w:highlight w:val="none"/>
              </w:rPr>
              <w:t>在此之后提出的质疑无效</w:t>
            </w:r>
            <w:r>
              <w:rPr>
                <w:rFonts w:hint="eastAsia" w:asciiTheme="minorEastAsia" w:hAnsiTheme="minorEastAsia" w:eastAsiaTheme="minorEastAsia" w:cstheme="minorEastAsia"/>
                <w:color w:val="auto"/>
                <w:sz w:val="24"/>
                <w:szCs w:val="24"/>
                <w:highlight w:val="none"/>
              </w:rPr>
              <w:t>。</w:t>
            </w:r>
          </w:p>
        </w:tc>
      </w:tr>
      <w:tr w14:paraId="3F3A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768EFB91">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2024" w:type="dxa"/>
            <w:vAlign w:val="center"/>
          </w:tcPr>
          <w:p w14:paraId="5ED90C93">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构成竞争性磋商文件的其他文件</w:t>
            </w:r>
          </w:p>
        </w:tc>
        <w:tc>
          <w:tcPr>
            <w:tcW w:w="6449" w:type="dxa"/>
          </w:tcPr>
          <w:p w14:paraId="5AF75641">
            <w:pPr>
              <w:shd w:val="clear"/>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竞争性磋商文件的澄清、修改及有关补充通知均为竞争性磋商文件的有效组成部分。</w:t>
            </w:r>
          </w:p>
        </w:tc>
      </w:tr>
      <w:tr w14:paraId="3C1B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06CE898D">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w:t>
            </w:r>
          </w:p>
        </w:tc>
        <w:tc>
          <w:tcPr>
            <w:tcW w:w="2024" w:type="dxa"/>
            <w:vAlign w:val="center"/>
          </w:tcPr>
          <w:p w14:paraId="4355A5E7">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磋商响应文件提交截止时间及磋商时间和地点</w:t>
            </w:r>
          </w:p>
        </w:tc>
        <w:tc>
          <w:tcPr>
            <w:tcW w:w="6449" w:type="dxa"/>
          </w:tcPr>
          <w:p w14:paraId="727BC33A">
            <w:pPr>
              <w:shd w:val="clea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1、磋商响应文件提交截止时间：2025年0</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28</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时00分</w:t>
            </w:r>
          </w:p>
          <w:p w14:paraId="5D629ACE">
            <w:pPr>
              <w:shd w:val="clea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2、磋商时间：2025年0</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28</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时00分</w:t>
            </w:r>
          </w:p>
          <w:p w14:paraId="2C0900EB">
            <w:pPr>
              <w:pStyle w:val="24"/>
              <w:shd w:val="clear"/>
              <w:spacing w:before="0" w:beforeAutospacing="0" w:after="0" w:afterAutospacing="0" w:line="384" w:lineRule="atLeast"/>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kern w:val="2"/>
                <w:highlight w:val="none"/>
              </w:rPr>
              <w:t>、磋商响应文件提交：全国公共资源交易平台（陕西省·宝鸡市）宝鸡市公共资源交易中心（</w:t>
            </w:r>
            <w:r>
              <w:rPr>
                <w:rFonts w:hint="eastAsia" w:asciiTheme="minorEastAsia" w:hAnsiTheme="minorEastAsia" w:eastAsiaTheme="minorEastAsia" w:cstheme="minorEastAsia"/>
                <w:color w:val="auto"/>
                <w:sz w:val="21"/>
                <w:szCs w:val="21"/>
                <w:highlight w:val="none"/>
                <w:shd w:val="clear" w:color="auto" w:fill="FFFFFF"/>
              </w:rPr>
              <w:t>http://ggzy.baoji.gov.cn/</w:t>
            </w:r>
            <w:r>
              <w:rPr>
                <w:rFonts w:hint="eastAsia" w:asciiTheme="minorEastAsia" w:hAnsiTheme="minorEastAsia" w:eastAsiaTheme="minorEastAsia" w:cstheme="minorEastAsia"/>
                <w:color w:val="auto"/>
                <w:kern w:val="2"/>
                <w:highlight w:val="none"/>
              </w:rPr>
              <w:t>）线上提交</w:t>
            </w:r>
          </w:p>
          <w:p w14:paraId="11FF5B61">
            <w:pPr>
              <w:pStyle w:val="24"/>
              <w:shd w:val="clear"/>
              <w:spacing w:before="0" w:beforeAutospacing="0" w:after="0" w:afterAutospacing="0" w:line="384" w:lineRule="atLeast"/>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4、磋商地点：</w:t>
            </w:r>
            <w:r>
              <w:rPr>
                <w:rFonts w:hint="eastAsia" w:asciiTheme="minorEastAsia" w:hAnsiTheme="minorEastAsia" w:eastAsiaTheme="minorEastAsia" w:cstheme="minorEastAsia"/>
                <w:color w:val="auto"/>
                <w:kern w:val="2"/>
                <w:szCs w:val="20"/>
                <w:highlight w:val="none"/>
              </w:rPr>
              <w:t>全国公共资源交易平台(陕西省·宝鸡市)宝鸡市公共资源交易中心-不见面开标</w:t>
            </w:r>
          </w:p>
        </w:tc>
      </w:tr>
      <w:tr w14:paraId="6ACC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567484AA">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w:t>
            </w:r>
          </w:p>
        </w:tc>
        <w:tc>
          <w:tcPr>
            <w:tcW w:w="2024" w:type="dxa"/>
            <w:vAlign w:val="center"/>
          </w:tcPr>
          <w:p w14:paraId="695ABCA1">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磋商响应有效期</w:t>
            </w:r>
          </w:p>
        </w:tc>
        <w:tc>
          <w:tcPr>
            <w:tcW w:w="6449" w:type="dxa"/>
          </w:tcPr>
          <w:p w14:paraId="14340998">
            <w:pPr>
              <w:shd w:val="clear"/>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4"/>
                <w:sz w:val="24"/>
                <w:highlight w:val="none"/>
              </w:rPr>
              <w:t>自磋商之日起算90日历日。</w:t>
            </w:r>
          </w:p>
        </w:tc>
      </w:tr>
      <w:tr w14:paraId="2F1A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6987B7BE">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w:t>
            </w:r>
          </w:p>
        </w:tc>
        <w:tc>
          <w:tcPr>
            <w:tcW w:w="2024" w:type="dxa"/>
            <w:vAlign w:val="center"/>
          </w:tcPr>
          <w:p w14:paraId="5E86F93A">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磋商担保</w:t>
            </w:r>
          </w:p>
        </w:tc>
        <w:tc>
          <w:tcPr>
            <w:tcW w:w="6449" w:type="dxa"/>
          </w:tcPr>
          <w:p w14:paraId="03393898">
            <w:pPr>
              <w:shd w:val="clear"/>
              <w:tabs>
                <w:tab w:val="left" w:pos="8280"/>
              </w:tabs>
              <w:spacing w:line="365"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磋商保证金金额：人民币</w:t>
            </w:r>
            <w:r>
              <w:rPr>
                <w:rFonts w:hint="eastAsia" w:asciiTheme="minorEastAsia" w:hAnsiTheme="minorEastAsia" w:eastAsiaTheme="minorEastAsia" w:cstheme="minorEastAsia"/>
                <w:bCs/>
                <w:color w:val="auto"/>
                <w:sz w:val="24"/>
                <w:szCs w:val="24"/>
                <w:highlight w:val="none"/>
                <w:lang w:eastAsia="zh-CN"/>
              </w:rPr>
              <w:t>肆仟元整</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000.00元）</w:t>
            </w:r>
          </w:p>
          <w:p w14:paraId="26E2552C">
            <w:pPr>
              <w:shd w:val="clear"/>
              <w:spacing w:line="460" w:lineRule="exac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投标保证金的形式：银行保函或基本户转账</w:t>
            </w:r>
          </w:p>
          <w:p w14:paraId="0A6EC4BA">
            <w:pPr>
              <w:shd w:val="clear"/>
              <w:spacing w:line="460" w:lineRule="exac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投标保证金账户名：宝鸡市公共资源交易中心保证金专户</w:t>
            </w:r>
          </w:p>
          <w:p w14:paraId="077099AA">
            <w:pPr>
              <w:shd w:val="clear"/>
              <w:spacing w:line="460" w:lineRule="exac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开户行：长安银行股份有限公司宝鸡分行营业部</w:t>
            </w:r>
          </w:p>
          <w:p w14:paraId="153B84E4">
            <w:pPr>
              <w:shd w:val="clear"/>
              <w:spacing w:line="460" w:lineRule="exac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账  号：80602000142101980614652</w:t>
            </w:r>
          </w:p>
          <w:p w14:paraId="2A60592C">
            <w:pPr>
              <w:shd w:val="clear"/>
              <w:spacing w:line="460" w:lineRule="exac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注意事项：</w:t>
            </w:r>
          </w:p>
          <w:p w14:paraId="6D50D207">
            <w:pPr>
              <w:pStyle w:val="24"/>
              <w:shd w:val="clear"/>
              <w:wordWrap w:val="0"/>
              <w:spacing w:before="0" w:beforeAutospacing="0" w:after="0" w:afterAutospacing="0" w:line="360" w:lineRule="auto"/>
              <w:jc w:val="both"/>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（1）银行保函</w:t>
            </w:r>
          </w:p>
          <w:p w14:paraId="14C207B6">
            <w:pPr>
              <w:pStyle w:val="24"/>
              <w:shd w:val="clear"/>
              <w:wordWrap w:val="0"/>
              <w:spacing w:before="0" w:beforeAutospacing="0" w:after="0" w:afterAutospacing="0" w:line="360" w:lineRule="auto"/>
              <w:jc w:val="both"/>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color w:val="auto"/>
                <w:highlight w:val="none"/>
                <w:shd w:val="clear" w:color="auto" w:fill="FFFFFF"/>
              </w:rPr>
              <w:t>必须为投标人基本</w:t>
            </w:r>
            <w:r>
              <w:rPr>
                <w:rFonts w:hint="eastAsia" w:asciiTheme="minorEastAsia" w:hAnsiTheme="minorEastAsia" w:eastAsiaTheme="minorEastAsia" w:cstheme="minorEastAsia"/>
                <w:bCs/>
                <w:color w:val="auto"/>
                <w:kern w:val="2"/>
                <w:highlight w:val="none"/>
              </w:rPr>
              <w:t>账户开户银行出具的银行保函，将银行保函及“基本账户开户许可证或基本存款账户信息”附在投标文件中，作为保证金缴纳凭证。以保函形式交纳保证金须在代理公司进行备案。</w:t>
            </w:r>
          </w:p>
          <w:p w14:paraId="3D798724">
            <w:pPr>
              <w:pStyle w:val="24"/>
              <w:shd w:val="clear"/>
              <w:wordWrap w:val="0"/>
              <w:spacing w:before="0" w:beforeAutospacing="0" w:after="0" w:afterAutospacing="0" w:line="360" w:lineRule="auto"/>
              <w:jc w:val="both"/>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注意事项：</w:t>
            </w:r>
          </w:p>
          <w:p w14:paraId="09225ACB">
            <w:pPr>
              <w:pStyle w:val="24"/>
              <w:shd w:val="clear"/>
              <w:wordWrap w:val="0"/>
              <w:spacing w:before="0" w:beforeAutospacing="0" w:after="0" w:afterAutospacing="0" w:line="360" w:lineRule="auto"/>
              <w:jc w:val="both"/>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1、银行保函递交时间：所投项目开标前2-3个工作日递交至代理公司进行备案。</w:t>
            </w:r>
          </w:p>
          <w:p w14:paraId="42D4FC70">
            <w:pPr>
              <w:pStyle w:val="24"/>
              <w:shd w:val="clear"/>
              <w:wordWrap w:val="0"/>
              <w:spacing w:before="0" w:beforeAutospacing="0" w:after="0" w:afterAutospacing="0" w:line="360" w:lineRule="auto"/>
              <w:jc w:val="both"/>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2、需提交的备案资料：</w:t>
            </w:r>
          </w:p>
          <w:p w14:paraId="2F454FE0">
            <w:pPr>
              <w:pStyle w:val="24"/>
              <w:shd w:val="clear"/>
              <w:wordWrap w:val="0"/>
              <w:spacing w:before="0" w:beforeAutospacing="0" w:after="0" w:afterAutospacing="0" w:line="360" w:lineRule="auto"/>
              <w:jc w:val="both"/>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①保函正本（纸质版）</w:t>
            </w:r>
          </w:p>
          <w:p w14:paraId="0D9FB630">
            <w:pPr>
              <w:pStyle w:val="24"/>
              <w:shd w:val="clear"/>
              <w:wordWrap w:val="0"/>
              <w:spacing w:before="0" w:beforeAutospacing="0" w:after="0" w:afterAutospacing="0" w:line="360" w:lineRule="auto"/>
              <w:jc w:val="both"/>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②公司介绍信或委托书</w:t>
            </w:r>
          </w:p>
          <w:p w14:paraId="18CB9B82">
            <w:pPr>
              <w:pStyle w:val="24"/>
              <w:shd w:val="clear"/>
              <w:wordWrap w:val="0"/>
              <w:spacing w:before="0" w:beforeAutospacing="0" w:after="0" w:afterAutospacing="0" w:line="360" w:lineRule="auto"/>
              <w:jc w:val="both"/>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③开户许可证复印件（加盖公司公章）</w:t>
            </w:r>
          </w:p>
          <w:p w14:paraId="4AAB7FF0">
            <w:pPr>
              <w:pStyle w:val="24"/>
              <w:shd w:val="clear"/>
              <w:wordWrap w:val="0"/>
              <w:spacing w:before="0" w:beforeAutospacing="0" w:after="0" w:afterAutospacing="0" w:line="360" w:lineRule="auto"/>
              <w:jc w:val="both"/>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④法定代表人和经办人身份证复印件（加盖公司公章）</w:t>
            </w:r>
          </w:p>
          <w:p w14:paraId="777B7DF2">
            <w:pPr>
              <w:pStyle w:val="24"/>
              <w:shd w:val="clear"/>
              <w:wordWrap w:val="0"/>
              <w:spacing w:before="0" w:beforeAutospacing="0" w:after="0" w:afterAutospacing="0" w:line="360" w:lineRule="auto"/>
              <w:jc w:val="both"/>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（2）基本户转账</w:t>
            </w:r>
          </w:p>
          <w:p w14:paraId="02725AB0">
            <w:pPr>
              <w:pStyle w:val="24"/>
              <w:shd w:val="clear"/>
              <w:wordWrap w:val="0"/>
              <w:spacing w:before="0" w:beforeAutospacing="0" w:after="0" w:afterAutospacing="0" w:line="360" w:lineRule="auto"/>
              <w:jc w:val="both"/>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必须为投标人基本账户以转账形式在投标截止时间前到达上述账号（以资金到账时间为确认保证金缴纳完毕时间），未按规定时间前或按额汇到指定账户的将否决其投标。投标保证金转账完成后，将“转账凭证”附在投标文件中，作为保证金缴纳的凭证。</w:t>
            </w:r>
          </w:p>
          <w:p w14:paraId="58416CC0">
            <w:pPr>
              <w:shd w:val="clea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szCs w:val="24"/>
                <w:highlight w:val="none"/>
              </w:rPr>
              <w:t>转账时必须备注：该项目子账号后五位数字，无需填写其他内容</w:t>
            </w:r>
          </w:p>
        </w:tc>
      </w:tr>
      <w:tr w14:paraId="6736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11B2C466">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2024" w:type="dxa"/>
            <w:vAlign w:val="center"/>
          </w:tcPr>
          <w:p w14:paraId="3D2730A3">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备选磋商方案</w:t>
            </w:r>
          </w:p>
          <w:p w14:paraId="1B1D404A">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和报价</w:t>
            </w:r>
          </w:p>
        </w:tc>
        <w:tc>
          <w:tcPr>
            <w:tcW w:w="6449" w:type="dxa"/>
            <w:vAlign w:val="center"/>
          </w:tcPr>
          <w:p w14:paraId="140CB3F8">
            <w:pPr>
              <w:shd w:val="clear"/>
              <w:tabs>
                <w:tab w:val="left" w:pos="7013"/>
              </w:tabs>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不接受备选磋商方案和多个报价。</w:t>
            </w:r>
          </w:p>
        </w:tc>
      </w:tr>
      <w:tr w14:paraId="27B5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6541011B">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2024" w:type="dxa"/>
            <w:vAlign w:val="center"/>
          </w:tcPr>
          <w:p w14:paraId="4CAE6224">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盖章签字</w:t>
            </w:r>
          </w:p>
        </w:tc>
        <w:tc>
          <w:tcPr>
            <w:tcW w:w="6449" w:type="dxa"/>
            <w:vAlign w:val="center"/>
          </w:tcPr>
          <w:p w14:paraId="62A004A6">
            <w:pPr>
              <w:shd w:val="clear"/>
              <w:tabs>
                <w:tab w:val="left" w:pos="7013"/>
              </w:tabs>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必须按照竞争性磋商文件的规定和要求在竞争性磋商响应文件中指定的页面落款处加盖公章并由法定代表人或被授权人签字（或盖章），其余页面逐页加盖供应商公章，否则将作为无效磋商处理。竞争性磋商文件凡是要求法定代表人签字或盖章之处，非法人单位的负责人均参照执行。</w:t>
            </w:r>
          </w:p>
        </w:tc>
      </w:tr>
      <w:tr w14:paraId="640A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5B6E0457">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w:t>
            </w:r>
          </w:p>
        </w:tc>
        <w:tc>
          <w:tcPr>
            <w:tcW w:w="2024" w:type="dxa"/>
            <w:vAlign w:val="center"/>
          </w:tcPr>
          <w:p w14:paraId="12A53020">
            <w:pPr>
              <w:shd w:val="clear"/>
              <w:tabs>
                <w:tab w:val="left" w:pos="7013"/>
              </w:tabs>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竞争性磋商响应文件提交</w:t>
            </w:r>
          </w:p>
        </w:tc>
        <w:tc>
          <w:tcPr>
            <w:tcW w:w="6449" w:type="dxa"/>
            <w:vAlign w:val="center"/>
          </w:tcPr>
          <w:p w14:paraId="7B258F9B">
            <w:pPr>
              <w:shd w:val="clear"/>
              <w:tabs>
                <w:tab w:val="left" w:pos="7013"/>
              </w:tabs>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采用电子化投标，电子磋商响应文件可于提交磋商响应文件截止时间前任意时段登录全国公共资源交易平台（陕西省·宝鸡市）网站[电子交易平台-企业端]进行提交，逾期系统将拒绝接收。提交时，供应商应登录全国公共资源交易中心平台（陕西省·宝鸡市），选择[“首页&gt;电子交易平台&gt;企业端&gt;我的项目”，点击[项目流程]，在打开的[项目管理]对话框中选择[上传响应文件]，上传加密的电子磋商响应文件（*.SXSTF），上传成功后，电子化平台将予以记录。</w:t>
            </w:r>
          </w:p>
          <w:p w14:paraId="2233C46B">
            <w:pPr>
              <w:shd w:val="clear"/>
              <w:tabs>
                <w:tab w:val="left" w:pos="7013"/>
              </w:tabs>
              <w:spacing w:line="460" w:lineRule="exact"/>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highlight w:val="none"/>
              </w:rPr>
              <w:t>注：由成交单位在领取成交通知书时须提供与最终上传至平台的电子版一致的纸质磋商响应文件正本一份、副本二份（按要求签字盖章）。</w:t>
            </w:r>
          </w:p>
        </w:tc>
      </w:tr>
      <w:tr w14:paraId="3ED3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9" w:type="dxa"/>
            <w:vAlign w:val="center"/>
          </w:tcPr>
          <w:p w14:paraId="300A89F9">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w:t>
            </w:r>
          </w:p>
        </w:tc>
        <w:tc>
          <w:tcPr>
            <w:tcW w:w="2024" w:type="dxa"/>
            <w:vAlign w:val="center"/>
          </w:tcPr>
          <w:p w14:paraId="16C2ABB0">
            <w:pPr>
              <w:shd w:val="clear"/>
              <w:tabs>
                <w:tab w:val="left" w:pos="7013"/>
              </w:tabs>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电子磋商响应文件的制作和签署</w:t>
            </w:r>
          </w:p>
        </w:tc>
        <w:tc>
          <w:tcPr>
            <w:tcW w:w="6449" w:type="dxa"/>
            <w:vAlign w:val="center"/>
          </w:tcPr>
          <w:p w14:paraId="0D041092">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编制电子响应文件时，应使用最新发布的电子磋商文件及专用制作工具进行编制。并使用数字认证证书（CA）对电子响应文件进行签署、加密、递交及开标时解密及二次报价等相关操作。</w:t>
            </w:r>
          </w:p>
          <w:p w14:paraId="4ABAA3D3">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1、电子磋商文件下载</w:t>
            </w:r>
          </w:p>
          <w:p w14:paraId="3002D174">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登录全国公共资源交易平台（陕西省·宝鸡市）网站[电子交易平台-企业端]后，在[我的项目]中点击“项目流程-交易文件下载”下载电子磋商文件（*.SXSZF）；注意：该项目如有变更文件，则应点击“项目流程&gt;答疑文件下载”下载更新后的电子磋商文件（*.SXSCF），使用旧版电子磋商文件制作的电子响应文件，系统将拒绝接收。</w:t>
            </w:r>
          </w:p>
          <w:p w14:paraId="028E7607">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2、电子磋商文件需要使用专用软件打开、浏览</w:t>
            </w:r>
          </w:p>
          <w:p w14:paraId="24E28EF8">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登录全国公共资源交易平台（陕西省·宝鸡市）网站[服务指南-下载专区]免费下载《陕西省公共资源交易平台政府采购电子标书制作工具(V8.0.0.2)》，并升级至最新版本，使用该客户端可以打开电子磋商文件。软件操作手册详见全国公共资源交易平台（陕西省·宝鸡市）网站[服务指南-下载专区]中的《陕西省公共资源交易（政府采购类）响应文件制作软件操作手册》；</w:t>
            </w:r>
          </w:p>
          <w:p w14:paraId="5C007B8B">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3、制作电子响应文件</w:t>
            </w:r>
          </w:p>
          <w:p w14:paraId="6EFD6113">
            <w:pPr>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电子响应文件同样需要使用上述软件进行编制。在编制过程中，如有技术性问题，请先翻阅操作手册或致电软件开发商，技术支持热线：4009280095、4009980000；</w:t>
            </w:r>
          </w:p>
          <w:p w14:paraId="2B57E3B4">
            <w:pPr>
              <w:shd w:val="clear"/>
              <w:tabs>
                <w:tab w:val="left" w:pos="7013"/>
              </w:tabs>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szCs w:val="21"/>
                <w:highlight w:val="none"/>
              </w:rPr>
              <w:t>注：如未按照上述要求进行响应文件制作和签署的均视其为无效响应文件。</w:t>
            </w:r>
          </w:p>
        </w:tc>
      </w:tr>
      <w:tr w14:paraId="2CAE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9" w:type="dxa"/>
            <w:vAlign w:val="center"/>
          </w:tcPr>
          <w:p w14:paraId="515AE252">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c>
          <w:tcPr>
            <w:tcW w:w="2024" w:type="dxa"/>
            <w:vAlign w:val="center"/>
          </w:tcPr>
          <w:p w14:paraId="0ED974E8">
            <w:pPr>
              <w:shd w:val="clear"/>
              <w:tabs>
                <w:tab w:val="left" w:pos="7013"/>
              </w:tabs>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无效文件说明</w:t>
            </w:r>
          </w:p>
        </w:tc>
        <w:tc>
          <w:tcPr>
            <w:tcW w:w="6449" w:type="dxa"/>
            <w:vAlign w:val="center"/>
          </w:tcPr>
          <w:p w14:paraId="4FBF3B87">
            <w:pPr>
              <w:shd w:val="clear"/>
              <w:autoSpaceDE w:val="0"/>
              <w:autoSpaceDN w:val="0"/>
              <w:adjustRightInd w:val="0"/>
              <w:snapToGrid w:val="0"/>
              <w:spacing w:line="360" w:lineRule="auto"/>
              <w:rPr>
                <w:rFonts w:hint="eastAsia" w:asciiTheme="minorEastAsia" w:hAnsiTheme="minorEastAsia" w:eastAsiaTheme="minorEastAsia" w:cstheme="minorEastAsia"/>
                <w:b/>
                <w:color w:val="auto"/>
                <w:sz w:val="24"/>
                <w:szCs w:val="22"/>
                <w:highlight w:val="none"/>
              </w:rPr>
            </w:pPr>
            <w:r>
              <w:rPr>
                <w:rFonts w:hint="eastAsia" w:asciiTheme="minorEastAsia" w:hAnsiTheme="minorEastAsia" w:eastAsiaTheme="minorEastAsia" w:cstheme="minorEastAsia"/>
                <w:b/>
                <w:color w:val="auto"/>
                <w:sz w:val="24"/>
                <w:szCs w:val="22"/>
                <w:highlight w:val="none"/>
              </w:rPr>
              <w:t>在开标环节出现下列情况之一的，其响应文件视为无效文件：</w:t>
            </w:r>
          </w:p>
          <w:p w14:paraId="6543E877">
            <w:pPr>
              <w:shd w:val="clear"/>
              <w:autoSpaceDE w:val="0"/>
              <w:autoSpaceDN w:val="0"/>
              <w:adjustRightInd w:val="0"/>
              <w:snapToGrid w:val="0"/>
              <w:spacing w:line="360" w:lineRule="auto"/>
              <w:rPr>
                <w:rFonts w:hint="eastAsia" w:asciiTheme="minorEastAsia" w:hAnsiTheme="minorEastAsia" w:eastAsiaTheme="minorEastAsia" w:cstheme="minorEastAsia"/>
                <w:b/>
                <w:color w:val="auto"/>
                <w:sz w:val="24"/>
                <w:szCs w:val="22"/>
                <w:highlight w:val="none"/>
              </w:rPr>
            </w:pPr>
            <w:r>
              <w:rPr>
                <w:rFonts w:hint="eastAsia" w:asciiTheme="minorEastAsia" w:hAnsiTheme="minorEastAsia" w:eastAsiaTheme="minorEastAsia" w:cstheme="minorEastAsia"/>
                <w:b/>
                <w:color w:val="auto"/>
                <w:sz w:val="24"/>
                <w:szCs w:val="22"/>
                <w:highlight w:val="none"/>
              </w:rPr>
              <w:t>1、供应商在规定时间内未对电子响应文件进行解密的；</w:t>
            </w:r>
          </w:p>
          <w:p w14:paraId="266F1BC6">
            <w:pPr>
              <w:shd w:val="clear"/>
              <w:autoSpaceDE w:val="0"/>
              <w:autoSpaceDN w:val="0"/>
              <w:adjustRightInd w:val="0"/>
              <w:snapToGrid w:val="0"/>
              <w:spacing w:line="360" w:lineRule="auto"/>
              <w:rPr>
                <w:rFonts w:hint="eastAsia" w:asciiTheme="minorEastAsia" w:hAnsiTheme="minorEastAsia" w:eastAsiaTheme="minorEastAsia" w:cstheme="minorEastAsia"/>
                <w:b/>
                <w:color w:val="auto"/>
                <w:sz w:val="24"/>
                <w:szCs w:val="22"/>
                <w:highlight w:val="none"/>
              </w:rPr>
            </w:pPr>
            <w:r>
              <w:rPr>
                <w:rFonts w:hint="eastAsia" w:asciiTheme="minorEastAsia" w:hAnsiTheme="minorEastAsia" w:eastAsiaTheme="minorEastAsia" w:cstheme="minorEastAsia"/>
                <w:b/>
                <w:color w:val="auto"/>
                <w:sz w:val="24"/>
                <w:szCs w:val="22"/>
                <w:highlight w:val="none"/>
              </w:rPr>
              <w:t>2、上传的电子响应文件无法打开的；</w:t>
            </w:r>
          </w:p>
          <w:p w14:paraId="346A63B4">
            <w:pPr>
              <w:shd w:val="clear"/>
              <w:autoSpaceDE w:val="0"/>
              <w:autoSpaceDN w:val="0"/>
              <w:adjustRightInd w:val="0"/>
              <w:snapToGrid w:val="0"/>
              <w:spacing w:line="360" w:lineRule="auto"/>
              <w:rPr>
                <w:rFonts w:hint="eastAsia" w:asciiTheme="minorEastAsia" w:hAnsiTheme="minorEastAsia" w:eastAsiaTheme="minorEastAsia" w:cstheme="minorEastAsia"/>
                <w:b/>
                <w:color w:val="auto"/>
                <w:sz w:val="24"/>
                <w:szCs w:val="22"/>
                <w:highlight w:val="none"/>
              </w:rPr>
            </w:pPr>
            <w:r>
              <w:rPr>
                <w:rFonts w:hint="eastAsia" w:asciiTheme="minorEastAsia" w:hAnsiTheme="minorEastAsia" w:eastAsiaTheme="minorEastAsia" w:cstheme="minorEastAsia"/>
                <w:b/>
                <w:color w:val="auto"/>
                <w:sz w:val="24"/>
                <w:szCs w:val="22"/>
                <w:highlight w:val="none"/>
              </w:rPr>
              <w:t>3、法律法规规定的其他无效情形。</w:t>
            </w:r>
          </w:p>
          <w:p w14:paraId="2A8703F3">
            <w:pPr>
              <w:shd w:val="clear"/>
              <w:autoSpaceDE w:val="0"/>
              <w:autoSpaceDN w:val="0"/>
              <w:adjustRightInd w:val="0"/>
              <w:snapToGrid w:val="0"/>
              <w:spacing w:line="360" w:lineRule="auto"/>
              <w:rPr>
                <w:rFonts w:hint="eastAsia" w:asciiTheme="minorEastAsia" w:hAnsiTheme="minorEastAsia" w:eastAsiaTheme="minorEastAsia" w:cstheme="minorEastAsia"/>
                <w:b/>
                <w:color w:val="auto"/>
                <w:sz w:val="24"/>
                <w:szCs w:val="22"/>
                <w:highlight w:val="none"/>
              </w:rPr>
            </w:pPr>
            <w:r>
              <w:rPr>
                <w:rFonts w:hint="eastAsia" w:asciiTheme="minorEastAsia" w:hAnsiTheme="minorEastAsia" w:eastAsiaTheme="minorEastAsia" w:cstheme="minorEastAsia"/>
                <w:b/>
                <w:color w:val="auto"/>
                <w:sz w:val="24"/>
                <w:szCs w:val="22"/>
                <w:highlight w:val="none"/>
              </w:rPr>
              <w:t>4、供应商拒绝对电子响应文件进行解密的；</w:t>
            </w:r>
          </w:p>
          <w:p w14:paraId="28003C85">
            <w:pPr>
              <w:shd w:val="clear"/>
              <w:autoSpaceDE w:val="0"/>
              <w:autoSpaceDN w:val="0"/>
              <w:adjustRightInd w:val="0"/>
              <w:snapToGrid w:val="0"/>
              <w:spacing w:line="360" w:lineRule="auto"/>
              <w:rPr>
                <w:rFonts w:hint="eastAsia" w:asciiTheme="minorEastAsia" w:hAnsiTheme="minorEastAsia" w:eastAsiaTheme="minorEastAsia" w:cstheme="minorEastAsia"/>
                <w:b/>
                <w:color w:val="auto"/>
                <w:sz w:val="24"/>
                <w:szCs w:val="22"/>
                <w:highlight w:val="none"/>
              </w:rPr>
            </w:pPr>
            <w:r>
              <w:rPr>
                <w:rFonts w:hint="eastAsia" w:asciiTheme="minorEastAsia" w:hAnsiTheme="minorEastAsia" w:eastAsiaTheme="minorEastAsia" w:cstheme="minorEastAsia"/>
                <w:b/>
                <w:color w:val="auto"/>
                <w:sz w:val="24"/>
                <w:szCs w:val="22"/>
                <w:highlight w:val="none"/>
              </w:rPr>
              <w:t>5、因供应商自身原因（如未带CA锁、或所带CA锁与制作电子投标文件使用的CA锁不一致、或沿用旧版磋商文件编制响应文件等情形），导致在规定时间内无法解密响应文件的；</w:t>
            </w:r>
          </w:p>
          <w:p w14:paraId="538AE995">
            <w:pPr>
              <w:shd w:val="clear"/>
              <w:autoSpaceDE w:val="0"/>
              <w:autoSpaceDN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2"/>
                <w:highlight w:val="none"/>
              </w:rPr>
            </w:pPr>
            <w:r>
              <w:rPr>
                <w:rFonts w:hint="eastAsia" w:asciiTheme="minorEastAsia" w:hAnsiTheme="minorEastAsia" w:eastAsiaTheme="minorEastAsia" w:cstheme="minorEastAsia"/>
                <w:b/>
                <w:color w:val="auto"/>
                <w:sz w:val="24"/>
                <w:szCs w:val="22"/>
                <w:highlight w:val="none"/>
              </w:rPr>
              <w:t>特殊情形下的应急处置：</w:t>
            </w:r>
          </w:p>
          <w:p w14:paraId="6A1F44B5">
            <w:pPr>
              <w:shd w:val="clear"/>
              <w:tabs>
                <w:tab w:val="left" w:pos="7013"/>
              </w:tabs>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在开标、评审过程中，如因宝鸡市公共资源交易中心停电、断网、电子化系统故障等特殊原因导致电子化开、评标无法正常进行时，将延后开展后续招标活动。</w:t>
            </w:r>
          </w:p>
        </w:tc>
      </w:tr>
      <w:tr w14:paraId="1BE0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9" w:type="dxa"/>
            <w:vAlign w:val="center"/>
          </w:tcPr>
          <w:p w14:paraId="0976F92D">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w:t>
            </w:r>
          </w:p>
        </w:tc>
        <w:tc>
          <w:tcPr>
            <w:tcW w:w="2024" w:type="dxa"/>
            <w:vAlign w:val="center"/>
          </w:tcPr>
          <w:p w14:paraId="7A1DDA02">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评标办法及标准</w:t>
            </w:r>
          </w:p>
        </w:tc>
        <w:tc>
          <w:tcPr>
            <w:tcW w:w="6449" w:type="dxa"/>
            <w:vAlign w:val="center"/>
          </w:tcPr>
          <w:p w14:paraId="40E25A20">
            <w:pPr>
              <w:pStyle w:val="64"/>
              <w:shd w:val="clear"/>
              <w:spacing w:line="360" w:lineRule="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详见竞争性磋商文件第二章。</w:t>
            </w:r>
          </w:p>
        </w:tc>
      </w:tr>
      <w:tr w14:paraId="3A27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9" w:type="dxa"/>
            <w:vAlign w:val="center"/>
          </w:tcPr>
          <w:p w14:paraId="5EE23752">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w:t>
            </w:r>
          </w:p>
        </w:tc>
        <w:tc>
          <w:tcPr>
            <w:tcW w:w="2024" w:type="dxa"/>
            <w:vAlign w:val="center"/>
          </w:tcPr>
          <w:p w14:paraId="78CC6222">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付款方式</w:t>
            </w:r>
          </w:p>
        </w:tc>
        <w:tc>
          <w:tcPr>
            <w:tcW w:w="6449" w:type="dxa"/>
            <w:vAlign w:val="center"/>
          </w:tcPr>
          <w:p w14:paraId="11F7B79F">
            <w:pPr>
              <w:shd w:val="clea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eastAsia="zh-CN"/>
              </w:rPr>
              <w:t>提交成果资料并</w:t>
            </w:r>
            <w:r>
              <w:rPr>
                <w:rFonts w:hint="eastAsia" w:asciiTheme="minorEastAsia" w:hAnsiTheme="minorEastAsia" w:eastAsiaTheme="minorEastAsia" w:cstheme="minorEastAsia"/>
                <w:color w:val="auto"/>
                <w:sz w:val="24"/>
                <w:szCs w:val="24"/>
                <w:highlight w:val="none"/>
              </w:rPr>
              <w:t>通过专家评审</w:t>
            </w:r>
            <w:r>
              <w:rPr>
                <w:rFonts w:hint="eastAsia" w:asciiTheme="minorEastAsia" w:hAnsiTheme="minorEastAsia" w:eastAsiaTheme="minorEastAsia" w:cstheme="minorEastAsia"/>
                <w:color w:val="auto"/>
                <w:sz w:val="24"/>
                <w:szCs w:val="24"/>
                <w:highlight w:val="none"/>
                <w:lang w:eastAsia="zh-CN"/>
              </w:rPr>
              <w:t>后一次性付清。</w:t>
            </w:r>
          </w:p>
        </w:tc>
      </w:tr>
      <w:tr w14:paraId="0AED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99" w:type="dxa"/>
            <w:vAlign w:val="center"/>
          </w:tcPr>
          <w:p w14:paraId="1D1DD8EF">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w:t>
            </w:r>
          </w:p>
        </w:tc>
        <w:tc>
          <w:tcPr>
            <w:tcW w:w="2024" w:type="dxa"/>
            <w:vAlign w:val="center"/>
          </w:tcPr>
          <w:p w14:paraId="136FC2D7">
            <w:pPr>
              <w:shd w:val="clea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其它事项</w:t>
            </w:r>
          </w:p>
        </w:tc>
        <w:tc>
          <w:tcPr>
            <w:tcW w:w="6449" w:type="dxa"/>
            <w:vAlign w:val="center"/>
          </w:tcPr>
          <w:p w14:paraId="3B1A0562">
            <w:pPr>
              <w:pStyle w:val="64"/>
              <w:shd w:val="clear"/>
              <w:spacing w:line="460" w:lineRule="exact"/>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本次采购、磋商报价、评审和合同授予均以项目为单位，供应商必须就一个完整项目进行响应。成交供应商与采购人在成交通知书发出25天内签订合同，不及时签订视为自动放弃。非经采购人同意，本项目不允许成交后另行转包或者分包。成交人无正当理由不得放弃中标。</w:t>
            </w:r>
            <w:r>
              <w:rPr>
                <w:rFonts w:hint="eastAsia" w:asciiTheme="minorEastAsia" w:hAnsiTheme="minorEastAsia" w:eastAsiaTheme="minorEastAsia" w:cstheme="minorEastAsia"/>
                <w:color w:val="auto"/>
                <w:sz w:val="24"/>
                <w:szCs w:val="24"/>
                <w:highlight w:val="none"/>
              </w:rPr>
              <w:t>因自身原因拒绝签订政府采购合同的或者未按合同约定进行履约的，成交人不得参加对该项目重新开展的采购活动。</w:t>
            </w:r>
          </w:p>
        </w:tc>
      </w:tr>
      <w:tr w14:paraId="0729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99" w:type="dxa"/>
            <w:vAlign w:val="center"/>
          </w:tcPr>
          <w:p w14:paraId="73A5A1DC">
            <w:pPr>
              <w:shd w:val="clear"/>
              <w:rPr>
                <w:rFonts w:hint="eastAsia" w:asciiTheme="minorEastAsia" w:hAnsiTheme="minorEastAsia" w:eastAsiaTheme="minorEastAsia" w:cstheme="minorEastAsia"/>
                <w:color w:val="auto"/>
                <w:sz w:val="24"/>
                <w:highlight w:val="none"/>
              </w:rPr>
            </w:pPr>
            <w:bookmarkStart w:id="2" w:name="_Toc7453872"/>
            <w:r>
              <w:rPr>
                <w:rFonts w:hint="eastAsia" w:asciiTheme="minorEastAsia" w:hAnsiTheme="minorEastAsia" w:eastAsiaTheme="minorEastAsia" w:cstheme="minorEastAsia"/>
                <w:color w:val="auto"/>
                <w:sz w:val="24"/>
                <w:highlight w:val="none"/>
              </w:rPr>
              <w:t>29</w:t>
            </w:r>
          </w:p>
        </w:tc>
        <w:tc>
          <w:tcPr>
            <w:tcW w:w="2024" w:type="dxa"/>
            <w:vAlign w:val="center"/>
          </w:tcPr>
          <w:p w14:paraId="4956CBF7">
            <w:pPr>
              <w:shd w:val="clear"/>
              <w:tabs>
                <w:tab w:val="left" w:pos="7013"/>
              </w:tabs>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本项目采购标的对应的中小企业划分标准所属行业</w:t>
            </w:r>
          </w:p>
        </w:tc>
        <w:tc>
          <w:tcPr>
            <w:tcW w:w="6449" w:type="dxa"/>
            <w:vAlign w:val="center"/>
          </w:tcPr>
          <w:p w14:paraId="30B11728">
            <w:pPr>
              <w:widowControl/>
              <w:shd w:val="clear"/>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其他未列明行业</w:t>
            </w:r>
          </w:p>
        </w:tc>
      </w:tr>
    </w:tbl>
    <w:p w14:paraId="4441900C">
      <w:pPr>
        <w:pStyle w:val="3"/>
        <w:shd w:val="clear"/>
        <w:spacing w:before="0" w:after="0" w:line="48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二、项目说明</w:t>
      </w:r>
      <w:bookmarkEnd w:id="2"/>
    </w:p>
    <w:p w14:paraId="681EE14B">
      <w:pPr>
        <w:shd w:val="clear"/>
        <w:spacing w:line="480" w:lineRule="exact"/>
        <w:ind w:firstLine="470"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1、本项目说明详见供应商须知前附表。</w:t>
      </w:r>
    </w:p>
    <w:p w14:paraId="3733DF07">
      <w:pPr>
        <w:shd w:val="clear"/>
        <w:spacing w:line="480" w:lineRule="exact"/>
        <w:ind w:firstLine="470"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2、本项目按照《中华人民共和国政府采购法》等有关法律、行政法规和部门规章，通过竞争性磋商方式择优选定成交供应商。</w:t>
      </w:r>
    </w:p>
    <w:p w14:paraId="5C5DAFB5">
      <w:pPr>
        <w:pStyle w:val="3"/>
        <w:shd w:val="clear"/>
        <w:spacing w:before="0" w:after="0" w:line="480" w:lineRule="exact"/>
        <w:rPr>
          <w:rFonts w:hint="eastAsia" w:asciiTheme="minorEastAsia" w:hAnsiTheme="minorEastAsia" w:eastAsiaTheme="minorEastAsia" w:cstheme="minorEastAsia"/>
          <w:color w:val="auto"/>
          <w:kern w:val="0"/>
          <w:sz w:val="24"/>
          <w:szCs w:val="24"/>
          <w:highlight w:val="none"/>
        </w:rPr>
      </w:pPr>
      <w:bookmarkStart w:id="3" w:name="_Toc458848819"/>
      <w:bookmarkStart w:id="4" w:name="_Toc7453873"/>
      <w:bookmarkStart w:id="5" w:name="_Toc458848967"/>
      <w:bookmarkStart w:id="6" w:name="_Toc458848734"/>
      <w:r>
        <w:rPr>
          <w:rFonts w:hint="eastAsia" w:asciiTheme="minorEastAsia" w:hAnsiTheme="minorEastAsia" w:eastAsiaTheme="minorEastAsia" w:cstheme="minorEastAsia"/>
          <w:color w:val="auto"/>
          <w:kern w:val="0"/>
          <w:sz w:val="24"/>
          <w:szCs w:val="24"/>
          <w:highlight w:val="none"/>
        </w:rPr>
        <w:t>三、竞争性磋商文件</w:t>
      </w:r>
      <w:bookmarkEnd w:id="3"/>
      <w:bookmarkEnd w:id="4"/>
      <w:bookmarkEnd w:id="5"/>
      <w:bookmarkEnd w:id="6"/>
    </w:p>
    <w:p w14:paraId="362158DB">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1、竞争性磋商文件适用：仅适用于本次竞争性磋商文件所述项目。</w:t>
      </w:r>
    </w:p>
    <w:p w14:paraId="169B8B46">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竞争性磋商文件购买：供应商须从采购代理机构处获取竞争性磋商文件，供应商自行转让或复制的竞争性磋商文件视为无效竞争性磋商文件。供应商名称与登记获取竞争性磋商文件的单位名称不一致的，将作为无效响应处理。</w:t>
      </w:r>
    </w:p>
    <w:p w14:paraId="0A081B0F">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3、竞争性磋商文件组成：包括竞争性磋商文件目录前六章。</w:t>
      </w:r>
    </w:p>
    <w:p w14:paraId="0F56B5D7">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4、供应商应详细阅读和充分理解竞争性磋商文件所有的事项、格式、条款和规范要求等，在竞争性磋商响应文件中对竞争性磋商文件的各方面都做出实质性的响应，否则将导致响应无效。</w:t>
      </w:r>
    </w:p>
    <w:p w14:paraId="602EB47D">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5、竞争性磋商文件的澄清或修改：</w:t>
      </w:r>
    </w:p>
    <w:p w14:paraId="05A8C4D8">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提交磋商响应文件截止时间前，采购人、采购代理机构可以以书面形式对竞争性磋商文件进行必要的澄清或修改，但不得改变采购标的和资格条件。澄清或修改的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14:paraId="795EEE7F">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5FD5D1A3">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供应商若对磋商文件有任何疑问，可以以书面形式（纸质版加盖公章，下同）向采购代理机构提出询问。否则，视为同意磋商文件的一切条款和要求并承担由此引起的一切法律责任。凡因供应商对磋商文件阅读不深、理解不透、误解、疏漏、或因市场行情了解不清造成的后果和风险均由供应商自负。</w:t>
      </w:r>
    </w:p>
    <w:p w14:paraId="00EB0A65">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7、供应商认为竞争性磋商文件使自己的权益受到损害的，在收到竞争性磋商文件之日起七个工作日内，以书面形式向采购代理机构提出质疑，逾期提出的无效，因此带来的一切不利后果由供应商自负。</w:t>
      </w:r>
    </w:p>
    <w:p w14:paraId="75B6B642">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在磋商截止时间前，根据采购工作进展实际情况，采购人可酌情延长递交竞争性磋商响应文件的截止时间，若延长将另行以书面形式通知各供应商。采购代理机构和供应商的权利和义务将受到新的截止期的约束。</w:t>
      </w:r>
    </w:p>
    <w:p w14:paraId="1C9CE121">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9、竞争性磋商文件的解释权归采购代理机构，如发现竞争性磋商文件内容与现行法律法规不相符的情况，以现行法律法规为准。</w:t>
      </w:r>
    </w:p>
    <w:p w14:paraId="0B78500E">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10、现场勘查、标前答疑会：见须知前附表。</w:t>
      </w:r>
    </w:p>
    <w:p w14:paraId="55878645">
      <w:pPr>
        <w:pStyle w:val="3"/>
        <w:shd w:val="clear"/>
        <w:spacing w:before="0" w:after="0" w:line="480" w:lineRule="exact"/>
        <w:rPr>
          <w:rFonts w:hint="eastAsia" w:asciiTheme="minorEastAsia" w:hAnsiTheme="minorEastAsia" w:eastAsiaTheme="minorEastAsia" w:cstheme="minorEastAsia"/>
          <w:color w:val="auto"/>
          <w:kern w:val="0"/>
          <w:sz w:val="24"/>
          <w:szCs w:val="24"/>
          <w:highlight w:val="none"/>
        </w:rPr>
      </w:pPr>
      <w:bookmarkStart w:id="7" w:name="_Toc7453874"/>
      <w:bookmarkStart w:id="8" w:name="_Toc458848968"/>
      <w:bookmarkStart w:id="9" w:name="_Toc458848820"/>
      <w:bookmarkStart w:id="10" w:name="_Toc458848735"/>
      <w:r>
        <w:rPr>
          <w:rFonts w:hint="eastAsia" w:asciiTheme="minorEastAsia" w:hAnsiTheme="minorEastAsia" w:eastAsiaTheme="minorEastAsia" w:cstheme="minorEastAsia"/>
          <w:color w:val="auto"/>
          <w:kern w:val="0"/>
          <w:sz w:val="24"/>
          <w:szCs w:val="24"/>
          <w:highlight w:val="none"/>
        </w:rPr>
        <w:t>四、竞争性磋商响应文件</w:t>
      </w:r>
      <w:bookmarkEnd w:id="7"/>
      <w:bookmarkEnd w:id="8"/>
      <w:bookmarkEnd w:id="9"/>
      <w:bookmarkEnd w:id="10"/>
    </w:p>
    <w:p w14:paraId="046D1153">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1、供应商资格要求</w:t>
      </w:r>
    </w:p>
    <w:p w14:paraId="103E49E4">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1.1.满足《中华人民共和国政府采购法》第二十二条规定;</w:t>
      </w:r>
    </w:p>
    <w:p w14:paraId="690878E8">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1.2.落实政府采购政策需满足的资格要求：</w:t>
      </w:r>
    </w:p>
    <w:p w14:paraId="1670C6FC">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合同包1(</w:t>
      </w:r>
      <w:r>
        <w:rPr>
          <w:rFonts w:hint="eastAsia" w:asciiTheme="minorEastAsia" w:hAnsiTheme="minorEastAsia" w:eastAsiaTheme="minorEastAsia" w:cstheme="minorEastAsia"/>
          <w:color w:val="auto"/>
          <w:sz w:val="24"/>
          <w:szCs w:val="24"/>
          <w:highlight w:val="none"/>
          <w:lang w:eastAsia="zh-CN"/>
        </w:rPr>
        <w:t>蟠龙高新区国民经济和社会发展第十五个五年规划编制与产业创新集群行动计划工作编制项目</w:t>
      </w:r>
      <w:r>
        <w:rPr>
          <w:rFonts w:hint="eastAsia" w:asciiTheme="minorEastAsia" w:hAnsiTheme="minorEastAsia" w:eastAsiaTheme="minorEastAsia" w:cstheme="minorEastAsia"/>
          <w:color w:val="auto"/>
          <w:sz w:val="24"/>
          <w:szCs w:val="24"/>
          <w:highlight w:val="none"/>
        </w:rPr>
        <w:t>)落实政府采购政策需满足的资格要求如下:本项目专门面向中小企业采购。（残疾人福利性单位、监狱企业视同小型、微型企业）；须符合《政府采购促进中小企业发展管理办法》（财库〔2020〕46号）规定的中小企业参加。本项目采购标的所属行业为：其他未列明行业。</w:t>
      </w:r>
    </w:p>
    <w:p w14:paraId="1BEBE5D1">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1.3.本项目的特定资格要求：</w:t>
      </w:r>
    </w:p>
    <w:p w14:paraId="65C00F7C">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合同包1(</w:t>
      </w:r>
      <w:r>
        <w:rPr>
          <w:rFonts w:hint="eastAsia" w:asciiTheme="minorEastAsia" w:hAnsiTheme="minorEastAsia" w:eastAsiaTheme="minorEastAsia" w:cstheme="minorEastAsia"/>
          <w:color w:val="auto"/>
          <w:sz w:val="24"/>
          <w:szCs w:val="24"/>
          <w:highlight w:val="none"/>
          <w:lang w:eastAsia="zh-CN"/>
        </w:rPr>
        <w:t>蟠龙高新区国民经济和社会发展第十五个五年规划编制与产业创新集群行动计划工作编制项目</w:t>
      </w:r>
      <w:r>
        <w:rPr>
          <w:rFonts w:hint="eastAsia" w:asciiTheme="minorEastAsia" w:hAnsiTheme="minorEastAsia" w:eastAsiaTheme="minorEastAsia" w:cstheme="minorEastAsia"/>
          <w:color w:val="auto"/>
          <w:sz w:val="24"/>
          <w:szCs w:val="24"/>
          <w:highlight w:val="none"/>
        </w:rPr>
        <w:t>)特定资格要求如下:</w:t>
      </w:r>
    </w:p>
    <w:p w14:paraId="3BD173E4">
      <w:pPr>
        <w:pStyle w:val="2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textAlignment w:val="baseline"/>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（2）</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供应商须提供2024年度财务审计报告（成立时间至提交投标文件截止时间不足一年的可提供成立后任意时段的资产负债表）或基本存款账户开户银行出具的资信证明（附开户许可证或开户备案证明）；</w:t>
      </w:r>
    </w:p>
    <w:p w14:paraId="6C166877">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leftChars="0" w:right="0" w:rightChars="0"/>
        <w:jc w:val="both"/>
        <w:textAlignment w:val="baseline"/>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（3）</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（4）</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（9）提供具有履行合同所必需的设备和专业技术能力的承诺书；</w:t>
      </w:r>
    </w:p>
    <w:p w14:paraId="71B41B6A">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leftChars="0" w:right="0" w:rightChars="0"/>
        <w:jc w:val="both"/>
        <w:textAlignment w:val="baseline"/>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val="en-US" w:eastAsia="zh-CN"/>
        </w:rPr>
        <w:t>10</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供应商须</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提供城乡规划编制资质乙级及以上证书。</w:t>
      </w:r>
    </w:p>
    <w:p w14:paraId="5D0A93BA">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2、合格供应商</w:t>
      </w:r>
    </w:p>
    <w:p w14:paraId="557A84F7">
      <w:pPr>
        <w:shd w:val="clear"/>
        <w:spacing w:line="365"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依照《中华人民共和国公司法》合法注册的法人或其他组织、符合《中华人民共和国政府采购法》</w:t>
      </w:r>
      <w:bookmarkStart w:id="11" w:name="OLE_LINK8"/>
      <w:r>
        <w:rPr>
          <w:rFonts w:hint="eastAsia" w:asciiTheme="minorEastAsia" w:hAnsiTheme="minorEastAsia" w:eastAsiaTheme="minorEastAsia" w:cstheme="minorEastAsia"/>
          <w:color w:val="auto"/>
          <w:sz w:val="24"/>
          <w:szCs w:val="24"/>
          <w:highlight w:val="none"/>
        </w:rPr>
        <w:t>及其实施条例等有关法律法规的规定</w:t>
      </w:r>
      <w:bookmarkEnd w:id="11"/>
      <w:r>
        <w:rPr>
          <w:rFonts w:hint="eastAsia" w:asciiTheme="minorEastAsia" w:hAnsiTheme="minorEastAsia" w:eastAsiaTheme="minorEastAsia" w:cstheme="minorEastAsia"/>
          <w:color w:val="auto"/>
          <w:sz w:val="24"/>
          <w:szCs w:val="24"/>
          <w:highlight w:val="none"/>
        </w:rPr>
        <w:t>并满足本项目资格条件。不符合上述规定的供应商，磋商响应无效。</w:t>
      </w:r>
    </w:p>
    <w:p w14:paraId="3284DA17">
      <w:pPr>
        <w:shd w:val="clear"/>
        <w:spacing w:line="365"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3、供应商信用信息：</w:t>
      </w:r>
    </w:p>
    <w:p w14:paraId="6643A1D1">
      <w:pPr>
        <w:shd w:val="clear"/>
        <w:spacing w:line="365"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3-1、“信用中国”网站（www.creditchina.gov.cn）、中国政府采购网（www.ccgp.gov.cn）相关主体信用记录，供应商应提供信用承诺函，并对其承诺函的真实性负责。</w:t>
      </w:r>
    </w:p>
    <w:p w14:paraId="7876D22B">
      <w:pPr>
        <w:shd w:val="clear"/>
        <w:spacing w:line="365"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3-2、特别说明：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如在</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通知书发出前出现违法失信行为，采购人仍有权利提请</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取消其</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资格；</w:t>
      </w:r>
    </w:p>
    <w:p w14:paraId="6A599471">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4、竞争性磋商响应文件的组成： </w:t>
      </w:r>
    </w:p>
    <w:p w14:paraId="70607E3A">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4-1响应文件格式</w:t>
      </w:r>
    </w:p>
    <w:p w14:paraId="4A91C312">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4-2资质证明文件</w:t>
      </w:r>
    </w:p>
    <w:p w14:paraId="65BF339C">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4-3符合性证明文件</w:t>
      </w:r>
    </w:p>
    <w:p w14:paraId="247E33BD">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4-4响应方案</w:t>
      </w:r>
    </w:p>
    <w:p w14:paraId="7A99AE9B">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5、竞争性磋商响应文件编写说明</w:t>
      </w:r>
    </w:p>
    <w:p w14:paraId="305CCF7B">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5-1、竞争性磋商响应文件应当按照竞争性磋商文件给定的格式编制，格式之外的可自行编写。否则，将作为无效响应处理。</w:t>
      </w:r>
    </w:p>
    <w:p w14:paraId="7672D559">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5-2、供应商必须按照竞争性磋商文件的规定和要求由法定代表人或被授权人签字（或盖章），并逐页加盖供应商公章，如有遗漏，将作为无效磋商响应处理。</w:t>
      </w:r>
    </w:p>
    <w:p w14:paraId="73727161">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5-3、竞争性磋商响应文件因内容表达不清、印章或证明材料内容模糊难辨等导致的不利后果由供应商自行承担。</w:t>
      </w:r>
    </w:p>
    <w:p w14:paraId="5943CC85">
      <w:pPr>
        <w:shd w:val="clear"/>
        <w:spacing w:line="48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6、磋商响应文件的制作和签署</w:t>
      </w:r>
    </w:p>
    <w:p w14:paraId="44A11AAA">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登录全国公共资源交易平台（陕西省·宝鸡市）网站[服务指南-下载专区]免费下载《政府采购电子标书制作工具》。编制电子响应文件时，应使用最新发布的电子磋商文件及专用制作工具进行编制。并使用数字认证证书（CA锁）对响应文件进行签署、加密、递交、开标时解密以及二次报价等相关操作。电子磋商响应文件在编制过程中，如有技术性问题，请先翻阅操作手册或致电软件开发商，技术支持热线：4009980000。</w:t>
      </w:r>
    </w:p>
    <w:p w14:paraId="540B411C">
      <w:pPr>
        <w:shd w:val="clear"/>
        <w:spacing w:line="480" w:lineRule="exact"/>
        <w:ind w:firstLine="482"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注：该项目如有变更文件，则应点击“项目流程答疑文件下载”下载更新后的电子磋商文件（*.SXSCF），使用旧版电子磋商文件制作的电子响应文件，系统将拒绝接收。</w:t>
      </w:r>
    </w:p>
    <w:p w14:paraId="4F384619">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7、竞争性磋商响应文件的计量单位</w:t>
      </w:r>
    </w:p>
    <w:p w14:paraId="676CD48A">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竞争性磋商响应文件中所使用的计量单位，除有特殊要求外，均采用国家法定计量单位。</w:t>
      </w:r>
    </w:p>
    <w:p w14:paraId="6CB583FB">
      <w:pPr>
        <w:shd w:val="clear"/>
        <w:spacing w:line="48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8、磋商报价</w:t>
      </w:r>
    </w:p>
    <w:p w14:paraId="0DEC9B87">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8-1、磋商货币：人民币    单位：元（保留小数点后两位）。</w:t>
      </w:r>
    </w:p>
    <w:p w14:paraId="109A1256">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8-2、供应商要按报价表内容填写服务内容名称、单价、总价等内容，并由法定代表人或被授权人签署。</w:t>
      </w:r>
    </w:p>
    <w:p w14:paraId="2BCE7483">
      <w:pPr>
        <w:shd w:val="clear"/>
        <w:spacing w:line="360" w:lineRule="auto"/>
        <w:ind w:firstLine="480"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8-3、</w:t>
      </w:r>
      <w:r>
        <w:rPr>
          <w:rFonts w:hint="eastAsia" w:asciiTheme="minorEastAsia" w:hAnsiTheme="minorEastAsia" w:eastAsiaTheme="minorEastAsia" w:cstheme="minorEastAsia"/>
          <w:b/>
          <w:bCs/>
          <w:color w:val="auto"/>
          <w:sz w:val="24"/>
          <w:szCs w:val="24"/>
          <w:highlight w:val="none"/>
        </w:rPr>
        <w:t>磋商报价应是竞争性磋商响应文件所确定的磋商范围内的全部工作内容的价格体现，包括本项目所涉及的服务费、人工费、设备费、管理费、税费、规费、保险费</w:t>
      </w:r>
      <w:r>
        <w:rPr>
          <w:rFonts w:hint="eastAsia" w:asciiTheme="minorEastAsia" w:hAnsiTheme="minorEastAsia" w:eastAsiaTheme="minorEastAsia" w:cstheme="minorEastAsia"/>
          <w:b/>
          <w:bCs/>
          <w:color w:val="auto"/>
          <w:sz w:val="24"/>
          <w:szCs w:val="24"/>
          <w:highlight w:val="none"/>
          <w:lang w:eastAsia="zh-CN"/>
        </w:rPr>
        <w:t>等</w:t>
      </w:r>
      <w:r>
        <w:rPr>
          <w:rFonts w:hint="eastAsia" w:asciiTheme="minorEastAsia" w:hAnsiTheme="minorEastAsia" w:eastAsiaTheme="minorEastAsia" w:cstheme="minorEastAsia"/>
          <w:b/>
          <w:bCs/>
          <w:color w:val="auto"/>
          <w:sz w:val="24"/>
          <w:szCs w:val="24"/>
          <w:highlight w:val="none"/>
        </w:rPr>
        <w:t>所有与完成本项目相关服务及履行合同义务有关的一切费用，任何有选择的报价将不予接受，按无效磋商处理。</w:t>
      </w:r>
    </w:p>
    <w:p w14:paraId="5EC3C407">
      <w:pPr>
        <w:shd w:val="clear"/>
        <w:spacing w:line="480" w:lineRule="exact"/>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24"/>
          <w:highlight w:val="none"/>
        </w:rPr>
        <w:t>注：磋商报价（首轮）超过采购预算的，响应无效，按废标处理;二轮报价超过首轮报价的，响应无效，按废标处理。</w:t>
      </w:r>
    </w:p>
    <w:p w14:paraId="3EE77BFB">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8-4、供应商所报的磋商价在合同执行过程中是固定不变的，不得以任何理由予以变更。任何包含价格调整要求的磋商，将被认为是非响应性磋商而予以拒绝。</w:t>
      </w:r>
    </w:p>
    <w:p w14:paraId="3909BCA6">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8-5、凡磋商文件要求或允许磋商中进行报价的各项费用项目，若磋商报价时未报，采购人将按这些费用已包含在磋商报价中对待。</w:t>
      </w:r>
    </w:p>
    <w:p w14:paraId="220CB5D2">
      <w:pPr>
        <w:shd w:val="clear"/>
        <w:spacing w:line="480" w:lineRule="exact"/>
        <w:rPr>
          <w:rFonts w:hint="eastAsia" w:asciiTheme="minorEastAsia" w:hAnsiTheme="minorEastAsia" w:eastAsiaTheme="minorEastAsia" w:cstheme="minorEastAsia"/>
          <w:b/>
          <w:bCs/>
          <w:color w:val="auto"/>
          <w:sz w:val="24"/>
          <w:szCs w:val="24"/>
          <w:highlight w:val="none"/>
        </w:rPr>
      </w:pPr>
      <w:bookmarkStart w:id="12" w:name="_Toc458848736"/>
      <w:bookmarkStart w:id="13" w:name="_Toc7453875"/>
      <w:bookmarkStart w:id="14" w:name="_Toc458848821"/>
      <w:bookmarkStart w:id="15" w:name="_Toc458848969"/>
      <w:r>
        <w:rPr>
          <w:rFonts w:hint="eastAsia" w:asciiTheme="minorEastAsia" w:hAnsiTheme="minorEastAsia" w:eastAsiaTheme="minorEastAsia" w:cstheme="minorEastAsia"/>
          <w:b/>
          <w:bCs/>
          <w:color w:val="auto"/>
          <w:sz w:val="24"/>
          <w:szCs w:val="24"/>
          <w:highlight w:val="none"/>
        </w:rPr>
        <w:t>五、磋商担保</w:t>
      </w:r>
      <w:bookmarkEnd w:id="12"/>
      <w:bookmarkEnd w:id="13"/>
      <w:bookmarkEnd w:id="14"/>
      <w:bookmarkEnd w:id="15"/>
    </w:p>
    <w:p w14:paraId="48FF22E4">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1、担保方式：见供应商须知前附表。</w:t>
      </w:r>
    </w:p>
    <w:p w14:paraId="051DC161">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2、磋商担保递交截止时间：见供应商须知前附表。</w:t>
      </w:r>
    </w:p>
    <w:p w14:paraId="2281A3E0">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3、若采购代理机构未在磋商担保递交截止时间查询到足额磋商保证金或者有效磋商担保函的，其磋商将被拒绝。 </w:t>
      </w:r>
    </w:p>
    <w:p w14:paraId="24763C62">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参加磋商时，必须以竞争性磋商文件规定的方式提交磋商担保，并作为其磋商响应的一部分。若未在磋商担保递交截止时间查询到到足额磋商保证金或供应商不能自行证明其足额缴纳磋商保证金的，或供应商未在响应文件中附银行汇（存）款回执单或担保机构出具的担保函，其磋商响应文件无效。</w:t>
      </w:r>
    </w:p>
    <w:p w14:paraId="47990068">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5、退还磋商保证金：</w:t>
      </w:r>
    </w:p>
    <w:p w14:paraId="107BF8BD">
      <w:pPr>
        <w:shd w:val="clear"/>
        <w:spacing w:line="480" w:lineRule="exact"/>
        <w:ind w:firstLine="482" w:firstLineChars="200"/>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u w:val="single"/>
        </w:rPr>
        <w:t>在磋商截止时间前撤回已提交磋商响应文件的供应商的磋商保证金，将在采购代理机构收到供应商书面撤回通知之日起5个工作日内退还。</w:t>
      </w:r>
    </w:p>
    <w:p w14:paraId="168ED44F">
      <w:pPr>
        <w:shd w:val="clear"/>
        <w:spacing w:line="48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u w:val="single"/>
        </w:rPr>
        <w:t>所有未成交供应商的磋商保证金，将在成交通知书发出后5个工作日内退还。</w:t>
      </w:r>
    </w:p>
    <w:p w14:paraId="40A34705">
      <w:pPr>
        <w:shd w:val="clear"/>
        <w:spacing w:line="480" w:lineRule="exact"/>
        <w:ind w:firstLine="482" w:firstLineChars="200"/>
        <w:rPr>
          <w:rFonts w:hint="eastAsia" w:asciiTheme="minorEastAsia" w:hAnsiTheme="minorEastAsia" w:eastAsiaTheme="minorEastAsia" w:cstheme="minorEastAsia"/>
          <w:b/>
          <w:color w:val="auto"/>
          <w:spacing w:val="-4"/>
          <w:sz w:val="24"/>
          <w:szCs w:val="24"/>
          <w:highlight w:val="none"/>
          <w:u w:val="singl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pacing w:val="-4"/>
          <w:sz w:val="24"/>
          <w:szCs w:val="24"/>
          <w:highlight w:val="none"/>
          <w:u w:val="single"/>
        </w:rPr>
        <w:t>成交的供应商的磋商保证金在签订合同后，执合同予以</w:t>
      </w:r>
      <w:r>
        <w:rPr>
          <w:rFonts w:hint="eastAsia" w:asciiTheme="minorEastAsia" w:hAnsiTheme="minorEastAsia" w:eastAsiaTheme="minorEastAsia" w:cstheme="minorEastAsia"/>
          <w:b/>
          <w:color w:val="auto"/>
          <w:sz w:val="24"/>
          <w:szCs w:val="24"/>
          <w:highlight w:val="none"/>
          <w:u w:val="single"/>
        </w:rPr>
        <w:t>5个工作日内</w:t>
      </w:r>
      <w:r>
        <w:rPr>
          <w:rFonts w:hint="eastAsia" w:asciiTheme="minorEastAsia" w:hAnsiTheme="minorEastAsia" w:eastAsiaTheme="minorEastAsia" w:cstheme="minorEastAsia"/>
          <w:b/>
          <w:color w:val="auto"/>
          <w:spacing w:val="-4"/>
          <w:sz w:val="24"/>
          <w:szCs w:val="24"/>
          <w:highlight w:val="none"/>
          <w:u w:val="single"/>
        </w:rPr>
        <w:t>退还。</w:t>
      </w:r>
    </w:p>
    <w:p w14:paraId="457DA545">
      <w:pPr>
        <w:shd w:val="clear"/>
        <w:tabs>
          <w:tab w:val="left" w:pos="2700"/>
        </w:tabs>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6、如磋商发生下列情况之一时，磋商保证金将不予退还，提供担保函的供应商将由专业担保机构先行偿付采购人损失：</w:t>
      </w:r>
    </w:p>
    <w:p w14:paraId="12D1AA14">
      <w:pPr>
        <w:shd w:val="clear"/>
        <w:tabs>
          <w:tab w:val="left" w:pos="2700"/>
        </w:tabs>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r>
        <w:rPr>
          <w:rFonts w:hint="eastAsia" w:asciiTheme="minorEastAsia" w:hAnsiTheme="minorEastAsia" w:eastAsiaTheme="minorEastAsia" w:cstheme="minorEastAsia"/>
          <w:color w:val="auto"/>
          <w:sz w:val="24"/>
          <w:szCs w:val="24"/>
          <w:highlight w:val="none"/>
          <w:u w:val="single"/>
        </w:rPr>
        <w:t>供应商提供虚假资质谋取成交的；</w:t>
      </w:r>
    </w:p>
    <w:p w14:paraId="5BF79910">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6-2、</w:t>
      </w:r>
      <w:r>
        <w:rPr>
          <w:rFonts w:hint="eastAsia" w:asciiTheme="minorEastAsia" w:hAnsiTheme="minorEastAsia" w:eastAsiaTheme="minorEastAsia" w:cstheme="minorEastAsia"/>
          <w:color w:val="auto"/>
          <w:sz w:val="24"/>
          <w:szCs w:val="24"/>
          <w:highlight w:val="none"/>
          <w:u w:val="single"/>
        </w:rPr>
        <w:t>供应商有围标、串标现象，经查证属实的；</w:t>
      </w:r>
    </w:p>
    <w:p w14:paraId="5FB0CEFD">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u w:val="single"/>
        </w:rPr>
        <w:t>供应商在竞争性磋商文件规定的磋商响应有效期内撤回磋商响应文件的；</w:t>
      </w:r>
    </w:p>
    <w:p w14:paraId="2F1F3327">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6-4、</w:t>
      </w:r>
      <w:r>
        <w:rPr>
          <w:rFonts w:hint="eastAsia" w:asciiTheme="minorEastAsia" w:hAnsiTheme="minorEastAsia" w:eastAsiaTheme="minorEastAsia" w:cstheme="minorEastAsia"/>
          <w:color w:val="auto"/>
          <w:sz w:val="24"/>
          <w:szCs w:val="24"/>
          <w:highlight w:val="none"/>
          <w:u w:val="single"/>
        </w:rPr>
        <w:t>供应商自行放弃磋商资格而未在磋商会议前一天以书面形式告知采购代理机构的；</w:t>
      </w:r>
    </w:p>
    <w:p w14:paraId="3507A368">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6-5、</w:t>
      </w:r>
      <w:r>
        <w:rPr>
          <w:rFonts w:hint="eastAsia" w:asciiTheme="minorEastAsia" w:hAnsiTheme="minorEastAsia" w:eastAsiaTheme="minorEastAsia" w:cstheme="minorEastAsia"/>
          <w:color w:val="auto"/>
          <w:sz w:val="24"/>
          <w:szCs w:val="24"/>
          <w:highlight w:val="none"/>
          <w:u w:val="single"/>
        </w:rPr>
        <w:t>供应商自行放弃成交资格的；</w:t>
      </w:r>
    </w:p>
    <w:p w14:paraId="6DF439CA">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6-6、</w:t>
      </w:r>
      <w:r>
        <w:rPr>
          <w:rFonts w:hint="eastAsia" w:asciiTheme="minorEastAsia" w:hAnsiTheme="minorEastAsia" w:eastAsiaTheme="minorEastAsia" w:cstheme="minorEastAsia"/>
          <w:color w:val="auto"/>
          <w:sz w:val="24"/>
          <w:szCs w:val="24"/>
          <w:highlight w:val="none"/>
          <w:u w:val="single"/>
        </w:rPr>
        <w:t>成交供应商不在规定的时效内领取《成交通知书》的；</w:t>
      </w:r>
    </w:p>
    <w:p w14:paraId="6A97C993">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6-7、</w:t>
      </w:r>
      <w:r>
        <w:rPr>
          <w:rFonts w:hint="eastAsia" w:asciiTheme="minorEastAsia" w:hAnsiTheme="minorEastAsia" w:eastAsiaTheme="minorEastAsia" w:cstheme="minorEastAsia"/>
          <w:color w:val="auto"/>
          <w:sz w:val="24"/>
          <w:szCs w:val="24"/>
          <w:highlight w:val="none"/>
          <w:u w:val="single"/>
        </w:rPr>
        <w:t>成交供应商不按规定支付招标服务费的；</w:t>
      </w:r>
    </w:p>
    <w:p w14:paraId="5229867B">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6-8、</w:t>
      </w:r>
      <w:r>
        <w:rPr>
          <w:rFonts w:hint="eastAsia" w:asciiTheme="minorEastAsia" w:hAnsiTheme="minorEastAsia" w:eastAsiaTheme="minorEastAsia" w:cstheme="minorEastAsia"/>
          <w:color w:val="auto"/>
          <w:sz w:val="24"/>
          <w:szCs w:val="24"/>
          <w:highlight w:val="none"/>
          <w:u w:val="single"/>
        </w:rPr>
        <w:t>成交供应商因自身原因未能在规定期限内与采购人签订合同的。</w:t>
      </w:r>
    </w:p>
    <w:p w14:paraId="619F1578">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6-9、</w:t>
      </w:r>
      <w:r>
        <w:rPr>
          <w:rFonts w:hint="eastAsia" w:asciiTheme="minorEastAsia" w:hAnsiTheme="minorEastAsia" w:eastAsiaTheme="minorEastAsia" w:cstheme="minorEastAsia"/>
          <w:color w:val="auto"/>
          <w:sz w:val="24"/>
          <w:szCs w:val="24"/>
          <w:highlight w:val="none"/>
          <w:u w:val="single"/>
        </w:rPr>
        <w:t>供应商无故不参加磋商活动的。</w:t>
      </w:r>
    </w:p>
    <w:p w14:paraId="3448F565">
      <w:pPr>
        <w:pStyle w:val="3"/>
        <w:shd w:val="clear"/>
        <w:spacing w:before="0" w:after="0" w:line="480" w:lineRule="exact"/>
        <w:rPr>
          <w:rFonts w:hint="eastAsia" w:asciiTheme="minorEastAsia" w:hAnsiTheme="minorEastAsia" w:eastAsiaTheme="minorEastAsia" w:cstheme="minorEastAsia"/>
          <w:color w:val="auto"/>
          <w:kern w:val="0"/>
          <w:sz w:val="24"/>
          <w:szCs w:val="24"/>
          <w:highlight w:val="none"/>
        </w:rPr>
      </w:pPr>
      <w:bookmarkStart w:id="16" w:name="_Toc458848970"/>
      <w:bookmarkStart w:id="17" w:name="_Toc7453876"/>
      <w:bookmarkStart w:id="18" w:name="_Toc458848822"/>
      <w:bookmarkStart w:id="19" w:name="_Toc458848737"/>
      <w:r>
        <w:rPr>
          <w:rFonts w:hint="eastAsia" w:asciiTheme="minorEastAsia" w:hAnsiTheme="minorEastAsia" w:eastAsiaTheme="minorEastAsia" w:cstheme="minorEastAsia"/>
          <w:color w:val="auto"/>
          <w:kern w:val="0"/>
          <w:sz w:val="24"/>
          <w:szCs w:val="24"/>
          <w:highlight w:val="none"/>
        </w:rPr>
        <w:t>六、磋商响应</w:t>
      </w:r>
      <w:bookmarkEnd w:id="16"/>
      <w:bookmarkEnd w:id="17"/>
      <w:bookmarkEnd w:id="18"/>
      <w:bookmarkEnd w:id="19"/>
    </w:p>
    <w:p w14:paraId="6777EF2A">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1、磋商响应文件的提交：</w:t>
      </w:r>
    </w:p>
    <w:p w14:paraId="607906BF">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bookmarkStart w:id="20" w:name="_Toc458848738"/>
      <w:bookmarkStart w:id="21" w:name="_Toc458848971"/>
      <w:bookmarkStart w:id="22" w:name="_Toc458848823"/>
      <w:bookmarkStart w:id="23" w:name="_Toc7453877"/>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szCs w:val="24"/>
          <w:highlight w:val="none"/>
        </w:rPr>
        <w:t>应在磋商截止时间前将响应文件上传至交易平台；</w:t>
      </w:r>
    </w:p>
    <w:p w14:paraId="3DC205F9">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1-2、磋商</w:t>
      </w:r>
      <w:r>
        <w:rPr>
          <w:rFonts w:hint="eastAsia" w:asciiTheme="minorEastAsia" w:hAnsiTheme="minorEastAsia" w:eastAsiaTheme="minorEastAsia" w:cstheme="minorEastAsia"/>
          <w:color w:val="auto"/>
          <w:sz w:val="24"/>
          <w:szCs w:val="24"/>
          <w:highlight w:val="none"/>
          <w:lang w:val="zh-CN"/>
        </w:rPr>
        <w:t>响应文件可于提交磋商响应文件截止时间前任意时段登录全国公共资源交易平台 （</w:t>
      </w:r>
      <w:r>
        <w:rPr>
          <w:rFonts w:hint="eastAsia" w:asciiTheme="minorEastAsia" w:hAnsiTheme="minorEastAsia" w:eastAsiaTheme="minorEastAsia" w:cstheme="minorEastAsia"/>
          <w:color w:val="auto"/>
          <w:sz w:val="24"/>
          <w:szCs w:val="24"/>
          <w:highlight w:val="none"/>
        </w:rPr>
        <w:t>陕西省·宝鸡市</w:t>
      </w:r>
      <w:r>
        <w:rPr>
          <w:rFonts w:hint="eastAsia" w:asciiTheme="minorEastAsia" w:hAnsiTheme="minorEastAsia" w:eastAsiaTheme="minorEastAsia" w:cstheme="minorEastAsia"/>
          <w:color w:val="auto"/>
          <w:sz w:val="24"/>
          <w:szCs w:val="24"/>
          <w:highlight w:val="none"/>
          <w:lang w:val="zh-CN"/>
        </w:rPr>
        <w:t>）网站[电子交易平台-企业端]进行提交，逾期系统将拒绝接收。提交时，</w:t>
      </w: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szCs w:val="24"/>
          <w:highlight w:val="none"/>
          <w:lang w:val="zh-CN"/>
        </w:rPr>
        <w:t>应登录全国公共资源交易中心平台（陕西省</w:t>
      </w:r>
      <w:r>
        <w:rPr>
          <w:rFonts w:hint="eastAsia" w:asciiTheme="minorEastAsia" w:hAnsiTheme="minorEastAsia" w:eastAsiaTheme="minorEastAsia" w:cstheme="minorEastAsia"/>
          <w:color w:val="auto"/>
          <w:sz w:val="24"/>
          <w:szCs w:val="24"/>
          <w:highlight w:val="none"/>
        </w:rPr>
        <w:t>.宝鸡市</w:t>
      </w:r>
      <w:r>
        <w:rPr>
          <w:rFonts w:hint="eastAsia" w:asciiTheme="minorEastAsia" w:hAnsiTheme="minorEastAsia" w:eastAsiaTheme="minorEastAsia" w:cstheme="minorEastAsia"/>
          <w:color w:val="auto"/>
          <w:sz w:val="24"/>
          <w:szCs w:val="24"/>
          <w:highlight w:val="none"/>
          <w:lang w:val="zh-CN"/>
        </w:rPr>
        <w:t>），选择[“首页&gt;电子交易平台&gt;企业端&gt;我的项目]”，点击[项目流程]，在打开的[项目管理]对话框中选择[上传响应文件]，上传加密的电子响应文件（*.SXSTF），上传成功后，电子化平台将予以记录。逾期上传的将被拒绝接收。</w:t>
      </w:r>
    </w:p>
    <w:p w14:paraId="304C9907">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bCs/>
          <w:color w:val="auto"/>
          <w:sz w:val="24"/>
          <w:szCs w:val="24"/>
          <w:highlight w:val="none"/>
        </w:rPr>
        <w:t>竞争性磋商</w:t>
      </w:r>
      <w:r>
        <w:rPr>
          <w:rFonts w:hint="eastAsia" w:asciiTheme="minorEastAsia" w:hAnsiTheme="minorEastAsia" w:eastAsiaTheme="minorEastAsia" w:cstheme="minorEastAsia"/>
          <w:color w:val="auto"/>
          <w:sz w:val="24"/>
          <w:szCs w:val="24"/>
          <w:highlight w:val="none"/>
        </w:rPr>
        <w:t>响应文件的补充、修改与撤回：</w:t>
      </w:r>
    </w:p>
    <w:p w14:paraId="5F7840AB">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szCs w:val="24"/>
          <w:highlight w:val="none"/>
        </w:rPr>
        <w:t>在提交响应文件后，磋商截止时间前，可以修改或撤回其响应文件，并在规定的磋商截止期之前，将修改或撤回的响应文件上传到交易平台，逾期递交的响应文件将不予受理。</w:t>
      </w:r>
    </w:p>
    <w:p w14:paraId="78B0D13D">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2-2、磋商截止时间之后，供应商不得补充、修改竞争性磋商响应文件；</w:t>
      </w:r>
    </w:p>
    <w:p w14:paraId="05C42BD0">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2-3、在磋商截止时间至磋商响应有效期满之前，供应商不得撤回其竞争性磋商响应文件，否则其磋商保证金将不予退还，提供磋商担保的供应商将由专业担保机构先行偿付采购人损失。</w:t>
      </w:r>
    </w:p>
    <w:p w14:paraId="3E5A1007">
      <w:pPr>
        <w:shd w:val="clear"/>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kern w:val="0"/>
          <w:sz w:val="24"/>
          <w:szCs w:val="24"/>
          <w:highlight w:val="none"/>
        </w:rPr>
        <w:t>、竞争性磋商响应有效期：</w:t>
      </w:r>
    </w:p>
    <w:p w14:paraId="69BE2B58">
      <w:pPr>
        <w:pStyle w:val="49"/>
        <w:shd w:val="clear"/>
        <w:spacing w:line="48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3-1、自提交磋商响应文件的截止之日起90个日历日。竞争性磋商响应有效期短于竞争性磋商文件规定的磋商响应有效期，按无效竞争性磋商响应处理。成交单位的竞争性磋商有效期延长至合同执行完毕。</w:t>
      </w:r>
    </w:p>
    <w:p w14:paraId="021B3D71">
      <w:pPr>
        <w:pStyle w:val="49"/>
        <w:shd w:val="clear"/>
        <w:spacing w:line="48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-2、在原有有效期结束前，采购代理机构可要求供应商延长竞争性磋商响应有效期。拒绝延长有效期的供应商有权收回磋商保证金，但不得参与该项目后续采购活动。同意延长有效期的供应商应相应延长磋商担保的有效期，但不得修改竞争性磋商响应文件的实质性内容。 </w:t>
      </w:r>
    </w:p>
    <w:p w14:paraId="62494541">
      <w:pPr>
        <w:pStyle w:val="49"/>
        <w:shd w:val="clear"/>
        <w:spacing w:line="480" w:lineRule="exact"/>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4、供应商</w:t>
      </w:r>
      <w:r>
        <w:rPr>
          <w:rFonts w:hint="eastAsia" w:asciiTheme="minorEastAsia" w:hAnsiTheme="minorEastAsia" w:eastAsiaTheme="minorEastAsia" w:cstheme="minorEastAsia"/>
          <w:color w:val="auto"/>
          <w:kern w:val="2"/>
          <w:sz w:val="24"/>
          <w:szCs w:val="24"/>
          <w:highlight w:val="none"/>
        </w:rPr>
        <w:t>有下列情形之一的，属于恶意串通，对其依照《中华人民共和国政府采购法》第七十七条第一款的规定追究法律责任，响应无效：</w:t>
      </w:r>
    </w:p>
    <w:p w14:paraId="687AAD1D">
      <w:pPr>
        <w:pStyle w:val="49"/>
        <w:shd w:val="clear"/>
        <w:spacing w:line="480" w:lineRule="exact"/>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4-1、供应商直接或者间接从采购人或采购代理机构处获得其他供应商的相关情况并修改其磋商响应文件；</w:t>
      </w:r>
    </w:p>
    <w:p w14:paraId="1468DD57">
      <w:pPr>
        <w:pStyle w:val="49"/>
        <w:shd w:val="clear"/>
        <w:spacing w:line="480" w:lineRule="exact"/>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4-2、供应商按照采购人或采购代理机构的授意撤换、修改磋商响应文件；</w:t>
      </w:r>
    </w:p>
    <w:p w14:paraId="117594A6">
      <w:pPr>
        <w:pStyle w:val="49"/>
        <w:shd w:val="clear"/>
        <w:spacing w:line="480" w:lineRule="exact"/>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4-3、供应商之间协商报价、技术方案等磋商响应文件的实质性内容；</w:t>
      </w:r>
    </w:p>
    <w:p w14:paraId="2730227D">
      <w:pPr>
        <w:pStyle w:val="49"/>
        <w:shd w:val="clear"/>
        <w:spacing w:line="480" w:lineRule="exact"/>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4-4、属于同一集团、协会、商会等组织成员的供应商按照该组织要求协同参加政府采购活动；</w:t>
      </w:r>
    </w:p>
    <w:p w14:paraId="529E5DE9">
      <w:pPr>
        <w:pStyle w:val="49"/>
        <w:shd w:val="clear"/>
        <w:spacing w:line="480" w:lineRule="exact"/>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4-5、供应商之间事先约定由某一特定供应商成交；</w:t>
      </w:r>
    </w:p>
    <w:p w14:paraId="3F52E043">
      <w:pPr>
        <w:pStyle w:val="49"/>
        <w:shd w:val="clear"/>
        <w:spacing w:line="480" w:lineRule="exact"/>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4-6、供应商之间商定部分供应商放弃参加政府采购活动或放弃成交；</w:t>
      </w:r>
    </w:p>
    <w:p w14:paraId="3B42807C">
      <w:pPr>
        <w:pStyle w:val="49"/>
        <w:shd w:val="clear"/>
        <w:spacing w:line="480" w:lineRule="exact"/>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4-7、供应商相互之间，为谋求特定供应商成交或排斥其他供应商的其他串通行为。</w:t>
      </w:r>
    </w:p>
    <w:p w14:paraId="226DC0D3">
      <w:pPr>
        <w:pStyle w:val="49"/>
        <w:shd w:val="clear"/>
        <w:spacing w:line="48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5、有下列情形之一的，视为供应商串通磋商，其响应无效：</w:t>
      </w:r>
    </w:p>
    <w:p w14:paraId="64258FB2">
      <w:pPr>
        <w:pStyle w:val="49"/>
        <w:shd w:val="clear"/>
        <w:spacing w:line="480" w:lineRule="exact"/>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5-1、不同供应商的磋商响应文件由同一单位或者个人编制；</w:t>
      </w:r>
    </w:p>
    <w:p w14:paraId="2DC8E342">
      <w:pPr>
        <w:pStyle w:val="49"/>
        <w:shd w:val="clear"/>
        <w:spacing w:line="480" w:lineRule="exact"/>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5-2、不同供应商委托同一单位或者个人办理磋商事宜；</w:t>
      </w:r>
    </w:p>
    <w:p w14:paraId="673FE4EC">
      <w:pPr>
        <w:pStyle w:val="49"/>
        <w:shd w:val="clear"/>
        <w:spacing w:line="480" w:lineRule="exact"/>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5-3、不同供应商的磋商响应文件载明的项目管理成员或者联系人为同一人；</w:t>
      </w:r>
    </w:p>
    <w:p w14:paraId="6E3833DB">
      <w:pPr>
        <w:pStyle w:val="49"/>
        <w:shd w:val="clear"/>
        <w:spacing w:line="480" w:lineRule="exact"/>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5-4、不同供应商的磋商响应文件异常一致或者磋商报价呈现规律性差异；</w:t>
      </w:r>
    </w:p>
    <w:p w14:paraId="124F051A">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5-5、不同供应商的磋商保证金从同一单位或者个人的账户转出。</w:t>
      </w:r>
    </w:p>
    <w:p w14:paraId="3C7CB1E4">
      <w:pPr>
        <w:pStyle w:val="3"/>
        <w:shd w:val="clear"/>
        <w:spacing w:before="0" w:after="0" w:line="48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七、磋商</w:t>
      </w:r>
      <w:bookmarkEnd w:id="20"/>
      <w:bookmarkEnd w:id="21"/>
      <w:bookmarkEnd w:id="22"/>
      <w:r>
        <w:rPr>
          <w:rFonts w:hint="eastAsia" w:asciiTheme="minorEastAsia" w:hAnsiTheme="minorEastAsia" w:eastAsiaTheme="minorEastAsia" w:cstheme="minorEastAsia"/>
          <w:color w:val="auto"/>
          <w:kern w:val="0"/>
          <w:sz w:val="24"/>
          <w:szCs w:val="24"/>
          <w:highlight w:val="none"/>
        </w:rPr>
        <w:t>、评审及定标</w:t>
      </w:r>
      <w:bookmarkEnd w:id="23"/>
    </w:p>
    <w:p w14:paraId="45D6A21C">
      <w:pPr>
        <w:shd w:val="clear"/>
        <w:spacing w:line="48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1、磋商</w:t>
      </w:r>
    </w:p>
    <w:p w14:paraId="574B560E">
      <w:pPr>
        <w:shd w:val="clea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1-1、采购代理机构按竞争性磋商文件规定的时间、地点组织磋商。所有</w:t>
      </w: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szCs w:val="24"/>
          <w:highlight w:val="none"/>
        </w:rPr>
        <w:t>应按时参加磋商会议。</w:t>
      </w:r>
    </w:p>
    <w:p w14:paraId="42518012">
      <w:pPr>
        <w:shd w:val="clea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1-2、磋商会议由采购代理机构主持。</w:t>
      </w:r>
      <w:r>
        <w:rPr>
          <w:rFonts w:hint="eastAsia" w:asciiTheme="minorEastAsia" w:hAnsiTheme="minorEastAsia" w:eastAsiaTheme="minorEastAsia" w:cstheme="minorEastAsia"/>
          <w:color w:val="auto"/>
          <w:sz w:val="24"/>
          <w:szCs w:val="24"/>
          <w:highlight w:val="none"/>
          <w:lang w:val="zh-CN"/>
        </w:rPr>
        <w:t>采购人、</w:t>
      </w:r>
      <w:r>
        <w:rPr>
          <w:rFonts w:hint="eastAsia" w:asciiTheme="minorEastAsia" w:hAnsiTheme="minorEastAsia" w:eastAsiaTheme="minorEastAsia" w:cstheme="minorEastAsia"/>
          <w:color w:val="auto"/>
          <w:sz w:val="24"/>
          <w:szCs w:val="24"/>
          <w:highlight w:val="none"/>
        </w:rPr>
        <w:t>供应商（线上）</w:t>
      </w:r>
      <w:r>
        <w:rPr>
          <w:rFonts w:hint="eastAsia" w:asciiTheme="minorEastAsia" w:hAnsiTheme="minorEastAsia" w:eastAsiaTheme="minorEastAsia" w:cstheme="minorEastAsia"/>
          <w:color w:val="auto"/>
          <w:sz w:val="24"/>
          <w:szCs w:val="24"/>
          <w:highlight w:val="none"/>
          <w:lang w:val="zh-CN"/>
        </w:rPr>
        <w:t>和有关方面代表参加</w:t>
      </w:r>
      <w:r>
        <w:rPr>
          <w:rFonts w:hint="eastAsia" w:asciiTheme="minorEastAsia" w:hAnsiTheme="minorEastAsia" w:eastAsiaTheme="minorEastAsia" w:cstheme="minorEastAsia"/>
          <w:color w:val="auto"/>
          <w:sz w:val="24"/>
          <w:szCs w:val="24"/>
          <w:highlight w:val="none"/>
        </w:rPr>
        <w:t>。</w:t>
      </w:r>
    </w:p>
    <w:p w14:paraId="5952ADBD">
      <w:pPr>
        <w:pStyle w:val="49"/>
        <w:shd w:val="clear"/>
        <w:spacing w:line="480" w:lineRule="exact"/>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1-3、开标程序</w:t>
      </w:r>
    </w:p>
    <w:p w14:paraId="7087668E">
      <w:pPr>
        <w:pStyle w:val="49"/>
        <w:shd w:val="clear"/>
        <w:spacing w:line="480" w:lineRule="exact"/>
        <w:ind w:firstLine="480"/>
        <w:jc w:val="left"/>
        <w:rPr>
          <w:rFonts w:hint="eastAsia" w:asciiTheme="minorEastAsia" w:hAnsiTheme="minorEastAsia" w:eastAsiaTheme="minorEastAsia" w:cstheme="minorEastAsia"/>
          <w:color w:val="auto"/>
          <w:kern w:val="2"/>
          <w:sz w:val="15"/>
          <w:szCs w:val="15"/>
          <w:highlight w:val="none"/>
        </w:rPr>
      </w:pPr>
      <w:r>
        <w:rPr>
          <w:rFonts w:hint="eastAsia" w:asciiTheme="minorEastAsia" w:hAnsiTheme="minorEastAsia" w:eastAsiaTheme="minorEastAsia" w:cstheme="minorEastAsia"/>
          <w:color w:val="auto"/>
          <w:kern w:val="2"/>
          <w:sz w:val="24"/>
          <w:szCs w:val="24"/>
          <w:highlight w:val="none"/>
        </w:rPr>
        <w:t>（1）本项目采用“不见面开标”，</w:t>
      </w:r>
      <w:r>
        <w:rPr>
          <w:rFonts w:hint="eastAsia" w:asciiTheme="minorEastAsia" w:hAnsiTheme="minorEastAsia" w:eastAsiaTheme="minorEastAsia" w:cstheme="minorEastAsia"/>
          <w:b/>
          <w:bCs/>
          <w:color w:val="auto"/>
          <w:kern w:val="2"/>
          <w:sz w:val="24"/>
          <w:szCs w:val="24"/>
          <w:highlight w:val="none"/>
        </w:rPr>
        <w:t>“不见面开标”</w:t>
      </w:r>
      <w:r>
        <w:rPr>
          <w:rFonts w:hint="eastAsia" w:asciiTheme="minorEastAsia" w:hAnsiTheme="minorEastAsia" w:eastAsiaTheme="minorEastAsia" w:cstheme="minorEastAsia"/>
          <w:color w:val="auto"/>
          <w:kern w:val="2"/>
          <w:sz w:val="24"/>
          <w:szCs w:val="24"/>
          <w:highlight w:val="none"/>
        </w:rPr>
        <w:t>系统操作说明详见全国公共资源交易平台（陕西省·宝鸡市）宝鸡市公共资源交易中心〖首页·〉服务指南·〉下载专区〗中的《政府采购电子交易-不见面系统操作手册》。链接地址：</w:t>
      </w:r>
      <w:r>
        <w:rPr>
          <w:rFonts w:hint="eastAsia" w:asciiTheme="minorEastAsia" w:hAnsiTheme="minorEastAsia" w:eastAsiaTheme="minorEastAsia" w:cstheme="minorEastAsia"/>
          <w:color w:val="auto"/>
          <w:kern w:val="2"/>
          <w:sz w:val="22"/>
          <w:highlight w:val="none"/>
        </w:rPr>
        <w:t>http://ggzy.baoji.gov.cn/fwzn/004003/20231123/d2048104-5dd1-4825-97f0-186cb8450ee5.html</w:t>
      </w:r>
    </w:p>
    <w:p w14:paraId="581408F9">
      <w:pPr>
        <w:shd w:val="clear"/>
        <w:spacing w:line="480" w:lineRule="exact"/>
        <w:ind w:firstLine="480" w:firstLineChars="200"/>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（2）磋商当日，供应商不必抵达开标现场，可通过公共资源交易不见面开标系统参加磋商会议。</w:t>
      </w:r>
      <w:r>
        <w:rPr>
          <w:rFonts w:hint="eastAsia" w:asciiTheme="minorEastAsia" w:hAnsiTheme="minorEastAsia" w:eastAsiaTheme="minorEastAsia" w:cstheme="minorEastAsia"/>
          <w:color w:val="auto"/>
          <w:sz w:val="24"/>
          <w:szCs w:val="24"/>
          <w:highlight w:val="none"/>
          <w:lang w:val="zh-CN"/>
        </w:rPr>
        <w:t>不见面开标大厅登录方式为：</w:t>
      </w:r>
      <w:r>
        <w:rPr>
          <w:rFonts w:hint="eastAsia" w:asciiTheme="minorEastAsia" w:hAnsiTheme="minorEastAsia" w:eastAsiaTheme="minorEastAsia" w:cstheme="minorEastAsia"/>
          <w:b/>
          <w:bCs/>
          <w:color w:val="auto"/>
          <w:sz w:val="24"/>
          <w:szCs w:val="24"/>
          <w:highlight w:val="none"/>
          <w:lang w:val="zh-CN"/>
        </w:rPr>
        <w:t>全国公共资源交易平台（陕西省·宝鸡市）</w:t>
      </w:r>
      <w:r>
        <w:rPr>
          <w:rFonts w:hint="eastAsia" w:asciiTheme="minorEastAsia" w:hAnsiTheme="minorEastAsia" w:eastAsiaTheme="minorEastAsia" w:cstheme="minorEastAsia"/>
          <w:b/>
          <w:bCs/>
          <w:color w:val="auto"/>
          <w:sz w:val="24"/>
          <w:szCs w:val="24"/>
          <w:highlight w:val="none"/>
        </w:rPr>
        <w:t>宝鸡市公共资源交易中心</w:t>
      </w:r>
      <w:r>
        <w:rPr>
          <w:rFonts w:hint="eastAsia" w:asciiTheme="minorEastAsia" w:hAnsiTheme="minorEastAsia" w:eastAsiaTheme="minorEastAsia" w:cstheme="minorEastAsia"/>
          <w:b/>
          <w:bCs/>
          <w:color w:val="auto"/>
          <w:sz w:val="24"/>
          <w:szCs w:val="24"/>
          <w:highlight w:val="none"/>
          <w:lang w:val="zh-CN"/>
        </w:rPr>
        <w:t>→不见面开标。</w:t>
      </w:r>
    </w:p>
    <w:p w14:paraId="26D97309">
      <w:pPr>
        <w:shd w:val="clea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（3）供应商应提前1小时登录远程不见面开标大厅，调试设备至正常状态，并在远程不见面开标大厅中进行远程签到。</w:t>
      </w:r>
    </w:p>
    <w:p w14:paraId="36BBF1B7">
      <w:pPr>
        <w:shd w:val="clea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（4）开标时，供应商须使用电子响应文件加密时所用的数字认证证书（CA 锁）在规定的时间内进行远程在线解密。</w:t>
      </w:r>
    </w:p>
    <w:p w14:paraId="1B0277AF">
      <w:pPr>
        <w:shd w:val="clear"/>
        <w:spacing w:line="440" w:lineRule="exact"/>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（5）响应文件的加密和解密应当使用同一CA锁证书，解密文件时应当使用加密电子响应文件的CA锁证书进行解密；由此导致无法解密电子响应文件造成的后果，由</w:t>
      </w: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szCs w:val="24"/>
          <w:highlight w:val="none"/>
        </w:rPr>
        <w:t>自行承担。</w:t>
      </w:r>
    </w:p>
    <w:p w14:paraId="13F2255A">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zh-CN"/>
        </w:rPr>
        <w:t>在收到主持人“开始解密”指令后，应使用“加密该</w:t>
      </w: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sz w:val="24"/>
          <w:szCs w:val="24"/>
          <w:highlight w:val="none"/>
          <w:lang w:val="zh-CN"/>
        </w:rPr>
        <w:t>文件的CA锁在线完成</w:t>
      </w:r>
      <w:r>
        <w:rPr>
          <w:rFonts w:hint="eastAsia" w:asciiTheme="minorEastAsia" w:hAnsiTheme="minorEastAsia" w:eastAsiaTheme="minorEastAsia" w:cstheme="minorEastAsia"/>
          <w:color w:val="auto"/>
          <w:sz w:val="24"/>
          <w:szCs w:val="24"/>
          <w:highlight w:val="none"/>
        </w:rPr>
        <w:t>响应</w:t>
      </w:r>
      <w:r>
        <w:rPr>
          <w:rFonts w:hint="eastAsia" w:asciiTheme="minorEastAsia" w:hAnsiTheme="minorEastAsia" w:eastAsiaTheme="minorEastAsia" w:cstheme="minorEastAsia"/>
          <w:color w:val="auto"/>
          <w:sz w:val="24"/>
          <w:szCs w:val="24"/>
          <w:highlight w:val="none"/>
          <w:lang w:val="zh-CN"/>
        </w:rPr>
        <w:t>文件解密。除因【宝鸡市公共资源交易中心】断电、断网、系统故障及其他不可抗力等因素，导致“不见面开标”系统无法正常运行外，</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zh-CN"/>
        </w:rPr>
        <w:t>应在规定的解密时间内完成解密。</w:t>
      </w:r>
    </w:p>
    <w:p w14:paraId="77DDA640">
      <w:pPr>
        <w:shd w:val="clea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（7）线上</w:t>
      </w:r>
      <w:r>
        <w:rPr>
          <w:rFonts w:hint="eastAsia" w:asciiTheme="minorEastAsia" w:hAnsiTheme="minorEastAsia" w:eastAsiaTheme="minorEastAsia" w:cstheme="minorEastAsia"/>
          <w:color w:val="auto"/>
          <w:sz w:val="24"/>
          <w:szCs w:val="24"/>
          <w:highlight w:val="none"/>
          <w:lang w:val="zh-CN"/>
        </w:rPr>
        <w:t>开标结束进入评审环节。</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zh-CN"/>
        </w:rPr>
        <w:t>应保持在线因</w:t>
      </w:r>
      <w:r>
        <w:rPr>
          <w:rFonts w:hint="eastAsia" w:asciiTheme="minorEastAsia" w:hAnsiTheme="minorEastAsia" w:eastAsiaTheme="minorEastAsia" w:cstheme="minorEastAsia"/>
          <w:color w:val="auto"/>
          <w:sz w:val="24"/>
          <w:szCs w:val="24"/>
          <w:highlight w:val="none"/>
        </w:rPr>
        <w:t>供应</w:t>
      </w:r>
      <w:r>
        <w:rPr>
          <w:rFonts w:hint="eastAsia" w:asciiTheme="minorEastAsia" w:hAnsiTheme="minorEastAsia" w:eastAsiaTheme="minorEastAsia" w:cstheme="minorEastAsia"/>
          <w:color w:val="auto"/>
          <w:sz w:val="24"/>
          <w:szCs w:val="24"/>
          <w:highlight w:val="none"/>
          <w:lang w:val="zh-CN"/>
        </w:rPr>
        <w:t>擅自离席造成的不利后果，由</w:t>
      </w: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val="zh-CN"/>
        </w:rPr>
        <w:t>自行承担。</w:t>
      </w:r>
    </w:p>
    <w:p w14:paraId="29595BE6">
      <w:pPr>
        <w:shd w:val="clea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（8）线上开标流程结束后各供应商需在不见面开标系统内等待磋商小组发起在线磋商，投标供应商收到磋商小组在线磋商通知后，点击进入询标室与磋商小组连麦进行磋商。</w:t>
      </w:r>
    </w:p>
    <w:p w14:paraId="6633A2BF">
      <w:pPr>
        <w:shd w:val="clea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注：投标供应商在整个磋商过程中因退出不见面开标系统或未及时接受在线磋商通知或因自身原因导致无法正常进行磋商的，导致的不利后果由供应商自行承担。</w:t>
      </w:r>
    </w:p>
    <w:p w14:paraId="287D1AAC">
      <w:pPr>
        <w:numPr>
          <w:ilvl w:val="0"/>
          <w:numId w:val="3"/>
        </w:numPr>
        <w:shd w:val="clea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完成在线磋商后发起最后报价，投标供应商可通过“不见面开标大厅”直接跳转到二次报价页面进行报价并签章后提交。最后报价一旦提交后，供应商不得以任何理由撤回，供应商未按磋商小组要求在规定时间内提交最后报价的，视为其退出磋商。</w:t>
      </w:r>
    </w:p>
    <w:p w14:paraId="3FB83494">
      <w:pPr>
        <w:pStyle w:val="49"/>
        <w:shd w:val="clear"/>
        <w:spacing w:line="480" w:lineRule="exact"/>
        <w:ind w:firstLine="480"/>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1-4、各供应商需实时在线观看音视频直播并及时互动，供应商</w:t>
      </w:r>
      <w:r>
        <w:rPr>
          <w:rFonts w:hint="eastAsia" w:asciiTheme="minorEastAsia" w:hAnsiTheme="minorEastAsia" w:eastAsiaTheme="minorEastAsia" w:cstheme="minorEastAsia"/>
          <w:color w:val="auto"/>
          <w:kern w:val="2"/>
          <w:sz w:val="24"/>
          <w:szCs w:val="24"/>
          <w:highlight w:val="none"/>
          <w:lang w:val="zh-CN"/>
        </w:rPr>
        <w:t>代表对开标过程和开标记录有疑义，以及认为采购人、采购代理机构相关工作人员有需要回避的情形的，应当场提出询问或者回避申请。</w:t>
      </w:r>
      <w:r>
        <w:rPr>
          <w:rFonts w:hint="eastAsia" w:asciiTheme="minorEastAsia" w:hAnsiTheme="minorEastAsia" w:eastAsiaTheme="minorEastAsia" w:cstheme="minorEastAsia"/>
          <w:color w:val="auto"/>
          <w:kern w:val="2"/>
          <w:sz w:val="24"/>
          <w:szCs w:val="24"/>
          <w:highlight w:val="none"/>
        </w:rPr>
        <w:t>未按时加入系统或未在线参与互动的，视为放弃标书解密和对开评标全过程质疑、澄清、答辩的权利，并承担由此产生的一切后果。</w:t>
      </w:r>
      <w:r>
        <w:rPr>
          <w:rFonts w:hint="eastAsia" w:asciiTheme="minorEastAsia" w:hAnsiTheme="minorEastAsia" w:eastAsiaTheme="minorEastAsia" w:cstheme="minorEastAsia"/>
          <w:color w:val="auto"/>
          <w:kern w:val="2"/>
          <w:sz w:val="24"/>
          <w:szCs w:val="24"/>
          <w:highlight w:val="none"/>
          <w:lang w:val="zh-CN"/>
        </w:rPr>
        <w:t>采购代理机构对</w:t>
      </w:r>
      <w:r>
        <w:rPr>
          <w:rFonts w:hint="eastAsia" w:asciiTheme="minorEastAsia" w:hAnsiTheme="minorEastAsia" w:eastAsiaTheme="minorEastAsia" w:cstheme="minorEastAsia"/>
          <w:color w:val="auto"/>
          <w:kern w:val="2"/>
          <w:sz w:val="24"/>
          <w:szCs w:val="24"/>
          <w:highlight w:val="none"/>
        </w:rPr>
        <w:t>供应商</w:t>
      </w:r>
      <w:r>
        <w:rPr>
          <w:rFonts w:hint="eastAsia" w:asciiTheme="minorEastAsia" w:hAnsiTheme="minorEastAsia" w:eastAsiaTheme="minorEastAsia" w:cstheme="minorEastAsia"/>
          <w:color w:val="auto"/>
          <w:kern w:val="2"/>
          <w:sz w:val="24"/>
          <w:szCs w:val="24"/>
          <w:highlight w:val="none"/>
          <w:lang w:val="zh-CN"/>
        </w:rPr>
        <w:t>代表提出的询问或者回避申请应当及时处理。</w:t>
      </w:r>
    </w:p>
    <w:p w14:paraId="41A9D4B7">
      <w:pPr>
        <w:shd w:val="clear"/>
        <w:spacing w:line="44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1-5、供应商代表对磋商过程有疑义的，以及认为采购人、采购代理机构相关工作人员有需要回避的情形的，应当在线提出询问或回避申请。</w:t>
      </w:r>
    </w:p>
    <w:p w14:paraId="507FD480">
      <w:pPr>
        <w:shd w:val="clear"/>
        <w:spacing w:line="48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2、评审</w:t>
      </w:r>
    </w:p>
    <w:p w14:paraId="48C58E8A">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2-1、磋商小组</w:t>
      </w:r>
    </w:p>
    <w:p w14:paraId="28BAC5F9">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Start w:id="24" w:name="OLE_LINK4"/>
      <w:bookmarkStart w:id="25" w:name="OLE_LINK14"/>
      <w:r>
        <w:rPr>
          <w:rFonts w:hint="eastAsia" w:asciiTheme="minorEastAsia" w:hAnsiTheme="minorEastAsia" w:eastAsiaTheme="minorEastAsia" w:cstheme="minorEastAsia"/>
          <w:color w:val="auto"/>
          <w:sz w:val="24"/>
          <w:szCs w:val="24"/>
          <w:highlight w:val="none"/>
        </w:rPr>
        <w:t>采购代理机构根据《中华人民共和国政府采购法》及其实施条例、《政府采购竞争性磋商采购方式管理暂行办法》的通知（财库【2014】214号）等规定，依法组建磋商小组。本项目磋商小组由采购代理机构工作人员在陕西省政府采购网随机抽取评审专家2名及采购人代表1名共同组成。</w:t>
      </w:r>
    </w:p>
    <w:p w14:paraId="6DCD8FE7">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（2）采购人派一名代表进入磋商小组，并向采购代理机构出具授权函。</w:t>
      </w:r>
      <w:bookmarkEnd w:id="24"/>
    </w:p>
    <w:p w14:paraId="191F8637">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（3）磋商小组应推荐一名评审专家担任评审组长，并由评审组长牵头组织该项目评审工作，采购人代表不得担任评审组长。</w:t>
      </w:r>
    </w:p>
    <w:bookmarkEnd w:id="25"/>
    <w:p w14:paraId="389E15BA">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（4）磋商小组成员应当遵守并履行下列职责义务：</w:t>
      </w:r>
    </w:p>
    <w:p w14:paraId="4399B241">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a、遵纪守法，客观、公正、认真负责地履行职责，根据磋商文件规定的评审程序、评审方法和评审标准审查磋商响应文件；</w:t>
      </w:r>
    </w:p>
    <w:p w14:paraId="4B2EEB3F">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b、资格审查、符合性审查、评价磋商响应文件是否符合磋商文件的商务、技术等实质性要求；</w:t>
      </w:r>
    </w:p>
    <w:p w14:paraId="2D1C8A73">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c、要求供应商对磋商响应文件有关事项作出澄清或者说明；</w:t>
      </w:r>
    </w:p>
    <w:p w14:paraId="1BFD6C29">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d、对磋商响应文件进行比较和评价；</w:t>
      </w:r>
    </w:p>
    <w:p w14:paraId="621F7742">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e、推荐成交候选单位名单，对磋商意见承担个人责任；</w:t>
      </w:r>
    </w:p>
    <w:p w14:paraId="16A56F8A">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f、拟定磋商结果；</w:t>
      </w:r>
    </w:p>
    <w:p w14:paraId="354700B7">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g、对磋商过程及各供应商的商业机密予以保密；</w:t>
      </w:r>
    </w:p>
    <w:p w14:paraId="2BB1F19E">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h、向财政部门报告在评审过程中发现的供应商的违法违规行为；</w:t>
      </w:r>
    </w:p>
    <w:p w14:paraId="3B370542">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i、配合采购人、采购代理机构答复各供应商提出的质疑；</w:t>
      </w:r>
    </w:p>
    <w:p w14:paraId="2BBE3BBE">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j、配合各部门的投诉处理和监督检查工作。</w:t>
      </w:r>
    </w:p>
    <w:p w14:paraId="5F6BF683">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2-2、在政府采购活动中，采购人员及相关人员（包括磋商小组）与供应商有下列利害关系之一的，应当回避：</w:t>
      </w:r>
    </w:p>
    <w:p w14:paraId="07D3E7DD">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（1）参加采购活动前3年内与供应商存在劳动关系；</w:t>
      </w:r>
    </w:p>
    <w:p w14:paraId="63436DBB">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（2）参加采购活动前3年内担任供应商的董事、监事；</w:t>
      </w:r>
    </w:p>
    <w:p w14:paraId="6A75B458">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（3）参加采购活动前3年内是供应商的控股股东或者实际控制人；</w:t>
      </w:r>
    </w:p>
    <w:p w14:paraId="3A93A268">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（4）与供应商的法定代表人或者负责人有夫妻、直系血亲、三代以内旁系血亲或者近姻亲关系；</w:t>
      </w:r>
    </w:p>
    <w:p w14:paraId="259420F2">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（5）与供应商有其他可能影响政府采购活动公平、公正进行的关系。</w:t>
      </w:r>
    </w:p>
    <w:p w14:paraId="6A55CA21">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2-3、磋商原则：坚持公平、公正、科学、择优原则，禁止不正当竞争。</w:t>
      </w:r>
    </w:p>
    <w:p w14:paraId="1C4A9945">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2-4、评审办法：本次磋商采用综合评分法（详见本节评分标准）。</w:t>
      </w:r>
    </w:p>
    <w:p w14:paraId="51AFA9E7">
      <w:pPr>
        <w:shd w:val="clear"/>
        <w:spacing w:line="48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2-5、磋商工作程序：</w:t>
      </w:r>
      <w:r>
        <w:rPr>
          <w:rFonts w:hint="eastAsia" w:asciiTheme="minorEastAsia" w:hAnsiTheme="minorEastAsia" w:eastAsiaTheme="minorEastAsia" w:cstheme="minorEastAsia"/>
          <w:color w:val="auto"/>
          <w:sz w:val="24"/>
          <w:szCs w:val="24"/>
          <w:highlight w:val="none"/>
        </w:rPr>
        <w:t>以资格审查、符合性审查、澄清、评价、推荐成交候选人的工作程序进行评审。</w:t>
      </w:r>
    </w:p>
    <w:p w14:paraId="402E26C9">
      <w:pPr>
        <w:shd w:val="clear"/>
        <w:spacing w:line="48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2-5-1、资格审查</w:t>
      </w:r>
    </w:p>
    <w:p w14:paraId="3499C59B">
      <w:pPr>
        <w:shd w:val="clear"/>
        <w:spacing w:line="48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由采购人依法对供应商的资格进行审查, 审查合格的供应商方可进入下一评审阶段。缺项或一项不符合要求即不合格，不合格的供应商其响应无效。</w:t>
      </w:r>
    </w:p>
    <w:p w14:paraId="619F9006">
      <w:pPr>
        <w:pStyle w:val="24"/>
        <w:shd w:val="clear"/>
        <w:spacing w:before="0" w:beforeAutospacing="0" w:after="0" w:afterAutospacing="0" w:line="480" w:lineRule="atLeast"/>
        <w:ind w:firstLine="480"/>
        <w:jc w:val="both"/>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1.满足《中华人民共和国政府采购法》第二十二条规定;</w:t>
      </w:r>
    </w:p>
    <w:p w14:paraId="7372FB6C">
      <w:pPr>
        <w:pStyle w:val="24"/>
        <w:shd w:val="clear"/>
        <w:spacing w:before="0" w:beforeAutospacing="0" w:after="0" w:afterAutospacing="0" w:line="480" w:lineRule="atLeast"/>
        <w:ind w:left="480"/>
        <w:jc w:val="both"/>
        <w:textAlignment w:val="baseline"/>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2.落实政府采购政策需满足的资格要求：</w:t>
      </w:r>
    </w:p>
    <w:p w14:paraId="785ED21D">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合同包1(</w:t>
      </w:r>
      <w:r>
        <w:rPr>
          <w:rFonts w:hint="eastAsia" w:asciiTheme="minorEastAsia" w:hAnsiTheme="minorEastAsia" w:eastAsiaTheme="minorEastAsia" w:cstheme="minorEastAsia"/>
          <w:color w:val="auto"/>
          <w:sz w:val="24"/>
          <w:szCs w:val="24"/>
          <w:highlight w:val="none"/>
          <w:shd w:val="clear" w:color="auto" w:fill="FFFFFF"/>
          <w:lang w:eastAsia="zh-CN"/>
        </w:rPr>
        <w:t>蟠龙高新区国民经济和社会发展第十五个五年规划编制与产业创新集群行动计划工作编制项目</w:t>
      </w:r>
      <w:r>
        <w:rPr>
          <w:rFonts w:hint="eastAsia" w:asciiTheme="minorEastAsia" w:hAnsiTheme="minorEastAsia" w:eastAsiaTheme="minorEastAsia" w:cstheme="minorEastAsia"/>
          <w:color w:val="auto"/>
          <w:sz w:val="24"/>
          <w:szCs w:val="24"/>
          <w:highlight w:val="none"/>
          <w:shd w:val="clear" w:color="auto" w:fill="FFFFFF"/>
        </w:rPr>
        <w:t>)落实政府采购政策需满足的资格要求如下:</w:t>
      </w:r>
      <w:r>
        <w:rPr>
          <w:rFonts w:hint="eastAsia" w:asciiTheme="minorEastAsia" w:hAnsiTheme="minorEastAsia" w:eastAsiaTheme="minorEastAsia" w:cstheme="minorEastAsia"/>
          <w:color w:val="auto"/>
          <w:sz w:val="24"/>
          <w:szCs w:val="24"/>
          <w:highlight w:val="none"/>
        </w:rPr>
        <w:t>本项目专门面向中小企业采购。（残疾人福利性单位、监狱企业视同小型、微型企业）；须符合《政府采购促进中小企业发展管理办法》（财库〔2020〕46号）规定的中小企业参加。本项目采购标的所属行业为：其他未列明行业。</w:t>
      </w:r>
    </w:p>
    <w:p w14:paraId="46514A7B">
      <w:pPr>
        <w:pStyle w:val="24"/>
        <w:shd w:val="clear"/>
        <w:tabs>
          <w:tab w:val="center" w:pos="4124"/>
        </w:tabs>
        <w:spacing w:before="0" w:beforeAutospacing="0" w:after="0" w:afterAutospacing="0" w:line="480" w:lineRule="atLeast"/>
        <w:ind w:firstLine="480" w:firstLineChars="200"/>
        <w:jc w:val="both"/>
        <w:textAlignment w:val="baseline"/>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3.本项目的特定资格要求：</w:t>
      </w:r>
      <w:r>
        <w:rPr>
          <w:rFonts w:hint="eastAsia" w:asciiTheme="minorEastAsia" w:hAnsiTheme="minorEastAsia" w:eastAsiaTheme="minorEastAsia" w:cstheme="minorEastAsia"/>
          <w:color w:val="auto"/>
          <w:highlight w:val="none"/>
          <w:shd w:val="clear" w:color="auto" w:fill="FFFFFF"/>
        </w:rPr>
        <w:tab/>
      </w:r>
    </w:p>
    <w:p w14:paraId="63D665CE">
      <w:pPr>
        <w:pStyle w:val="24"/>
        <w:shd w:val="clear"/>
        <w:spacing w:before="0" w:beforeAutospacing="0" w:after="0" w:afterAutospacing="0" w:line="480" w:lineRule="atLeast"/>
        <w:ind w:firstLine="720" w:firstLineChars="300"/>
        <w:jc w:val="both"/>
        <w:textAlignment w:val="baseline"/>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合同包1(</w:t>
      </w:r>
      <w:r>
        <w:rPr>
          <w:rFonts w:hint="eastAsia" w:asciiTheme="minorEastAsia" w:hAnsiTheme="minorEastAsia" w:eastAsiaTheme="minorEastAsia" w:cstheme="minorEastAsia"/>
          <w:color w:val="auto"/>
          <w:highlight w:val="none"/>
          <w:shd w:val="clear" w:color="auto" w:fill="FFFFFF"/>
          <w:lang w:eastAsia="zh-CN"/>
        </w:rPr>
        <w:t>蟠龙高新区国民经济和社会发展第十五个五年规划编制与产业创新集群行动计划工作编制项目</w:t>
      </w:r>
      <w:r>
        <w:rPr>
          <w:rFonts w:hint="eastAsia" w:asciiTheme="minorEastAsia" w:hAnsiTheme="minorEastAsia" w:eastAsiaTheme="minorEastAsia" w:cstheme="minorEastAsia"/>
          <w:color w:val="auto"/>
          <w:highlight w:val="none"/>
          <w:shd w:val="clear" w:color="auto" w:fill="FFFFFF"/>
        </w:rPr>
        <w:t>)特定资格要求如下:</w:t>
      </w:r>
    </w:p>
    <w:p w14:paraId="2AE9E3BA">
      <w:pPr>
        <w:pStyle w:val="2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right="0" w:firstLine="0"/>
        <w:jc w:val="both"/>
        <w:textAlignment w:val="baseline"/>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供应商须是具有独立承担民事责任能力的法人、其他组织或自然人，并出具合法有效的营业执照或事业单位法人证书等国家规定的相关证明，自然人参与的提供其身份证明；</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（2）</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供应商须提供2024年度财务审计报告（成立时间至提交投标文件截止时间不足一年的可提供成立后任意时段的资产负债表）或基本存款账户开户银行出具的资信证明（附开户许可证或开户备案证明）；</w:t>
      </w:r>
    </w:p>
    <w:p w14:paraId="006B5E40">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leftChars="0" w:right="0" w:rightChars="0"/>
        <w:jc w:val="both"/>
        <w:textAlignment w:val="baseline"/>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（3）</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供应商须提供2024年8月至今已缴存的至少一个月的社会保险参保缴费情况证明；</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（4）</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供应商须提供2024年8月至今缴纳的至少一个月的纳税证明或完税证明，依法免税的单位应提供相关证明材料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5）供应商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（6）单位负责人为同一人或者存在直接控股、管理关系的不同投标人，不得参加同一合同项下的政府采购活动；（提供承诺书)</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（7）企业开具的近三年在政府采购经营活动中无重大违法记录声明；（成立时间不足三年的供应商提供自成立之日起至开标截止之日止的无重大违法记录声明）； </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8）供应商应授权合法的人员参加磋商全过程，其中法定代表人直接参加磋商的，须出具法定代表人资格证明书及身份证，并与营业执照上信息一致，法定代表人授权代表参加磋商的，须出具法定代表人资格证明书、授权书及被授权代表身份证；</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br w:type="textWrapping"/>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（9）提供具有履行合同所必需的设备和专业技术能力的承诺书；</w:t>
      </w:r>
    </w:p>
    <w:p w14:paraId="668F01C5">
      <w:pPr>
        <w:pStyle w:val="2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80" w:lineRule="atLeast"/>
        <w:ind w:left="480" w:leftChars="0" w:right="0" w:rightChars="0"/>
        <w:jc w:val="both"/>
        <w:textAlignment w:val="baseline"/>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val="en-US" w:eastAsia="zh-CN"/>
        </w:rPr>
        <w:t>10</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rPr>
        <w:t>供应商须</w:t>
      </w:r>
      <w:r>
        <w:rPr>
          <w:rFonts w:hint="eastAsia" w:asciiTheme="minorEastAsia" w:hAnsiTheme="minorEastAsia" w:eastAsiaTheme="minorEastAsia" w:cstheme="minorEastAsia"/>
          <w:i w:val="0"/>
          <w:iCs w:val="0"/>
          <w:caps w:val="0"/>
          <w:color w:val="auto"/>
          <w:spacing w:val="0"/>
          <w:sz w:val="24"/>
          <w:szCs w:val="24"/>
          <w:highlight w:val="none"/>
          <w:shd w:val="clear" w:fill="FFFFFF"/>
          <w:vertAlign w:val="baseline"/>
          <w:lang w:eastAsia="zh-CN"/>
        </w:rPr>
        <w:t>提供城乡规划编制资质乙级及以上证书。</w:t>
      </w:r>
    </w:p>
    <w:p w14:paraId="6347F088">
      <w:pPr>
        <w:shd w:val="clear"/>
        <w:spacing w:line="48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2-5-2、符合性审查</w:t>
      </w:r>
    </w:p>
    <w:p w14:paraId="23166BBB">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依据磋商文件的规定，对资格合格者磋商响应文件的有效性，完整性和对磋商文件的响应程度进行审查，以确定是否对磋商文件的实质性内容做出响应，包含但不限于以下内容，未通过审查的按无效投标处理：</w:t>
      </w:r>
    </w:p>
    <w:p w14:paraId="0A85D402">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（1）供应商名称与登记领取磋商文件的单位名称是否一致；</w:t>
      </w:r>
    </w:p>
    <w:p w14:paraId="5D5ABF3F">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（2）磋商响应文件是否按照磋商文件的要求盖章签字；</w:t>
      </w:r>
    </w:p>
    <w:p w14:paraId="29BE3AF9">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（3）磋商保证金是否按要求提供；</w:t>
      </w:r>
    </w:p>
    <w:p w14:paraId="51722627">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（4）磋商响应内容是否有重大缺漏项；</w:t>
      </w:r>
    </w:p>
    <w:p w14:paraId="4566954F">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（5）磋商报价是否超过采购预算或最高限价；</w:t>
      </w:r>
    </w:p>
    <w:p w14:paraId="31D45576">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（6）磋商有效期是否符合磋商文件的要求；</w:t>
      </w:r>
    </w:p>
    <w:p w14:paraId="37CBFA71">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（7）对磋商文件商务要求是否作出明确且实质性响应； </w:t>
      </w:r>
    </w:p>
    <w:p w14:paraId="7EA09BE0">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（8）磋商响应文件是否含有采购人不能接受的附加条件；</w:t>
      </w:r>
    </w:p>
    <w:p w14:paraId="5EEEC7D5">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（9）是否含有法律、法规和磋商文件规定的其他无效响应情形。</w:t>
      </w:r>
    </w:p>
    <w:p w14:paraId="5806715F">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2-5-3、竞争性磋商响应文件的澄清：</w:t>
      </w:r>
    </w:p>
    <w:p w14:paraId="063B24B0">
      <w:pPr>
        <w:shd w:val="clear"/>
        <w:overflowPunct w:val="0"/>
        <w:adjustRightInd w:val="0"/>
        <w:snapToGrid w:val="0"/>
        <w:spacing w:line="48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68E8CB">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（2）书写错误的评审标准：</w:t>
      </w:r>
    </w:p>
    <w:p w14:paraId="51C43798">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磋商小组在评审过程中，发现竞争性磋商响应文件出现下列情况之一者，按以下原则修正：</w:t>
      </w:r>
    </w:p>
    <w:p w14:paraId="27D8162C">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a、磋商响应文件有关内容与“磋商报价一览表”不一致的，以“磋商报价一览表”为准；</w:t>
      </w:r>
    </w:p>
    <w:p w14:paraId="05995C01">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b、大写金额与小写金额不一致的，以大写金额为准；</w:t>
      </w:r>
    </w:p>
    <w:p w14:paraId="16B2FF5D">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c、单价金额小数点或者百分比有明显错位的，以“磋商报价一览表”的总价为准，并修改单价；</w:t>
      </w:r>
    </w:p>
    <w:p w14:paraId="5B0A8B17">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d、总价金额与按单价汇总金额不一致的，以单价乘以数量的计算结果为准；</w:t>
      </w:r>
    </w:p>
    <w:p w14:paraId="3D6C4ECE">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e、磋商响应文件图表与文字不符时，以文字为准；</w:t>
      </w:r>
    </w:p>
    <w:p w14:paraId="6BB9108F">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f、对不同文字文本磋商响应文件的解释发生异议的，以中文文本为准；</w:t>
      </w:r>
    </w:p>
    <w:p w14:paraId="07BD4848">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h、多处内容交叉不符时，以磋商小组评审结果为准。</w:t>
      </w:r>
    </w:p>
    <w:p w14:paraId="18ADC765">
      <w:pPr>
        <w:shd w:val="clear"/>
        <w:spacing w:line="48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注：按上述方法修正的内容（其中，同时出现上述a至d两种以上不一致的，按上述规定的顺序修正），经供应商确认后产生约束力，供应商不确认的，其磋商响应无效。</w:t>
      </w:r>
    </w:p>
    <w:p w14:paraId="45686BCB">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磋商小组认为供应商的报价明显低于其他通过符合性审查供应商的报价，有可能影响工程质量或者不能诚信履约的，应当要求其在评审现场合理的时间内提供书面说明，必要时提交相关证明材料；供应商不能证明其报价合理性的，磋商小组应当将其作为无效磋商响应处理。</w:t>
      </w:r>
    </w:p>
    <w:p w14:paraId="35ABDC18">
      <w:pPr>
        <w:shd w:val="clear"/>
        <w:spacing w:line="48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2-5-4、评议：</w:t>
      </w:r>
    </w:p>
    <w:p w14:paraId="06485B63">
      <w:pPr>
        <w:shd w:val="clear"/>
        <w:spacing w:line="48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（1）磋商小组评审竞争性磋商响应文件响应性及符合性只根据竞争性磋商响应文件本身的内容，而不寻求其他外部证据。</w:t>
      </w:r>
    </w:p>
    <w:p w14:paraId="7295C8CD">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（2）磋商小组所有成员应当集中与单一供应商分别进行在线磋商，并给予所有参加磋商的供应商平等的磋商机会。</w:t>
      </w:r>
    </w:p>
    <w:p w14:paraId="315368A4">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（3）在磋商过程中，磋商小组可以根据磋商文件和磋商情况实质性变动采购需求中的技术、服务要求以及合同草案条款，但不得变动磋商文件中的其他内容。实质性变动的内容，须经采购人代表确认。</w:t>
      </w:r>
    </w:p>
    <w:p w14:paraId="156D16E5">
      <w:pPr>
        <w:shd w:val="clear"/>
        <w:spacing w:line="440" w:lineRule="exact"/>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（4）在线磋商结束后，磋商小组应当要求所有实质性响应的</w:t>
      </w: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szCs w:val="24"/>
          <w:highlight w:val="none"/>
        </w:rPr>
        <w:t>在规定时间内提交最后报价。</w:t>
      </w:r>
      <w:r>
        <w:rPr>
          <w:rFonts w:hint="eastAsia" w:asciiTheme="minorEastAsia" w:hAnsiTheme="minorEastAsia" w:eastAsiaTheme="minorEastAsia" w:cstheme="minorEastAsia"/>
          <w:b/>
          <w:bCs/>
          <w:color w:val="auto"/>
          <w:sz w:val="24"/>
          <w:szCs w:val="24"/>
          <w:highlight w:val="none"/>
        </w:rPr>
        <w:t>供应商须用数字认证证书（CA锁）登陆系统在线进行最后报价，在线签章提交最终报价，系统按照评标规则自动计分。</w:t>
      </w:r>
    </w:p>
    <w:p w14:paraId="278150B3">
      <w:pPr>
        <w:shd w:val="clear"/>
        <w:spacing w:line="48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评审采取逐项分步评审方式，每一步评审不符合者，按无效投标处理，不进入下一步评审。经磋商确定最终采购需求和提交最后报价后，由磋商小组采用综合评分法对提交最后报价的供应商的响应文件和最后报价进行综合评分。</w:t>
      </w:r>
    </w:p>
    <w:p w14:paraId="64462FC1">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（6）其他需说明的情况：</w:t>
      </w:r>
    </w:p>
    <w:p w14:paraId="7D018701">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a、对于竞争性磋商响应文件中不构成实质性偏差的小的不正规、不一致或不规则，采购人可以接受，但这种接受不能损害或影响任何供应商的相对排序；</w:t>
      </w:r>
    </w:p>
    <w:p w14:paraId="12D6B25A">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b、最低报价不是成交的唯一条件；</w:t>
      </w:r>
    </w:p>
    <w:p w14:paraId="5F2F36F8">
      <w:pPr>
        <w:shd w:val="clear"/>
        <w:overflowPunct w:val="0"/>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c、如果磋商响应实质上没有响应竞争性磋商文件的要求，其磋商响应将被拒绝，供应商不得通过修正或撤销不合要求的偏离或保留从而使其磋商响应成为实质上响应的磋商响应。</w:t>
      </w:r>
    </w:p>
    <w:p w14:paraId="0ED46C78">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d、无论磋商的结果如何，磋商期间一切费用自理。</w:t>
      </w:r>
    </w:p>
    <w:p w14:paraId="00DB2923">
      <w:pPr>
        <w:shd w:val="clear"/>
        <w:spacing w:line="48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2-6、评分标准</w:t>
      </w:r>
    </w:p>
    <w:tbl>
      <w:tblPr>
        <w:tblStyle w:val="25"/>
        <w:tblpPr w:leftFromText="180" w:rightFromText="180" w:vertAnchor="text" w:horzAnchor="page" w:tblpX="1500" w:tblpY="457"/>
        <w:tblOverlap w:val="never"/>
        <w:tblW w:w="976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7"/>
        <w:gridCol w:w="1307"/>
        <w:gridCol w:w="780"/>
        <w:gridCol w:w="6963"/>
      </w:tblGrid>
      <w:tr w14:paraId="3BEF94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1" w:hRule="exact"/>
        </w:trPr>
        <w:tc>
          <w:tcPr>
            <w:tcW w:w="717" w:type="dxa"/>
            <w:tcBorders>
              <w:tl2br w:val="nil"/>
              <w:tr2bl w:val="nil"/>
            </w:tcBorders>
            <w:shd w:val="clear" w:color="auto" w:fill="auto"/>
            <w:noWrap/>
            <w:tcMar>
              <w:left w:w="57" w:type="dxa"/>
              <w:right w:w="57" w:type="dxa"/>
            </w:tcMar>
            <w:vAlign w:val="center"/>
          </w:tcPr>
          <w:p w14:paraId="1245D93C">
            <w:pPr>
              <w:shd w:val="clea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br w:type="page"/>
            </w:r>
            <w:r>
              <w:rPr>
                <w:rFonts w:hint="eastAsia" w:asciiTheme="minorEastAsia" w:hAnsiTheme="minorEastAsia" w:eastAsiaTheme="minorEastAsia" w:cstheme="minorEastAsia"/>
                <w:b/>
                <w:bCs/>
                <w:color w:val="auto"/>
                <w:sz w:val="21"/>
                <w:szCs w:val="21"/>
                <w:highlight w:val="none"/>
              </w:rPr>
              <w:t>序号</w:t>
            </w:r>
          </w:p>
        </w:tc>
        <w:tc>
          <w:tcPr>
            <w:tcW w:w="1307" w:type="dxa"/>
            <w:tcBorders>
              <w:tl2br w:val="nil"/>
              <w:tr2bl w:val="nil"/>
            </w:tcBorders>
            <w:shd w:val="clear" w:color="auto" w:fill="auto"/>
            <w:noWrap/>
            <w:tcMar>
              <w:left w:w="57" w:type="dxa"/>
              <w:right w:w="57" w:type="dxa"/>
            </w:tcMar>
            <w:vAlign w:val="center"/>
          </w:tcPr>
          <w:p w14:paraId="5C459445">
            <w:pPr>
              <w:shd w:val="clea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评分因素</w:t>
            </w:r>
          </w:p>
        </w:tc>
        <w:tc>
          <w:tcPr>
            <w:tcW w:w="780" w:type="dxa"/>
            <w:tcBorders>
              <w:tl2br w:val="nil"/>
              <w:tr2bl w:val="nil"/>
            </w:tcBorders>
            <w:shd w:val="clear" w:color="auto" w:fill="auto"/>
            <w:noWrap/>
            <w:tcMar>
              <w:left w:w="57" w:type="dxa"/>
              <w:right w:w="57" w:type="dxa"/>
            </w:tcMar>
            <w:vAlign w:val="center"/>
          </w:tcPr>
          <w:p w14:paraId="6966D9FF">
            <w:pPr>
              <w:shd w:val="clea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963" w:type="dxa"/>
            <w:tcBorders>
              <w:tl2br w:val="nil"/>
              <w:tr2bl w:val="nil"/>
            </w:tcBorders>
            <w:shd w:val="clear" w:color="auto" w:fill="auto"/>
            <w:noWrap/>
            <w:tcMar>
              <w:left w:w="57" w:type="dxa"/>
              <w:right w:w="57" w:type="dxa"/>
            </w:tcMar>
            <w:vAlign w:val="center"/>
          </w:tcPr>
          <w:p w14:paraId="58FC8B43">
            <w:pPr>
              <w:shd w:val="clea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r>
      <w:tr w14:paraId="0DA03E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17" w:type="dxa"/>
            <w:tcBorders>
              <w:tl2br w:val="nil"/>
              <w:tr2bl w:val="nil"/>
            </w:tcBorders>
            <w:shd w:val="clear" w:color="auto" w:fill="auto"/>
            <w:noWrap/>
            <w:tcMar>
              <w:left w:w="57" w:type="dxa"/>
              <w:right w:w="57" w:type="dxa"/>
            </w:tcMar>
            <w:vAlign w:val="center"/>
          </w:tcPr>
          <w:p w14:paraId="3C4B4AA9">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307" w:type="dxa"/>
            <w:tcBorders>
              <w:tl2br w:val="nil"/>
              <w:tr2bl w:val="nil"/>
            </w:tcBorders>
            <w:shd w:val="clear" w:color="auto" w:fill="auto"/>
            <w:noWrap/>
            <w:tcMar>
              <w:left w:w="57" w:type="dxa"/>
              <w:right w:w="57" w:type="dxa"/>
            </w:tcMar>
            <w:vAlign w:val="center"/>
          </w:tcPr>
          <w:p w14:paraId="4E9836CC">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磋商报价</w:t>
            </w:r>
          </w:p>
        </w:tc>
        <w:tc>
          <w:tcPr>
            <w:tcW w:w="780" w:type="dxa"/>
            <w:tcBorders>
              <w:tl2br w:val="nil"/>
              <w:tr2bl w:val="nil"/>
            </w:tcBorders>
            <w:shd w:val="clear" w:color="auto" w:fill="auto"/>
            <w:noWrap/>
            <w:tcMar>
              <w:left w:w="57" w:type="dxa"/>
              <w:right w:w="57" w:type="dxa"/>
            </w:tcMar>
            <w:vAlign w:val="center"/>
          </w:tcPr>
          <w:p w14:paraId="2F8B279E">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分</w:t>
            </w:r>
          </w:p>
        </w:tc>
        <w:tc>
          <w:tcPr>
            <w:tcW w:w="6963" w:type="dxa"/>
            <w:tcBorders>
              <w:tl2br w:val="nil"/>
              <w:tr2bl w:val="nil"/>
            </w:tcBorders>
            <w:shd w:val="clear" w:color="auto" w:fill="auto"/>
            <w:noWrap/>
            <w:tcMar>
              <w:left w:w="142" w:type="dxa"/>
              <w:right w:w="142" w:type="dxa"/>
            </w:tcMar>
            <w:vAlign w:val="center"/>
          </w:tcPr>
          <w:p w14:paraId="7EBB46F5">
            <w:pPr>
              <w:shd w:val="clea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按照财政部的有关规定：价格分采用低价优先法计算，即满足磋商文件要求且投标价格最低的报价为评标基准价，其价格分为满分。其他投标供应商的价格分统一按照下列公式计算：</w:t>
            </w:r>
          </w:p>
          <w:p w14:paraId="07AA411B">
            <w:pPr>
              <w:shd w:val="clea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投标报价得分=（评标基准价/投标报价）×价格权值×100%</w:t>
            </w:r>
          </w:p>
          <w:p w14:paraId="348F0A54">
            <w:pPr>
              <w:shd w:val="clear"/>
              <w:adjustRightInd w:val="0"/>
              <w:snapToGrid w:val="0"/>
              <w:spacing w:line="360" w:lineRule="auto"/>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注：本项目专门面对中小企业采购，报价不再进行价格扣除优惠；</w:t>
            </w:r>
          </w:p>
        </w:tc>
      </w:tr>
      <w:tr w14:paraId="3FB17C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717" w:type="dxa"/>
            <w:vMerge w:val="restart"/>
            <w:tcBorders>
              <w:tl2br w:val="nil"/>
              <w:tr2bl w:val="nil"/>
            </w:tcBorders>
            <w:shd w:val="clear" w:color="auto" w:fill="auto"/>
            <w:noWrap/>
            <w:tcMar>
              <w:left w:w="57" w:type="dxa"/>
              <w:right w:w="57" w:type="dxa"/>
            </w:tcMar>
            <w:vAlign w:val="center"/>
          </w:tcPr>
          <w:p w14:paraId="2BE0ADFC">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307" w:type="dxa"/>
            <w:vMerge w:val="restart"/>
            <w:tcBorders>
              <w:tl2br w:val="nil"/>
              <w:tr2bl w:val="nil"/>
            </w:tcBorders>
            <w:shd w:val="clear" w:color="auto" w:fill="auto"/>
            <w:noWrap/>
            <w:tcMar>
              <w:left w:w="57" w:type="dxa"/>
              <w:right w:w="57" w:type="dxa"/>
            </w:tcMar>
            <w:vAlign w:val="center"/>
          </w:tcPr>
          <w:p w14:paraId="3B70B3B3">
            <w:pPr>
              <w:shd w:val="clea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技术服务方案</w:t>
            </w:r>
          </w:p>
        </w:tc>
        <w:tc>
          <w:tcPr>
            <w:tcW w:w="780" w:type="dxa"/>
            <w:tcBorders>
              <w:tl2br w:val="nil"/>
              <w:tr2bl w:val="nil"/>
            </w:tcBorders>
            <w:shd w:val="clear" w:color="auto" w:fill="auto"/>
            <w:noWrap/>
            <w:tcMar>
              <w:left w:w="57" w:type="dxa"/>
              <w:right w:w="57" w:type="dxa"/>
            </w:tcMar>
            <w:vAlign w:val="center"/>
          </w:tcPr>
          <w:p w14:paraId="2986373C">
            <w:pPr>
              <w:shd w:val="clea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分</w:t>
            </w:r>
          </w:p>
        </w:tc>
        <w:tc>
          <w:tcPr>
            <w:tcW w:w="6963" w:type="dxa"/>
            <w:tcBorders>
              <w:tl2br w:val="nil"/>
              <w:tr2bl w:val="nil"/>
            </w:tcBorders>
            <w:shd w:val="clear" w:color="auto" w:fill="auto"/>
            <w:noWrap/>
            <w:tcMar>
              <w:left w:w="142" w:type="dxa"/>
              <w:right w:w="142" w:type="dxa"/>
            </w:tcMar>
            <w:vAlign w:val="center"/>
          </w:tcPr>
          <w:p w14:paraId="746E9AF4">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对本项目的背景研究： </w:t>
            </w:r>
          </w:p>
          <w:p w14:paraId="115AC384">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针对本项目的项目背景研究（包括相关政策解读）透彻、清晰性，是否符合项目实际情况进行综合评议，最高得8分。 </w:t>
            </w:r>
          </w:p>
          <w:p w14:paraId="31E37C06">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（1）内容完整，对背景研究透彻，思路清晰，符合项目实际情况的，得8分； </w:t>
            </w:r>
          </w:p>
          <w:p w14:paraId="0E439B5E">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（2）内容较为完整，对背景研究较为透彻，基本符合项目实际情况的，得5分； </w:t>
            </w:r>
          </w:p>
          <w:p w14:paraId="1F0CEB7C">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（3）内容完整性一般，对背景分析深度较为片面，与项目实际情况有偏离的，得3分； </w:t>
            </w:r>
          </w:p>
          <w:p w14:paraId="7F58E279">
            <w:pPr>
              <w:keepNext w:val="0"/>
              <w:keepLines w:val="0"/>
              <w:widowControl/>
              <w:suppressLineNumbers w:val="0"/>
              <w:shd w:val="clear"/>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未提供得0分。</w:t>
            </w:r>
          </w:p>
        </w:tc>
      </w:tr>
      <w:tr w14:paraId="62EA00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717" w:type="dxa"/>
            <w:vMerge w:val="continue"/>
            <w:tcBorders>
              <w:tl2br w:val="nil"/>
              <w:tr2bl w:val="nil"/>
            </w:tcBorders>
            <w:shd w:val="clear" w:color="auto" w:fill="auto"/>
            <w:noWrap/>
            <w:tcMar>
              <w:left w:w="57" w:type="dxa"/>
              <w:right w:w="57" w:type="dxa"/>
            </w:tcMar>
            <w:vAlign w:val="center"/>
          </w:tcPr>
          <w:p w14:paraId="41841AA2">
            <w:pPr>
              <w:shd w:val="clear"/>
              <w:spacing w:line="360" w:lineRule="auto"/>
              <w:jc w:val="center"/>
              <w:rPr>
                <w:rFonts w:hint="eastAsia" w:asciiTheme="minorEastAsia" w:hAnsiTheme="minorEastAsia" w:eastAsiaTheme="minorEastAsia" w:cstheme="minorEastAsia"/>
                <w:color w:val="auto"/>
                <w:sz w:val="21"/>
                <w:szCs w:val="21"/>
                <w:highlight w:val="none"/>
              </w:rPr>
            </w:pPr>
          </w:p>
        </w:tc>
        <w:tc>
          <w:tcPr>
            <w:tcW w:w="1307" w:type="dxa"/>
            <w:vMerge w:val="continue"/>
            <w:tcBorders>
              <w:tl2br w:val="nil"/>
              <w:tr2bl w:val="nil"/>
            </w:tcBorders>
            <w:shd w:val="clear" w:color="auto" w:fill="auto"/>
            <w:noWrap/>
            <w:tcMar>
              <w:left w:w="57" w:type="dxa"/>
              <w:right w:w="57" w:type="dxa"/>
            </w:tcMar>
            <w:vAlign w:val="center"/>
          </w:tcPr>
          <w:p w14:paraId="43884CD0">
            <w:pPr>
              <w:shd w:val="clea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780" w:type="dxa"/>
            <w:tcBorders>
              <w:tl2br w:val="nil"/>
              <w:tr2bl w:val="nil"/>
            </w:tcBorders>
            <w:shd w:val="clear" w:color="auto" w:fill="auto"/>
            <w:noWrap/>
            <w:tcMar>
              <w:left w:w="57" w:type="dxa"/>
              <w:right w:w="57" w:type="dxa"/>
            </w:tcMar>
            <w:vAlign w:val="center"/>
          </w:tcPr>
          <w:p w14:paraId="57019A4D">
            <w:pPr>
              <w:shd w:val="clea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6963" w:type="dxa"/>
            <w:tcBorders>
              <w:tl2br w:val="nil"/>
              <w:tr2bl w:val="nil"/>
            </w:tcBorders>
            <w:shd w:val="clear" w:color="auto" w:fill="auto"/>
            <w:noWrap/>
            <w:tcMar>
              <w:left w:w="142" w:type="dxa"/>
              <w:right w:w="142" w:type="dxa"/>
            </w:tcMar>
            <w:vAlign w:val="center"/>
          </w:tcPr>
          <w:p w14:paraId="54CD644F">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服务工作方法： </w:t>
            </w:r>
          </w:p>
          <w:p w14:paraId="7B0D143C">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针对本项目的服务方案中工作方法和技术进行综合评议，最高得8分。 </w:t>
            </w:r>
          </w:p>
          <w:p w14:paraId="1E144081">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（1）工作方法全面完整、科学合理、对重难点工作的阐述详细、科学、合理，有建设性，可操作性强的，得8分； </w:t>
            </w:r>
          </w:p>
          <w:p w14:paraId="3F2A3937">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（2）工作方法和技术内容基本完整，具有操作性的，得5分； </w:t>
            </w:r>
          </w:p>
          <w:p w14:paraId="4BE6D9C7">
            <w:pPr>
              <w:keepNext w:val="0"/>
              <w:keepLines w:val="0"/>
              <w:widowControl/>
              <w:suppressLineNumbers w:val="0"/>
              <w:shd w:val="clear"/>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（3）工作方法和技术内容相对不完整的，得3分；未提供得0分。</w:t>
            </w:r>
          </w:p>
        </w:tc>
      </w:tr>
      <w:tr w14:paraId="1027A3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717" w:type="dxa"/>
            <w:vMerge w:val="continue"/>
            <w:tcBorders>
              <w:tl2br w:val="nil"/>
              <w:tr2bl w:val="nil"/>
            </w:tcBorders>
            <w:shd w:val="clear" w:color="auto" w:fill="auto"/>
            <w:noWrap/>
            <w:tcMar>
              <w:left w:w="57" w:type="dxa"/>
              <w:right w:w="57" w:type="dxa"/>
            </w:tcMar>
            <w:vAlign w:val="center"/>
          </w:tcPr>
          <w:p w14:paraId="40A1C481">
            <w:pPr>
              <w:shd w:val="clear"/>
              <w:spacing w:line="360" w:lineRule="auto"/>
              <w:jc w:val="center"/>
              <w:rPr>
                <w:rFonts w:hint="eastAsia" w:asciiTheme="minorEastAsia" w:hAnsiTheme="minorEastAsia" w:eastAsiaTheme="minorEastAsia" w:cstheme="minorEastAsia"/>
                <w:color w:val="auto"/>
                <w:sz w:val="21"/>
                <w:szCs w:val="21"/>
                <w:highlight w:val="none"/>
              </w:rPr>
            </w:pPr>
          </w:p>
        </w:tc>
        <w:tc>
          <w:tcPr>
            <w:tcW w:w="1307" w:type="dxa"/>
            <w:vMerge w:val="continue"/>
            <w:tcBorders>
              <w:tl2br w:val="nil"/>
              <w:tr2bl w:val="nil"/>
            </w:tcBorders>
            <w:shd w:val="clear" w:color="auto" w:fill="auto"/>
            <w:noWrap/>
            <w:tcMar>
              <w:left w:w="57" w:type="dxa"/>
              <w:right w:w="57" w:type="dxa"/>
            </w:tcMar>
            <w:vAlign w:val="center"/>
          </w:tcPr>
          <w:p w14:paraId="0C87124A">
            <w:pPr>
              <w:shd w:val="clea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780" w:type="dxa"/>
            <w:tcBorders>
              <w:tl2br w:val="nil"/>
              <w:tr2bl w:val="nil"/>
            </w:tcBorders>
            <w:shd w:val="clear" w:color="auto" w:fill="auto"/>
            <w:noWrap/>
            <w:tcMar>
              <w:left w:w="57" w:type="dxa"/>
              <w:right w:w="57" w:type="dxa"/>
            </w:tcMar>
            <w:vAlign w:val="center"/>
          </w:tcPr>
          <w:p w14:paraId="40D9FFD8">
            <w:pPr>
              <w:shd w:val="clea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6963" w:type="dxa"/>
            <w:tcBorders>
              <w:tl2br w:val="nil"/>
              <w:tr2bl w:val="nil"/>
            </w:tcBorders>
            <w:shd w:val="clear" w:color="auto" w:fill="auto"/>
            <w:noWrap/>
            <w:tcMar>
              <w:left w:w="142" w:type="dxa"/>
              <w:right w:w="142" w:type="dxa"/>
            </w:tcMar>
            <w:vAlign w:val="center"/>
          </w:tcPr>
          <w:p w14:paraId="2CC12CB5">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服务需求理解： </w:t>
            </w:r>
          </w:p>
          <w:p w14:paraId="05CB3F4F">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针对本项目的服务方案中对服务需求的理解的透彻性、清晰性进行综合评议，最高得 8 分。 </w:t>
            </w:r>
          </w:p>
          <w:p w14:paraId="6F9589D3">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（1）对服务需求的理解透彻，思路清晰，分析完整合理的，得8分； </w:t>
            </w:r>
          </w:p>
          <w:p w14:paraId="207383C8">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（2）对服务需求的理解相对透彻，思路、分析基本合理的，得5分； </w:t>
            </w:r>
          </w:p>
          <w:p w14:paraId="2328CE2A">
            <w:pPr>
              <w:keepNext w:val="0"/>
              <w:keepLines w:val="0"/>
              <w:widowControl/>
              <w:suppressLineNumbers w:val="0"/>
              <w:shd w:val="clear"/>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（3）对服务需求的理解一般，思路、分析有所欠缺的，得3分；未提供得0分。</w:t>
            </w:r>
          </w:p>
        </w:tc>
      </w:tr>
      <w:tr w14:paraId="53034E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17" w:type="dxa"/>
            <w:vMerge w:val="continue"/>
            <w:tcBorders>
              <w:tl2br w:val="nil"/>
              <w:tr2bl w:val="nil"/>
            </w:tcBorders>
            <w:shd w:val="clear" w:color="auto" w:fill="auto"/>
            <w:noWrap/>
            <w:tcMar>
              <w:left w:w="57" w:type="dxa"/>
              <w:right w:w="57" w:type="dxa"/>
            </w:tcMar>
            <w:vAlign w:val="center"/>
          </w:tcPr>
          <w:p w14:paraId="0CF4D617">
            <w:pPr>
              <w:shd w:val="clear"/>
              <w:spacing w:line="360" w:lineRule="auto"/>
              <w:jc w:val="center"/>
              <w:rPr>
                <w:rFonts w:hint="eastAsia" w:asciiTheme="minorEastAsia" w:hAnsiTheme="minorEastAsia" w:eastAsiaTheme="minorEastAsia" w:cstheme="minorEastAsia"/>
                <w:color w:val="auto"/>
                <w:sz w:val="21"/>
                <w:szCs w:val="21"/>
                <w:highlight w:val="none"/>
              </w:rPr>
            </w:pPr>
          </w:p>
        </w:tc>
        <w:tc>
          <w:tcPr>
            <w:tcW w:w="1307" w:type="dxa"/>
            <w:vMerge w:val="continue"/>
            <w:tcBorders>
              <w:tl2br w:val="nil"/>
              <w:tr2bl w:val="nil"/>
            </w:tcBorders>
            <w:shd w:val="clear" w:color="auto" w:fill="auto"/>
            <w:noWrap/>
            <w:tcMar>
              <w:left w:w="57" w:type="dxa"/>
              <w:right w:w="57" w:type="dxa"/>
            </w:tcMar>
            <w:vAlign w:val="center"/>
          </w:tcPr>
          <w:p w14:paraId="416C8356">
            <w:pPr>
              <w:shd w:val="clea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780" w:type="dxa"/>
            <w:tcBorders>
              <w:tl2br w:val="nil"/>
              <w:tr2bl w:val="nil"/>
            </w:tcBorders>
            <w:shd w:val="clear" w:color="auto" w:fill="auto"/>
            <w:noWrap/>
            <w:tcMar>
              <w:left w:w="57" w:type="dxa"/>
              <w:right w:w="57" w:type="dxa"/>
            </w:tcMar>
            <w:vAlign w:val="center"/>
          </w:tcPr>
          <w:p w14:paraId="0B2AE6EC">
            <w:pPr>
              <w:shd w:val="clea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6963" w:type="dxa"/>
            <w:tcBorders>
              <w:tl2br w:val="nil"/>
              <w:tr2bl w:val="nil"/>
            </w:tcBorders>
            <w:shd w:val="clear" w:color="auto" w:fill="auto"/>
            <w:noWrap/>
            <w:tcMar>
              <w:left w:w="142" w:type="dxa"/>
              <w:right w:w="142" w:type="dxa"/>
            </w:tcMar>
            <w:vAlign w:val="center"/>
          </w:tcPr>
          <w:p w14:paraId="79D2CC9F">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服务目标任务： </w:t>
            </w:r>
          </w:p>
          <w:p w14:paraId="041A9065">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针对本项目的服务方案中对目标任务的理解的明确性、可操作性进行综合评议，最高得 8 分。 </w:t>
            </w:r>
          </w:p>
          <w:p w14:paraId="40D0D6AF">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（1）目标任务明确，条理清晰，可操作性强的，得8分； </w:t>
            </w:r>
          </w:p>
          <w:p w14:paraId="44AC1E35">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（2）目标任务相对明确，条理基本清晰，有一定可操作性的，得5分； </w:t>
            </w:r>
          </w:p>
          <w:p w14:paraId="05A529CE">
            <w:pPr>
              <w:keepNext w:val="0"/>
              <w:keepLines w:val="0"/>
              <w:widowControl/>
              <w:suppressLineNumbers w:val="0"/>
              <w:shd w:val="clear"/>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（3）目标任务不明确，条理、可操作性欠缺的，得3分；未提供得0分。</w:t>
            </w:r>
          </w:p>
        </w:tc>
      </w:tr>
      <w:tr w14:paraId="3E67E4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717" w:type="dxa"/>
            <w:vMerge w:val="continue"/>
            <w:tcBorders>
              <w:tl2br w:val="nil"/>
              <w:tr2bl w:val="nil"/>
            </w:tcBorders>
            <w:shd w:val="clear" w:color="auto" w:fill="auto"/>
            <w:noWrap/>
            <w:tcMar>
              <w:left w:w="57" w:type="dxa"/>
              <w:right w:w="57" w:type="dxa"/>
            </w:tcMar>
            <w:vAlign w:val="center"/>
          </w:tcPr>
          <w:p w14:paraId="69C5A82F">
            <w:pPr>
              <w:shd w:val="clear"/>
              <w:spacing w:line="360" w:lineRule="auto"/>
              <w:jc w:val="center"/>
              <w:rPr>
                <w:rFonts w:hint="eastAsia" w:asciiTheme="minorEastAsia" w:hAnsiTheme="minorEastAsia" w:eastAsiaTheme="minorEastAsia" w:cstheme="minorEastAsia"/>
                <w:color w:val="auto"/>
                <w:sz w:val="21"/>
                <w:szCs w:val="21"/>
                <w:highlight w:val="none"/>
              </w:rPr>
            </w:pPr>
          </w:p>
        </w:tc>
        <w:tc>
          <w:tcPr>
            <w:tcW w:w="1307" w:type="dxa"/>
            <w:vMerge w:val="continue"/>
            <w:tcBorders>
              <w:tl2br w:val="nil"/>
              <w:tr2bl w:val="nil"/>
            </w:tcBorders>
            <w:shd w:val="clear" w:color="auto" w:fill="auto"/>
            <w:noWrap/>
            <w:tcMar>
              <w:left w:w="57" w:type="dxa"/>
              <w:right w:w="57" w:type="dxa"/>
            </w:tcMar>
            <w:vAlign w:val="center"/>
          </w:tcPr>
          <w:p w14:paraId="16B84241">
            <w:pPr>
              <w:shd w:val="clea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780" w:type="dxa"/>
            <w:tcBorders>
              <w:tl2br w:val="nil"/>
              <w:tr2bl w:val="nil"/>
            </w:tcBorders>
            <w:shd w:val="clear" w:color="auto" w:fill="auto"/>
            <w:noWrap/>
            <w:tcMar>
              <w:left w:w="57" w:type="dxa"/>
              <w:right w:w="57" w:type="dxa"/>
            </w:tcMar>
            <w:vAlign w:val="center"/>
          </w:tcPr>
          <w:p w14:paraId="367F267E">
            <w:pPr>
              <w:shd w:val="clea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6963" w:type="dxa"/>
            <w:tcBorders>
              <w:tl2br w:val="nil"/>
              <w:tr2bl w:val="nil"/>
            </w:tcBorders>
            <w:shd w:val="clear" w:color="auto" w:fill="auto"/>
            <w:noWrap/>
            <w:tcMar>
              <w:left w:w="142" w:type="dxa"/>
              <w:right w:w="142" w:type="dxa"/>
            </w:tcMar>
            <w:vAlign w:val="center"/>
          </w:tcPr>
          <w:p w14:paraId="7187B4A2">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服务进度安排： </w:t>
            </w:r>
          </w:p>
          <w:p w14:paraId="1CC3992C">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针对本项目的服务方案中对项目的服务进度安排（包括整体进度安排、各阶段工作计划等）进行综合评议，最高得8分。 </w:t>
            </w:r>
          </w:p>
          <w:p w14:paraId="724AC7D6">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（1）进度安排内容完整，计划编排合理，可操作性强的，得8分； </w:t>
            </w:r>
          </w:p>
          <w:p w14:paraId="393544B2">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（2）进度安排内容相对完整，计划编排基本合理，有一定可操作性的，得5分； </w:t>
            </w:r>
          </w:p>
          <w:p w14:paraId="2A661B33">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（3）进度安排内容不完整，计划编排杂乱，可操作性欠缺的，得3分； </w:t>
            </w:r>
          </w:p>
          <w:p w14:paraId="417A58CC">
            <w:pPr>
              <w:keepNext w:val="0"/>
              <w:keepLines w:val="0"/>
              <w:widowControl/>
              <w:suppressLineNumbers w:val="0"/>
              <w:shd w:val="clear"/>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未提供得0分。</w:t>
            </w:r>
          </w:p>
        </w:tc>
      </w:tr>
      <w:tr w14:paraId="580AB7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717" w:type="dxa"/>
            <w:vMerge w:val="continue"/>
            <w:tcBorders>
              <w:tl2br w:val="nil"/>
              <w:tr2bl w:val="nil"/>
            </w:tcBorders>
            <w:shd w:val="clear" w:color="auto" w:fill="auto"/>
            <w:noWrap/>
            <w:tcMar>
              <w:left w:w="57" w:type="dxa"/>
              <w:right w:w="57" w:type="dxa"/>
            </w:tcMar>
            <w:vAlign w:val="center"/>
          </w:tcPr>
          <w:p w14:paraId="21A714AF">
            <w:pPr>
              <w:shd w:val="clear"/>
              <w:spacing w:line="360" w:lineRule="auto"/>
              <w:jc w:val="center"/>
              <w:rPr>
                <w:rFonts w:hint="eastAsia" w:asciiTheme="minorEastAsia" w:hAnsiTheme="minorEastAsia" w:eastAsiaTheme="minorEastAsia" w:cstheme="minorEastAsia"/>
                <w:color w:val="auto"/>
                <w:sz w:val="21"/>
                <w:szCs w:val="21"/>
                <w:highlight w:val="none"/>
              </w:rPr>
            </w:pPr>
          </w:p>
        </w:tc>
        <w:tc>
          <w:tcPr>
            <w:tcW w:w="1307" w:type="dxa"/>
            <w:vMerge w:val="continue"/>
            <w:tcBorders>
              <w:tl2br w:val="nil"/>
              <w:tr2bl w:val="nil"/>
            </w:tcBorders>
            <w:shd w:val="clear" w:color="auto" w:fill="auto"/>
            <w:noWrap/>
            <w:tcMar>
              <w:left w:w="57" w:type="dxa"/>
              <w:right w:w="57" w:type="dxa"/>
            </w:tcMar>
            <w:vAlign w:val="center"/>
          </w:tcPr>
          <w:p w14:paraId="15A48C62">
            <w:pPr>
              <w:shd w:val="clea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780" w:type="dxa"/>
            <w:tcBorders>
              <w:tl2br w:val="nil"/>
              <w:tr2bl w:val="nil"/>
            </w:tcBorders>
            <w:shd w:val="clear" w:color="auto" w:fill="auto"/>
            <w:noWrap/>
            <w:tcMar>
              <w:left w:w="57" w:type="dxa"/>
              <w:right w:w="57" w:type="dxa"/>
            </w:tcMar>
            <w:vAlign w:val="center"/>
          </w:tcPr>
          <w:p w14:paraId="4A9E20B1">
            <w:pPr>
              <w:shd w:val="clea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6963" w:type="dxa"/>
            <w:tcBorders>
              <w:tl2br w:val="nil"/>
              <w:tr2bl w:val="nil"/>
            </w:tcBorders>
            <w:shd w:val="clear" w:color="auto" w:fill="auto"/>
            <w:noWrap/>
            <w:tcMar>
              <w:left w:w="142" w:type="dxa"/>
              <w:right w:w="142" w:type="dxa"/>
            </w:tcMar>
            <w:vAlign w:val="center"/>
          </w:tcPr>
          <w:p w14:paraId="7E14CDDC">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服务保障措施： </w:t>
            </w:r>
          </w:p>
          <w:p w14:paraId="0D627F87">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针对各项工作开展，完成以及人员、时间计划的项目实施保障措施方案，最高得8分。 </w:t>
            </w:r>
          </w:p>
          <w:p w14:paraId="47168FF2">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（1）措施全面完整，科学合理、可操作性强的，得 8 分； </w:t>
            </w:r>
          </w:p>
          <w:p w14:paraId="7D45BBFD">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（2）措施基本完整，具有操作性的，得 5 分； </w:t>
            </w:r>
          </w:p>
          <w:p w14:paraId="347D30CD">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（3）措施相对不完整的，得 3 分。 </w:t>
            </w:r>
          </w:p>
          <w:p w14:paraId="29257AD6">
            <w:pPr>
              <w:keepNext w:val="0"/>
              <w:keepLines w:val="0"/>
              <w:widowControl/>
              <w:suppressLineNumbers w:val="0"/>
              <w:shd w:val="clear"/>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未提供得0分。</w:t>
            </w:r>
          </w:p>
        </w:tc>
      </w:tr>
      <w:tr w14:paraId="11F73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717" w:type="dxa"/>
            <w:vMerge w:val="continue"/>
            <w:tcBorders>
              <w:tl2br w:val="nil"/>
              <w:tr2bl w:val="nil"/>
            </w:tcBorders>
            <w:shd w:val="clear" w:color="auto" w:fill="auto"/>
            <w:noWrap/>
            <w:tcMar>
              <w:left w:w="57" w:type="dxa"/>
              <w:right w:w="57" w:type="dxa"/>
            </w:tcMar>
            <w:vAlign w:val="center"/>
          </w:tcPr>
          <w:p w14:paraId="39F17BD7">
            <w:pPr>
              <w:shd w:val="clear"/>
              <w:spacing w:line="360" w:lineRule="auto"/>
              <w:jc w:val="center"/>
              <w:rPr>
                <w:rFonts w:hint="eastAsia" w:asciiTheme="minorEastAsia" w:hAnsiTheme="minorEastAsia" w:eastAsiaTheme="minorEastAsia" w:cstheme="minorEastAsia"/>
                <w:color w:val="auto"/>
                <w:sz w:val="21"/>
                <w:szCs w:val="21"/>
                <w:highlight w:val="none"/>
              </w:rPr>
            </w:pPr>
          </w:p>
        </w:tc>
        <w:tc>
          <w:tcPr>
            <w:tcW w:w="1307" w:type="dxa"/>
            <w:vMerge w:val="continue"/>
            <w:tcBorders>
              <w:tl2br w:val="nil"/>
              <w:tr2bl w:val="nil"/>
            </w:tcBorders>
            <w:shd w:val="clear" w:color="auto" w:fill="auto"/>
            <w:noWrap/>
            <w:tcMar>
              <w:left w:w="57" w:type="dxa"/>
              <w:right w:w="57" w:type="dxa"/>
            </w:tcMar>
            <w:vAlign w:val="center"/>
          </w:tcPr>
          <w:p w14:paraId="0092873F">
            <w:pPr>
              <w:shd w:val="clea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780" w:type="dxa"/>
            <w:tcBorders>
              <w:tl2br w:val="nil"/>
              <w:tr2bl w:val="nil"/>
            </w:tcBorders>
            <w:shd w:val="clear" w:color="auto" w:fill="auto"/>
            <w:noWrap/>
            <w:tcMar>
              <w:left w:w="57" w:type="dxa"/>
              <w:right w:w="57" w:type="dxa"/>
            </w:tcMar>
            <w:vAlign w:val="center"/>
          </w:tcPr>
          <w:p w14:paraId="6E87B5D6">
            <w:pPr>
              <w:shd w:val="clear"/>
              <w:spacing w:line="360" w:lineRule="auto"/>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3分</w:t>
            </w:r>
          </w:p>
        </w:tc>
        <w:tc>
          <w:tcPr>
            <w:tcW w:w="6963" w:type="dxa"/>
            <w:tcBorders>
              <w:tl2br w:val="nil"/>
              <w:tr2bl w:val="nil"/>
            </w:tcBorders>
            <w:shd w:val="clear" w:color="auto" w:fill="auto"/>
            <w:noWrap/>
            <w:tcMar>
              <w:left w:w="142" w:type="dxa"/>
              <w:right w:w="142" w:type="dxa"/>
            </w:tcMar>
            <w:vAlign w:val="center"/>
          </w:tcPr>
          <w:p w14:paraId="5E8D8CD3">
            <w:pPr>
              <w:keepNext w:val="0"/>
              <w:keepLines w:val="0"/>
              <w:widowControl/>
              <w:suppressLineNumbers w:val="0"/>
              <w:shd w:val="clear"/>
              <w:spacing w:line="360" w:lineRule="auto"/>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合理化建议：</w:t>
            </w:r>
          </w:p>
          <w:p w14:paraId="34B5888F">
            <w:pPr>
              <w:keepNext w:val="0"/>
              <w:keepLines w:val="0"/>
              <w:widowControl/>
              <w:suppressLineNumbers w:val="0"/>
              <w:shd w:val="clear"/>
              <w:spacing w:line="360" w:lineRule="auto"/>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供应商应按照磋商文件的要求根据项目的具体特点，对本项目的开展和顺利实施提出切合实际有针对性的合理化建议，根据响应程度计1-3分，未提供不得分。</w:t>
            </w:r>
          </w:p>
        </w:tc>
      </w:tr>
      <w:tr w14:paraId="56ED05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717" w:type="dxa"/>
            <w:vMerge w:val="continue"/>
            <w:tcBorders>
              <w:tl2br w:val="nil"/>
              <w:tr2bl w:val="nil"/>
            </w:tcBorders>
            <w:shd w:val="clear" w:color="auto" w:fill="auto"/>
            <w:noWrap/>
            <w:tcMar>
              <w:left w:w="57" w:type="dxa"/>
              <w:right w:w="57" w:type="dxa"/>
            </w:tcMar>
            <w:vAlign w:val="center"/>
          </w:tcPr>
          <w:p w14:paraId="0F3A4230">
            <w:pPr>
              <w:shd w:val="clear"/>
              <w:spacing w:line="360" w:lineRule="auto"/>
              <w:jc w:val="center"/>
              <w:rPr>
                <w:rFonts w:hint="eastAsia" w:asciiTheme="minorEastAsia" w:hAnsiTheme="minorEastAsia" w:eastAsiaTheme="minorEastAsia" w:cstheme="minorEastAsia"/>
                <w:color w:val="auto"/>
                <w:sz w:val="21"/>
                <w:szCs w:val="21"/>
                <w:highlight w:val="none"/>
              </w:rPr>
            </w:pPr>
          </w:p>
        </w:tc>
        <w:tc>
          <w:tcPr>
            <w:tcW w:w="1307" w:type="dxa"/>
            <w:vMerge w:val="continue"/>
            <w:tcBorders>
              <w:tl2br w:val="nil"/>
              <w:tr2bl w:val="nil"/>
            </w:tcBorders>
            <w:shd w:val="clear" w:color="auto" w:fill="auto"/>
            <w:noWrap/>
            <w:tcMar>
              <w:left w:w="57" w:type="dxa"/>
              <w:right w:w="57" w:type="dxa"/>
            </w:tcMar>
            <w:vAlign w:val="center"/>
          </w:tcPr>
          <w:p w14:paraId="77495714">
            <w:pPr>
              <w:shd w:val="clea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780" w:type="dxa"/>
            <w:tcBorders>
              <w:tl2br w:val="nil"/>
              <w:tr2bl w:val="nil"/>
            </w:tcBorders>
            <w:shd w:val="clear" w:color="auto" w:fill="auto"/>
            <w:noWrap/>
            <w:tcMar>
              <w:left w:w="57" w:type="dxa"/>
              <w:right w:w="57" w:type="dxa"/>
            </w:tcMar>
            <w:vAlign w:val="center"/>
          </w:tcPr>
          <w:p w14:paraId="7D07CE5C">
            <w:pPr>
              <w:shd w:val="clea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6963" w:type="dxa"/>
            <w:tcBorders>
              <w:tl2br w:val="nil"/>
              <w:tr2bl w:val="nil"/>
            </w:tcBorders>
            <w:shd w:val="clear" w:color="auto" w:fill="auto"/>
            <w:noWrap/>
            <w:tcMar>
              <w:left w:w="142" w:type="dxa"/>
              <w:right w:w="142" w:type="dxa"/>
            </w:tcMar>
            <w:vAlign w:val="center"/>
          </w:tcPr>
          <w:p w14:paraId="184470DA">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保密承诺及保密措施： </w:t>
            </w:r>
          </w:p>
          <w:p w14:paraId="6E7DE747">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对供应商的保密承诺、项目资料及数据安全保密措施进行综合评议，最高得 8 分。 </w:t>
            </w:r>
          </w:p>
          <w:p w14:paraId="278BEE5A">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（1）保密承诺明确，资料及数据安全保密措施针对性、操作性强，完全满足采购需求的，得 8 分； </w:t>
            </w:r>
          </w:p>
          <w:p w14:paraId="7DD93B9E">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（2）保密承诺及保密措施基本合理可行，无重大缺陷，基本满足采购需求的，得 5 分； </w:t>
            </w:r>
          </w:p>
          <w:p w14:paraId="4BA18B93">
            <w:pPr>
              <w:keepNext w:val="0"/>
              <w:keepLines w:val="0"/>
              <w:widowControl/>
              <w:suppressLineNumbers w:val="0"/>
              <w:shd w:val="clear"/>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（3）保密承诺针对性不强，保障措施操作性一般的，得3分；未提供得0分。</w:t>
            </w:r>
          </w:p>
        </w:tc>
      </w:tr>
      <w:tr w14:paraId="3BA72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717" w:type="dxa"/>
            <w:vMerge w:val="continue"/>
            <w:tcBorders>
              <w:tl2br w:val="nil"/>
              <w:tr2bl w:val="nil"/>
            </w:tcBorders>
            <w:shd w:val="clear" w:color="auto" w:fill="auto"/>
            <w:noWrap/>
            <w:tcMar>
              <w:left w:w="57" w:type="dxa"/>
              <w:right w:w="57" w:type="dxa"/>
            </w:tcMar>
            <w:vAlign w:val="center"/>
          </w:tcPr>
          <w:p w14:paraId="7CC59C5D">
            <w:pPr>
              <w:shd w:val="clear"/>
              <w:spacing w:line="360" w:lineRule="auto"/>
              <w:jc w:val="center"/>
              <w:rPr>
                <w:rFonts w:hint="eastAsia" w:asciiTheme="minorEastAsia" w:hAnsiTheme="minorEastAsia" w:eastAsiaTheme="minorEastAsia" w:cstheme="minorEastAsia"/>
                <w:color w:val="auto"/>
                <w:sz w:val="21"/>
                <w:szCs w:val="21"/>
                <w:highlight w:val="none"/>
              </w:rPr>
            </w:pPr>
          </w:p>
        </w:tc>
        <w:tc>
          <w:tcPr>
            <w:tcW w:w="1307" w:type="dxa"/>
            <w:vMerge w:val="continue"/>
            <w:tcBorders>
              <w:tl2br w:val="nil"/>
              <w:tr2bl w:val="nil"/>
            </w:tcBorders>
            <w:shd w:val="clear" w:color="auto" w:fill="auto"/>
            <w:noWrap/>
            <w:tcMar>
              <w:left w:w="57" w:type="dxa"/>
              <w:right w:w="57" w:type="dxa"/>
            </w:tcMar>
            <w:vAlign w:val="center"/>
          </w:tcPr>
          <w:p w14:paraId="55FF8142">
            <w:pPr>
              <w:shd w:val="clea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780" w:type="dxa"/>
            <w:tcBorders>
              <w:tl2br w:val="nil"/>
              <w:tr2bl w:val="nil"/>
            </w:tcBorders>
            <w:shd w:val="clear" w:color="auto" w:fill="auto"/>
            <w:noWrap/>
            <w:tcMar>
              <w:left w:w="57" w:type="dxa"/>
              <w:right w:w="57" w:type="dxa"/>
            </w:tcMar>
            <w:vAlign w:val="center"/>
          </w:tcPr>
          <w:p w14:paraId="6615AB3D">
            <w:pPr>
              <w:shd w:val="clea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8分</w:t>
            </w:r>
          </w:p>
        </w:tc>
        <w:tc>
          <w:tcPr>
            <w:tcW w:w="6963" w:type="dxa"/>
            <w:tcBorders>
              <w:tl2br w:val="nil"/>
              <w:tr2bl w:val="nil"/>
            </w:tcBorders>
            <w:shd w:val="clear" w:color="auto" w:fill="auto"/>
            <w:noWrap/>
            <w:tcMar>
              <w:left w:w="142" w:type="dxa"/>
              <w:right w:w="142" w:type="dxa"/>
            </w:tcMar>
            <w:vAlign w:val="center"/>
          </w:tcPr>
          <w:p w14:paraId="60326DB7">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服务响应承诺： </w:t>
            </w:r>
          </w:p>
          <w:p w14:paraId="0CCB32B0">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对投标供应商的服务响应承诺（服务响应时间、便捷性、可行性）进行综合评议，最高得8分。 </w:t>
            </w:r>
          </w:p>
          <w:p w14:paraId="40F15DB0">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（1）服务承诺内容完整，响应便捷、及时，针对性强，切实可行的得 8 分； </w:t>
            </w:r>
          </w:p>
          <w:p w14:paraId="549F47EF">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（2）服务承诺内容相对完整，响应便捷、及时，有一定针对性、可 </w:t>
            </w:r>
          </w:p>
          <w:p w14:paraId="7ABE1C5B">
            <w:pPr>
              <w:keepNext w:val="0"/>
              <w:keepLines w:val="0"/>
              <w:widowControl/>
              <w:suppressLineNumbers w:val="0"/>
              <w:shd w:val="clea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行性的得5分； </w:t>
            </w:r>
          </w:p>
          <w:p w14:paraId="0D69F0A3">
            <w:pPr>
              <w:keepNext w:val="0"/>
              <w:keepLines w:val="0"/>
              <w:widowControl/>
              <w:suppressLineNumbers w:val="0"/>
              <w:shd w:val="clear"/>
              <w:spacing w:line="360" w:lineRule="auto"/>
              <w:jc w:val="lef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000000"/>
                <w:kern w:val="0"/>
                <w:sz w:val="21"/>
                <w:szCs w:val="21"/>
                <w:highlight w:val="none"/>
                <w:lang w:val="en-US" w:eastAsia="zh-CN" w:bidi="ar"/>
              </w:rPr>
              <w:t>（3）服务承诺内容欠缺，响应便捷性、及时性一般，针对性、可行性不强的得3分；未提供得0分。</w:t>
            </w:r>
          </w:p>
        </w:tc>
      </w:tr>
      <w:tr w14:paraId="51AA7C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717" w:type="dxa"/>
            <w:tcBorders>
              <w:tl2br w:val="nil"/>
              <w:tr2bl w:val="nil"/>
            </w:tcBorders>
            <w:shd w:val="clear" w:color="auto" w:fill="auto"/>
            <w:noWrap/>
            <w:tcMar>
              <w:left w:w="57" w:type="dxa"/>
              <w:right w:w="57" w:type="dxa"/>
            </w:tcMar>
            <w:vAlign w:val="center"/>
          </w:tcPr>
          <w:p w14:paraId="294DB811">
            <w:pPr>
              <w:shd w:val="clear"/>
              <w:spacing w:line="360" w:lineRule="auto"/>
              <w:jc w:val="center"/>
              <w:rPr>
                <w:rFonts w:hint="eastAsia" w:asciiTheme="minorEastAsia" w:hAnsiTheme="minorEastAsia" w:eastAsiaTheme="minorEastAsia" w:cstheme="minorEastAsia"/>
                <w:color w:val="auto"/>
                <w:sz w:val="21"/>
                <w:szCs w:val="21"/>
                <w:highlight w:val="none"/>
              </w:rPr>
            </w:pPr>
          </w:p>
        </w:tc>
        <w:tc>
          <w:tcPr>
            <w:tcW w:w="1307" w:type="dxa"/>
            <w:tcBorders>
              <w:tl2br w:val="nil"/>
              <w:tr2bl w:val="nil"/>
            </w:tcBorders>
            <w:shd w:val="clear" w:color="auto" w:fill="auto"/>
            <w:noWrap/>
            <w:tcMar>
              <w:left w:w="57" w:type="dxa"/>
              <w:right w:w="57" w:type="dxa"/>
            </w:tcMar>
            <w:vAlign w:val="center"/>
          </w:tcPr>
          <w:p w14:paraId="2F22CD0D">
            <w:pPr>
              <w:shd w:val="clear"/>
              <w:spacing w:line="360" w:lineRule="auto"/>
              <w:jc w:val="center"/>
              <w:rPr>
                <w:rFonts w:hint="eastAsia" w:asciiTheme="minorEastAsia" w:hAnsiTheme="minorEastAsia" w:eastAsiaTheme="minorEastAsia" w:cstheme="minorEastAsia"/>
                <w:color w:val="auto"/>
                <w:sz w:val="21"/>
                <w:szCs w:val="21"/>
                <w:highlight w:val="none"/>
                <w:lang w:eastAsia="zh-CN"/>
              </w:rPr>
            </w:pPr>
          </w:p>
        </w:tc>
        <w:tc>
          <w:tcPr>
            <w:tcW w:w="780" w:type="dxa"/>
            <w:tcBorders>
              <w:tl2br w:val="nil"/>
              <w:tr2bl w:val="nil"/>
            </w:tcBorders>
            <w:shd w:val="clear" w:color="auto" w:fill="auto"/>
            <w:noWrap/>
            <w:tcMar>
              <w:left w:w="57" w:type="dxa"/>
              <w:right w:w="57" w:type="dxa"/>
            </w:tcMar>
            <w:vAlign w:val="center"/>
          </w:tcPr>
          <w:p w14:paraId="295529A6">
            <w:pPr>
              <w:shd w:val="clear"/>
              <w:spacing w:line="360" w:lineRule="auto"/>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5分</w:t>
            </w:r>
          </w:p>
        </w:tc>
        <w:tc>
          <w:tcPr>
            <w:tcW w:w="6963" w:type="dxa"/>
            <w:tcBorders>
              <w:tl2br w:val="nil"/>
              <w:tr2bl w:val="nil"/>
            </w:tcBorders>
            <w:shd w:val="clear" w:color="auto" w:fill="auto"/>
            <w:noWrap/>
            <w:tcMar>
              <w:left w:w="142" w:type="dxa"/>
              <w:right w:w="142" w:type="dxa"/>
            </w:tcMar>
            <w:vAlign w:val="center"/>
          </w:tcPr>
          <w:p w14:paraId="15051E0C">
            <w:pPr>
              <w:keepNext w:val="0"/>
              <w:keepLines w:val="0"/>
              <w:widowControl/>
              <w:suppressLineNumbers w:val="0"/>
              <w:shd w:val="clear"/>
              <w:spacing w:line="360" w:lineRule="auto"/>
              <w:jc w:val="left"/>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应急预案及措施</w:t>
            </w:r>
          </w:p>
          <w:p w14:paraId="7C7462F7">
            <w:pPr>
              <w:keepNext w:val="0"/>
              <w:keepLines w:val="0"/>
              <w:widowControl/>
              <w:suppressLineNumbers w:val="0"/>
              <w:shd w:val="clear"/>
              <w:spacing w:line="360" w:lineRule="auto"/>
              <w:jc w:val="left"/>
              <w:rPr>
                <w:rFonts w:hint="eastAsia" w:ascii="宋体" w:hAnsi="宋体" w:eastAsia="宋体" w:cs="宋体"/>
                <w:color w:val="auto"/>
                <w:kern w:val="2"/>
                <w:sz w:val="24"/>
                <w:szCs w:val="24"/>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
              </w:rPr>
              <w:t>对突发事件应急预案进行综合评议，内容全面、分析透彻、针对性强计分3-5分；内容简单粗略，计分1-3分；未提供得0分。</w:t>
            </w:r>
          </w:p>
        </w:tc>
      </w:tr>
      <w:tr w14:paraId="17AC3C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1" w:hRule="exact"/>
        </w:trPr>
        <w:tc>
          <w:tcPr>
            <w:tcW w:w="717" w:type="dxa"/>
            <w:tcBorders>
              <w:tl2br w:val="nil"/>
              <w:tr2bl w:val="nil"/>
            </w:tcBorders>
            <w:shd w:val="clear" w:color="auto" w:fill="auto"/>
            <w:noWrap/>
            <w:tcMar>
              <w:left w:w="57" w:type="dxa"/>
              <w:right w:w="57" w:type="dxa"/>
            </w:tcMar>
            <w:vAlign w:val="center"/>
          </w:tcPr>
          <w:p w14:paraId="5C6324B1">
            <w:pPr>
              <w:pStyle w:val="113"/>
              <w:shd w:val="clear"/>
              <w:spacing w:line="360" w:lineRule="auto"/>
              <w:jc w:val="center"/>
              <w:rPr>
                <w:rFonts w:hint="eastAsia" w:asciiTheme="minorEastAsia" w:hAnsiTheme="minorEastAsia" w:eastAsiaTheme="minorEastAsia" w:cstheme="minorEastAsia"/>
                <w:color w:val="auto"/>
                <w:kern w:val="2"/>
                <w:sz w:val="21"/>
                <w:szCs w:val="21"/>
                <w:highlight w:val="none"/>
              </w:rPr>
            </w:pPr>
          </w:p>
        </w:tc>
        <w:tc>
          <w:tcPr>
            <w:tcW w:w="1307" w:type="dxa"/>
            <w:tcBorders>
              <w:tl2br w:val="nil"/>
              <w:tr2bl w:val="nil"/>
            </w:tcBorders>
            <w:shd w:val="clear" w:color="auto" w:fill="auto"/>
            <w:noWrap/>
            <w:tcMar>
              <w:left w:w="57" w:type="dxa"/>
              <w:right w:w="57" w:type="dxa"/>
            </w:tcMar>
            <w:vAlign w:val="center"/>
          </w:tcPr>
          <w:p w14:paraId="091C3BA9">
            <w:pPr>
              <w:pStyle w:val="113"/>
              <w:shd w:val="clear"/>
              <w:spacing w:line="360" w:lineRule="auto"/>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人员配备</w:t>
            </w:r>
          </w:p>
        </w:tc>
        <w:tc>
          <w:tcPr>
            <w:tcW w:w="780" w:type="dxa"/>
            <w:tcBorders>
              <w:tl2br w:val="nil"/>
              <w:tr2bl w:val="nil"/>
            </w:tcBorders>
            <w:shd w:val="clear" w:color="auto" w:fill="auto"/>
            <w:noWrap/>
            <w:tcMar>
              <w:left w:w="57" w:type="dxa"/>
              <w:right w:w="57" w:type="dxa"/>
            </w:tcMar>
            <w:vAlign w:val="center"/>
          </w:tcPr>
          <w:p w14:paraId="1F867CFA">
            <w:pPr>
              <w:pStyle w:val="113"/>
              <w:shd w:val="clear"/>
              <w:spacing w:line="360" w:lineRule="auto"/>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w:t>
            </w:r>
          </w:p>
        </w:tc>
        <w:tc>
          <w:tcPr>
            <w:tcW w:w="6963" w:type="dxa"/>
            <w:tcBorders>
              <w:tl2br w:val="nil"/>
              <w:tr2bl w:val="nil"/>
            </w:tcBorders>
            <w:shd w:val="clear" w:color="auto" w:fill="auto"/>
            <w:noWrap/>
            <w:tcMar>
              <w:left w:w="142" w:type="dxa"/>
              <w:right w:w="142" w:type="dxa"/>
            </w:tcMar>
            <w:vAlign w:val="center"/>
          </w:tcPr>
          <w:p w14:paraId="1C30265D">
            <w:pPr>
              <w:widowControl w:val="0"/>
              <w:shd w:val="clear"/>
              <w:snapToGrid w:val="0"/>
              <w:spacing w:line="360" w:lineRule="auto"/>
              <w:jc w:val="both"/>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根据团队人员数量、岗位设置、从业经验及专业技术能力等综合赋分：</w:t>
            </w:r>
          </w:p>
          <w:p w14:paraId="63A1D9F6">
            <w:pPr>
              <w:widowControl w:val="0"/>
              <w:shd w:val="clear"/>
              <w:snapToGrid w:val="0"/>
              <w:spacing w:line="360" w:lineRule="auto"/>
              <w:jc w:val="both"/>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1、项目负责人（3 分）</w:t>
            </w:r>
          </w:p>
          <w:p w14:paraId="21C83B45">
            <w:pPr>
              <w:widowControl w:val="0"/>
              <w:shd w:val="clear"/>
              <w:snapToGrid w:val="0"/>
              <w:spacing w:line="360" w:lineRule="auto"/>
              <w:jc w:val="both"/>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拟派项目负责人具有相关专业</w:t>
            </w:r>
            <w:r>
              <w:rPr>
                <w:rFonts w:hint="eastAsia" w:asciiTheme="minorEastAsia" w:hAnsiTheme="minorEastAsia" w:eastAsiaTheme="minorEastAsia" w:cstheme="minorEastAsia"/>
                <w:color w:val="auto"/>
                <w:kern w:val="2"/>
                <w:sz w:val="21"/>
                <w:szCs w:val="21"/>
                <w:highlight w:val="none"/>
                <w:lang w:eastAsia="zh-CN"/>
              </w:rPr>
              <w:t>高</w:t>
            </w:r>
            <w:r>
              <w:rPr>
                <w:rFonts w:hint="eastAsia" w:asciiTheme="minorEastAsia" w:hAnsiTheme="minorEastAsia" w:eastAsiaTheme="minorEastAsia" w:cstheme="minorEastAsia"/>
                <w:color w:val="auto"/>
                <w:kern w:val="2"/>
                <w:sz w:val="21"/>
                <w:szCs w:val="21"/>
                <w:highlight w:val="none"/>
              </w:rPr>
              <w:t>级及其以上职称的计3分</w:t>
            </w:r>
            <w:r>
              <w:rPr>
                <w:rFonts w:hint="eastAsia" w:asciiTheme="minorEastAsia" w:hAnsiTheme="minorEastAsia" w:eastAsiaTheme="minorEastAsia" w:cstheme="minorEastAsia"/>
                <w:color w:val="auto"/>
                <w:kern w:val="2"/>
                <w:sz w:val="21"/>
                <w:szCs w:val="21"/>
                <w:highlight w:val="none"/>
                <w:lang w:eastAsia="zh-CN"/>
              </w:rPr>
              <w:t>，中级职称的计</w:t>
            </w:r>
            <w:r>
              <w:rPr>
                <w:rFonts w:hint="eastAsia" w:asciiTheme="minorEastAsia" w:hAnsiTheme="minorEastAsia" w:eastAsiaTheme="minorEastAsia" w:cstheme="minorEastAsia"/>
                <w:color w:val="auto"/>
                <w:kern w:val="2"/>
                <w:sz w:val="21"/>
                <w:szCs w:val="21"/>
                <w:highlight w:val="none"/>
                <w:lang w:val="en-US" w:eastAsia="zh-CN"/>
              </w:rPr>
              <w:t>2分，</w:t>
            </w:r>
            <w:r>
              <w:rPr>
                <w:rFonts w:hint="eastAsia" w:asciiTheme="minorEastAsia" w:hAnsiTheme="minorEastAsia" w:eastAsiaTheme="minorEastAsia" w:cstheme="minorEastAsia"/>
                <w:color w:val="auto"/>
                <w:kern w:val="2"/>
                <w:sz w:val="21"/>
                <w:szCs w:val="21"/>
                <w:highlight w:val="none"/>
              </w:rPr>
              <w:t>其他不得分。</w:t>
            </w:r>
          </w:p>
          <w:p w14:paraId="019A9A97">
            <w:pPr>
              <w:widowControl w:val="0"/>
              <w:shd w:val="clear"/>
              <w:snapToGrid w:val="0"/>
              <w:spacing w:line="360" w:lineRule="auto"/>
              <w:jc w:val="both"/>
              <w:outlineLvl w:val="9"/>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注：需要提供项目负责人身份证、</w:t>
            </w:r>
            <w:r>
              <w:rPr>
                <w:rFonts w:hint="eastAsia" w:asciiTheme="minorEastAsia" w:hAnsiTheme="minorEastAsia" w:eastAsiaTheme="minorEastAsia" w:cstheme="minorEastAsia"/>
                <w:color w:val="auto"/>
                <w:kern w:val="2"/>
                <w:sz w:val="21"/>
                <w:szCs w:val="21"/>
                <w:highlight w:val="none"/>
                <w:lang w:eastAsia="zh-CN"/>
              </w:rPr>
              <w:t>职称证</w:t>
            </w:r>
            <w:r>
              <w:rPr>
                <w:rFonts w:hint="eastAsia" w:asciiTheme="minorEastAsia" w:hAnsiTheme="minorEastAsia" w:eastAsiaTheme="minorEastAsia" w:cstheme="minorEastAsia"/>
                <w:color w:val="auto"/>
                <w:kern w:val="2"/>
                <w:sz w:val="21"/>
                <w:szCs w:val="21"/>
                <w:highlight w:val="none"/>
              </w:rPr>
              <w:t>及本单位社保</w:t>
            </w:r>
            <w:r>
              <w:rPr>
                <w:rFonts w:hint="eastAsia" w:asciiTheme="minorEastAsia" w:hAnsiTheme="minorEastAsia" w:eastAsiaTheme="minorEastAsia" w:cstheme="minorEastAsia"/>
                <w:color w:val="auto"/>
                <w:kern w:val="2"/>
                <w:sz w:val="21"/>
                <w:szCs w:val="21"/>
                <w:highlight w:val="none"/>
                <w:lang w:eastAsia="zh-CN"/>
              </w:rPr>
              <w:t>缴纳</w:t>
            </w:r>
            <w:r>
              <w:rPr>
                <w:rFonts w:hint="eastAsia" w:asciiTheme="minorEastAsia" w:hAnsiTheme="minorEastAsia" w:eastAsiaTheme="minorEastAsia" w:cstheme="minorEastAsia"/>
                <w:color w:val="auto"/>
                <w:kern w:val="2"/>
                <w:sz w:val="21"/>
                <w:szCs w:val="21"/>
                <w:highlight w:val="none"/>
              </w:rPr>
              <w:t>证明，未提供齐全本项不计分。</w:t>
            </w:r>
          </w:p>
          <w:p w14:paraId="4D6F9D35">
            <w:pPr>
              <w:widowControl w:val="0"/>
              <w:shd w:val="clear"/>
              <w:snapToGrid w:val="0"/>
              <w:spacing w:line="360" w:lineRule="auto"/>
              <w:jc w:val="both"/>
              <w:outlineLvl w:val="9"/>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2、项目团队（6分）</w:t>
            </w:r>
          </w:p>
          <w:p w14:paraId="747A987D">
            <w:pPr>
              <w:widowControl w:val="0"/>
              <w:shd w:val="clear"/>
              <w:snapToGrid w:val="0"/>
              <w:spacing w:line="360" w:lineRule="auto"/>
              <w:jc w:val="both"/>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其他人员配备全面，经验丰富，证书齐全，针对本项目配备相关专业人员5人计4分，每增加一人计1分，本项最高计6分,配备人员不足5人本项计0分。</w:t>
            </w:r>
          </w:p>
        </w:tc>
      </w:tr>
      <w:tr w14:paraId="1F3B2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3" w:hRule="exact"/>
        </w:trPr>
        <w:tc>
          <w:tcPr>
            <w:tcW w:w="717" w:type="dxa"/>
            <w:tcBorders>
              <w:tl2br w:val="nil"/>
              <w:tr2bl w:val="nil"/>
            </w:tcBorders>
            <w:shd w:val="clear" w:color="auto" w:fill="auto"/>
            <w:noWrap/>
            <w:tcMar>
              <w:left w:w="57" w:type="dxa"/>
              <w:right w:w="57" w:type="dxa"/>
            </w:tcMar>
            <w:vAlign w:val="center"/>
          </w:tcPr>
          <w:p w14:paraId="19E5966E">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307" w:type="dxa"/>
            <w:tcBorders>
              <w:tl2br w:val="nil"/>
              <w:tr2bl w:val="nil"/>
            </w:tcBorders>
            <w:shd w:val="clear" w:color="auto" w:fill="auto"/>
            <w:noWrap/>
            <w:tcMar>
              <w:left w:w="57" w:type="dxa"/>
              <w:right w:w="57" w:type="dxa"/>
            </w:tcMar>
            <w:vAlign w:val="center"/>
          </w:tcPr>
          <w:p w14:paraId="0A583B6A">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类似</w:t>
            </w:r>
            <w:r>
              <w:rPr>
                <w:rFonts w:hint="eastAsia" w:asciiTheme="minorEastAsia" w:hAnsiTheme="minorEastAsia" w:eastAsiaTheme="minorEastAsia" w:cstheme="minorEastAsia"/>
                <w:color w:val="auto"/>
                <w:sz w:val="21"/>
                <w:szCs w:val="21"/>
                <w:highlight w:val="none"/>
              </w:rPr>
              <w:t>业绩</w:t>
            </w:r>
          </w:p>
        </w:tc>
        <w:tc>
          <w:tcPr>
            <w:tcW w:w="780" w:type="dxa"/>
            <w:tcBorders>
              <w:tl2br w:val="nil"/>
              <w:tr2bl w:val="nil"/>
            </w:tcBorders>
            <w:shd w:val="clear" w:color="auto" w:fill="auto"/>
            <w:noWrap/>
            <w:tcMar>
              <w:left w:w="57" w:type="dxa"/>
              <w:right w:w="57" w:type="dxa"/>
            </w:tcMar>
            <w:vAlign w:val="center"/>
          </w:tcPr>
          <w:p w14:paraId="23B2F16F">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w:t>
            </w:r>
          </w:p>
        </w:tc>
        <w:tc>
          <w:tcPr>
            <w:tcW w:w="6963" w:type="dxa"/>
            <w:tcBorders>
              <w:tl2br w:val="nil"/>
              <w:tr2bl w:val="nil"/>
            </w:tcBorders>
            <w:shd w:val="clear" w:color="auto" w:fill="auto"/>
            <w:noWrap/>
            <w:tcMar>
              <w:left w:w="142" w:type="dxa"/>
              <w:right w:w="142" w:type="dxa"/>
            </w:tcMar>
            <w:vAlign w:val="center"/>
          </w:tcPr>
          <w:p w14:paraId="0F0D27D8">
            <w:pPr>
              <w:pStyle w:val="114"/>
              <w:shd w:val="clea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提供20</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年1月至今同类项目业绩证明材料每提供一</w:t>
            </w:r>
            <w:r>
              <w:rPr>
                <w:rFonts w:hint="eastAsia" w:asciiTheme="minorEastAsia" w:hAnsiTheme="minorEastAsia" w:eastAsiaTheme="minorEastAsia" w:cstheme="minorEastAsia"/>
                <w:color w:val="auto"/>
                <w:sz w:val="21"/>
                <w:szCs w:val="21"/>
                <w:highlight w:val="none"/>
              </w:rPr>
              <w:t>份</w:t>
            </w:r>
            <w:r>
              <w:rPr>
                <w:rFonts w:hint="eastAsia" w:asciiTheme="minorEastAsia" w:hAnsiTheme="minorEastAsia" w:eastAsiaTheme="minorEastAsia" w:cstheme="minorEastAsia"/>
                <w:color w:val="auto"/>
                <w:sz w:val="21"/>
                <w:szCs w:val="21"/>
                <w:highlight w:val="none"/>
                <w:lang w:val="zh-CN"/>
              </w:rPr>
              <w:t>计</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分，满分</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rPr>
              <w:t>分，</w:t>
            </w:r>
            <w:r>
              <w:rPr>
                <w:rFonts w:hint="eastAsia" w:asciiTheme="minorEastAsia" w:hAnsiTheme="minorEastAsia" w:eastAsiaTheme="minorEastAsia" w:cstheme="minorEastAsia"/>
                <w:color w:val="000000"/>
                <w:kern w:val="0"/>
                <w:sz w:val="21"/>
                <w:szCs w:val="21"/>
                <w:highlight w:val="none"/>
                <w:lang w:val="en-US" w:eastAsia="zh-CN" w:bidi="ar"/>
              </w:rPr>
              <w:t>未提供得0分</w:t>
            </w:r>
            <w:r>
              <w:rPr>
                <w:rFonts w:hint="eastAsia" w:asciiTheme="minorEastAsia" w:hAnsiTheme="minorEastAsia" w:eastAsiaTheme="minorEastAsia" w:cstheme="minorEastAsia"/>
                <w:color w:val="auto"/>
                <w:sz w:val="21"/>
                <w:szCs w:val="21"/>
                <w:highlight w:val="none"/>
                <w:lang w:val="zh-CN"/>
              </w:rPr>
              <w:t>。（以中标通知书或合同为准）</w:t>
            </w:r>
          </w:p>
        </w:tc>
      </w:tr>
    </w:tbl>
    <w:p w14:paraId="30C39F57">
      <w:pPr>
        <w:widowControl/>
        <w:shd w:val="clear"/>
        <w:autoSpaceDE w:val="0"/>
        <w:autoSpaceDN w:val="0"/>
        <w:spacing w:line="480" w:lineRule="exact"/>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注：1）评委打分超过得分界限或未按本方法赋分时，该评委的打分按废票处理。</w:t>
      </w:r>
    </w:p>
    <w:p w14:paraId="43A53CBA">
      <w:pPr>
        <w:widowControl/>
        <w:shd w:val="clear"/>
        <w:autoSpaceDE w:val="0"/>
        <w:autoSpaceDN w:val="0"/>
        <w:spacing w:line="480" w:lineRule="exact"/>
        <w:ind w:firstLine="480"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2）各种计算数字均保留两位小数，第三位“四舍五入”。</w:t>
      </w:r>
    </w:p>
    <w:p w14:paraId="716138C1">
      <w:pPr>
        <w:shd w:val="clear"/>
        <w:spacing w:line="48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3）特殊情况处理：</w:t>
      </w:r>
    </w:p>
    <w:p w14:paraId="2DB18F1D">
      <w:pPr>
        <w:shd w:val="clea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a、当投标供应商评分项出现未报、漏报或零报价时，该分项得零分，并不参与投标报价分的计算。</w:t>
      </w:r>
    </w:p>
    <w:p w14:paraId="7C334FF7">
      <w:pPr>
        <w:shd w:val="clea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若出现综合得分相同时，投标报价得分高者为第一中标候选人，若投标报价得分相同，技术得分高者为第一中标候选人，若上述两项得分相同，则由全体磋商小组成员无记名投票，得票最高者为第一中标候选人。</w:t>
      </w:r>
    </w:p>
    <w:p w14:paraId="41A507B7">
      <w:pPr>
        <w:shd w:val="clea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c、评审过程中，若出现本评审方法以外的特殊情况时，将暂停评审，待评委商榷后再进行复会。</w:t>
      </w:r>
    </w:p>
    <w:p w14:paraId="1897E119">
      <w:pPr>
        <w:shd w:val="clear"/>
        <w:spacing w:line="360" w:lineRule="auto"/>
        <w:ind w:firstLine="120" w:firstLineChars="5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2-7、其他事项说明：（落实的相关政策）</w:t>
      </w:r>
    </w:p>
    <w:p w14:paraId="51359169">
      <w:pPr>
        <w:pStyle w:val="24"/>
        <w:shd w:val="clear"/>
        <w:spacing w:before="0" w:beforeAutospacing="0" w:after="0" w:afterAutospacing="0" w:line="360" w:lineRule="auto"/>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采购项目需要落实的政府采购政策：依据《中华人民共和国政府采购法》、《中华人民共和国政府采购法实施条例》和《</w:t>
      </w:r>
      <w:r>
        <w:rPr>
          <w:rFonts w:hint="eastAsia" w:asciiTheme="minorEastAsia" w:hAnsiTheme="minorEastAsia" w:eastAsiaTheme="minorEastAsia" w:cstheme="minorEastAsia"/>
          <w:color w:val="auto"/>
          <w:highlight w:val="none"/>
        </w:rPr>
        <w:t>政府采购竞争性磋商采购方式管理暂行办法</w:t>
      </w:r>
      <w:r>
        <w:rPr>
          <w:rFonts w:hint="eastAsia" w:asciiTheme="minorEastAsia" w:hAnsiTheme="minorEastAsia" w:eastAsiaTheme="minorEastAsia" w:cstheme="minorEastAsia"/>
          <w:color w:val="auto"/>
          <w:kern w:val="2"/>
          <w:highlight w:val="none"/>
        </w:rPr>
        <w:t xml:space="preserve">》的有关规定，落实政府采购政策。 </w:t>
      </w:r>
    </w:p>
    <w:p w14:paraId="01FFF89C">
      <w:pPr>
        <w:pStyle w:val="24"/>
        <w:shd w:val="clear"/>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szCs w:val="20"/>
          <w:highlight w:val="none"/>
        </w:rPr>
      </w:pPr>
      <w:r>
        <w:rPr>
          <w:rFonts w:hint="eastAsia" w:asciiTheme="minorEastAsia" w:hAnsiTheme="minorEastAsia" w:eastAsiaTheme="minorEastAsia" w:cstheme="minorEastAsia"/>
          <w:color w:val="auto"/>
          <w:highlight w:val="none"/>
          <w:shd w:val="clear" w:color="auto" w:fill="FFFFFF"/>
        </w:rPr>
        <w:t>（1）《财</w:t>
      </w:r>
      <w:r>
        <w:rPr>
          <w:rFonts w:hint="eastAsia" w:asciiTheme="minorEastAsia" w:hAnsiTheme="minorEastAsia" w:eastAsiaTheme="minorEastAsia" w:cstheme="minorEastAsia"/>
          <w:color w:val="auto"/>
          <w:kern w:val="2"/>
          <w:szCs w:val="20"/>
          <w:highlight w:val="none"/>
        </w:rPr>
        <w:t>政部国家发展改革委关于印发〈节能产品政府采购实施意见〉的通知》（财库〔2004〕185号）；</w:t>
      </w:r>
    </w:p>
    <w:p w14:paraId="7BC9F5CE">
      <w:pPr>
        <w:pStyle w:val="24"/>
        <w:shd w:val="clear"/>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szCs w:val="20"/>
          <w:highlight w:val="none"/>
        </w:rPr>
      </w:pPr>
      <w:r>
        <w:rPr>
          <w:rFonts w:hint="eastAsia" w:asciiTheme="minorEastAsia" w:hAnsiTheme="minorEastAsia" w:eastAsiaTheme="minorEastAsia" w:cstheme="minorEastAsia"/>
          <w:color w:val="auto"/>
          <w:kern w:val="2"/>
          <w:szCs w:val="20"/>
          <w:highlight w:val="none"/>
        </w:rPr>
        <w:t>（2）《国务院办公厅关于建立政府强制采购节能产品制度的通知》（国办发〔2007〕51号）；</w:t>
      </w:r>
    </w:p>
    <w:p w14:paraId="52E4F3EE">
      <w:pPr>
        <w:pStyle w:val="24"/>
        <w:shd w:val="clear"/>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szCs w:val="20"/>
          <w:highlight w:val="none"/>
        </w:rPr>
      </w:pPr>
      <w:r>
        <w:rPr>
          <w:rFonts w:hint="eastAsia" w:asciiTheme="minorEastAsia" w:hAnsiTheme="minorEastAsia" w:eastAsiaTheme="minorEastAsia" w:cstheme="minorEastAsia"/>
          <w:color w:val="auto"/>
          <w:kern w:val="2"/>
          <w:szCs w:val="20"/>
          <w:highlight w:val="none"/>
        </w:rPr>
        <w:t>（3）《财政部环保总局关于环境标志产品政府采购实施的意见》（财库〔2006〕90号）；</w:t>
      </w:r>
    </w:p>
    <w:p w14:paraId="3A222EDF">
      <w:pPr>
        <w:pStyle w:val="24"/>
        <w:shd w:val="clear"/>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szCs w:val="20"/>
          <w:highlight w:val="none"/>
        </w:rPr>
      </w:pPr>
      <w:r>
        <w:rPr>
          <w:rFonts w:hint="eastAsia" w:asciiTheme="minorEastAsia" w:hAnsiTheme="minorEastAsia" w:eastAsiaTheme="minorEastAsia" w:cstheme="minorEastAsia"/>
          <w:color w:val="auto"/>
          <w:kern w:val="2"/>
          <w:szCs w:val="20"/>
          <w:highlight w:val="none"/>
        </w:rPr>
        <w:t>（4）《政府采购促进中小企业发展管理办法》（财库〔2020〕46号）、关于进一步加大政府采购支持中小企业力度的通知财库〔2022〕19号；</w:t>
      </w:r>
    </w:p>
    <w:p w14:paraId="1F1A3FB3">
      <w:pPr>
        <w:pStyle w:val="24"/>
        <w:shd w:val="clear"/>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szCs w:val="20"/>
          <w:highlight w:val="none"/>
        </w:rPr>
      </w:pPr>
      <w:r>
        <w:rPr>
          <w:rFonts w:hint="eastAsia" w:asciiTheme="minorEastAsia" w:hAnsiTheme="minorEastAsia" w:eastAsiaTheme="minorEastAsia" w:cstheme="minorEastAsia"/>
          <w:color w:val="auto"/>
          <w:kern w:val="2"/>
          <w:szCs w:val="20"/>
          <w:highlight w:val="none"/>
        </w:rPr>
        <w:t>（5）《财政部 司法部关于政府采购支持监狱企业发展有关问题的通知》（财库〔2014〕68号）；</w:t>
      </w:r>
    </w:p>
    <w:p w14:paraId="32CA0F97">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（6）《三部门联合发布关于促进残疾人就业政府采购政策的通知》（财库〔2017〕141号）；</w:t>
      </w:r>
    </w:p>
    <w:p w14:paraId="339C9325">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根据《财政部 民政部 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4831081B">
      <w:pPr>
        <w:pStyle w:val="24"/>
        <w:shd w:val="clear"/>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szCs w:val="20"/>
          <w:highlight w:val="none"/>
        </w:rPr>
      </w:pPr>
      <w:r>
        <w:rPr>
          <w:rFonts w:hint="eastAsia" w:asciiTheme="minorEastAsia" w:hAnsiTheme="minorEastAsia" w:eastAsiaTheme="minorEastAsia" w:cstheme="minorEastAsia"/>
          <w:color w:val="auto"/>
          <w:kern w:val="2"/>
          <w:szCs w:val="20"/>
          <w:highlight w:val="none"/>
        </w:rPr>
        <w:t>（7）《财政部发展改革委生态环境部市场监管总局关于调整优化节能产品、环境标志产品政府采购执行机制的通知》（财库〔2019〕9号）；</w:t>
      </w:r>
    </w:p>
    <w:p w14:paraId="542F3CE1">
      <w:pPr>
        <w:pStyle w:val="24"/>
        <w:shd w:val="clear"/>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（8）《财政部发展改革委生态环境部市场监管总局关于调整优化节能产品、环境标志产品政府采购执行机制的通知》（财库〔2019〕9号）；</w:t>
      </w:r>
    </w:p>
    <w:p w14:paraId="0F9EB023">
      <w:pPr>
        <w:pStyle w:val="24"/>
        <w:shd w:val="clear"/>
        <w:wordWrap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highlight w:val="none"/>
          <w:shd w:val="clear" w:color="auto" w:fill="FFFFFF"/>
        </w:rPr>
        <w:t>（9）《陕西省中小企业政府采购信用融资办法》（陕财办采〔2018〕23号）。</w:t>
      </w:r>
    </w:p>
    <w:p w14:paraId="1325F266">
      <w:pPr>
        <w:shd w:val="clear"/>
        <w:spacing w:line="48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3、定标</w:t>
      </w:r>
    </w:p>
    <w:p w14:paraId="32EBF1E0">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3-1、定标程序</w:t>
      </w:r>
    </w:p>
    <w:p w14:paraId="1B5D7A29">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磋商小组依据磋商文件的要求，对供应商进行认真评审。经过评审、澄清、磋商、最后报价等程序后，从响应文件满足磋商文件全部实质性要求的供应商中，按照评审得分由高到低顺序推荐3名以上成交候选供应商，并编写评审报告。</w:t>
      </w:r>
    </w:p>
    <w:p w14:paraId="15B0FDB8">
      <w:pPr>
        <w:shd w:val="clear"/>
        <w:spacing w:line="4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w:t>
      </w:r>
      <w:bookmarkStart w:id="26" w:name="OLE_LINK12"/>
      <w:r>
        <w:rPr>
          <w:rFonts w:hint="eastAsia" w:asciiTheme="minorEastAsia" w:hAnsiTheme="minorEastAsia" w:eastAsiaTheme="minorEastAsia" w:cstheme="minorEastAsia"/>
          <w:color w:val="auto"/>
          <w:sz w:val="24"/>
          <w:szCs w:val="24"/>
          <w:highlight w:val="none"/>
        </w:rPr>
        <w:t>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bookmarkEnd w:id="26"/>
    <w:p w14:paraId="0D1D04CA">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代理机构应当自评审结束之日起2个工作日内将评审报告送交采购人。采购人在收到评审报告5个工作日内，根据磋商小组提交的评审报告和推荐的成交候选供应商，按照排序由高到低的原则确定成交供应商。确定结果后，采购人向采购代理机构出具《成交复函》。采购人逾期未确定成交供应商且不提出异议的，视为确定评审报告推荐的排名第一的供应商为成交供应商。</w:t>
      </w:r>
    </w:p>
    <w:p w14:paraId="6B23562A">
      <w:pPr>
        <w:shd w:val="clear"/>
        <w:tabs>
          <w:tab w:val="left" w:pos="2700"/>
        </w:tabs>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3-2、成交供应商确定后，采购人和采购代理机构对未成交原因不作任何解释，竞争性磋商响应文件不予退还。</w:t>
      </w:r>
    </w:p>
    <w:p w14:paraId="7755FE8C">
      <w:pPr>
        <w:shd w:val="clear"/>
        <w:tabs>
          <w:tab w:val="left" w:pos="2700"/>
        </w:tabs>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4、磋商无效的情形：</w:t>
      </w:r>
    </w:p>
    <w:p w14:paraId="28FC7E11">
      <w:pPr>
        <w:shd w:val="clear"/>
        <w:tabs>
          <w:tab w:val="left" w:pos="2700"/>
        </w:tabs>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4-1、未按照磋商文件的规定提交磋商保证金的；</w:t>
      </w:r>
    </w:p>
    <w:p w14:paraId="612C69E6">
      <w:pPr>
        <w:shd w:val="clear"/>
        <w:tabs>
          <w:tab w:val="left" w:pos="2700"/>
        </w:tabs>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4-2、磋商响应文件未按磋商文件要求签署、盖章的；</w:t>
      </w:r>
    </w:p>
    <w:p w14:paraId="07500109">
      <w:pPr>
        <w:shd w:val="clear"/>
        <w:tabs>
          <w:tab w:val="left" w:pos="2700"/>
        </w:tabs>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4-3、不具备磋商文件中规定的资格要求的；</w:t>
      </w:r>
    </w:p>
    <w:p w14:paraId="5738EE8D">
      <w:pPr>
        <w:shd w:val="clear"/>
        <w:tabs>
          <w:tab w:val="left" w:pos="2700"/>
        </w:tabs>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4-4、报价超过磋商文件中规定的预算金额的；</w:t>
      </w:r>
    </w:p>
    <w:p w14:paraId="55899DA9">
      <w:pPr>
        <w:shd w:val="clear"/>
        <w:tabs>
          <w:tab w:val="left" w:pos="2700"/>
        </w:tabs>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4-5、磋商响应文件含有采购人不能接受的附加条件的；</w:t>
      </w:r>
    </w:p>
    <w:p w14:paraId="5968750D">
      <w:pPr>
        <w:shd w:val="clear"/>
        <w:tabs>
          <w:tab w:val="left" w:pos="2700"/>
        </w:tabs>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4-6、提供虚假材料谋取成交的；</w:t>
      </w:r>
    </w:p>
    <w:p w14:paraId="551BE7EA">
      <w:pPr>
        <w:shd w:val="clear"/>
        <w:tabs>
          <w:tab w:val="left" w:pos="2700"/>
        </w:tabs>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4-7、采取不正当手段诋毁、排挤其他供应商的；</w:t>
      </w:r>
    </w:p>
    <w:p w14:paraId="71DBB23B">
      <w:pPr>
        <w:shd w:val="clear"/>
        <w:tabs>
          <w:tab w:val="left" w:pos="2700"/>
        </w:tabs>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4-8、法律、法规和磋商文件规定的其他无效情形。</w:t>
      </w:r>
    </w:p>
    <w:p w14:paraId="7C85A2D4">
      <w:pPr>
        <w:shd w:val="clear"/>
        <w:adjustRightInd w:val="0"/>
        <w:snapToGrid w:val="0"/>
        <w:spacing w:line="48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5、成交通知书</w:t>
      </w:r>
    </w:p>
    <w:p w14:paraId="4789662A">
      <w:pPr>
        <w:shd w:val="clear"/>
        <w:tabs>
          <w:tab w:val="left" w:pos="2700"/>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成交通知书由采购代理机构向成交人发出，成交供应商应在接到采购代理机构通知之日起七日内领取成交通知书。未在规定时间内领取成交通知书的，磋商保证金不予退还。提供磋商担保的供应商将由专业担保机构先行偿付采购人损失。</w:t>
      </w:r>
    </w:p>
    <w:p w14:paraId="276272A5">
      <w:pPr>
        <w:pStyle w:val="49"/>
        <w:shd w:val="clear"/>
        <w:spacing w:line="360" w:lineRule="auto"/>
        <w:ind w:firstLine="48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5-2、成交通知书发出后，采购人不得违法改变成交结果，成交人无正当理由不得放弃成交。</w:t>
      </w:r>
    </w:p>
    <w:p w14:paraId="1C205C24">
      <w:pPr>
        <w:pStyle w:val="3"/>
        <w:shd w:val="clear"/>
        <w:spacing w:before="0" w:after="0" w:line="480" w:lineRule="exact"/>
        <w:rPr>
          <w:rFonts w:hint="eastAsia" w:asciiTheme="minorEastAsia" w:hAnsiTheme="minorEastAsia" w:eastAsiaTheme="minorEastAsia" w:cstheme="minorEastAsia"/>
          <w:color w:val="auto"/>
          <w:sz w:val="24"/>
          <w:szCs w:val="24"/>
          <w:highlight w:val="none"/>
        </w:rPr>
      </w:pPr>
      <w:bookmarkStart w:id="27" w:name="_Toc7453878"/>
      <w:bookmarkStart w:id="28" w:name="_Toc5781523"/>
      <w:r>
        <w:rPr>
          <w:rFonts w:hint="eastAsia" w:asciiTheme="minorEastAsia" w:hAnsiTheme="minorEastAsia" w:eastAsiaTheme="minorEastAsia" w:cstheme="minorEastAsia"/>
          <w:color w:val="auto"/>
          <w:kern w:val="0"/>
          <w:sz w:val="24"/>
          <w:szCs w:val="24"/>
          <w:highlight w:val="none"/>
        </w:rPr>
        <w:t>八、</w:t>
      </w:r>
      <w:bookmarkEnd w:id="27"/>
      <w:bookmarkEnd w:id="28"/>
      <w:bookmarkStart w:id="29" w:name="_Toc7453879"/>
      <w:r>
        <w:rPr>
          <w:rFonts w:hint="eastAsia" w:asciiTheme="minorEastAsia" w:hAnsiTheme="minorEastAsia" w:eastAsiaTheme="minorEastAsia" w:cstheme="minorEastAsia"/>
          <w:color w:val="auto"/>
          <w:sz w:val="24"/>
          <w:szCs w:val="24"/>
          <w:highlight w:val="none"/>
        </w:rPr>
        <w:t>合同</w:t>
      </w:r>
      <w:bookmarkEnd w:id="29"/>
    </w:p>
    <w:p w14:paraId="31359297">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成交供应商在收到成交通知书后二十五（25）个日历日内，应按竞争性磋商文件的要求与采购人签订合同。成交供应商因自身原因不按规定与采购人签订合同，则采购人将废除授标，磋商保证金不予退还。给采购人造成损失超过磋商保证金额的，还应当对超过部分予以赔偿，并依法承担相应法律责任；</w:t>
      </w:r>
    </w:p>
    <w:p w14:paraId="33D886AE">
      <w:pPr>
        <w:shd w:val="clear"/>
        <w:adjustRightInd w:val="0"/>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供应商因不可抗力或者自身原因不能履行政府采购合同的，采购人可以与排位在成交供应商之后第一位的成交候选供应商签订政府采购合同，以此类推，也可以重新开展采购活动。因自身原因拒绝签订采购合同的或者未按合同约定进行履约的，成交人不得参加对该项目重新开展的招标活动。</w:t>
      </w:r>
    </w:p>
    <w:p w14:paraId="67D82E3D">
      <w:pPr>
        <w:shd w:val="clear"/>
        <w:adjustRightInd w:val="0"/>
        <w:snapToGrid w:val="0"/>
        <w:spacing w:line="48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3、成交通知书将是合同的重要组成部分。竞争性磋商文件、成交供应商的竞争性磋商响应文件及评议过程中有关的澄清文件均作为合同附件。</w:t>
      </w:r>
    </w:p>
    <w:p w14:paraId="2EDFBB50">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4、成交后，成交人应按照合同约定履行义务，完成磋商项目的</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成交人不得向他人转让成交项目，也不得将成交项目肢解后分别向他人转让。成交人按照合同约定或者经采购人同意，成交人可以将成交项目的部分非主体、非关键性工作分包给他人完成。接受分包的供应商应当具备相应的资格条件，并不得再次分包。分包履行的，成交人就采购项目和分包项目向采购人负责，分包供应商就分包项目承担责任。中小企业根据《政府采购促进中小企业发展管理办法》（财库(2020)46号）规定的政策获取政府采购合同后，小型、微型企业不得分包或转包给大型、中型企业，中型企业不得分包或转包给大型企业。</w:t>
      </w:r>
    </w:p>
    <w:p w14:paraId="29BE3766">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5、所签订的合同不得对磋商文件确定的事项和成交人磋商响应文件作实质性修改。</w:t>
      </w:r>
    </w:p>
    <w:p w14:paraId="2CA3DE7E">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6、采购人需追加与合同标的相同的货物、工程或服务的，在不改变合同其他条款的前提下，可以与供应商协商签订补充合同，但所有补充合同的采购金额不得超过原合同采购金额的百分之十。</w:t>
      </w:r>
    </w:p>
    <w:p w14:paraId="14FEECBA">
      <w:pPr>
        <w:pStyle w:val="3"/>
        <w:shd w:val="clear"/>
        <w:spacing w:before="0" w:after="0" w:line="480" w:lineRule="exact"/>
        <w:rPr>
          <w:rFonts w:hint="eastAsia" w:asciiTheme="minorEastAsia" w:hAnsiTheme="minorEastAsia" w:eastAsiaTheme="minorEastAsia" w:cstheme="minorEastAsia"/>
          <w:color w:val="auto"/>
          <w:kern w:val="0"/>
          <w:sz w:val="24"/>
          <w:szCs w:val="24"/>
          <w:highlight w:val="none"/>
        </w:rPr>
      </w:pPr>
      <w:bookmarkStart w:id="30" w:name="_Toc7453880"/>
      <w:bookmarkStart w:id="31" w:name="_Toc493247321"/>
      <w:bookmarkStart w:id="32" w:name="_Toc493074178"/>
      <w:r>
        <w:rPr>
          <w:rFonts w:hint="eastAsia" w:asciiTheme="minorEastAsia" w:hAnsiTheme="minorEastAsia" w:eastAsiaTheme="minorEastAsia" w:cstheme="minorEastAsia"/>
          <w:color w:val="auto"/>
          <w:kern w:val="0"/>
          <w:sz w:val="24"/>
          <w:szCs w:val="24"/>
          <w:highlight w:val="none"/>
        </w:rPr>
        <w:t>九、合同的履约</w:t>
      </w:r>
      <w:bookmarkEnd w:id="30"/>
      <w:bookmarkEnd w:id="31"/>
      <w:bookmarkEnd w:id="32"/>
    </w:p>
    <w:p w14:paraId="466BB332">
      <w:pPr>
        <w:shd w:val="clear"/>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确定成交单位后，成交供应商因自身原因未按程序签订合同，采购人将取消其成交资格，同时报请监督机构备案，没收其保证金。在此情况下，采购人可按评审结果顺序将合同授予下一成交候选人或重新采购。</w:t>
      </w:r>
    </w:p>
    <w:p w14:paraId="075DC3BC">
      <w:pPr>
        <w:shd w:val="clear"/>
        <w:spacing w:line="48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2、成交供应商签订合同后，持合同到采购代理机构办理保证金退付手续。</w:t>
      </w:r>
    </w:p>
    <w:p w14:paraId="5CEC3487">
      <w:pPr>
        <w:shd w:val="clear"/>
        <w:spacing w:line="480" w:lineRule="exact"/>
        <w:rPr>
          <w:rFonts w:hint="eastAsia" w:asciiTheme="minorEastAsia" w:hAnsiTheme="minorEastAsia" w:eastAsiaTheme="minorEastAsia" w:cstheme="minorEastAsia"/>
          <w:b/>
          <w:bCs/>
          <w:color w:val="auto"/>
          <w:sz w:val="24"/>
          <w:szCs w:val="24"/>
          <w:highlight w:val="none"/>
        </w:rPr>
      </w:pPr>
      <w:bookmarkStart w:id="33" w:name="_Toc7453881"/>
      <w:r>
        <w:rPr>
          <w:rFonts w:hint="eastAsia" w:asciiTheme="minorEastAsia" w:hAnsiTheme="minorEastAsia" w:eastAsiaTheme="minorEastAsia" w:cstheme="minorEastAsia"/>
          <w:b/>
          <w:bCs/>
          <w:color w:val="auto"/>
          <w:sz w:val="24"/>
          <w:szCs w:val="24"/>
          <w:highlight w:val="none"/>
        </w:rPr>
        <w:t>十、招标服务费</w:t>
      </w:r>
      <w:bookmarkEnd w:id="33"/>
    </w:p>
    <w:p w14:paraId="43022C67">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bookmarkStart w:id="34" w:name="_Toc458848741"/>
      <w:bookmarkStart w:id="35" w:name="_Toc494556652"/>
      <w:bookmarkStart w:id="36" w:name="_Toc458848826"/>
      <w:bookmarkStart w:id="37" w:name="_Toc7453882"/>
      <w:bookmarkStart w:id="38" w:name="_Toc458848827"/>
      <w:bookmarkStart w:id="39" w:name="_Toc458848742"/>
      <w:bookmarkStart w:id="40" w:name="_Toc493247324"/>
      <w:r>
        <w:rPr>
          <w:rFonts w:hint="eastAsia" w:asciiTheme="minorEastAsia" w:hAnsiTheme="minorEastAsia" w:eastAsiaTheme="minorEastAsia" w:cstheme="minorEastAsia"/>
          <w:color w:val="auto"/>
          <w:sz w:val="24"/>
          <w:szCs w:val="24"/>
          <w:highlight w:val="none"/>
        </w:rPr>
        <w:t>本项目代理服务费</w:t>
      </w:r>
      <w:r>
        <w:rPr>
          <w:rFonts w:hint="eastAsia" w:asciiTheme="minorEastAsia" w:hAnsiTheme="minorEastAsia" w:eastAsiaTheme="minorEastAsia" w:cstheme="minorEastAsia"/>
          <w:color w:val="auto"/>
          <w:sz w:val="24"/>
          <w:szCs w:val="24"/>
          <w:highlight w:val="none"/>
          <w:lang w:val="en-US" w:eastAsia="zh-CN"/>
        </w:rPr>
        <w:t>4300</w:t>
      </w:r>
      <w:r>
        <w:rPr>
          <w:rFonts w:hint="eastAsia" w:asciiTheme="minorEastAsia" w:hAnsiTheme="minorEastAsia" w:eastAsiaTheme="minorEastAsia" w:cstheme="minorEastAsia"/>
          <w:color w:val="auto"/>
          <w:sz w:val="24"/>
          <w:szCs w:val="24"/>
          <w:highlight w:val="none"/>
        </w:rPr>
        <w:t>.00元。在本采购项目磋商结果公示期满后七日内,由成交单位一次性向采购代理机构缴纳服务费。该项费用中标人应充分考虑并包含在投标报价内，采购人不再单独列项支付。</w:t>
      </w:r>
    </w:p>
    <w:p w14:paraId="05E8D128">
      <w:pPr>
        <w:pStyle w:val="3"/>
        <w:shd w:val="clear"/>
        <w:spacing w:before="0" w:after="0" w:line="4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w:t>
      </w:r>
      <w:bookmarkEnd w:id="34"/>
      <w:bookmarkEnd w:id="35"/>
      <w:bookmarkEnd w:id="36"/>
      <w:r>
        <w:rPr>
          <w:rFonts w:hint="eastAsia" w:asciiTheme="minorEastAsia" w:hAnsiTheme="minorEastAsia" w:eastAsiaTheme="minorEastAsia" w:cstheme="minorEastAsia"/>
          <w:color w:val="auto"/>
          <w:sz w:val="24"/>
          <w:szCs w:val="24"/>
          <w:highlight w:val="none"/>
        </w:rPr>
        <w:t>重新开展采购活动</w:t>
      </w:r>
      <w:bookmarkEnd w:id="37"/>
    </w:p>
    <w:p w14:paraId="25BA634F">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如果发生下列情况之一的，采购人或采购代理机构将按《政府采购竞争性磋商采购方式管理暂行办法》等有关规定终止竞争性磋商采购活动，发布项目终止公告并说明原因，重新开展采购活动：</w:t>
      </w:r>
    </w:p>
    <w:p w14:paraId="276B3BBD">
      <w:pPr>
        <w:shd w:val="clear"/>
        <w:spacing w:line="48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（1）因情况变化，不再符合规定的竞争性磋商采购方式适用情形的；</w:t>
      </w:r>
    </w:p>
    <w:p w14:paraId="169827E7">
      <w:pPr>
        <w:shd w:val="clear"/>
        <w:spacing w:line="48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（2）出现影响采购公正的违法、违规行为的；</w:t>
      </w:r>
    </w:p>
    <w:p w14:paraId="04D1A374">
      <w:pPr>
        <w:shd w:val="clear"/>
        <w:spacing w:line="48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（3）磋商小组三分之二以上的专家认定所有磋商报价存在价格不实的现象；</w:t>
      </w:r>
    </w:p>
    <w:p w14:paraId="359A4AF8">
      <w:pPr>
        <w:shd w:val="clear"/>
        <w:spacing w:line="480" w:lineRule="exact"/>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除《政府采购竞争性磋商采购方式管理暂行办法》（财库〔2014〕214号）除本办法第二十一条第三款规定及《财政部关于政府采购竞争性磋商采购方式管理暂行办法有关问题的补充通知》（财库〔2015〕124号）规定的情形外，在采购过程中符合要求的供应商或者报价未超过采购预算的供应商不足3家的。</w:t>
      </w:r>
    </w:p>
    <w:p w14:paraId="6348714A">
      <w:pPr>
        <w:pStyle w:val="3"/>
        <w:shd w:val="clear"/>
        <w:spacing w:before="0" w:after="0" w:line="480" w:lineRule="exact"/>
        <w:rPr>
          <w:rFonts w:hint="eastAsia" w:asciiTheme="minorEastAsia" w:hAnsiTheme="minorEastAsia" w:eastAsiaTheme="minorEastAsia" w:cstheme="minorEastAsia"/>
          <w:color w:val="auto"/>
          <w:sz w:val="24"/>
          <w:szCs w:val="24"/>
          <w:highlight w:val="none"/>
        </w:rPr>
      </w:pPr>
      <w:bookmarkStart w:id="41" w:name="_Toc7453883"/>
      <w:r>
        <w:rPr>
          <w:rFonts w:hint="eastAsia" w:asciiTheme="minorEastAsia" w:hAnsiTheme="minorEastAsia" w:eastAsiaTheme="minorEastAsia" w:cstheme="minorEastAsia"/>
          <w:color w:val="auto"/>
          <w:sz w:val="24"/>
          <w:szCs w:val="24"/>
          <w:highlight w:val="none"/>
        </w:rPr>
        <w:t>十二、询问、质疑与投诉</w:t>
      </w:r>
      <w:bookmarkEnd w:id="38"/>
      <w:bookmarkEnd w:id="39"/>
      <w:bookmarkEnd w:id="40"/>
      <w:bookmarkEnd w:id="41"/>
    </w:p>
    <w:p w14:paraId="501C0AB0">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bookmarkStart w:id="42" w:name="_Toc7453884"/>
      <w:bookmarkStart w:id="43" w:name="_Toc493247325"/>
      <w:bookmarkStart w:id="44" w:name="_Toc458848828"/>
      <w:bookmarkStart w:id="45" w:name="_Toc458848743"/>
      <w:r>
        <w:rPr>
          <w:rFonts w:hint="eastAsia" w:asciiTheme="minorEastAsia" w:hAnsiTheme="minorEastAsia" w:eastAsiaTheme="minorEastAsia" w:cstheme="minorEastAsia"/>
          <w:color w:val="auto"/>
          <w:sz w:val="24"/>
          <w:szCs w:val="24"/>
          <w:highlight w:val="none"/>
        </w:rPr>
        <w:t>1.询问</w:t>
      </w:r>
    </w:p>
    <w:p w14:paraId="4F4FA13B">
      <w:pPr>
        <w:shd w:val="clear"/>
        <w:spacing w:line="520" w:lineRule="exact"/>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供应商对政府采购活动事项有疑问的，可以向采购代理机构或采购人提出询问。采购代理机构或采购人将在3个工作日内对投标供应商依法提出的询问作出答复。</w:t>
      </w:r>
    </w:p>
    <w:p w14:paraId="66EC2E0F">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2"/>
          <w:highlight w:val="none"/>
        </w:rPr>
        <w:t>供应商</w:t>
      </w:r>
      <w:r>
        <w:rPr>
          <w:rFonts w:hint="eastAsia" w:asciiTheme="minorEastAsia" w:hAnsiTheme="minorEastAsia" w:eastAsiaTheme="minorEastAsia" w:cstheme="minorEastAsia"/>
          <w:color w:val="auto"/>
          <w:sz w:val="24"/>
          <w:szCs w:val="24"/>
          <w:highlight w:val="none"/>
        </w:rPr>
        <w:t>提出的询问超出采购人对采购代理机构委托授权范围的，采购代理机构将告知</w:t>
      </w:r>
      <w:r>
        <w:rPr>
          <w:rFonts w:hint="eastAsia" w:asciiTheme="minorEastAsia" w:hAnsiTheme="minorEastAsia" w:eastAsiaTheme="minorEastAsia" w:cstheme="minorEastAsia"/>
          <w:color w:val="auto"/>
          <w:sz w:val="24"/>
          <w:szCs w:val="22"/>
          <w:highlight w:val="none"/>
        </w:rPr>
        <w:t>投标供应商</w:t>
      </w:r>
      <w:r>
        <w:rPr>
          <w:rFonts w:hint="eastAsia" w:asciiTheme="minorEastAsia" w:hAnsiTheme="minorEastAsia" w:eastAsiaTheme="minorEastAsia" w:cstheme="minorEastAsia"/>
          <w:color w:val="auto"/>
          <w:sz w:val="24"/>
          <w:szCs w:val="24"/>
          <w:highlight w:val="none"/>
        </w:rPr>
        <w:t>向采购人提出。</w:t>
      </w:r>
    </w:p>
    <w:p w14:paraId="469A5261">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2.质疑和投诉</w:t>
      </w:r>
    </w:p>
    <w:p w14:paraId="5F4DB506">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2"/>
          <w:highlight w:val="none"/>
        </w:rPr>
        <w:t>供应商</w:t>
      </w:r>
      <w:r>
        <w:rPr>
          <w:rFonts w:hint="eastAsia" w:asciiTheme="minorEastAsia" w:hAnsiTheme="minorEastAsia" w:eastAsiaTheme="minorEastAsia" w:cstheme="minorEastAsia"/>
          <w:color w:val="auto"/>
          <w:sz w:val="24"/>
          <w:szCs w:val="24"/>
          <w:highlight w:val="none"/>
        </w:rPr>
        <w:t>认为磋商文件、磋商过程使自身的合法权益受到损害，可以在知道或者应当知道其自身权益受到损害之日起七个工作日，以书面形式（纸质版加盖公章）向采购代理机构或采购人提出质疑。</w:t>
      </w:r>
      <w:r>
        <w:rPr>
          <w:rFonts w:hint="eastAsia" w:asciiTheme="minorEastAsia" w:hAnsiTheme="minorEastAsia" w:eastAsiaTheme="minorEastAsia" w:cstheme="minorEastAsia"/>
          <w:color w:val="auto"/>
          <w:sz w:val="24"/>
          <w:szCs w:val="22"/>
          <w:highlight w:val="none"/>
        </w:rPr>
        <w:t>供应商</w:t>
      </w:r>
      <w:r>
        <w:rPr>
          <w:rFonts w:hint="eastAsia" w:asciiTheme="minorEastAsia" w:hAnsiTheme="minorEastAsia" w:eastAsiaTheme="minorEastAsia" w:cstheme="minorEastAsia"/>
          <w:color w:val="auto"/>
          <w:sz w:val="24"/>
          <w:szCs w:val="24"/>
          <w:highlight w:val="none"/>
        </w:rPr>
        <w:t>认为磋商结果使自身的合法权益受到损害，可以在磋商结束后7日内前，以书面形式（纸质版加盖公章）向采购代理机构或采购人提出质疑。</w:t>
      </w:r>
    </w:p>
    <w:p w14:paraId="27B36419">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2.1、质疑书应当包括以下主要内容：被质疑项目名称、项目编号、标段、竞争性磋商公告/中标公告发布时间、质疑事项、证据材料、法律依据（具体条款）、质疑人有效联系方式等。</w:t>
      </w:r>
    </w:p>
    <w:p w14:paraId="4095D464">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2.2、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14:paraId="259438EE">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2.3.有下列情形之一的，属于无效质疑，采购代理机构和采购人不予受理：</w:t>
      </w:r>
    </w:p>
    <w:p w14:paraId="68E9D89E">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（1）质疑人不是参与本次政府采购项目的供应商/或潜在供应商；</w:t>
      </w:r>
    </w:p>
    <w:p w14:paraId="4BF35C96">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（2）质疑人与质疑事项不存在利害关系的；</w:t>
      </w:r>
    </w:p>
    <w:p w14:paraId="52FA4C55">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（3）未在法定期限内提出质疑的；</w:t>
      </w:r>
    </w:p>
    <w:p w14:paraId="21498AC8">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（4）质疑未以书面形式提出，或质疑书主要内容构成不完整的；</w:t>
      </w:r>
    </w:p>
    <w:p w14:paraId="5A5FA158">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（5）质疑书没有合法有效的签字、盖章或授权的；</w:t>
      </w:r>
    </w:p>
    <w:p w14:paraId="781F1E20">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（6）以非法手段取得证据、材料的；</w:t>
      </w:r>
    </w:p>
    <w:p w14:paraId="07871EF3">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（7）质疑答复后，同一质疑人就同一事项再次提出质疑的；</w:t>
      </w:r>
    </w:p>
    <w:p w14:paraId="56857201">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（8）不符合法律、法规、规章和监管机构规定的其他条件的。</w:t>
      </w:r>
    </w:p>
    <w:p w14:paraId="08E19B69">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2.4、采购代理机构或采购人将在收到书面质疑后7个工作日内做出答复，并以书面形式通知质疑人和其他有关投标单位。</w:t>
      </w:r>
    </w:p>
    <w:p w14:paraId="78917151">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质疑人对采购代理机构或采购人的答复不满意，以及采购代理机构或采购人未在规定时间内做出答复的，可以在答复期满后15个工作日内按照《政府采购质疑和投诉办法》（财政部94号令）相关规定向政府采购监管机构提出投诉。投标供应商投诉的事项不得超出已质疑事项的范围。</w:t>
      </w:r>
    </w:p>
    <w:p w14:paraId="2A02916D">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2.6、对捏造事实、提供虚假材料进行质疑、投诉的行为予以严肃处理：</w:t>
      </w:r>
    </w:p>
    <w:p w14:paraId="6AE855D8">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07DD0454">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2.7、对捏造事实诬告陷害他人、诽谤他人的法律适用：</w:t>
      </w:r>
    </w:p>
    <w:p w14:paraId="5CFD53F3">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《中华人民共和国刑法》第243条【诬告陷害罪】捏造事实诬告陷害他人，意图使他人受刑事追究，情节严重的，处三年以下有期徒刑、拘役或者管制；造成严重后果的，处三年以上十年以下有期徒刑。</w:t>
      </w:r>
    </w:p>
    <w:bookmarkEnd w:id="42"/>
    <w:bookmarkEnd w:id="43"/>
    <w:bookmarkEnd w:id="44"/>
    <w:bookmarkEnd w:id="45"/>
    <w:p w14:paraId="48D16D3A">
      <w:pPr>
        <w:shd w:val="clear"/>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《中华人民共和国刑法》第246条【侮辱罪、诽谤罪】以暴力或者其他方法公然侮辱他人或者捏造事实诽谤他人，情节严重的，处三年以下有期徒刑、拘役、管制或者剥夺政治权利。</w:t>
      </w:r>
    </w:p>
    <w:p w14:paraId="7C751DBF">
      <w:pPr>
        <w:pStyle w:val="3"/>
        <w:shd w:val="clear"/>
        <w:spacing w:before="0" w:after="0" w:line="48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十三、拒绝商业贿赂</w:t>
      </w:r>
    </w:p>
    <w:p w14:paraId="04877CB4">
      <w:pPr>
        <w:shd w:val="clear"/>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1、遵照陕西省财政厅的规定，采购人、采购代理机构、供应商和评审专家在磋商活动中，都要签订相应的《拒绝政府采购领域商业贿赂承诺书》，并对违反承诺的行为承担全部责任。</w:t>
      </w:r>
    </w:p>
    <w:p w14:paraId="3A51B1FA">
      <w:pPr>
        <w:shd w:val="clear"/>
        <w:spacing w:line="48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2、供应商必须填写一份《拒绝政府采购领域商业贿赂承诺书》（附件）并附在磋商响应文</w:t>
      </w:r>
      <w:r>
        <w:rPr>
          <w:rFonts w:hint="eastAsia" w:asciiTheme="minorEastAsia" w:hAnsiTheme="minorEastAsia" w:eastAsiaTheme="minorEastAsia" w:cstheme="minorEastAsia"/>
          <w:color w:val="auto"/>
          <w:sz w:val="24"/>
          <w:highlight w:val="none"/>
        </w:rPr>
        <w:t>件中。</w:t>
      </w:r>
    </w:p>
    <w:p w14:paraId="01FF7E35">
      <w:pPr>
        <w:pStyle w:val="2"/>
        <w:shd w:val="clear"/>
        <w:spacing w:before="0" w:after="0" w:line="360" w:lineRule="auto"/>
        <w:jc w:val="both"/>
        <w:rPr>
          <w:rFonts w:hint="eastAsia" w:asciiTheme="minorEastAsia" w:hAnsiTheme="minorEastAsia" w:eastAsiaTheme="minorEastAsia" w:cstheme="minorEastAsia"/>
          <w:bCs/>
          <w:color w:val="auto"/>
          <w:kern w:val="0"/>
          <w:highlight w:val="none"/>
        </w:rPr>
        <w:sectPr>
          <w:footerReference r:id="rId9" w:type="first"/>
          <w:footerReference r:id="rId8" w:type="default"/>
          <w:pgSz w:w="11849" w:h="16781"/>
          <w:pgMar w:top="1440" w:right="1080" w:bottom="1440" w:left="1080" w:header="720" w:footer="720" w:gutter="0"/>
          <w:pgNumType w:start="1"/>
          <w:cols w:space="720" w:num="1"/>
          <w:docGrid w:linePitch="312" w:charSpace="0"/>
        </w:sectPr>
      </w:pPr>
    </w:p>
    <w:p w14:paraId="1602D8D7">
      <w:pPr>
        <w:pStyle w:val="2"/>
        <w:shd w:val="clear"/>
        <w:spacing w:before="0" w:after="0" w:line="360" w:lineRule="auto"/>
        <w:jc w:val="center"/>
        <w:rPr>
          <w:rFonts w:hint="eastAsia" w:asciiTheme="minorEastAsia" w:hAnsiTheme="minorEastAsia" w:eastAsiaTheme="minorEastAsia" w:cstheme="minorEastAsia"/>
          <w:color w:val="auto"/>
          <w:highlight w:val="none"/>
        </w:rPr>
      </w:pPr>
      <w:bookmarkStart w:id="46" w:name="_Toc29969"/>
      <w:r>
        <w:rPr>
          <w:rFonts w:hint="eastAsia" w:asciiTheme="minorEastAsia" w:hAnsiTheme="minorEastAsia" w:eastAsiaTheme="minorEastAsia" w:cstheme="minorEastAsia"/>
          <w:bCs/>
          <w:color w:val="auto"/>
          <w:kern w:val="0"/>
          <w:highlight w:val="none"/>
        </w:rPr>
        <w:t>第三章 采购内</w:t>
      </w:r>
      <w:r>
        <w:rPr>
          <w:rFonts w:hint="eastAsia" w:asciiTheme="minorEastAsia" w:hAnsiTheme="minorEastAsia" w:eastAsiaTheme="minorEastAsia" w:cstheme="minorEastAsia"/>
          <w:bCs/>
          <w:color w:val="auto"/>
          <w:kern w:val="0"/>
          <w:highlight w:val="none"/>
          <w:shd w:val="clear" w:color="auto" w:fill="FFFFFF" w:themeFill="background1"/>
        </w:rPr>
        <w:t>容及要求</w:t>
      </w:r>
      <w:bookmarkEnd w:id="46"/>
    </w:p>
    <w:p w14:paraId="51E052D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bookmarkStart w:id="47" w:name="_Toc7453886"/>
      <w:bookmarkStart w:id="48" w:name="_Toc3982"/>
      <w:r>
        <w:rPr>
          <w:rFonts w:hint="eastAsia" w:asciiTheme="minorEastAsia" w:hAnsiTheme="minorEastAsia" w:eastAsiaTheme="minorEastAsia" w:cstheme="minorEastAsia"/>
          <w:sz w:val="24"/>
          <w:szCs w:val="24"/>
          <w:highlight w:val="none"/>
          <w:lang w:val="en-US" w:eastAsia="zh-CN"/>
        </w:rPr>
        <w:t>一、服务内容</w:t>
      </w:r>
    </w:p>
    <w:p w14:paraId="6046E65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总结蟠龙高新区“十四五”经济社会发展基本情况，全面贯彻落实中央和省市战略意图，结合蟠龙高新区实际情况，理清“十五五”发展面临的重大机遇、风险挑战和瓶颈制约，研究提出“十五五”时期高质量发展思路、目标、重点任务和重大项目，高标准编制“十五五”规划《纲要》，并通过采购方组织的评审审议，总结蟠龙高新区“十五五”经济社会发展基本情况。</w:t>
      </w:r>
    </w:p>
    <w:p w14:paraId="32E166E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Theme="minorEastAsia" w:hAnsiTheme="minorEastAsia" w:eastAsiaTheme="minorEastAsia" w:cstheme="minorEastAsia"/>
          <w:sz w:val="24"/>
          <w:szCs w:val="24"/>
          <w:highlight w:val="none"/>
          <w:lang w:val="en-US" w:eastAsia="zh-CN"/>
        </w:rPr>
        <w:t>2、以《陕西省高水平推进产业创新集群建设加快形成新质生产力实施方案》、国家《战略性新兴产业重点产品和服务指导目录》和《工业战略性新兴产业分类目录(2023)》等文件为指导，立足蟠龙高新区实际，摸清产业现状，进行战略性新兴产业和未来产业规划布局。聚焦产业创新集群发展细分领域，编制新材料和高端装备制造产业创新集群行动计划，明确产业创新集群发展思路、发展方向、目标任务、保障措施和重点项目清单，建立“六个一”工作机制。</w:t>
      </w:r>
    </w:p>
    <w:p w14:paraId="6D73779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二、编制要求:</w:t>
      </w:r>
    </w:p>
    <w:p w14:paraId="64A107F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1、符合国家及地方现行有关行业规范标准要求。</w:t>
      </w:r>
    </w:p>
    <w:p w14:paraId="761A12B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符合国家的宏观经济政策及陕西省产业准入清单，与省市“十五五”规划纲要的总体要求、重点任务、目标体系相衔接；符合陕西省产业创新集群发展方向及相关专项规划、行动计划，推动产业创新、高质量发展、《陕西省高新技术产业发展条例》和国家《战略性新兴产业重点产品和服务指导目录》等政策。</w:t>
      </w:r>
    </w:p>
    <w:p w14:paraId="67DA246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3、符合蟠龙高新区实际，从实际出发，发挥优势、突出重点、体现特色，精准确定发展战略和目标:</w:t>
      </w:r>
    </w:p>
    <w:p w14:paraId="01210B0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4、要有较强的前瞻性、指导性和可操作性。</w:t>
      </w:r>
    </w:p>
    <w:p w14:paraId="354B9CB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三、成果交付</w:t>
      </w:r>
    </w:p>
    <w:p w14:paraId="66160CD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经采购方审定后，乙方须向甲方提供成果资料纸质版6份，电子版1份，交付采购方。</w:t>
      </w:r>
    </w:p>
    <w:p w14:paraId="03F07C57">
      <w:pPr>
        <w:shd w:val="clear"/>
        <w:rPr>
          <w:rFonts w:hint="eastAsia" w:asciiTheme="minorEastAsia" w:hAnsiTheme="minorEastAsia" w:eastAsiaTheme="minorEastAsia" w:cstheme="minorEastAsia"/>
          <w:bCs/>
          <w:color w:val="auto"/>
          <w:kern w:val="0"/>
          <w:highlight w:val="none"/>
        </w:rPr>
      </w:pPr>
      <w:r>
        <w:rPr>
          <w:rFonts w:hint="eastAsia" w:asciiTheme="minorEastAsia" w:hAnsiTheme="minorEastAsia" w:eastAsiaTheme="minorEastAsia" w:cstheme="minorEastAsia"/>
          <w:bCs/>
          <w:color w:val="auto"/>
          <w:kern w:val="0"/>
          <w:highlight w:val="none"/>
        </w:rPr>
        <w:br w:type="page"/>
      </w:r>
    </w:p>
    <w:p w14:paraId="5DA3B9B7">
      <w:pPr>
        <w:pStyle w:val="2"/>
        <w:shd w:val="clear"/>
        <w:spacing w:before="0" w:after="0" w:line="360" w:lineRule="auto"/>
        <w:jc w:val="center"/>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bCs/>
          <w:color w:val="auto"/>
          <w:kern w:val="0"/>
          <w:highlight w:val="none"/>
        </w:rPr>
        <w:t>第四章 商务要求</w:t>
      </w:r>
      <w:bookmarkEnd w:id="47"/>
      <w:bookmarkEnd w:id="48"/>
      <w:bookmarkStart w:id="49" w:name="_Toc459142238"/>
      <w:bookmarkStart w:id="50" w:name="_Toc459125993"/>
      <w:bookmarkStart w:id="51" w:name="_Toc459049734"/>
      <w:bookmarkStart w:id="52" w:name="_Toc459049903"/>
      <w:bookmarkStart w:id="53" w:name="_Toc7453887"/>
    </w:p>
    <w:p w14:paraId="1D4637AA">
      <w:pPr>
        <w:widowControl/>
        <w:shd w:val="clear"/>
        <w:spacing w:line="336"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 xml:space="preserve">一、项目概况 </w:t>
      </w:r>
    </w:p>
    <w:p w14:paraId="1E340C98">
      <w:pPr>
        <w:shd w:val="clear"/>
        <w:spacing w:line="336" w:lineRule="auto"/>
        <w:ind w:firstLine="44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1、项目名称：</w:t>
      </w:r>
      <w:r>
        <w:rPr>
          <w:rFonts w:hint="eastAsia" w:asciiTheme="minorEastAsia" w:hAnsiTheme="minorEastAsia" w:eastAsiaTheme="minorEastAsia" w:cstheme="minorEastAsia"/>
          <w:color w:val="auto"/>
          <w:sz w:val="24"/>
          <w:szCs w:val="24"/>
          <w:highlight w:val="none"/>
          <w:lang w:eastAsia="zh-CN"/>
        </w:rPr>
        <w:t>蟠龙高新区国民经济和社会发展第十五个五年规划编制与产业创新集群行动计划工作编制项目</w:t>
      </w:r>
    </w:p>
    <w:p w14:paraId="227F0196">
      <w:pPr>
        <w:shd w:val="clear"/>
        <w:spacing w:line="336" w:lineRule="auto"/>
        <w:ind w:firstLine="4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2、项目地点：采购人指定地点</w:t>
      </w:r>
    </w:p>
    <w:p w14:paraId="7B81DBF6">
      <w:pPr>
        <w:shd w:val="clear"/>
        <w:spacing w:line="336" w:lineRule="auto"/>
        <w:ind w:firstLine="4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3、服务期：</w:t>
      </w:r>
      <w:r>
        <w:rPr>
          <w:rFonts w:hint="eastAsia" w:asciiTheme="minorEastAsia" w:hAnsiTheme="minorEastAsia" w:eastAsiaTheme="minorEastAsia" w:cstheme="minorEastAsia"/>
          <w:color w:val="auto"/>
          <w:sz w:val="24"/>
          <w:szCs w:val="24"/>
          <w:highlight w:val="none"/>
          <w:lang w:eastAsia="zh-CN"/>
        </w:rPr>
        <w:t>自合同签订之日起</w:t>
      </w:r>
      <w:r>
        <w:rPr>
          <w:rFonts w:hint="eastAsia" w:asciiTheme="minorEastAsia" w:hAnsiTheme="minorEastAsia" w:eastAsiaTheme="minorEastAsia" w:cstheme="minorEastAsia"/>
          <w:color w:val="auto"/>
          <w:sz w:val="24"/>
          <w:szCs w:val="24"/>
          <w:highlight w:val="none"/>
          <w:lang w:val="en-US" w:eastAsia="zh-CN"/>
        </w:rPr>
        <w:t>180</w:t>
      </w:r>
      <w:r>
        <w:rPr>
          <w:rFonts w:hint="eastAsia" w:asciiTheme="minorEastAsia" w:hAnsiTheme="minorEastAsia" w:eastAsiaTheme="minorEastAsia" w:cstheme="minorEastAsia"/>
          <w:color w:val="auto"/>
          <w:sz w:val="24"/>
          <w:szCs w:val="24"/>
          <w:highlight w:val="none"/>
          <w:lang w:eastAsia="zh-CN"/>
        </w:rPr>
        <w:t>日历天内完成</w:t>
      </w:r>
    </w:p>
    <w:p w14:paraId="0F7DAC3D">
      <w:pPr>
        <w:shd w:val="clear"/>
        <w:spacing w:line="336" w:lineRule="auto"/>
        <w:ind w:firstLine="44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4、最高限价：</w:t>
      </w:r>
      <w:r>
        <w:rPr>
          <w:rFonts w:hint="eastAsia" w:asciiTheme="minorEastAsia" w:hAnsiTheme="minorEastAsia" w:eastAsiaTheme="minorEastAsia" w:cstheme="minorEastAsia"/>
          <w:color w:val="auto"/>
          <w:sz w:val="24"/>
          <w:szCs w:val="24"/>
          <w:highlight w:val="none"/>
          <w:lang w:val="en-US" w:eastAsia="zh-CN"/>
        </w:rPr>
        <w:t>290000.00元</w:t>
      </w:r>
    </w:p>
    <w:p w14:paraId="4A1B54BA">
      <w:pPr>
        <w:shd w:val="clear" w:color="auto"/>
        <w:spacing w:line="336"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二、付款方式：</w:t>
      </w:r>
      <w:r>
        <w:rPr>
          <w:rFonts w:hint="eastAsia" w:asciiTheme="minorEastAsia" w:hAnsiTheme="minorEastAsia" w:eastAsiaTheme="minorEastAsia" w:cstheme="minorEastAsia"/>
          <w:color w:val="auto"/>
          <w:sz w:val="24"/>
          <w:szCs w:val="24"/>
          <w:highlight w:val="none"/>
          <w:lang w:eastAsia="zh-CN"/>
        </w:rPr>
        <w:t>提交成果资料并</w:t>
      </w:r>
      <w:r>
        <w:rPr>
          <w:rFonts w:hint="eastAsia" w:asciiTheme="minorEastAsia" w:hAnsiTheme="minorEastAsia" w:eastAsiaTheme="minorEastAsia" w:cstheme="minorEastAsia"/>
          <w:color w:val="auto"/>
          <w:sz w:val="24"/>
          <w:szCs w:val="24"/>
          <w:highlight w:val="none"/>
        </w:rPr>
        <w:t>通过专家评审</w:t>
      </w:r>
      <w:r>
        <w:rPr>
          <w:rFonts w:hint="eastAsia" w:asciiTheme="minorEastAsia" w:hAnsiTheme="minorEastAsia" w:eastAsiaTheme="minorEastAsia" w:cstheme="minorEastAsia"/>
          <w:color w:val="auto"/>
          <w:sz w:val="24"/>
          <w:szCs w:val="24"/>
          <w:highlight w:val="none"/>
          <w:lang w:eastAsia="zh-CN"/>
        </w:rPr>
        <w:t>后一次性付清。</w:t>
      </w:r>
    </w:p>
    <w:p w14:paraId="26DC3800">
      <w:pPr>
        <w:shd w:val="clear"/>
        <w:spacing w:line="33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三、合同实施：</w:t>
      </w:r>
    </w:p>
    <w:p w14:paraId="4B950120">
      <w:pPr>
        <w:shd w:val="clea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、成交单位应在合同签订之日起与采购单位就工作实施进行安排、部署、计划。</w:t>
      </w:r>
    </w:p>
    <w:p w14:paraId="3D4AB5B7">
      <w:pPr>
        <w:shd w:val="clea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、若未能在规定时间内完成项目实施，由此对采购单位造成的延误和一切损失，由成交单位承担和赔偿。</w:t>
      </w:r>
    </w:p>
    <w:p w14:paraId="0A5F5368">
      <w:pPr>
        <w:shd w:val="clear"/>
        <w:spacing w:line="33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四、验 收:</w:t>
      </w:r>
    </w:p>
    <w:p w14:paraId="7EB688D3">
      <w:pPr>
        <w:shd w:val="clea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zh-CN"/>
        </w:rPr>
        <w:t>成交单位向采购单位提交项目实施过程中的所有资料及成果资料。</w:t>
      </w:r>
    </w:p>
    <w:p w14:paraId="7B544B39">
      <w:pPr>
        <w:shd w:val="clear"/>
        <w:spacing w:line="336"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zh-CN"/>
        </w:rPr>
        <w:t>验收须以合同及竞争性磋商响应文件、澄清、及国家相应的标准、规范等为依据。</w:t>
      </w:r>
    </w:p>
    <w:p w14:paraId="394839FB">
      <w:pPr>
        <w:shd w:val="clear"/>
        <w:spacing w:line="33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rPr>
        <w:t>、违约责任：</w:t>
      </w:r>
    </w:p>
    <w:p w14:paraId="13230FA2">
      <w:pPr>
        <w:shd w:val="clea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1、按《中华人民共和国民法典》中的相关条款执行。</w:t>
      </w:r>
    </w:p>
    <w:p w14:paraId="0565338C">
      <w:pPr>
        <w:shd w:val="clea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2、未按合同要求提供服务或服务质量不能满足技术要求，采购人有权终止合同，并对供方违约行为进行追究，同时按《中华人民共和国政府采购法》的有关规定进行处罚。</w:t>
      </w:r>
    </w:p>
    <w:p w14:paraId="54FA25D0">
      <w:pPr>
        <w:pStyle w:val="22"/>
        <w:shd w:val="clea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760095</wp:posOffset>
                </wp:positionH>
                <wp:positionV relativeFrom="paragraph">
                  <wp:posOffset>121920</wp:posOffset>
                </wp:positionV>
                <wp:extent cx="4304030" cy="514985"/>
                <wp:effectExtent l="5080" t="4445" r="19050" b="13970"/>
                <wp:wrapSquare wrapText="bothSides"/>
                <wp:docPr id="1" name="Text Box 2"/>
                <wp:cNvGraphicFramePr/>
                <a:graphic xmlns:a="http://schemas.openxmlformats.org/drawingml/2006/main">
                  <a:graphicData uri="http://schemas.microsoft.com/office/word/2010/wordprocessingShape">
                    <wps:wsp>
                      <wps:cNvSpPr txBox="1"/>
                      <wps:spPr>
                        <a:xfrm>
                          <a:off x="0" y="0"/>
                          <a:ext cx="4304030" cy="514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C41EF0">
                            <w:pPr>
                              <w:tabs>
                                <w:tab w:val="left" w:pos="3485"/>
                              </w:tabs>
                              <w:spacing w:line="520" w:lineRule="exact"/>
                              <w:jc w:val="center"/>
                              <w:rPr>
                                <w:rFonts w:ascii="宋体" w:hAnsi="宋体" w:cs="宋体"/>
                                <w:b/>
                                <w:sz w:val="40"/>
                                <w:szCs w:val="40"/>
                              </w:rPr>
                            </w:pPr>
                            <w:r>
                              <w:rPr>
                                <w:rFonts w:hint="eastAsia" w:ascii="宋体" w:hAnsi="宋体" w:cs="宋体"/>
                                <w:b/>
                                <w:sz w:val="32"/>
                                <w:szCs w:val="32"/>
                              </w:rPr>
                              <w:t>注：商务要求为实质性要求，不得负偏离</w:t>
                            </w:r>
                            <w:r>
                              <w:rPr>
                                <w:rFonts w:hint="eastAsia" w:ascii="宋体" w:hAnsi="宋体" w:cs="宋体"/>
                                <w:b/>
                                <w:sz w:val="40"/>
                                <w:szCs w:val="40"/>
                              </w:rPr>
                              <w:t>。</w:t>
                            </w:r>
                          </w:p>
                        </w:txbxContent>
                      </wps:txbx>
                      <wps:bodyPr upright="1"/>
                    </wps:wsp>
                  </a:graphicData>
                </a:graphic>
              </wp:anchor>
            </w:drawing>
          </mc:Choice>
          <mc:Fallback>
            <w:pict>
              <v:shape id="Text Box 2" o:spid="_x0000_s1026" o:spt="202" type="#_x0000_t202" style="position:absolute;left:0pt;margin-left:59.85pt;margin-top:9.6pt;height:40.55pt;width:338.9pt;mso-wrap-distance-bottom:0pt;mso-wrap-distance-left:9pt;mso-wrap-distance-right:9pt;mso-wrap-distance-top:0pt;z-index:251664384;mso-width-relative:page;mso-height-relative:page;" fillcolor="#FFFFFF" filled="t" stroked="t" coordsize="21600,21600" o:gfxdata="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7pC72AAAAAoBAAAPAAAAAAAAAAEAIAAAACIAAABkcnMvZG93bnJldi54&#10;bWxQSwECFAAUAAAACACHTuJAC/V5p/oBAAA1BAAADgAAAAAAAAABACAAAAAnAQAAZHJzL2Uyb0Rv&#10;Yy54bWxQSwUGAAAAAAYABgBZAQAAkwUAAAAA&#10;">
                <v:fill on="t" focussize="0,0"/>
                <v:stroke color="#000000" joinstyle="miter"/>
                <v:imagedata o:title=""/>
                <o:lock v:ext="edit" aspectratio="f"/>
                <v:textbox>
                  <w:txbxContent>
                    <w:p w14:paraId="07C41EF0">
                      <w:pPr>
                        <w:tabs>
                          <w:tab w:val="left" w:pos="3485"/>
                        </w:tabs>
                        <w:spacing w:line="520" w:lineRule="exact"/>
                        <w:jc w:val="center"/>
                        <w:rPr>
                          <w:rFonts w:ascii="宋体" w:hAnsi="宋体" w:cs="宋体"/>
                          <w:b/>
                          <w:sz w:val="40"/>
                          <w:szCs w:val="40"/>
                        </w:rPr>
                      </w:pPr>
                      <w:r>
                        <w:rPr>
                          <w:rFonts w:hint="eastAsia" w:ascii="宋体" w:hAnsi="宋体" w:cs="宋体"/>
                          <w:b/>
                          <w:sz w:val="32"/>
                          <w:szCs w:val="32"/>
                        </w:rPr>
                        <w:t>注：商务要求为实质性要求，不得负偏离</w:t>
                      </w:r>
                      <w:r>
                        <w:rPr>
                          <w:rFonts w:hint="eastAsia" w:ascii="宋体" w:hAnsi="宋体" w:cs="宋体"/>
                          <w:b/>
                          <w:sz w:val="40"/>
                          <w:szCs w:val="40"/>
                        </w:rPr>
                        <w:t>。</w:t>
                      </w:r>
                    </w:p>
                  </w:txbxContent>
                </v:textbox>
                <w10:wrap type="square"/>
              </v:shape>
            </w:pict>
          </mc:Fallback>
        </mc:AlternateContent>
      </w:r>
    </w:p>
    <w:p w14:paraId="473325BF">
      <w:pPr>
        <w:pStyle w:val="22"/>
        <w:shd w:val="clear"/>
        <w:rPr>
          <w:rFonts w:hint="eastAsia" w:asciiTheme="minorEastAsia" w:hAnsiTheme="minorEastAsia" w:eastAsiaTheme="minorEastAsia" w:cstheme="minorEastAsia"/>
          <w:color w:val="auto"/>
          <w:sz w:val="24"/>
          <w:szCs w:val="24"/>
          <w:highlight w:val="none"/>
        </w:rPr>
      </w:pPr>
    </w:p>
    <w:p w14:paraId="5AE5D59F">
      <w:pPr>
        <w:pStyle w:val="22"/>
        <w:shd w:val="clear"/>
        <w:rPr>
          <w:rFonts w:hint="eastAsia" w:asciiTheme="minorEastAsia" w:hAnsiTheme="minorEastAsia" w:eastAsiaTheme="minorEastAsia" w:cstheme="minorEastAsia"/>
          <w:color w:val="auto"/>
          <w:sz w:val="24"/>
          <w:szCs w:val="24"/>
          <w:highlight w:val="none"/>
        </w:rPr>
        <w:sectPr>
          <w:pgSz w:w="11906" w:h="16838"/>
          <w:pgMar w:top="1440" w:right="1800" w:bottom="1440" w:left="1800" w:header="851" w:footer="992" w:gutter="0"/>
          <w:cols w:space="720" w:num="1"/>
          <w:docGrid w:type="lines" w:linePitch="312" w:charSpace="0"/>
        </w:sectPr>
      </w:pPr>
    </w:p>
    <w:p w14:paraId="47647EBB">
      <w:pPr>
        <w:pStyle w:val="2"/>
        <w:shd w:val="clear"/>
        <w:spacing w:before="0" w:after="0" w:line="360" w:lineRule="auto"/>
        <w:jc w:val="center"/>
        <w:rPr>
          <w:rFonts w:hint="eastAsia" w:asciiTheme="minorEastAsia" w:hAnsiTheme="minorEastAsia" w:eastAsiaTheme="minorEastAsia" w:cstheme="minorEastAsia"/>
          <w:color w:val="auto"/>
          <w:highlight w:val="none"/>
        </w:rPr>
      </w:pPr>
      <w:bookmarkStart w:id="54" w:name="_Toc22566"/>
      <w:r>
        <w:rPr>
          <w:rFonts w:hint="eastAsia" w:asciiTheme="minorEastAsia" w:hAnsiTheme="minorEastAsia" w:eastAsiaTheme="minorEastAsia" w:cstheme="minorEastAsia"/>
          <w:color w:val="auto"/>
          <w:highlight w:val="none"/>
        </w:rPr>
        <w:t>第五章  合同</w:t>
      </w:r>
      <w:bookmarkEnd w:id="49"/>
      <w:bookmarkEnd w:id="50"/>
      <w:bookmarkEnd w:id="51"/>
      <w:bookmarkEnd w:id="52"/>
      <w:bookmarkEnd w:id="53"/>
      <w:r>
        <w:rPr>
          <w:rFonts w:hint="eastAsia" w:asciiTheme="minorEastAsia" w:hAnsiTheme="minorEastAsia" w:eastAsiaTheme="minorEastAsia" w:cstheme="minorEastAsia"/>
          <w:color w:val="auto"/>
          <w:highlight w:val="none"/>
        </w:rPr>
        <w:t>示范文本</w:t>
      </w:r>
      <w:bookmarkEnd w:id="54"/>
      <w:r>
        <w:rPr>
          <w:rFonts w:hint="eastAsia" w:asciiTheme="minorEastAsia" w:hAnsiTheme="minorEastAsia" w:eastAsiaTheme="minorEastAsia" w:cstheme="minorEastAsia"/>
          <w:color w:val="auto"/>
          <w:highlight w:val="none"/>
        </w:rPr>
        <w:t>（参考）</w:t>
      </w:r>
    </w:p>
    <w:p w14:paraId="5C10FA3E">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bookmarkStart w:id="55" w:name="_Toc7453889"/>
      <w:r>
        <w:rPr>
          <w:rFonts w:hint="eastAsia" w:asciiTheme="minorEastAsia" w:hAnsiTheme="minorEastAsia" w:eastAsiaTheme="minorEastAsia" w:cstheme="minorEastAsia"/>
          <w:bCs/>
          <w:color w:val="auto"/>
          <w:sz w:val="24"/>
          <w:szCs w:val="24"/>
          <w:highlight w:val="none"/>
        </w:rPr>
        <w:t xml:space="preserve">甲方（采  购  人）： </w:t>
      </w:r>
    </w:p>
    <w:p w14:paraId="3518DD9F">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乙方（成交供应商）： </w:t>
      </w:r>
    </w:p>
    <w:p w14:paraId="05493EE5">
      <w:pPr>
        <w:pStyle w:val="24"/>
        <w:shd w:val="clear"/>
        <w:spacing w:before="0" w:beforeAutospacing="0" w:after="0" w:afterAutospacing="0" w:line="360" w:lineRule="auto"/>
        <w:ind w:firstLine="42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u w:val="single"/>
          <w:shd w:val="clear" w:color="auto" w:fill="FFFFFF"/>
          <w:lang w:eastAsia="zh-CN"/>
        </w:rPr>
        <w:t>蟠龙高新区国民经济和社会发展第十五个五年规划编制与产业创新集群行动计划工作编制项目</w:t>
      </w:r>
      <w:r>
        <w:rPr>
          <w:rFonts w:hint="eastAsia" w:asciiTheme="minorEastAsia" w:hAnsiTheme="minorEastAsia" w:eastAsiaTheme="minorEastAsia" w:cstheme="minorEastAsia"/>
          <w:bCs/>
          <w:color w:val="auto"/>
          <w:highlight w:val="none"/>
          <w:u w:val="single"/>
        </w:rPr>
        <w:t>）</w:t>
      </w:r>
      <w:r>
        <w:rPr>
          <w:rFonts w:hint="eastAsia" w:asciiTheme="minorEastAsia" w:hAnsiTheme="minorEastAsia" w:eastAsiaTheme="minorEastAsia" w:cstheme="minorEastAsia"/>
          <w:bCs/>
          <w:color w:val="auto"/>
          <w:highlight w:val="none"/>
        </w:rPr>
        <w:t>，经组织竞争性磋商</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color w:val="auto"/>
          <w:highlight w:val="none"/>
          <w:u w:val="single"/>
          <w:shd w:val="clear" w:color="auto" w:fill="FFFFFF"/>
        </w:rPr>
        <w:t xml:space="preserve">                     </w:t>
      </w:r>
      <w:r>
        <w:rPr>
          <w:rFonts w:hint="eastAsia" w:asciiTheme="minorEastAsia" w:hAnsiTheme="minorEastAsia" w:eastAsiaTheme="minorEastAsia" w:cstheme="minorEastAsia"/>
          <w:bCs/>
          <w:color w:val="auto"/>
          <w:highlight w:val="none"/>
        </w:rPr>
        <w:t>(以下简称“甲方”)确定</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（以下简称“乙方”）为该项目的成交供应商。</w:t>
      </w:r>
    </w:p>
    <w:p w14:paraId="7DD8EF57">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依据《中华人民共和国民法典》和《中华人民共和国政府采购法》之规定，经双方在平等、自愿、互利的基础上，签订本合同，共同信守。</w:t>
      </w:r>
    </w:p>
    <w:p w14:paraId="55F5A86C">
      <w:pPr>
        <w:pStyle w:val="18"/>
        <w:shd w:val="clea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一、合同价款</w:t>
      </w:r>
    </w:p>
    <w:p w14:paraId="0EADD1BE">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（一）合同总价款为人民币（大写）</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 xml:space="preserve"> ）。</w:t>
      </w:r>
    </w:p>
    <w:p w14:paraId="6BFDEAF1">
      <w:pPr>
        <w:shd w:val="clear"/>
        <w:spacing w:line="360" w:lineRule="auto"/>
        <w:ind w:firstLine="480"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（二）合同总价是竞争性磋商响应文件所确定的磋商范围内的全部工作内容的价格体现，包括本项目所涉及的服务费、人工费、设备费、管理费、税费、规费、保险费</w:t>
      </w:r>
      <w:r>
        <w:rPr>
          <w:rFonts w:hint="eastAsia" w:asciiTheme="minorEastAsia" w:hAnsiTheme="minorEastAsia" w:eastAsiaTheme="minorEastAsia" w:cstheme="minorEastAsia"/>
          <w:b w:val="0"/>
          <w:bCs/>
          <w:color w:val="auto"/>
          <w:sz w:val="24"/>
          <w:szCs w:val="24"/>
          <w:highlight w:val="none"/>
          <w:lang w:eastAsia="zh-CN"/>
        </w:rPr>
        <w:t>等</w:t>
      </w:r>
      <w:r>
        <w:rPr>
          <w:rFonts w:hint="eastAsia" w:asciiTheme="minorEastAsia" w:hAnsiTheme="minorEastAsia" w:eastAsiaTheme="minorEastAsia" w:cstheme="minorEastAsia"/>
          <w:b w:val="0"/>
          <w:bCs/>
          <w:color w:val="auto"/>
          <w:sz w:val="24"/>
          <w:szCs w:val="24"/>
          <w:highlight w:val="none"/>
        </w:rPr>
        <w:t>所有与完成本项目相关服务及履行合同义务有关的一切费用。</w:t>
      </w:r>
    </w:p>
    <w:p w14:paraId="48E7B588">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（三）合同总价一次性包死，不受市场价格变化因素的影响。</w:t>
      </w:r>
    </w:p>
    <w:p w14:paraId="27E99250">
      <w:pPr>
        <w:shd w:val="clear"/>
        <w:autoSpaceDE w:val="0"/>
        <w:autoSpaceDN w:val="0"/>
        <w:adjustRightInd w:val="0"/>
        <w:spacing w:line="360" w:lineRule="auto"/>
        <w:ind w:firstLine="482" w:firstLineChars="200"/>
        <w:rPr>
          <w:rFonts w:hint="eastAsia" w:asciiTheme="minorEastAsia" w:hAnsiTheme="minorEastAsia" w:eastAsiaTheme="minorEastAsia" w:cstheme="minorEastAsia"/>
          <w:bCs/>
          <w:color w:val="auto"/>
          <w:sz w:val="24"/>
          <w:szCs w:val="24"/>
          <w:highlight w:val="none"/>
          <w:u w:val="single"/>
          <w:lang w:eastAsia="zh-CN"/>
        </w:rPr>
      </w:pPr>
      <w:r>
        <w:rPr>
          <w:rFonts w:hint="eastAsia" w:asciiTheme="minorEastAsia" w:hAnsiTheme="minorEastAsia" w:eastAsiaTheme="minorEastAsia" w:cstheme="minorEastAsia"/>
          <w:b/>
          <w:bCs/>
          <w:color w:val="auto"/>
          <w:sz w:val="24"/>
          <w:szCs w:val="24"/>
          <w:highlight w:val="none"/>
        </w:rPr>
        <w:t>二、付款方式</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提交成果资料并</w:t>
      </w:r>
      <w:r>
        <w:rPr>
          <w:rFonts w:hint="eastAsia" w:asciiTheme="minorEastAsia" w:hAnsiTheme="minorEastAsia" w:eastAsiaTheme="minorEastAsia" w:cstheme="minorEastAsia"/>
          <w:color w:val="auto"/>
          <w:sz w:val="24"/>
          <w:szCs w:val="24"/>
          <w:highlight w:val="none"/>
        </w:rPr>
        <w:t>通过专家评审</w:t>
      </w:r>
      <w:r>
        <w:rPr>
          <w:rFonts w:hint="eastAsia" w:asciiTheme="minorEastAsia" w:hAnsiTheme="minorEastAsia" w:eastAsiaTheme="minorEastAsia" w:cstheme="minorEastAsia"/>
          <w:color w:val="auto"/>
          <w:sz w:val="24"/>
          <w:szCs w:val="24"/>
          <w:highlight w:val="none"/>
          <w:lang w:eastAsia="zh-CN"/>
        </w:rPr>
        <w:t>后一次性付清。</w:t>
      </w:r>
    </w:p>
    <w:p w14:paraId="3F49B4AA">
      <w:pPr>
        <w:shd w:val="clea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三、服务地点及完成期</w:t>
      </w:r>
    </w:p>
    <w:p w14:paraId="02BC4C99">
      <w:pPr>
        <w:shd w:val="clear"/>
        <w:spacing w:line="360" w:lineRule="auto"/>
        <w:ind w:firstLine="480" w:firstLineChars="200"/>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（一）服务地点：采购人指定地点；</w:t>
      </w:r>
    </w:p>
    <w:p w14:paraId="0B7E0987">
      <w:pPr>
        <w:shd w:val="clea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（二）服务期：</w:t>
      </w:r>
      <w:r>
        <w:rPr>
          <w:rFonts w:hint="eastAsia" w:asciiTheme="minorEastAsia" w:hAnsiTheme="minorEastAsia" w:eastAsiaTheme="minorEastAsia" w:cstheme="minorEastAsia"/>
          <w:bCs/>
          <w:color w:val="auto"/>
          <w:sz w:val="24"/>
          <w:szCs w:val="24"/>
          <w:highlight w:val="none"/>
          <w:lang w:eastAsia="zh-CN"/>
        </w:rPr>
        <w:t>自合同签订之日起</w:t>
      </w:r>
      <w:r>
        <w:rPr>
          <w:rFonts w:hint="eastAsia" w:asciiTheme="minorEastAsia" w:hAnsiTheme="minorEastAsia" w:eastAsiaTheme="minorEastAsia" w:cstheme="minorEastAsia"/>
          <w:bCs/>
          <w:color w:val="auto"/>
          <w:sz w:val="24"/>
          <w:szCs w:val="24"/>
          <w:highlight w:val="none"/>
          <w:lang w:val="en-US" w:eastAsia="zh-CN"/>
        </w:rPr>
        <w:t>180</w:t>
      </w:r>
      <w:r>
        <w:rPr>
          <w:rFonts w:hint="eastAsia" w:asciiTheme="minorEastAsia" w:hAnsiTheme="minorEastAsia" w:eastAsiaTheme="minorEastAsia" w:cstheme="minorEastAsia"/>
          <w:bCs/>
          <w:color w:val="auto"/>
          <w:sz w:val="24"/>
          <w:szCs w:val="24"/>
          <w:highlight w:val="none"/>
          <w:lang w:eastAsia="zh-CN"/>
        </w:rPr>
        <w:t>日历天内完成</w:t>
      </w:r>
    </w:p>
    <w:p w14:paraId="18CF69C2">
      <w:pPr>
        <w:shd w:val="clear"/>
        <w:autoSpaceDE w:val="0"/>
        <w:autoSpaceDN w:val="0"/>
        <w:adjustRightInd w:val="0"/>
        <w:spacing w:line="360" w:lineRule="auto"/>
        <w:ind w:firstLine="482" w:firstLineChars="20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四、甲乙双方</w:t>
      </w:r>
      <w:r>
        <w:rPr>
          <w:rFonts w:hint="eastAsia" w:asciiTheme="minorEastAsia" w:hAnsiTheme="minorEastAsia" w:eastAsiaTheme="minorEastAsia" w:cstheme="minorEastAsia"/>
          <w:b/>
          <w:bCs/>
          <w:color w:val="auto"/>
          <w:sz w:val="24"/>
          <w:szCs w:val="24"/>
          <w:highlight w:val="none"/>
        </w:rPr>
        <w:t>的权利和义务</w:t>
      </w:r>
    </w:p>
    <w:p w14:paraId="10C38EDD">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（一）甲方的权利与义务</w:t>
      </w:r>
    </w:p>
    <w:p w14:paraId="23246145">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1.甲方向乙方提供采购内容与要求；</w:t>
      </w:r>
    </w:p>
    <w:p w14:paraId="741BD6E1">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2.甲方在收到报告成果后，应按磋商文件的需求进行核实，如发现不符合合同规定或短缺，及时提出。甲方必须按合同要求交付给乙方，并现场配合。</w:t>
      </w:r>
    </w:p>
    <w:p w14:paraId="4F2EA882">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（二）乙方的权利与义务</w:t>
      </w:r>
    </w:p>
    <w:p w14:paraId="7F26AF4F">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1.乙方的工作人员必须严格遵守甲方的规章制度，以良好的形象和积极的工作态度，按甲方要求开展工作；</w:t>
      </w:r>
    </w:p>
    <w:p w14:paraId="562B7361">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2.乙方应服从甲方统筹管理并按流程开展工作；</w:t>
      </w:r>
    </w:p>
    <w:p w14:paraId="50717935">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3.乙方负责在合同约定的时间完成</w:t>
      </w:r>
      <w:r>
        <w:rPr>
          <w:rFonts w:hint="eastAsia" w:asciiTheme="minorEastAsia" w:hAnsiTheme="minorEastAsia" w:eastAsiaTheme="minorEastAsia" w:cstheme="minorEastAsia"/>
          <w:bCs/>
          <w:color w:val="auto"/>
          <w:sz w:val="24"/>
          <w:szCs w:val="24"/>
          <w:highlight w:val="none"/>
          <w:lang w:eastAsia="zh-CN"/>
        </w:rPr>
        <w:t>项目</w:t>
      </w:r>
      <w:r>
        <w:rPr>
          <w:rFonts w:hint="eastAsia" w:asciiTheme="minorEastAsia" w:hAnsiTheme="minorEastAsia" w:eastAsiaTheme="minorEastAsia" w:cstheme="minorEastAsia"/>
          <w:bCs/>
          <w:color w:val="auto"/>
          <w:sz w:val="24"/>
          <w:szCs w:val="24"/>
          <w:highlight w:val="none"/>
        </w:rPr>
        <w:t>成果，并按甲方要求交付成果文件。</w:t>
      </w:r>
    </w:p>
    <w:p w14:paraId="2BF6E861">
      <w:pPr>
        <w:shd w:val="clea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4.乙方所提供的成果文件满足甲方的要求，实施全过程中的安全由乙方负责。</w:t>
      </w:r>
    </w:p>
    <w:p w14:paraId="498245EF">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5.乙方在服务期间发布的任何涉及有关甲方的相关信息，需经甲方确认无误后方可公布。</w:t>
      </w:r>
    </w:p>
    <w:p w14:paraId="187CA9D0">
      <w:pPr>
        <w:pStyle w:val="18"/>
        <w:shd w:val="clea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五、验收</w:t>
      </w:r>
    </w:p>
    <w:p w14:paraId="0C4D327A">
      <w:pPr>
        <w:pStyle w:val="18"/>
        <w:shd w:val="clea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（一）甲方确认收到报告成果后，组织乙方（必要时可请有关专家）进行验收。</w:t>
      </w:r>
    </w:p>
    <w:p w14:paraId="7B7F7E63">
      <w:pPr>
        <w:pStyle w:val="18"/>
        <w:shd w:val="clea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（二）乙方向甲方提交项目实施过程中的所有资料。</w:t>
      </w:r>
    </w:p>
    <w:p w14:paraId="1EB1038F">
      <w:pPr>
        <w:pStyle w:val="18"/>
        <w:shd w:val="clea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（三）验收依据</w:t>
      </w:r>
    </w:p>
    <w:p w14:paraId="3FC484AC">
      <w:pPr>
        <w:pStyle w:val="18"/>
        <w:shd w:val="clea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1、磋商文件、响应文件、澄清函；</w:t>
      </w:r>
    </w:p>
    <w:p w14:paraId="757C47FE">
      <w:pPr>
        <w:pStyle w:val="18"/>
        <w:shd w:val="clea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2、本合同及附件文本；</w:t>
      </w:r>
    </w:p>
    <w:p w14:paraId="205884FC">
      <w:pPr>
        <w:pStyle w:val="18"/>
        <w:shd w:val="clea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3、合同签订时国家及行业现行的标准和技术规范。</w:t>
      </w:r>
    </w:p>
    <w:p w14:paraId="0DA2B3AE">
      <w:pPr>
        <w:pStyle w:val="18"/>
        <w:shd w:val="clea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（四）须提交的成果内容</w:t>
      </w:r>
    </w:p>
    <w:p w14:paraId="2F13D1DB">
      <w:pPr>
        <w:pStyle w:val="18"/>
        <w:shd w:val="clea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1、项目完成后需提交所有工作成果纸质版一式</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份</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电子版</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none"/>
          <w:lang w:val="en-US" w:eastAsia="zh-CN"/>
        </w:rPr>
        <w:t>份</w:t>
      </w:r>
      <w:r>
        <w:rPr>
          <w:rFonts w:hint="eastAsia" w:asciiTheme="minorEastAsia" w:hAnsiTheme="minorEastAsia" w:eastAsiaTheme="minorEastAsia" w:cstheme="minorEastAsia"/>
          <w:bCs/>
          <w:color w:val="auto"/>
          <w:sz w:val="24"/>
          <w:szCs w:val="24"/>
          <w:highlight w:val="none"/>
        </w:rPr>
        <w:t>，同时提交项目实施过程中数据收集、整理、分析的相关资料一套。</w:t>
      </w:r>
    </w:p>
    <w:p w14:paraId="28875EE6">
      <w:pPr>
        <w:pStyle w:val="18"/>
        <w:shd w:val="clear"/>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2、在合同履行过程中，必要时，甲方可以对最终成果的构成进行调整。甲方如需乙方增加交付成果的数量，应由双方协商解决。</w:t>
      </w:r>
    </w:p>
    <w:p w14:paraId="4C02E878">
      <w:pPr>
        <w:shd w:val="clear"/>
        <w:autoSpaceDE w:val="0"/>
        <w:autoSpaceDN w:val="0"/>
        <w:adjustRightInd w:val="0"/>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六、知识产权</w:t>
      </w:r>
    </w:p>
    <w:p w14:paraId="41DC3CF4">
      <w:pPr>
        <w:shd w:val="clea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（一）本项目所涉及到的所有成果的知识产权归甲方所有。 </w:t>
      </w:r>
    </w:p>
    <w:p w14:paraId="6CF60AD5">
      <w:pPr>
        <w:shd w:val="clea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（二）乙方无论出于任何目的如在其他地方使用该成果，必须经甲方同意方可使用。否则，贵甲方有权要求终止涉及到该知识产权的任何使用活动并保留追究卖方相应的法律责任的权利。 </w:t>
      </w:r>
    </w:p>
    <w:p w14:paraId="0D20A556">
      <w:pPr>
        <w:shd w:val="clea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（三）乙方为执行本合同而提供的技术资料使用权归甲方所有。</w:t>
      </w:r>
    </w:p>
    <w:p w14:paraId="7B9B9ABC">
      <w:pPr>
        <w:shd w:val="clear"/>
        <w:autoSpaceDE w:val="0"/>
        <w:autoSpaceDN w:val="0"/>
        <w:adjustRightInd w:val="0"/>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七、保密规定</w:t>
      </w:r>
    </w:p>
    <w:p w14:paraId="78328FF7">
      <w:pPr>
        <w:shd w:val="clear"/>
        <w:autoSpaceDE w:val="0"/>
        <w:autoSpaceDN w:val="0"/>
        <w:adjustRightInd w:val="0"/>
        <w:snapToGri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甲、乙双方应永久恪守因签署或履行本合同而获知的对方秘密信息及其它秘密资料，特别是国家安全秘密。任何一方如将获知的对方秘密信息泄露给第三方，应赔偿因泄密而给对方造成的一切损失并承担相应的法律责任（包括刑事责任）</w:t>
      </w:r>
    </w:p>
    <w:p w14:paraId="4E695DA0">
      <w:pPr>
        <w:shd w:val="clear"/>
        <w:autoSpaceDE w:val="0"/>
        <w:autoSpaceDN w:val="0"/>
        <w:adjustRightInd w:val="0"/>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八、其它事项</w:t>
      </w:r>
    </w:p>
    <w:p w14:paraId="030592B8">
      <w:pPr>
        <w:shd w:val="clea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（一）乙方不得转让给其它单位或个人。</w:t>
      </w:r>
    </w:p>
    <w:p w14:paraId="1530C0FF">
      <w:pPr>
        <w:shd w:val="clea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（二）乙方的磋商响应文件和承诺等内容将列入合同。</w:t>
      </w:r>
    </w:p>
    <w:p w14:paraId="41A0E5EE">
      <w:pPr>
        <w:shd w:val="clear"/>
        <w:autoSpaceDE w:val="0"/>
        <w:autoSpaceDN w:val="0"/>
        <w:adjustRightInd w:val="0"/>
        <w:snapToGrid w:val="0"/>
        <w:spacing w:line="360" w:lineRule="auto"/>
        <w:ind w:firstLine="63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九、违约责任</w:t>
      </w:r>
    </w:p>
    <w:p w14:paraId="055A5D95">
      <w:pPr>
        <w:shd w:val="clear"/>
        <w:autoSpaceDE w:val="0"/>
        <w:autoSpaceDN w:val="0"/>
        <w:adjustRightInd w:val="0"/>
        <w:snapToGrid w:val="0"/>
        <w:spacing w:line="360" w:lineRule="auto"/>
        <w:ind w:firstLine="63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（一）按《中华人民共和国民法典》中的相关条款执行。</w:t>
      </w:r>
    </w:p>
    <w:p w14:paraId="3A6A96AF">
      <w:pPr>
        <w:shd w:val="clear"/>
        <w:autoSpaceDE w:val="0"/>
        <w:autoSpaceDN w:val="0"/>
        <w:adjustRightInd w:val="0"/>
        <w:snapToGrid w:val="0"/>
        <w:spacing w:line="360" w:lineRule="auto"/>
        <w:ind w:firstLine="63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未按合同要求提供服务或服务质量不能满足采购技术要求，乙方必须无条件提高技术，完善服务质量，否则，甲方会同监督机构、采购代理机构有权终止合同并对乙方违约行为进行追究，同时按政府采购供应商管理办法进行相应的处罚。</w:t>
      </w:r>
    </w:p>
    <w:p w14:paraId="15CA4472">
      <w:pPr>
        <w:shd w:val="clea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十、合同争议解决的方式</w:t>
      </w:r>
    </w:p>
    <w:p w14:paraId="2801717F">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本合同在履行过程中发生的争议，由甲、乙双方当事人协商解决，协商不成的按下列第</w:t>
      </w:r>
      <w:r>
        <w:rPr>
          <w:rFonts w:hint="eastAsia" w:asciiTheme="minorEastAsia" w:hAnsiTheme="minorEastAsia" w:eastAsiaTheme="minorEastAsia" w:cstheme="minorEastAsia"/>
          <w:bCs/>
          <w:color w:val="auto"/>
          <w:sz w:val="24"/>
          <w:szCs w:val="24"/>
          <w:highlight w:val="none"/>
          <w:u w:val="single"/>
        </w:rPr>
        <w:t>（二）</w:t>
      </w:r>
      <w:r>
        <w:rPr>
          <w:rFonts w:hint="eastAsia" w:asciiTheme="minorEastAsia" w:hAnsiTheme="minorEastAsia" w:eastAsiaTheme="minorEastAsia" w:cstheme="minorEastAsia"/>
          <w:bCs/>
          <w:color w:val="auto"/>
          <w:sz w:val="24"/>
          <w:szCs w:val="24"/>
          <w:highlight w:val="none"/>
        </w:rPr>
        <w:t>种方式解决：</w:t>
      </w:r>
    </w:p>
    <w:p w14:paraId="24FE836C">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（一）提交宝鸡市仲裁委员会仲裁；</w:t>
      </w:r>
    </w:p>
    <w:p w14:paraId="2027F1E7">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（二）依法向甲方所在地人民法院起诉。</w:t>
      </w:r>
    </w:p>
    <w:p w14:paraId="7B3DECD6">
      <w:pPr>
        <w:shd w:val="clear"/>
        <w:autoSpaceDE w:val="0"/>
        <w:autoSpaceDN w:val="0"/>
        <w:adjustRightIn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十一、合同生效</w:t>
      </w:r>
    </w:p>
    <w:p w14:paraId="2981370E">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（一）本合同须经甲、乙双方的法定代表人（授权代理人）在合同书上签字并加盖本单位公章后正式生效。</w:t>
      </w:r>
    </w:p>
    <w:p w14:paraId="782397B4">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（二）合同生效后，甲、乙双方须严格执行本合同条款的规定，全面履行合同，违者按《中华人民共和国民法典》的有关规定承担相应责任。</w:t>
      </w:r>
    </w:p>
    <w:p w14:paraId="66120F77">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（三）本合同一式</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份，甲乙双方各执</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份。</w:t>
      </w:r>
    </w:p>
    <w:p w14:paraId="585456F1">
      <w:pPr>
        <w:shd w:val="clear"/>
        <w:autoSpaceDE w:val="0"/>
        <w:autoSpaceDN w:val="0"/>
        <w:adjustRightInd w:val="0"/>
        <w:spacing w:line="360" w:lineRule="auto"/>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（四）本合同如有未尽事宜，甲、乙双方协商解决。</w:t>
      </w:r>
    </w:p>
    <w:p w14:paraId="3A3D5A2A">
      <w:pPr>
        <w:pStyle w:val="18"/>
        <w:shd w:val="clear"/>
        <w:spacing w:line="360" w:lineRule="auto"/>
        <w:rPr>
          <w:rFonts w:hint="eastAsia" w:asciiTheme="minorEastAsia" w:hAnsiTheme="minorEastAsia" w:eastAsiaTheme="minorEastAsia" w:cstheme="minorEastAsia"/>
          <w:color w:val="auto"/>
          <w:sz w:val="24"/>
          <w:szCs w:val="24"/>
          <w:highlight w:val="none"/>
        </w:rPr>
      </w:pPr>
    </w:p>
    <w:tbl>
      <w:tblPr>
        <w:tblStyle w:val="25"/>
        <w:tblW w:w="0" w:type="auto"/>
        <w:jc w:val="center"/>
        <w:tblLayout w:type="fixed"/>
        <w:tblCellMar>
          <w:top w:w="0" w:type="dxa"/>
          <w:left w:w="108" w:type="dxa"/>
          <w:bottom w:w="0" w:type="dxa"/>
          <w:right w:w="108" w:type="dxa"/>
        </w:tblCellMar>
      </w:tblPr>
      <w:tblGrid>
        <w:gridCol w:w="4512"/>
        <w:gridCol w:w="3891"/>
      </w:tblGrid>
      <w:tr w14:paraId="4D984CAE">
        <w:tblPrEx>
          <w:tblCellMar>
            <w:top w:w="0" w:type="dxa"/>
            <w:left w:w="108" w:type="dxa"/>
            <w:bottom w:w="0" w:type="dxa"/>
            <w:right w:w="108" w:type="dxa"/>
          </w:tblCellMar>
        </w:tblPrEx>
        <w:trPr>
          <w:trHeight w:val="663" w:hRule="exact"/>
          <w:jc w:val="center"/>
        </w:trPr>
        <w:tc>
          <w:tcPr>
            <w:tcW w:w="4512" w:type="dxa"/>
            <w:noWrap/>
            <w:vAlign w:val="center"/>
          </w:tcPr>
          <w:p w14:paraId="3DA1D459">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lang w:eastAsia="zh-CN"/>
              </w:rPr>
            </w:pPr>
            <w:r>
              <w:rPr>
                <w:rFonts w:hint="eastAsia" w:asciiTheme="minorEastAsia" w:hAnsiTheme="minorEastAsia" w:eastAsiaTheme="minorEastAsia" w:cstheme="minorEastAsia"/>
                <w:color w:val="auto"/>
                <w:spacing w:val="-20"/>
                <w:kern w:val="0"/>
                <w:sz w:val="24"/>
                <w:szCs w:val="24"/>
                <w:highlight w:val="none"/>
              </w:rPr>
              <w:t>甲  方</w:t>
            </w:r>
            <w:r>
              <w:rPr>
                <w:rFonts w:hint="eastAsia" w:asciiTheme="minorEastAsia" w:hAnsiTheme="minorEastAsia" w:eastAsiaTheme="minorEastAsia" w:cstheme="minorEastAsia"/>
                <w:color w:val="auto"/>
                <w:spacing w:val="-20"/>
                <w:kern w:val="0"/>
                <w:sz w:val="24"/>
                <w:szCs w:val="24"/>
                <w:highlight w:val="none"/>
                <w:lang w:eastAsia="zh-CN"/>
              </w:rPr>
              <w:t>：宝鸡蟠龙高新技术产业开发区管理委员会</w:t>
            </w:r>
          </w:p>
        </w:tc>
        <w:tc>
          <w:tcPr>
            <w:tcW w:w="3891" w:type="dxa"/>
            <w:noWrap/>
            <w:vAlign w:val="center"/>
          </w:tcPr>
          <w:p w14:paraId="33F895BA">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lang w:eastAsia="zh-CN"/>
              </w:rPr>
            </w:pPr>
            <w:r>
              <w:rPr>
                <w:rFonts w:hint="eastAsia" w:asciiTheme="minorEastAsia" w:hAnsiTheme="minorEastAsia" w:eastAsiaTheme="minorEastAsia" w:cstheme="minorEastAsia"/>
                <w:color w:val="auto"/>
                <w:spacing w:val="-20"/>
                <w:kern w:val="0"/>
                <w:sz w:val="24"/>
                <w:szCs w:val="24"/>
                <w:highlight w:val="none"/>
              </w:rPr>
              <w:t>乙  方</w:t>
            </w:r>
            <w:r>
              <w:rPr>
                <w:rFonts w:hint="eastAsia" w:asciiTheme="minorEastAsia" w:hAnsiTheme="minorEastAsia" w:eastAsiaTheme="minorEastAsia" w:cstheme="minorEastAsia"/>
                <w:color w:val="auto"/>
                <w:spacing w:val="-20"/>
                <w:kern w:val="0"/>
                <w:sz w:val="24"/>
                <w:szCs w:val="24"/>
                <w:highlight w:val="none"/>
                <w:lang w:eastAsia="zh-CN"/>
              </w:rPr>
              <w:t>：</w:t>
            </w:r>
          </w:p>
        </w:tc>
      </w:tr>
      <w:tr w14:paraId="12AB6E5E">
        <w:tblPrEx>
          <w:tblCellMar>
            <w:top w:w="0" w:type="dxa"/>
            <w:left w:w="108" w:type="dxa"/>
            <w:bottom w:w="0" w:type="dxa"/>
            <w:right w:w="108" w:type="dxa"/>
          </w:tblCellMar>
        </w:tblPrEx>
        <w:trPr>
          <w:trHeight w:val="817" w:hRule="exact"/>
          <w:jc w:val="center"/>
        </w:trPr>
        <w:tc>
          <w:tcPr>
            <w:tcW w:w="4512" w:type="dxa"/>
            <w:noWrap/>
            <w:vAlign w:val="center"/>
          </w:tcPr>
          <w:p w14:paraId="2C301605">
            <w:pPr>
              <w:shd w:val="clear"/>
              <w:autoSpaceDE w:val="0"/>
              <w:autoSpaceDN w:val="0"/>
              <w:adjustRightInd w:val="0"/>
              <w:spacing w:line="360" w:lineRule="auto"/>
              <w:ind w:firstLine="700" w:firstLineChars="350"/>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（盖章）</w:t>
            </w:r>
          </w:p>
        </w:tc>
        <w:tc>
          <w:tcPr>
            <w:tcW w:w="3891" w:type="dxa"/>
            <w:noWrap/>
            <w:vAlign w:val="center"/>
          </w:tcPr>
          <w:p w14:paraId="03AAABBF">
            <w:pPr>
              <w:shd w:val="clear"/>
              <w:autoSpaceDE w:val="0"/>
              <w:autoSpaceDN w:val="0"/>
              <w:adjustRightInd w:val="0"/>
              <w:spacing w:line="360" w:lineRule="auto"/>
              <w:ind w:firstLine="800" w:firstLineChars="400"/>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（盖章）</w:t>
            </w:r>
          </w:p>
        </w:tc>
      </w:tr>
      <w:tr w14:paraId="73AD4F73">
        <w:tblPrEx>
          <w:tblCellMar>
            <w:top w:w="0" w:type="dxa"/>
            <w:left w:w="108" w:type="dxa"/>
            <w:bottom w:w="0" w:type="dxa"/>
            <w:right w:w="108" w:type="dxa"/>
          </w:tblCellMar>
        </w:tblPrEx>
        <w:trPr>
          <w:trHeight w:val="567" w:hRule="exact"/>
          <w:jc w:val="center"/>
        </w:trPr>
        <w:tc>
          <w:tcPr>
            <w:tcW w:w="4512" w:type="dxa"/>
            <w:noWrap/>
            <w:vAlign w:val="center"/>
          </w:tcPr>
          <w:p w14:paraId="3B4190CF">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 xml:space="preserve">地址： </w:t>
            </w:r>
          </w:p>
        </w:tc>
        <w:tc>
          <w:tcPr>
            <w:tcW w:w="3891" w:type="dxa"/>
            <w:noWrap/>
            <w:vAlign w:val="center"/>
          </w:tcPr>
          <w:p w14:paraId="4C819D19">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地址：</w:t>
            </w:r>
          </w:p>
        </w:tc>
      </w:tr>
      <w:tr w14:paraId="737C7051">
        <w:tblPrEx>
          <w:tblCellMar>
            <w:top w:w="0" w:type="dxa"/>
            <w:left w:w="108" w:type="dxa"/>
            <w:bottom w:w="0" w:type="dxa"/>
            <w:right w:w="108" w:type="dxa"/>
          </w:tblCellMar>
        </w:tblPrEx>
        <w:trPr>
          <w:trHeight w:val="567" w:hRule="exact"/>
          <w:jc w:val="center"/>
        </w:trPr>
        <w:tc>
          <w:tcPr>
            <w:tcW w:w="4512" w:type="dxa"/>
            <w:noWrap/>
            <w:vAlign w:val="center"/>
          </w:tcPr>
          <w:p w14:paraId="149EDF04">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邮编：</w:t>
            </w:r>
          </w:p>
        </w:tc>
        <w:tc>
          <w:tcPr>
            <w:tcW w:w="3891" w:type="dxa"/>
            <w:noWrap/>
            <w:vAlign w:val="center"/>
          </w:tcPr>
          <w:p w14:paraId="1EE58AEF">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邮编：</w:t>
            </w:r>
          </w:p>
        </w:tc>
      </w:tr>
      <w:tr w14:paraId="062F87E0">
        <w:tblPrEx>
          <w:tblCellMar>
            <w:top w:w="0" w:type="dxa"/>
            <w:left w:w="108" w:type="dxa"/>
            <w:bottom w:w="0" w:type="dxa"/>
            <w:right w:w="108" w:type="dxa"/>
          </w:tblCellMar>
        </w:tblPrEx>
        <w:trPr>
          <w:trHeight w:val="567" w:hRule="exact"/>
          <w:jc w:val="center"/>
        </w:trPr>
        <w:tc>
          <w:tcPr>
            <w:tcW w:w="4512" w:type="dxa"/>
            <w:noWrap/>
            <w:vAlign w:val="center"/>
          </w:tcPr>
          <w:p w14:paraId="4AA3DCB6">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 xml:space="preserve">法定代表人： </w:t>
            </w:r>
          </w:p>
        </w:tc>
        <w:tc>
          <w:tcPr>
            <w:tcW w:w="3891" w:type="dxa"/>
            <w:noWrap/>
            <w:vAlign w:val="center"/>
          </w:tcPr>
          <w:p w14:paraId="24211066">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法定代表人：</w:t>
            </w:r>
          </w:p>
        </w:tc>
      </w:tr>
      <w:tr w14:paraId="10104650">
        <w:tblPrEx>
          <w:tblCellMar>
            <w:top w:w="0" w:type="dxa"/>
            <w:left w:w="108" w:type="dxa"/>
            <w:bottom w:w="0" w:type="dxa"/>
            <w:right w:w="108" w:type="dxa"/>
          </w:tblCellMar>
        </w:tblPrEx>
        <w:trPr>
          <w:trHeight w:val="567" w:hRule="exact"/>
          <w:jc w:val="center"/>
        </w:trPr>
        <w:tc>
          <w:tcPr>
            <w:tcW w:w="4512" w:type="dxa"/>
            <w:noWrap/>
            <w:vAlign w:val="center"/>
          </w:tcPr>
          <w:p w14:paraId="37108815">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被授权代表：</w:t>
            </w:r>
          </w:p>
        </w:tc>
        <w:tc>
          <w:tcPr>
            <w:tcW w:w="3891" w:type="dxa"/>
            <w:noWrap/>
            <w:vAlign w:val="center"/>
          </w:tcPr>
          <w:p w14:paraId="65CD3BFE">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被授权代表：</w:t>
            </w:r>
          </w:p>
        </w:tc>
      </w:tr>
      <w:tr w14:paraId="55A48161">
        <w:tblPrEx>
          <w:tblCellMar>
            <w:top w:w="0" w:type="dxa"/>
            <w:left w:w="108" w:type="dxa"/>
            <w:bottom w:w="0" w:type="dxa"/>
            <w:right w:w="108" w:type="dxa"/>
          </w:tblCellMar>
        </w:tblPrEx>
        <w:trPr>
          <w:trHeight w:val="567" w:hRule="exact"/>
          <w:jc w:val="center"/>
        </w:trPr>
        <w:tc>
          <w:tcPr>
            <w:tcW w:w="4512" w:type="dxa"/>
            <w:noWrap/>
            <w:vAlign w:val="center"/>
          </w:tcPr>
          <w:p w14:paraId="63C2BDD4">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电话：</w:t>
            </w:r>
          </w:p>
        </w:tc>
        <w:tc>
          <w:tcPr>
            <w:tcW w:w="3891" w:type="dxa"/>
            <w:noWrap/>
            <w:vAlign w:val="center"/>
          </w:tcPr>
          <w:p w14:paraId="78BC908A">
            <w:pPr>
              <w:shd w:val="clear"/>
              <w:autoSpaceDE w:val="0"/>
              <w:autoSpaceDN w:val="0"/>
              <w:adjustRightInd w:val="0"/>
              <w:spacing w:line="360" w:lineRule="auto"/>
              <w:ind w:left="600" w:hanging="600" w:hangingChars="300"/>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电话：</w:t>
            </w:r>
          </w:p>
        </w:tc>
      </w:tr>
      <w:tr w14:paraId="698C2905">
        <w:tblPrEx>
          <w:tblCellMar>
            <w:top w:w="0" w:type="dxa"/>
            <w:left w:w="108" w:type="dxa"/>
            <w:bottom w:w="0" w:type="dxa"/>
            <w:right w:w="108" w:type="dxa"/>
          </w:tblCellMar>
        </w:tblPrEx>
        <w:trPr>
          <w:trHeight w:val="567" w:hRule="exact"/>
          <w:jc w:val="center"/>
        </w:trPr>
        <w:tc>
          <w:tcPr>
            <w:tcW w:w="4512" w:type="dxa"/>
            <w:noWrap/>
            <w:vAlign w:val="center"/>
          </w:tcPr>
          <w:p w14:paraId="0BF1E950">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传真：</w:t>
            </w:r>
          </w:p>
        </w:tc>
        <w:tc>
          <w:tcPr>
            <w:tcW w:w="3891" w:type="dxa"/>
            <w:noWrap/>
            <w:vAlign w:val="center"/>
          </w:tcPr>
          <w:p w14:paraId="7AE62FDB">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传真：</w:t>
            </w:r>
          </w:p>
        </w:tc>
      </w:tr>
      <w:tr w14:paraId="01760ED1">
        <w:tblPrEx>
          <w:tblCellMar>
            <w:top w:w="0" w:type="dxa"/>
            <w:left w:w="108" w:type="dxa"/>
            <w:bottom w:w="0" w:type="dxa"/>
            <w:right w:w="108" w:type="dxa"/>
          </w:tblCellMar>
        </w:tblPrEx>
        <w:trPr>
          <w:trHeight w:val="567" w:hRule="exact"/>
          <w:jc w:val="center"/>
        </w:trPr>
        <w:tc>
          <w:tcPr>
            <w:tcW w:w="4512" w:type="dxa"/>
            <w:noWrap/>
            <w:vAlign w:val="center"/>
          </w:tcPr>
          <w:p w14:paraId="255FCAB0">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开户银行：</w:t>
            </w:r>
          </w:p>
        </w:tc>
        <w:tc>
          <w:tcPr>
            <w:tcW w:w="3891" w:type="dxa"/>
            <w:noWrap/>
            <w:vAlign w:val="center"/>
          </w:tcPr>
          <w:p w14:paraId="72C775D2">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开户银行：</w:t>
            </w:r>
          </w:p>
        </w:tc>
      </w:tr>
      <w:tr w14:paraId="6F82678F">
        <w:tblPrEx>
          <w:tblCellMar>
            <w:top w:w="0" w:type="dxa"/>
            <w:left w:w="108" w:type="dxa"/>
            <w:bottom w:w="0" w:type="dxa"/>
            <w:right w:w="108" w:type="dxa"/>
          </w:tblCellMar>
        </w:tblPrEx>
        <w:trPr>
          <w:trHeight w:val="567" w:hRule="exact"/>
          <w:jc w:val="center"/>
        </w:trPr>
        <w:tc>
          <w:tcPr>
            <w:tcW w:w="4512" w:type="dxa"/>
            <w:noWrap/>
            <w:vAlign w:val="center"/>
          </w:tcPr>
          <w:p w14:paraId="674308C8">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日期：</w:t>
            </w:r>
          </w:p>
        </w:tc>
        <w:tc>
          <w:tcPr>
            <w:tcW w:w="3891" w:type="dxa"/>
            <w:noWrap/>
            <w:vAlign w:val="center"/>
          </w:tcPr>
          <w:p w14:paraId="1EB38F6B">
            <w:pPr>
              <w:shd w:val="clear"/>
              <w:autoSpaceDE w:val="0"/>
              <w:autoSpaceDN w:val="0"/>
              <w:adjustRightInd w:val="0"/>
              <w:spacing w:line="360" w:lineRule="auto"/>
              <w:rPr>
                <w:rFonts w:hint="eastAsia" w:asciiTheme="minorEastAsia" w:hAnsiTheme="minorEastAsia" w:eastAsiaTheme="minorEastAsia" w:cstheme="minorEastAsia"/>
                <w:color w:val="auto"/>
                <w:spacing w:val="-20"/>
                <w:kern w:val="0"/>
                <w:sz w:val="24"/>
                <w:szCs w:val="24"/>
                <w:highlight w:val="none"/>
              </w:rPr>
            </w:pPr>
            <w:r>
              <w:rPr>
                <w:rFonts w:hint="eastAsia" w:asciiTheme="minorEastAsia" w:hAnsiTheme="minorEastAsia" w:eastAsiaTheme="minorEastAsia" w:cstheme="minorEastAsia"/>
                <w:color w:val="auto"/>
                <w:spacing w:val="-20"/>
                <w:kern w:val="0"/>
                <w:sz w:val="24"/>
                <w:szCs w:val="24"/>
                <w:highlight w:val="none"/>
              </w:rPr>
              <w:t>日期：</w:t>
            </w:r>
          </w:p>
        </w:tc>
      </w:tr>
    </w:tbl>
    <w:p w14:paraId="1101DD8E">
      <w:pPr>
        <w:shd w:val="clear"/>
        <w:autoSpaceDE w:val="0"/>
        <w:autoSpaceDN w:val="0"/>
        <w:adjustRightInd w:val="0"/>
        <w:spacing w:before="100" w:after="100" w:line="360" w:lineRule="auto"/>
        <w:ind w:right="23" w:firstLine="1687" w:firstLineChars="7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bCs/>
          <w:color w:val="auto"/>
          <w:sz w:val="24"/>
          <w:szCs w:val="24"/>
          <w:highlight w:val="none"/>
        </w:rPr>
        <w:t>（本合同仅为参考，合同最终签订以甲乙双方签订为准）</w:t>
      </w:r>
    </w:p>
    <w:p w14:paraId="2B28DCA8">
      <w:pPr>
        <w:shd w:val="clear"/>
        <w:spacing w:line="480" w:lineRule="exact"/>
        <w:ind w:firstLine="440" w:firstLineChars="200"/>
        <w:rPr>
          <w:rFonts w:hint="eastAsia" w:asciiTheme="minorEastAsia" w:hAnsiTheme="minorEastAsia" w:eastAsiaTheme="minorEastAsia" w:cstheme="minorEastAsia"/>
          <w:color w:val="auto"/>
          <w:sz w:val="22"/>
          <w:szCs w:val="21"/>
          <w:highlight w:val="none"/>
        </w:rPr>
      </w:pPr>
    </w:p>
    <w:p w14:paraId="30612455">
      <w:pPr>
        <w:shd w:val="clear"/>
        <w:spacing w:line="280" w:lineRule="auto"/>
        <w:rPr>
          <w:rFonts w:hint="eastAsia" w:asciiTheme="minorEastAsia" w:hAnsiTheme="minorEastAsia" w:eastAsiaTheme="minorEastAsia" w:cstheme="minorEastAsia"/>
          <w:color w:val="auto"/>
          <w:sz w:val="21"/>
          <w:highlight w:val="none"/>
        </w:rPr>
      </w:pPr>
    </w:p>
    <w:p w14:paraId="027BBA05">
      <w:pPr>
        <w:shd w:val="clear"/>
        <w:adjustRightInd w:val="0"/>
        <w:snapToGrid w:val="0"/>
        <w:spacing w:line="360" w:lineRule="auto"/>
        <w:ind w:firstLine="554" w:firstLineChars="19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428F51A6">
      <w:pPr>
        <w:pStyle w:val="2"/>
        <w:shd w:val="clear"/>
        <w:spacing w:before="0" w:after="0" w:line="48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56" w:name="_Toc4134"/>
      <w:r>
        <w:rPr>
          <w:rFonts w:hint="eastAsia" w:asciiTheme="minorEastAsia" w:hAnsiTheme="minorEastAsia" w:eastAsiaTheme="minorEastAsia" w:cstheme="minorEastAsia"/>
          <w:color w:val="auto"/>
          <w:highlight w:val="none"/>
        </w:rPr>
        <w:t>第六章  竞争性磋商响应文件</w:t>
      </w:r>
      <w:bookmarkEnd w:id="55"/>
      <w:r>
        <w:rPr>
          <w:rFonts w:hint="eastAsia" w:asciiTheme="minorEastAsia" w:hAnsiTheme="minorEastAsia" w:eastAsiaTheme="minorEastAsia" w:cstheme="minorEastAsia"/>
          <w:color w:val="auto"/>
          <w:highlight w:val="none"/>
        </w:rPr>
        <w:t>组成</w:t>
      </w:r>
      <w:bookmarkEnd w:id="56"/>
    </w:p>
    <w:p w14:paraId="4BD30241">
      <w:pPr>
        <w:shd w:val="clear"/>
        <w:spacing w:line="480" w:lineRule="auto"/>
        <w:rPr>
          <w:rFonts w:hint="eastAsia"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一、响应文件格式</w:t>
      </w:r>
    </w:p>
    <w:p w14:paraId="56077140">
      <w:pPr>
        <w:shd w:val="clear"/>
        <w:spacing w:line="480" w:lineRule="auto"/>
        <w:rPr>
          <w:rFonts w:hint="eastAsia"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二、资质证明文件</w:t>
      </w:r>
    </w:p>
    <w:p w14:paraId="2A176E7B">
      <w:pPr>
        <w:shd w:val="clear"/>
        <w:spacing w:line="480" w:lineRule="auto"/>
        <w:rPr>
          <w:rFonts w:hint="eastAsia"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三、符合性证明文件</w:t>
      </w:r>
    </w:p>
    <w:p w14:paraId="64CA6920">
      <w:pPr>
        <w:shd w:val="clear"/>
        <w:spacing w:line="480" w:lineRule="auto"/>
        <w:rPr>
          <w:rFonts w:hint="eastAsia"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四、响应方案</w:t>
      </w:r>
    </w:p>
    <w:p w14:paraId="23EFE608">
      <w:pPr>
        <w:pStyle w:val="11"/>
        <w:shd w:val="clear"/>
        <w:spacing w:line="360" w:lineRule="auto"/>
        <w:rPr>
          <w:rFonts w:hint="eastAsia" w:asciiTheme="minorEastAsia" w:hAnsiTheme="minorEastAsia" w:eastAsiaTheme="minorEastAsia" w:cstheme="minorEastAsia"/>
          <w:color w:val="auto"/>
          <w:sz w:val="24"/>
          <w:highlight w:val="none"/>
        </w:rPr>
      </w:pPr>
    </w:p>
    <w:p w14:paraId="49DB5238">
      <w:pPr>
        <w:shd w:val="clear"/>
        <w:rPr>
          <w:rFonts w:hint="eastAsia" w:asciiTheme="minorEastAsia" w:hAnsiTheme="minorEastAsia" w:eastAsiaTheme="minorEastAsia" w:cstheme="minorEastAsia"/>
          <w:color w:val="auto"/>
          <w:sz w:val="24"/>
          <w:highlight w:val="none"/>
        </w:rPr>
      </w:pPr>
    </w:p>
    <w:p w14:paraId="5F690AD9">
      <w:pPr>
        <w:shd w:val="clear"/>
        <w:spacing w:line="360" w:lineRule="auto"/>
        <w:rPr>
          <w:rFonts w:hint="eastAsia" w:asciiTheme="minorEastAsia" w:hAnsiTheme="minorEastAsia" w:eastAsiaTheme="minorEastAsia" w:cstheme="minorEastAsia"/>
          <w:b/>
          <w:bCs/>
          <w:color w:val="auto"/>
          <w:highlight w:val="none"/>
        </w:rPr>
      </w:pPr>
    </w:p>
    <w:p w14:paraId="28CFF570">
      <w:pPr>
        <w:shd w:val="clear"/>
        <w:spacing w:line="360" w:lineRule="auto"/>
        <w:rPr>
          <w:rFonts w:hint="eastAsia" w:asciiTheme="minorEastAsia" w:hAnsiTheme="minorEastAsia" w:eastAsiaTheme="minorEastAsia" w:cstheme="minorEastAsia"/>
          <w:b/>
          <w:bCs/>
          <w:color w:val="auto"/>
          <w:highlight w:val="none"/>
        </w:rPr>
      </w:pPr>
    </w:p>
    <w:p w14:paraId="5D99C057">
      <w:pPr>
        <w:shd w:val="clear"/>
        <w:spacing w:line="360" w:lineRule="auto"/>
        <w:rPr>
          <w:rFonts w:hint="eastAsia" w:asciiTheme="minorEastAsia" w:hAnsiTheme="minorEastAsia" w:eastAsiaTheme="minorEastAsia" w:cstheme="minorEastAsia"/>
          <w:b/>
          <w:bCs/>
          <w:color w:val="auto"/>
          <w:highlight w:val="none"/>
        </w:rPr>
      </w:pPr>
    </w:p>
    <w:p w14:paraId="275E2DB1">
      <w:pPr>
        <w:shd w:val="clear"/>
        <w:spacing w:line="360" w:lineRule="auto"/>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highlight w:val="none"/>
        </w:rPr>
        <w:t>注：</w:t>
      </w:r>
      <w:r>
        <w:rPr>
          <w:rFonts w:hint="eastAsia" w:asciiTheme="minorEastAsia" w:hAnsiTheme="minorEastAsia" w:eastAsiaTheme="minorEastAsia" w:cstheme="minorEastAsia"/>
          <w:b/>
          <w:bCs/>
          <w:color w:val="auto"/>
          <w:szCs w:val="24"/>
          <w:highlight w:val="none"/>
        </w:rPr>
        <w:t>响应文件编制说明</w:t>
      </w:r>
    </w:p>
    <w:p w14:paraId="6DE16A68">
      <w:pPr>
        <w:shd w:val="clear"/>
        <w:spacing w:line="360" w:lineRule="auto"/>
        <w:ind w:left="280" w:leftChars="100" w:firstLine="422" w:firstLineChars="15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1、响应文件的编制应按照样本格式提供的内容，做出逐一明确的答复；供应商认为有必要，还可以做其它补充说明。</w:t>
      </w:r>
      <w:r>
        <w:rPr>
          <w:rFonts w:hint="eastAsia" w:asciiTheme="minorEastAsia" w:hAnsiTheme="minorEastAsia" w:eastAsiaTheme="minorEastAsia" w:cstheme="minorEastAsia"/>
          <w:b/>
          <w:bCs/>
          <w:color w:val="auto"/>
          <w:szCs w:val="24"/>
          <w:highlight w:val="none"/>
        </w:rPr>
        <w:cr/>
      </w:r>
      <w:r>
        <w:rPr>
          <w:rFonts w:hint="eastAsia" w:asciiTheme="minorEastAsia" w:hAnsiTheme="minorEastAsia" w:eastAsiaTheme="minorEastAsia" w:cstheme="minorEastAsia"/>
          <w:b/>
          <w:bCs/>
          <w:color w:val="auto"/>
          <w:szCs w:val="24"/>
          <w:highlight w:val="none"/>
        </w:rPr>
        <w:t xml:space="preserve">   2、供应商必须按照磋商文件的规定和要求由法定代表人或被授权人签字（或盖章），并逐页加盖供应商公章。</w:t>
      </w:r>
    </w:p>
    <w:p w14:paraId="0E52D5D1">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32"/>
          <w:szCs w:val="32"/>
          <w:highlight w:val="none"/>
          <w:lang w:val="zh-CN"/>
        </w:rPr>
        <w:br w:type="page"/>
      </w:r>
    </w:p>
    <w:p w14:paraId="37EC9B16">
      <w:pPr>
        <w:shd w:val="clear"/>
        <w:spacing w:line="480" w:lineRule="auto"/>
        <w:rPr>
          <w:rFonts w:hint="eastAsia"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一、响应文件格式</w:t>
      </w:r>
    </w:p>
    <w:p w14:paraId="4F73C2AA">
      <w:pPr>
        <w:shd w:val="clear"/>
        <w:autoSpaceDE w:val="0"/>
        <w:autoSpaceDN w:val="0"/>
        <w:adjustRightInd w:val="0"/>
        <w:snapToGrid w:val="0"/>
        <w:spacing w:line="360" w:lineRule="auto"/>
        <w:jc w:val="left"/>
        <w:outlineLvl w:val="0"/>
        <w:rPr>
          <w:rFonts w:hint="eastAsia" w:asciiTheme="minorEastAsia" w:hAnsiTheme="minorEastAsia" w:eastAsiaTheme="minorEastAsia" w:cstheme="minorEastAsia"/>
          <w:b/>
          <w:bCs/>
          <w:color w:val="auto"/>
          <w:szCs w:val="28"/>
          <w:highlight w:val="none"/>
        </w:rPr>
      </w:pPr>
      <w:bookmarkStart w:id="57" w:name="_Toc30897"/>
      <w:bookmarkStart w:id="58" w:name="_Toc25855"/>
      <w:bookmarkStart w:id="59" w:name="_Toc341"/>
      <w:r>
        <w:rPr>
          <w:rFonts w:hint="eastAsia" w:asciiTheme="minorEastAsia" w:hAnsiTheme="minorEastAsia" w:eastAsiaTheme="minorEastAsia" w:cstheme="minorEastAsia"/>
          <w:b/>
          <w:bCs/>
          <w:color w:val="auto"/>
          <w:szCs w:val="28"/>
          <w:highlight w:val="none"/>
        </w:rPr>
        <w:t>1、封面</w:t>
      </w:r>
      <w:bookmarkEnd w:id="57"/>
      <w:bookmarkEnd w:id="58"/>
      <w:bookmarkEnd w:id="59"/>
    </w:p>
    <w:p w14:paraId="20693AC2">
      <w:pPr>
        <w:shd w:val="clear"/>
        <w:autoSpaceDE w:val="0"/>
        <w:autoSpaceDN w:val="0"/>
        <w:adjustRightInd w:val="0"/>
        <w:snapToGrid w:val="0"/>
        <w:spacing w:line="360" w:lineRule="auto"/>
        <w:jc w:val="left"/>
        <w:rPr>
          <w:rFonts w:hint="eastAsia" w:asciiTheme="minorEastAsia" w:hAnsiTheme="minorEastAsia" w:eastAsiaTheme="minorEastAsia" w:cstheme="minorEastAsia"/>
          <w:b/>
          <w:color w:val="auto"/>
          <w:sz w:val="36"/>
          <w:szCs w:val="36"/>
          <w:highlight w:val="none"/>
        </w:rPr>
      </w:pPr>
    </w:p>
    <w:p w14:paraId="5B37922C">
      <w:pPr>
        <w:shd w:val="clear"/>
        <w:autoSpaceDE w:val="0"/>
        <w:autoSpaceDN w:val="0"/>
        <w:adjustRightInd w:val="0"/>
        <w:snapToGrid w:val="0"/>
        <w:spacing w:line="360" w:lineRule="auto"/>
        <w:jc w:val="left"/>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b/>
          <w:color w:val="auto"/>
          <w:sz w:val="36"/>
          <w:szCs w:val="36"/>
          <w:highlight w:val="none"/>
        </w:rPr>
        <w:t>文件编号:</w:t>
      </w:r>
      <w:r>
        <w:rPr>
          <w:rFonts w:hint="eastAsia" w:asciiTheme="minorEastAsia" w:hAnsiTheme="minorEastAsia" w:eastAsiaTheme="minorEastAsia" w:cstheme="minorEastAsia"/>
          <w:b/>
          <w:bCs/>
          <w:color w:val="auto"/>
          <w:sz w:val="36"/>
          <w:szCs w:val="36"/>
          <w:highlight w:val="none"/>
          <w:lang w:eastAsia="zh-CN"/>
        </w:rPr>
        <w:t>SXJX-2025-010号</w:t>
      </w:r>
    </w:p>
    <w:p w14:paraId="077D6195">
      <w:pPr>
        <w:shd w:val="clea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 </w:t>
      </w:r>
    </w:p>
    <w:p w14:paraId="16635F40">
      <w:pPr>
        <w:pStyle w:val="48"/>
        <w:shd w:val="clear"/>
        <w:spacing w:line="360" w:lineRule="auto"/>
        <w:ind w:firstLine="0" w:firstLineChars="0"/>
        <w:jc w:val="center"/>
        <w:rPr>
          <w:rFonts w:hint="eastAsia" w:asciiTheme="minorEastAsia" w:hAnsiTheme="minorEastAsia" w:eastAsiaTheme="minorEastAsia" w:cstheme="minorEastAsia"/>
          <w:b/>
          <w:bCs/>
          <w:color w:val="auto"/>
          <w:spacing w:val="20"/>
          <w:kern w:val="0"/>
          <w:sz w:val="56"/>
          <w:szCs w:val="56"/>
          <w:highlight w:val="none"/>
        </w:rPr>
      </w:pPr>
      <w:r>
        <w:rPr>
          <w:rFonts w:hint="eastAsia" w:asciiTheme="minorEastAsia" w:hAnsiTheme="minorEastAsia" w:eastAsiaTheme="minorEastAsia" w:cstheme="minorEastAsia"/>
          <w:b/>
          <w:bCs/>
          <w:color w:val="auto"/>
          <w:spacing w:val="20"/>
          <w:kern w:val="0"/>
          <w:sz w:val="48"/>
          <w:szCs w:val="48"/>
          <w:highlight w:val="none"/>
          <w:lang w:eastAsia="zh-CN"/>
        </w:rPr>
        <w:t>蟠龙高新区国民经济和社会发展第十五个五年规划编制与产业创新集群行动计划工作编制项目</w:t>
      </w:r>
      <w:r>
        <w:rPr>
          <w:rFonts w:hint="eastAsia" w:asciiTheme="minorEastAsia" w:hAnsiTheme="minorEastAsia" w:eastAsiaTheme="minorEastAsia" w:cstheme="minorEastAsia"/>
          <w:b/>
          <w:bCs/>
          <w:color w:val="auto"/>
          <w:sz w:val="32"/>
          <w:szCs w:val="32"/>
          <w:highlight w:val="none"/>
        </w:rPr>
        <w:t xml:space="preserve"> </w:t>
      </w:r>
    </w:p>
    <w:p w14:paraId="31F6AEF4">
      <w:pPr>
        <w:shd w:val="clear"/>
        <w:spacing w:beforeLines="50" w:line="800" w:lineRule="exact"/>
        <w:ind w:right="-1165" w:rightChars="-416"/>
        <w:rPr>
          <w:rFonts w:hint="eastAsia" w:asciiTheme="minorEastAsia" w:hAnsiTheme="minorEastAsia" w:eastAsiaTheme="minorEastAsia" w:cstheme="minorEastAsia"/>
          <w:b/>
          <w:bCs/>
          <w:color w:val="auto"/>
          <w:spacing w:val="20"/>
          <w:kern w:val="0"/>
          <w:sz w:val="72"/>
          <w:szCs w:val="72"/>
          <w:highlight w:val="none"/>
        </w:rPr>
      </w:pPr>
    </w:p>
    <w:p w14:paraId="42ED87BE">
      <w:pPr>
        <w:shd w:val="clear"/>
        <w:spacing w:beforeLines="50" w:line="800" w:lineRule="exact"/>
        <w:ind w:right="-1165" w:rightChars="-416" w:firstLine="1526" w:firstLineChars="200"/>
        <w:rPr>
          <w:rFonts w:hint="eastAsia" w:asciiTheme="minorEastAsia" w:hAnsiTheme="minorEastAsia" w:eastAsiaTheme="minorEastAsia" w:cstheme="minorEastAsia"/>
          <w:b/>
          <w:bCs/>
          <w:color w:val="auto"/>
          <w:spacing w:val="20"/>
          <w:kern w:val="0"/>
          <w:sz w:val="72"/>
          <w:szCs w:val="72"/>
          <w:highlight w:val="none"/>
        </w:rPr>
      </w:pPr>
      <w:r>
        <w:rPr>
          <w:rFonts w:hint="eastAsia" w:asciiTheme="minorEastAsia" w:hAnsiTheme="minorEastAsia" w:eastAsiaTheme="minorEastAsia" w:cstheme="minorEastAsia"/>
          <w:b/>
          <w:bCs/>
          <w:color w:val="auto"/>
          <w:spacing w:val="20"/>
          <w:kern w:val="0"/>
          <w:sz w:val="72"/>
          <w:szCs w:val="72"/>
          <w:highlight w:val="none"/>
        </w:rPr>
        <w:t>磋商响应文件</w:t>
      </w:r>
    </w:p>
    <w:p w14:paraId="6C4AAFEA">
      <w:pPr>
        <w:shd w:val="clear"/>
        <w:rPr>
          <w:rFonts w:hint="eastAsia" w:asciiTheme="minorEastAsia" w:hAnsiTheme="minorEastAsia" w:eastAsiaTheme="minorEastAsia" w:cstheme="minorEastAsia"/>
          <w:color w:val="auto"/>
          <w:sz w:val="32"/>
          <w:highlight w:val="none"/>
        </w:rPr>
      </w:pPr>
    </w:p>
    <w:p w14:paraId="5F224C3D">
      <w:pPr>
        <w:shd w:val="clear"/>
        <w:spacing w:beforeLines="70"/>
        <w:rPr>
          <w:rFonts w:hint="eastAsia" w:asciiTheme="minorEastAsia" w:hAnsiTheme="minorEastAsia" w:eastAsiaTheme="minorEastAsia" w:cstheme="minorEastAsia"/>
          <w:b/>
          <w:color w:val="auto"/>
          <w:spacing w:val="8"/>
          <w:szCs w:val="28"/>
          <w:highlight w:val="none"/>
        </w:rPr>
      </w:pPr>
    </w:p>
    <w:p w14:paraId="0344FFAE">
      <w:pPr>
        <w:pStyle w:val="11"/>
        <w:shd w:val="clear"/>
        <w:rPr>
          <w:rFonts w:hint="eastAsia" w:asciiTheme="minorEastAsia" w:hAnsiTheme="minorEastAsia" w:eastAsiaTheme="minorEastAsia" w:cstheme="minorEastAsia"/>
          <w:b/>
          <w:color w:val="auto"/>
          <w:spacing w:val="8"/>
          <w:szCs w:val="28"/>
          <w:highlight w:val="none"/>
        </w:rPr>
      </w:pPr>
    </w:p>
    <w:p w14:paraId="0FE34EE2">
      <w:pPr>
        <w:pStyle w:val="14"/>
        <w:shd w:val="clear"/>
        <w:ind w:left="0" w:leftChars="0" w:firstLine="0" w:firstLineChars="0"/>
        <w:rPr>
          <w:rFonts w:hint="eastAsia" w:asciiTheme="minorEastAsia" w:hAnsiTheme="minorEastAsia" w:eastAsiaTheme="minorEastAsia" w:cstheme="minorEastAsia"/>
          <w:color w:val="auto"/>
          <w:highlight w:val="none"/>
        </w:rPr>
      </w:pPr>
    </w:p>
    <w:p w14:paraId="588EA025">
      <w:pPr>
        <w:pStyle w:val="13"/>
        <w:shd w:val="clear"/>
        <w:rPr>
          <w:rFonts w:hint="eastAsia"/>
          <w:highlight w:val="none"/>
        </w:rPr>
      </w:pPr>
    </w:p>
    <w:p w14:paraId="5E3DB1C0">
      <w:pPr>
        <w:pStyle w:val="13"/>
        <w:shd w:val="clear"/>
        <w:ind w:firstLine="560"/>
        <w:rPr>
          <w:rFonts w:hint="eastAsia" w:asciiTheme="minorEastAsia" w:hAnsiTheme="minorEastAsia" w:eastAsiaTheme="minorEastAsia" w:cstheme="minorEastAsia"/>
          <w:color w:val="auto"/>
          <w:highlight w:val="none"/>
        </w:rPr>
      </w:pPr>
    </w:p>
    <w:p w14:paraId="5E65FACD">
      <w:pPr>
        <w:shd w:val="clear"/>
        <w:spacing w:beforeLines="70"/>
        <w:ind w:firstLine="2080" w:firstLineChars="700"/>
        <w:rPr>
          <w:rFonts w:hint="eastAsia" w:asciiTheme="minorEastAsia" w:hAnsiTheme="minorEastAsia" w:eastAsiaTheme="minorEastAsia" w:cstheme="minorEastAsia"/>
          <w:b/>
          <w:color w:val="auto"/>
          <w:spacing w:val="8"/>
          <w:szCs w:val="28"/>
          <w:highlight w:val="none"/>
        </w:rPr>
      </w:pPr>
    </w:p>
    <w:p w14:paraId="58794D65">
      <w:pPr>
        <w:shd w:val="clear"/>
        <w:spacing w:beforeLines="70" w:line="360" w:lineRule="auto"/>
        <w:ind w:firstLine="1634" w:firstLineChars="550"/>
        <w:rPr>
          <w:rFonts w:hint="eastAsia" w:asciiTheme="minorEastAsia" w:hAnsiTheme="minorEastAsia" w:eastAsiaTheme="minorEastAsia" w:cstheme="minorEastAsia"/>
          <w:b/>
          <w:bCs/>
          <w:color w:val="auto"/>
          <w:spacing w:val="8"/>
          <w:szCs w:val="28"/>
          <w:highlight w:val="none"/>
          <w:u w:val="single"/>
        </w:rPr>
      </w:pPr>
      <w:r>
        <w:rPr>
          <w:rFonts w:hint="eastAsia" w:asciiTheme="minorEastAsia" w:hAnsiTheme="minorEastAsia" w:eastAsiaTheme="minorEastAsia" w:cstheme="minorEastAsia"/>
          <w:b/>
          <w:color w:val="auto"/>
          <w:spacing w:val="8"/>
          <w:szCs w:val="28"/>
          <w:highlight w:val="none"/>
        </w:rPr>
        <w:t>供应商：</w:t>
      </w:r>
      <w:r>
        <w:rPr>
          <w:rFonts w:hint="eastAsia" w:asciiTheme="minorEastAsia" w:hAnsiTheme="minorEastAsia" w:eastAsiaTheme="minorEastAsia" w:cstheme="minorEastAsia"/>
          <w:b/>
          <w:color w:val="auto"/>
          <w:spacing w:val="8"/>
          <w:szCs w:val="28"/>
          <w:highlight w:val="none"/>
          <w:u w:val="single"/>
        </w:rPr>
        <w:t xml:space="preserve">               </w:t>
      </w:r>
      <w:r>
        <w:rPr>
          <w:rFonts w:hint="eastAsia" w:asciiTheme="minorEastAsia" w:hAnsiTheme="minorEastAsia" w:eastAsiaTheme="minorEastAsia" w:cstheme="minorEastAsia"/>
          <w:b/>
          <w:color w:val="auto"/>
          <w:spacing w:val="8"/>
          <w:szCs w:val="28"/>
          <w:highlight w:val="none"/>
        </w:rPr>
        <w:t>（盖单位章）</w:t>
      </w:r>
    </w:p>
    <w:p w14:paraId="0E9E9F52">
      <w:pPr>
        <w:shd w:val="clear"/>
        <w:spacing w:line="360" w:lineRule="auto"/>
        <w:ind w:firstLine="1661" w:firstLineChars="591"/>
        <w:rPr>
          <w:rFonts w:hint="eastAsia" w:asciiTheme="minorEastAsia" w:hAnsiTheme="minorEastAsia" w:eastAsiaTheme="minorEastAsia" w:cstheme="minorEastAsia"/>
          <w:b/>
          <w:color w:val="auto"/>
          <w:szCs w:val="28"/>
          <w:highlight w:val="none"/>
        </w:rPr>
      </w:pPr>
    </w:p>
    <w:p w14:paraId="2A4DAD60">
      <w:pPr>
        <w:shd w:val="clear"/>
        <w:spacing w:line="360" w:lineRule="auto"/>
        <w:ind w:firstLine="1661" w:firstLineChars="591"/>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Cs w:val="28"/>
          <w:highlight w:val="none"/>
        </w:rPr>
        <w:t>时  间：</w:t>
      </w:r>
    </w:p>
    <w:p w14:paraId="4FC193C9">
      <w:pPr>
        <w:shd w:val="clear"/>
        <w:spacing w:line="480" w:lineRule="auto"/>
        <w:rPr>
          <w:rFonts w:hint="eastAsia" w:asciiTheme="minorEastAsia" w:hAnsiTheme="minorEastAsia" w:eastAsiaTheme="minorEastAsia" w:cstheme="minorEastAsia"/>
          <w:b/>
          <w:bCs/>
          <w:color w:val="auto"/>
          <w:szCs w:val="28"/>
          <w:highlight w:val="none"/>
        </w:rPr>
      </w:pPr>
      <w:bookmarkStart w:id="60" w:name="_Toc194663918"/>
      <w:bookmarkStart w:id="61" w:name="_Toc175033592"/>
      <w:bookmarkStart w:id="62" w:name="_Toc173549978"/>
      <w:bookmarkStart w:id="63" w:name="_Toc169838532"/>
      <w:bookmarkStart w:id="64" w:name="_Toc188808833"/>
      <w:bookmarkStart w:id="65" w:name="_Toc167590775"/>
      <w:bookmarkStart w:id="66" w:name="_Toc169846873"/>
      <w:bookmarkStart w:id="67" w:name="_Toc154482479"/>
      <w:bookmarkStart w:id="68" w:name="_Toc193187097"/>
      <w:bookmarkStart w:id="69" w:name="_Toc167591330"/>
      <w:bookmarkStart w:id="70" w:name="_Toc167591492"/>
      <w:bookmarkStart w:id="71" w:name="_Toc175032437"/>
      <w:bookmarkStart w:id="72" w:name="_Toc167591043"/>
      <w:bookmarkStart w:id="73" w:name="_Toc167849360"/>
      <w:bookmarkStart w:id="74" w:name="_Toc170980453"/>
      <w:bookmarkStart w:id="75" w:name="_Toc170980552"/>
      <w:bookmarkStart w:id="76" w:name="_Toc193126881"/>
      <w:bookmarkStart w:id="77" w:name="_Toc169846776"/>
      <w:bookmarkStart w:id="78" w:name="_Toc167591144"/>
    </w:p>
    <w:p w14:paraId="2FDC2DE8">
      <w:pPr>
        <w:pStyle w:val="13"/>
        <w:shd w:val="clear"/>
        <w:ind w:firstLine="562"/>
        <w:rPr>
          <w:rFonts w:hint="eastAsia" w:asciiTheme="minorEastAsia" w:hAnsiTheme="minorEastAsia" w:eastAsiaTheme="minorEastAsia" w:cstheme="minorEastAsia"/>
          <w:b/>
          <w:bCs/>
          <w:color w:val="auto"/>
          <w:szCs w:val="28"/>
          <w:highlight w:val="none"/>
        </w:rPr>
      </w:pPr>
    </w:p>
    <w:p w14:paraId="55AF7B5E">
      <w:pPr>
        <w:shd w:val="clear"/>
        <w:rPr>
          <w:rFonts w:hint="eastAsia" w:asciiTheme="minorEastAsia" w:hAnsiTheme="minorEastAsia" w:eastAsiaTheme="minorEastAsia" w:cstheme="minorEastAsia"/>
          <w:color w:val="auto"/>
          <w:highlight w:val="none"/>
        </w:rPr>
      </w:pPr>
    </w:p>
    <w:p w14:paraId="55C98CFD">
      <w:pPr>
        <w:shd w:val="clear"/>
        <w:spacing w:line="480" w:lineRule="auto"/>
        <w:rPr>
          <w:rFonts w:hint="eastAsia" w:asciiTheme="minorEastAsia" w:hAnsiTheme="minorEastAsia" w:eastAsiaTheme="minorEastAsia" w:cstheme="minorEastAsia"/>
          <w:b/>
          <w:bCs/>
          <w:color w:val="auto"/>
          <w:szCs w:val="28"/>
          <w:highlight w:val="none"/>
        </w:rPr>
      </w:pPr>
      <w:r>
        <w:rPr>
          <w:rFonts w:hint="eastAsia" w:asciiTheme="minorEastAsia" w:hAnsiTheme="minorEastAsia" w:eastAsiaTheme="minorEastAsia" w:cstheme="minorEastAsia"/>
          <w:b/>
          <w:bCs/>
          <w:color w:val="auto"/>
          <w:szCs w:val="28"/>
          <w:highlight w:val="none"/>
        </w:rPr>
        <w:t>二、资质证明文件</w:t>
      </w:r>
    </w:p>
    <w:p w14:paraId="05BAA49F">
      <w:pPr>
        <w:shd w:val="clear"/>
        <w:spacing w:line="360" w:lineRule="auto"/>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1.营业执照等主体资格证明文件</w:t>
      </w:r>
    </w:p>
    <w:p w14:paraId="175F5D44">
      <w:pPr>
        <w:shd w:val="clear"/>
        <w:spacing w:line="360" w:lineRule="auto"/>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2.财务状况报告或资信证明</w:t>
      </w:r>
    </w:p>
    <w:p w14:paraId="29499280">
      <w:pPr>
        <w:shd w:val="clear"/>
        <w:spacing w:line="360" w:lineRule="auto"/>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3.社保缴纳证明</w:t>
      </w:r>
    </w:p>
    <w:p w14:paraId="08027D00">
      <w:pPr>
        <w:shd w:val="clear"/>
        <w:spacing w:line="360" w:lineRule="auto"/>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4.税收缴纳证明</w:t>
      </w:r>
    </w:p>
    <w:p w14:paraId="05F29347">
      <w:pPr>
        <w:shd w:val="clear"/>
        <w:spacing w:line="360" w:lineRule="auto"/>
        <w:rPr>
          <w:rFonts w:hint="eastAsia" w:asciiTheme="minorEastAsia" w:hAnsiTheme="minorEastAsia" w:eastAsiaTheme="minorEastAsia" w:cstheme="minorEastAsia"/>
          <w:color w:val="auto"/>
          <w:szCs w:val="28"/>
          <w:highlight w:val="none"/>
          <w:lang w:eastAsia="zh-CN"/>
        </w:rPr>
      </w:pPr>
      <w:r>
        <w:rPr>
          <w:rFonts w:hint="eastAsia" w:asciiTheme="minorEastAsia" w:hAnsiTheme="minorEastAsia" w:eastAsiaTheme="minorEastAsia" w:cstheme="minorEastAsia"/>
          <w:color w:val="auto"/>
          <w:szCs w:val="28"/>
          <w:highlight w:val="none"/>
        </w:rPr>
        <w:t>5.信用记录承诺</w:t>
      </w:r>
      <w:r>
        <w:rPr>
          <w:rFonts w:hint="eastAsia" w:asciiTheme="minorEastAsia" w:hAnsiTheme="minorEastAsia" w:eastAsiaTheme="minorEastAsia" w:cstheme="minorEastAsia"/>
          <w:color w:val="auto"/>
          <w:szCs w:val="28"/>
          <w:highlight w:val="none"/>
          <w:lang w:eastAsia="zh-CN"/>
        </w:rPr>
        <w:t>书</w:t>
      </w:r>
    </w:p>
    <w:p w14:paraId="1F801978">
      <w:pPr>
        <w:shd w:val="clear"/>
        <w:spacing w:line="360" w:lineRule="auto"/>
        <w:rPr>
          <w:rFonts w:hint="eastAsia" w:asciiTheme="minorEastAsia" w:hAnsiTheme="minorEastAsia" w:eastAsiaTheme="minorEastAsia" w:cstheme="minorEastAsia"/>
          <w:color w:val="auto"/>
          <w:szCs w:val="28"/>
          <w:highlight w:val="none"/>
          <w:lang w:eastAsia="zh-CN"/>
        </w:rPr>
      </w:pPr>
      <w:r>
        <w:rPr>
          <w:rFonts w:hint="eastAsia" w:asciiTheme="minorEastAsia" w:hAnsiTheme="minorEastAsia" w:eastAsiaTheme="minorEastAsia" w:cstheme="minorEastAsia"/>
          <w:color w:val="auto"/>
          <w:szCs w:val="28"/>
          <w:highlight w:val="none"/>
        </w:rPr>
        <w:t>6.控股管理关系承诺</w:t>
      </w:r>
      <w:r>
        <w:rPr>
          <w:rFonts w:hint="eastAsia" w:asciiTheme="minorEastAsia" w:hAnsiTheme="minorEastAsia" w:eastAsiaTheme="minorEastAsia" w:cstheme="minorEastAsia"/>
          <w:color w:val="auto"/>
          <w:szCs w:val="28"/>
          <w:highlight w:val="none"/>
          <w:lang w:eastAsia="zh-CN"/>
        </w:rPr>
        <w:t>书</w:t>
      </w:r>
    </w:p>
    <w:p w14:paraId="24B1725C">
      <w:pPr>
        <w:shd w:val="clear"/>
        <w:spacing w:line="360" w:lineRule="auto"/>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7.书面声明（格式见附件一）</w:t>
      </w:r>
    </w:p>
    <w:p w14:paraId="51AC14AD">
      <w:pPr>
        <w:shd w:val="clear"/>
        <w:spacing w:line="360" w:lineRule="auto"/>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8.法定代表人授权委托书（格式见附件二）</w:t>
      </w:r>
    </w:p>
    <w:p w14:paraId="45E32AF7">
      <w:pPr>
        <w:shd w:val="clear"/>
        <w:spacing w:line="360" w:lineRule="auto"/>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9.所必需的设备和专业技术能力的承诺书</w:t>
      </w:r>
    </w:p>
    <w:p w14:paraId="4612C850">
      <w:pPr>
        <w:shd w:val="clear"/>
        <w:spacing w:line="360" w:lineRule="auto"/>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10.企业资质</w:t>
      </w:r>
    </w:p>
    <w:p w14:paraId="5F038820">
      <w:pPr>
        <w:shd w:val="clear"/>
        <w:spacing w:line="360" w:lineRule="auto"/>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1</w:t>
      </w:r>
      <w:r>
        <w:rPr>
          <w:rFonts w:hint="eastAsia" w:asciiTheme="minorEastAsia" w:hAnsiTheme="minorEastAsia" w:eastAsiaTheme="minorEastAsia" w:cstheme="minorEastAsia"/>
          <w:color w:val="auto"/>
          <w:szCs w:val="28"/>
          <w:highlight w:val="none"/>
          <w:lang w:val="en-US" w:eastAsia="zh-CN"/>
        </w:rPr>
        <w:t>1</w:t>
      </w:r>
      <w:r>
        <w:rPr>
          <w:rFonts w:hint="eastAsia" w:asciiTheme="minorEastAsia" w:hAnsiTheme="minorEastAsia" w:eastAsiaTheme="minorEastAsia" w:cstheme="minorEastAsia"/>
          <w:color w:val="auto"/>
          <w:szCs w:val="28"/>
          <w:highlight w:val="none"/>
        </w:rPr>
        <w:t>.中小企业声明函（格式见附件三）</w:t>
      </w:r>
    </w:p>
    <w:p w14:paraId="0A505330">
      <w:pPr>
        <w:shd w:val="clear"/>
        <w:spacing w:line="360" w:lineRule="auto"/>
        <w:rPr>
          <w:rFonts w:hint="eastAsia" w:asciiTheme="minorEastAsia" w:hAnsiTheme="minorEastAsia" w:eastAsiaTheme="minorEastAsia" w:cstheme="minorEastAsia"/>
          <w:color w:val="auto"/>
          <w:szCs w:val="28"/>
          <w:highlight w:val="none"/>
        </w:rPr>
      </w:pPr>
    </w:p>
    <w:p w14:paraId="5D202BF8">
      <w:pPr>
        <w:pStyle w:val="3"/>
        <w:shd w:val="clear"/>
        <w:tabs>
          <w:tab w:val="left" w:pos="2153"/>
        </w:tabs>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tab/>
      </w:r>
    </w:p>
    <w:p w14:paraId="297767A8">
      <w:pPr>
        <w:shd w:val="clear"/>
        <w:rPr>
          <w:rFonts w:hint="eastAsia" w:asciiTheme="minorEastAsia" w:hAnsiTheme="minorEastAsia" w:eastAsiaTheme="minorEastAsia" w:cstheme="minorEastAsia"/>
          <w:color w:val="auto"/>
          <w:szCs w:val="28"/>
          <w:highlight w:val="none"/>
        </w:rPr>
      </w:pPr>
    </w:p>
    <w:p w14:paraId="18A749F2">
      <w:pPr>
        <w:pStyle w:val="13"/>
        <w:shd w:val="clear"/>
        <w:ind w:firstLine="560"/>
        <w:rPr>
          <w:rFonts w:hint="eastAsia" w:asciiTheme="minorEastAsia" w:hAnsiTheme="minorEastAsia" w:eastAsiaTheme="minorEastAsia" w:cstheme="minorEastAsia"/>
          <w:color w:val="auto"/>
          <w:szCs w:val="28"/>
          <w:highlight w:val="none"/>
        </w:rPr>
      </w:pPr>
    </w:p>
    <w:p w14:paraId="5C21FCCF">
      <w:pPr>
        <w:shd w:val="clear"/>
        <w:rPr>
          <w:rFonts w:hint="eastAsia" w:asciiTheme="minorEastAsia" w:hAnsiTheme="minorEastAsia" w:eastAsiaTheme="minorEastAsia" w:cstheme="minorEastAsia"/>
          <w:color w:val="auto"/>
          <w:highlight w:val="none"/>
        </w:rPr>
      </w:pPr>
    </w:p>
    <w:p w14:paraId="093782A4">
      <w:pPr>
        <w:shd w:val="clear"/>
        <w:spacing w:line="480" w:lineRule="exact"/>
        <w:rPr>
          <w:rFonts w:hint="eastAsia" w:asciiTheme="minorEastAsia" w:hAnsiTheme="minorEastAsia" w:eastAsiaTheme="minorEastAsia" w:cstheme="minorEastAsia"/>
          <w:color w:val="auto"/>
          <w:szCs w:val="28"/>
          <w:highlight w:val="none"/>
        </w:rPr>
      </w:pPr>
    </w:p>
    <w:p w14:paraId="7950139D">
      <w:pPr>
        <w:shd w:val="clear"/>
        <w:spacing w:line="480" w:lineRule="exact"/>
        <w:rPr>
          <w:rFonts w:hint="eastAsia" w:asciiTheme="minorEastAsia" w:hAnsiTheme="minorEastAsia" w:eastAsiaTheme="minorEastAsia" w:cstheme="minorEastAsia"/>
          <w:color w:val="auto"/>
          <w:szCs w:val="28"/>
          <w:highlight w:val="none"/>
        </w:rPr>
      </w:pP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14:paraId="36D69DA2">
      <w:pPr>
        <w:pStyle w:val="7"/>
        <w:shd w:val="clear"/>
        <w:ind w:firstLine="0"/>
        <w:rPr>
          <w:rFonts w:hint="eastAsia" w:asciiTheme="minorEastAsia" w:hAnsiTheme="minorEastAsia" w:eastAsiaTheme="minorEastAsia" w:cstheme="minorEastAsia"/>
          <w:color w:val="auto"/>
          <w:szCs w:val="28"/>
          <w:highlight w:val="none"/>
        </w:rPr>
      </w:pPr>
    </w:p>
    <w:p w14:paraId="263BE95C">
      <w:pPr>
        <w:shd w:val="clear"/>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br w:type="page"/>
      </w:r>
    </w:p>
    <w:p w14:paraId="5C5F7D79">
      <w:pPr>
        <w:pStyle w:val="7"/>
        <w:shd w:val="clear"/>
        <w:ind w:firstLine="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附件一：</w:t>
      </w:r>
    </w:p>
    <w:p w14:paraId="48972FDA">
      <w:pPr>
        <w:pStyle w:val="7"/>
        <w:shd w:val="clear"/>
        <w:spacing w:line="360" w:lineRule="auto"/>
        <w:ind w:firstLine="0"/>
        <w:jc w:val="center"/>
        <w:rPr>
          <w:rFonts w:hint="eastAsia" w:asciiTheme="minorEastAsia" w:hAnsiTheme="minorEastAsia" w:eastAsiaTheme="minorEastAsia" w:cstheme="minorEastAsia"/>
          <w:b/>
          <w:color w:val="auto"/>
          <w:szCs w:val="28"/>
          <w:highlight w:val="none"/>
        </w:rPr>
      </w:pPr>
    </w:p>
    <w:p w14:paraId="651BFA74">
      <w:pPr>
        <w:pStyle w:val="7"/>
        <w:shd w:val="clear"/>
        <w:spacing w:line="360" w:lineRule="auto"/>
        <w:ind w:firstLine="0"/>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无重大违法记录声明</w:t>
      </w:r>
    </w:p>
    <w:p w14:paraId="06F6C90D">
      <w:pPr>
        <w:shd w:val="clear"/>
        <w:spacing w:line="360" w:lineRule="auto"/>
        <w:ind w:firstLine="240" w:firstLineChars="100"/>
        <w:rPr>
          <w:rFonts w:hint="eastAsia" w:asciiTheme="minorEastAsia" w:hAnsiTheme="minorEastAsia" w:eastAsiaTheme="minorEastAsia" w:cstheme="minorEastAsia"/>
          <w:color w:val="auto"/>
          <w:sz w:val="24"/>
          <w:highlight w:val="none"/>
        </w:rPr>
      </w:pPr>
    </w:p>
    <w:p w14:paraId="7F76857F">
      <w:pPr>
        <w:shd w:val="clea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eastAsia="zh-CN"/>
        </w:rPr>
        <w:t>陕西佳信项目管理有限公司</w:t>
      </w:r>
    </w:p>
    <w:p w14:paraId="0E3AC946">
      <w:pPr>
        <w:shd w:val="clea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7C3BC339">
      <w:pPr>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（供应商名称）郑重声明，我方参加贵公司组织的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项目（项目编号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）的采购活动前三年内无重大违法活动记录，符合《中华人民共和国政府采购法》规定的供应商资格条件。我方对此声明负全部法律责任。</w:t>
      </w:r>
    </w:p>
    <w:p w14:paraId="1F1856D4">
      <w:pPr>
        <w:shd w:val="clea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特此声明。</w:t>
      </w:r>
    </w:p>
    <w:p w14:paraId="03DE6617">
      <w:pPr>
        <w:shd w:val="clea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注：成立不足三年的供应商提供自成立之日起至磋商之日止的无重大违法记录声明。</w:t>
      </w:r>
    </w:p>
    <w:p w14:paraId="69DAFD4D">
      <w:pPr>
        <w:shd w:val="clear"/>
        <w:spacing w:line="360" w:lineRule="auto"/>
        <w:ind w:firstLine="4759" w:firstLineChars="1983"/>
        <w:rPr>
          <w:rFonts w:hint="eastAsia" w:asciiTheme="minorEastAsia" w:hAnsiTheme="minorEastAsia" w:eastAsiaTheme="minorEastAsia" w:cstheme="minorEastAsia"/>
          <w:color w:val="auto"/>
          <w:sz w:val="24"/>
          <w:szCs w:val="28"/>
          <w:highlight w:val="none"/>
        </w:rPr>
      </w:pPr>
    </w:p>
    <w:p w14:paraId="5FE7FE43">
      <w:pPr>
        <w:shd w:val="clear"/>
        <w:spacing w:line="360" w:lineRule="auto"/>
        <w:ind w:firstLine="4759" w:firstLineChars="1983"/>
        <w:rPr>
          <w:rFonts w:hint="eastAsia" w:asciiTheme="minorEastAsia" w:hAnsiTheme="minorEastAsia" w:eastAsiaTheme="minorEastAsia" w:cstheme="minorEastAsia"/>
          <w:color w:val="auto"/>
          <w:sz w:val="24"/>
          <w:szCs w:val="28"/>
          <w:highlight w:val="none"/>
        </w:rPr>
      </w:pPr>
    </w:p>
    <w:p w14:paraId="768D067A">
      <w:pPr>
        <w:shd w:val="clear"/>
        <w:spacing w:line="360" w:lineRule="auto"/>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供应商全称(盖章)：</w:t>
      </w:r>
    </w:p>
    <w:p w14:paraId="15CC2354">
      <w:pPr>
        <w:shd w:val="clear"/>
        <w:spacing w:line="360" w:lineRule="auto"/>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法定代表人或授权代表人(</w:t>
      </w:r>
      <w:r>
        <w:rPr>
          <w:rFonts w:hint="eastAsia" w:asciiTheme="minorEastAsia" w:hAnsiTheme="minorEastAsia" w:eastAsiaTheme="minorEastAsia" w:cstheme="minorEastAsia"/>
          <w:color w:val="auto"/>
          <w:sz w:val="24"/>
          <w:highlight w:val="none"/>
        </w:rPr>
        <w:t>签字或盖章</w:t>
      </w:r>
      <w:r>
        <w:rPr>
          <w:rFonts w:hint="eastAsia" w:asciiTheme="minorEastAsia" w:hAnsiTheme="minorEastAsia" w:eastAsiaTheme="minorEastAsia" w:cstheme="minorEastAsia"/>
          <w:color w:val="auto"/>
          <w:sz w:val="24"/>
          <w:szCs w:val="28"/>
          <w:highlight w:val="none"/>
        </w:rPr>
        <w:t>)：</w:t>
      </w:r>
    </w:p>
    <w:p w14:paraId="2FA9D2E7">
      <w:pPr>
        <w:shd w:val="clear"/>
        <w:spacing w:line="360" w:lineRule="auto"/>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日  期：</w:t>
      </w:r>
    </w:p>
    <w:p w14:paraId="3CBE7BB6">
      <w:pPr>
        <w:shd w:val="clear"/>
        <w:spacing w:line="360" w:lineRule="auto"/>
        <w:rPr>
          <w:rFonts w:hint="eastAsia" w:asciiTheme="minorEastAsia" w:hAnsiTheme="minorEastAsia" w:eastAsiaTheme="minorEastAsia" w:cstheme="minorEastAsia"/>
          <w:color w:val="auto"/>
          <w:highlight w:val="none"/>
        </w:rPr>
      </w:pPr>
    </w:p>
    <w:p w14:paraId="39249F28">
      <w:pPr>
        <w:shd w:val="clear"/>
        <w:spacing w:line="360" w:lineRule="auto"/>
        <w:ind w:left="280" w:leftChars="100"/>
        <w:jc w:val="left"/>
        <w:rPr>
          <w:rFonts w:hint="eastAsia" w:asciiTheme="minorEastAsia" w:hAnsiTheme="minorEastAsia" w:eastAsiaTheme="minorEastAsia" w:cstheme="minorEastAsia"/>
          <w:color w:val="auto"/>
          <w:szCs w:val="28"/>
          <w:highlight w:val="none"/>
        </w:rPr>
        <w:sectPr>
          <w:headerReference r:id="rId10" w:type="default"/>
          <w:footerReference r:id="rId11" w:type="default"/>
          <w:pgSz w:w="11906" w:h="16838"/>
          <w:pgMar w:top="1440" w:right="1803" w:bottom="1440" w:left="1803" w:header="851" w:footer="992" w:gutter="0"/>
          <w:cols w:space="720" w:num="1"/>
        </w:sectPr>
      </w:pPr>
    </w:p>
    <w:p w14:paraId="3B6534FA">
      <w:pPr>
        <w:shd w:val="clear"/>
        <w:spacing w:line="360" w:lineRule="auto"/>
        <w:jc w:val="lef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附件二：</w:t>
      </w:r>
    </w:p>
    <w:p w14:paraId="1860FDE0">
      <w:pPr>
        <w:shd w:val="clear"/>
        <w:spacing w:line="480" w:lineRule="exact"/>
        <w:ind w:left="280" w:leftChars="100"/>
        <w:jc w:val="center"/>
        <w:rPr>
          <w:rFonts w:hint="eastAsia" w:asciiTheme="minorEastAsia" w:hAnsiTheme="minorEastAsia" w:eastAsiaTheme="minorEastAsia" w:cstheme="minorEastAsia"/>
          <w:b/>
          <w:bCs/>
          <w:color w:val="auto"/>
          <w:sz w:val="24"/>
          <w:szCs w:val="22"/>
          <w:highlight w:val="none"/>
        </w:rPr>
      </w:pPr>
      <w:r>
        <w:rPr>
          <w:rFonts w:hint="eastAsia" w:asciiTheme="minorEastAsia" w:hAnsiTheme="minorEastAsia" w:eastAsiaTheme="minorEastAsia" w:cstheme="minorEastAsia"/>
          <w:b/>
          <w:bCs/>
          <w:color w:val="auto"/>
          <w:sz w:val="24"/>
          <w:szCs w:val="22"/>
          <w:highlight w:val="none"/>
        </w:rPr>
        <w:t>法定代表人资格证明书</w:t>
      </w:r>
    </w:p>
    <w:tbl>
      <w:tblPr>
        <w:tblStyle w:val="25"/>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464"/>
        <w:gridCol w:w="1960"/>
        <w:gridCol w:w="1333"/>
        <w:gridCol w:w="2417"/>
      </w:tblGrid>
      <w:tr w14:paraId="1836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380" w:type="dxa"/>
            <w:gridSpan w:val="5"/>
            <w:noWrap/>
          </w:tcPr>
          <w:p w14:paraId="38D188EB">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lang w:eastAsia="zh-CN"/>
              </w:rPr>
            </w:pPr>
            <w:r>
              <w:rPr>
                <w:rFonts w:hint="eastAsia" w:asciiTheme="minorEastAsia" w:hAnsiTheme="minorEastAsia" w:eastAsiaTheme="minorEastAsia" w:cstheme="minorEastAsia"/>
                <w:bCs/>
                <w:caps/>
                <w:color w:val="auto"/>
                <w:sz w:val="24"/>
                <w:szCs w:val="24"/>
                <w:highlight w:val="none"/>
              </w:rPr>
              <w:t xml:space="preserve">致： </w:t>
            </w:r>
            <w:r>
              <w:rPr>
                <w:rFonts w:hint="eastAsia" w:asciiTheme="minorEastAsia" w:hAnsiTheme="minorEastAsia" w:eastAsiaTheme="minorEastAsia" w:cstheme="minorEastAsia"/>
                <w:bCs/>
                <w:caps/>
                <w:color w:val="auto"/>
                <w:sz w:val="24"/>
                <w:szCs w:val="24"/>
                <w:highlight w:val="none"/>
                <w:lang w:eastAsia="zh-CN"/>
              </w:rPr>
              <w:t>陕西佳信项目管理有限公司</w:t>
            </w:r>
          </w:p>
        </w:tc>
      </w:tr>
      <w:tr w14:paraId="6828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5DB16CD9">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项目名称</w:t>
            </w:r>
          </w:p>
        </w:tc>
        <w:tc>
          <w:tcPr>
            <w:tcW w:w="8174" w:type="dxa"/>
            <w:gridSpan w:val="4"/>
            <w:noWrap/>
          </w:tcPr>
          <w:p w14:paraId="579D9ABF">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r>
      <w:tr w14:paraId="3F04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67F5E4E3">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文件编号</w:t>
            </w:r>
          </w:p>
        </w:tc>
        <w:tc>
          <w:tcPr>
            <w:tcW w:w="8174" w:type="dxa"/>
            <w:gridSpan w:val="4"/>
            <w:noWrap/>
          </w:tcPr>
          <w:p w14:paraId="0A6F2E81">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r>
      <w:tr w14:paraId="361D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06" w:type="dxa"/>
            <w:noWrap/>
            <w:vAlign w:val="center"/>
          </w:tcPr>
          <w:p w14:paraId="2CE1DDB3">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权   限</w:t>
            </w:r>
          </w:p>
        </w:tc>
        <w:tc>
          <w:tcPr>
            <w:tcW w:w="8174" w:type="dxa"/>
            <w:gridSpan w:val="4"/>
            <w:noWrap/>
            <w:vAlign w:val="center"/>
          </w:tcPr>
          <w:p w14:paraId="1111D2FD">
            <w:pPr>
              <w:shd w:val="clear"/>
              <w:tabs>
                <w:tab w:val="right" w:leader="dot" w:pos="9022"/>
              </w:tabs>
              <w:autoSpaceDE w:val="0"/>
              <w:autoSpaceDN w:val="0"/>
              <w:adjustRightInd w:val="0"/>
              <w:spacing w:line="4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办理本次采购项目的磋商、联系、洽谈、签约、执行等具体事务，签署全部有关文件、文书、协议及合同。</w:t>
            </w:r>
          </w:p>
        </w:tc>
      </w:tr>
      <w:tr w14:paraId="339E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noWrap/>
            <w:vAlign w:val="center"/>
          </w:tcPr>
          <w:p w14:paraId="0828E51A">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有效期</w:t>
            </w:r>
          </w:p>
        </w:tc>
        <w:tc>
          <w:tcPr>
            <w:tcW w:w="8174" w:type="dxa"/>
            <w:gridSpan w:val="4"/>
            <w:noWrap/>
            <w:vAlign w:val="center"/>
          </w:tcPr>
          <w:p w14:paraId="3EC77B81">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color w:val="auto"/>
                <w:sz w:val="24"/>
                <w:szCs w:val="24"/>
                <w:highlight w:val="none"/>
              </w:rPr>
              <w:t>自提交磋商响应文件的截止之日起90个日历日</w:t>
            </w:r>
          </w:p>
        </w:tc>
      </w:tr>
      <w:tr w14:paraId="5601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restart"/>
            <w:noWrap/>
            <w:vAlign w:val="center"/>
          </w:tcPr>
          <w:p w14:paraId="7D535881">
            <w:pPr>
              <w:shd w:val="clear"/>
              <w:tabs>
                <w:tab w:val="right" w:leader="dot" w:pos="9022"/>
              </w:tabs>
              <w:autoSpaceDE w:val="0"/>
              <w:autoSpaceDN w:val="0"/>
              <w:adjustRightInd w:val="0"/>
              <w:spacing w:line="500" w:lineRule="exact"/>
              <w:ind w:firstLine="240" w:firstLineChars="100"/>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企业</w:t>
            </w:r>
          </w:p>
          <w:p w14:paraId="31CFDDED">
            <w:pPr>
              <w:shd w:val="clear"/>
              <w:tabs>
                <w:tab w:val="right" w:leader="dot" w:pos="9022"/>
              </w:tabs>
              <w:autoSpaceDE w:val="0"/>
              <w:autoSpaceDN w:val="0"/>
              <w:adjustRightInd w:val="0"/>
              <w:spacing w:line="500" w:lineRule="exact"/>
              <w:ind w:firstLine="240" w:firstLineChars="100"/>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信息</w:t>
            </w:r>
          </w:p>
        </w:tc>
        <w:tc>
          <w:tcPr>
            <w:tcW w:w="2464" w:type="dxa"/>
            <w:noWrap/>
          </w:tcPr>
          <w:p w14:paraId="32947623">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 xml:space="preserve">企 业 名 称 </w:t>
            </w:r>
          </w:p>
        </w:tc>
        <w:tc>
          <w:tcPr>
            <w:tcW w:w="5710" w:type="dxa"/>
            <w:gridSpan w:val="3"/>
            <w:noWrap/>
          </w:tcPr>
          <w:p w14:paraId="3D23EFA2">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r>
      <w:tr w14:paraId="478C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64D0D1C4">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tc>
        <w:tc>
          <w:tcPr>
            <w:tcW w:w="2464" w:type="dxa"/>
            <w:noWrap/>
          </w:tcPr>
          <w:p w14:paraId="2B4C5776">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法 定 地 址</w:t>
            </w:r>
          </w:p>
        </w:tc>
        <w:tc>
          <w:tcPr>
            <w:tcW w:w="5710" w:type="dxa"/>
            <w:gridSpan w:val="3"/>
            <w:noWrap/>
          </w:tcPr>
          <w:p w14:paraId="3C8CB9FB">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r>
      <w:tr w14:paraId="209C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036AD04A">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tc>
        <w:tc>
          <w:tcPr>
            <w:tcW w:w="2464" w:type="dxa"/>
            <w:noWrap/>
          </w:tcPr>
          <w:p w14:paraId="0201B6CF">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统一社会信用代码</w:t>
            </w:r>
          </w:p>
        </w:tc>
        <w:tc>
          <w:tcPr>
            <w:tcW w:w="5710" w:type="dxa"/>
            <w:gridSpan w:val="3"/>
            <w:noWrap/>
          </w:tcPr>
          <w:p w14:paraId="5490BE6C">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r>
      <w:tr w14:paraId="6DC9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6A0D8865">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tc>
        <w:tc>
          <w:tcPr>
            <w:tcW w:w="2464" w:type="dxa"/>
            <w:noWrap/>
          </w:tcPr>
          <w:p w14:paraId="4B320E59">
            <w:pPr>
              <w:shd w:val="clear"/>
              <w:tabs>
                <w:tab w:val="right" w:leader="dot" w:pos="9022"/>
              </w:tabs>
              <w:spacing w:line="500" w:lineRule="exac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工商登记机关</w:t>
            </w:r>
          </w:p>
        </w:tc>
        <w:tc>
          <w:tcPr>
            <w:tcW w:w="5710" w:type="dxa"/>
            <w:gridSpan w:val="3"/>
            <w:noWrap/>
          </w:tcPr>
          <w:p w14:paraId="2B78F0E7">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r>
      <w:tr w14:paraId="304B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38FDC19E">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tc>
        <w:tc>
          <w:tcPr>
            <w:tcW w:w="2464" w:type="dxa"/>
            <w:noWrap/>
          </w:tcPr>
          <w:p w14:paraId="274B1DA7">
            <w:pPr>
              <w:shd w:val="clear"/>
              <w:tabs>
                <w:tab w:val="right" w:leader="dot" w:pos="9022"/>
              </w:tabs>
              <w:spacing w:line="500" w:lineRule="exac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网        址</w:t>
            </w:r>
          </w:p>
        </w:tc>
        <w:tc>
          <w:tcPr>
            <w:tcW w:w="5710" w:type="dxa"/>
            <w:gridSpan w:val="3"/>
            <w:noWrap/>
          </w:tcPr>
          <w:p w14:paraId="5831EB6B">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r>
      <w:tr w14:paraId="6A6A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restart"/>
            <w:noWrap/>
            <w:vAlign w:val="center"/>
          </w:tcPr>
          <w:p w14:paraId="5F08EF36">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法定代</w:t>
            </w:r>
          </w:p>
          <w:p w14:paraId="761D0310">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表人</w:t>
            </w:r>
          </w:p>
        </w:tc>
        <w:tc>
          <w:tcPr>
            <w:tcW w:w="2464" w:type="dxa"/>
            <w:noWrap/>
          </w:tcPr>
          <w:p w14:paraId="28FA4182">
            <w:pPr>
              <w:shd w:val="clea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姓    名</w:t>
            </w:r>
          </w:p>
        </w:tc>
        <w:tc>
          <w:tcPr>
            <w:tcW w:w="1960" w:type="dxa"/>
            <w:noWrap/>
          </w:tcPr>
          <w:p w14:paraId="3E1BBCCE">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c>
          <w:tcPr>
            <w:tcW w:w="1333" w:type="dxa"/>
            <w:noWrap/>
          </w:tcPr>
          <w:p w14:paraId="200C22AB">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性    别</w:t>
            </w:r>
          </w:p>
        </w:tc>
        <w:tc>
          <w:tcPr>
            <w:tcW w:w="2417" w:type="dxa"/>
            <w:noWrap/>
          </w:tcPr>
          <w:p w14:paraId="1B0524D5">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r>
      <w:tr w14:paraId="5E36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65499407">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tc>
        <w:tc>
          <w:tcPr>
            <w:tcW w:w="2464" w:type="dxa"/>
            <w:noWrap/>
          </w:tcPr>
          <w:p w14:paraId="29862C94">
            <w:pPr>
              <w:shd w:val="clea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职    务</w:t>
            </w:r>
          </w:p>
        </w:tc>
        <w:tc>
          <w:tcPr>
            <w:tcW w:w="1960" w:type="dxa"/>
            <w:noWrap/>
          </w:tcPr>
          <w:p w14:paraId="4881EB33">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c>
          <w:tcPr>
            <w:tcW w:w="1333" w:type="dxa"/>
            <w:noWrap/>
          </w:tcPr>
          <w:p w14:paraId="6EC40DAE">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联系电话</w:t>
            </w:r>
          </w:p>
        </w:tc>
        <w:tc>
          <w:tcPr>
            <w:tcW w:w="2417" w:type="dxa"/>
            <w:noWrap/>
          </w:tcPr>
          <w:p w14:paraId="451A117C">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r>
      <w:tr w14:paraId="3E46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7A43BBB1">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tc>
        <w:tc>
          <w:tcPr>
            <w:tcW w:w="2464" w:type="dxa"/>
            <w:noWrap/>
          </w:tcPr>
          <w:p w14:paraId="609FB5BD">
            <w:pPr>
              <w:shd w:val="clea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传    真</w:t>
            </w:r>
          </w:p>
        </w:tc>
        <w:tc>
          <w:tcPr>
            <w:tcW w:w="5710" w:type="dxa"/>
            <w:gridSpan w:val="3"/>
            <w:noWrap/>
          </w:tcPr>
          <w:p w14:paraId="0922C08D">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r>
      <w:tr w14:paraId="5BB3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6" w:type="dxa"/>
            <w:vMerge w:val="continue"/>
            <w:noWrap/>
            <w:vAlign w:val="center"/>
          </w:tcPr>
          <w:p w14:paraId="2B3CADF3">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tc>
        <w:tc>
          <w:tcPr>
            <w:tcW w:w="2464" w:type="dxa"/>
            <w:noWrap/>
          </w:tcPr>
          <w:p w14:paraId="370898BC">
            <w:pPr>
              <w:shd w:val="clear"/>
              <w:tabs>
                <w:tab w:val="right" w:leader="dot" w:pos="9022"/>
              </w:tabs>
              <w:autoSpaceDE w:val="0"/>
              <w:autoSpaceDN w:val="0"/>
              <w:adjustRightInd w:val="0"/>
              <w:spacing w:line="500" w:lineRule="exact"/>
              <w:ind w:firstLine="240" w:firstLineChars="100"/>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通讯地址</w:t>
            </w:r>
          </w:p>
        </w:tc>
        <w:tc>
          <w:tcPr>
            <w:tcW w:w="5710" w:type="dxa"/>
            <w:gridSpan w:val="3"/>
            <w:noWrap/>
          </w:tcPr>
          <w:p w14:paraId="18179D04">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r>
      <w:tr w14:paraId="205B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jc w:val="center"/>
        </w:trPr>
        <w:tc>
          <w:tcPr>
            <w:tcW w:w="9380" w:type="dxa"/>
            <w:gridSpan w:val="5"/>
            <w:noWrap/>
          </w:tcPr>
          <w:p w14:paraId="27AE65D1">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p w14:paraId="2C48F1DA">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bCs/>
                <w:caps/>
                <w:color w:val="auto"/>
                <w:sz w:val="24"/>
                <w:szCs w:val="24"/>
                <w:highlight w:val="none"/>
              </w:rPr>
              <w:t>法定代表人身份证正反面复印件</w:t>
            </w:r>
          </w:p>
          <w:p w14:paraId="182AEB70">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（粘贴处）</w:t>
            </w:r>
          </w:p>
          <w:p w14:paraId="4302998B">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p w14:paraId="40669C8D">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p w14:paraId="4E6483C6">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p w14:paraId="5D0C4122">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tc>
      </w:tr>
      <w:tr w14:paraId="4D0C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80" w:type="dxa"/>
            <w:gridSpan w:val="5"/>
            <w:noWrap/>
          </w:tcPr>
          <w:p w14:paraId="1BC714EE">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法定代表人签字及盖章：</w:t>
            </w:r>
          </w:p>
        </w:tc>
      </w:tr>
    </w:tbl>
    <w:p w14:paraId="20B6A7B8">
      <w:pPr>
        <w:shd w:val="clear"/>
        <w:spacing w:line="480" w:lineRule="exact"/>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color w:val="auto"/>
          <w:sz w:val="24"/>
          <w:szCs w:val="22"/>
          <w:highlight w:val="none"/>
        </w:rPr>
        <w:t>供应商名称：</w:t>
      </w:r>
      <w:r>
        <w:rPr>
          <w:rFonts w:hint="eastAsia" w:asciiTheme="minorEastAsia" w:hAnsiTheme="minorEastAsia" w:eastAsiaTheme="minorEastAsia" w:cstheme="minorEastAsia"/>
          <w:color w:val="auto"/>
          <w:sz w:val="24"/>
          <w:szCs w:val="22"/>
          <w:highlight w:val="none"/>
          <w:u w:val="single"/>
        </w:rPr>
        <w:t xml:space="preserve">                   </w:t>
      </w:r>
      <w:r>
        <w:rPr>
          <w:rFonts w:hint="eastAsia" w:asciiTheme="minorEastAsia" w:hAnsiTheme="minorEastAsia" w:eastAsiaTheme="minorEastAsia" w:cstheme="minorEastAsia"/>
          <w:color w:val="auto"/>
          <w:sz w:val="24"/>
          <w:szCs w:val="22"/>
          <w:highlight w:val="none"/>
        </w:rPr>
        <w:t xml:space="preserve"> （供应商单位公章）      日 期：</w:t>
      </w:r>
    </w:p>
    <w:p w14:paraId="17B2E789">
      <w:pPr>
        <w:shd w:val="clea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14:paraId="7258612A">
      <w:pPr>
        <w:shd w:val="clear"/>
        <w:spacing w:line="480" w:lineRule="exact"/>
        <w:ind w:left="280" w:leftChars="1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法定代表人授权委托书</w:t>
      </w:r>
    </w:p>
    <w:tbl>
      <w:tblPr>
        <w:tblStyle w:val="25"/>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187"/>
        <w:gridCol w:w="1134"/>
        <w:gridCol w:w="1064"/>
        <w:gridCol w:w="495"/>
        <w:gridCol w:w="1559"/>
        <w:gridCol w:w="2414"/>
      </w:tblGrid>
      <w:tr w14:paraId="75BE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25" w:type="dxa"/>
            <w:gridSpan w:val="7"/>
            <w:noWrap/>
          </w:tcPr>
          <w:p w14:paraId="0270B868">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lang w:eastAsia="zh-CN"/>
              </w:rPr>
            </w:pPr>
            <w:r>
              <w:rPr>
                <w:rFonts w:hint="eastAsia" w:asciiTheme="minorEastAsia" w:hAnsiTheme="minorEastAsia" w:eastAsiaTheme="minorEastAsia" w:cstheme="minorEastAsia"/>
                <w:bCs/>
                <w:caps/>
                <w:color w:val="auto"/>
                <w:sz w:val="24"/>
                <w:szCs w:val="24"/>
                <w:highlight w:val="none"/>
              </w:rPr>
              <w:t xml:space="preserve">致： </w:t>
            </w:r>
            <w:r>
              <w:rPr>
                <w:rFonts w:hint="eastAsia" w:asciiTheme="minorEastAsia" w:hAnsiTheme="minorEastAsia" w:eastAsiaTheme="minorEastAsia" w:cstheme="minorEastAsia"/>
                <w:bCs/>
                <w:caps/>
                <w:color w:val="auto"/>
                <w:sz w:val="24"/>
                <w:szCs w:val="24"/>
                <w:highlight w:val="none"/>
                <w:lang w:eastAsia="zh-CN"/>
              </w:rPr>
              <w:t>陕西佳信项目管理有限公司</w:t>
            </w:r>
          </w:p>
        </w:tc>
      </w:tr>
      <w:tr w14:paraId="6A9D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308C9FFC">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被授权项目与内容</w:t>
            </w:r>
          </w:p>
        </w:tc>
        <w:tc>
          <w:tcPr>
            <w:tcW w:w="1187" w:type="dxa"/>
            <w:noWrap/>
          </w:tcPr>
          <w:p w14:paraId="1E6E9109">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项目名称</w:t>
            </w:r>
          </w:p>
        </w:tc>
        <w:tc>
          <w:tcPr>
            <w:tcW w:w="6666" w:type="dxa"/>
            <w:gridSpan w:val="5"/>
            <w:noWrap/>
          </w:tcPr>
          <w:p w14:paraId="1BBA67AC">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r>
      <w:tr w14:paraId="270C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0B6E8DFB">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c>
          <w:tcPr>
            <w:tcW w:w="1187" w:type="dxa"/>
            <w:noWrap/>
          </w:tcPr>
          <w:p w14:paraId="7BA8065F">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文件编号</w:t>
            </w:r>
          </w:p>
        </w:tc>
        <w:tc>
          <w:tcPr>
            <w:tcW w:w="6666" w:type="dxa"/>
            <w:gridSpan w:val="5"/>
            <w:noWrap/>
          </w:tcPr>
          <w:p w14:paraId="5A1FE10C">
            <w:pPr>
              <w:shd w:val="clear"/>
              <w:tabs>
                <w:tab w:val="right" w:leader="dot" w:pos="9022"/>
              </w:tabs>
              <w:autoSpaceDE w:val="0"/>
              <w:autoSpaceDN w:val="0"/>
              <w:adjustRightInd w:val="0"/>
              <w:spacing w:line="500" w:lineRule="exact"/>
              <w:ind w:firstLine="1200" w:firstLineChars="500"/>
              <w:jc w:val="left"/>
              <w:rPr>
                <w:rFonts w:hint="eastAsia" w:asciiTheme="minorEastAsia" w:hAnsiTheme="minorEastAsia" w:eastAsiaTheme="minorEastAsia" w:cstheme="minorEastAsia"/>
                <w:bCs/>
                <w:caps/>
                <w:color w:val="auto"/>
                <w:sz w:val="24"/>
                <w:szCs w:val="24"/>
                <w:highlight w:val="none"/>
              </w:rPr>
            </w:pPr>
          </w:p>
        </w:tc>
      </w:tr>
      <w:tr w14:paraId="79AE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572" w:type="dxa"/>
            <w:vMerge w:val="continue"/>
            <w:noWrap/>
          </w:tcPr>
          <w:p w14:paraId="774F34C2">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c>
          <w:tcPr>
            <w:tcW w:w="1187" w:type="dxa"/>
            <w:noWrap/>
            <w:vAlign w:val="center"/>
          </w:tcPr>
          <w:p w14:paraId="039C3045">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授权范围</w:t>
            </w:r>
          </w:p>
        </w:tc>
        <w:tc>
          <w:tcPr>
            <w:tcW w:w="6666" w:type="dxa"/>
            <w:gridSpan w:val="5"/>
            <w:noWrap/>
          </w:tcPr>
          <w:p w14:paraId="1A90ED92">
            <w:pPr>
              <w:shd w:val="clear"/>
              <w:tabs>
                <w:tab w:val="right" w:leader="dot" w:pos="9022"/>
              </w:tabs>
              <w:autoSpaceDE w:val="0"/>
              <w:autoSpaceDN w:val="0"/>
              <w:adjustRightInd w:val="0"/>
              <w:spacing w:line="4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全权办理本次采购项目的磋商、联系、洽谈、签约、执行等具体事务，签署全部有关文件、文书、协议及合同。</w:t>
            </w:r>
          </w:p>
        </w:tc>
      </w:tr>
      <w:tr w14:paraId="7AFB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579522C7">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c>
          <w:tcPr>
            <w:tcW w:w="1187" w:type="dxa"/>
            <w:noWrap/>
          </w:tcPr>
          <w:p w14:paraId="282D7BD9">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法律责任</w:t>
            </w:r>
          </w:p>
        </w:tc>
        <w:tc>
          <w:tcPr>
            <w:tcW w:w="6666" w:type="dxa"/>
            <w:gridSpan w:val="5"/>
            <w:noWrap/>
          </w:tcPr>
          <w:p w14:paraId="03813382">
            <w:pPr>
              <w:shd w:val="clear"/>
              <w:tabs>
                <w:tab w:val="right" w:leader="dot" w:pos="9022"/>
              </w:tabs>
              <w:autoSpaceDE w:val="0"/>
              <w:autoSpaceDN w:val="0"/>
              <w:adjustRightInd w:val="0"/>
              <w:spacing w:line="4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本公司对被授权人在本项目中的签名承担全部法律责任。</w:t>
            </w:r>
          </w:p>
        </w:tc>
      </w:tr>
      <w:tr w14:paraId="5DAE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10D84E75">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c>
          <w:tcPr>
            <w:tcW w:w="1187" w:type="dxa"/>
            <w:noWrap/>
            <w:vAlign w:val="center"/>
          </w:tcPr>
          <w:p w14:paraId="10F89EF5">
            <w:pPr>
              <w:shd w:val="clear"/>
              <w:tabs>
                <w:tab w:val="right" w:leader="dot" w:pos="9022"/>
              </w:tabs>
              <w:autoSpaceDE w:val="0"/>
              <w:autoSpaceDN w:val="0"/>
              <w:adjustRightInd w:val="0"/>
              <w:spacing w:line="500" w:lineRule="exac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授权期限</w:t>
            </w:r>
          </w:p>
        </w:tc>
        <w:tc>
          <w:tcPr>
            <w:tcW w:w="6666" w:type="dxa"/>
            <w:gridSpan w:val="5"/>
            <w:noWrap/>
            <w:vAlign w:val="center"/>
          </w:tcPr>
          <w:p w14:paraId="28C22AA9">
            <w:pPr>
              <w:shd w:val="clea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本授权书</w:t>
            </w:r>
            <w:r>
              <w:rPr>
                <w:rFonts w:hint="eastAsia" w:asciiTheme="minorEastAsia" w:hAnsiTheme="minorEastAsia" w:eastAsiaTheme="minorEastAsia" w:cstheme="minorEastAsia"/>
                <w:color w:val="auto"/>
                <w:sz w:val="24"/>
                <w:szCs w:val="24"/>
                <w:highlight w:val="none"/>
              </w:rPr>
              <w:t>自提交供应商的截止之日起90个日历日</w:t>
            </w:r>
          </w:p>
        </w:tc>
      </w:tr>
      <w:tr w14:paraId="11FF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restart"/>
            <w:noWrap/>
            <w:vAlign w:val="center"/>
          </w:tcPr>
          <w:p w14:paraId="685D0575">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企业信息</w:t>
            </w:r>
          </w:p>
        </w:tc>
        <w:tc>
          <w:tcPr>
            <w:tcW w:w="2321" w:type="dxa"/>
            <w:gridSpan w:val="2"/>
            <w:noWrap/>
          </w:tcPr>
          <w:p w14:paraId="10A84463">
            <w:pPr>
              <w:shd w:val="clea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 xml:space="preserve">企 业 名 称 </w:t>
            </w:r>
          </w:p>
        </w:tc>
        <w:tc>
          <w:tcPr>
            <w:tcW w:w="5532" w:type="dxa"/>
            <w:gridSpan w:val="4"/>
            <w:noWrap/>
            <w:vAlign w:val="center"/>
          </w:tcPr>
          <w:p w14:paraId="0270EF68">
            <w:pPr>
              <w:shd w:val="clea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highlight w:val="none"/>
              </w:rPr>
            </w:pPr>
          </w:p>
        </w:tc>
      </w:tr>
      <w:tr w14:paraId="3A97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continue"/>
            <w:noWrap/>
          </w:tcPr>
          <w:p w14:paraId="619A1EE0">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c>
          <w:tcPr>
            <w:tcW w:w="2321" w:type="dxa"/>
            <w:gridSpan w:val="2"/>
            <w:noWrap/>
          </w:tcPr>
          <w:p w14:paraId="50CF28CD">
            <w:pPr>
              <w:shd w:val="clea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法 定 地 址</w:t>
            </w:r>
          </w:p>
        </w:tc>
        <w:tc>
          <w:tcPr>
            <w:tcW w:w="5532" w:type="dxa"/>
            <w:gridSpan w:val="4"/>
            <w:noWrap/>
            <w:vAlign w:val="center"/>
          </w:tcPr>
          <w:p w14:paraId="462064F3">
            <w:pPr>
              <w:shd w:val="clea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highlight w:val="none"/>
              </w:rPr>
            </w:pPr>
          </w:p>
        </w:tc>
      </w:tr>
      <w:tr w14:paraId="6973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2" w:type="dxa"/>
            <w:vMerge w:val="continue"/>
            <w:noWrap/>
          </w:tcPr>
          <w:p w14:paraId="4E595675">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c>
          <w:tcPr>
            <w:tcW w:w="2321" w:type="dxa"/>
            <w:gridSpan w:val="2"/>
            <w:noWrap/>
          </w:tcPr>
          <w:p w14:paraId="784517A9">
            <w:pPr>
              <w:shd w:val="clea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统一社会信用代码</w:t>
            </w:r>
          </w:p>
        </w:tc>
        <w:tc>
          <w:tcPr>
            <w:tcW w:w="5532" w:type="dxa"/>
            <w:gridSpan w:val="4"/>
            <w:noWrap/>
            <w:vAlign w:val="center"/>
          </w:tcPr>
          <w:p w14:paraId="7F84C4B0">
            <w:pPr>
              <w:shd w:val="clea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highlight w:val="none"/>
              </w:rPr>
            </w:pPr>
          </w:p>
        </w:tc>
      </w:tr>
      <w:tr w14:paraId="7305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71758612">
            <w:pPr>
              <w:shd w:val="clear"/>
              <w:tabs>
                <w:tab w:val="right" w:leader="dot" w:pos="9022"/>
              </w:tabs>
              <w:autoSpaceDE w:val="0"/>
              <w:autoSpaceDN w:val="0"/>
              <w:adjustRightInd w:val="0"/>
              <w:spacing w:line="500" w:lineRule="exac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法定代表人</w:t>
            </w:r>
          </w:p>
        </w:tc>
        <w:tc>
          <w:tcPr>
            <w:tcW w:w="1187" w:type="dxa"/>
            <w:noWrap/>
            <w:vAlign w:val="center"/>
          </w:tcPr>
          <w:p w14:paraId="6E2DE0C6">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姓名</w:t>
            </w:r>
          </w:p>
        </w:tc>
        <w:tc>
          <w:tcPr>
            <w:tcW w:w="2693" w:type="dxa"/>
            <w:gridSpan w:val="3"/>
            <w:noWrap/>
            <w:vAlign w:val="center"/>
          </w:tcPr>
          <w:p w14:paraId="7E47E882">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tc>
        <w:tc>
          <w:tcPr>
            <w:tcW w:w="1559" w:type="dxa"/>
            <w:noWrap/>
            <w:vAlign w:val="center"/>
          </w:tcPr>
          <w:p w14:paraId="3227AB7A">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性    别</w:t>
            </w:r>
          </w:p>
        </w:tc>
        <w:tc>
          <w:tcPr>
            <w:tcW w:w="2414" w:type="dxa"/>
            <w:noWrap/>
            <w:vAlign w:val="center"/>
          </w:tcPr>
          <w:p w14:paraId="1FE9CECA">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tc>
      </w:tr>
      <w:tr w14:paraId="4DF3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vAlign w:val="center"/>
          </w:tcPr>
          <w:p w14:paraId="0BB4AAC4">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c>
          <w:tcPr>
            <w:tcW w:w="1187" w:type="dxa"/>
            <w:noWrap/>
            <w:vAlign w:val="center"/>
          </w:tcPr>
          <w:p w14:paraId="032B469A">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职务</w:t>
            </w:r>
          </w:p>
        </w:tc>
        <w:tc>
          <w:tcPr>
            <w:tcW w:w="2693" w:type="dxa"/>
            <w:gridSpan w:val="3"/>
            <w:noWrap/>
            <w:vAlign w:val="center"/>
          </w:tcPr>
          <w:p w14:paraId="10F5EE68">
            <w:pPr>
              <w:shd w:val="clear"/>
              <w:tabs>
                <w:tab w:val="right" w:leader="dot" w:pos="9022"/>
              </w:tabs>
              <w:autoSpaceDE w:val="0"/>
              <w:autoSpaceDN w:val="0"/>
              <w:adjustRightInd w:val="0"/>
              <w:spacing w:line="400" w:lineRule="exact"/>
              <w:jc w:val="center"/>
              <w:rPr>
                <w:rFonts w:hint="eastAsia" w:asciiTheme="minorEastAsia" w:hAnsiTheme="minorEastAsia" w:eastAsiaTheme="minorEastAsia" w:cstheme="minorEastAsia"/>
                <w:bCs/>
                <w:caps/>
                <w:color w:val="auto"/>
                <w:sz w:val="24"/>
                <w:szCs w:val="24"/>
                <w:highlight w:val="none"/>
              </w:rPr>
            </w:pPr>
          </w:p>
        </w:tc>
        <w:tc>
          <w:tcPr>
            <w:tcW w:w="1559" w:type="dxa"/>
            <w:noWrap/>
            <w:vAlign w:val="center"/>
          </w:tcPr>
          <w:p w14:paraId="41ECFBFA">
            <w:pPr>
              <w:shd w:val="clear"/>
              <w:tabs>
                <w:tab w:val="right" w:leader="dot" w:pos="9022"/>
              </w:tabs>
              <w:autoSpaceDE w:val="0"/>
              <w:autoSpaceDN w:val="0"/>
              <w:adjustRightInd w:val="0"/>
              <w:spacing w:line="4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联系电话</w:t>
            </w:r>
          </w:p>
        </w:tc>
        <w:tc>
          <w:tcPr>
            <w:tcW w:w="2414" w:type="dxa"/>
            <w:noWrap/>
            <w:vAlign w:val="center"/>
          </w:tcPr>
          <w:p w14:paraId="2FCA3FCE">
            <w:pPr>
              <w:shd w:val="clea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highlight w:val="none"/>
              </w:rPr>
            </w:pPr>
          </w:p>
        </w:tc>
      </w:tr>
      <w:tr w14:paraId="5A50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restart"/>
            <w:noWrap/>
            <w:vAlign w:val="center"/>
          </w:tcPr>
          <w:p w14:paraId="19A6C342">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被授权人</w:t>
            </w:r>
          </w:p>
        </w:tc>
        <w:tc>
          <w:tcPr>
            <w:tcW w:w="1187" w:type="dxa"/>
            <w:noWrap/>
            <w:vAlign w:val="center"/>
          </w:tcPr>
          <w:p w14:paraId="112B753E">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姓名</w:t>
            </w:r>
          </w:p>
        </w:tc>
        <w:tc>
          <w:tcPr>
            <w:tcW w:w="2693" w:type="dxa"/>
            <w:gridSpan w:val="3"/>
            <w:noWrap/>
            <w:vAlign w:val="center"/>
          </w:tcPr>
          <w:p w14:paraId="02AC123B">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tc>
        <w:tc>
          <w:tcPr>
            <w:tcW w:w="1559" w:type="dxa"/>
            <w:noWrap/>
            <w:vAlign w:val="center"/>
          </w:tcPr>
          <w:p w14:paraId="3C92FA48">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性    别</w:t>
            </w:r>
          </w:p>
        </w:tc>
        <w:tc>
          <w:tcPr>
            <w:tcW w:w="2414" w:type="dxa"/>
            <w:noWrap/>
            <w:vAlign w:val="center"/>
          </w:tcPr>
          <w:p w14:paraId="21F7761A">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p>
        </w:tc>
      </w:tr>
      <w:tr w14:paraId="24DB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vMerge w:val="continue"/>
            <w:noWrap/>
          </w:tcPr>
          <w:p w14:paraId="1B73C4EF">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c>
          <w:tcPr>
            <w:tcW w:w="1187" w:type="dxa"/>
            <w:noWrap/>
            <w:vAlign w:val="center"/>
          </w:tcPr>
          <w:p w14:paraId="13CA343E">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职务</w:t>
            </w:r>
          </w:p>
        </w:tc>
        <w:tc>
          <w:tcPr>
            <w:tcW w:w="2693" w:type="dxa"/>
            <w:gridSpan w:val="3"/>
            <w:noWrap/>
            <w:vAlign w:val="center"/>
          </w:tcPr>
          <w:p w14:paraId="5192BD7C">
            <w:pPr>
              <w:shd w:val="clear"/>
              <w:tabs>
                <w:tab w:val="right" w:leader="dot" w:pos="9022"/>
              </w:tabs>
              <w:autoSpaceDE w:val="0"/>
              <w:autoSpaceDN w:val="0"/>
              <w:adjustRightInd w:val="0"/>
              <w:spacing w:line="400" w:lineRule="exact"/>
              <w:jc w:val="center"/>
              <w:rPr>
                <w:rFonts w:hint="eastAsia" w:asciiTheme="minorEastAsia" w:hAnsiTheme="minorEastAsia" w:eastAsiaTheme="minorEastAsia" w:cstheme="minorEastAsia"/>
                <w:bCs/>
                <w:caps/>
                <w:color w:val="auto"/>
                <w:sz w:val="24"/>
                <w:szCs w:val="24"/>
                <w:highlight w:val="none"/>
              </w:rPr>
            </w:pPr>
          </w:p>
        </w:tc>
        <w:tc>
          <w:tcPr>
            <w:tcW w:w="1559" w:type="dxa"/>
            <w:noWrap/>
            <w:vAlign w:val="center"/>
          </w:tcPr>
          <w:p w14:paraId="38A3C164">
            <w:pPr>
              <w:shd w:val="clear"/>
              <w:tabs>
                <w:tab w:val="right" w:leader="dot" w:pos="9022"/>
              </w:tabs>
              <w:autoSpaceDE w:val="0"/>
              <w:autoSpaceDN w:val="0"/>
              <w:adjustRightInd w:val="0"/>
              <w:spacing w:line="4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联系电话</w:t>
            </w:r>
          </w:p>
        </w:tc>
        <w:tc>
          <w:tcPr>
            <w:tcW w:w="2414" w:type="dxa"/>
            <w:noWrap/>
          </w:tcPr>
          <w:p w14:paraId="69391848">
            <w:pPr>
              <w:shd w:val="clear"/>
              <w:tabs>
                <w:tab w:val="right" w:leader="dot" w:pos="9022"/>
              </w:tabs>
              <w:autoSpaceDE w:val="0"/>
              <w:autoSpaceDN w:val="0"/>
              <w:adjustRightInd w:val="0"/>
              <w:spacing w:line="400" w:lineRule="exact"/>
              <w:rPr>
                <w:rFonts w:hint="eastAsia" w:asciiTheme="minorEastAsia" w:hAnsiTheme="minorEastAsia" w:eastAsiaTheme="minorEastAsia" w:cstheme="minorEastAsia"/>
                <w:bCs/>
                <w:caps/>
                <w:color w:val="auto"/>
                <w:sz w:val="24"/>
                <w:szCs w:val="24"/>
                <w:highlight w:val="none"/>
              </w:rPr>
            </w:pPr>
          </w:p>
        </w:tc>
      </w:tr>
      <w:tr w14:paraId="4928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72" w:type="dxa"/>
            <w:noWrap/>
          </w:tcPr>
          <w:p w14:paraId="23361CE3">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通讯地址</w:t>
            </w:r>
          </w:p>
        </w:tc>
        <w:tc>
          <w:tcPr>
            <w:tcW w:w="7853" w:type="dxa"/>
            <w:gridSpan w:val="6"/>
            <w:noWrap/>
          </w:tcPr>
          <w:p w14:paraId="4E9B8C35">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tc>
      </w:tr>
      <w:tr w14:paraId="2753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4957" w:type="dxa"/>
            <w:gridSpan w:val="4"/>
            <w:noWrap/>
            <w:vAlign w:val="center"/>
          </w:tcPr>
          <w:p w14:paraId="0AD07C44">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法定代表人身份证正反面复印件</w:t>
            </w:r>
          </w:p>
          <w:p w14:paraId="4A0CA883">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p w14:paraId="24C9AE1C">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（粘贴处）</w:t>
            </w:r>
          </w:p>
        </w:tc>
        <w:tc>
          <w:tcPr>
            <w:tcW w:w="4468" w:type="dxa"/>
            <w:gridSpan w:val="3"/>
            <w:noWrap/>
            <w:vAlign w:val="center"/>
          </w:tcPr>
          <w:p w14:paraId="449459DB">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被授权人身份证正反面复印件</w:t>
            </w:r>
          </w:p>
          <w:p w14:paraId="79D88D79">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p>
          <w:p w14:paraId="08D98CAD">
            <w:pPr>
              <w:shd w:val="clear"/>
              <w:tabs>
                <w:tab w:val="right" w:leader="dot" w:pos="9022"/>
              </w:tabs>
              <w:autoSpaceDE w:val="0"/>
              <w:autoSpaceDN w:val="0"/>
              <w:adjustRightInd w:val="0"/>
              <w:spacing w:line="500" w:lineRule="exact"/>
              <w:jc w:val="center"/>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（粘贴处）</w:t>
            </w:r>
          </w:p>
        </w:tc>
      </w:tr>
      <w:tr w14:paraId="39E6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425" w:type="dxa"/>
            <w:gridSpan w:val="7"/>
            <w:tcBorders>
              <w:bottom w:val="single" w:color="auto" w:sz="4" w:space="0"/>
            </w:tcBorders>
            <w:noWrap/>
            <w:vAlign w:val="center"/>
          </w:tcPr>
          <w:p w14:paraId="6C9E76CC">
            <w:pPr>
              <w:shd w:val="clear"/>
              <w:tabs>
                <w:tab w:val="right" w:leader="dot" w:pos="9022"/>
              </w:tabs>
              <w:autoSpaceDE w:val="0"/>
              <w:autoSpaceDN w:val="0"/>
              <w:adjustRightInd w:val="0"/>
              <w:spacing w:line="500" w:lineRule="exact"/>
              <w:jc w:val="lef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法定代表人及被授权人签字或盖章：</w:t>
            </w:r>
          </w:p>
        </w:tc>
      </w:tr>
    </w:tbl>
    <w:p w14:paraId="5E8EF90F">
      <w:pPr>
        <w:shd w:val="clear"/>
        <w:autoSpaceDE w:val="0"/>
        <w:autoSpaceDN w:val="0"/>
        <w:adjustRightInd w:val="0"/>
        <w:snapToGrid w:val="0"/>
        <w:spacing w:line="480" w:lineRule="exact"/>
        <w:rPr>
          <w:rFonts w:hint="eastAsia" w:asciiTheme="minorEastAsia" w:hAnsiTheme="minorEastAsia" w:eastAsiaTheme="minorEastAsia" w:cstheme="minorEastAsia"/>
          <w:bCs/>
          <w:caps/>
          <w:color w:val="auto"/>
          <w:sz w:val="24"/>
          <w:szCs w:val="24"/>
          <w:highlight w:val="none"/>
        </w:rPr>
      </w:pPr>
      <w:r>
        <w:rPr>
          <w:rFonts w:hint="eastAsia" w:asciiTheme="minorEastAsia" w:hAnsiTheme="minorEastAsia" w:eastAsiaTheme="minorEastAsia" w:cstheme="minorEastAsia"/>
          <w:bCs/>
          <w:caps/>
          <w:color w:val="auto"/>
          <w:sz w:val="24"/>
          <w:szCs w:val="24"/>
          <w:highlight w:val="none"/>
        </w:rPr>
        <w:t>供应商名称：</w:t>
      </w:r>
      <w:r>
        <w:rPr>
          <w:rFonts w:hint="eastAsia" w:asciiTheme="minorEastAsia" w:hAnsiTheme="minorEastAsia" w:eastAsiaTheme="minorEastAsia" w:cstheme="minorEastAsia"/>
          <w:bCs/>
          <w:caps/>
          <w:color w:val="auto"/>
          <w:sz w:val="24"/>
          <w:szCs w:val="24"/>
          <w:highlight w:val="none"/>
          <w:u w:val="single"/>
        </w:rPr>
        <w:t xml:space="preserve">              </w:t>
      </w:r>
      <w:r>
        <w:rPr>
          <w:rFonts w:hint="eastAsia" w:asciiTheme="minorEastAsia" w:hAnsiTheme="minorEastAsia" w:eastAsiaTheme="minorEastAsia" w:cstheme="minorEastAsia"/>
          <w:bCs/>
          <w:caps/>
          <w:color w:val="auto"/>
          <w:sz w:val="24"/>
          <w:szCs w:val="24"/>
          <w:highlight w:val="none"/>
        </w:rPr>
        <w:t xml:space="preserve"> （供应商单位公章）     日 期：  </w:t>
      </w:r>
    </w:p>
    <w:p w14:paraId="12A45814">
      <w:pPr>
        <w:shd w:val="clear"/>
        <w:rPr>
          <w:rFonts w:hint="eastAsia" w:asciiTheme="minorEastAsia" w:hAnsiTheme="minorEastAsia" w:eastAsiaTheme="minorEastAsia" w:cstheme="minorEastAsia"/>
          <w:color w:val="auto"/>
          <w:highlight w:val="none"/>
        </w:rPr>
        <w:sectPr>
          <w:pgSz w:w="11906" w:h="16838"/>
          <w:pgMar w:top="1440" w:right="1803" w:bottom="1440" w:left="1803" w:header="851" w:footer="992" w:gutter="0"/>
          <w:cols w:space="720" w:num="1"/>
        </w:sectPr>
      </w:pPr>
    </w:p>
    <w:p w14:paraId="6BACA167">
      <w:pPr>
        <w:shd w:val="clear"/>
        <w:spacing w:before="162"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8"/>
          <w:highlight w:val="none"/>
        </w:rPr>
        <w:t>附件三：《中小企业声明函》</w:t>
      </w:r>
    </w:p>
    <w:p w14:paraId="720CDB83">
      <w:pPr>
        <w:shd w:val="clear"/>
        <w:spacing w:line="360" w:lineRule="auto"/>
        <w:ind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中小企业声明函</w:t>
      </w:r>
    </w:p>
    <w:p w14:paraId="0DD48112">
      <w:pPr>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 号）的规定，本公司 （联合体）参加</w:t>
      </w:r>
      <w:r>
        <w:rPr>
          <w:rFonts w:hint="eastAsia" w:asciiTheme="minorEastAsia" w:hAnsiTheme="minorEastAsia" w:eastAsiaTheme="minorEastAsia" w:cstheme="minorEastAsia"/>
          <w:color w:val="auto"/>
          <w:sz w:val="24"/>
          <w:szCs w:val="24"/>
          <w:highlight w:val="none"/>
          <w:u w:val="single"/>
        </w:rPr>
        <w:t>（单位名称）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EAE061C">
      <w:pPr>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w:t>
      </w:r>
      <w:r>
        <w:rPr>
          <w:rFonts w:hint="eastAsia" w:asciiTheme="minorEastAsia" w:hAnsiTheme="minorEastAsia" w:eastAsiaTheme="minorEastAsia" w:cstheme="minorEastAsia"/>
          <w:color w:val="auto"/>
          <w:sz w:val="24"/>
          <w:szCs w:val="24"/>
          <w:highlight w:val="none"/>
          <w:u w:val="single"/>
        </w:rPr>
        <w:t xml:space="preserve"> （标的名称） </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rPr>
        <w:t>承建（承接）企业为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 ，属于（</w:t>
      </w:r>
      <w:r>
        <w:rPr>
          <w:rFonts w:hint="eastAsia" w:asciiTheme="minorEastAsia" w:hAnsiTheme="minorEastAsia" w:eastAsiaTheme="minorEastAsia" w:cstheme="minorEastAsia"/>
          <w:color w:val="auto"/>
          <w:sz w:val="24"/>
          <w:szCs w:val="24"/>
          <w:highlight w:val="none"/>
          <w:u w:val="single"/>
        </w:rPr>
        <w:t>中型企业、 小型企业、微型企业</w:t>
      </w:r>
      <w:r>
        <w:rPr>
          <w:rFonts w:hint="eastAsia" w:asciiTheme="minorEastAsia" w:hAnsiTheme="minorEastAsia" w:eastAsiaTheme="minorEastAsia" w:cstheme="minorEastAsia"/>
          <w:color w:val="auto"/>
          <w:sz w:val="24"/>
          <w:szCs w:val="24"/>
          <w:highlight w:val="none"/>
        </w:rPr>
        <w:t>）；</w:t>
      </w:r>
    </w:p>
    <w:p w14:paraId="24801D2D">
      <w:pPr>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w:t>
      </w:r>
      <w:r>
        <w:rPr>
          <w:rFonts w:hint="eastAsia" w:asciiTheme="minorEastAsia" w:hAnsiTheme="minorEastAsia" w:eastAsiaTheme="minorEastAsia" w:cstheme="minorEastAsia"/>
          <w:color w:val="auto"/>
          <w:sz w:val="24"/>
          <w:szCs w:val="24"/>
          <w:highlight w:val="none"/>
          <w:u w:val="single"/>
        </w:rPr>
        <w:t xml:space="preserve"> （标的名称） </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（采购文件中明确的所属行业）</w:t>
      </w:r>
      <w:r>
        <w:rPr>
          <w:rFonts w:hint="eastAsia" w:asciiTheme="minorEastAsia" w:hAnsiTheme="minorEastAsia" w:eastAsiaTheme="minorEastAsia" w:cstheme="minorEastAsia"/>
          <w:color w:val="auto"/>
          <w:sz w:val="24"/>
          <w:szCs w:val="24"/>
          <w:highlight w:val="none"/>
        </w:rPr>
        <w:t>；承建（承接）企业为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中型企业、 小型企业、微型企业</w:t>
      </w:r>
      <w:r>
        <w:rPr>
          <w:rFonts w:hint="eastAsia" w:asciiTheme="minorEastAsia" w:hAnsiTheme="minorEastAsia" w:eastAsiaTheme="minorEastAsia" w:cstheme="minorEastAsia"/>
          <w:color w:val="auto"/>
          <w:sz w:val="24"/>
          <w:szCs w:val="24"/>
          <w:highlight w:val="none"/>
        </w:rPr>
        <w:t>）；</w:t>
      </w:r>
    </w:p>
    <w:p w14:paraId="0ABF3114">
      <w:pPr>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 </w:t>
      </w:r>
    </w:p>
    <w:p w14:paraId="3C40E79E">
      <w:pPr>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以上企业，不属于大企业的分支机构，不存在控股股东为大企业的情形，也不存在与大企业的负责人为同一人的情形。 </w:t>
      </w:r>
    </w:p>
    <w:p w14:paraId="07ABF5C6">
      <w:pPr>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本企业对上述声明内容的真实性负责。如有虚假，将依法承担相应责任。 </w:t>
      </w:r>
    </w:p>
    <w:p w14:paraId="11630657">
      <w:pPr>
        <w:shd w:val="clear"/>
        <w:spacing w:beforeLines="50" w:afterLines="50" w:line="360" w:lineRule="auto"/>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z w:val="24"/>
          <w:szCs w:val="24"/>
          <w:highlight w:val="none"/>
        </w:rPr>
        <w:t xml:space="preserve"> 供应商名</w:t>
      </w:r>
      <w:r>
        <w:rPr>
          <w:rFonts w:hint="eastAsia" w:asciiTheme="minorEastAsia" w:hAnsiTheme="minorEastAsia" w:eastAsiaTheme="minorEastAsia" w:cstheme="minorEastAsia"/>
          <w:color w:val="auto"/>
          <w:spacing w:val="4"/>
          <w:sz w:val="24"/>
          <w:szCs w:val="24"/>
          <w:highlight w:val="none"/>
        </w:rPr>
        <w:t>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单位公章）</w:t>
      </w:r>
    </w:p>
    <w:p w14:paraId="21FA40EC">
      <w:pPr>
        <w:shd w:val="clear"/>
        <w:adjustRightInd w:val="0"/>
        <w:snapToGrid w:val="0"/>
        <w:spacing w:line="360" w:lineRule="auto"/>
        <w:ind w:right="420"/>
        <w:jc w:val="center"/>
        <w:rPr>
          <w:rFonts w:hint="eastAsia" w:asciiTheme="minorEastAsia" w:hAnsiTheme="minorEastAsia" w:eastAsiaTheme="minorEastAsia" w:cstheme="minorEastAsia"/>
          <w:color w:val="auto"/>
          <w:sz w:val="22"/>
          <w:szCs w:val="22"/>
          <w:highlight w:val="none"/>
          <w:vertAlign w:val="superscript"/>
        </w:rPr>
      </w:pPr>
      <w:r>
        <w:rPr>
          <w:rFonts w:hint="eastAsia" w:asciiTheme="minorEastAsia" w:hAnsiTheme="minorEastAsia" w:eastAsiaTheme="minorEastAsia" w:cstheme="minorEastAsia"/>
          <w:color w:val="auto"/>
          <w:sz w:val="24"/>
          <w:szCs w:val="24"/>
          <w:highlight w:val="none"/>
        </w:rPr>
        <w:t xml:space="preserve">                           日    期：    年   月   日</w:t>
      </w:r>
    </w:p>
    <w:p w14:paraId="708FCC64">
      <w:pPr>
        <w:pStyle w:val="11"/>
        <w:shd w:val="clear"/>
        <w:rPr>
          <w:rFonts w:hint="eastAsia" w:asciiTheme="minorEastAsia" w:hAnsiTheme="minorEastAsia" w:eastAsiaTheme="minorEastAsia" w:cstheme="minorEastAsia"/>
          <w:color w:val="auto"/>
          <w:highlight w:val="none"/>
        </w:rPr>
      </w:pPr>
    </w:p>
    <w:p w14:paraId="19EFBF50">
      <w:pPr>
        <w:shd w:val="clear"/>
        <w:rPr>
          <w:rFonts w:hint="eastAsia" w:asciiTheme="minorEastAsia" w:hAnsiTheme="minorEastAsia" w:eastAsiaTheme="minorEastAsia" w:cstheme="minorEastAsia"/>
          <w:color w:val="auto"/>
          <w:sz w:val="22"/>
          <w:szCs w:val="22"/>
          <w:highlight w:val="none"/>
          <w:vertAlign w:val="superscript"/>
        </w:rPr>
      </w:pPr>
    </w:p>
    <w:p w14:paraId="6256F781">
      <w:pPr>
        <w:shd w:val="clear"/>
        <w:rPr>
          <w:rFonts w:hint="eastAsia" w:asciiTheme="minorEastAsia" w:hAnsiTheme="minorEastAsia" w:eastAsiaTheme="minorEastAsia" w:cstheme="minorEastAsia"/>
          <w:color w:val="auto"/>
          <w:sz w:val="22"/>
          <w:szCs w:val="22"/>
          <w:highlight w:val="none"/>
          <w:vertAlign w:val="superscript"/>
        </w:rPr>
      </w:pPr>
    </w:p>
    <w:p w14:paraId="05C6A61A">
      <w:pPr>
        <w:pStyle w:val="49"/>
        <w:shd w:val="clear"/>
        <w:spacing w:line="312" w:lineRule="auto"/>
        <w:ind w:firstLine="0" w:firstLineChars="0"/>
        <w:rPr>
          <w:rFonts w:hint="eastAsia" w:asciiTheme="minorEastAsia" w:hAnsiTheme="minorEastAsia" w:eastAsiaTheme="minorEastAsia" w:cstheme="minorEastAsia"/>
          <w:b/>
          <w:bCs/>
          <w:color w:val="auto"/>
          <w:kern w:val="2"/>
          <w:sz w:val="22"/>
          <w:highlight w:val="none"/>
        </w:rPr>
      </w:pPr>
      <w:r>
        <w:rPr>
          <w:rFonts w:hint="eastAsia" w:asciiTheme="minorEastAsia" w:hAnsiTheme="minorEastAsia" w:eastAsiaTheme="minorEastAsia" w:cstheme="minorEastAsia"/>
          <w:b/>
          <w:bCs/>
          <w:color w:val="auto"/>
          <w:kern w:val="2"/>
          <w:sz w:val="22"/>
          <w:highlight w:val="none"/>
        </w:rPr>
        <w:t>备注：</w:t>
      </w:r>
    </w:p>
    <w:p w14:paraId="16D3647A">
      <w:pPr>
        <w:pStyle w:val="49"/>
        <w:shd w:val="clear"/>
        <w:spacing w:line="312" w:lineRule="auto"/>
        <w:ind w:firstLine="0" w:firstLineChars="0"/>
        <w:rPr>
          <w:rFonts w:hint="eastAsia" w:asciiTheme="minorEastAsia" w:hAnsiTheme="minorEastAsia" w:eastAsiaTheme="minorEastAsia" w:cstheme="minorEastAsia"/>
          <w:b/>
          <w:bCs/>
          <w:color w:val="auto"/>
          <w:kern w:val="2"/>
          <w:sz w:val="22"/>
          <w:highlight w:val="none"/>
        </w:rPr>
      </w:pPr>
      <w:r>
        <w:rPr>
          <w:rFonts w:hint="eastAsia" w:asciiTheme="minorEastAsia" w:hAnsiTheme="minorEastAsia" w:eastAsiaTheme="minorEastAsia" w:cstheme="minorEastAsia"/>
          <w:b/>
          <w:bCs/>
          <w:color w:val="auto"/>
          <w:kern w:val="2"/>
          <w:sz w:val="22"/>
          <w:highlight w:val="none"/>
        </w:rPr>
        <w:t>1.从业人员、营业收入、资产总额填报上一年度数据，无上一年度数据的新成立企业可不填报。</w:t>
      </w:r>
    </w:p>
    <w:p w14:paraId="600B82F1">
      <w:pPr>
        <w:pStyle w:val="49"/>
        <w:shd w:val="clear"/>
        <w:spacing w:line="312" w:lineRule="auto"/>
        <w:ind w:firstLine="0" w:firstLineChars="0"/>
        <w:rPr>
          <w:rFonts w:hint="eastAsia" w:asciiTheme="minorEastAsia" w:hAnsiTheme="minorEastAsia" w:eastAsiaTheme="minorEastAsia" w:cstheme="minorEastAsia"/>
          <w:b/>
          <w:bCs/>
          <w:color w:val="auto"/>
          <w:kern w:val="2"/>
          <w:sz w:val="22"/>
          <w:highlight w:val="none"/>
        </w:rPr>
      </w:pPr>
      <w:r>
        <w:rPr>
          <w:rFonts w:hint="eastAsia" w:asciiTheme="minorEastAsia" w:hAnsiTheme="minorEastAsia" w:eastAsiaTheme="minorEastAsia" w:cstheme="minorEastAsia"/>
          <w:b/>
          <w:bCs/>
          <w:color w:val="auto"/>
          <w:kern w:val="2"/>
          <w:sz w:val="22"/>
          <w:highlight w:val="none"/>
        </w:rPr>
        <w:t>2.填写前请认真阅读《工业和信息化部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财政部关于印发中小企业划型标准规定的通知》(工信部联企业〔2011〕300号)和《财政部、工业和信息化部关于印发〈政府采购促进中小企业发展管理办法〉的通知》（财库﹝2020﹞46号）相关规定。</w:t>
      </w:r>
    </w:p>
    <w:p w14:paraId="2F3C2946">
      <w:pPr>
        <w:shd w:val="clear"/>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22"/>
          <w:szCs w:val="22"/>
          <w:highlight w:val="none"/>
        </w:rPr>
        <w:t>3.本项目采购标的对应的中小企业划分标准所属行业为其他未列明行业。（所属行业类别供应商不得更改，否则，造成不利影响供应商自行承担）</w:t>
      </w:r>
      <w:r>
        <w:rPr>
          <w:rFonts w:hint="eastAsia" w:asciiTheme="minorEastAsia" w:hAnsiTheme="minorEastAsia" w:eastAsiaTheme="minorEastAsia" w:cstheme="minorEastAsia"/>
          <w:b/>
          <w:bCs/>
          <w:color w:val="auto"/>
          <w:sz w:val="18"/>
          <w:szCs w:val="18"/>
          <w:highlight w:val="none"/>
        </w:rPr>
        <w:br w:type="page"/>
      </w:r>
    </w:p>
    <w:p w14:paraId="7E12198D">
      <w:pPr>
        <w:shd w:val="clear"/>
        <w:spacing w:line="480" w:lineRule="auto"/>
        <w:rPr>
          <w:rFonts w:hint="eastAsia" w:asciiTheme="minorEastAsia" w:hAnsiTheme="minorEastAsia" w:eastAsiaTheme="minorEastAsia" w:cstheme="minorEastAsia"/>
          <w:b/>
          <w:bCs/>
          <w:color w:val="auto"/>
          <w:sz w:val="24"/>
          <w:szCs w:val="24"/>
          <w:highlight w:val="none"/>
        </w:rPr>
        <w:sectPr>
          <w:headerReference r:id="rId13" w:type="first"/>
          <w:footerReference r:id="rId15" w:type="first"/>
          <w:headerReference r:id="rId12" w:type="default"/>
          <w:footerReference r:id="rId14" w:type="default"/>
          <w:pgSz w:w="11905" w:h="16838"/>
          <w:pgMar w:top="1417" w:right="1134" w:bottom="1417" w:left="1304" w:header="935" w:footer="771" w:gutter="567"/>
          <w:cols w:space="0" w:num="1"/>
          <w:titlePg/>
          <w:docGrid w:linePitch="312" w:charSpace="0"/>
        </w:sectPr>
      </w:pPr>
    </w:p>
    <w:p w14:paraId="12238C07">
      <w:pPr>
        <w:shd w:val="clear"/>
        <w:spacing w:line="360" w:lineRule="auto"/>
        <w:jc w:val="center"/>
        <w:rPr>
          <w:rFonts w:hint="eastAsia" w:asciiTheme="minorEastAsia" w:hAnsiTheme="minorEastAsia" w:eastAsiaTheme="minorEastAsia" w:cstheme="minorEastAsia"/>
          <w:b/>
          <w:bCs/>
          <w:color w:val="auto"/>
          <w:sz w:val="24"/>
          <w:szCs w:val="24"/>
          <w:highlight w:val="none"/>
        </w:rPr>
      </w:pPr>
    </w:p>
    <w:p w14:paraId="05D411B1">
      <w:pPr>
        <w:shd w:val="clea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残疾人福利性单位声明函</w:t>
      </w:r>
      <w:r>
        <w:rPr>
          <w:rFonts w:hint="eastAsia" w:asciiTheme="minorEastAsia" w:hAnsiTheme="minorEastAsia" w:eastAsiaTheme="minorEastAsia" w:cstheme="minorEastAsia"/>
          <w:b/>
          <w:color w:val="auto"/>
          <w:sz w:val="24"/>
          <w:highlight w:val="none"/>
        </w:rPr>
        <w:t>（若有）</w:t>
      </w:r>
    </w:p>
    <w:p w14:paraId="0CBE9429">
      <w:pPr>
        <w:shd w:val="clear"/>
        <w:spacing w:line="360" w:lineRule="auto"/>
        <w:rPr>
          <w:rFonts w:hint="eastAsia" w:asciiTheme="minorEastAsia" w:hAnsiTheme="minorEastAsia" w:eastAsiaTheme="minorEastAsia" w:cstheme="minorEastAsia"/>
          <w:b/>
          <w:bCs/>
          <w:color w:val="auto"/>
          <w:sz w:val="24"/>
          <w:szCs w:val="24"/>
          <w:highlight w:val="none"/>
        </w:rPr>
      </w:pPr>
    </w:p>
    <w:p w14:paraId="1B4FA1BE">
      <w:pPr>
        <w:shd w:val="clear"/>
        <w:spacing w:line="360" w:lineRule="auto"/>
        <w:ind w:firstLine="504" w:firstLineChars="200"/>
        <w:rPr>
          <w:rFonts w:hint="eastAsia" w:asciiTheme="minorEastAsia" w:hAnsiTheme="minorEastAsia" w:eastAsiaTheme="minorEastAsia" w:cstheme="minorEastAsia"/>
          <w:color w:val="auto"/>
          <w:spacing w:val="6"/>
          <w:sz w:val="24"/>
          <w:szCs w:val="22"/>
          <w:highlight w:val="none"/>
        </w:rPr>
      </w:pPr>
      <w:r>
        <w:rPr>
          <w:rFonts w:hint="eastAsia" w:asciiTheme="minorEastAsia" w:hAnsiTheme="minorEastAsia" w:eastAsiaTheme="minorEastAsia" w:cstheme="minorEastAsia"/>
          <w:color w:val="auto"/>
          <w:spacing w:val="6"/>
          <w:sz w:val="24"/>
          <w:szCs w:val="22"/>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2"/>
          <w:highlight w:val="none"/>
        </w:rPr>
        <w:t>〔2017〕 141</w:t>
      </w:r>
      <w:r>
        <w:rPr>
          <w:rFonts w:hint="eastAsia" w:asciiTheme="minorEastAsia" w:hAnsiTheme="minorEastAsia" w:eastAsiaTheme="minorEastAsia" w:cstheme="minorEastAsia"/>
          <w:color w:val="auto"/>
          <w:spacing w:val="6"/>
          <w:sz w:val="24"/>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3EB5A3">
      <w:pPr>
        <w:shd w:val="clear"/>
        <w:spacing w:line="360" w:lineRule="auto"/>
        <w:ind w:firstLine="504" w:firstLineChars="200"/>
        <w:rPr>
          <w:rFonts w:hint="eastAsia" w:asciiTheme="minorEastAsia" w:hAnsiTheme="minorEastAsia" w:eastAsiaTheme="minorEastAsia" w:cstheme="minorEastAsia"/>
          <w:color w:val="auto"/>
          <w:spacing w:val="6"/>
          <w:sz w:val="24"/>
          <w:szCs w:val="22"/>
          <w:highlight w:val="none"/>
        </w:rPr>
      </w:pPr>
      <w:r>
        <w:rPr>
          <w:rFonts w:hint="eastAsia" w:asciiTheme="minorEastAsia" w:hAnsiTheme="minorEastAsia" w:eastAsiaTheme="minorEastAsia" w:cstheme="minorEastAsia"/>
          <w:color w:val="auto"/>
          <w:spacing w:val="6"/>
          <w:sz w:val="24"/>
          <w:szCs w:val="22"/>
          <w:highlight w:val="none"/>
        </w:rPr>
        <w:t>本单位对上述声明的真实性负责。如有虚假，将依法承担相应责任。</w:t>
      </w:r>
    </w:p>
    <w:p w14:paraId="5EDD7EE5">
      <w:pPr>
        <w:shd w:val="clear"/>
        <w:spacing w:line="360" w:lineRule="auto"/>
        <w:ind w:firstLine="584" w:firstLineChars="200"/>
        <w:rPr>
          <w:rFonts w:hint="eastAsia" w:asciiTheme="minorEastAsia" w:hAnsiTheme="minorEastAsia" w:eastAsiaTheme="minorEastAsia" w:cstheme="minorEastAsia"/>
          <w:color w:val="auto"/>
          <w:spacing w:val="6"/>
          <w:szCs w:val="24"/>
          <w:highlight w:val="none"/>
        </w:rPr>
      </w:pPr>
    </w:p>
    <w:p w14:paraId="634E7CDF">
      <w:pPr>
        <w:shd w:val="clear"/>
        <w:spacing w:line="360" w:lineRule="auto"/>
        <w:ind w:firstLine="584" w:firstLineChars="200"/>
        <w:rPr>
          <w:rFonts w:hint="eastAsia" w:asciiTheme="minorEastAsia" w:hAnsiTheme="minorEastAsia" w:eastAsiaTheme="minorEastAsia" w:cstheme="minorEastAsia"/>
          <w:color w:val="auto"/>
          <w:spacing w:val="6"/>
          <w:szCs w:val="24"/>
          <w:highlight w:val="none"/>
        </w:rPr>
      </w:pPr>
    </w:p>
    <w:p w14:paraId="0AC738B7">
      <w:pPr>
        <w:shd w:val="clear"/>
        <w:spacing w:beforeLines="50" w:afterLines="50" w:line="360" w:lineRule="auto"/>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 xml:space="preserve">                            供应商</w:t>
      </w:r>
      <w:r>
        <w:rPr>
          <w:rFonts w:hint="eastAsia" w:asciiTheme="minorEastAsia" w:hAnsiTheme="minorEastAsia" w:eastAsiaTheme="minorEastAsia" w:cstheme="minorEastAsia"/>
          <w:bCs/>
          <w:color w:val="auto"/>
          <w:sz w:val="24"/>
          <w:szCs w:val="24"/>
          <w:highlight w:val="none"/>
        </w:rPr>
        <w:t>名称</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单位公章）</w:t>
      </w:r>
    </w:p>
    <w:p w14:paraId="61A575FC">
      <w:pPr>
        <w:shd w:val="clear"/>
        <w:adjustRightInd w:val="0"/>
        <w:snapToGrid w:val="0"/>
        <w:spacing w:line="360" w:lineRule="auto"/>
        <w:ind w:right="4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    期：    年   月   日</w:t>
      </w:r>
    </w:p>
    <w:p w14:paraId="40D46BCB">
      <w:pPr>
        <w:shd w:val="clea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14:paraId="52B103A7">
      <w:pPr>
        <w:shd w:val="clear"/>
        <w:spacing w:line="48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三、符合性证明文件</w:t>
      </w:r>
    </w:p>
    <w:p w14:paraId="0C04EE30">
      <w:pPr>
        <w:pStyle w:val="58"/>
        <w:shd w:val="clear"/>
        <w:autoSpaceDE w:val="0"/>
        <w:autoSpaceDN w:val="0"/>
        <w:adjustRightInd w:val="0"/>
        <w:snapToGrid w:val="0"/>
        <w:spacing w:line="312" w:lineRule="auto"/>
        <w:ind w:firstLine="0" w:firstLineChars="0"/>
        <w:outlineLvl w:val="0"/>
        <w:rPr>
          <w:rFonts w:hint="eastAsia" w:asciiTheme="minorEastAsia" w:hAnsiTheme="minorEastAsia" w:eastAsiaTheme="minorEastAsia" w:cstheme="minorEastAsia"/>
          <w:b/>
          <w:color w:val="auto"/>
          <w:szCs w:val="24"/>
          <w:highlight w:val="none"/>
        </w:rPr>
      </w:pPr>
      <w:bookmarkStart w:id="79" w:name="_Toc8436"/>
      <w:bookmarkStart w:id="80" w:name="_Toc6042"/>
      <w:bookmarkStart w:id="81" w:name="_Toc1949"/>
      <w:bookmarkStart w:id="82" w:name="_Toc6482"/>
      <w:bookmarkStart w:id="83" w:name="_Toc721"/>
      <w:bookmarkStart w:id="84" w:name="_Toc27820"/>
      <w:r>
        <w:rPr>
          <w:rFonts w:hint="eastAsia" w:asciiTheme="minorEastAsia" w:hAnsiTheme="minorEastAsia" w:eastAsiaTheme="minorEastAsia" w:cstheme="minorEastAsia"/>
          <w:b/>
          <w:color w:val="auto"/>
          <w:szCs w:val="24"/>
          <w:highlight w:val="none"/>
        </w:rPr>
        <w:t>1、</w:t>
      </w:r>
      <w:r>
        <w:rPr>
          <w:rFonts w:hint="eastAsia" w:asciiTheme="minorEastAsia" w:hAnsiTheme="minorEastAsia" w:eastAsiaTheme="minorEastAsia" w:cstheme="minorEastAsia"/>
          <w:b/>
          <w:color w:val="auto"/>
          <w:szCs w:val="24"/>
          <w:highlight w:val="none"/>
          <w:lang w:val="zh-CN"/>
        </w:rPr>
        <w:t>响应</w:t>
      </w:r>
      <w:bookmarkEnd w:id="79"/>
      <w:bookmarkEnd w:id="80"/>
      <w:bookmarkEnd w:id="81"/>
      <w:bookmarkStart w:id="85" w:name="_Toc403027470"/>
      <w:bookmarkStart w:id="86" w:name="_Toc7447441"/>
      <w:r>
        <w:rPr>
          <w:rFonts w:hint="eastAsia" w:asciiTheme="minorEastAsia" w:hAnsiTheme="minorEastAsia" w:eastAsiaTheme="minorEastAsia" w:cstheme="minorEastAsia"/>
          <w:b/>
          <w:color w:val="auto"/>
          <w:szCs w:val="24"/>
          <w:highlight w:val="none"/>
        </w:rPr>
        <w:t>函</w:t>
      </w:r>
      <w:bookmarkEnd w:id="82"/>
      <w:bookmarkEnd w:id="83"/>
      <w:bookmarkEnd w:id="84"/>
    </w:p>
    <w:p w14:paraId="7FFCF3B0">
      <w:pPr>
        <w:pStyle w:val="58"/>
        <w:shd w:val="clear"/>
        <w:autoSpaceDE w:val="0"/>
        <w:autoSpaceDN w:val="0"/>
        <w:adjustRightInd w:val="0"/>
        <w:snapToGrid w:val="0"/>
        <w:spacing w:line="312" w:lineRule="auto"/>
        <w:ind w:firstLine="0" w:firstLineChars="0"/>
        <w:outlineLvl w:val="0"/>
        <w:rPr>
          <w:rFonts w:hint="eastAsia" w:asciiTheme="minorEastAsia" w:hAnsiTheme="minorEastAsia" w:eastAsiaTheme="minorEastAsia" w:cstheme="minorEastAsia"/>
          <w:color w:val="auto"/>
          <w:szCs w:val="24"/>
          <w:highlight w:val="none"/>
          <w:lang w:eastAsia="zh-CN"/>
        </w:rPr>
      </w:pPr>
      <w:bookmarkStart w:id="87" w:name="_Toc14203"/>
      <w:bookmarkStart w:id="88" w:name="_Toc30197"/>
      <w:bookmarkStart w:id="89" w:name="_Toc10099"/>
      <w:r>
        <w:rPr>
          <w:rFonts w:hint="eastAsia" w:asciiTheme="minorEastAsia" w:hAnsiTheme="minorEastAsia" w:eastAsiaTheme="minorEastAsia" w:cstheme="minorEastAsia"/>
          <w:color w:val="auto"/>
          <w:szCs w:val="24"/>
          <w:highlight w:val="none"/>
        </w:rPr>
        <w:t>致：</w:t>
      </w:r>
      <w:bookmarkEnd w:id="87"/>
      <w:bookmarkEnd w:id="88"/>
      <w:bookmarkEnd w:id="89"/>
      <w:r>
        <w:rPr>
          <w:rFonts w:hint="eastAsia" w:asciiTheme="minorEastAsia" w:hAnsiTheme="minorEastAsia" w:eastAsiaTheme="minorEastAsia" w:cstheme="minorEastAsia"/>
          <w:color w:val="auto"/>
          <w:szCs w:val="24"/>
          <w:highlight w:val="none"/>
          <w:lang w:eastAsia="zh-CN"/>
        </w:rPr>
        <w:t>陕西佳信项目管理有限公司</w:t>
      </w:r>
    </w:p>
    <w:p w14:paraId="55404D9D">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我单位收到贵公司</w:t>
      </w:r>
      <w:r>
        <w:rPr>
          <w:rFonts w:hint="eastAsia" w:asciiTheme="minorEastAsia" w:hAnsiTheme="minorEastAsia" w:eastAsiaTheme="minorEastAsia" w:cstheme="minorEastAsia"/>
          <w:color w:val="auto"/>
          <w:sz w:val="24"/>
          <w:szCs w:val="24"/>
          <w:highlight w:val="none"/>
          <w:u w:val="single"/>
        </w:rPr>
        <w:t xml:space="preserve">    （项目名称、项目编号）    </w:t>
      </w:r>
      <w:r>
        <w:rPr>
          <w:rFonts w:hint="eastAsia" w:asciiTheme="minorEastAsia" w:hAnsiTheme="minorEastAsia" w:eastAsiaTheme="minorEastAsia" w:cstheme="minorEastAsia"/>
          <w:color w:val="auto"/>
          <w:sz w:val="24"/>
          <w:szCs w:val="24"/>
          <w:highlight w:val="none"/>
        </w:rPr>
        <w:t>竞争性磋商文件，经详细研究，我们决定参加组织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项目（编号为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）的竞争性磋商活动，为此，我方郑重声明如下：</w:t>
      </w:r>
    </w:p>
    <w:p w14:paraId="24E0F1C0">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1、愿意按照磋商文件中的全部要求，提供符合采购内容要求的服务，履行合同的责任和义务。</w:t>
      </w:r>
    </w:p>
    <w:p w14:paraId="3B1A4793">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2、按照磋商文件的规定，磋商</w:t>
      </w:r>
      <w:r>
        <w:rPr>
          <w:rFonts w:hint="eastAsia" w:asciiTheme="minorEastAsia" w:hAnsiTheme="minorEastAsia" w:eastAsiaTheme="minorEastAsia" w:cstheme="minorEastAsia"/>
          <w:color w:val="auto"/>
          <w:sz w:val="24"/>
          <w:szCs w:val="24"/>
          <w:highlight w:val="none"/>
          <w:shd w:val="clear" w:color="auto" w:fill="FFFFFF"/>
        </w:rPr>
        <w:t>报价</w:t>
      </w:r>
      <w:r>
        <w:rPr>
          <w:rFonts w:hint="eastAsia" w:asciiTheme="minorEastAsia" w:hAnsiTheme="minorEastAsia" w:eastAsiaTheme="minorEastAsia" w:cstheme="minorEastAsia"/>
          <w:color w:val="auto"/>
          <w:sz w:val="24"/>
          <w:szCs w:val="24"/>
          <w:highlight w:val="none"/>
        </w:rPr>
        <w:t>为(大写)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人民币（RMB￥</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14:paraId="5323828E">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3、我方提交电子版磋商响应文件一份。</w:t>
      </w:r>
    </w:p>
    <w:p w14:paraId="1BD255EB">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4、如果我单位成交，我们将履行磋商文件中规定的每一项要求，完成项目采购内容。</w:t>
      </w:r>
    </w:p>
    <w:p w14:paraId="6CF15812">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5、我们理解，最低报价不是成交的唯一条件，你们有选择供应商中标的权力。</w:t>
      </w:r>
    </w:p>
    <w:p w14:paraId="3DE90EA9">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6、我方愿意按《中华人民共和国民法典》履行自己的全部义务和责任。</w:t>
      </w:r>
    </w:p>
    <w:p w14:paraId="58D594C7">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7、我方的磋商响文件有效期为磋商截止之日起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日历日，若我方成交，磋商响文件有效期延长至合同执行完毕。</w:t>
      </w:r>
    </w:p>
    <w:p w14:paraId="4F40C863">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8、我方已按磋商文件要求提交磋商保证金金额（大写）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，磋商保证金提交方式为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AA79D50">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9、我方同意贵方可能另外要求的与本磋商有关的任何证据和资料的提交。</w:t>
      </w:r>
    </w:p>
    <w:p w14:paraId="1F2AD521">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 我们同意，如果成交，向</w:t>
      </w:r>
      <w:r>
        <w:rPr>
          <w:rFonts w:hint="eastAsia" w:asciiTheme="minorEastAsia" w:hAnsiTheme="minorEastAsia" w:eastAsiaTheme="minorEastAsia" w:cstheme="minorEastAsia"/>
          <w:color w:val="auto"/>
          <w:sz w:val="24"/>
          <w:szCs w:val="24"/>
          <w:highlight w:val="none"/>
          <w:lang w:eastAsia="zh-CN"/>
        </w:rPr>
        <w:t>陕西佳信项目管理有限公司</w:t>
      </w:r>
      <w:r>
        <w:rPr>
          <w:rFonts w:hint="eastAsia" w:asciiTheme="minorEastAsia" w:hAnsiTheme="minorEastAsia" w:eastAsiaTheme="minorEastAsia" w:cstheme="minorEastAsia"/>
          <w:color w:val="auto"/>
          <w:sz w:val="24"/>
          <w:szCs w:val="24"/>
          <w:highlight w:val="none"/>
        </w:rPr>
        <w:t>缴纳成交服务费。</w:t>
      </w:r>
    </w:p>
    <w:p w14:paraId="202BACE6">
      <w:pPr>
        <w:shd w:val="clea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11、所有关于本次磋商的函电，请按下列地址联系。</w:t>
      </w:r>
    </w:p>
    <w:p w14:paraId="2BA8A9CA">
      <w:pPr>
        <w:shd w:val="clear"/>
        <w:spacing w:line="360" w:lineRule="auto"/>
        <w:ind w:firstLine="40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20"/>
          <w:sz w:val="24"/>
          <w:highlight w:val="none"/>
        </w:rPr>
        <w:t>注</w:t>
      </w:r>
      <w:r>
        <w:rPr>
          <w:rFonts w:hint="eastAsia" w:asciiTheme="minorEastAsia" w:hAnsiTheme="minorEastAsia" w:eastAsiaTheme="minorEastAsia" w:cstheme="minorEastAsia"/>
          <w:color w:val="auto"/>
          <w:sz w:val="24"/>
          <w:highlight w:val="none"/>
        </w:rPr>
        <w:t>：磋商报价应与清单的报价汇总表数字一致。精确到元.角.分。</w:t>
      </w:r>
    </w:p>
    <w:p w14:paraId="03410ED0">
      <w:pPr>
        <w:shd w:val="clear"/>
        <w:spacing w:line="360" w:lineRule="auto"/>
        <w:ind w:firstLine="1200" w:firstLineChars="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  应  商：</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（盖章）   </w:t>
      </w:r>
    </w:p>
    <w:p w14:paraId="1A5DDC37">
      <w:pPr>
        <w:shd w:val="clear"/>
        <w:spacing w:line="360" w:lineRule="auto"/>
        <w:ind w:firstLine="1200" w:firstLineChars="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 位 地 址：</w:t>
      </w:r>
      <w:r>
        <w:rPr>
          <w:rFonts w:hint="eastAsia" w:asciiTheme="minorEastAsia" w:hAnsiTheme="minorEastAsia" w:eastAsiaTheme="minorEastAsia" w:cstheme="minorEastAsia"/>
          <w:color w:val="auto"/>
          <w:sz w:val="24"/>
          <w:highlight w:val="none"/>
          <w:u w:val="single"/>
        </w:rPr>
        <w:t xml:space="preserve">                                           </w:t>
      </w:r>
    </w:p>
    <w:p w14:paraId="45D43285">
      <w:pPr>
        <w:shd w:val="clear"/>
        <w:spacing w:line="360" w:lineRule="auto"/>
        <w:ind w:firstLine="1200" w:firstLineChars="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法定代表人或被授权人：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签字或盖章）</w:t>
      </w:r>
    </w:p>
    <w:p w14:paraId="6B51C8B9">
      <w:pPr>
        <w:shd w:val="clear"/>
        <w:spacing w:line="360" w:lineRule="auto"/>
        <w:ind w:firstLine="1200" w:firstLineChars="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600888A9">
      <w:pPr>
        <w:shd w:val="clear"/>
        <w:spacing w:line="360" w:lineRule="auto"/>
        <w:ind w:firstLine="1200" w:firstLineChars="5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日      期：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年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日</w:t>
      </w:r>
    </w:p>
    <w:bookmarkEnd w:id="85"/>
    <w:bookmarkEnd w:id="86"/>
    <w:p w14:paraId="25FCE402">
      <w:pPr>
        <w:shd w:val="clear"/>
        <w:autoSpaceDE w:val="0"/>
        <w:autoSpaceDN w:val="0"/>
        <w:adjustRightInd w:val="0"/>
        <w:snapToGrid w:val="0"/>
        <w:spacing w:line="360" w:lineRule="auto"/>
        <w:outlineLvl w:val="0"/>
        <w:rPr>
          <w:rFonts w:hint="eastAsia" w:asciiTheme="minorEastAsia" w:hAnsiTheme="minorEastAsia" w:eastAsiaTheme="minorEastAsia" w:cstheme="minorEastAsia"/>
          <w:b/>
          <w:bCs/>
          <w:color w:val="auto"/>
          <w:sz w:val="24"/>
          <w:szCs w:val="24"/>
          <w:highlight w:val="none"/>
        </w:rPr>
      </w:pPr>
      <w:bookmarkStart w:id="90" w:name="_Toc26930"/>
      <w:bookmarkStart w:id="91" w:name="_Toc5315"/>
      <w:bookmarkStart w:id="92" w:name="_Toc31858"/>
      <w:bookmarkStart w:id="93" w:name="_Toc7447442"/>
    </w:p>
    <w:p w14:paraId="0026F3B7">
      <w:pPr>
        <w:shd w:val="clear"/>
        <w:autoSpaceDE w:val="0"/>
        <w:autoSpaceDN w:val="0"/>
        <w:adjustRightInd w:val="0"/>
        <w:snapToGrid w:val="0"/>
        <w:spacing w:line="360" w:lineRule="auto"/>
        <w:outlineLvl w:val="0"/>
        <w:rPr>
          <w:rFonts w:hint="eastAsia" w:asciiTheme="minorEastAsia" w:hAnsiTheme="minorEastAsia" w:eastAsiaTheme="minorEastAsia" w:cstheme="minorEastAsia"/>
          <w:b/>
          <w:bCs/>
          <w:color w:val="auto"/>
          <w:sz w:val="24"/>
          <w:szCs w:val="24"/>
          <w:highlight w:val="none"/>
        </w:rPr>
      </w:pPr>
    </w:p>
    <w:p w14:paraId="4C6ADB19">
      <w:pPr>
        <w:shd w:val="clear"/>
        <w:autoSpaceDE w:val="0"/>
        <w:autoSpaceDN w:val="0"/>
        <w:adjustRightInd w:val="0"/>
        <w:snapToGrid w:val="0"/>
        <w:spacing w:line="360" w:lineRule="auto"/>
        <w:outlineLvl w:val="0"/>
        <w:rPr>
          <w:rFonts w:hint="eastAsia" w:asciiTheme="minorEastAsia" w:hAnsiTheme="minorEastAsia" w:eastAsiaTheme="minorEastAsia" w:cstheme="minorEastAsia"/>
          <w:b/>
          <w:bCs/>
          <w:color w:val="auto"/>
          <w:sz w:val="24"/>
          <w:szCs w:val="24"/>
          <w:highlight w:val="none"/>
        </w:rPr>
      </w:pPr>
      <w:bookmarkStart w:id="94" w:name="_Toc569"/>
      <w:bookmarkStart w:id="95" w:name="_Toc4268"/>
      <w:bookmarkStart w:id="96" w:name="_Toc28855"/>
      <w:r>
        <w:rPr>
          <w:rFonts w:hint="eastAsia" w:asciiTheme="minorEastAsia" w:hAnsiTheme="minorEastAsia" w:eastAsiaTheme="minorEastAsia" w:cstheme="minorEastAsia"/>
          <w:b/>
          <w:bCs/>
          <w:color w:val="auto"/>
          <w:sz w:val="24"/>
          <w:szCs w:val="24"/>
          <w:highlight w:val="none"/>
        </w:rPr>
        <w:t>2、第一次磋商报价表</w:t>
      </w:r>
      <w:bookmarkEnd w:id="90"/>
      <w:bookmarkEnd w:id="91"/>
      <w:bookmarkEnd w:id="92"/>
      <w:bookmarkEnd w:id="94"/>
      <w:bookmarkEnd w:id="95"/>
      <w:bookmarkEnd w:id="96"/>
    </w:p>
    <w:p w14:paraId="5A6D49B1">
      <w:pPr>
        <w:shd w:val="clear"/>
        <w:jc w:val="center"/>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磋商报价表</w:t>
      </w:r>
      <w:bookmarkEnd w:id="93"/>
    </w:p>
    <w:p w14:paraId="20F081B4">
      <w:pPr>
        <w:pStyle w:val="15"/>
        <w:shd w:val="clear"/>
        <w:spacing w:line="360" w:lineRule="auto"/>
        <w:rPr>
          <w:rFonts w:hint="eastAsia" w:asciiTheme="minorEastAsia" w:hAnsiTheme="minorEastAsia" w:eastAsiaTheme="minorEastAsia" w:cstheme="minorEastAsia"/>
          <w:color w:val="auto"/>
          <w:sz w:val="24"/>
          <w:highlight w:val="none"/>
        </w:rPr>
      </w:pPr>
    </w:p>
    <w:p w14:paraId="31D5FF0A">
      <w:pPr>
        <w:pStyle w:val="15"/>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采购编号：</w:t>
      </w:r>
      <w:r>
        <w:rPr>
          <w:rFonts w:hint="eastAsia" w:asciiTheme="minorEastAsia" w:hAnsiTheme="minorEastAsia" w:eastAsiaTheme="minorEastAsia" w:cstheme="minorEastAsia"/>
          <w:color w:val="auto"/>
          <w:sz w:val="24"/>
          <w:highlight w:val="none"/>
          <w:u w:val="single"/>
        </w:rPr>
        <w:t xml:space="preserve">                          </w:t>
      </w:r>
    </w:p>
    <w:p w14:paraId="63940675">
      <w:pPr>
        <w:pStyle w:val="15"/>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3F4DCA00">
      <w:pPr>
        <w:pStyle w:val="15"/>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xml:space="preserve">                    </w:t>
      </w:r>
    </w:p>
    <w:p w14:paraId="4F0FC69D">
      <w:pPr>
        <w:shd w:val="clear"/>
        <w:spacing w:line="360" w:lineRule="auto"/>
        <w:jc w:val="right"/>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color w:val="auto"/>
          <w:sz w:val="24"/>
          <w:highlight w:val="none"/>
        </w:rPr>
        <w:t>单位 ：元（保留小数点后两位）</w:t>
      </w:r>
    </w:p>
    <w:tbl>
      <w:tblPr>
        <w:tblStyle w:val="25"/>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060"/>
      </w:tblGrid>
      <w:tr w14:paraId="63C7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245" w:type="dxa"/>
          </w:tcPr>
          <w:p w14:paraId="6A8F8B4D">
            <w:pPr>
              <w:pStyle w:val="54"/>
              <w:shd w:val="clear"/>
              <w:tabs>
                <w:tab w:val="left" w:pos="1860"/>
                <w:tab w:val="center" w:pos="4680"/>
              </w:tabs>
              <w:spacing w:line="540" w:lineRule="exact"/>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磋商报价</w:t>
            </w:r>
          </w:p>
          <w:p w14:paraId="2C0C7C5C">
            <w:pPr>
              <w:pStyle w:val="54"/>
              <w:shd w:val="clear"/>
              <w:tabs>
                <w:tab w:val="left" w:pos="1860"/>
                <w:tab w:val="center" w:pos="4680"/>
              </w:tabs>
              <w:spacing w:line="5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color w:val="auto"/>
                <w:sz w:val="24"/>
                <w:szCs w:val="24"/>
                <w:highlight w:val="none"/>
              </w:rPr>
              <w:t>（人民币:元）</w:t>
            </w:r>
          </w:p>
        </w:tc>
        <w:tc>
          <w:tcPr>
            <w:tcW w:w="7060" w:type="dxa"/>
          </w:tcPr>
          <w:p w14:paraId="46002830">
            <w:pPr>
              <w:pStyle w:val="54"/>
              <w:shd w:val="clear"/>
              <w:tabs>
                <w:tab w:val="left" w:pos="1860"/>
                <w:tab w:val="center" w:pos="4680"/>
              </w:tabs>
              <w:spacing w:line="540" w:lineRule="exact"/>
              <w:jc w:val="both"/>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大  写：</w:t>
            </w:r>
          </w:p>
          <w:p w14:paraId="784ABCD3">
            <w:pPr>
              <w:pStyle w:val="54"/>
              <w:shd w:val="clear"/>
              <w:tabs>
                <w:tab w:val="left" w:pos="1860"/>
                <w:tab w:val="center" w:pos="4680"/>
              </w:tabs>
              <w:spacing w:line="5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color w:val="auto"/>
                <w:sz w:val="24"/>
                <w:szCs w:val="24"/>
                <w:highlight w:val="none"/>
              </w:rPr>
              <w:t>小  写：</w:t>
            </w:r>
          </w:p>
        </w:tc>
      </w:tr>
      <w:tr w14:paraId="5A45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245" w:type="dxa"/>
          </w:tcPr>
          <w:p w14:paraId="106FD108">
            <w:pPr>
              <w:pStyle w:val="54"/>
              <w:shd w:val="clear"/>
              <w:tabs>
                <w:tab w:val="left" w:pos="1860"/>
                <w:tab w:val="center" w:pos="4680"/>
              </w:tabs>
              <w:spacing w:line="5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color w:val="auto"/>
                <w:sz w:val="24"/>
                <w:szCs w:val="24"/>
                <w:highlight w:val="none"/>
              </w:rPr>
              <w:t>服务期</w:t>
            </w:r>
          </w:p>
        </w:tc>
        <w:tc>
          <w:tcPr>
            <w:tcW w:w="7060" w:type="dxa"/>
          </w:tcPr>
          <w:p w14:paraId="36F7FA7A">
            <w:pPr>
              <w:pStyle w:val="54"/>
              <w:shd w:val="clear"/>
              <w:tabs>
                <w:tab w:val="left" w:pos="1860"/>
                <w:tab w:val="center" w:pos="4680"/>
              </w:tabs>
              <w:spacing w:line="540" w:lineRule="exact"/>
              <w:jc w:val="both"/>
              <w:rPr>
                <w:rFonts w:hint="eastAsia" w:asciiTheme="minorEastAsia" w:hAnsiTheme="minorEastAsia" w:eastAsiaTheme="minorEastAsia" w:cstheme="minorEastAsia"/>
                <w:color w:val="auto"/>
                <w:sz w:val="24"/>
                <w:szCs w:val="24"/>
                <w:highlight w:val="none"/>
              </w:rPr>
            </w:pPr>
          </w:p>
        </w:tc>
      </w:tr>
      <w:tr w14:paraId="6A7C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305" w:type="dxa"/>
            <w:gridSpan w:val="2"/>
          </w:tcPr>
          <w:p w14:paraId="6F6EEF33">
            <w:pPr>
              <w:shd w:val="clear"/>
              <w:spacing w:line="360" w:lineRule="auto"/>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说明：1、磋商报价应是竞争性磋商响应文件所确定的磋商范围内的全部工作内容的价格体现，包括本项目所涉及的服务费、人工费、设备费、管理费、税费、规费、保险费</w:t>
            </w:r>
            <w:r>
              <w:rPr>
                <w:rFonts w:hint="eastAsia" w:asciiTheme="minorEastAsia" w:hAnsiTheme="minorEastAsia" w:eastAsiaTheme="minorEastAsia" w:cstheme="minorEastAsia"/>
                <w:color w:val="auto"/>
                <w:kern w:val="0"/>
                <w:sz w:val="22"/>
                <w:szCs w:val="22"/>
                <w:highlight w:val="none"/>
                <w:lang w:eastAsia="zh-CN"/>
              </w:rPr>
              <w:t>等</w:t>
            </w:r>
            <w:r>
              <w:rPr>
                <w:rFonts w:hint="eastAsia" w:asciiTheme="minorEastAsia" w:hAnsiTheme="minorEastAsia" w:eastAsiaTheme="minorEastAsia" w:cstheme="minorEastAsia"/>
                <w:color w:val="auto"/>
                <w:kern w:val="0"/>
                <w:sz w:val="22"/>
                <w:szCs w:val="22"/>
                <w:highlight w:val="none"/>
              </w:rPr>
              <w:t>所有与完成本项目相关服务及履行合同义务有关的一切费用</w:t>
            </w:r>
            <w:r>
              <w:rPr>
                <w:rFonts w:hint="eastAsia" w:asciiTheme="minorEastAsia" w:hAnsiTheme="minorEastAsia" w:eastAsiaTheme="minorEastAsia" w:cstheme="minorEastAsia"/>
                <w:color w:val="auto"/>
                <w:kern w:val="0"/>
                <w:sz w:val="22"/>
                <w:szCs w:val="22"/>
                <w:highlight w:val="none"/>
                <w:lang w:eastAsia="zh-CN"/>
              </w:rPr>
              <w:t>。</w:t>
            </w:r>
          </w:p>
          <w:p w14:paraId="425D1F51">
            <w:pPr>
              <w:shd w:val="clea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2"/>
                <w:szCs w:val="22"/>
                <w:highlight w:val="none"/>
              </w:rPr>
              <w:t>2、所有报价保留小数点后两位，第三位按四舍五入计。大小写不一致时，以大写为准。</w:t>
            </w:r>
          </w:p>
        </w:tc>
      </w:tr>
    </w:tbl>
    <w:p w14:paraId="343C87E6">
      <w:pPr>
        <w:shd w:val="clear"/>
        <w:spacing w:beforeLines="50"/>
        <w:ind w:left="470" w:hanging="470" w:hangingChars="196"/>
        <w:jc w:val="left"/>
        <w:rPr>
          <w:rFonts w:hint="eastAsia" w:asciiTheme="minorEastAsia" w:hAnsiTheme="minorEastAsia" w:eastAsiaTheme="minorEastAsia" w:cstheme="minorEastAsia"/>
          <w:color w:val="auto"/>
          <w:sz w:val="24"/>
          <w:szCs w:val="24"/>
          <w:highlight w:val="none"/>
        </w:rPr>
      </w:pPr>
      <w:bookmarkStart w:id="97" w:name="_Toc7447443"/>
      <w:bookmarkStart w:id="98" w:name="_Toc433961643"/>
    </w:p>
    <w:p w14:paraId="7FE13ABB">
      <w:pPr>
        <w:shd w:val="clear"/>
        <w:spacing w:beforeLines="50"/>
        <w:ind w:firstLine="720" w:firstLineChars="300"/>
        <w:jc w:val="left"/>
        <w:rPr>
          <w:rFonts w:hint="eastAsia" w:asciiTheme="minorEastAsia" w:hAnsiTheme="minorEastAsia" w:eastAsiaTheme="minorEastAsia" w:cstheme="minorEastAsia"/>
          <w:color w:val="auto"/>
          <w:sz w:val="24"/>
          <w:szCs w:val="24"/>
          <w:highlight w:val="none"/>
        </w:rPr>
      </w:pPr>
    </w:p>
    <w:p w14:paraId="52E2839E">
      <w:pPr>
        <w:shd w:val="clear"/>
        <w:spacing w:line="360" w:lineRule="auto"/>
        <w:rPr>
          <w:rFonts w:hint="eastAsia" w:asciiTheme="minorEastAsia" w:hAnsiTheme="minorEastAsia" w:eastAsiaTheme="minorEastAsia" w:cstheme="minorEastAsia"/>
          <w:color w:val="auto"/>
          <w:sz w:val="24"/>
          <w:szCs w:val="28"/>
          <w:highlight w:val="none"/>
        </w:rPr>
      </w:pPr>
    </w:p>
    <w:p w14:paraId="0372196B">
      <w:pPr>
        <w:shd w:val="clear"/>
        <w:spacing w:line="360" w:lineRule="auto"/>
        <w:rPr>
          <w:rFonts w:hint="eastAsia" w:asciiTheme="minorEastAsia" w:hAnsiTheme="minorEastAsia" w:eastAsiaTheme="minorEastAsia" w:cstheme="minorEastAsia"/>
          <w:color w:val="auto"/>
          <w:sz w:val="24"/>
          <w:szCs w:val="28"/>
          <w:highlight w:val="none"/>
        </w:rPr>
      </w:pPr>
    </w:p>
    <w:p w14:paraId="6C955489">
      <w:pPr>
        <w:shd w:val="clear"/>
        <w:spacing w:line="360" w:lineRule="auto"/>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szCs w:val="28"/>
          <w:highlight w:val="none"/>
        </w:rPr>
        <w:t>全称(盖章)：</w:t>
      </w:r>
    </w:p>
    <w:p w14:paraId="2E43461F">
      <w:pPr>
        <w:shd w:val="clear"/>
        <w:spacing w:line="360" w:lineRule="auto"/>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法定代表人或授权代表人(</w:t>
      </w:r>
      <w:r>
        <w:rPr>
          <w:rFonts w:hint="eastAsia" w:asciiTheme="minorEastAsia" w:hAnsiTheme="minorEastAsia" w:eastAsiaTheme="minorEastAsia" w:cstheme="minorEastAsia"/>
          <w:color w:val="auto"/>
          <w:sz w:val="24"/>
          <w:highlight w:val="none"/>
        </w:rPr>
        <w:t>签字或盖章</w:t>
      </w:r>
      <w:r>
        <w:rPr>
          <w:rFonts w:hint="eastAsia" w:asciiTheme="minorEastAsia" w:hAnsiTheme="minorEastAsia" w:eastAsiaTheme="minorEastAsia" w:cstheme="minorEastAsia"/>
          <w:color w:val="auto"/>
          <w:sz w:val="24"/>
          <w:szCs w:val="28"/>
          <w:highlight w:val="none"/>
        </w:rPr>
        <w:t>)：</w:t>
      </w:r>
    </w:p>
    <w:p w14:paraId="5364B5BE">
      <w:pPr>
        <w:shd w:val="clear"/>
        <w:spacing w:line="360" w:lineRule="auto"/>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日  期：</w:t>
      </w:r>
    </w:p>
    <w:p w14:paraId="0631D440">
      <w:pPr>
        <w:shd w:val="clear"/>
        <w:spacing w:line="360" w:lineRule="auto"/>
        <w:rPr>
          <w:rFonts w:hint="eastAsia" w:asciiTheme="minorEastAsia" w:hAnsiTheme="minorEastAsia" w:eastAsiaTheme="minorEastAsia" w:cstheme="minorEastAsia"/>
          <w:color w:val="auto"/>
          <w:szCs w:val="28"/>
          <w:highlight w:val="none"/>
        </w:rPr>
        <w:sectPr>
          <w:headerReference r:id="rId17" w:type="first"/>
          <w:footerReference r:id="rId19" w:type="first"/>
          <w:headerReference r:id="rId16" w:type="default"/>
          <w:footerReference r:id="rId18" w:type="default"/>
          <w:pgSz w:w="11905" w:h="16838"/>
          <w:pgMar w:top="1417" w:right="1134" w:bottom="1417" w:left="1304" w:header="935" w:footer="771" w:gutter="567"/>
          <w:cols w:space="0" w:num="1"/>
          <w:titlePg/>
          <w:docGrid w:linePitch="312" w:charSpace="0"/>
        </w:sectPr>
      </w:pPr>
      <w:r>
        <w:rPr>
          <w:rFonts w:hint="eastAsia" w:asciiTheme="minorEastAsia" w:hAnsiTheme="minorEastAsia" w:eastAsiaTheme="minorEastAsia" w:cstheme="minorEastAsia"/>
          <w:color w:val="auto"/>
          <w:szCs w:val="28"/>
          <w:highlight w:val="none"/>
        </w:rPr>
        <w:br w:type="page"/>
      </w:r>
      <w:bookmarkEnd w:id="97"/>
      <w:bookmarkEnd w:id="98"/>
      <w:bookmarkStart w:id="99" w:name="_Toc467246302"/>
    </w:p>
    <w:p w14:paraId="2DC097D3">
      <w:pPr>
        <w:numPr>
          <w:ilvl w:val="0"/>
          <w:numId w:val="5"/>
        </w:numPr>
        <w:shd w:val="clear"/>
        <w:spacing w:line="360" w:lineRule="auto"/>
        <w:rPr>
          <w:rFonts w:hint="eastAsia" w:asciiTheme="minorEastAsia" w:hAnsiTheme="minorEastAsia" w:eastAsiaTheme="minorEastAsia" w:cstheme="minorEastAsia"/>
          <w:b/>
          <w:bCs/>
          <w:color w:val="auto"/>
          <w:sz w:val="24"/>
          <w:szCs w:val="24"/>
          <w:highlight w:val="none"/>
        </w:rPr>
      </w:pPr>
      <w:bookmarkStart w:id="100" w:name="_Toc7447445"/>
      <w:r>
        <w:rPr>
          <w:rFonts w:hint="eastAsia" w:asciiTheme="minorEastAsia" w:hAnsiTheme="minorEastAsia" w:eastAsiaTheme="minorEastAsia" w:cstheme="minorEastAsia"/>
          <w:b/>
          <w:bCs/>
          <w:color w:val="auto"/>
          <w:sz w:val="24"/>
          <w:szCs w:val="24"/>
          <w:highlight w:val="none"/>
        </w:rPr>
        <w:t>磋商保证金缴纳凭证</w:t>
      </w:r>
    </w:p>
    <w:p w14:paraId="55242DD6">
      <w:pPr>
        <w:shd w:val="clear"/>
        <w:spacing w:line="360" w:lineRule="auto"/>
        <w:rPr>
          <w:rFonts w:hint="eastAsia" w:asciiTheme="minorEastAsia" w:hAnsiTheme="minorEastAsia" w:eastAsiaTheme="minorEastAsia" w:cstheme="minorEastAsia"/>
          <w:color w:val="auto"/>
          <w:sz w:val="24"/>
          <w:szCs w:val="28"/>
          <w:highlight w:val="none"/>
        </w:rPr>
      </w:pPr>
    </w:p>
    <w:p w14:paraId="16C4D66D">
      <w:pPr>
        <w:shd w:val="clear"/>
        <w:spacing w:line="360" w:lineRule="auto"/>
        <w:rPr>
          <w:rFonts w:hint="eastAsia" w:asciiTheme="minorEastAsia" w:hAnsiTheme="minorEastAsia" w:eastAsiaTheme="minorEastAsia" w:cstheme="minorEastAsia"/>
          <w:color w:val="auto"/>
          <w:sz w:val="24"/>
          <w:szCs w:val="28"/>
          <w:highlight w:val="none"/>
        </w:rPr>
      </w:pPr>
    </w:p>
    <w:p w14:paraId="2321A904">
      <w:pPr>
        <w:shd w:val="clear"/>
        <w:spacing w:line="360" w:lineRule="auto"/>
        <w:rPr>
          <w:rFonts w:hint="eastAsia" w:asciiTheme="minorEastAsia" w:hAnsiTheme="minorEastAsia" w:eastAsiaTheme="minorEastAsia" w:cstheme="minorEastAsia"/>
          <w:color w:val="auto"/>
          <w:sz w:val="24"/>
          <w:szCs w:val="28"/>
          <w:highlight w:val="none"/>
        </w:rPr>
      </w:pPr>
    </w:p>
    <w:p w14:paraId="43C6A9A0">
      <w:pPr>
        <w:shd w:val="clear"/>
        <w:spacing w:line="360" w:lineRule="auto"/>
        <w:rPr>
          <w:rFonts w:hint="eastAsia" w:asciiTheme="minorEastAsia" w:hAnsiTheme="minorEastAsia" w:eastAsiaTheme="minorEastAsia" w:cstheme="minorEastAsia"/>
          <w:color w:val="auto"/>
          <w:sz w:val="24"/>
          <w:szCs w:val="28"/>
          <w:highlight w:val="none"/>
        </w:rPr>
      </w:pPr>
    </w:p>
    <w:p w14:paraId="62205F64">
      <w:pPr>
        <w:numPr>
          <w:ilvl w:val="0"/>
          <w:numId w:val="5"/>
        </w:numPr>
        <w:shd w:val="clear"/>
        <w:spacing w:line="360" w:lineRule="auto"/>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bCs/>
          <w:color w:val="auto"/>
          <w:kern w:val="0"/>
          <w:sz w:val="22"/>
          <w:szCs w:val="22"/>
          <w:highlight w:val="none"/>
        </w:rPr>
        <w:br w:type="page"/>
      </w:r>
      <w:bookmarkEnd w:id="99"/>
      <w:bookmarkEnd w:id="100"/>
    </w:p>
    <w:p w14:paraId="46466A97">
      <w:pPr>
        <w:shd w:val="clear"/>
        <w:rPr>
          <w:rFonts w:hint="eastAsia" w:asciiTheme="minorEastAsia" w:hAnsiTheme="minorEastAsia" w:eastAsiaTheme="minorEastAsia" w:cstheme="minorEastAsia"/>
          <w:b/>
          <w:bCs/>
          <w:color w:val="auto"/>
          <w:sz w:val="24"/>
          <w:szCs w:val="24"/>
          <w:highlight w:val="none"/>
          <w:lang w:val="zh-CN"/>
        </w:rPr>
        <w:sectPr>
          <w:headerReference r:id="rId21" w:type="first"/>
          <w:footerReference r:id="rId23" w:type="first"/>
          <w:headerReference r:id="rId20" w:type="default"/>
          <w:footerReference r:id="rId22" w:type="default"/>
          <w:pgSz w:w="11905" w:h="16838"/>
          <w:pgMar w:top="1417" w:right="1134" w:bottom="1417" w:left="1304" w:header="935" w:footer="771" w:gutter="567"/>
          <w:cols w:space="0" w:num="1"/>
          <w:titlePg/>
          <w:docGrid w:linePitch="312" w:charSpace="0"/>
        </w:sectPr>
      </w:pPr>
    </w:p>
    <w:p w14:paraId="4B0EFC80">
      <w:pPr>
        <w:widowControl/>
        <w:shd w:val="clear"/>
        <w:spacing w:line="360" w:lineRule="auto"/>
        <w:outlineLvl w:val="2"/>
        <w:rPr>
          <w:rFonts w:hint="eastAsia" w:asciiTheme="minorEastAsia" w:hAnsiTheme="minorEastAsia" w:eastAsiaTheme="minorEastAsia" w:cstheme="minorEastAsia"/>
          <w:color w:val="auto"/>
          <w:sz w:val="24"/>
          <w:highlight w:val="none"/>
        </w:rPr>
      </w:pPr>
      <w:bookmarkStart w:id="101" w:name="_Toc7447451"/>
      <w:r>
        <w:rPr>
          <w:rFonts w:hint="eastAsia" w:asciiTheme="minorEastAsia" w:hAnsiTheme="minorEastAsia" w:eastAsiaTheme="minorEastAsia" w:cstheme="minorEastAsia"/>
          <w:b/>
          <w:bCs/>
          <w:color w:val="auto"/>
          <w:sz w:val="24"/>
          <w:highlight w:val="none"/>
        </w:rPr>
        <w:t>4、供应商承诺书</w:t>
      </w:r>
      <w:r>
        <w:rPr>
          <w:rFonts w:hint="eastAsia" w:asciiTheme="minorEastAsia" w:hAnsiTheme="minorEastAsia" w:eastAsiaTheme="minorEastAsia" w:cstheme="minorEastAsia"/>
          <w:color w:val="auto"/>
          <w:sz w:val="24"/>
          <w:highlight w:val="none"/>
        </w:rPr>
        <w:t xml:space="preserve">        </w:t>
      </w:r>
    </w:p>
    <w:p w14:paraId="5D7FB562">
      <w:pPr>
        <w:widowControl/>
        <w:shd w:val="clear"/>
        <w:spacing w:line="360" w:lineRule="auto"/>
        <w:ind w:firstLine="3092" w:firstLineChars="1100"/>
        <w:rPr>
          <w:rFonts w:hint="eastAsia" w:asciiTheme="minorEastAsia" w:hAnsiTheme="minorEastAsia" w:eastAsiaTheme="minorEastAsia" w:cstheme="minorEastAsia"/>
          <w:b/>
          <w:bCs/>
          <w:color w:val="auto"/>
          <w:kern w:val="0"/>
          <w:szCs w:val="28"/>
          <w:highlight w:val="none"/>
        </w:rPr>
      </w:pPr>
      <w:r>
        <w:rPr>
          <w:rFonts w:hint="eastAsia" w:asciiTheme="minorEastAsia" w:hAnsiTheme="minorEastAsia" w:eastAsiaTheme="minorEastAsia" w:cstheme="minorEastAsia"/>
          <w:b/>
          <w:bCs/>
          <w:color w:val="auto"/>
          <w:kern w:val="0"/>
          <w:szCs w:val="28"/>
          <w:highlight w:val="none"/>
        </w:rPr>
        <w:t>陕西省政府采购供应商</w:t>
      </w:r>
    </w:p>
    <w:p w14:paraId="4FAEEF2F">
      <w:pPr>
        <w:widowControl/>
        <w:shd w:val="clear"/>
        <w:spacing w:line="360" w:lineRule="auto"/>
        <w:jc w:val="center"/>
        <w:rPr>
          <w:rFonts w:hint="eastAsia" w:asciiTheme="minorEastAsia" w:hAnsiTheme="minorEastAsia" w:eastAsiaTheme="minorEastAsia" w:cstheme="minorEastAsia"/>
          <w:b/>
          <w:bCs/>
          <w:color w:val="auto"/>
          <w:kern w:val="0"/>
          <w:szCs w:val="28"/>
          <w:highlight w:val="none"/>
        </w:rPr>
      </w:pPr>
      <w:r>
        <w:rPr>
          <w:rFonts w:hint="eastAsia" w:asciiTheme="minorEastAsia" w:hAnsiTheme="minorEastAsia" w:eastAsiaTheme="minorEastAsia" w:cstheme="minorEastAsia"/>
          <w:b/>
          <w:bCs/>
          <w:color w:val="auto"/>
          <w:kern w:val="0"/>
          <w:szCs w:val="28"/>
          <w:highlight w:val="none"/>
        </w:rPr>
        <w:t>拒绝政府采购领域商业贿赂承诺书</w:t>
      </w:r>
    </w:p>
    <w:p w14:paraId="669C55DA">
      <w:pPr>
        <w:shd w:val="clear"/>
        <w:jc w:val="center"/>
        <w:rPr>
          <w:rFonts w:hint="eastAsia" w:asciiTheme="minorEastAsia" w:hAnsiTheme="minorEastAsia" w:eastAsiaTheme="minorEastAsia" w:cstheme="minorEastAsia"/>
          <w:b/>
          <w:bCs/>
          <w:color w:val="auto"/>
          <w:szCs w:val="28"/>
          <w:highlight w:val="none"/>
        </w:rPr>
      </w:pPr>
    </w:p>
    <w:p w14:paraId="4D26A9CF">
      <w:pPr>
        <w:pStyle w:val="57"/>
        <w:shd w:val="clear"/>
        <w:spacing w:line="360" w:lineRule="auto"/>
        <w:ind w:left="239" w:firstLine="470"/>
        <w:jc w:val="left"/>
        <w:rPr>
          <w:rFonts w:hint="eastAsia" w:asciiTheme="minorEastAsia" w:hAnsiTheme="minorEastAsia" w:eastAsiaTheme="minorEastAsia" w:cstheme="minorEastAsia"/>
          <w:color w:val="auto"/>
          <w:sz w:val="24"/>
          <w:szCs w:val="24"/>
          <w:highlight w:val="none"/>
        </w:rPr>
      </w:pPr>
    </w:p>
    <w:p w14:paraId="2914D8DC">
      <w:pPr>
        <w:pStyle w:val="57"/>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为响应党中央、国务院关于治理政府采购领域商业贿赂行为的号召，我公司在此庄严承诺：</w:t>
      </w:r>
    </w:p>
    <w:p w14:paraId="13369878">
      <w:pPr>
        <w:pStyle w:val="57"/>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1、在参与政府采购活动中遵纪守法、诚信经营、公平竞标。</w:t>
      </w:r>
    </w:p>
    <w:p w14:paraId="2A9735CC">
      <w:pPr>
        <w:pStyle w:val="57"/>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2、不向政府采购人、采购代理机构和政府采购评审专家进行任何形式的商业贿赂以谋取交易机会。</w:t>
      </w:r>
    </w:p>
    <w:p w14:paraId="14ABE409">
      <w:pPr>
        <w:pStyle w:val="57"/>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3、不向政府采购代理机构和采购人提供虚假资质文件或采用虚假应标方式参与政府采购市场竞争并谋取中标、成交。</w:t>
      </w:r>
    </w:p>
    <w:p w14:paraId="11DC2028">
      <w:pPr>
        <w:pStyle w:val="57"/>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4、不采取“围标、陪标”等商业欺诈手段获得政府采购定单。</w:t>
      </w:r>
    </w:p>
    <w:p w14:paraId="1C72A31D">
      <w:pPr>
        <w:pStyle w:val="57"/>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5、不采取不正当手段诋毁、排挤其他供应商。</w:t>
      </w:r>
    </w:p>
    <w:p w14:paraId="1E72C8B6">
      <w:pPr>
        <w:pStyle w:val="57"/>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6、不在提供商品和服务时“偷梁换柱、以次充好”损害采购人的合法权益。</w:t>
      </w:r>
    </w:p>
    <w:p w14:paraId="08AE304D">
      <w:pPr>
        <w:pStyle w:val="57"/>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7、不与采购人、采购代理机构政府采购评审专家或其它供应商恶意串通，进行质疑和投诉，维护政府采购市场秩序。</w:t>
      </w:r>
    </w:p>
    <w:p w14:paraId="64D67D8D">
      <w:pPr>
        <w:pStyle w:val="57"/>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8、尊重和接受政府采购监督管理部门的监督和政府采购代理机构招标采购要求，承担因违约行为给采购人造成的损失。</w:t>
      </w:r>
    </w:p>
    <w:p w14:paraId="61F0A51C">
      <w:pPr>
        <w:pStyle w:val="57"/>
        <w:shd w:val="clea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9、不发生其他有悖于政府采购公开、公平、公正和诚信原则的行为。</w:t>
      </w:r>
    </w:p>
    <w:p w14:paraId="695FDDB3">
      <w:pPr>
        <w:pStyle w:val="57"/>
        <w:shd w:val="clear"/>
        <w:spacing w:line="360" w:lineRule="auto"/>
        <w:jc w:val="left"/>
        <w:rPr>
          <w:rFonts w:hint="eastAsia" w:asciiTheme="minorEastAsia" w:hAnsiTheme="minorEastAsia" w:eastAsiaTheme="minorEastAsia" w:cstheme="minorEastAsia"/>
          <w:color w:val="auto"/>
          <w:sz w:val="24"/>
          <w:szCs w:val="24"/>
          <w:highlight w:val="none"/>
        </w:rPr>
      </w:pPr>
    </w:p>
    <w:p w14:paraId="012F48F9">
      <w:pPr>
        <w:pStyle w:val="57"/>
        <w:shd w:val="clear"/>
        <w:spacing w:line="360" w:lineRule="auto"/>
        <w:jc w:val="left"/>
        <w:rPr>
          <w:rFonts w:hint="eastAsia" w:asciiTheme="minorEastAsia" w:hAnsiTheme="minorEastAsia" w:eastAsiaTheme="minorEastAsia" w:cstheme="minorEastAsia"/>
          <w:color w:val="auto"/>
          <w:sz w:val="24"/>
          <w:szCs w:val="24"/>
          <w:highlight w:val="none"/>
        </w:rPr>
      </w:pPr>
    </w:p>
    <w:p w14:paraId="2BEBF9F6">
      <w:pPr>
        <w:shd w:val="clea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承诺单位：　</w:t>
      </w:r>
      <w:r>
        <w:rPr>
          <w:rFonts w:hint="eastAsia" w:asciiTheme="minorEastAsia" w:hAnsiTheme="minorEastAsia" w:eastAsiaTheme="minorEastAsia" w:cstheme="minorEastAsia"/>
          <w:color w:val="auto"/>
          <w:kern w:val="0"/>
          <w:szCs w:val="24"/>
          <w:highlight w:val="none"/>
          <w:u w:val="single"/>
        </w:rPr>
        <w:t>　                 　</w:t>
      </w:r>
      <w:r>
        <w:rPr>
          <w:rFonts w:hint="eastAsia" w:asciiTheme="minorEastAsia" w:hAnsiTheme="minorEastAsia" w:eastAsiaTheme="minorEastAsia" w:cstheme="minorEastAsia"/>
          <w:color w:val="auto"/>
          <w:kern w:val="0"/>
          <w:sz w:val="24"/>
          <w:szCs w:val="24"/>
          <w:highlight w:val="none"/>
        </w:rPr>
        <w:t>（盖章）</w:t>
      </w:r>
    </w:p>
    <w:p w14:paraId="7BFCBF88">
      <w:pPr>
        <w:shd w:val="clear"/>
        <w:spacing w:line="360" w:lineRule="auto"/>
        <w:jc w:val="center"/>
        <w:rPr>
          <w:rFonts w:hint="eastAsia" w:asciiTheme="minorEastAsia" w:hAnsiTheme="minorEastAsia" w:eastAsiaTheme="minorEastAsia" w:cstheme="minorEastAsia"/>
          <w:b/>
          <w:bCs/>
          <w:color w:val="auto"/>
          <w:szCs w:val="28"/>
          <w:highlight w:val="none"/>
        </w:rPr>
      </w:pPr>
      <w:bookmarkStart w:id="102" w:name="_Toc7447450"/>
    </w:p>
    <w:p w14:paraId="59BAC065">
      <w:pPr>
        <w:shd w:val="clear"/>
        <w:spacing w:line="360" w:lineRule="auto"/>
        <w:ind w:firstLine="2160" w:firstLineChars="900"/>
        <w:rPr>
          <w:rFonts w:hint="eastAsia" w:asciiTheme="minorEastAsia" w:hAnsiTheme="minorEastAsia" w:eastAsiaTheme="minorEastAsia" w:cstheme="minorEastAsia"/>
          <w:color w:val="auto"/>
          <w:kern w:val="0"/>
          <w:sz w:val="24"/>
          <w:szCs w:val="24"/>
          <w:highlight w:val="none"/>
        </w:rPr>
        <w:sectPr>
          <w:headerReference r:id="rId25" w:type="first"/>
          <w:footerReference r:id="rId27" w:type="first"/>
          <w:headerReference r:id="rId24" w:type="default"/>
          <w:footerReference r:id="rId26" w:type="default"/>
          <w:pgSz w:w="11905" w:h="16838"/>
          <w:pgMar w:top="1417" w:right="1134" w:bottom="1417" w:left="1304" w:header="935" w:footer="1020" w:gutter="567"/>
          <w:cols w:space="0" w:num="1"/>
          <w:titlePg/>
          <w:docGrid w:linePitch="312" w:charSpace="0"/>
        </w:sectPr>
      </w:pPr>
      <w:r>
        <w:rPr>
          <w:rFonts w:hint="eastAsia" w:asciiTheme="minorEastAsia" w:hAnsiTheme="minorEastAsia" w:eastAsiaTheme="minorEastAsia" w:cstheme="minorEastAsia"/>
          <w:color w:val="auto"/>
          <w:kern w:val="0"/>
          <w:sz w:val="24"/>
          <w:szCs w:val="24"/>
          <w:highlight w:val="none"/>
        </w:rPr>
        <w:t xml:space="preserve">年　　月　　日 </w:t>
      </w:r>
    </w:p>
    <w:bookmarkEnd w:id="101"/>
    <w:bookmarkEnd w:id="102"/>
    <w:p w14:paraId="78428303">
      <w:pPr>
        <w:shd w:val="clear"/>
        <w:spacing w:line="360" w:lineRule="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5、 商务响应表</w:t>
      </w:r>
    </w:p>
    <w:p w14:paraId="307539C0">
      <w:pPr>
        <w:pStyle w:val="15"/>
        <w:shd w:val="clear"/>
        <w:spacing w:line="360" w:lineRule="auto"/>
        <w:rPr>
          <w:rFonts w:hint="eastAsia" w:asciiTheme="minorEastAsia" w:hAnsiTheme="minorEastAsia" w:eastAsiaTheme="minorEastAsia" w:cstheme="minorEastAsia"/>
          <w:color w:val="auto"/>
          <w:sz w:val="24"/>
          <w:highlight w:val="none"/>
        </w:rPr>
      </w:pPr>
    </w:p>
    <w:p w14:paraId="23B79658">
      <w:pPr>
        <w:pStyle w:val="15"/>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采购编号：</w:t>
      </w:r>
      <w:r>
        <w:rPr>
          <w:rFonts w:hint="eastAsia" w:asciiTheme="minorEastAsia" w:hAnsiTheme="minorEastAsia" w:eastAsiaTheme="minorEastAsia" w:cstheme="minorEastAsia"/>
          <w:color w:val="auto"/>
          <w:sz w:val="24"/>
          <w:highlight w:val="none"/>
          <w:u w:val="single"/>
        </w:rPr>
        <w:t xml:space="preserve">                          </w:t>
      </w:r>
    </w:p>
    <w:p w14:paraId="2B5896D0">
      <w:pPr>
        <w:pStyle w:val="15"/>
        <w:shd w:val="clea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574E0711">
      <w:pPr>
        <w:pStyle w:val="15"/>
        <w:shd w:val="clea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highlight w:val="none"/>
          <w:u w:val="single"/>
        </w:rPr>
        <w:t xml:space="preserve">                  </w:t>
      </w:r>
    </w:p>
    <w:tbl>
      <w:tblPr>
        <w:tblStyle w:val="25"/>
        <w:tblW w:w="91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2"/>
        <w:gridCol w:w="1825"/>
        <w:gridCol w:w="2416"/>
        <w:gridCol w:w="3154"/>
        <w:gridCol w:w="960"/>
      </w:tblGrid>
      <w:tr w14:paraId="49DE3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 w:hRule="atLeast"/>
          <w:jc w:val="center"/>
        </w:trPr>
        <w:tc>
          <w:tcPr>
            <w:tcW w:w="772" w:type="dxa"/>
            <w:vAlign w:val="center"/>
          </w:tcPr>
          <w:p w14:paraId="1015FBFF">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825" w:type="dxa"/>
            <w:vAlign w:val="center"/>
          </w:tcPr>
          <w:p w14:paraId="1067B956">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磋商文件条目号</w:t>
            </w:r>
          </w:p>
        </w:tc>
        <w:tc>
          <w:tcPr>
            <w:tcW w:w="2416" w:type="dxa"/>
            <w:vAlign w:val="center"/>
          </w:tcPr>
          <w:p w14:paraId="6DD719B7">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磋商文件商务要求</w:t>
            </w:r>
          </w:p>
        </w:tc>
        <w:tc>
          <w:tcPr>
            <w:tcW w:w="3154" w:type="dxa"/>
            <w:vAlign w:val="center"/>
          </w:tcPr>
          <w:p w14:paraId="68F6C12F">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磋商响应文件商务响应描述</w:t>
            </w:r>
          </w:p>
        </w:tc>
        <w:tc>
          <w:tcPr>
            <w:tcW w:w="960" w:type="dxa"/>
            <w:vAlign w:val="center"/>
          </w:tcPr>
          <w:p w14:paraId="252F1355">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偏离</w:t>
            </w:r>
          </w:p>
        </w:tc>
      </w:tr>
      <w:tr w14:paraId="44BD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772" w:type="dxa"/>
            <w:vAlign w:val="center"/>
          </w:tcPr>
          <w:p w14:paraId="7519FD30">
            <w:pPr>
              <w:shd w:val="clear"/>
              <w:spacing w:line="360" w:lineRule="auto"/>
              <w:jc w:val="center"/>
              <w:rPr>
                <w:rFonts w:hint="eastAsia" w:asciiTheme="minorEastAsia" w:hAnsiTheme="minorEastAsia" w:eastAsiaTheme="minorEastAsia" w:cstheme="minorEastAsia"/>
                <w:color w:val="auto"/>
                <w:sz w:val="24"/>
                <w:highlight w:val="none"/>
              </w:rPr>
            </w:pPr>
          </w:p>
        </w:tc>
        <w:tc>
          <w:tcPr>
            <w:tcW w:w="1825" w:type="dxa"/>
            <w:vAlign w:val="center"/>
          </w:tcPr>
          <w:p w14:paraId="22B88B3C">
            <w:pPr>
              <w:shd w:val="clear"/>
              <w:spacing w:line="360" w:lineRule="auto"/>
              <w:jc w:val="center"/>
              <w:rPr>
                <w:rFonts w:hint="eastAsia" w:asciiTheme="minorEastAsia" w:hAnsiTheme="minorEastAsia" w:eastAsiaTheme="minorEastAsia" w:cstheme="minorEastAsia"/>
                <w:color w:val="auto"/>
                <w:sz w:val="24"/>
                <w:highlight w:val="none"/>
              </w:rPr>
            </w:pPr>
          </w:p>
        </w:tc>
        <w:tc>
          <w:tcPr>
            <w:tcW w:w="2416" w:type="dxa"/>
            <w:vAlign w:val="center"/>
          </w:tcPr>
          <w:p w14:paraId="3B0C6E8E">
            <w:pPr>
              <w:shd w:val="clear"/>
              <w:spacing w:line="360" w:lineRule="auto"/>
              <w:jc w:val="center"/>
              <w:rPr>
                <w:rFonts w:hint="eastAsia" w:asciiTheme="minorEastAsia" w:hAnsiTheme="minorEastAsia" w:eastAsiaTheme="minorEastAsia" w:cstheme="minorEastAsia"/>
                <w:color w:val="auto"/>
                <w:sz w:val="24"/>
                <w:highlight w:val="none"/>
              </w:rPr>
            </w:pPr>
          </w:p>
        </w:tc>
        <w:tc>
          <w:tcPr>
            <w:tcW w:w="3154" w:type="dxa"/>
            <w:vAlign w:val="center"/>
          </w:tcPr>
          <w:p w14:paraId="562606D7">
            <w:pPr>
              <w:shd w:val="clear"/>
              <w:spacing w:line="360" w:lineRule="auto"/>
              <w:jc w:val="center"/>
              <w:rPr>
                <w:rFonts w:hint="eastAsia" w:asciiTheme="minorEastAsia" w:hAnsiTheme="minorEastAsia" w:eastAsiaTheme="minorEastAsia" w:cstheme="minorEastAsia"/>
                <w:color w:val="auto"/>
                <w:sz w:val="24"/>
                <w:highlight w:val="none"/>
              </w:rPr>
            </w:pPr>
          </w:p>
        </w:tc>
        <w:tc>
          <w:tcPr>
            <w:tcW w:w="960" w:type="dxa"/>
            <w:vAlign w:val="center"/>
          </w:tcPr>
          <w:p w14:paraId="1DE7B841">
            <w:pPr>
              <w:shd w:val="clear"/>
              <w:spacing w:line="360" w:lineRule="auto"/>
              <w:jc w:val="center"/>
              <w:rPr>
                <w:rFonts w:hint="eastAsia" w:asciiTheme="minorEastAsia" w:hAnsiTheme="minorEastAsia" w:eastAsiaTheme="minorEastAsia" w:cstheme="minorEastAsia"/>
                <w:b/>
                <w:color w:val="auto"/>
                <w:sz w:val="24"/>
                <w:highlight w:val="none"/>
              </w:rPr>
            </w:pPr>
          </w:p>
        </w:tc>
      </w:tr>
      <w:tr w14:paraId="081B9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772" w:type="dxa"/>
            <w:vAlign w:val="center"/>
          </w:tcPr>
          <w:p w14:paraId="07F459BA">
            <w:pPr>
              <w:shd w:val="clear"/>
              <w:spacing w:line="360" w:lineRule="auto"/>
              <w:jc w:val="center"/>
              <w:rPr>
                <w:rFonts w:hint="eastAsia" w:asciiTheme="minorEastAsia" w:hAnsiTheme="minorEastAsia" w:eastAsiaTheme="minorEastAsia" w:cstheme="minorEastAsia"/>
                <w:color w:val="auto"/>
                <w:sz w:val="24"/>
                <w:highlight w:val="none"/>
              </w:rPr>
            </w:pPr>
          </w:p>
        </w:tc>
        <w:tc>
          <w:tcPr>
            <w:tcW w:w="1825" w:type="dxa"/>
            <w:vAlign w:val="center"/>
          </w:tcPr>
          <w:p w14:paraId="2B24472C">
            <w:pPr>
              <w:shd w:val="clear"/>
              <w:spacing w:line="360" w:lineRule="auto"/>
              <w:jc w:val="center"/>
              <w:rPr>
                <w:rFonts w:hint="eastAsia" w:asciiTheme="minorEastAsia" w:hAnsiTheme="minorEastAsia" w:eastAsiaTheme="minorEastAsia" w:cstheme="minorEastAsia"/>
                <w:color w:val="auto"/>
                <w:sz w:val="24"/>
                <w:highlight w:val="none"/>
              </w:rPr>
            </w:pPr>
          </w:p>
        </w:tc>
        <w:tc>
          <w:tcPr>
            <w:tcW w:w="2416" w:type="dxa"/>
            <w:vAlign w:val="center"/>
          </w:tcPr>
          <w:p w14:paraId="0CB92271">
            <w:pPr>
              <w:shd w:val="clear"/>
              <w:spacing w:line="360" w:lineRule="auto"/>
              <w:jc w:val="center"/>
              <w:rPr>
                <w:rFonts w:hint="eastAsia" w:asciiTheme="minorEastAsia" w:hAnsiTheme="minorEastAsia" w:eastAsiaTheme="minorEastAsia" w:cstheme="minorEastAsia"/>
                <w:color w:val="auto"/>
                <w:sz w:val="24"/>
                <w:highlight w:val="none"/>
              </w:rPr>
            </w:pPr>
          </w:p>
        </w:tc>
        <w:tc>
          <w:tcPr>
            <w:tcW w:w="3154" w:type="dxa"/>
            <w:vAlign w:val="center"/>
          </w:tcPr>
          <w:p w14:paraId="798B9867">
            <w:pPr>
              <w:shd w:val="clear"/>
              <w:spacing w:line="360" w:lineRule="auto"/>
              <w:jc w:val="center"/>
              <w:rPr>
                <w:rFonts w:hint="eastAsia" w:asciiTheme="minorEastAsia" w:hAnsiTheme="minorEastAsia" w:eastAsiaTheme="minorEastAsia" w:cstheme="minorEastAsia"/>
                <w:color w:val="auto"/>
                <w:sz w:val="24"/>
                <w:highlight w:val="none"/>
              </w:rPr>
            </w:pPr>
          </w:p>
        </w:tc>
        <w:tc>
          <w:tcPr>
            <w:tcW w:w="960" w:type="dxa"/>
            <w:vAlign w:val="center"/>
          </w:tcPr>
          <w:p w14:paraId="1F56F83A">
            <w:pPr>
              <w:shd w:val="clear"/>
              <w:spacing w:line="360" w:lineRule="auto"/>
              <w:jc w:val="center"/>
              <w:rPr>
                <w:rFonts w:hint="eastAsia" w:asciiTheme="minorEastAsia" w:hAnsiTheme="minorEastAsia" w:eastAsiaTheme="minorEastAsia" w:cstheme="minorEastAsia"/>
                <w:b/>
                <w:color w:val="auto"/>
                <w:sz w:val="24"/>
                <w:highlight w:val="none"/>
              </w:rPr>
            </w:pPr>
          </w:p>
        </w:tc>
      </w:tr>
      <w:tr w14:paraId="6D807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772" w:type="dxa"/>
            <w:vAlign w:val="center"/>
          </w:tcPr>
          <w:p w14:paraId="04DF019B">
            <w:pPr>
              <w:shd w:val="clear"/>
              <w:spacing w:line="360" w:lineRule="auto"/>
              <w:jc w:val="center"/>
              <w:rPr>
                <w:rFonts w:hint="eastAsia" w:asciiTheme="minorEastAsia" w:hAnsiTheme="minorEastAsia" w:eastAsiaTheme="minorEastAsia" w:cstheme="minorEastAsia"/>
                <w:color w:val="auto"/>
                <w:sz w:val="24"/>
                <w:highlight w:val="none"/>
              </w:rPr>
            </w:pPr>
          </w:p>
        </w:tc>
        <w:tc>
          <w:tcPr>
            <w:tcW w:w="1825" w:type="dxa"/>
            <w:vAlign w:val="center"/>
          </w:tcPr>
          <w:p w14:paraId="4DE4308B">
            <w:pPr>
              <w:shd w:val="clear"/>
              <w:spacing w:line="360" w:lineRule="auto"/>
              <w:jc w:val="center"/>
              <w:rPr>
                <w:rFonts w:hint="eastAsia" w:asciiTheme="minorEastAsia" w:hAnsiTheme="minorEastAsia" w:eastAsiaTheme="minorEastAsia" w:cstheme="minorEastAsia"/>
                <w:color w:val="auto"/>
                <w:sz w:val="24"/>
                <w:highlight w:val="none"/>
              </w:rPr>
            </w:pPr>
          </w:p>
        </w:tc>
        <w:tc>
          <w:tcPr>
            <w:tcW w:w="2416" w:type="dxa"/>
            <w:vAlign w:val="center"/>
          </w:tcPr>
          <w:p w14:paraId="1FC2F9B1">
            <w:pPr>
              <w:shd w:val="clear"/>
              <w:spacing w:line="360" w:lineRule="auto"/>
              <w:jc w:val="center"/>
              <w:rPr>
                <w:rFonts w:hint="eastAsia" w:asciiTheme="minorEastAsia" w:hAnsiTheme="minorEastAsia" w:eastAsiaTheme="minorEastAsia" w:cstheme="minorEastAsia"/>
                <w:color w:val="auto"/>
                <w:sz w:val="24"/>
                <w:highlight w:val="none"/>
              </w:rPr>
            </w:pPr>
          </w:p>
        </w:tc>
        <w:tc>
          <w:tcPr>
            <w:tcW w:w="3154" w:type="dxa"/>
            <w:vAlign w:val="center"/>
          </w:tcPr>
          <w:p w14:paraId="65EC48D1">
            <w:pPr>
              <w:shd w:val="clear"/>
              <w:spacing w:line="360" w:lineRule="auto"/>
              <w:jc w:val="center"/>
              <w:rPr>
                <w:rFonts w:hint="eastAsia" w:asciiTheme="minorEastAsia" w:hAnsiTheme="minorEastAsia" w:eastAsiaTheme="minorEastAsia" w:cstheme="minorEastAsia"/>
                <w:color w:val="auto"/>
                <w:sz w:val="24"/>
                <w:highlight w:val="none"/>
              </w:rPr>
            </w:pPr>
          </w:p>
        </w:tc>
        <w:tc>
          <w:tcPr>
            <w:tcW w:w="960" w:type="dxa"/>
            <w:vAlign w:val="center"/>
          </w:tcPr>
          <w:p w14:paraId="233961A0">
            <w:pPr>
              <w:shd w:val="clear"/>
              <w:spacing w:line="360" w:lineRule="auto"/>
              <w:jc w:val="center"/>
              <w:rPr>
                <w:rFonts w:hint="eastAsia" w:asciiTheme="minorEastAsia" w:hAnsiTheme="minorEastAsia" w:eastAsiaTheme="minorEastAsia" w:cstheme="minorEastAsia"/>
                <w:b/>
                <w:color w:val="auto"/>
                <w:sz w:val="24"/>
                <w:highlight w:val="none"/>
              </w:rPr>
            </w:pPr>
          </w:p>
        </w:tc>
      </w:tr>
      <w:tr w14:paraId="7C031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772" w:type="dxa"/>
            <w:vAlign w:val="center"/>
          </w:tcPr>
          <w:p w14:paraId="25F428F7">
            <w:pPr>
              <w:shd w:val="clear"/>
              <w:spacing w:line="360" w:lineRule="auto"/>
              <w:jc w:val="center"/>
              <w:rPr>
                <w:rFonts w:hint="eastAsia" w:asciiTheme="minorEastAsia" w:hAnsiTheme="minorEastAsia" w:eastAsiaTheme="minorEastAsia" w:cstheme="minorEastAsia"/>
                <w:color w:val="auto"/>
                <w:sz w:val="24"/>
                <w:highlight w:val="none"/>
              </w:rPr>
            </w:pPr>
          </w:p>
        </w:tc>
        <w:tc>
          <w:tcPr>
            <w:tcW w:w="1825" w:type="dxa"/>
            <w:vAlign w:val="center"/>
          </w:tcPr>
          <w:p w14:paraId="76B01E04">
            <w:pPr>
              <w:shd w:val="clear"/>
              <w:spacing w:line="360" w:lineRule="auto"/>
              <w:jc w:val="center"/>
              <w:rPr>
                <w:rFonts w:hint="eastAsia" w:asciiTheme="minorEastAsia" w:hAnsiTheme="minorEastAsia" w:eastAsiaTheme="minorEastAsia" w:cstheme="minorEastAsia"/>
                <w:color w:val="auto"/>
                <w:sz w:val="24"/>
                <w:highlight w:val="none"/>
              </w:rPr>
            </w:pPr>
          </w:p>
        </w:tc>
        <w:tc>
          <w:tcPr>
            <w:tcW w:w="2416" w:type="dxa"/>
            <w:vAlign w:val="center"/>
          </w:tcPr>
          <w:p w14:paraId="4BF4690D">
            <w:pPr>
              <w:shd w:val="clear"/>
              <w:spacing w:line="360" w:lineRule="auto"/>
              <w:jc w:val="center"/>
              <w:rPr>
                <w:rFonts w:hint="eastAsia" w:asciiTheme="minorEastAsia" w:hAnsiTheme="minorEastAsia" w:eastAsiaTheme="minorEastAsia" w:cstheme="minorEastAsia"/>
                <w:color w:val="auto"/>
                <w:sz w:val="24"/>
                <w:highlight w:val="none"/>
              </w:rPr>
            </w:pPr>
          </w:p>
        </w:tc>
        <w:tc>
          <w:tcPr>
            <w:tcW w:w="3154" w:type="dxa"/>
            <w:vAlign w:val="center"/>
          </w:tcPr>
          <w:p w14:paraId="7E73C72F">
            <w:pPr>
              <w:shd w:val="clear"/>
              <w:spacing w:line="360" w:lineRule="auto"/>
              <w:jc w:val="center"/>
              <w:rPr>
                <w:rFonts w:hint="eastAsia" w:asciiTheme="minorEastAsia" w:hAnsiTheme="minorEastAsia" w:eastAsiaTheme="minorEastAsia" w:cstheme="minorEastAsia"/>
                <w:color w:val="auto"/>
                <w:sz w:val="24"/>
                <w:highlight w:val="none"/>
              </w:rPr>
            </w:pPr>
          </w:p>
        </w:tc>
        <w:tc>
          <w:tcPr>
            <w:tcW w:w="960" w:type="dxa"/>
            <w:vAlign w:val="center"/>
          </w:tcPr>
          <w:p w14:paraId="3F8EC344">
            <w:pPr>
              <w:shd w:val="clear"/>
              <w:spacing w:line="360" w:lineRule="auto"/>
              <w:jc w:val="center"/>
              <w:rPr>
                <w:rFonts w:hint="eastAsia" w:asciiTheme="minorEastAsia" w:hAnsiTheme="minorEastAsia" w:eastAsiaTheme="minorEastAsia" w:cstheme="minorEastAsia"/>
                <w:b/>
                <w:color w:val="auto"/>
                <w:sz w:val="24"/>
                <w:highlight w:val="none"/>
              </w:rPr>
            </w:pPr>
          </w:p>
        </w:tc>
      </w:tr>
      <w:tr w14:paraId="18C21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4" w:hRule="atLeast"/>
          <w:jc w:val="center"/>
        </w:trPr>
        <w:tc>
          <w:tcPr>
            <w:tcW w:w="772" w:type="dxa"/>
            <w:vAlign w:val="center"/>
          </w:tcPr>
          <w:p w14:paraId="469FE27E">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c>
          <w:tcPr>
            <w:tcW w:w="8355" w:type="dxa"/>
            <w:gridSpan w:val="4"/>
            <w:vAlign w:val="center"/>
          </w:tcPr>
          <w:p w14:paraId="09D0D27F">
            <w:pPr>
              <w:shd w:val="clear"/>
              <w:spacing w:line="360" w:lineRule="auto"/>
              <w:jc w:val="center"/>
              <w:rPr>
                <w:rFonts w:hint="eastAsia" w:asciiTheme="minorEastAsia" w:hAnsiTheme="minorEastAsia" w:eastAsiaTheme="minorEastAsia" w:cstheme="minorEastAsia"/>
                <w:b/>
                <w:color w:val="auto"/>
                <w:sz w:val="24"/>
                <w:highlight w:val="none"/>
              </w:rPr>
            </w:pPr>
          </w:p>
        </w:tc>
      </w:tr>
    </w:tbl>
    <w:p w14:paraId="36368337">
      <w:pPr>
        <w:shd w:val="clear"/>
        <w:autoSpaceDE w:val="0"/>
        <w:autoSpaceDN w:val="0"/>
        <w:adjustRightInd w:val="0"/>
        <w:spacing w:line="360" w:lineRule="auto"/>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注：1、</w:t>
      </w:r>
      <w:r>
        <w:rPr>
          <w:rFonts w:hint="eastAsia" w:asciiTheme="minorEastAsia" w:hAnsiTheme="minorEastAsia" w:eastAsiaTheme="minorEastAsia" w:cstheme="minorEastAsia"/>
          <w:color w:val="auto"/>
          <w:sz w:val="24"/>
          <w:highlight w:val="none"/>
        </w:rPr>
        <w:t>商务合同条款各条目是对供应商提出的最低要求，将作为采购人与成交人签定合同的基本要求。</w:t>
      </w:r>
    </w:p>
    <w:p w14:paraId="2C2045B9">
      <w:pPr>
        <w:pStyle w:val="15"/>
        <w:shd w:val="clea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2、凡是磋商响应文件的商务条款与磋商文件的商务条款之间存在负偏离（即不能满足磋商文件要求）的，按无效响应处理。</w:t>
      </w:r>
    </w:p>
    <w:p w14:paraId="3E3A2CC5">
      <w:pPr>
        <w:pStyle w:val="15"/>
        <w:shd w:val="clear"/>
        <w:spacing w:line="360" w:lineRule="auto"/>
        <w:rPr>
          <w:rFonts w:hint="eastAsia" w:asciiTheme="minorEastAsia" w:hAnsiTheme="minorEastAsia" w:eastAsiaTheme="minorEastAsia" w:cstheme="minorEastAsia"/>
          <w:color w:val="auto"/>
          <w:sz w:val="24"/>
          <w:highlight w:val="none"/>
        </w:rPr>
      </w:pPr>
    </w:p>
    <w:p w14:paraId="60CBE2EA">
      <w:pPr>
        <w:shd w:val="clear"/>
        <w:spacing w:line="360" w:lineRule="auto"/>
        <w:ind w:firstLine="4759" w:firstLineChars="1983"/>
        <w:rPr>
          <w:rFonts w:hint="eastAsia" w:asciiTheme="minorEastAsia" w:hAnsiTheme="minorEastAsia" w:eastAsiaTheme="minorEastAsia" w:cstheme="minorEastAsia"/>
          <w:color w:val="auto"/>
          <w:sz w:val="24"/>
          <w:szCs w:val="28"/>
          <w:highlight w:val="none"/>
        </w:rPr>
      </w:pPr>
    </w:p>
    <w:p w14:paraId="263DC36C">
      <w:pPr>
        <w:shd w:val="clear"/>
        <w:spacing w:line="360" w:lineRule="auto"/>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highlight w:val="none"/>
        </w:rPr>
        <w:t>供应商</w:t>
      </w:r>
      <w:r>
        <w:rPr>
          <w:rFonts w:hint="eastAsia" w:asciiTheme="minorEastAsia" w:hAnsiTheme="minorEastAsia" w:eastAsiaTheme="minorEastAsia" w:cstheme="minorEastAsia"/>
          <w:color w:val="auto"/>
          <w:sz w:val="24"/>
          <w:szCs w:val="28"/>
          <w:highlight w:val="none"/>
        </w:rPr>
        <w:t>全称(盖章)：</w:t>
      </w:r>
    </w:p>
    <w:p w14:paraId="1FA0A8A2">
      <w:pPr>
        <w:shd w:val="clear"/>
        <w:spacing w:line="360" w:lineRule="auto"/>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日  期：</w:t>
      </w:r>
    </w:p>
    <w:p w14:paraId="3B3CEC8C">
      <w:pPr>
        <w:pStyle w:val="11"/>
        <w:shd w:val="clear"/>
        <w:rPr>
          <w:rFonts w:hint="eastAsia" w:asciiTheme="minorEastAsia" w:hAnsiTheme="minorEastAsia" w:eastAsiaTheme="minorEastAsia" w:cstheme="minorEastAsia"/>
          <w:color w:val="auto"/>
          <w:highlight w:val="none"/>
        </w:rPr>
        <w:sectPr>
          <w:pgSz w:w="11905" w:h="16838"/>
          <w:pgMar w:top="1417" w:right="1134" w:bottom="1417" w:left="1304" w:header="935" w:footer="771" w:gutter="567"/>
          <w:cols w:space="0" w:num="1"/>
          <w:titlePg/>
          <w:docGrid w:linePitch="312" w:charSpace="0"/>
        </w:sectPr>
      </w:pPr>
    </w:p>
    <w:p w14:paraId="49EE249A">
      <w:pPr>
        <w:shd w:val="clea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lang w:val="zh-CN"/>
        </w:rPr>
        <w:t>四、响应方案</w:t>
      </w:r>
    </w:p>
    <w:p w14:paraId="6A6FFE80">
      <w:pPr>
        <w:shd w:val="clear"/>
        <w:rPr>
          <w:rFonts w:hint="eastAsia" w:asciiTheme="minorEastAsia" w:hAnsiTheme="minorEastAsia" w:eastAsiaTheme="minorEastAsia" w:cstheme="minorEastAsia"/>
          <w:b/>
          <w:bCs/>
          <w:color w:val="auto"/>
          <w:sz w:val="24"/>
          <w:szCs w:val="24"/>
          <w:highlight w:val="none"/>
        </w:rPr>
      </w:pPr>
    </w:p>
    <w:p w14:paraId="760EEC2A">
      <w:pPr>
        <w:shd w:val="clea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bCs/>
          <w:color w:val="auto"/>
          <w:sz w:val="24"/>
          <w:szCs w:val="24"/>
          <w:highlight w:val="none"/>
        </w:rPr>
        <w:t>1、供应商概况及其性质</w:t>
      </w:r>
    </w:p>
    <w:tbl>
      <w:tblPr>
        <w:tblStyle w:val="25"/>
        <w:tblW w:w="88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88"/>
        <w:gridCol w:w="1536"/>
        <w:gridCol w:w="1925"/>
        <w:gridCol w:w="1428"/>
        <w:gridCol w:w="2462"/>
      </w:tblGrid>
      <w:tr w14:paraId="446519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488" w:type="dxa"/>
            <w:vAlign w:val="center"/>
          </w:tcPr>
          <w:p w14:paraId="00D4815F">
            <w:pPr>
              <w:keepNext/>
              <w:keepLines/>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供应商名称</w:t>
            </w:r>
          </w:p>
        </w:tc>
        <w:tc>
          <w:tcPr>
            <w:tcW w:w="7351" w:type="dxa"/>
            <w:gridSpan w:val="4"/>
            <w:vAlign w:val="center"/>
          </w:tcPr>
          <w:p w14:paraId="09448B9B">
            <w:pPr>
              <w:keepNext/>
              <w:keepLines/>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p>
        </w:tc>
      </w:tr>
      <w:tr w14:paraId="3EF9417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488" w:type="dxa"/>
            <w:vAlign w:val="center"/>
          </w:tcPr>
          <w:p w14:paraId="31AC90CE">
            <w:pPr>
              <w:keepNext/>
              <w:keepLines/>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注册地址</w:t>
            </w:r>
          </w:p>
        </w:tc>
        <w:tc>
          <w:tcPr>
            <w:tcW w:w="3461" w:type="dxa"/>
            <w:gridSpan w:val="2"/>
            <w:vAlign w:val="center"/>
          </w:tcPr>
          <w:p w14:paraId="3A50405F">
            <w:pPr>
              <w:keepNext/>
              <w:keepLines/>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p>
        </w:tc>
        <w:tc>
          <w:tcPr>
            <w:tcW w:w="1428" w:type="dxa"/>
            <w:vAlign w:val="center"/>
          </w:tcPr>
          <w:p w14:paraId="3165DB14">
            <w:pPr>
              <w:keepNext/>
              <w:keepLines/>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邮政编码</w:t>
            </w:r>
          </w:p>
        </w:tc>
        <w:tc>
          <w:tcPr>
            <w:tcW w:w="2462" w:type="dxa"/>
            <w:vAlign w:val="center"/>
          </w:tcPr>
          <w:p w14:paraId="6C28E656">
            <w:pPr>
              <w:keepNext/>
              <w:keepLines/>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p>
        </w:tc>
      </w:tr>
      <w:tr w14:paraId="50DC51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488" w:type="dxa"/>
            <w:vMerge w:val="restart"/>
            <w:vAlign w:val="center"/>
          </w:tcPr>
          <w:p w14:paraId="52F1361A">
            <w:pPr>
              <w:keepNext/>
              <w:keepLines/>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联系方式</w:t>
            </w:r>
          </w:p>
        </w:tc>
        <w:tc>
          <w:tcPr>
            <w:tcW w:w="1536" w:type="dxa"/>
            <w:vAlign w:val="center"/>
          </w:tcPr>
          <w:p w14:paraId="0FA6458D">
            <w:pPr>
              <w:keepNext/>
              <w:keepLines/>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联系人</w:t>
            </w:r>
          </w:p>
        </w:tc>
        <w:tc>
          <w:tcPr>
            <w:tcW w:w="1925" w:type="dxa"/>
            <w:vAlign w:val="center"/>
          </w:tcPr>
          <w:p w14:paraId="7A955ED5">
            <w:pPr>
              <w:keepNext/>
              <w:keepLines/>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p>
        </w:tc>
        <w:tc>
          <w:tcPr>
            <w:tcW w:w="1428" w:type="dxa"/>
            <w:vAlign w:val="center"/>
          </w:tcPr>
          <w:p w14:paraId="01BFDA02">
            <w:pPr>
              <w:keepNext/>
              <w:keepLines/>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电话</w:t>
            </w:r>
          </w:p>
        </w:tc>
        <w:tc>
          <w:tcPr>
            <w:tcW w:w="2462" w:type="dxa"/>
            <w:vAlign w:val="center"/>
          </w:tcPr>
          <w:p w14:paraId="18A8EA5C">
            <w:pPr>
              <w:keepNext/>
              <w:keepLines/>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p>
        </w:tc>
      </w:tr>
      <w:tr w14:paraId="3D5B89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488" w:type="dxa"/>
            <w:vMerge w:val="continue"/>
            <w:vAlign w:val="center"/>
          </w:tcPr>
          <w:p w14:paraId="47E4137D">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p>
        </w:tc>
        <w:tc>
          <w:tcPr>
            <w:tcW w:w="1536" w:type="dxa"/>
            <w:vAlign w:val="center"/>
          </w:tcPr>
          <w:p w14:paraId="091460A9">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传真</w:t>
            </w:r>
          </w:p>
        </w:tc>
        <w:tc>
          <w:tcPr>
            <w:tcW w:w="1925" w:type="dxa"/>
            <w:vAlign w:val="center"/>
          </w:tcPr>
          <w:p w14:paraId="38B0633B">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p>
        </w:tc>
        <w:tc>
          <w:tcPr>
            <w:tcW w:w="1428" w:type="dxa"/>
            <w:vAlign w:val="center"/>
          </w:tcPr>
          <w:p w14:paraId="7AC324E9">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网址</w:t>
            </w:r>
          </w:p>
        </w:tc>
        <w:tc>
          <w:tcPr>
            <w:tcW w:w="2462" w:type="dxa"/>
            <w:vAlign w:val="center"/>
          </w:tcPr>
          <w:p w14:paraId="792E912E">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p>
        </w:tc>
      </w:tr>
      <w:tr w14:paraId="5EA0A3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488" w:type="dxa"/>
            <w:vAlign w:val="center"/>
          </w:tcPr>
          <w:p w14:paraId="37706C5B">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w:t>
            </w:r>
          </w:p>
        </w:tc>
        <w:tc>
          <w:tcPr>
            <w:tcW w:w="1536" w:type="dxa"/>
            <w:vAlign w:val="center"/>
          </w:tcPr>
          <w:p w14:paraId="47C35F1B">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姓名</w:t>
            </w:r>
          </w:p>
        </w:tc>
        <w:tc>
          <w:tcPr>
            <w:tcW w:w="1925" w:type="dxa"/>
            <w:vAlign w:val="center"/>
          </w:tcPr>
          <w:p w14:paraId="6AD3677E">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p>
        </w:tc>
        <w:tc>
          <w:tcPr>
            <w:tcW w:w="1428" w:type="dxa"/>
            <w:vAlign w:val="center"/>
          </w:tcPr>
          <w:p w14:paraId="0BBBF0F9">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电话</w:t>
            </w:r>
          </w:p>
        </w:tc>
        <w:tc>
          <w:tcPr>
            <w:tcW w:w="2462" w:type="dxa"/>
            <w:vAlign w:val="center"/>
          </w:tcPr>
          <w:p w14:paraId="1462DE3E">
            <w:pPr>
              <w:shd w:val="clear"/>
              <w:autoSpaceDE w:val="0"/>
              <w:autoSpaceDN w:val="0"/>
              <w:adjustRightInd w:val="0"/>
              <w:spacing w:line="400" w:lineRule="exact"/>
              <w:jc w:val="center"/>
              <w:rPr>
                <w:rFonts w:hint="eastAsia" w:asciiTheme="minorEastAsia" w:hAnsiTheme="minorEastAsia" w:eastAsiaTheme="minorEastAsia" w:cstheme="minorEastAsia"/>
                <w:b/>
                <w:bCs/>
                <w:color w:val="auto"/>
                <w:kern w:val="0"/>
                <w:sz w:val="24"/>
                <w:szCs w:val="24"/>
                <w:highlight w:val="none"/>
              </w:rPr>
            </w:pPr>
          </w:p>
        </w:tc>
      </w:tr>
      <w:tr w14:paraId="1368E4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488" w:type="dxa"/>
            <w:vAlign w:val="center"/>
          </w:tcPr>
          <w:p w14:paraId="2A747AE0">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项目负责人</w:t>
            </w:r>
          </w:p>
        </w:tc>
        <w:tc>
          <w:tcPr>
            <w:tcW w:w="1536" w:type="dxa"/>
            <w:vAlign w:val="center"/>
          </w:tcPr>
          <w:p w14:paraId="5DEF6C26">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姓名</w:t>
            </w:r>
          </w:p>
        </w:tc>
        <w:tc>
          <w:tcPr>
            <w:tcW w:w="1925" w:type="dxa"/>
            <w:vAlign w:val="center"/>
          </w:tcPr>
          <w:p w14:paraId="6C7C1B72">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p>
        </w:tc>
        <w:tc>
          <w:tcPr>
            <w:tcW w:w="1428" w:type="dxa"/>
            <w:vAlign w:val="center"/>
          </w:tcPr>
          <w:p w14:paraId="1D0C3442">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电话</w:t>
            </w:r>
          </w:p>
        </w:tc>
        <w:tc>
          <w:tcPr>
            <w:tcW w:w="2462" w:type="dxa"/>
            <w:vAlign w:val="center"/>
          </w:tcPr>
          <w:p w14:paraId="7C450CAE">
            <w:pPr>
              <w:shd w:val="clear"/>
              <w:autoSpaceDE w:val="0"/>
              <w:autoSpaceDN w:val="0"/>
              <w:adjustRightInd w:val="0"/>
              <w:spacing w:line="400" w:lineRule="exact"/>
              <w:jc w:val="center"/>
              <w:rPr>
                <w:rFonts w:hint="eastAsia" w:asciiTheme="minorEastAsia" w:hAnsiTheme="minorEastAsia" w:eastAsiaTheme="minorEastAsia" w:cstheme="minorEastAsia"/>
                <w:b/>
                <w:bCs/>
                <w:color w:val="auto"/>
                <w:kern w:val="0"/>
                <w:sz w:val="24"/>
                <w:szCs w:val="24"/>
                <w:highlight w:val="none"/>
              </w:rPr>
            </w:pPr>
          </w:p>
        </w:tc>
      </w:tr>
      <w:tr w14:paraId="3A90EF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488" w:type="dxa"/>
            <w:vAlign w:val="center"/>
          </w:tcPr>
          <w:p w14:paraId="501B37C3">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成立时间</w:t>
            </w:r>
          </w:p>
        </w:tc>
        <w:tc>
          <w:tcPr>
            <w:tcW w:w="3461" w:type="dxa"/>
            <w:gridSpan w:val="2"/>
            <w:vAlign w:val="center"/>
          </w:tcPr>
          <w:p w14:paraId="45C755B7">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p>
        </w:tc>
        <w:tc>
          <w:tcPr>
            <w:tcW w:w="1428" w:type="dxa"/>
            <w:vAlign w:val="center"/>
          </w:tcPr>
          <w:p w14:paraId="2AFBE781">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开户银行</w:t>
            </w:r>
          </w:p>
        </w:tc>
        <w:tc>
          <w:tcPr>
            <w:tcW w:w="2462" w:type="dxa"/>
            <w:vAlign w:val="center"/>
          </w:tcPr>
          <w:p w14:paraId="5EE73BA2">
            <w:pPr>
              <w:shd w:val="clear"/>
              <w:autoSpaceDE w:val="0"/>
              <w:autoSpaceDN w:val="0"/>
              <w:adjustRightInd w:val="0"/>
              <w:spacing w:line="400" w:lineRule="exact"/>
              <w:jc w:val="center"/>
              <w:rPr>
                <w:rFonts w:hint="eastAsia" w:asciiTheme="minorEastAsia" w:hAnsiTheme="minorEastAsia" w:eastAsiaTheme="minorEastAsia" w:cstheme="minorEastAsia"/>
                <w:b/>
                <w:bCs/>
                <w:color w:val="auto"/>
                <w:kern w:val="0"/>
                <w:sz w:val="24"/>
                <w:szCs w:val="24"/>
                <w:highlight w:val="none"/>
              </w:rPr>
            </w:pPr>
          </w:p>
        </w:tc>
      </w:tr>
      <w:tr w14:paraId="53AA24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488" w:type="dxa"/>
            <w:vAlign w:val="center"/>
          </w:tcPr>
          <w:p w14:paraId="14897C27">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营业执照号</w:t>
            </w:r>
          </w:p>
        </w:tc>
        <w:tc>
          <w:tcPr>
            <w:tcW w:w="3461" w:type="dxa"/>
            <w:gridSpan w:val="2"/>
            <w:vAlign w:val="center"/>
          </w:tcPr>
          <w:p w14:paraId="406EBEC4">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p>
        </w:tc>
        <w:tc>
          <w:tcPr>
            <w:tcW w:w="1428" w:type="dxa"/>
            <w:vAlign w:val="center"/>
          </w:tcPr>
          <w:p w14:paraId="3D05CBF9">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账号</w:t>
            </w:r>
          </w:p>
        </w:tc>
        <w:tc>
          <w:tcPr>
            <w:tcW w:w="2462" w:type="dxa"/>
            <w:vAlign w:val="center"/>
          </w:tcPr>
          <w:p w14:paraId="68C517BE">
            <w:pPr>
              <w:shd w:val="clear"/>
              <w:autoSpaceDE w:val="0"/>
              <w:autoSpaceDN w:val="0"/>
              <w:adjustRightInd w:val="0"/>
              <w:spacing w:line="400" w:lineRule="exact"/>
              <w:jc w:val="center"/>
              <w:rPr>
                <w:rFonts w:hint="eastAsia" w:asciiTheme="minorEastAsia" w:hAnsiTheme="minorEastAsia" w:eastAsiaTheme="minorEastAsia" w:cstheme="minorEastAsia"/>
                <w:b/>
                <w:bCs/>
                <w:color w:val="auto"/>
                <w:kern w:val="0"/>
                <w:sz w:val="24"/>
                <w:szCs w:val="24"/>
                <w:highlight w:val="none"/>
              </w:rPr>
            </w:pPr>
          </w:p>
        </w:tc>
      </w:tr>
      <w:tr w14:paraId="2DCC17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92" w:hRule="atLeast"/>
          <w:jc w:val="center"/>
        </w:trPr>
        <w:tc>
          <w:tcPr>
            <w:tcW w:w="1488" w:type="dxa"/>
            <w:vAlign w:val="center"/>
          </w:tcPr>
          <w:p w14:paraId="42264D9C">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经营范围</w:t>
            </w:r>
          </w:p>
        </w:tc>
        <w:tc>
          <w:tcPr>
            <w:tcW w:w="7351" w:type="dxa"/>
            <w:gridSpan w:val="4"/>
            <w:vAlign w:val="center"/>
          </w:tcPr>
          <w:p w14:paraId="279442A9">
            <w:pPr>
              <w:shd w:val="clear"/>
              <w:autoSpaceDE w:val="0"/>
              <w:autoSpaceDN w:val="0"/>
              <w:adjustRightInd w:val="0"/>
              <w:spacing w:line="400" w:lineRule="exact"/>
              <w:rPr>
                <w:rFonts w:hint="eastAsia" w:asciiTheme="minorEastAsia" w:hAnsiTheme="minorEastAsia" w:eastAsiaTheme="minorEastAsia" w:cstheme="minorEastAsia"/>
                <w:b/>
                <w:bCs/>
                <w:color w:val="auto"/>
                <w:kern w:val="0"/>
                <w:sz w:val="24"/>
                <w:szCs w:val="24"/>
                <w:highlight w:val="none"/>
              </w:rPr>
            </w:pPr>
          </w:p>
        </w:tc>
      </w:tr>
      <w:tr w14:paraId="6D2FD01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488" w:type="dxa"/>
          </w:tcPr>
          <w:p w14:paraId="09FFA97C">
            <w:pPr>
              <w:shd w:val="clear"/>
              <w:autoSpaceDE w:val="0"/>
              <w:autoSpaceDN w:val="0"/>
              <w:adjustRightInd w:val="0"/>
              <w:spacing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c>
          <w:tcPr>
            <w:tcW w:w="7351" w:type="dxa"/>
            <w:gridSpan w:val="4"/>
          </w:tcPr>
          <w:p w14:paraId="559C27EB">
            <w:pPr>
              <w:shd w:val="clear"/>
              <w:autoSpaceDE w:val="0"/>
              <w:autoSpaceDN w:val="0"/>
              <w:adjustRightInd w:val="0"/>
              <w:spacing w:line="400" w:lineRule="exact"/>
              <w:jc w:val="left"/>
              <w:rPr>
                <w:rFonts w:hint="eastAsia" w:asciiTheme="minorEastAsia" w:hAnsiTheme="minorEastAsia" w:eastAsiaTheme="minorEastAsia" w:cstheme="minorEastAsia"/>
                <w:color w:val="auto"/>
                <w:kern w:val="0"/>
                <w:sz w:val="24"/>
                <w:szCs w:val="24"/>
                <w:highlight w:val="none"/>
              </w:rPr>
            </w:pPr>
          </w:p>
        </w:tc>
      </w:tr>
    </w:tbl>
    <w:p w14:paraId="74479B67">
      <w:pPr>
        <w:shd w:val="clear"/>
        <w:rPr>
          <w:rFonts w:hint="eastAsia" w:asciiTheme="minorEastAsia" w:hAnsiTheme="minorEastAsia" w:eastAsiaTheme="minorEastAsia" w:cstheme="minorEastAsia"/>
          <w:b/>
          <w:color w:val="auto"/>
          <w:sz w:val="32"/>
          <w:szCs w:val="32"/>
          <w:highlight w:val="none"/>
        </w:rPr>
      </w:pPr>
    </w:p>
    <w:p w14:paraId="041F888A">
      <w:pPr>
        <w:pStyle w:val="14"/>
        <w:shd w:val="clear"/>
        <w:ind w:firstLine="0" w:firstLineChars="0"/>
        <w:rPr>
          <w:rFonts w:hint="eastAsia" w:asciiTheme="minorEastAsia" w:hAnsiTheme="minorEastAsia" w:eastAsiaTheme="minorEastAsia" w:cstheme="minorEastAsia"/>
          <w:color w:val="auto"/>
          <w:sz w:val="24"/>
          <w:szCs w:val="22"/>
          <w:highlight w:val="none"/>
        </w:rPr>
      </w:pPr>
    </w:p>
    <w:p w14:paraId="51720AA6">
      <w:pPr>
        <w:pStyle w:val="14"/>
        <w:shd w:val="clea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2"/>
          <w:highlight w:val="none"/>
        </w:rPr>
        <w:t xml:space="preserve">供应商名称： </w:t>
      </w:r>
      <w:r>
        <w:rPr>
          <w:rFonts w:hint="eastAsia" w:asciiTheme="minorEastAsia" w:hAnsiTheme="minorEastAsia" w:eastAsiaTheme="minorEastAsia" w:cstheme="minorEastAsia"/>
          <w:color w:val="auto"/>
          <w:sz w:val="24"/>
          <w:szCs w:val="22"/>
          <w:highlight w:val="none"/>
          <w:u w:val="single"/>
        </w:rPr>
        <w:t xml:space="preserve">                 </w:t>
      </w:r>
      <w:r>
        <w:rPr>
          <w:rFonts w:hint="eastAsia" w:asciiTheme="minorEastAsia" w:hAnsiTheme="minorEastAsia" w:eastAsiaTheme="minorEastAsia" w:cstheme="minorEastAsia"/>
          <w:color w:val="auto"/>
          <w:sz w:val="24"/>
          <w:szCs w:val="22"/>
          <w:highlight w:val="none"/>
        </w:rPr>
        <w:t>（</w:t>
      </w:r>
      <w:r>
        <w:rPr>
          <w:rFonts w:hint="eastAsia" w:asciiTheme="minorEastAsia" w:hAnsiTheme="minorEastAsia" w:eastAsiaTheme="minorEastAsia" w:cstheme="minorEastAsia"/>
          <w:color w:val="auto"/>
          <w:sz w:val="24"/>
          <w:szCs w:val="28"/>
          <w:highlight w:val="none"/>
        </w:rPr>
        <w:t>加盖公</w:t>
      </w:r>
      <w:r>
        <w:rPr>
          <w:rFonts w:hint="eastAsia" w:asciiTheme="minorEastAsia" w:hAnsiTheme="minorEastAsia" w:eastAsiaTheme="minorEastAsia" w:cstheme="minorEastAsia"/>
          <w:color w:val="auto"/>
          <w:sz w:val="24"/>
          <w:szCs w:val="22"/>
          <w:highlight w:val="none"/>
        </w:rPr>
        <w:t xml:space="preserve">章）  </w:t>
      </w:r>
    </w:p>
    <w:p w14:paraId="28AA45F5">
      <w:pPr>
        <w:shd w:val="clear"/>
        <w:autoSpaceDE w:val="0"/>
        <w:autoSpaceDN w:val="0"/>
        <w:adjustRightInd w:val="0"/>
        <w:snapToGrid w:val="0"/>
        <w:spacing w:line="360" w:lineRule="auto"/>
        <w:outlineLvl w:val="0"/>
        <w:rPr>
          <w:rFonts w:hint="eastAsia" w:asciiTheme="minorEastAsia" w:hAnsiTheme="minorEastAsia" w:eastAsiaTheme="minorEastAsia" w:cstheme="minorEastAsia"/>
          <w:b/>
          <w:bCs/>
          <w:color w:val="auto"/>
          <w:szCs w:val="28"/>
          <w:highlight w:val="none"/>
        </w:rPr>
      </w:pPr>
      <w:bookmarkStart w:id="103" w:name="_Toc554"/>
      <w:bookmarkStart w:id="104" w:name="_Toc6950"/>
      <w:bookmarkStart w:id="105" w:name="_Toc4945"/>
      <w:r>
        <w:rPr>
          <w:rFonts w:hint="eastAsia" w:asciiTheme="minorEastAsia" w:hAnsiTheme="minorEastAsia" w:eastAsiaTheme="minorEastAsia" w:cstheme="minorEastAsia"/>
          <w:color w:val="auto"/>
          <w:sz w:val="24"/>
          <w:szCs w:val="22"/>
          <w:highlight w:val="none"/>
        </w:rPr>
        <w:t>日  期：</w:t>
      </w:r>
      <w:bookmarkEnd w:id="103"/>
      <w:bookmarkEnd w:id="104"/>
      <w:bookmarkEnd w:id="105"/>
      <w:r>
        <w:rPr>
          <w:rFonts w:hint="eastAsia" w:asciiTheme="minorEastAsia" w:hAnsiTheme="minorEastAsia" w:eastAsiaTheme="minorEastAsia" w:cstheme="minorEastAsia"/>
          <w:color w:val="auto"/>
          <w:sz w:val="24"/>
          <w:szCs w:val="22"/>
          <w:highlight w:val="none"/>
        </w:rPr>
        <w:t xml:space="preserve"> </w:t>
      </w:r>
      <w:r>
        <w:rPr>
          <w:rFonts w:hint="eastAsia" w:asciiTheme="minorEastAsia" w:hAnsiTheme="minorEastAsia" w:eastAsiaTheme="minorEastAsia" w:cstheme="minorEastAsia"/>
          <w:color w:val="auto"/>
          <w:sz w:val="24"/>
          <w:szCs w:val="22"/>
          <w:highlight w:val="none"/>
          <w:u w:val="single"/>
        </w:rPr>
        <w:t xml:space="preserve">                 </w:t>
      </w:r>
    </w:p>
    <w:p w14:paraId="4EAC7434">
      <w:pPr>
        <w:shd w:val="clear"/>
        <w:rPr>
          <w:rFonts w:hint="eastAsia" w:asciiTheme="minorEastAsia" w:hAnsiTheme="minorEastAsia" w:eastAsiaTheme="minorEastAsia" w:cstheme="minorEastAsia"/>
          <w:color w:val="auto"/>
          <w:sz w:val="24"/>
          <w:szCs w:val="24"/>
          <w:highlight w:val="none"/>
        </w:rPr>
      </w:pPr>
    </w:p>
    <w:p w14:paraId="0A1BE58F">
      <w:pPr>
        <w:pStyle w:val="14"/>
        <w:shd w:val="clear"/>
        <w:ind w:firstLine="280"/>
        <w:rPr>
          <w:rFonts w:hint="eastAsia" w:asciiTheme="minorEastAsia" w:hAnsiTheme="minorEastAsia" w:eastAsiaTheme="minorEastAsia" w:cstheme="minorEastAsia"/>
          <w:color w:val="auto"/>
          <w:highlight w:val="none"/>
        </w:rPr>
      </w:pPr>
    </w:p>
    <w:p w14:paraId="22599BC9">
      <w:pPr>
        <w:pStyle w:val="49"/>
        <w:shd w:val="clear"/>
        <w:spacing w:line="360" w:lineRule="auto"/>
        <w:ind w:firstLine="173" w:firstLineChars="62"/>
        <w:jc w:val="left"/>
        <w:outlineLvl w:val="1"/>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color w:val="auto"/>
          <w:highlight w:val="none"/>
        </w:rPr>
        <w:br w:type="page"/>
      </w:r>
    </w:p>
    <w:p w14:paraId="3BAE2316">
      <w:pPr>
        <w:shd w:val="clear"/>
        <w:spacing w:line="360" w:lineRule="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2、技术方案</w:t>
      </w:r>
    </w:p>
    <w:p w14:paraId="61174085">
      <w:pPr>
        <w:shd w:val="clear"/>
        <w:spacing w:line="360" w:lineRule="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（供应商根据评标办法及评分标准所有细则自拟、自行阐述）</w:t>
      </w:r>
    </w:p>
    <w:p w14:paraId="11F2BF5B">
      <w:pPr>
        <w:shd w:val="clear"/>
        <w:rPr>
          <w:rFonts w:hint="eastAsia" w:asciiTheme="minorEastAsia" w:hAnsiTheme="minorEastAsia" w:eastAsiaTheme="minorEastAsia" w:cstheme="minorEastAsia"/>
          <w:color w:val="auto"/>
          <w:highlight w:val="none"/>
        </w:rPr>
      </w:pPr>
    </w:p>
    <w:p w14:paraId="1A42D8DD">
      <w:pPr>
        <w:pStyle w:val="22"/>
        <w:shd w:val="clear"/>
        <w:rPr>
          <w:rFonts w:hint="eastAsia" w:asciiTheme="minorEastAsia" w:hAnsiTheme="minorEastAsia" w:eastAsiaTheme="minorEastAsia" w:cstheme="minorEastAsia"/>
          <w:color w:val="auto"/>
          <w:sz w:val="24"/>
          <w:szCs w:val="28"/>
          <w:highlight w:val="none"/>
        </w:rPr>
      </w:pPr>
    </w:p>
    <w:p w14:paraId="789A9CE5">
      <w:pPr>
        <w:pStyle w:val="22"/>
        <w:shd w:val="clear"/>
        <w:rPr>
          <w:rFonts w:hint="eastAsia" w:asciiTheme="minorEastAsia" w:hAnsiTheme="minorEastAsia" w:eastAsiaTheme="minorEastAsia" w:cstheme="minorEastAsia"/>
          <w:color w:val="auto"/>
          <w:sz w:val="24"/>
          <w:szCs w:val="28"/>
          <w:highlight w:val="none"/>
        </w:rPr>
      </w:pPr>
    </w:p>
    <w:p w14:paraId="0C54B655">
      <w:pPr>
        <w:pStyle w:val="22"/>
        <w:shd w:val="clear"/>
        <w:rPr>
          <w:rFonts w:hint="eastAsia" w:asciiTheme="minorEastAsia" w:hAnsiTheme="minorEastAsia" w:eastAsiaTheme="minorEastAsia" w:cstheme="minorEastAsia"/>
          <w:color w:val="auto"/>
          <w:sz w:val="24"/>
          <w:szCs w:val="28"/>
          <w:highlight w:val="none"/>
        </w:rPr>
      </w:pPr>
    </w:p>
    <w:p w14:paraId="40AD0D44">
      <w:pPr>
        <w:pStyle w:val="22"/>
        <w:shd w:val="clear"/>
        <w:rPr>
          <w:rFonts w:hint="eastAsia" w:asciiTheme="minorEastAsia" w:hAnsiTheme="minorEastAsia" w:eastAsiaTheme="minorEastAsia" w:cstheme="minorEastAsia"/>
          <w:color w:val="auto"/>
          <w:sz w:val="24"/>
          <w:szCs w:val="28"/>
          <w:highlight w:val="none"/>
        </w:rPr>
      </w:pPr>
    </w:p>
    <w:p w14:paraId="3DE23CEB">
      <w:pPr>
        <w:pStyle w:val="22"/>
        <w:shd w:val="clear"/>
        <w:rPr>
          <w:rFonts w:hint="eastAsia" w:asciiTheme="minorEastAsia" w:hAnsiTheme="minorEastAsia" w:eastAsiaTheme="minorEastAsia" w:cstheme="minorEastAsia"/>
          <w:color w:val="auto"/>
          <w:sz w:val="24"/>
          <w:szCs w:val="28"/>
          <w:highlight w:val="none"/>
        </w:rPr>
      </w:pPr>
    </w:p>
    <w:p w14:paraId="2C99A8A5">
      <w:pPr>
        <w:pStyle w:val="11"/>
        <w:shd w:val="clear"/>
        <w:rPr>
          <w:rFonts w:hint="eastAsia" w:asciiTheme="minorEastAsia" w:hAnsiTheme="minorEastAsia" w:eastAsiaTheme="minorEastAsia" w:cstheme="minorEastAsia"/>
          <w:b/>
          <w:color w:val="auto"/>
          <w:sz w:val="44"/>
          <w:szCs w:val="44"/>
          <w:highlight w:val="none"/>
        </w:rPr>
      </w:pPr>
    </w:p>
    <w:p w14:paraId="1F178293">
      <w:pPr>
        <w:shd w:val="clear"/>
        <w:rPr>
          <w:rFonts w:hint="eastAsia" w:asciiTheme="minorEastAsia" w:hAnsiTheme="minorEastAsia" w:eastAsiaTheme="minorEastAsia" w:cstheme="minorEastAsia"/>
          <w:b/>
          <w:color w:val="auto"/>
          <w:sz w:val="44"/>
          <w:szCs w:val="44"/>
          <w:highlight w:val="none"/>
        </w:rPr>
      </w:pPr>
    </w:p>
    <w:p w14:paraId="42155FE7">
      <w:pPr>
        <w:pStyle w:val="13"/>
        <w:shd w:val="clear"/>
        <w:ind w:firstLine="883"/>
        <w:rPr>
          <w:rFonts w:hint="eastAsia" w:asciiTheme="minorEastAsia" w:hAnsiTheme="minorEastAsia" w:eastAsiaTheme="minorEastAsia" w:cstheme="minorEastAsia"/>
          <w:b/>
          <w:color w:val="auto"/>
          <w:sz w:val="44"/>
          <w:szCs w:val="44"/>
          <w:highlight w:val="none"/>
        </w:rPr>
      </w:pPr>
    </w:p>
    <w:p w14:paraId="41A9DAE7">
      <w:pPr>
        <w:pStyle w:val="14"/>
        <w:shd w:val="clear"/>
        <w:ind w:firstLine="442"/>
        <w:rPr>
          <w:rFonts w:hint="eastAsia" w:asciiTheme="minorEastAsia" w:hAnsiTheme="minorEastAsia" w:eastAsiaTheme="minorEastAsia" w:cstheme="minorEastAsia"/>
          <w:b/>
          <w:color w:val="auto"/>
          <w:sz w:val="44"/>
          <w:szCs w:val="44"/>
          <w:highlight w:val="none"/>
        </w:rPr>
      </w:pPr>
    </w:p>
    <w:p w14:paraId="193A3DD9">
      <w:pPr>
        <w:pStyle w:val="13"/>
        <w:shd w:val="clear"/>
        <w:ind w:firstLine="883"/>
        <w:rPr>
          <w:rFonts w:hint="eastAsia" w:asciiTheme="minorEastAsia" w:hAnsiTheme="minorEastAsia" w:eastAsiaTheme="minorEastAsia" w:cstheme="minorEastAsia"/>
          <w:b/>
          <w:color w:val="auto"/>
          <w:sz w:val="44"/>
          <w:szCs w:val="44"/>
          <w:highlight w:val="none"/>
        </w:rPr>
      </w:pPr>
    </w:p>
    <w:p w14:paraId="683BBAD8">
      <w:pPr>
        <w:pStyle w:val="14"/>
        <w:shd w:val="clear"/>
        <w:ind w:firstLine="442"/>
        <w:rPr>
          <w:rFonts w:hint="eastAsia" w:asciiTheme="minorEastAsia" w:hAnsiTheme="minorEastAsia" w:eastAsiaTheme="minorEastAsia" w:cstheme="minorEastAsia"/>
          <w:b/>
          <w:color w:val="auto"/>
          <w:sz w:val="44"/>
          <w:szCs w:val="44"/>
          <w:highlight w:val="none"/>
        </w:rPr>
      </w:pPr>
    </w:p>
    <w:p w14:paraId="6FD00690">
      <w:pPr>
        <w:pStyle w:val="13"/>
        <w:shd w:val="clear"/>
        <w:ind w:firstLine="883"/>
        <w:rPr>
          <w:rFonts w:hint="eastAsia" w:asciiTheme="minorEastAsia" w:hAnsiTheme="minorEastAsia" w:eastAsiaTheme="minorEastAsia" w:cstheme="minorEastAsia"/>
          <w:b/>
          <w:color w:val="auto"/>
          <w:sz w:val="44"/>
          <w:szCs w:val="44"/>
          <w:highlight w:val="none"/>
        </w:rPr>
      </w:pPr>
    </w:p>
    <w:p w14:paraId="48A77DFA">
      <w:pPr>
        <w:pStyle w:val="14"/>
        <w:shd w:val="clear"/>
        <w:ind w:firstLine="442"/>
        <w:rPr>
          <w:rFonts w:hint="eastAsia" w:asciiTheme="minorEastAsia" w:hAnsiTheme="minorEastAsia" w:eastAsiaTheme="minorEastAsia" w:cstheme="minorEastAsia"/>
          <w:b/>
          <w:color w:val="auto"/>
          <w:sz w:val="44"/>
          <w:szCs w:val="44"/>
          <w:highlight w:val="none"/>
        </w:rPr>
      </w:pPr>
    </w:p>
    <w:p w14:paraId="6C7B141A">
      <w:pPr>
        <w:pStyle w:val="13"/>
        <w:shd w:val="clear"/>
        <w:ind w:firstLine="883"/>
        <w:rPr>
          <w:rFonts w:hint="eastAsia" w:asciiTheme="minorEastAsia" w:hAnsiTheme="minorEastAsia" w:eastAsiaTheme="minorEastAsia" w:cstheme="minorEastAsia"/>
          <w:b/>
          <w:color w:val="auto"/>
          <w:sz w:val="44"/>
          <w:szCs w:val="44"/>
          <w:highlight w:val="none"/>
        </w:rPr>
      </w:pPr>
    </w:p>
    <w:p w14:paraId="78DEB2BB">
      <w:pPr>
        <w:pStyle w:val="14"/>
        <w:shd w:val="clear"/>
        <w:ind w:firstLine="442"/>
        <w:rPr>
          <w:rFonts w:hint="eastAsia" w:asciiTheme="minorEastAsia" w:hAnsiTheme="minorEastAsia" w:eastAsiaTheme="minorEastAsia" w:cstheme="minorEastAsia"/>
          <w:b/>
          <w:color w:val="auto"/>
          <w:sz w:val="44"/>
          <w:szCs w:val="44"/>
          <w:highlight w:val="none"/>
        </w:rPr>
      </w:pPr>
    </w:p>
    <w:p w14:paraId="37904C48">
      <w:pPr>
        <w:shd w:val="clea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14:paraId="6202410E">
      <w:pPr>
        <w:pStyle w:val="13"/>
        <w:shd w:val="clear"/>
        <w:ind w:left="0" w:firstLine="0" w:firstLineChars="0"/>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rPr>
        <w:t>3、</w:t>
      </w:r>
      <w:r>
        <w:rPr>
          <w:rFonts w:hint="eastAsia" w:asciiTheme="minorEastAsia" w:hAnsiTheme="minorEastAsia" w:eastAsiaTheme="minorEastAsia" w:cstheme="minorEastAsia"/>
          <w:b/>
          <w:bCs/>
          <w:color w:val="auto"/>
          <w:kern w:val="2"/>
          <w:sz w:val="24"/>
          <w:szCs w:val="24"/>
          <w:highlight w:val="none"/>
          <w:lang w:val="zh-CN"/>
        </w:rPr>
        <w:t>类似业绩</w:t>
      </w:r>
    </w:p>
    <w:p w14:paraId="7A5F89C5">
      <w:pPr>
        <w:pStyle w:val="14"/>
        <w:shd w:val="clear"/>
        <w:ind w:firstLine="442"/>
        <w:rPr>
          <w:rFonts w:hint="eastAsia" w:asciiTheme="minorEastAsia" w:hAnsiTheme="minorEastAsia" w:eastAsiaTheme="minorEastAsia" w:cstheme="minorEastAsia"/>
          <w:b/>
          <w:color w:val="auto"/>
          <w:sz w:val="44"/>
          <w:szCs w:val="44"/>
          <w:highlight w:val="none"/>
        </w:rPr>
      </w:pPr>
    </w:p>
    <w:p w14:paraId="60103CCB">
      <w:pPr>
        <w:pStyle w:val="13"/>
        <w:shd w:val="clear"/>
        <w:ind w:firstLine="883"/>
        <w:rPr>
          <w:rFonts w:hint="eastAsia" w:asciiTheme="minorEastAsia" w:hAnsiTheme="minorEastAsia" w:eastAsiaTheme="minorEastAsia" w:cstheme="minorEastAsia"/>
          <w:b/>
          <w:color w:val="auto"/>
          <w:sz w:val="44"/>
          <w:szCs w:val="44"/>
          <w:highlight w:val="none"/>
        </w:rPr>
      </w:pPr>
    </w:p>
    <w:p w14:paraId="05F26645">
      <w:pPr>
        <w:pStyle w:val="14"/>
        <w:shd w:val="clear"/>
        <w:ind w:firstLine="442"/>
        <w:rPr>
          <w:rFonts w:hint="eastAsia" w:asciiTheme="minorEastAsia" w:hAnsiTheme="minorEastAsia" w:eastAsiaTheme="minorEastAsia" w:cstheme="minorEastAsia"/>
          <w:b/>
          <w:color w:val="auto"/>
          <w:sz w:val="44"/>
          <w:szCs w:val="44"/>
          <w:highlight w:val="none"/>
        </w:rPr>
      </w:pPr>
    </w:p>
    <w:p w14:paraId="03227D90">
      <w:pPr>
        <w:pStyle w:val="13"/>
        <w:shd w:val="clear"/>
        <w:ind w:firstLine="560"/>
        <w:rPr>
          <w:rFonts w:hint="eastAsia" w:asciiTheme="minorEastAsia" w:hAnsiTheme="minorEastAsia" w:eastAsiaTheme="minorEastAsia" w:cstheme="minorEastAsia"/>
          <w:color w:val="auto"/>
          <w:highlight w:val="none"/>
        </w:rPr>
      </w:pPr>
    </w:p>
    <w:p w14:paraId="6276E3A0">
      <w:pPr>
        <w:pStyle w:val="11"/>
        <w:shd w:val="clear"/>
        <w:rPr>
          <w:rFonts w:hint="eastAsia" w:asciiTheme="minorEastAsia" w:hAnsiTheme="minorEastAsia" w:eastAsiaTheme="minorEastAsia" w:cstheme="minorEastAsia"/>
          <w:b/>
          <w:color w:val="auto"/>
          <w:sz w:val="44"/>
          <w:szCs w:val="44"/>
          <w:highlight w:val="none"/>
        </w:rPr>
      </w:pPr>
    </w:p>
    <w:p w14:paraId="298FAF6F">
      <w:pPr>
        <w:shd w:val="clear"/>
        <w:rPr>
          <w:rFonts w:hint="eastAsia" w:asciiTheme="minorEastAsia" w:hAnsiTheme="minorEastAsia" w:eastAsiaTheme="minorEastAsia" w:cstheme="minorEastAsia"/>
          <w:b/>
          <w:color w:val="auto"/>
          <w:sz w:val="44"/>
          <w:szCs w:val="44"/>
          <w:highlight w:val="none"/>
        </w:rPr>
      </w:pPr>
    </w:p>
    <w:p w14:paraId="414B2759">
      <w:pPr>
        <w:pStyle w:val="11"/>
        <w:shd w:val="clear"/>
        <w:rPr>
          <w:rFonts w:hint="eastAsia" w:asciiTheme="minorEastAsia" w:hAnsiTheme="minorEastAsia" w:eastAsiaTheme="minorEastAsia" w:cstheme="minorEastAsia"/>
          <w:color w:val="auto"/>
          <w:highlight w:val="none"/>
        </w:rPr>
      </w:pPr>
    </w:p>
    <w:p w14:paraId="47512C2F">
      <w:pPr>
        <w:pStyle w:val="11"/>
        <w:shd w:val="clear"/>
        <w:rPr>
          <w:rFonts w:hint="eastAsia" w:asciiTheme="minorEastAsia" w:hAnsiTheme="minorEastAsia" w:eastAsiaTheme="minorEastAsia" w:cstheme="minorEastAsia"/>
          <w:b/>
          <w:color w:val="auto"/>
          <w:sz w:val="44"/>
          <w:szCs w:val="44"/>
          <w:highlight w:val="none"/>
        </w:rPr>
      </w:pPr>
    </w:p>
    <w:p w14:paraId="789ECF01">
      <w:pPr>
        <w:shd w:val="clear"/>
        <w:jc w:val="center"/>
        <w:rPr>
          <w:rFonts w:hint="eastAsia" w:asciiTheme="minorEastAsia" w:hAnsiTheme="minorEastAsia" w:eastAsiaTheme="minorEastAsia" w:cstheme="minorEastAsia"/>
          <w:b/>
          <w:color w:val="auto"/>
          <w:sz w:val="44"/>
          <w:szCs w:val="44"/>
          <w:highlight w:val="none"/>
        </w:rPr>
      </w:pPr>
    </w:p>
    <w:p w14:paraId="66C32D98">
      <w:pPr>
        <w:shd w:val="clear"/>
        <w:jc w:val="center"/>
        <w:rPr>
          <w:rFonts w:hint="eastAsia" w:asciiTheme="minorEastAsia" w:hAnsiTheme="minorEastAsia" w:eastAsiaTheme="minorEastAsia" w:cstheme="minorEastAsia"/>
          <w:b/>
          <w:color w:val="auto"/>
          <w:sz w:val="44"/>
          <w:szCs w:val="44"/>
          <w:highlight w:val="none"/>
        </w:rPr>
      </w:pPr>
    </w:p>
    <w:p w14:paraId="05783FDA">
      <w:pPr>
        <w:shd w:val="clear"/>
        <w:jc w:val="center"/>
        <w:rPr>
          <w:rFonts w:hint="eastAsia" w:asciiTheme="minorEastAsia" w:hAnsiTheme="minorEastAsia" w:eastAsiaTheme="minorEastAsia" w:cstheme="minorEastAsia"/>
          <w:b/>
          <w:color w:val="auto"/>
          <w:sz w:val="44"/>
          <w:szCs w:val="44"/>
          <w:highlight w:val="none"/>
        </w:rPr>
      </w:pPr>
    </w:p>
    <w:p w14:paraId="2742556A">
      <w:pPr>
        <w:shd w:val="clear"/>
        <w:jc w:val="center"/>
        <w:rPr>
          <w:rFonts w:hint="eastAsia" w:asciiTheme="minorEastAsia" w:hAnsiTheme="minorEastAsia" w:eastAsiaTheme="minorEastAsia" w:cstheme="minorEastAsia"/>
          <w:b/>
          <w:color w:val="auto"/>
          <w:sz w:val="44"/>
          <w:szCs w:val="44"/>
          <w:highlight w:val="none"/>
        </w:rPr>
      </w:pPr>
    </w:p>
    <w:p w14:paraId="7A8AEAEA">
      <w:pPr>
        <w:shd w:val="clear"/>
        <w:jc w:val="center"/>
        <w:rPr>
          <w:rFonts w:hint="eastAsia" w:asciiTheme="minorEastAsia" w:hAnsiTheme="minorEastAsia" w:eastAsiaTheme="minorEastAsia" w:cstheme="minorEastAsia"/>
          <w:b/>
          <w:color w:val="auto"/>
          <w:sz w:val="44"/>
          <w:szCs w:val="44"/>
          <w:highlight w:val="none"/>
        </w:rPr>
      </w:pPr>
    </w:p>
    <w:p w14:paraId="09D5276C">
      <w:pPr>
        <w:shd w:val="clear"/>
        <w:jc w:val="center"/>
        <w:rPr>
          <w:rFonts w:hint="eastAsia" w:asciiTheme="minorEastAsia" w:hAnsiTheme="minorEastAsia" w:eastAsiaTheme="minorEastAsia" w:cstheme="minorEastAsia"/>
          <w:b/>
          <w:color w:val="auto"/>
          <w:sz w:val="44"/>
          <w:szCs w:val="44"/>
          <w:highlight w:val="none"/>
        </w:rPr>
      </w:pPr>
    </w:p>
    <w:p w14:paraId="67B4ADBE">
      <w:pPr>
        <w:shd w:val="clear"/>
        <w:jc w:val="center"/>
        <w:rPr>
          <w:rFonts w:hint="eastAsia" w:asciiTheme="minorEastAsia" w:hAnsiTheme="minorEastAsia" w:eastAsiaTheme="minorEastAsia" w:cstheme="minorEastAsia"/>
          <w:b/>
          <w:color w:val="auto"/>
          <w:sz w:val="44"/>
          <w:szCs w:val="44"/>
          <w:highlight w:val="none"/>
        </w:rPr>
      </w:pPr>
    </w:p>
    <w:p w14:paraId="2DB8E30B">
      <w:pPr>
        <w:shd w:val="clear"/>
        <w:jc w:val="center"/>
        <w:rPr>
          <w:rFonts w:hint="eastAsia" w:asciiTheme="minorEastAsia" w:hAnsiTheme="minorEastAsia" w:eastAsiaTheme="minorEastAsia" w:cstheme="minorEastAsia"/>
          <w:b/>
          <w:color w:val="auto"/>
          <w:sz w:val="44"/>
          <w:szCs w:val="44"/>
          <w:highlight w:val="none"/>
        </w:rPr>
      </w:pPr>
    </w:p>
    <w:p w14:paraId="3767809F">
      <w:pPr>
        <w:shd w:val="clear"/>
        <w:jc w:val="center"/>
        <w:rPr>
          <w:rFonts w:hint="eastAsia" w:asciiTheme="minorEastAsia" w:hAnsiTheme="minorEastAsia" w:eastAsiaTheme="minorEastAsia" w:cstheme="minorEastAsia"/>
          <w:b/>
          <w:color w:val="auto"/>
          <w:sz w:val="44"/>
          <w:szCs w:val="44"/>
          <w:highlight w:val="none"/>
        </w:rPr>
      </w:pPr>
    </w:p>
    <w:p w14:paraId="3D55D6B6">
      <w:pPr>
        <w:shd w:val="clear"/>
        <w:rPr>
          <w:rFonts w:hint="eastAsia" w:asciiTheme="minorEastAsia" w:hAnsiTheme="minorEastAsia" w:eastAsiaTheme="minorEastAsia" w:cstheme="minorEastAsia"/>
          <w:b/>
          <w:color w:val="auto"/>
          <w:sz w:val="44"/>
          <w:szCs w:val="44"/>
          <w:highlight w:val="none"/>
        </w:rPr>
      </w:pPr>
    </w:p>
    <w:p w14:paraId="13618DB8">
      <w:pPr>
        <w:shd w:val="clear"/>
        <w:rPr>
          <w:rFonts w:hint="eastAsia" w:asciiTheme="minorEastAsia" w:hAnsiTheme="minorEastAsia" w:eastAsiaTheme="minorEastAsia" w:cstheme="minorEastAsia"/>
          <w:b/>
          <w:color w:val="auto"/>
          <w:sz w:val="44"/>
          <w:szCs w:val="44"/>
          <w:highlight w:val="none"/>
        </w:rPr>
      </w:pPr>
    </w:p>
    <w:p w14:paraId="2075ACF8">
      <w:pPr>
        <w:shd w:val="clear"/>
        <w:rPr>
          <w:rFonts w:hint="eastAsia" w:asciiTheme="minorEastAsia" w:hAnsiTheme="minorEastAsia" w:eastAsiaTheme="minorEastAsia" w:cstheme="minorEastAsia"/>
          <w:b/>
          <w:color w:val="auto"/>
          <w:sz w:val="44"/>
          <w:szCs w:val="44"/>
          <w:highlight w:val="none"/>
        </w:rPr>
      </w:pPr>
    </w:p>
    <w:p w14:paraId="407B3AA0">
      <w:pPr>
        <w:shd w:val="clear"/>
        <w:rPr>
          <w:rFonts w:hint="eastAsia" w:asciiTheme="minorEastAsia" w:hAnsiTheme="minorEastAsia" w:eastAsiaTheme="minorEastAsia" w:cstheme="minorEastAsia"/>
          <w:b/>
          <w:color w:val="auto"/>
          <w:sz w:val="44"/>
          <w:szCs w:val="44"/>
          <w:highlight w:val="none"/>
        </w:rPr>
      </w:pPr>
    </w:p>
    <w:p w14:paraId="2174B015">
      <w:pPr>
        <w:shd w:val="clear"/>
        <w:jc w:val="center"/>
        <w:rPr>
          <w:rFonts w:hint="eastAsia" w:asciiTheme="minorEastAsia" w:hAnsiTheme="minorEastAsia" w:eastAsiaTheme="minorEastAsia" w:cstheme="minorEastAsia"/>
          <w:b/>
          <w:color w:val="auto"/>
          <w:sz w:val="44"/>
          <w:szCs w:val="44"/>
          <w:highlight w:val="none"/>
        </w:rPr>
      </w:pPr>
    </w:p>
    <w:p w14:paraId="3F9756BD">
      <w:pPr>
        <w:shd w:val="clear"/>
        <w:jc w:val="center"/>
        <w:rPr>
          <w:rFonts w:hint="eastAsia" w:asciiTheme="minorEastAsia" w:hAnsiTheme="minorEastAsia" w:eastAsiaTheme="minorEastAsia" w:cstheme="minorEastAsia"/>
          <w:b/>
          <w:color w:val="auto"/>
          <w:sz w:val="44"/>
          <w:szCs w:val="44"/>
          <w:highlight w:val="none"/>
        </w:rPr>
      </w:pPr>
    </w:p>
    <w:p w14:paraId="2664785C">
      <w:pPr>
        <w:shd w:val="clear"/>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4、其他资料（如有）</w:t>
      </w:r>
    </w:p>
    <w:p w14:paraId="629E6D72">
      <w:pPr>
        <w:shd w:val="clear"/>
        <w:jc w:val="center"/>
        <w:rPr>
          <w:rFonts w:hint="eastAsia" w:asciiTheme="minorEastAsia" w:hAnsiTheme="minorEastAsia" w:eastAsiaTheme="minorEastAsia" w:cstheme="minorEastAsia"/>
          <w:b/>
          <w:color w:val="auto"/>
          <w:sz w:val="44"/>
          <w:szCs w:val="44"/>
          <w:highlight w:val="none"/>
        </w:rPr>
      </w:pPr>
    </w:p>
    <w:p w14:paraId="07462CCE">
      <w:pPr>
        <w:shd w:val="clear"/>
        <w:jc w:val="center"/>
        <w:rPr>
          <w:rFonts w:hint="eastAsia" w:asciiTheme="minorEastAsia" w:hAnsiTheme="minorEastAsia" w:eastAsiaTheme="minorEastAsia" w:cstheme="minorEastAsia"/>
          <w:b/>
          <w:color w:val="auto"/>
          <w:sz w:val="44"/>
          <w:szCs w:val="44"/>
          <w:highlight w:val="none"/>
        </w:rPr>
      </w:pPr>
    </w:p>
    <w:p w14:paraId="3D5B0538">
      <w:pPr>
        <w:shd w:val="clear"/>
        <w:jc w:val="center"/>
        <w:rPr>
          <w:rFonts w:hint="eastAsia" w:asciiTheme="minorEastAsia" w:hAnsiTheme="minorEastAsia" w:eastAsiaTheme="minorEastAsia" w:cstheme="minorEastAsia"/>
          <w:b/>
          <w:color w:val="auto"/>
          <w:sz w:val="44"/>
          <w:szCs w:val="44"/>
          <w:highlight w:val="none"/>
        </w:rPr>
      </w:pPr>
    </w:p>
    <w:p w14:paraId="64E2AA77">
      <w:pPr>
        <w:shd w:val="clear"/>
        <w:jc w:val="center"/>
        <w:rPr>
          <w:rFonts w:hint="eastAsia" w:asciiTheme="minorEastAsia" w:hAnsiTheme="minorEastAsia" w:eastAsiaTheme="minorEastAsia" w:cstheme="minorEastAsia"/>
          <w:b/>
          <w:color w:val="auto"/>
          <w:sz w:val="44"/>
          <w:szCs w:val="44"/>
          <w:highlight w:val="none"/>
        </w:rPr>
      </w:pPr>
    </w:p>
    <w:p w14:paraId="3E39DCE8">
      <w:pPr>
        <w:shd w:val="clear"/>
        <w:jc w:val="center"/>
        <w:rPr>
          <w:rFonts w:hint="eastAsia" w:asciiTheme="minorEastAsia" w:hAnsiTheme="minorEastAsia" w:eastAsiaTheme="minorEastAsia" w:cstheme="minorEastAsia"/>
          <w:b/>
          <w:color w:val="auto"/>
          <w:sz w:val="44"/>
          <w:szCs w:val="44"/>
          <w:highlight w:val="none"/>
        </w:rPr>
      </w:pPr>
    </w:p>
    <w:p w14:paraId="1BACD718">
      <w:pPr>
        <w:shd w:val="clear"/>
        <w:jc w:val="center"/>
        <w:rPr>
          <w:rFonts w:hint="eastAsia" w:asciiTheme="minorEastAsia" w:hAnsiTheme="minorEastAsia" w:eastAsiaTheme="minorEastAsia" w:cstheme="minorEastAsia"/>
          <w:b/>
          <w:color w:val="auto"/>
          <w:sz w:val="44"/>
          <w:szCs w:val="44"/>
          <w:highlight w:val="none"/>
        </w:rPr>
      </w:pPr>
    </w:p>
    <w:p w14:paraId="0D719463">
      <w:pPr>
        <w:shd w:val="clear"/>
        <w:jc w:val="center"/>
        <w:rPr>
          <w:rFonts w:hint="eastAsia" w:asciiTheme="minorEastAsia" w:hAnsiTheme="minorEastAsia" w:eastAsiaTheme="minorEastAsia" w:cstheme="minorEastAsia"/>
          <w:b/>
          <w:color w:val="auto"/>
          <w:sz w:val="44"/>
          <w:szCs w:val="44"/>
          <w:highlight w:val="none"/>
        </w:rPr>
      </w:pPr>
    </w:p>
    <w:p w14:paraId="6EC55474">
      <w:pPr>
        <w:shd w:val="clear"/>
        <w:jc w:val="center"/>
        <w:rPr>
          <w:rFonts w:hint="eastAsia" w:asciiTheme="minorEastAsia" w:hAnsiTheme="minorEastAsia" w:eastAsiaTheme="minorEastAsia" w:cstheme="minorEastAsia"/>
          <w:b/>
          <w:color w:val="auto"/>
          <w:sz w:val="44"/>
          <w:szCs w:val="44"/>
          <w:highlight w:val="none"/>
        </w:rPr>
      </w:pPr>
    </w:p>
    <w:p w14:paraId="132A35E3">
      <w:pPr>
        <w:shd w:val="clear"/>
        <w:jc w:val="center"/>
        <w:rPr>
          <w:rFonts w:hint="eastAsia" w:asciiTheme="minorEastAsia" w:hAnsiTheme="minorEastAsia" w:eastAsiaTheme="minorEastAsia" w:cstheme="minorEastAsia"/>
          <w:b/>
          <w:color w:val="auto"/>
          <w:sz w:val="44"/>
          <w:szCs w:val="44"/>
          <w:highlight w:val="none"/>
        </w:rPr>
      </w:pPr>
    </w:p>
    <w:p w14:paraId="2AB88F69">
      <w:pPr>
        <w:shd w:val="clear"/>
        <w:jc w:val="center"/>
        <w:rPr>
          <w:rFonts w:hint="eastAsia" w:asciiTheme="minorEastAsia" w:hAnsiTheme="minorEastAsia" w:eastAsiaTheme="minorEastAsia" w:cstheme="minorEastAsia"/>
          <w:b/>
          <w:color w:val="auto"/>
          <w:sz w:val="44"/>
          <w:szCs w:val="44"/>
          <w:highlight w:val="none"/>
        </w:rPr>
      </w:pPr>
    </w:p>
    <w:p w14:paraId="56B56856">
      <w:pPr>
        <w:shd w:val="clear"/>
        <w:jc w:val="center"/>
        <w:rPr>
          <w:rFonts w:hint="eastAsia" w:asciiTheme="minorEastAsia" w:hAnsiTheme="minorEastAsia" w:eastAsiaTheme="minorEastAsia" w:cstheme="minorEastAsia"/>
          <w:b/>
          <w:color w:val="auto"/>
          <w:sz w:val="44"/>
          <w:szCs w:val="44"/>
          <w:highlight w:val="none"/>
        </w:rPr>
      </w:pPr>
    </w:p>
    <w:p w14:paraId="435B4B71">
      <w:pPr>
        <w:shd w:val="clear"/>
        <w:jc w:val="center"/>
        <w:rPr>
          <w:rFonts w:hint="eastAsia" w:asciiTheme="minorEastAsia" w:hAnsiTheme="minorEastAsia" w:eastAsiaTheme="minorEastAsia" w:cstheme="minorEastAsia"/>
          <w:b/>
          <w:color w:val="auto"/>
          <w:sz w:val="44"/>
          <w:szCs w:val="44"/>
          <w:highlight w:val="none"/>
        </w:rPr>
      </w:pPr>
    </w:p>
    <w:p w14:paraId="360DC029">
      <w:pPr>
        <w:shd w:val="clear"/>
        <w:jc w:val="center"/>
        <w:rPr>
          <w:rFonts w:hint="eastAsia" w:asciiTheme="minorEastAsia" w:hAnsiTheme="minorEastAsia" w:eastAsiaTheme="minorEastAsia" w:cstheme="minorEastAsia"/>
          <w:b/>
          <w:color w:val="auto"/>
          <w:sz w:val="44"/>
          <w:szCs w:val="44"/>
          <w:highlight w:val="none"/>
        </w:rPr>
      </w:pPr>
    </w:p>
    <w:p w14:paraId="2669E043">
      <w:pPr>
        <w:shd w:val="clear"/>
        <w:jc w:val="center"/>
        <w:rPr>
          <w:rFonts w:hint="eastAsia" w:asciiTheme="minorEastAsia" w:hAnsiTheme="minorEastAsia" w:eastAsiaTheme="minorEastAsia" w:cstheme="minorEastAsia"/>
          <w:b/>
          <w:color w:val="auto"/>
          <w:sz w:val="44"/>
          <w:szCs w:val="44"/>
          <w:highlight w:val="none"/>
        </w:rPr>
      </w:pPr>
    </w:p>
    <w:p w14:paraId="0118F2FC">
      <w:pPr>
        <w:shd w:val="clear"/>
        <w:jc w:val="center"/>
        <w:rPr>
          <w:rFonts w:hint="eastAsia" w:asciiTheme="minorEastAsia" w:hAnsiTheme="minorEastAsia" w:eastAsiaTheme="minorEastAsia" w:cstheme="minorEastAsia"/>
          <w:b/>
          <w:color w:val="auto"/>
          <w:sz w:val="44"/>
          <w:szCs w:val="44"/>
          <w:highlight w:val="none"/>
        </w:rPr>
      </w:pPr>
    </w:p>
    <w:p w14:paraId="546A8EE7">
      <w:pPr>
        <w:shd w:val="clear"/>
        <w:jc w:val="center"/>
        <w:rPr>
          <w:rFonts w:hint="eastAsia" w:asciiTheme="minorEastAsia" w:hAnsiTheme="minorEastAsia" w:eastAsiaTheme="minorEastAsia" w:cstheme="minorEastAsia"/>
          <w:b/>
          <w:color w:val="auto"/>
          <w:sz w:val="44"/>
          <w:szCs w:val="44"/>
          <w:highlight w:val="none"/>
        </w:rPr>
      </w:pPr>
    </w:p>
    <w:p w14:paraId="0A329B36">
      <w:pPr>
        <w:shd w:val="clear"/>
        <w:jc w:val="center"/>
        <w:rPr>
          <w:rFonts w:hint="eastAsia" w:asciiTheme="minorEastAsia" w:hAnsiTheme="minorEastAsia" w:eastAsiaTheme="minorEastAsia" w:cstheme="minorEastAsia"/>
          <w:b/>
          <w:color w:val="auto"/>
          <w:sz w:val="44"/>
          <w:szCs w:val="44"/>
          <w:highlight w:val="none"/>
        </w:rPr>
      </w:pPr>
    </w:p>
    <w:p w14:paraId="1964BE43">
      <w:pPr>
        <w:shd w:val="clear"/>
        <w:jc w:val="center"/>
        <w:rPr>
          <w:rFonts w:hint="eastAsia" w:asciiTheme="minorEastAsia" w:hAnsiTheme="minorEastAsia" w:eastAsiaTheme="minorEastAsia" w:cstheme="minorEastAsia"/>
          <w:b/>
          <w:color w:val="auto"/>
          <w:sz w:val="44"/>
          <w:szCs w:val="44"/>
          <w:highlight w:val="none"/>
        </w:rPr>
      </w:pPr>
    </w:p>
    <w:p w14:paraId="3EE78252">
      <w:pPr>
        <w:shd w:val="clear"/>
        <w:jc w:val="center"/>
        <w:rPr>
          <w:rFonts w:hint="eastAsia" w:asciiTheme="minorEastAsia" w:hAnsiTheme="minorEastAsia" w:eastAsiaTheme="minorEastAsia" w:cstheme="minorEastAsia"/>
          <w:b/>
          <w:color w:val="auto"/>
          <w:sz w:val="44"/>
          <w:szCs w:val="44"/>
          <w:highlight w:val="none"/>
        </w:rPr>
      </w:pPr>
    </w:p>
    <w:p w14:paraId="7789AD5E">
      <w:pPr>
        <w:shd w:val="clea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44"/>
          <w:szCs w:val="44"/>
          <w:highlight w:val="none"/>
        </w:rPr>
        <w:t>本页以下无内容</w:t>
      </w:r>
    </w:p>
    <w:sectPr>
      <w:headerReference r:id="rId28" w:type="default"/>
      <w:footerReference r:id="rId29" w:type="default"/>
      <w:pgSz w:w="11850" w:h="16783"/>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ActionIcon ! importa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5EDDA">
    <w:pPr>
      <w:spacing w:line="280" w:lineRule="exact"/>
      <w:jc w:val="center"/>
      <w:rPr>
        <w:rFonts w:ascii="宋体" w:hAnsi="宋体"/>
        <w:b/>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A2E4">
    <w:pPr>
      <w:pStyle w:val="18"/>
      <w:rPr>
        <w:rFonts w:ascii="宋体" w:hAnsi="宋体"/>
        <w:b/>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01CA79">
                          <w:pPr>
                            <w:pStyle w:val="1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5B01CA79">
                    <w:pPr>
                      <w:pStyle w:val="18"/>
                    </w:pPr>
                    <w:r>
                      <w:fldChar w:fldCharType="begin"/>
                    </w:r>
                    <w:r>
                      <w:instrText xml:space="preserve"> PAGE  \* MERGEFORMAT </w:instrText>
                    </w:r>
                    <w:r>
                      <w:fldChar w:fldCharType="separate"/>
                    </w:r>
                    <w:r>
                      <w:t>63</w:t>
                    </w:r>
                    <w:r>
                      <w:fldChar w:fldCharType="end"/>
                    </w:r>
                  </w:p>
                </w:txbxContent>
              </v:textbox>
            </v:shape>
          </w:pict>
        </mc:Fallback>
      </mc:AlternateContent>
    </w:r>
  </w:p>
  <w:p w14:paraId="0C762051">
    <w:pPr>
      <w:spacing w:line="280" w:lineRule="exact"/>
      <w:jc w:val="left"/>
      <w:rPr>
        <w:rFonts w:ascii="楷体" w:hAnsi="楷体" w:eastAsia="楷体" w:cs="楷体"/>
        <w:b/>
        <w:sz w:val="18"/>
        <w:szCs w:val="18"/>
        <w:u w:val="single"/>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11B4">
    <w:pPr>
      <w:pStyle w:val="18"/>
      <w:rPr>
        <w:rFonts w:ascii="楷体" w:hAnsi="楷体" w:eastAsia="楷体" w:cs="楷体"/>
        <w:b/>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DC2620">
                          <w:pPr>
                            <w:pStyle w:val="1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51DC2620">
                    <w:pPr>
                      <w:pStyle w:val="18"/>
                    </w:pPr>
                    <w:r>
                      <w:fldChar w:fldCharType="begin"/>
                    </w:r>
                    <w:r>
                      <w:instrText xml:space="preserve"> PAGE  \* MERGEFORMAT </w:instrText>
                    </w:r>
                    <w:r>
                      <w:fldChar w:fldCharType="separate"/>
                    </w:r>
                    <w:r>
                      <w:t>51</w:t>
                    </w:r>
                    <w:r>
                      <w:fldChar w:fldCharType="end"/>
                    </w:r>
                  </w:p>
                </w:txbxContent>
              </v:textbox>
            </v:shape>
          </w:pict>
        </mc:Fallback>
      </mc:AlternateContent>
    </w:r>
  </w:p>
  <w:p w14:paraId="1A97F0C9">
    <w:pPr>
      <w:pStyle w:val="18"/>
      <w:tabs>
        <w:tab w:val="left" w:pos="8415"/>
        <w:tab w:val="clear" w:pos="4153"/>
      </w:tabs>
      <w:rPr>
        <w:rFonts w:ascii="楷体" w:hAnsi="楷体" w:eastAsia="楷体" w:cs="楷体"/>
        <w:b/>
        <w:u w:val="single"/>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E4398">
    <w:pPr>
      <w:pStyle w:val="18"/>
      <w:rPr>
        <w:rFonts w:ascii="宋体" w:hAnsi="宋体"/>
        <w:b/>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644344">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12644344">
                    <w:pPr>
                      <w:pStyle w:val="18"/>
                    </w:pPr>
                    <w:r>
                      <w:fldChar w:fldCharType="begin"/>
                    </w:r>
                    <w:r>
                      <w:instrText xml:space="preserve"> PAGE  \* MERGEFORMAT </w:instrText>
                    </w:r>
                    <w:r>
                      <w:fldChar w:fldCharType="separate"/>
                    </w:r>
                    <w:r>
                      <w:t>48</w:t>
                    </w:r>
                    <w:r>
                      <w:fldChar w:fldCharType="end"/>
                    </w:r>
                  </w:p>
                </w:txbxContent>
              </v:textbox>
            </v:shape>
          </w:pict>
        </mc:Fallback>
      </mc:AlternateContent>
    </w:r>
  </w:p>
  <w:p w14:paraId="75AAB172">
    <w:pPr>
      <w:spacing w:line="280" w:lineRule="exact"/>
      <w:jc w:val="left"/>
      <w:rPr>
        <w:rFonts w:ascii="楷体" w:hAnsi="楷体" w:eastAsia="楷体" w:cs="楷体"/>
        <w:b/>
        <w:sz w:val="18"/>
        <w:szCs w:val="18"/>
        <w:u w:val="single"/>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89049">
    <w:pPr>
      <w:pStyle w:val="18"/>
      <w:rPr>
        <w:rFonts w:ascii="楷体" w:hAnsi="楷体" w:eastAsia="楷体" w:cs="楷体"/>
        <w:b/>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35A280">
                          <w:pPr>
                            <w:pStyle w:val="1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0C35A280">
                    <w:pPr>
                      <w:pStyle w:val="18"/>
                    </w:pPr>
                    <w:r>
                      <w:fldChar w:fldCharType="begin"/>
                    </w:r>
                    <w:r>
                      <w:instrText xml:space="preserve"> PAGE  \* MERGEFORMAT </w:instrText>
                    </w:r>
                    <w:r>
                      <w:fldChar w:fldCharType="separate"/>
                    </w:r>
                    <w:r>
                      <w:t>53</w:t>
                    </w:r>
                    <w:r>
                      <w:fldChar w:fldCharType="end"/>
                    </w:r>
                  </w:p>
                </w:txbxContent>
              </v:textbox>
            </v:shape>
          </w:pict>
        </mc:Fallback>
      </mc:AlternateContent>
    </w:r>
  </w:p>
  <w:p w14:paraId="05DE54B3">
    <w:pPr>
      <w:pStyle w:val="18"/>
      <w:tabs>
        <w:tab w:val="left" w:pos="8415"/>
        <w:tab w:val="clear" w:pos="4153"/>
      </w:tabs>
      <w:rPr>
        <w:rFonts w:ascii="楷体" w:hAnsi="楷体" w:eastAsia="楷体" w:cs="楷体"/>
        <w:b/>
        <w:u w:val="single"/>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7E8A3">
    <w:pPr>
      <w:pStyle w:val="1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A9414E">
                          <w:pPr>
                            <w:pStyle w:val="18"/>
                          </w:pPr>
                          <w:r>
                            <w:fldChar w:fldCharType="begin"/>
                          </w:r>
                          <w:r>
                            <w:instrText xml:space="preserve"> PAGE  \* MERGEFORMAT </w:instrText>
                          </w:r>
                          <w:r>
                            <w:fldChar w:fldCharType="separate"/>
                          </w:r>
                          <w:r>
                            <w:t>56</w:t>
                          </w:r>
                          <w:r>
                            <w:fldChar w:fldCharType="end"/>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DN+8Bm1QEAALIDAAAOAAAAAAAAAAEAIAAAAB4B&#10;AABkcnMvZTJvRG9jLnhtbFBLBQYAAAAABgAGAFkBAABlBQAAAAA=&#10;">
              <v:fill on="f" focussize="0,0"/>
              <v:stroke on="f"/>
              <v:imagedata o:title=""/>
              <o:lock v:ext="edit" aspectratio="f"/>
              <v:textbox inset="0mm,0mm,0mm,0mm" style="mso-fit-shape-to-text:t;">
                <w:txbxContent>
                  <w:p w14:paraId="70A9414E">
                    <w:pPr>
                      <w:pStyle w:val="1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1611D">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D78B">
    <w:pPr>
      <w:spacing w:line="280" w:lineRule="exact"/>
      <w:jc w:val="center"/>
      <w:rPr>
        <w:rFonts w:ascii="宋体" w:hAnsi="宋体"/>
        <w:b/>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6804F5">
                          <w:pPr>
                            <w:pStyle w:val="18"/>
                          </w:pPr>
                          <w:r>
                            <w:fldChar w:fldCharType="begin"/>
                          </w:r>
                          <w:r>
                            <w:instrText xml:space="preserve"> PAGE  \* MERGEFORMAT </w:instrText>
                          </w:r>
                          <w:r>
                            <w:fldChar w:fldCharType="separate"/>
                          </w:r>
                          <w:r>
                            <w:t>28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566804F5">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BAAB">
    <w:pPr>
      <w:pStyle w:val="1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2E90DC">
                          <w:pPr>
                            <w:pStyle w:val="1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82E90DC">
                    <w:pPr>
                      <w:pStyle w:val="1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7472">
    <w:pPr>
      <w:pStyle w:val="18"/>
      <w:tabs>
        <w:tab w:val="center" w:pos="4588"/>
        <w:tab w:val="clear" w:pos="4153"/>
        <w:tab w:val="clear" w:pos="8306"/>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F7D009">
                          <w:pPr>
                            <w:pStyle w:val="18"/>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00F7D009">
                    <w:pPr>
                      <w:pStyle w:val="18"/>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216C">
    <w:pPr>
      <w:pStyle w:val="18"/>
      <w:rPr>
        <w:rFonts w:ascii="宋体" w:hAnsi="宋体" w:cs="宋体"/>
        <w:b/>
        <w:u w:val="single"/>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7677D6">
                          <w:pPr>
                            <w:pStyle w:val="18"/>
                          </w:pPr>
                          <w:r>
                            <w:fldChar w:fldCharType="begin"/>
                          </w:r>
                          <w:r>
                            <w:instrText xml:space="preserve"> PAGE  \* MERGEFORMAT </w:instrText>
                          </w:r>
                          <w:r>
                            <w:fldChar w:fldCharType="separate"/>
                          </w:r>
                          <w:r>
                            <w:t>66</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aO2ae1wEAALEDAAAOAAAAAAAAAAEAIAAA&#10;AB8BAABkcnMvZTJvRG9jLnhtbFBLBQYAAAAABgAGAFkBAABoBQAAAAA=&#10;">
              <v:fill on="f" focussize="0,0"/>
              <v:stroke on="f" weight="0.5pt"/>
              <v:imagedata o:title=""/>
              <o:lock v:ext="edit" aspectratio="f"/>
              <v:textbox inset="0mm,0mm,0mm,0mm" style="mso-fit-shape-to-text:t;">
                <w:txbxContent>
                  <w:p w14:paraId="207677D6">
                    <w:pPr>
                      <w:pStyle w:val="1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7485">
    <w:pPr>
      <w:pStyle w:val="18"/>
      <w:jc w:val="center"/>
      <w:rPr>
        <w:rFonts w:ascii="宋体" w:hAnsi="宋体" w:cs="宋体"/>
        <w:b/>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1AEF5C">
                          <w:pPr>
                            <w:pStyle w:val="18"/>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Wf93XAQAAsAMAAA4AAABkcnMvZTJvRG9jLnhtbK1TzY7TMBC+I/EO&#10;lu802aJdla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3mR5+gANZt0HzEvDOz/g0sz3gJeZ9aCizV/kQzCO4p4u4sohEZEfrZarVY0hgbHZQfzq8XmIkN5L&#10;b0k2GI04vSIqP36ENKbOKbma83famDJB40jP6M3r67o8uEQQ3LicK8suTDCZ0th6ttKwGyaeO9+e&#10;kGaP+8Cow/WnxHxwKHdendmIs7GbjUOIet+V3cq1ILw9JOyttJwrjLBINTs4yEJ6Wrq8KX/7Jevx&#10;R9v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oFn/d1wEAALADAAAOAAAAAAAAAAEAIAAA&#10;AB8BAABkcnMvZTJvRG9jLnhtbFBLBQYAAAAABgAGAFkBAABoBQAAAAA=&#10;">
              <v:fill on="f" focussize="0,0"/>
              <v:stroke on="f" weight="0.5pt"/>
              <v:imagedata o:title=""/>
              <o:lock v:ext="edit" aspectratio="f"/>
              <v:textbox inset="0mm,0mm,0mm,0mm" style="mso-fit-shape-to-text:t;">
                <w:txbxContent>
                  <w:p w14:paraId="0C1AEF5C">
                    <w:pPr>
                      <w:pStyle w:val="1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6AA42">
    <w:pPr>
      <w:pStyle w:val="18"/>
      <w:rPr>
        <w:rFonts w:ascii="宋体" w:hAnsi="宋体" w:cs="宋体"/>
        <w:b/>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1FFF7F">
                          <w:pPr>
                            <w:pStyle w:val="18"/>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EYlWojWAQAAsgMAAA4AAAAAAAAAAQAgAAAA&#10;HwEAAGRycy9lMm9Eb2MueG1sUEsFBgAAAAAGAAYAWQEAAGcFAAAAAA==&#10;">
              <v:fill on="f" focussize="0,0"/>
              <v:stroke on="f" weight="0.5pt"/>
              <v:imagedata o:title=""/>
              <o:lock v:ext="edit" aspectratio="f"/>
              <v:textbox inset="0mm,0mm,0mm,0mm" style="mso-fit-shape-to-text:t;">
                <w:txbxContent>
                  <w:p w14:paraId="7D1FFF7F">
                    <w:pPr>
                      <w:pStyle w:val="1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FA950">
    <w:pPr>
      <w:pStyle w:val="18"/>
      <w:jc w:val="center"/>
      <w:rPr>
        <w:rFonts w:ascii="宋体" w:hAnsi="宋体" w:cs="宋体"/>
        <w:b/>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797D99">
                          <w:pPr>
                            <w:pStyle w:val="18"/>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vz2jXAQAAsA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LicK8suTDCZ0th6ttKwGyaeO9+e&#10;kGaP+8Cow/WnxHxwKHdendmIs7GbjUOIet+V3cq1ILw9JOyttJwrjLBINTs4yEJ6Wrq8KX/7Jevx&#10;R9v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0789o1wEAALADAAAOAAAAAAAAAAEAIAAA&#10;AB8BAABkcnMvZTJvRG9jLnhtbFBLBQYAAAAABgAGAFkBAABoBQAAAAA=&#10;">
              <v:fill on="f" focussize="0,0"/>
              <v:stroke on="f" weight="0.5pt"/>
              <v:imagedata o:title=""/>
              <o:lock v:ext="edit" aspectratio="f"/>
              <v:textbox inset="0mm,0mm,0mm,0mm" style="mso-fit-shape-to-text:t;">
                <w:txbxContent>
                  <w:p w14:paraId="0F797D99">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CB26">
    <w:pPr>
      <w:spacing w:line="480" w:lineRule="exact"/>
      <w:rPr>
        <w:rFonts w:ascii="宋体" w:hAnsi="宋体" w:cs="宋体"/>
        <w:bCs/>
        <w:sz w:val="16"/>
        <w:szCs w:val="16"/>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DD53">
    <w:pPr>
      <w:spacing w:line="480" w:lineRule="exact"/>
      <w:rPr>
        <w:rFonts w:ascii="宋体" w:hAnsi="宋体" w:cs="宋体"/>
        <w:b/>
        <w:sz w:val="18"/>
        <w:szCs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F7BE1">
    <w:pPr>
      <w:spacing w:line="480" w:lineRule="exact"/>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BA177">
    <w:pPr>
      <w:spacing w:line="480" w:lineRule="exact"/>
      <w:rPr>
        <w:rFonts w:ascii="宋体" w:hAnsi="宋体" w:cs="宋体"/>
        <w:b/>
        <w:sz w:val="18"/>
        <w:szCs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16178">
    <w:pPr>
      <w:spacing w:line="480" w:lineRule="exact"/>
      <w:rPr>
        <w:rFonts w:ascii="黑体" w:hAnsi="黑体" w:eastAsia="黑体"/>
        <w:bCs/>
        <w:color w:val="000000"/>
        <w:sz w:val="20"/>
        <w:szCs w:val="3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DED5A">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AE51">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72341">
    <w:pPr>
      <w:autoSpaceDE w:val="0"/>
      <w:autoSpaceDN w:val="0"/>
      <w:adjustRightInd w:val="0"/>
      <w:snapToGrid w:val="0"/>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3121E">
    <w:pPr>
      <w:spacing w:line="48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0219">
    <w:pPr>
      <w:spacing w:line="480" w:lineRule="exact"/>
      <w:rPr>
        <w:rFonts w:ascii="宋体" w:hAnsi="宋体" w:cs="宋体"/>
        <w:b/>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41BF">
    <w:pPr>
      <w:spacing w:line="480"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0D8E">
    <w:pPr>
      <w:spacing w:line="480" w:lineRule="exact"/>
      <w:rPr>
        <w:rFonts w:ascii="宋体" w:hAnsi="宋体" w:cs="宋体"/>
        <w:b/>
        <w:sz w:val="18"/>
        <w:szCs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2026">
    <w:pPr>
      <w:spacing w:line="48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E2F1D"/>
    <w:multiLevelType w:val="singleLevel"/>
    <w:tmpl w:val="EBDE2F1D"/>
    <w:lvl w:ilvl="0" w:tentative="0">
      <w:start w:val="1"/>
      <w:numFmt w:val="decimal"/>
      <w:suff w:val="nothing"/>
      <w:lvlText w:val="（%1）"/>
      <w:lvlJc w:val="left"/>
    </w:lvl>
  </w:abstractNum>
  <w:abstractNum w:abstractNumId="1">
    <w:nsid w:val="EBEBB11E"/>
    <w:multiLevelType w:val="singleLevel"/>
    <w:tmpl w:val="EBEBB11E"/>
    <w:lvl w:ilvl="0" w:tentative="0">
      <w:start w:val="1"/>
      <w:numFmt w:val="decimal"/>
      <w:suff w:val="nothing"/>
      <w:lvlText w:val="（%1）"/>
      <w:lvlJc w:val="left"/>
    </w:lvl>
  </w:abstractNum>
  <w:abstractNum w:abstractNumId="2">
    <w:nsid w:val="44B6A82E"/>
    <w:multiLevelType w:val="singleLevel"/>
    <w:tmpl w:val="44B6A82E"/>
    <w:lvl w:ilvl="0" w:tentative="0">
      <w:start w:val="3"/>
      <w:numFmt w:val="decimal"/>
      <w:suff w:val="nothing"/>
      <w:lvlText w:val="%1、"/>
      <w:lvlJc w:val="left"/>
    </w:lvl>
  </w:abstractNum>
  <w:abstractNum w:abstractNumId="3">
    <w:nsid w:val="577AF286"/>
    <w:multiLevelType w:val="singleLevel"/>
    <w:tmpl w:val="577AF286"/>
    <w:lvl w:ilvl="0" w:tentative="0">
      <w:start w:val="1"/>
      <w:numFmt w:val="decimal"/>
      <w:suff w:val="nothing"/>
      <w:lvlText w:val="（%1）"/>
      <w:lvlJc w:val="left"/>
    </w:lvl>
  </w:abstractNum>
  <w:abstractNum w:abstractNumId="4">
    <w:nsid w:val="74466E67"/>
    <w:multiLevelType w:val="singleLevel"/>
    <w:tmpl w:val="74466E67"/>
    <w:lvl w:ilvl="0" w:tentative="0">
      <w:start w:val="9"/>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ZGQ1MjJmNGM4MzBhZTVkM2UyYzdkYzIxMmYwNDcifQ=="/>
  </w:docVars>
  <w:rsids>
    <w:rsidRoot w:val="00172A27"/>
    <w:rsid w:val="0001308C"/>
    <w:rsid w:val="000327F6"/>
    <w:rsid w:val="00043144"/>
    <w:rsid w:val="00045065"/>
    <w:rsid w:val="000727C9"/>
    <w:rsid w:val="00083916"/>
    <w:rsid w:val="000A5622"/>
    <w:rsid w:val="000A76ED"/>
    <w:rsid w:val="000B6C73"/>
    <w:rsid w:val="000C2BD6"/>
    <w:rsid w:val="000C4415"/>
    <w:rsid w:val="00100064"/>
    <w:rsid w:val="00115AAC"/>
    <w:rsid w:val="0011644B"/>
    <w:rsid w:val="00122C37"/>
    <w:rsid w:val="00143E47"/>
    <w:rsid w:val="00171711"/>
    <w:rsid w:val="00172A27"/>
    <w:rsid w:val="00185B7D"/>
    <w:rsid w:val="0019698F"/>
    <w:rsid w:val="001B22D4"/>
    <w:rsid w:val="001C06FB"/>
    <w:rsid w:val="001C1ABD"/>
    <w:rsid w:val="001D2BD3"/>
    <w:rsid w:val="001D426C"/>
    <w:rsid w:val="001E4660"/>
    <w:rsid w:val="0020267C"/>
    <w:rsid w:val="002033ED"/>
    <w:rsid w:val="00207591"/>
    <w:rsid w:val="0022181C"/>
    <w:rsid w:val="002235CA"/>
    <w:rsid w:val="00226DAE"/>
    <w:rsid w:val="00240E88"/>
    <w:rsid w:val="002535DB"/>
    <w:rsid w:val="0027327C"/>
    <w:rsid w:val="002838FF"/>
    <w:rsid w:val="002A34CB"/>
    <w:rsid w:val="002B4F45"/>
    <w:rsid w:val="002B5A21"/>
    <w:rsid w:val="002C24B9"/>
    <w:rsid w:val="002E2B94"/>
    <w:rsid w:val="002F0354"/>
    <w:rsid w:val="002F2353"/>
    <w:rsid w:val="003002FF"/>
    <w:rsid w:val="00343467"/>
    <w:rsid w:val="003B0418"/>
    <w:rsid w:val="003B6D91"/>
    <w:rsid w:val="003C12E5"/>
    <w:rsid w:val="003D6B36"/>
    <w:rsid w:val="004154A2"/>
    <w:rsid w:val="0042300E"/>
    <w:rsid w:val="004240D3"/>
    <w:rsid w:val="00440BD6"/>
    <w:rsid w:val="004446F2"/>
    <w:rsid w:val="00451D19"/>
    <w:rsid w:val="00480631"/>
    <w:rsid w:val="0049673E"/>
    <w:rsid w:val="004A15BB"/>
    <w:rsid w:val="004A1C92"/>
    <w:rsid w:val="004A2CEB"/>
    <w:rsid w:val="004B0F3F"/>
    <w:rsid w:val="004F2018"/>
    <w:rsid w:val="0050445E"/>
    <w:rsid w:val="0050638A"/>
    <w:rsid w:val="005212ED"/>
    <w:rsid w:val="005322C2"/>
    <w:rsid w:val="005614EC"/>
    <w:rsid w:val="00561A71"/>
    <w:rsid w:val="005644F0"/>
    <w:rsid w:val="00574013"/>
    <w:rsid w:val="00593135"/>
    <w:rsid w:val="00593DC2"/>
    <w:rsid w:val="005A0BB2"/>
    <w:rsid w:val="005D08EF"/>
    <w:rsid w:val="005D40F4"/>
    <w:rsid w:val="005D4C63"/>
    <w:rsid w:val="005D6F65"/>
    <w:rsid w:val="005E6C89"/>
    <w:rsid w:val="005E73F8"/>
    <w:rsid w:val="00612345"/>
    <w:rsid w:val="00630BA2"/>
    <w:rsid w:val="006447BD"/>
    <w:rsid w:val="00670BE6"/>
    <w:rsid w:val="00696295"/>
    <w:rsid w:val="006D228F"/>
    <w:rsid w:val="006D7240"/>
    <w:rsid w:val="006D7968"/>
    <w:rsid w:val="006E3ABD"/>
    <w:rsid w:val="0071157D"/>
    <w:rsid w:val="00716C3B"/>
    <w:rsid w:val="00717621"/>
    <w:rsid w:val="007446A3"/>
    <w:rsid w:val="00764BA1"/>
    <w:rsid w:val="00773939"/>
    <w:rsid w:val="007807AC"/>
    <w:rsid w:val="007848F5"/>
    <w:rsid w:val="0078569D"/>
    <w:rsid w:val="007A5641"/>
    <w:rsid w:val="007C00EE"/>
    <w:rsid w:val="007C661F"/>
    <w:rsid w:val="007E2899"/>
    <w:rsid w:val="007F0790"/>
    <w:rsid w:val="007F728E"/>
    <w:rsid w:val="0080580E"/>
    <w:rsid w:val="00810E6D"/>
    <w:rsid w:val="00815F66"/>
    <w:rsid w:val="008233A0"/>
    <w:rsid w:val="00827953"/>
    <w:rsid w:val="008367A0"/>
    <w:rsid w:val="00836F53"/>
    <w:rsid w:val="00841734"/>
    <w:rsid w:val="00852266"/>
    <w:rsid w:val="008540C9"/>
    <w:rsid w:val="008624DE"/>
    <w:rsid w:val="00873D7C"/>
    <w:rsid w:val="008A18E7"/>
    <w:rsid w:val="008A40BE"/>
    <w:rsid w:val="008A5B2E"/>
    <w:rsid w:val="008A5B39"/>
    <w:rsid w:val="008B55CF"/>
    <w:rsid w:val="008C0B23"/>
    <w:rsid w:val="008C4A57"/>
    <w:rsid w:val="008F2B4E"/>
    <w:rsid w:val="0090097E"/>
    <w:rsid w:val="00953321"/>
    <w:rsid w:val="00975801"/>
    <w:rsid w:val="00987446"/>
    <w:rsid w:val="009C06B1"/>
    <w:rsid w:val="009D02D1"/>
    <w:rsid w:val="009E68AC"/>
    <w:rsid w:val="009F2E6D"/>
    <w:rsid w:val="00A24BA3"/>
    <w:rsid w:val="00A3235E"/>
    <w:rsid w:val="00A3396F"/>
    <w:rsid w:val="00A33C3E"/>
    <w:rsid w:val="00A46E95"/>
    <w:rsid w:val="00A54F18"/>
    <w:rsid w:val="00A625F3"/>
    <w:rsid w:val="00A64246"/>
    <w:rsid w:val="00A77550"/>
    <w:rsid w:val="00A83DDA"/>
    <w:rsid w:val="00A84A9F"/>
    <w:rsid w:val="00A948D4"/>
    <w:rsid w:val="00AB1812"/>
    <w:rsid w:val="00AB4B44"/>
    <w:rsid w:val="00AB7CBD"/>
    <w:rsid w:val="00AD2ECE"/>
    <w:rsid w:val="00AE4074"/>
    <w:rsid w:val="00AF4AE0"/>
    <w:rsid w:val="00AF5B67"/>
    <w:rsid w:val="00B04B38"/>
    <w:rsid w:val="00B11373"/>
    <w:rsid w:val="00B12E38"/>
    <w:rsid w:val="00B5117E"/>
    <w:rsid w:val="00B83327"/>
    <w:rsid w:val="00B8680E"/>
    <w:rsid w:val="00BA0FA9"/>
    <w:rsid w:val="00BA4CCA"/>
    <w:rsid w:val="00BB6708"/>
    <w:rsid w:val="00BC3A6C"/>
    <w:rsid w:val="00BD09FC"/>
    <w:rsid w:val="00C11035"/>
    <w:rsid w:val="00C45AF9"/>
    <w:rsid w:val="00C577DE"/>
    <w:rsid w:val="00C62A64"/>
    <w:rsid w:val="00C62CC5"/>
    <w:rsid w:val="00CA303A"/>
    <w:rsid w:val="00CB5577"/>
    <w:rsid w:val="00CC7B04"/>
    <w:rsid w:val="00CF2944"/>
    <w:rsid w:val="00D061D0"/>
    <w:rsid w:val="00D11DA0"/>
    <w:rsid w:val="00D1355C"/>
    <w:rsid w:val="00D52B67"/>
    <w:rsid w:val="00D52F63"/>
    <w:rsid w:val="00D533F8"/>
    <w:rsid w:val="00D74114"/>
    <w:rsid w:val="00D86811"/>
    <w:rsid w:val="00D97E9A"/>
    <w:rsid w:val="00DA2E3D"/>
    <w:rsid w:val="00DB2123"/>
    <w:rsid w:val="00DB5E90"/>
    <w:rsid w:val="00DC01F9"/>
    <w:rsid w:val="00DC6AF9"/>
    <w:rsid w:val="00E13486"/>
    <w:rsid w:val="00E17760"/>
    <w:rsid w:val="00E17F64"/>
    <w:rsid w:val="00E2335E"/>
    <w:rsid w:val="00E255C8"/>
    <w:rsid w:val="00E6394A"/>
    <w:rsid w:val="00EA5DF1"/>
    <w:rsid w:val="00EB4222"/>
    <w:rsid w:val="00EC04CE"/>
    <w:rsid w:val="00EC4B0F"/>
    <w:rsid w:val="00EC5246"/>
    <w:rsid w:val="00ED3BFA"/>
    <w:rsid w:val="00EF5DC7"/>
    <w:rsid w:val="00F24C3F"/>
    <w:rsid w:val="00F31F5A"/>
    <w:rsid w:val="00F440D8"/>
    <w:rsid w:val="00F54007"/>
    <w:rsid w:val="00F56EA8"/>
    <w:rsid w:val="00F87796"/>
    <w:rsid w:val="00FA380A"/>
    <w:rsid w:val="00FA7B49"/>
    <w:rsid w:val="00FB2306"/>
    <w:rsid w:val="00FC2388"/>
    <w:rsid w:val="00FD1BB0"/>
    <w:rsid w:val="00FF2556"/>
    <w:rsid w:val="011B6335"/>
    <w:rsid w:val="01247E92"/>
    <w:rsid w:val="012515C4"/>
    <w:rsid w:val="013531F3"/>
    <w:rsid w:val="013B0DE8"/>
    <w:rsid w:val="013C690E"/>
    <w:rsid w:val="013D01DA"/>
    <w:rsid w:val="013D4B60"/>
    <w:rsid w:val="0146666F"/>
    <w:rsid w:val="01537696"/>
    <w:rsid w:val="01626374"/>
    <w:rsid w:val="016B438A"/>
    <w:rsid w:val="016E79BB"/>
    <w:rsid w:val="017165B7"/>
    <w:rsid w:val="017442FA"/>
    <w:rsid w:val="01787946"/>
    <w:rsid w:val="017B0014"/>
    <w:rsid w:val="017F3B76"/>
    <w:rsid w:val="0189362A"/>
    <w:rsid w:val="018C33F1"/>
    <w:rsid w:val="01957E27"/>
    <w:rsid w:val="019C2A3A"/>
    <w:rsid w:val="01B85F94"/>
    <w:rsid w:val="01D3571A"/>
    <w:rsid w:val="01DB7EBC"/>
    <w:rsid w:val="01ED2EAC"/>
    <w:rsid w:val="01EE0F89"/>
    <w:rsid w:val="01F9035B"/>
    <w:rsid w:val="02042EC7"/>
    <w:rsid w:val="020E7FE4"/>
    <w:rsid w:val="021B6523"/>
    <w:rsid w:val="02317AF5"/>
    <w:rsid w:val="02330D66"/>
    <w:rsid w:val="02402483"/>
    <w:rsid w:val="025A3CA1"/>
    <w:rsid w:val="02777BFD"/>
    <w:rsid w:val="028E2239"/>
    <w:rsid w:val="028E4F47"/>
    <w:rsid w:val="029929F4"/>
    <w:rsid w:val="02B96008"/>
    <w:rsid w:val="02BA5F5E"/>
    <w:rsid w:val="02EC4D9D"/>
    <w:rsid w:val="02ED7EC0"/>
    <w:rsid w:val="03037514"/>
    <w:rsid w:val="030D2310"/>
    <w:rsid w:val="03154BFE"/>
    <w:rsid w:val="031B7704"/>
    <w:rsid w:val="03284584"/>
    <w:rsid w:val="0328714A"/>
    <w:rsid w:val="032D4760"/>
    <w:rsid w:val="0337542F"/>
    <w:rsid w:val="035F26D2"/>
    <w:rsid w:val="03631A11"/>
    <w:rsid w:val="037F2CA6"/>
    <w:rsid w:val="0384101C"/>
    <w:rsid w:val="03863E70"/>
    <w:rsid w:val="0389225D"/>
    <w:rsid w:val="038A7E04"/>
    <w:rsid w:val="038B5BC4"/>
    <w:rsid w:val="03A21034"/>
    <w:rsid w:val="03B15391"/>
    <w:rsid w:val="03B64756"/>
    <w:rsid w:val="03BE185C"/>
    <w:rsid w:val="03C351AA"/>
    <w:rsid w:val="03D27EB0"/>
    <w:rsid w:val="03DB240E"/>
    <w:rsid w:val="03F54682"/>
    <w:rsid w:val="03F87596"/>
    <w:rsid w:val="03FD2384"/>
    <w:rsid w:val="04022BFE"/>
    <w:rsid w:val="043A7135"/>
    <w:rsid w:val="044C6E68"/>
    <w:rsid w:val="046442CB"/>
    <w:rsid w:val="046D4438"/>
    <w:rsid w:val="04810C66"/>
    <w:rsid w:val="0482288A"/>
    <w:rsid w:val="04A06914"/>
    <w:rsid w:val="04A46CB4"/>
    <w:rsid w:val="04AF3C14"/>
    <w:rsid w:val="04C20084"/>
    <w:rsid w:val="04CB0091"/>
    <w:rsid w:val="04CB2483"/>
    <w:rsid w:val="04CD0710"/>
    <w:rsid w:val="04DC643E"/>
    <w:rsid w:val="04E56551"/>
    <w:rsid w:val="04E92909"/>
    <w:rsid w:val="04E946B7"/>
    <w:rsid w:val="04F81308"/>
    <w:rsid w:val="05031C1C"/>
    <w:rsid w:val="050634BB"/>
    <w:rsid w:val="050665A2"/>
    <w:rsid w:val="050A3B09"/>
    <w:rsid w:val="050B6D23"/>
    <w:rsid w:val="051A7389"/>
    <w:rsid w:val="052C47CE"/>
    <w:rsid w:val="053D6438"/>
    <w:rsid w:val="054479A4"/>
    <w:rsid w:val="05471E36"/>
    <w:rsid w:val="054933A7"/>
    <w:rsid w:val="05745EE7"/>
    <w:rsid w:val="0583125F"/>
    <w:rsid w:val="058C5B63"/>
    <w:rsid w:val="0593682F"/>
    <w:rsid w:val="05A63BA7"/>
    <w:rsid w:val="05A90737"/>
    <w:rsid w:val="05B20F4D"/>
    <w:rsid w:val="05B95358"/>
    <w:rsid w:val="05C018BB"/>
    <w:rsid w:val="05C56ED2"/>
    <w:rsid w:val="05CF6454"/>
    <w:rsid w:val="05DA305B"/>
    <w:rsid w:val="05DC1650"/>
    <w:rsid w:val="05E63E64"/>
    <w:rsid w:val="05EF21D2"/>
    <w:rsid w:val="05F41C11"/>
    <w:rsid w:val="05F73ED5"/>
    <w:rsid w:val="05F93A16"/>
    <w:rsid w:val="05FB0B46"/>
    <w:rsid w:val="060834FC"/>
    <w:rsid w:val="06107E61"/>
    <w:rsid w:val="06152050"/>
    <w:rsid w:val="061B574F"/>
    <w:rsid w:val="062539FF"/>
    <w:rsid w:val="06313475"/>
    <w:rsid w:val="063E2174"/>
    <w:rsid w:val="06465301"/>
    <w:rsid w:val="064B142F"/>
    <w:rsid w:val="064C314F"/>
    <w:rsid w:val="06533E7D"/>
    <w:rsid w:val="065456E8"/>
    <w:rsid w:val="066761DB"/>
    <w:rsid w:val="066A5AAD"/>
    <w:rsid w:val="066E57BB"/>
    <w:rsid w:val="067F3398"/>
    <w:rsid w:val="06805006"/>
    <w:rsid w:val="0680729D"/>
    <w:rsid w:val="068F173C"/>
    <w:rsid w:val="06946962"/>
    <w:rsid w:val="06AC0092"/>
    <w:rsid w:val="06C453DB"/>
    <w:rsid w:val="06E92D95"/>
    <w:rsid w:val="06ED0F82"/>
    <w:rsid w:val="06F07F7E"/>
    <w:rsid w:val="06F84E27"/>
    <w:rsid w:val="06FA011B"/>
    <w:rsid w:val="0701711F"/>
    <w:rsid w:val="070A0C8B"/>
    <w:rsid w:val="071023CF"/>
    <w:rsid w:val="071F3C81"/>
    <w:rsid w:val="073B34E2"/>
    <w:rsid w:val="073F0AAA"/>
    <w:rsid w:val="074A2F16"/>
    <w:rsid w:val="076158D7"/>
    <w:rsid w:val="076A5EBC"/>
    <w:rsid w:val="076D638D"/>
    <w:rsid w:val="07744E5F"/>
    <w:rsid w:val="077A2252"/>
    <w:rsid w:val="0780696F"/>
    <w:rsid w:val="078337E2"/>
    <w:rsid w:val="07873D7E"/>
    <w:rsid w:val="07A07BF6"/>
    <w:rsid w:val="07A22D90"/>
    <w:rsid w:val="07A50D69"/>
    <w:rsid w:val="07B1083A"/>
    <w:rsid w:val="07B30AD6"/>
    <w:rsid w:val="07B40FAC"/>
    <w:rsid w:val="07DA257E"/>
    <w:rsid w:val="07DF5C96"/>
    <w:rsid w:val="07EE10FD"/>
    <w:rsid w:val="07EF46DA"/>
    <w:rsid w:val="07FE491D"/>
    <w:rsid w:val="08074D9A"/>
    <w:rsid w:val="08147C2D"/>
    <w:rsid w:val="08237D7E"/>
    <w:rsid w:val="083F4163"/>
    <w:rsid w:val="08420CAE"/>
    <w:rsid w:val="084558C8"/>
    <w:rsid w:val="08477B23"/>
    <w:rsid w:val="086D2DAD"/>
    <w:rsid w:val="088E55AF"/>
    <w:rsid w:val="08915791"/>
    <w:rsid w:val="089820E6"/>
    <w:rsid w:val="08B43636"/>
    <w:rsid w:val="08B5088C"/>
    <w:rsid w:val="08B81AB7"/>
    <w:rsid w:val="08CE4F66"/>
    <w:rsid w:val="08DB07BA"/>
    <w:rsid w:val="08EC0C19"/>
    <w:rsid w:val="08F2432F"/>
    <w:rsid w:val="08F57ACE"/>
    <w:rsid w:val="090A4693"/>
    <w:rsid w:val="090B5E50"/>
    <w:rsid w:val="091B46C8"/>
    <w:rsid w:val="0933033E"/>
    <w:rsid w:val="093D1475"/>
    <w:rsid w:val="09447444"/>
    <w:rsid w:val="09472B84"/>
    <w:rsid w:val="094D16B8"/>
    <w:rsid w:val="09606A75"/>
    <w:rsid w:val="09684744"/>
    <w:rsid w:val="09717ADB"/>
    <w:rsid w:val="097C14E4"/>
    <w:rsid w:val="09B13158"/>
    <w:rsid w:val="09C35018"/>
    <w:rsid w:val="09CA0D26"/>
    <w:rsid w:val="09CB04E0"/>
    <w:rsid w:val="09DE594A"/>
    <w:rsid w:val="09E10052"/>
    <w:rsid w:val="09E533F2"/>
    <w:rsid w:val="0A000297"/>
    <w:rsid w:val="0A0328E2"/>
    <w:rsid w:val="0A147843"/>
    <w:rsid w:val="0A193C90"/>
    <w:rsid w:val="0A200B7B"/>
    <w:rsid w:val="0A2166A1"/>
    <w:rsid w:val="0A25011B"/>
    <w:rsid w:val="0A283ED3"/>
    <w:rsid w:val="0A326B00"/>
    <w:rsid w:val="0A381EFB"/>
    <w:rsid w:val="0A39513C"/>
    <w:rsid w:val="0A411229"/>
    <w:rsid w:val="0A4A67CC"/>
    <w:rsid w:val="0A4F4254"/>
    <w:rsid w:val="0A613847"/>
    <w:rsid w:val="0A6846F0"/>
    <w:rsid w:val="0A6D18E6"/>
    <w:rsid w:val="0A704A0A"/>
    <w:rsid w:val="0AA634B8"/>
    <w:rsid w:val="0AA97D04"/>
    <w:rsid w:val="0ABA1FAF"/>
    <w:rsid w:val="0AC5352E"/>
    <w:rsid w:val="0AC567DB"/>
    <w:rsid w:val="0AC97464"/>
    <w:rsid w:val="0AD54E41"/>
    <w:rsid w:val="0AE709DF"/>
    <w:rsid w:val="0AEA2F37"/>
    <w:rsid w:val="0AF67B2D"/>
    <w:rsid w:val="0AF7675C"/>
    <w:rsid w:val="0AFA72AE"/>
    <w:rsid w:val="0B071D3B"/>
    <w:rsid w:val="0B0D2A56"/>
    <w:rsid w:val="0B0E58C2"/>
    <w:rsid w:val="0B200E5B"/>
    <w:rsid w:val="0B3A2110"/>
    <w:rsid w:val="0B4765DB"/>
    <w:rsid w:val="0B50723E"/>
    <w:rsid w:val="0B513759"/>
    <w:rsid w:val="0B5C3E34"/>
    <w:rsid w:val="0B6E6D14"/>
    <w:rsid w:val="0B77312B"/>
    <w:rsid w:val="0B7F3FC7"/>
    <w:rsid w:val="0B884C29"/>
    <w:rsid w:val="0B9C6927"/>
    <w:rsid w:val="0BAD28E2"/>
    <w:rsid w:val="0BCC2F96"/>
    <w:rsid w:val="0BD04822"/>
    <w:rsid w:val="0BF00A21"/>
    <w:rsid w:val="0C281F69"/>
    <w:rsid w:val="0C2F012D"/>
    <w:rsid w:val="0C3B56A2"/>
    <w:rsid w:val="0C3D3FF4"/>
    <w:rsid w:val="0C4D19CF"/>
    <w:rsid w:val="0C5C7E64"/>
    <w:rsid w:val="0C9F6722"/>
    <w:rsid w:val="0CB25A78"/>
    <w:rsid w:val="0CB4281B"/>
    <w:rsid w:val="0CBD6B55"/>
    <w:rsid w:val="0CC55A09"/>
    <w:rsid w:val="0CD77550"/>
    <w:rsid w:val="0CD96BAA"/>
    <w:rsid w:val="0CE15B30"/>
    <w:rsid w:val="0D046532"/>
    <w:rsid w:val="0D1500CF"/>
    <w:rsid w:val="0D1D75F3"/>
    <w:rsid w:val="0D240982"/>
    <w:rsid w:val="0D3606B5"/>
    <w:rsid w:val="0D374B59"/>
    <w:rsid w:val="0D562B05"/>
    <w:rsid w:val="0D565170"/>
    <w:rsid w:val="0D6214AA"/>
    <w:rsid w:val="0DA25EB9"/>
    <w:rsid w:val="0DC20E8F"/>
    <w:rsid w:val="0DC465E5"/>
    <w:rsid w:val="0DD136ED"/>
    <w:rsid w:val="0DDC125D"/>
    <w:rsid w:val="0DE53ECB"/>
    <w:rsid w:val="0DF143AE"/>
    <w:rsid w:val="0E001623"/>
    <w:rsid w:val="0E2A6683"/>
    <w:rsid w:val="0E381816"/>
    <w:rsid w:val="0E3C2E78"/>
    <w:rsid w:val="0E457A83"/>
    <w:rsid w:val="0E547045"/>
    <w:rsid w:val="0E5F3AD9"/>
    <w:rsid w:val="0E67019E"/>
    <w:rsid w:val="0E763266"/>
    <w:rsid w:val="0E7D2086"/>
    <w:rsid w:val="0E903DF5"/>
    <w:rsid w:val="0E930ADC"/>
    <w:rsid w:val="0E951C6F"/>
    <w:rsid w:val="0E9C09EC"/>
    <w:rsid w:val="0EA224A6"/>
    <w:rsid w:val="0EAF71B9"/>
    <w:rsid w:val="0EB04152"/>
    <w:rsid w:val="0EB21FBD"/>
    <w:rsid w:val="0EB472AB"/>
    <w:rsid w:val="0EB9334C"/>
    <w:rsid w:val="0EBA4655"/>
    <w:rsid w:val="0EBD3686"/>
    <w:rsid w:val="0EDF39E8"/>
    <w:rsid w:val="0EEE110C"/>
    <w:rsid w:val="0F136F00"/>
    <w:rsid w:val="0F153475"/>
    <w:rsid w:val="0F1A1CEB"/>
    <w:rsid w:val="0F5E5D8C"/>
    <w:rsid w:val="0F6459AD"/>
    <w:rsid w:val="0F6A3D2C"/>
    <w:rsid w:val="0F6B6D3C"/>
    <w:rsid w:val="0F6C6605"/>
    <w:rsid w:val="0F706100"/>
    <w:rsid w:val="0F81189A"/>
    <w:rsid w:val="0F8366B0"/>
    <w:rsid w:val="0F9116F1"/>
    <w:rsid w:val="0F917E25"/>
    <w:rsid w:val="0F921E5B"/>
    <w:rsid w:val="0F960548"/>
    <w:rsid w:val="0F9C51B3"/>
    <w:rsid w:val="0FB241F9"/>
    <w:rsid w:val="0FDB1E05"/>
    <w:rsid w:val="0FDC029C"/>
    <w:rsid w:val="10036F74"/>
    <w:rsid w:val="101A0148"/>
    <w:rsid w:val="10220057"/>
    <w:rsid w:val="10246EEB"/>
    <w:rsid w:val="102D5D9F"/>
    <w:rsid w:val="102E38C6"/>
    <w:rsid w:val="103E3BC2"/>
    <w:rsid w:val="10482BD9"/>
    <w:rsid w:val="104D6442"/>
    <w:rsid w:val="10596B94"/>
    <w:rsid w:val="105E23FD"/>
    <w:rsid w:val="105E2D2D"/>
    <w:rsid w:val="105E41AB"/>
    <w:rsid w:val="107A5A50"/>
    <w:rsid w:val="10945E1E"/>
    <w:rsid w:val="1097352B"/>
    <w:rsid w:val="10B04957"/>
    <w:rsid w:val="10B265D2"/>
    <w:rsid w:val="10BA2E7E"/>
    <w:rsid w:val="10BC578F"/>
    <w:rsid w:val="10C347AE"/>
    <w:rsid w:val="10C44735"/>
    <w:rsid w:val="10C910D8"/>
    <w:rsid w:val="10CD30DE"/>
    <w:rsid w:val="10D9656E"/>
    <w:rsid w:val="10DC65A3"/>
    <w:rsid w:val="10E022CF"/>
    <w:rsid w:val="10E52127"/>
    <w:rsid w:val="10F16E41"/>
    <w:rsid w:val="10F5774F"/>
    <w:rsid w:val="10FD39C4"/>
    <w:rsid w:val="11020FDA"/>
    <w:rsid w:val="11050ACA"/>
    <w:rsid w:val="11147358"/>
    <w:rsid w:val="112076B2"/>
    <w:rsid w:val="11410EBA"/>
    <w:rsid w:val="11427674"/>
    <w:rsid w:val="11877731"/>
    <w:rsid w:val="118E6D12"/>
    <w:rsid w:val="11951E4E"/>
    <w:rsid w:val="11981101"/>
    <w:rsid w:val="11AB78C4"/>
    <w:rsid w:val="11B568C8"/>
    <w:rsid w:val="11C4650B"/>
    <w:rsid w:val="11C664AC"/>
    <w:rsid w:val="11CE5360"/>
    <w:rsid w:val="11D0238A"/>
    <w:rsid w:val="11D566EF"/>
    <w:rsid w:val="11DD1A47"/>
    <w:rsid w:val="11FD0FCC"/>
    <w:rsid w:val="121D3BF2"/>
    <w:rsid w:val="122519E7"/>
    <w:rsid w:val="122A4C8C"/>
    <w:rsid w:val="12353631"/>
    <w:rsid w:val="123A0387"/>
    <w:rsid w:val="123F1DBA"/>
    <w:rsid w:val="124D5887"/>
    <w:rsid w:val="125624A5"/>
    <w:rsid w:val="126D73FC"/>
    <w:rsid w:val="12706417"/>
    <w:rsid w:val="127B6546"/>
    <w:rsid w:val="127E0B34"/>
    <w:rsid w:val="12836D9F"/>
    <w:rsid w:val="12866890"/>
    <w:rsid w:val="12890C4A"/>
    <w:rsid w:val="128A0C76"/>
    <w:rsid w:val="1293075D"/>
    <w:rsid w:val="12A156A8"/>
    <w:rsid w:val="12B409A5"/>
    <w:rsid w:val="12B66520"/>
    <w:rsid w:val="12B97435"/>
    <w:rsid w:val="12B97DBE"/>
    <w:rsid w:val="12C74322"/>
    <w:rsid w:val="12DD347B"/>
    <w:rsid w:val="12EC1224"/>
    <w:rsid w:val="1305613B"/>
    <w:rsid w:val="13170976"/>
    <w:rsid w:val="13193128"/>
    <w:rsid w:val="131B2827"/>
    <w:rsid w:val="131C52B5"/>
    <w:rsid w:val="131F54E6"/>
    <w:rsid w:val="13235868"/>
    <w:rsid w:val="13346CAC"/>
    <w:rsid w:val="1336396D"/>
    <w:rsid w:val="13533D6F"/>
    <w:rsid w:val="13596EAB"/>
    <w:rsid w:val="135E5D77"/>
    <w:rsid w:val="13643A08"/>
    <w:rsid w:val="136D627A"/>
    <w:rsid w:val="136E2957"/>
    <w:rsid w:val="138111EE"/>
    <w:rsid w:val="138A4EA7"/>
    <w:rsid w:val="138C2043"/>
    <w:rsid w:val="13B25D24"/>
    <w:rsid w:val="13C33F86"/>
    <w:rsid w:val="13C7475D"/>
    <w:rsid w:val="13E929AC"/>
    <w:rsid w:val="13E930BA"/>
    <w:rsid w:val="13F16E5E"/>
    <w:rsid w:val="13FC5058"/>
    <w:rsid w:val="141259D8"/>
    <w:rsid w:val="1416492A"/>
    <w:rsid w:val="142C5957"/>
    <w:rsid w:val="14355A25"/>
    <w:rsid w:val="143771ED"/>
    <w:rsid w:val="1446686F"/>
    <w:rsid w:val="145E6E6F"/>
    <w:rsid w:val="14660439"/>
    <w:rsid w:val="14667AD2"/>
    <w:rsid w:val="146C35B2"/>
    <w:rsid w:val="146C5222"/>
    <w:rsid w:val="146D2ACB"/>
    <w:rsid w:val="147C10A3"/>
    <w:rsid w:val="1489757B"/>
    <w:rsid w:val="14900FF3"/>
    <w:rsid w:val="14955FB9"/>
    <w:rsid w:val="14E530ED"/>
    <w:rsid w:val="150C32EC"/>
    <w:rsid w:val="151117F4"/>
    <w:rsid w:val="15167956"/>
    <w:rsid w:val="152139F9"/>
    <w:rsid w:val="153E27FD"/>
    <w:rsid w:val="15471A97"/>
    <w:rsid w:val="154D33BD"/>
    <w:rsid w:val="15500D3E"/>
    <w:rsid w:val="15512C1A"/>
    <w:rsid w:val="15545B7C"/>
    <w:rsid w:val="15690045"/>
    <w:rsid w:val="157E709D"/>
    <w:rsid w:val="15940F8F"/>
    <w:rsid w:val="15973CBB"/>
    <w:rsid w:val="159B37AB"/>
    <w:rsid w:val="15A46B04"/>
    <w:rsid w:val="15AA1C40"/>
    <w:rsid w:val="15B8610B"/>
    <w:rsid w:val="15BD7BC5"/>
    <w:rsid w:val="15D37B32"/>
    <w:rsid w:val="15D72551"/>
    <w:rsid w:val="15D8055B"/>
    <w:rsid w:val="15DC3758"/>
    <w:rsid w:val="15EB77CB"/>
    <w:rsid w:val="15ED414A"/>
    <w:rsid w:val="15F03BC4"/>
    <w:rsid w:val="160550C9"/>
    <w:rsid w:val="161E6418"/>
    <w:rsid w:val="16242ACF"/>
    <w:rsid w:val="163C264A"/>
    <w:rsid w:val="163C4F8E"/>
    <w:rsid w:val="16443E43"/>
    <w:rsid w:val="16493F29"/>
    <w:rsid w:val="164A09B4"/>
    <w:rsid w:val="16554771"/>
    <w:rsid w:val="16585CCF"/>
    <w:rsid w:val="165967D8"/>
    <w:rsid w:val="165A7400"/>
    <w:rsid w:val="166938A9"/>
    <w:rsid w:val="168A1109"/>
    <w:rsid w:val="169225DB"/>
    <w:rsid w:val="16AE0DFA"/>
    <w:rsid w:val="16B14A23"/>
    <w:rsid w:val="16BA18F3"/>
    <w:rsid w:val="16BB7FDD"/>
    <w:rsid w:val="16C35E35"/>
    <w:rsid w:val="16C80BA2"/>
    <w:rsid w:val="16D058F4"/>
    <w:rsid w:val="16E8283F"/>
    <w:rsid w:val="16F2564D"/>
    <w:rsid w:val="16FB6BF7"/>
    <w:rsid w:val="16FD38E2"/>
    <w:rsid w:val="17035AAC"/>
    <w:rsid w:val="17081314"/>
    <w:rsid w:val="170F4521"/>
    <w:rsid w:val="171C4DC0"/>
    <w:rsid w:val="171E1B23"/>
    <w:rsid w:val="171F40CB"/>
    <w:rsid w:val="17255A22"/>
    <w:rsid w:val="172942B2"/>
    <w:rsid w:val="17302FB6"/>
    <w:rsid w:val="17343EB7"/>
    <w:rsid w:val="1763479D"/>
    <w:rsid w:val="176F07FB"/>
    <w:rsid w:val="17702DFC"/>
    <w:rsid w:val="177C171E"/>
    <w:rsid w:val="178B4A91"/>
    <w:rsid w:val="179D1A5D"/>
    <w:rsid w:val="17A42169"/>
    <w:rsid w:val="17AF2C3B"/>
    <w:rsid w:val="17B13C76"/>
    <w:rsid w:val="17B40C26"/>
    <w:rsid w:val="17B9377D"/>
    <w:rsid w:val="17BA0860"/>
    <w:rsid w:val="17BC1C5C"/>
    <w:rsid w:val="17C074F9"/>
    <w:rsid w:val="17C50FB3"/>
    <w:rsid w:val="17C76AD9"/>
    <w:rsid w:val="17DE3E23"/>
    <w:rsid w:val="17EB1309"/>
    <w:rsid w:val="17F513E1"/>
    <w:rsid w:val="17FB00E8"/>
    <w:rsid w:val="17FC5493"/>
    <w:rsid w:val="18004664"/>
    <w:rsid w:val="18096C97"/>
    <w:rsid w:val="1812319A"/>
    <w:rsid w:val="181746F0"/>
    <w:rsid w:val="182757CA"/>
    <w:rsid w:val="182E6B59"/>
    <w:rsid w:val="183577CF"/>
    <w:rsid w:val="18433922"/>
    <w:rsid w:val="184A3267"/>
    <w:rsid w:val="18502F88"/>
    <w:rsid w:val="1853036D"/>
    <w:rsid w:val="187338B5"/>
    <w:rsid w:val="188449CB"/>
    <w:rsid w:val="188C1B9A"/>
    <w:rsid w:val="18922161"/>
    <w:rsid w:val="18950986"/>
    <w:rsid w:val="18AF5EEB"/>
    <w:rsid w:val="18CE3E98"/>
    <w:rsid w:val="18F733EE"/>
    <w:rsid w:val="19124546"/>
    <w:rsid w:val="19143FA0"/>
    <w:rsid w:val="191E39FF"/>
    <w:rsid w:val="191E489B"/>
    <w:rsid w:val="19241D0A"/>
    <w:rsid w:val="19306900"/>
    <w:rsid w:val="19320D13"/>
    <w:rsid w:val="194130FD"/>
    <w:rsid w:val="194A24B2"/>
    <w:rsid w:val="194A79C2"/>
    <w:rsid w:val="195257A2"/>
    <w:rsid w:val="195C14A3"/>
    <w:rsid w:val="198146A5"/>
    <w:rsid w:val="199852BB"/>
    <w:rsid w:val="199F78EA"/>
    <w:rsid w:val="19A05834"/>
    <w:rsid w:val="19A35324"/>
    <w:rsid w:val="19B17A41"/>
    <w:rsid w:val="19BE56ED"/>
    <w:rsid w:val="19F142E2"/>
    <w:rsid w:val="19FC3BBB"/>
    <w:rsid w:val="1A073B05"/>
    <w:rsid w:val="1A0C2EC9"/>
    <w:rsid w:val="1A135C0D"/>
    <w:rsid w:val="1A27385F"/>
    <w:rsid w:val="1A2E72EB"/>
    <w:rsid w:val="1A4968EB"/>
    <w:rsid w:val="1A6333FE"/>
    <w:rsid w:val="1A6E5932"/>
    <w:rsid w:val="1A7F6362"/>
    <w:rsid w:val="1A922568"/>
    <w:rsid w:val="1AA827BF"/>
    <w:rsid w:val="1AA9696A"/>
    <w:rsid w:val="1AAC1492"/>
    <w:rsid w:val="1AAC5EFB"/>
    <w:rsid w:val="1AAE3F81"/>
    <w:rsid w:val="1ABD386B"/>
    <w:rsid w:val="1ABF12A4"/>
    <w:rsid w:val="1ABF7F3C"/>
    <w:rsid w:val="1AC165E2"/>
    <w:rsid w:val="1AC90DBB"/>
    <w:rsid w:val="1AD968F1"/>
    <w:rsid w:val="1ADA0917"/>
    <w:rsid w:val="1AED191D"/>
    <w:rsid w:val="1AEE25CF"/>
    <w:rsid w:val="1AFA293C"/>
    <w:rsid w:val="1B010554"/>
    <w:rsid w:val="1B075D1D"/>
    <w:rsid w:val="1B141CEE"/>
    <w:rsid w:val="1B1C538E"/>
    <w:rsid w:val="1B1E69E8"/>
    <w:rsid w:val="1B24410A"/>
    <w:rsid w:val="1B245FF1"/>
    <w:rsid w:val="1B2770C4"/>
    <w:rsid w:val="1B2D71D1"/>
    <w:rsid w:val="1B371349"/>
    <w:rsid w:val="1B375D24"/>
    <w:rsid w:val="1B3F2E2B"/>
    <w:rsid w:val="1B4346C9"/>
    <w:rsid w:val="1B542B81"/>
    <w:rsid w:val="1B56062E"/>
    <w:rsid w:val="1B570174"/>
    <w:rsid w:val="1B590390"/>
    <w:rsid w:val="1B634E28"/>
    <w:rsid w:val="1B68176B"/>
    <w:rsid w:val="1B7667F7"/>
    <w:rsid w:val="1B835B95"/>
    <w:rsid w:val="1B846C1B"/>
    <w:rsid w:val="1B862808"/>
    <w:rsid w:val="1B8865E6"/>
    <w:rsid w:val="1B917B2A"/>
    <w:rsid w:val="1BAA0724"/>
    <w:rsid w:val="1BB80002"/>
    <w:rsid w:val="1BC33A5C"/>
    <w:rsid w:val="1BCA6649"/>
    <w:rsid w:val="1BD21EF1"/>
    <w:rsid w:val="1BD6553D"/>
    <w:rsid w:val="1BDC68CC"/>
    <w:rsid w:val="1BF73705"/>
    <w:rsid w:val="1BFF3836"/>
    <w:rsid w:val="1C052A7D"/>
    <w:rsid w:val="1C13053F"/>
    <w:rsid w:val="1C1E0C92"/>
    <w:rsid w:val="1C27223D"/>
    <w:rsid w:val="1C2D168A"/>
    <w:rsid w:val="1C2D19DF"/>
    <w:rsid w:val="1C330BE1"/>
    <w:rsid w:val="1C5015D9"/>
    <w:rsid w:val="1C5F782F"/>
    <w:rsid w:val="1C6F4E53"/>
    <w:rsid w:val="1C7B4A4F"/>
    <w:rsid w:val="1C7F5BD5"/>
    <w:rsid w:val="1C9468DC"/>
    <w:rsid w:val="1CA75D01"/>
    <w:rsid w:val="1CAB2142"/>
    <w:rsid w:val="1CAE0268"/>
    <w:rsid w:val="1CBC0BD7"/>
    <w:rsid w:val="1CC17F9B"/>
    <w:rsid w:val="1CC42BDF"/>
    <w:rsid w:val="1CCC4B92"/>
    <w:rsid w:val="1CE6771E"/>
    <w:rsid w:val="1CE8451F"/>
    <w:rsid w:val="1CEE2D5A"/>
    <w:rsid w:val="1D037CB9"/>
    <w:rsid w:val="1D1B65B7"/>
    <w:rsid w:val="1D24052A"/>
    <w:rsid w:val="1D2C6FF5"/>
    <w:rsid w:val="1D312395"/>
    <w:rsid w:val="1D3520E4"/>
    <w:rsid w:val="1D396D4A"/>
    <w:rsid w:val="1D3F5364"/>
    <w:rsid w:val="1D4973CD"/>
    <w:rsid w:val="1D542100"/>
    <w:rsid w:val="1D5B0857"/>
    <w:rsid w:val="1D6A3F1B"/>
    <w:rsid w:val="1D6D1775"/>
    <w:rsid w:val="1D927929"/>
    <w:rsid w:val="1DA32FFE"/>
    <w:rsid w:val="1DB52A07"/>
    <w:rsid w:val="1DB679B6"/>
    <w:rsid w:val="1DC01001"/>
    <w:rsid w:val="1DC0379C"/>
    <w:rsid w:val="1DDE06FD"/>
    <w:rsid w:val="1DE46B66"/>
    <w:rsid w:val="1DE81B9C"/>
    <w:rsid w:val="1E282DB0"/>
    <w:rsid w:val="1E283E93"/>
    <w:rsid w:val="1E320A25"/>
    <w:rsid w:val="1E334EC9"/>
    <w:rsid w:val="1E3E5514"/>
    <w:rsid w:val="1E546BED"/>
    <w:rsid w:val="1E576198"/>
    <w:rsid w:val="1E6E5F01"/>
    <w:rsid w:val="1E71154D"/>
    <w:rsid w:val="1E776FA8"/>
    <w:rsid w:val="1E976754"/>
    <w:rsid w:val="1E993FE8"/>
    <w:rsid w:val="1ECB7DAD"/>
    <w:rsid w:val="1EE36AF5"/>
    <w:rsid w:val="1EEE0597"/>
    <w:rsid w:val="1EFA59E6"/>
    <w:rsid w:val="1F09049D"/>
    <w:rsid w:val="1F232988"/>
    <w:rsid w:val="1F31586A"/>
    <w:rsid w:val="1F3200E5"/>
    <w:rsid w:val="1F330EF8"/>
    <w:rsid w:val="1F39012D"/>
    <w:rsid w:val="1F3B231E"/>
    <w:rsid w:val="1F4C5B16"/>
    <w:rsid w:val="1F5225D5"/>
    <w:rsid w:val="1F552C1D"/>
    <w:rsid w:val="1F58270D"/>
    <w:rsid w:val="1F774B6C"/>
    <w:rsid w:val="1F7D51C6"/>
    <w:rsid w:val="1F9C084C"/>
    <w:rsid w:val="1FB913FE"/>
    <w:rsid w:val="1FC76194"/>
    <w:rsid w:val="1FD60D4C"/>
    <w:rsid w:val="1FD61EA2"/>
    <w:rsid w:val="1FD926CB"/>
    <w:rsid w:val="1FDE0E75"/>
    <w:rsid w:val="1FE37FA8"/>
    <w:rsid w:val="1FE6737E"/>
    <w:rsid w:val="1FE87B63"/>
    <w:rsid w:val="1FF12140"/>
    <w:rsid w:val="1FF71F26"/>
    <w:rsid w:val="2000527E"/>
    <w:rsid w:val="202251F5"/>
    <w:rsid w:val="20295438"/>
    <w:rsid w:val="202C474F"/>
    <w:rsid w:val="2035677C"/>
    <w:rsid w:val="204D4CD3"/>
    <w:rsid w:val="2059562E"/>
    <w:rsid w:val="205B1ADF"/>
    <w:rsid w:val="207417C9"/>
    <w:rsid w:val="20847771"/>
    <w:rsid w:val="208A4B48"/>
    <w:rsid w:val="20B56086"/>
    <w:rsid w:val="20C216BE"/>
    <w:rsid w:val="20C5313C"/>
    <w:rsid w:val="20D5745A"/>
    <w:rsid w:val="20D67D8D"/>
    <w:rsid w:val="20DE02E1"/>
    <w:rsid w:val="20E467EA"/>
    <w:rsid w:val="20F578AD"/>
    <w:rsid w:val="210757FE"/>
    <w:rsid w:val="21093CBF"/>
    <w:rsid w:val="21113BF7"/>
    <w:rsid w:val="211C7E96"/>
    <w:rsid w:val="212A3A32"/>
    <w:rsid w:val="21465993"/>
    <w:rsid w:val="21495E9E"/>
    <w:rsid w:val="21701E78"/>
    <w:rsid w:val="217869A3"/>
    <w:rsid w:val="21A8172A"/>
    <w:rsid w:val="21B14CBA"/>
    <w:rsid w:val="21C36564"/>
    <w:rsid w:val="21C56400"/>
    <w:rsid w:val="21CB5418"/>
    <w:rsid w:val="21CD1190"/>
    <w:rsid w:val="21D91DC1"/>
    <w:rsid w:val="21E1488C"/>
    <w:rsid w:val="22056B7C"/>
    <w:rsid w:val="220D4F50"/>
    <w:rsid w:val="221A59A6"/>
    <w:rsid w:val="221C3EC6"/>
    <w:rsid w:val="221C5C74"/>
    <w:rsid w:val="222839F2"/>
    <w:rsid w:val="2231303B"/>
    <w:rsid w:val="224079F9"/>
    <w:rsid w:val="224551CB"/>
    <w:rsid w:val="225418B2"/>
    <w:rsid w:val="22696476"/>
    <w:rsid w:val="22736D94"/>
    <w:rsid w:val="227975A9"/>
    <w:rsid w:val="227C3D97"/>
    <w:rsid w:val="22844BA2"/>
    <w:rsid w:val="228A0E2F"/>
    <w:rsid w:val="22965A26"/>
    <w:rsid w:val="229A08CC"/>
    <w:rsid w:val="229D6DB5"/>
    <w:rsid w:val="22BA2AC9"/>
    <w:rsid w:val="22BA4FCF"/>
    <w:rsid w:val="22E744D4"/>
    <w:rsid w:val="22FF7A6F"/>
    <w:rsid w:val="23111926"/>
    <w:rsid w:val="231C1863"/>
    <w:rsid w:val="231D4C95"/>
    <w:rsid w:val="232C638A"/>
    <w:rsid w:val="232F2E19"/>
    <w:rsid w:val="23492FEA"/>
    <w:rsid w:val="23575757"/>
    <w:rsid w:val="23580F2E"/>
    <w:rsid w:val="2371604F"/>
    <w:rsid w:val="237D6BE6"/>
    <w:rsid w:val="2383244E"/>
    <w:rsid w:val="23897339"/>
    <w:rsid w:val="2392443F"/>
    <w:rsid w:val="23955CDE"/>
    <w:rsid w:val="23957A8C"/>
    <w:rsid w:val="239E692A"/>
    <w:rsid w:val="23A46882"/>
    <w:rsid w:val="23BA683B"/>
    <w:rsid w:val="23BC46E5"/>
    <w:rsid w:val="23BD043D"/>
    <w:rsid w:val="23DD1CA1"/>
    <w:rsid w:val="23F01166"/>
    <w:rsid w:val="23F24841"/>
    <w:rsid w:val="23FA1861"/>
    <w:rsid w:val="240115C5"/>
    <w:rsid w:val="2435110C"/>
    <w:rsid w:val="243769C2"/>
    <w:rsid w:val="24376D95"/>
    <w:rsid w:val="243D7A29"/>
    <w:rsid w:val="24423D78"/>
    <w:rsid w:val="24455865"/>
    <w:rsid w:val="245D6E4F"/>
    <w:rsid w:val="246A40FC"/>
    <w:rsid w:val="247E6772"/>
    <w:rsid w:val="248024EA"/>
    <w:rsid w:val="248D2E59"/>
    <w:rsid w:val="24AA6BDC"/>
    <w:rsid w:val="24AF0749"/>
    <w:rsid w:val="24AF12B2"/>
    <w:rsid w:val="24BE0243"/>
    <w:rsid w:val="24C83E91"/>
    <w:rsid w:val="24CC0250"/>
    <w:rsid w:val="24CF3471"/>
    <w:rsid w:val="24D16FC9"/>
    <w:rsid w:val="24D3608E"/>
    <w:rsid w:val="24D701A9"/>
    <w:rsid w:val="24F0333E"/>
    <w:rsid w:val="24F353B2"/>
    <w:rsid w:val="24F370CF"/>
    <w:rsid w:val="24F55290"/>
    <w:rsid w:val="24F8107D"/>
    <w:rsid w:val="2503311B"/>
    <w:rsid w:val="25130217"/>
    <w:rsid w:val="252058E2"/>
    <w:rsid w:val="25253091"/>
    <w:rsid w:val="2527505B"/>
    <w:rsid w:val="25471B1B"/>
    <w:rsid w:val="254C061E"/>
    <w:rsid w:val="254C79E0"/>
    <w:rsid w:val="255236F4"/>
    <w:rsid w:val="25540DD0"/>
    <w:rsid w:val="25570F74"/>
    <w:rsid w:val="255913B1"/>
    <w:rsid w:val="256A41AE"/>
    <w:rsid w:val="257432E3"/>
    <w:rsid w:val="25755904"/>
    <w:rsid w:val="2577464B"/>
    <w:rsid w:val="258204E4"/>
    <w:rsid w:val="25893620"/>
    <w:rsid w:val="25AA73F4"/>
    <w:rsid w:val="25B06DFF"/>
    <w:rsid w:val="25B679B8"/>
    <w:rsid w:val="25DA5423"/>
    <w:rsid w:val="25ED7C21"/>
    <w:rsid w:val="260F2758"/>
    <w:rsid w:val="26137BEB"/>
    <w:rsid w:val="26197880"/>
    <w:rsid w:val="26243349"/>
    <w:rsid w:val="262D48F3"/>
    <w:rsid w:val="264F6618"/>
    <w:rsid w:val="266046AC"/>
    <w:rsid w:val="26945741"/>
    <w:rsid w:val="26982FEF"/>
    <w:rsid w:val="26AD20FF"/>
    <w:rsid w:val="26D46B1D"/>
    <w:rsid w:val="26EB3E67"/>
    <w:rsid w:val="26F431BA"/>
    <w:rsid w:val="270A0791"/>
    <w:rsid w:val="271E1A50"/>
    <w:rsid w:val="27231852"/>
    <w:rsid w:val="27263CA1"/>
    <w:rsid w:val="272A4721"/>
    <w:rsid w:val="272C0D3F"/>
    <w:rsid w:val="272D3F2A"/>
    <w:rsid w:val="27391066"/>
    <w:rsid w:val="27547C5E"/>
    <w:rsid w:val="275F43DA"/>
    <w:rsid w:val="27651E6B"/>
    <w:rsid w:val="276537A2"/>
    <w:rsid w:val="27732C02"/>
    <w:rsid w:val="279E4EF7"/>
    <w:rsid w:val="27A97FAA"/>
    <w:rsid w:val="27AE639B"/>
    <w:rsid w:val="27B079C1"/>
    <w:rsid w:val="27BA3F65"/>
    <w:rsid w:val="27D17500"/>
    <w:rsid w:val="27D642F4"/>
    <w:rsid w:val="27E3288F"/>
    <w:rsid w:val="27E6001E"/>
    <w:rsid w:val="27E7184E"/>
    <w:rsid w:val="2801047B"/>
    <w:rsid w:val="28133675"/>
    <w:rsid w:val="281F5DBD"/>
    <w:rsid w:val="282F71E1"/>
    <w:rsid w:val="28327F9F"/>
    <w:rsid w:val="28446343"/>
    <w:rsid w:val="28577A06"/>
    <w:rsid w:val="285A74F6"/>
    <w:rsid w:val="28610762"/>
    <w:rsid w:val="286C41F3"/>
    <w:rsid w:val="287211CA"/>
    <w:rsid w:val="28757E8C"/>
    <w:rsid w:val="287E20ED"/>
    <w:rsid w:val="28811E52"/>
    <w:rsid w:val="2883240B"/>
    <w:rsid w:val="289004D4"/>
    <w:rsid w:val="28AF2C05"/>
    <w:rsid w:val="28CB4DDC"/>
    <w:rsid w:val="28D178EA"/>
    <w:rsid w:val="28E45DF1"/>
    <w:rsid w:val="28F16720"/>
    <w:rsid w:val="28F80E75"/>
    <w:rsid w:val="29025905"/>
    <w:rsid w:val="291E3799"/>
    <w:rsid w:val="292D69B8"/>
    <w:rsid w:val="293164A9"/>
    <w:rsid w:val="29364810"/>
    <w:rsid w:val="29364C85"/>
    <w:rsid w:val="29513E9D"/>
    <w:rsid w:val="29591D3F"/>
    <w:rsid w:val="295D729E"/>
    <w:rsid w:val="295E2A75"/>
    <w:rsid w:val="296323DF"/>
    <w:rsid w:val="29742150"/>
    <w:rsid w:val="2976035F"/>
    <w:rsid w:val="297B5976"/>
    <w:rsid w:val="297B7724"/>
    <w:rsid w:val="298C36DF"/>
    <w:rsid w:val="2990381D"/>
    <w:rsid w:val="29905216"/>
    <w:rsid w:val="29B16187"/>
    <w:rsid w:val="29CF2848"/>
    <w:rsid w:val="29E54E2D"/>
    <w:rsid w:val="29E658FB"/>
    <w:rsid w:val="29F01EC0"/>
    <w:rsid w:val="29F8108E"/>
    <w:rsid w:val="29FE3F5A"/>
    <w:rsid w:val="2A063491"/>
    <w:rsid w:val="2A132CBB"/>
    <w:rsid w:val="2A2953D2"/>
    <w:rsid w:val="2A297180"/>
    <w:rsid w:val="2A3A75DF"/>
    <w:rsid w:val="2A3C7518"/>
    <w:rsid w:val="2A3E2EBF"/>
    <w:rsid w:val="2A484A56"/>
    <w:rsid w:val="2A72150C"/>
    <w:rsid w:val="2A754076"/>
    <w:rsid w:val="2A97058D"/>
    <w:rsid w:val="2AA10AF4"/>
    <w:rsid w:val="2AC86999"/>
    <w:rsid w:val="2AD4533E"/>
    <w:rsid w:val="2ADA66CC"/>
    <w:rsid w:val="2AE141B6"/>
    <w:rsid w:val="2AF03B34"/>
    <w:rsid w:val="2B125E66"/>
    <w:rsid w:val="2B1E2CD5"/>
    <w:rsid w:val="2B275DB5"/>
    <w:rsid w:val="2B285689"/>
    <w:rsid w:val="2B2C33CC"/>
    <w:rsid w:val="2B303442"/>
    <w:rsid w:val="2B345CDB"/>
    <w:rsid w:val="2B37601D"/>
    <w:rsid w:val="2B451883"/>
    <w:rsid w:val="2B502995"/>
    <w:rsid w:val="2B512E9C"/>
    <w:rsid w:val="2B5F5ABE"/>
    <w:rsid w:val="2B6228C3"/>
    <w:rsid w:val="2B892DDD"/>
    <w:rsid w:val="2B9C3BB7"/>
    <w:rsid w:val="2BAA0794"/>
    <w:rsid w:val="2BAD7356"/>
    <w:rsid w:val="2BAD7CE4"/>
    <w:rsid w:val="2BBE7D9C"/>
    <w:rsid w:val="2BCA63E5"/>
    <w:rsid w:val="2BCC4C6B"/>
    <w:rsid w:val="2BD25E8D"/>
    <w:rsid w:val="2BD33847"/>
    <w:rsid w:val="2BD44863"/>
    <w:rsid w:val="2BD452E8"/>
    <w:rsid w:val="2BD85ABC"/>
    <w:rsid w:val="2BDF28B4"/>
    <w:rsid w:val="2BE877BB"/>
    <w:rsid w:val="2BE91B3D"/>
    <w:rsid w:val="2BF8042B"/>
    <w:rsid w:val="2C0D56DE"/>
    <w:rsid w:val="2C0F631D"/>
    <w:rsid w:val="2C1300E8"/>
    <w:rsid w:val="2C153E60"/>
    <w:rsid w:val="2C195BCB"/>
    <w:rsid w:val="2C2E396A"/>
    <w:rsid w:val="2C31676C"/>
    <w:rsid w:val="2C3D3EC5"/>
    <w:rsid w:val="2C45359F"/>
    <w:rsid w:val="2C504E98"/>
    <w:rsid w:val="2C564D86"/>
    <w:rsid w:val="2C5801F0"/>
    <w:rsid w:val="2C5B4E2B"/>
    <w:rsid w:val="2C6721E1"/>
    <w:rsid w:val="2C73502A"/>
    <w:rsid w:val="2C797B17"/>
    <w:rsid w:val="2C9224AC"/>
    <w:rsid w:val="2C9B12CE"/>
    <w:rsid w:val="2CA8303D"/>
    <w:rsid w:val="2CA86A82"/>
    <w:rsid w:val="2CAD4098"/>
    <w:rsid w:val="2CB35427"/>
    <w:rsid w:val="2CBA0563"/>
    <w:rsid w:val="2CC46C39"/>
    <w:rsid w:val="2CC6515A"/>
    <w:rsid w:val="2CC656B3"/>
    <w:rsid w:val="2CD00DE0"/>
    <w:rsid w:val="2CD61401"/>
    <w:rsid w:val="2CEB2E12"/>
    <w:rsid w:val="2CF123CB"/>
    <w:rsid w:val="2D085772"/>
    <w:rsid w:val="2D0D656C"/>
    <w:rsid w:val="2D1C6DA5"/>
    <w:rsid w:val="2D1E3E67"/>
    <w:rsid w:val="2D2D0D2A"/>
    <w:rsid w:val="2D2F0ED7"/>
    <w:rsid w:val="2D452523"/>
    <w:rsid w:val="2D641E53"/>
    <w:rsid w:val="2D64734A"/>
    <w:rsid w:val="2D6A1F89"/>
    <w:rsid w:val="2D6C3387"/>
    <w:rsid w:val="2D7C0D07"/>
    <w:rsid w:val="2D8748E9"/>
    <w:rsid w:val="2D964DEF"/>
    <w:rsid w:val="2D99461C"/>
    <w:rsid w:val="2DB07F59"/>
    <w:rsid w:val="2DB87198"/>
    <w:rsid w:val="2DBB27E5"/>
    <w:rsid w:val="2DCE44C2"/>
    <w:rsid w:val="2DFE26D1"/>
    <w:rsid w:val="2E13617D"/>
    <w:rsid w:val="2E151B50"/>
    <w:rsid w:val="2E1F2D74"/>
    <w:rsid w:val="2E200FA9"/>
    <w:rsid w:val="2E257331"/>
    <w:rsid w:val="2E3256A1"/>
    <w:rsid w:val="2E370DEE"/>
    <w:rsid w:val="2E382DE5"/>
    <w:rsid w:val="2E383E35"/>
    <w:rsid w:val="2E3D769E"/>
    <w:rsid w:val="2E4D6547"/>
    <w:rsid w:val="2E4E3659"/>
    <w:rsid w:val="2E74387D"/>
    <w:rsid w:val="2E7D4E58"/>
    <w:rsid w:val="2E930F46"/>
    <w:rsid w:val="2E9C2616"/>
    <w:rsid w:val="2E9E2C80"/>
    <w:rsid w:val="2EA57831"/>
    <w:rsid w:val="2EAD4823"/>
    <w:rsid w:val="2EAE482B"/>
    <w:rsid w:val="2EB95320"/>
    <w:rsid w:val="2EBB4650"/>
    <w:rsid w:val="2EBD1E5E"/>
    <w:rsid w:val="2ECE640C"/>
    <w:rsid w:val="2ED0406E"/>
    <w:rsid w:val="2EDC0C65"/>
    <w:rsid w:val="2EE21B01"/>
    <w:rsid w:val="2EE356A6"/>
    <w:rsid w:val="2EE8585B"/>
    <w:rsid w:val="2EEC0DD1"/>
    <w:rsid w:val="2EF24461"/>
    <w:rsid w:val="2EF91817"/>
    <w:rsid w:val="2EFD2D39"/>
    <w:rsid w:val="2EFF109D"/>
    <w:rsid w:val="2F0158C0"/>
    <w:rsid w:val="2F167482"/>
    <w:rsid w:val="2F236894"/>
    <w:rsid w:val="2F2E01CA"/>
    <w:rsid w:val="2F324093"/>
    <w:rsid w:val="2F3C7955"/>
    <w:rsid w:val="2F5C1DA5"/>
    <w:rsid w:val="2F6A2443"/>
    <w:rsid w:val="2F7A4D80"/>
    <w:rsid w:val="2F8256E8"/>
    <w:rsid w:val="2F94032C"/>
    <w:rsid w:val="2FB36078"/>
    <w:rsid w:val="2FBD0A96"/>
    <w:rsid w:val="2FC524E1"/>
    <w:rsid w:val="2FC905A9"/>
    <w:rsid w:val="2FCC5E07"/>
    <w:rsid w:val="2FDB7672"/>
    <w:rsid w:val="2FE0721C"/>
    <w:rsid w:val="2FE53B49"/>
    <w:rsid w:val="300D740D"/>
    <w:rsid w:val="300F0BC6"/>
    <w:rsid w:val="301047AD"/>
    <w:rsid w:val="3015291F"/>
    <w:rsid w:val="301601A6"/>
    <w:rsid w:val="302B7D68"/>
    <w:rsid w:val="3036148E"/>
    <w:rsid w:val="303F0287"/>
    <w:rsid w:val="30420F9B"/>
    <w:rsid w:val="30567D0A"/>
    <w:rsid w:val="30600615"/>
    <w:rsid w:val="306B6744"/>
    <w:rsid w:val="307B42B2"/>
    <w:rsid w:val="307E7949"/>
    <w:rsid w:val="308A7D8A"/>
    <w:rsid w:val="30952304"/>
    <w:rsid w:val="30A92DC8"/>
    <w:rsid w:val="30B2178C"/>
    <w:rsid w:val="30BE41F9"/>
    <w:rsid w:val="30BF6B2B"/>
    <w:rsid w:val="30C87E20"/>
    <w:rsid w:val="30CC1D15"/>
    <w:rsid w:val="30D02144"/>
    <w:rsid w:val="30DF4157"/>
    <w:rsid w:val="30EA42FD"/>
    <w:rsid w:val="30EB1633"/>
    <w:rsid w:val="30ED7159"/>
    <w:rsid w:val="312D1C4B"/>
    <w:rsid w:val="31371E66"/>
    <w:rsid w:val="313B4EF9"/>
    <w:rsid w:val="31491672"/>
    <w:rsid w:val="314F4AAE"/>
    <w:rsid w:val="31501496"/>
    <w:rsid w:val="3157339C"/>
    <w:rsid w:val="31633E12"/>
    <w:rsid w:val="317E61DA"/>
    <w:rsid w:val="319637E8"/>
    <w:rsid w:val="31A57A34"/>
    <w:rsid w:val="31AC5F6D"/>
    <w:rsid w:val="31B5579D"/>
    <w:rsid w:val="31B9528D"/>
    <w:rsid w:val="31BC773E"/>
    <w:rsid w:val="31C31761"/>
    <w:rsid w:val="31C5610F"/>
    <w:rsid w:val="31CC63F4"/>
    <w:rsid w:val="31D71BB7"/>
    <w:rsid w:val="31DA376C"/>
    <w:rsid w:val="31F02BF1"/>
    <w:rsid w:val="32090E37"/>
    <w:rsid w:val="32155EF0"/>
    <w:rsid w:val="32190124"/>
    <w:rsid w:val="322D2641"/>
    <w:rsid w:val="323B661A"/>
    <w:rsid w:val="323E0027"/>
    <w:rsid w:val="32506261"/>
    <w:rsid w:val="325B7388"/>
    <w:rsid w:val="326C191E"/>
    <w:rsid w:val="3273368E"/>
    <w:rsid w:val="32895D67"/>
    <w:rsid w:val="328E04C8"/>
    <w:rsid w:val="3293193F"/>
    <w:rsid w:val="32936E35"/>
    <w:rsid w:val="32A4602F"/>
    <w:rsid w:val="32A63A63"/>
    <w:rsid w:val="32B13C6D"/>
    <w:rsid w:val="32B83797"/>
    <w:rsid w:val="32B876D8"/>
    <w:rsid w:val="32CA6456"/>
    <w:rsid w:val="32CC7242"/>
    <w:rsid w:val="32CF18CC"/>
    <w:rsid w:val="32F07E9E"/>
    <w:rsid w:val="32FB2F34"/>
    <w:rsid w:val="33045CC5"/>
    <w:rsid w:val="330975F6"/>
    <w:rsid w:val="330D0BEB"/>
    <w:rsid w:val="330D25C6"/>
    <w:rsid w:val="330D738E"/>
    <w:rsid w:val="3314149D"/>
    <w:rsid w:val="331A2870"/>
    <w:rsid w:val="33287688"/>
    <w:rsid w:val="333F56B5"/>
    <w:rsid w:val="334024C5"/>
    <w:rsid w:val="33415D84"/>
    <w:rsid w:val="33434310"/>
    <w:rsid w:val="334B3FAB"/>
    <w:rsid w:val="33527747"/>
    <w:rsid w:val="33541711"/>
    <w:rsid w:val="335A2349"/>
    <w:rsid w:val="33635381"/>
    <w:rsid w:val="33752891"/>
    <w:rsid w:val="338656E4"/>
    <w:rsid w:val="339133B6"/>
    <w:rsid w:val="33B50C44"/>
    <w:rsid w:val="33C07AF4"/>
    <w:rsid w:val="33C5616B"/>
    <w:rsid w:val="342A5E41"/>
    <w:rsid w:val="343D21A6"/>
    <w:rsid w:val="343E5F1E"/>
    <w:rsid w:val="344B6ED4"/>
    <w:rsid w:val="344C4197"/>
    <w:rsid w:val="34673B12"/>
    <w:rsid w:val="3476002E"/>
    <w:rsid w:val="34867522"/>
    <w:rsid w:val="34887B2C"/>
    <w:rsid w:val="349B16E9"/>
    <w:rsid w:val="349C3EFF"/>
    <w:rsid w:val="34A76F0A"/>
    <w:rsid w:val="34B624CD"/>
    <w:rsid w:val="34BE1690"/>
    <w:rsid w:val="34D36666"/>
    <w:rsid w:val="34DB2F73"/>
    <w:rsid w:val="34E03DB5"/>
    <w:rsid w:val="35041D35"/>
    <w:rsid w:val="350807A8"/>
    <w:rsid w:val="3510672F"/>
    <w:rsid w:val="351B1DBB"/>
    <w:rsid w:val="35224BBB"/>
    <w:rsid w:val="352819E8"/>
    <w:rsid w:val="35335357"/>
    <w:rsid w:val="35450298"/>
    <w:rsid w:val="355B616C"/>
    <w:rsid w:val="355B7C45"/>
    <w:rsid w:val="35747E49"/>
    <w:rsid w:val="35802D60"/>
    <w:rsid w:val="358D55F1"/>
    <w:rsid w:val="3590064E"/>
    <w:rsid w:val="359027A9"/>
    <w:rsid w:val="35972A5A"/>
    <w:rsid w:val="35B069A7"/>
    <w:rsid w:val="35B20971"/>
    <w:rsid w:val="35B93CDA"/>
    <w:rsid w:val="35CF32D1"/>
    <w:rsid w:val="35E61BC9"/>
    <w:rsid w:val="35EE06C2"/>
    <w:rsid w:val="36034D29"/>
    <w:rsid w:val="360D1836"/>
    <w:rsid w:val="3614549C"/>
    <w:rsid w:val="361A0C8A"/>
    <w:rsid w:val="362152FD"/>
    <w:rsid w:val="362241CC"/>
    <w:rsid w:val="363650FE"/>
    <w:rsid w:val="36390B9E"/>
    <w:rsid w:val="363A5D48"/>
    <w:rsid w:val="36675EE2"/>
    <w:rsid w:val="36712425"/>
    <w:rsid w:val="367528E0"/>
    <w:rsid w:val="367857C3"/>
    <w:rsid w:val="369B64AE"/>
    <w:rsid w:val="369C2AC2"/>
    <w:rsid w:val="36A561C0"/>
    <w:rsid w:val="36A6210C"/>
    <w:rsid w:val="36AA5AEC"/>
    <w:rsid w:val="36BE599C"/>
    <w:rsid w:val="36D16BD5"/>
    <w:rsid w:val="36D6690A"/>
    <w:rsid w:val="36E47938"/>
    <w:rsid w:val="36E92171"/>
    <w:rsid w:val="36EB5659"/>
    <w:rsid w:val="36F87994"/>
    <w:rsid w:val="36FD7B0D"/>
    <w:rsid w:val="37082CF7"/>
    <w:rsid w:val="37133692"/>
    <w:rsid w:val="37135440"/>
    <w:rsid w:val="37154F64"/>
    <w:rsid w:val="37217B5C"/>
    <w:rsid w:val="37276F67"/>
    <w:rsid w:val="37277667"/>
    <w:rsid w:val="37346646"/>
    <w:rsid w:val="373C66E6"/>
    <w:rsid w:val="37464DA1"/>
    <w:rsid w:val="37621F23"/>
    <w:rsid w:val="377D6D5D"/>
    <w:rsid w:val="37995199"/>
    <w:rsid w:val="37B00EE0"/>
    <w:rsid w:val="37B564F7"/>
    <w:rsid w:val="37B81B43"/>
    <w:rsid w:val="37D5242B"/>
    <w:rsid w:val="37FD7D7C"/>
    <w:rsid w:val="381E13AC"/>
    <w:rsid w:val="38267191"/>
    <w:rsid w:val="382800C5"/>
    <w:rsid w:val="383704C4"/>
    <w:rsid w:val="383A2745"/>
    <w:rsid w:val="38404012"/>
    <w:rsid w:val="38415FDC"/>
    <w:rsid w:val="384D4981"/>
    <w:rsid w:val="38545D10"/>
    <w:rsid w:val="386A108F"/>
    <w:rsid w:val="38782A52"/>
    <w:rsid w:val="387A3DF1"/>
    <w:rsid w:val="38867B64"/>
    <w:rsid w:val="38AC78FA"/>
    <w:rsid w:val="38B70A56"/>
    <w:rsid w:val="38D536BD"/>
    <w:rsid w:val="38DC150C"/>
    <w:rsid w:val="38E31684"/>
    <w:rsid w:val="38EC419A"/>
    <w:rsid w:val="38FC59F0"/>
    <w:rsid w:val="38FE5C7B"/>
    <w:rsid w:val="39005CE7"/>
    <w:rsid w:val="39007C46"/>
    <w:rsid w:val="390B1242"/>
    <w:rsid w:val="39182A0E"/>
    <w:rsid w:val="393D67A4"/>
    <w:rsid w:val="395B30CE"/>
    <w:rsid w:val="3962620A"/>
    <w:rsid w:val="39680B72"/>
    <w:rsid w:val="398217F2"/>
    <w:rsid w:val="39850192"/>
    <w:rsid w:val="399E405C"/>
    <w:rsid w:val="39A700C1"/>
    <w:rsid w:val="39AE41DE"/>
    <w:rsid w:val="39D2513E"/>
    <w:rsid w:val="39D36E4D"/>
    <w:rsid w:val="39D709A6"/>
    <w:rsid w:val="39DB6ED1"/>
    <w:rsid w:val="39E62C55"/>
    <w:rsid w:val="39EA208D"/>
    <w:rsid w:val="39F50E33"/>
    <w:rsid w:val="3A030CCA"/>
    <w:rsid w:val="3A06784F"/>
    <w:rsid w:val="3A092EFA"/>
    <w:rsid w:val="3A2D05C6"/>
    <w:rsid w:val="3A3C4CAD"/>
    <w:rsid w:val="3A4A1178"/>
    <w:rsid w:val="3A576C59"/>
    <w:rsid w:val="3A6D3E8C"/>
    <w:rsid w:val="3A707CC0"/>
    <w:rsid w:val="3A77338E"/>
    <w:rsid w:val="3A851961"/>
    <w:rsid w:val="3A863A18"/>
    <w:rsid w:val="3A94290B"/>
    <w:rsid w:val="3A9875CD"/>
    <w:rsid w:val="3AB5279B"/>
    <w:rsid w:val="3AC27A31"/>
    <w:rsid w:val="3AD13648"/>
    <w:rsid w:val="3AD51B36"/>
    <w:rsid w:val="3AE93E68"/>
    <w:rsid w:val="3AEC54A8"/>
    <w:rsid w:val="3AF2458C"/>
    <w:rsid w:val="3AF30F35"/>
    <w:rsid w:val="3B051543"/>
    <w:rsid w:val="3B0D14D6"/>
    <w:rsid w:val="3B186BAE"/>
    <w:rsid w:val="3B212110"/>
    <w:rsid w:val="3B3616FD"/>
    <w:rsid w:val="3B3E47CB"/>
    <w:rsid w:val="3B415444"/>
    <w:rsid w:val="3B431FB2"/>
    <w:rsid w:val="3B44499C"/>
    <w:rsid w:val="3B4460CA"/>
    <w:rsid w:val="3B4958D4"/>
    <w:rsid w:val="3B4E2997"/>
    <w:rsid w:val="3B655A3A"/>
    <w:rsid w:val="3B844B5E"/>
    <w:rsid w:val="3B954675"/>
    <w:rsid w:val="3B985F13"/>
    <w:rsid w:val="3BBF0221"/>
    <w:rsid w:val="3BCF4AA0"/>
    <w:rsid w:val="3BD62D21"/>
    <w:rsid w:val="3BE15B0C"/>
    <w:rsid w:val="3BE677F1"/>
    <w:rsid w:val="3BE858FF"/>
    <w:rsid w:val="3BF523F3"/>
    <w:rsid w:val="3BFF4A3E"/>
    <w:rsid w:val="3C0D2551"/>
    <w:rsid w:val="3C0F1D99"/>
    <w:rsid w:val="3C117AFC"/>
    <w:rsid w:val="3C196564"/>
    <w:rsid w:val="3C1E1F51"/>
    <w:rsid w:val="3C244F05"/>
    <w:rsid w:val="3C31002E"/>
    <w:rsid w:val="3C3927B0"/>
    <w:rsid w:val="3C552056"/>
    <w:rsid w:val="3C626BC9"/>
    <w:rsid w:val="3C672E60"/>
    <w:rsid w:val="3C694662"/>
    <w:rsid w:val="3C8A009E"/>
    <w:rsid w:val="3C975A23"/>
    <w:rsid w:val="3CB03F3A"/>
    <w:rsid w:val="3CB44FCF"/>
    <w:rsid w:val="3CBF0DCB"/>
    <w:rsid w:val="3CCF5D27"/>
    <w:rsid w:val="3CD127FC"/>
    <w:rsid w:val="3CDE0DDF"/>
    <w:rsid w:val="3CEB6971"/>
    <w:rsid w:val="3CEE62D5"/>
    <w:rsid w:val="3D1612F6"/>
    <w:rsid w:val="3D1D0DC6"/>
    <w:rsid w:val="3D1E68EC"/>
    <w:rsid w:val="3D232155"/>
    <w:rsid w:val="3D2A2933"/>
    <w:rsid w:val="3D347EBE"/>
    <w:rsid w:val="3D3C3AED"/>
    <w:rsid w:val="3D49491C"/>
    <w:rsid w:val="3D4C4951"/>
    <w:rsid w:val="3D4E71D1"/>
    <w:rsid w:val="3D506198"/>
    <w:rsid w:val="3D7D1865"/>
    <w:rsid w:val="3D8166A2"/>
    <w:rsid w:val="3D822082"/>
    <w:rsid w:val="3D8C7CFA"/>
    <w:rsid w:val="3D982CB1"/>
    <w:rsid w:val="3DA51518"/>
    <w:rsid w:val="3DA74B34"/>
    <w:rsid w:val="3DAA0345"/>
    <w:rsid w:val="3DB334D8"/>
    <w:rsid w:val="3DB64C6E"/>
    <w:rsid w:val="3DBF5617"/>
    <w:rsid w:val="3DC01453"/>
    <w:rsid w:val="3DD85298"/>
    <w:rsid w:val="3DDC4E4C"/>
    <w:rsid w:val="3DF75171"/>
    <w:rsid w:val="3DFD1F83"/>
    <w:rsid w:val="3DFE042B"/>
    <w:rsid w:val="3E051DE8"/>
    <w:rsid w:val="3E064613"/>
    <w:rsid w:val="3E151A9D"/>
    <w:rsid w:val="3E1D67D6"/>
    <w:rsid w:val="3E3E516D"/>
    <w:rsid w:val="3E410AE4"/>
    <w:rsid w:val="3E4D2EF7"/>
    <w:rsid w:val="3E4F60C2"/>
    <w:rsid w:val="3E684914"/>
    <w:rsid w:val="3E6D40DE"/>
    <w:rsid w:val="3E75078E"/>
    <w:rsid w:val="3E976956"/>
    <w:rsid w:val="3EA52AE3"/>
    <w:rsid w:val="3EB017C6"/>
    <w:rsid w:val="3EB0577A"/>
    <w:rsid w:val="3EB968CD"/>
    <w:rsid w:val="3EDE4585"/>
    <w:rsid w:val="3EEF6704"/>
    <w:rsid w:val="3EF23B8C"/>
    <w:rsid w:val="3EF267BD"/>
    <w:rsid w:val="3EF841D3"/>
    <w:rsid w:val="3EF9255F"/>
    <w:rsid w:val="3EF95FFE"/>
    <w:rsid w:val="3F0F4B6A"/>
    <w:rsid w:val="3F1D7BCF"/>
    <w:rsid w:val="3F204A99"/>
    <w:rsid w:val="3F2D7071"/>
    <w:rsid w:val="3F32132C"/>
    <w:rsid w:val="3F332837"/>
    <w:rsid w:val="3F3643C1"/>
    <w:rsid w:val="3F38621C"/>
    <w:rsid w:val="3F3D5750"/>
    <w:rsid w:val="3F422D66"/>
    <w:rsid w:val="3F57699B"/>
    <w:rsid w:val="3F5860E5"/>
    <w:rsid w:val="3F631478"/>
    <w:rsid w:val="3F8E13DE"/>
    <w:rsid w:val="3F9907C4"/>
    <w:rsid w:val="3FA13DEA"/>
    <w:rsid w:val="3FAC1A48"/>
    <w:rsid w:val="3FB1682D"/>
    <w:rsid w:val="3FB3410F"/>
    <w:rsid w:val="3FC512A1"/>
    <w:rsid w:val="3FC84C9E"/>
    <w:rsid w:val="3FCA1B42"/>
    <w:rsid w:val="3FD41E4F"/>
    <w:rsid w:val="3FDA14C3"/>
    <w:rsid w:val="3FEC2CD2"/>
    <w:rsid w:val="3FF24437"/>
    <w:rsid w:val="3FF51B86"/>
    <w:rsid w:val="3FF651C6"/>
    <w:rsid w:val="400718BA"/>
    <w:rsid w:val="4008024D"/>
    <w:rsid w:val="40090017"/>
    <w:rsid w:val="40096AA5"/>
    <w:rsid w:val="402146F9"/>
    <w:rsid w:val="403365E8"/>
    <w:rsid w:val="405016DC"/>
    <w:rsid w:val="40646D0C"/>
    <w:rsid w:val="40684300"/>
    <w:rsid w:val="406C464C"/>
    <w:rsid w:val="40840CD2"/>
    <w:rsid w:val="409C70B2"/>
    <w:rsid w:val="40B2779A"/>
    <w:rsid w:val="40C477AB"/>
    <w:rsid w:val="40CD59A9"/>
    <w:rsid w:val="40D53766"/>
    <w:rsid w:val="40ED4F53"/>
    <w:rsid w:val="40F94FF7"/>
    <w:rsid w:val="410302D3"/>
    <w:rsid w:val="411150E1"/>
    <w:rsid w:val="411E0EED"/>
    <w:rsid w:val="41322966"/>
    <w:rsid w:val="41342F1C"/>
    <w:rsid w:val="413A43FF"/>
    <w:rsid w:val="41452699"/>
    <w:rsid w:val="41594AAB"/>
    <w:rsid w:val="416255A9"/>
    <w:rsid w:val="416408B3"/>
    <w:rsid w:val="41746D4A"/>
    <w:rsid w:val="417B26FB"/>
    <w:rsid w:val="41967399"/>
    <w:rsid w:val="41986C6D"/>
    <w:rsid w:val="41A926E2"/>
    <w:rsid w:val="41BB0BAE"/>
    <w:rsid w:val="41C7462F"/>
    <w:rsid w:val="41C95079"/>
    <w:rsid w:val="41DA54D8"/>
    <w:rsid w:val="41DA6BD5"/>
    <w:rsid w:val="41E66E11"/>
    <w:rsid w:val="41F12FE5"/>
    <w:rsid w:val="41FA4A3C"/>
    <w:rsid w:val="42254279"/>
    <w:rsid w:val="42312482"/>
    <w:rsid w:val="4234358D"/>
    <w:rsid w:val="42424EE2"/>
    <w:rsid w:val="42483274"/>
    <w:rsid w:val="42555CF4"/>
    <w:rsid w:val="425B0788"/>
    <w:rsid w:val="4268594D"/>
    <w:rsid w:val="426E6B65"/>
    <w:rsid w:val="42756FAE"/>
    <w:rsid w:val="428C42F8"/>
    <w:rsid w:val="42A94EAA"/>
    <w:rsid w:val="42B23D5F"/>
    <w:rsid w:val="42C43F0C"/>
    <w:rsid w:val="42DB44A1"/>
    <w:rsid w:val="42DE47BD"/>
    <w:rsid w:val="42E566F8"/>
    <w:rsid w:val="42E8372F"/>
    <w:rsid w:val="42F00D2B"/>
    <w:rsid w:val="430D78C6"/>
    <w:rsid w:val="431033BD"/>
    <w:rsid w:val="43195B8C"/>
    <w:rsid w:val="434626F9"/>
    <w:rsid w:val="434A21E9"/>
    <w:rsid w:val="434B19EE"/>
    <w:rsid w:val="43584C70"/>
    <w:rsid w:val="43721740"/>
    <w:rsid w:val="43726013"/>
    <w:rsid w:val="43741014"/>
    <w:rsid w:val="4381785E"/>
    <w:rsid w:val="4383495D"/>
    <w:rsid w:val="438376F3"/>
    <w:rsid w:val="4387467C"/>
    <w:rsid w:val="43956DE7"/>
    <w:rsid w:val="43A11EC0"/>
    <w:rsid w:val="43A60DED"/>
    <w:rsid w:val="43A60E53"/>
    <w:rsid w:val="43B835F7"/>
    <w:rsid w:val="43BD3D85"/>
    <w:rsid w:val="43DF347A"/>
    <w:rsid w:val="43F665B9"/>
    <w:rsid w:val="44240331"/>
    <w:rsid w:val="44343752"/>
    <w:rsid w:val="443D58AA"/>
    <w:rsid w:val="444A101C"/>
    <w:rsid w:val="445361E5"/>
    <w:rsid w:val="445E66A7"/>
    <w:rsid w:val="446F759B"/>
    <w:rsid w:val="4473751E"/>
    <w:rsid w:val="447B63D2"/>
    <w:rsid w:val="447F09DF"/>
    <w:rsid w:val="44816F9D"/>
    <w:rsid w:val="448750D5"/>
    <w:rsid w:val="448C4B7D"/>
    <w:rsid w:val="44901E7E"/>
    <w:rsid w:val="44AB5D13"/>
    <w:rsid w:val="44B44858"/>
    <w:rsid w:val="44ED5263"/>
    <w:rsid w:val="44F91551"/>
    <w:rsid w:val="450665E4"/>
    <w:rsid w:val="45332247"/>
    <w:rsid w:val="454809AA"/>
    <w:rsid w:val="454A0A68"/>
    <w:rsid w:val="45561319"/>
    <w:rsid w:val="45570BED"/>
    <w:rsid w:val="45857508"/>
    <w:rsid w:val="458A0FC3"/>
    <w:rsid w:val="458E23F3"/>
    <w:rsid w:val="45992FB4"/>
    <w:rsid w:val="45A35BE1"/>
    <w:rsid w:val="45AA32FA"/>
    <w:rsid w:val="45AD4CB1"/>
    <w:rsid w:val="45C34DF0"/>
    <w:rsid w:val="45C36C83"/>
    <w:rsid w:val="45CE2A73"/>
    <w:rsid w:val="45CF2E79"/>
    <w:rsid w:val="45D93CF8"/>
    <w:rsid w:val="46026DAB"/>
    <w:rsid w:val="46094EB3"/>
    <w:rsid w:val="46162E4E"/>
    <w:rsid w:val="461A17B1"/>
    <w:rsid w:val="46205E07"/>
    <w:rsid w:val="46262D58"/>
    <w:rsid w:val="46334018"/>
    <w:rsid w:val="463827CD"/>
    <w:rsid w:val="4638462A"/>
    <w:rsid w:val="464E7278"/>
    <w:rsid w:val="46517D32"/>
    <w:rsid w:val="46582E6F"/>
    <w:rsid w:val="465B53CD"/>
    <w:rsid w:val="46613679"/>
    <w:rsid w:val="468518EA"/>
    <w:rsid w:val="4689127A"/>
    <w:rsid w:val="469D20E2"/>
    <w:rsid w:val="46A77952"/>
    <w:rsid w:val="46A9191C"/>
    <w:rsid w:val="46CE47EC"/>
    <w:rsid w:val="46CE4EDF"/>
    <w:rsid w:val="46DC24F1"/>
    <w:rsid w:val="46DD20EA"/>
    <w:rsid w:val="46F47709"/>
    <w:rsid w:val="47082795"/>
    <w:rsid w:val="470C4586"/>
    <w:rsid w:val="471144A8"/>
    <w:rsid w:val="4712301E"/>
    <w:rsid w:val="471F398D"/>
    <w:rsid w:val="471F573B"/>
    <w:rsid w:val="47226130"/>
    <w:rsid w:val="4778684C"/>
    <w:rsid w:val="477F53F3"/>
    <w:rsid w:val="47890EBA"/>
    <w:rsid w:val="479144EB"/>
    <w:rsid w:val="47923B78"/>
    <w:rsid w:val="47A619B8"/>
    <w:rsid w:val="47AF3744"/>
    <w:rsid w:val="47B24801"/>
    <w:rsid w:val="47B265AF"/>
    <w:rsid w:val="47B623AD"/>
    <w:rsid w:val="47C54534"/>
    <w:rsid w:val="47CB7671"/>
    <w:rsid w:val="47CD6B6F"/>
    <w:rsid w:val="47CF0F0F"/>
    <w:rsid w:val="47D60F4A"/>
    <w:rsid w:val="47E744AA"/>
    <w:rsid w:val="47EB3DDE"/>
    <w:rsid w:val="482617AF"/>
    <w:rsid w:val="48380285"/>
    <w:rsid w:val="48401776"/>
    <w:rsid w:val="48414E86"/>
    <w:rsid w:val="48546305"/>
    <w:rsid w:val="485B4F92"/>
    <w:rsid w:val="485F5CAF"/>
    <w:rsid w:val="48855A71"/>
    <w:rsid w:val="48861F15"/>
    <w:rsid w:val="48934632"/>
    <w:rsid w:val="489B7650"/>
    <w:rsid w:val="48A56114"/>
    <w:rsid w:val="48AC2FFE"/>
    <w:rsid w:val="48C53DC3"/>
    <w:rsid w:val="48C96EBA"/>
    <w:rsid w:val="48CB08FD"/>
    <w:rsid w:val="48D373C6"/>
    <w:rsid w:val="48D61428"/>
    <w:rsid w:val="48D77B39"/>
    <w:rsid w:val="48DF33D4"/>
    <w:rsid w:val="48F0738F"/>
    <w:rsid w:val="49025314"/>
    <w:rsid w:val="49166B47"/>
    <w:rsid w:val="491D58A0"/>
    <w:rsid w:val="492152F7"/>
    <w:rsid w:val="49275E34"/>
    <w:rsid w:val="49282FCC"/>
    <w:rsid w:val="492E0B35"/>
    <w:rsid w:val="494C4442"/>
    <w:rsid w:val="49521CA9"/>
    <w:rsid w:val="49544A87"/>
    <w:rsid w:val="495F62C2"/>
    <w:rsid w:val="4967648B"/>
    <w:rsid w:val="49870D1A"/>
    <w:rsid w:val="498A2ACB"/>
    <w:rsid w:val="498F599D"/>
    <w:rsid w:val="499A554C"/>
    <w:rsid w:val="499B5CB2"/>
    <w:rsid w:val="49A36F87"/>
    <w:rsid w:val="49A93BD9"/>
    <w:rsid w:val="49B303BC"/>
    <w:rsid w:val="49D97E23"/>
    <w:rsid w:val="49DE18DD"/>
    <w:rsid w:val="49E37654"/>
    <w:rsid w:val="49E77726"/>
    <w:rsid w:val="49EE37B0"/>
    <w:rsid w:val="49F51EDB"/>
    <w:rsid w:val="4A0B01F8"/>
    <w:rsid w:val="4A0F5443"/>
    <w:rsid w:val="4A0F6F03"/>
    <w:rsid w:val="4A113A61"/>
    <w:rsid w:val="4A1277D9"/>
    <w:rsid w:val="4A1A56B6"/>
    <w:rsid w:val="4A256B80"/>
    <w:rsid w:val="4A2D016F"/>
    <w:rsid w:val="4A2F6758"/>
    <w:rsid w:val="4A3A2304"/>
    <w:rsid w:val="4A417D43"/>
    <w:rsid w:val="4A45195C"/>
    <w:rsid w:val="4A4B0B6E"/>
    <w:rsid w:val="4A4E2219"/>
    <w:rsid w:val="4A5676C5"/>
    <w:rsid w:val="4A6B0275"/>
    <w:rsid w:val="4A791606"/>
    <w:rsid w:val="4A7B074B"/>
    <w:rsid w:val="4A8107D4"/>
    <w:rsid w:val="4A871F75"/>
    <w:rsid w:val="4A881849"/>
    <w:rsid w:val="4A885999"/>
    <w:rsid w:val="4A8E50B1"/>
    <w:rsid w:val="4A9641DF"/>
    <w:rsid w:val="4AD90A31"/>
    <w:rsid w:val="4ADF590D"/>
    <w:rsid w:val="4AE74C1E"/>
    <w:rsid w:val="4AFE6B89"/>
    <w:rsid w:val="4B097BAB"/>
    <w:rsid w:val="4B0A3436"/>
    <w:rsid w:val="4B150E0C"/>
    <w:rsid w:val="4B1D2F8C"/>
    <w:rsid w:val="4B1D4687"/>
    <w:rsid w:val="4B271062"/>
    <w:rsid w:val="4B33411D"/>
    <w:rsid w:val="4B461F2B"/>
    <w:rsid w:val="4B4A12C3"/>
    <w:rsid w:val="4B4C380F"/>
    <w:rsid w:val="4B693428"/>
    <w:rsid w:val="4B6C16A6"/>
    <w:rsid w:val="4B8B5A92"/>
    <w:rsid w:val="4BA14D61"/>
    <w:rsid w:val="4BA52C90"/>
    <w:rsid w:val="4BA77ED2"/>
    <w:rsid w:val="4BA821A3"/>
    <w:rsid w:val="4BB1347D"/>
    <w:rsid w:val="4BB66FC3"/>
    <w:rsid w:val="4BB87F0C"/>
    <w:rsid w:val="4BBA72B0"/>
    <w:rsid w:val="4BBF129A"/>
    <w:rsid w:val="4BC32129"/>
    <w:rsid w:val="4BC36FDC"/>
    <w:rsid w:val="4BC54262"/>
    <w:rsid w:val="4BDA0ED5"/>
    <w:rsid w:val="4BDF599F"/>
    <w:rsid w:val="4BF46E98"/>
    <w:rsid w:val="4BFB6776"/>
    <w:rsid w:val="4C030443"/>
    <w:rsid w:val="4C03562B"/>
    <w:rsid w:val="4C040C28"/>
    <w:rsid w:val="4C097B79"/>
    <w:rsid w:val="4C0A0767"/>
    <w:rsid w:val="4C0D2006"/>
    <w:rsid w:val="4C0F2222"/>
    <w:rsid w:val="4C1415E6"/>
    <w:rsid w:val="4C251A45"/>
    <w:rsid w:val="4C2537F3"/>
    <w:rsid w:val="4C3C7455"/>
    <w:rsid w:val="4C553FE1"/>
    <w:rsid w:val="4C5639AD"/>
    <w:rsid w:val="4C5D40AD"/>
    <w:rsid w:val="4C6A119A"/>
    <w:rsid w:val="4C742085"/>
    <w:rsid w:val="4C773B54"/>
    <w:rsid w:val="4C997D3D"/>
    <w:rsid w:val="4C9C45AC"/>
    <w:rsid w:val="4CA846DC"/>
    <w:rsid w:val="4CA94BB7"/>
    <w:rsid w:val="4CAF5386"/>
    <w:rsid w:val="4CB30DFF"/>
    <w:rsid w:val="4CBA50E3"/>
    <w:rsid w:val="4CC85386"/>
    <w:rsid w:val="4D037ABE"/>
    <w:rsid w:val="4D06044C"/>
    <w:rsid w:val="4D0F7FFF"/>
    <w:rsid w:val="4D3505C9"/>
    <w:rsid w:val="4D3A507C"/>
    <w:rsid w:val="4D465DA8"/>
    <w:rsid w:val="4D4C6B4F"/>
    <w:rsid w:val="4D537083"/>
    <w:rsid w:val="4D554986"/>
    <w:rsid w:val="4D557D51"/>
    <w:rsid w:val="4D5932DC"/>
    <w:rsid w:val="4D7378CF"/>
    <w:rsid w:val="4D9B33CB"/>
    <w:rsid w:val="4DA82DA2"/>
    <w:rsid w:val="4DBB14D7"/>
    <w:rsid w:val="4DFC0584"/>
    <w:rsid w:val="4E0260A9"/>
    <w:rsid w:val="4E074369"/>
    <w:rsid w:val="4E143B1F"/>
    <w:rsid w:val="4E322FBF"/>
    <w:rsid w:val="4E3F0301"/>
    <w:rsid w:val="4E473EF5"/>
    <w:rsid w:val="4E4F6905"/>
    <w:rsid w:val="4E6924D8"/>
    <w:rsid w:val="4E74636C"/>
    <w:rsid w:val="4E853B08"/>
    <w:rsid w:val="4E9407BC"/>
    <w:rsid w:val="4E9E23DD"/>
    <w:rsid w:val="4EA54396"/>
    <w:rsid w:val="4EA62C8C"/>
    <w:rsid w:val="4EB4216F"/>
    <w:rsid w:val="4EB86BA1"/>
    <w:rsid w:val="4EBA52B1"/>
    <w:rsid w:val="4EBC2D80"/>
    <w:rsid w:val="4EC40568"/>
    <w:rsid w:val="4F0040A4"/>
    <w:rsid w:val="4F0202C8"/>
    <w:rsid w:val="4F021BCA"/>
    <w:rsid w:val="4F0F42E7"/>
    <w:rsid w:val="4F115764"/>
    <w:rsid w:val="4F371340"/>
    <w:rsid w:val="4F3D4505"/>
    <w:rsid w:val="4F546152"/>
    <w:rsid w:val="4F5C0387"/>
    <w:rsid w:val="4F6208BA"/>
    <w:rsid w:val="4F6E3703"/>
    <w:rsid w:val="4F7A3E56"/>
    <w:rsid w:val="4F7A7412"/>
    <w:rsid w:val="4F7B2E66"/>
    <w:rsid w:val="4F837021"/>
    <w:rsid w:val="4F8C3B89"/>
    <w:rsid w:val="4FBA3ACA"/>
    <w:rsid w:val="4FBB4517"/>
    <w:rsid w:val="4FCB3237"/>
    <w:rsid w:val="4FCE44B1"/>
    <w:rsid w:val="4FD23C92"/>
    <w:rsid w:val="4FE007A6"/>
    <w:rsid w:val="4FF16AEC"/>
    <w:rsid w:val="4FFD256E"/>
    <w:rsid w:val="50037246"/>
    <w:rsid w:val="500D2F12"/>
    <w:rsid w:val="501039DF"/>
    <w:rsid w:val="502A762A"/>
    <w:rsid w:val="50424664"/>
    <w:rsid w:val="504274B2"/>
    <w:rsid w:val="5043693E"/>
    <w:rsid w:val="504D47CC"/>
    <w:rsid w:val="50624FF5"/>
    <w:rsid w:val="507032D0"/>
    <w:rsid w:val="50715259"/>
    <w:rsid w:val="50760251"/>
    <w:rsid w:val="508769D8"/>
    <w:rsid w:val="508B02F3"/>
    <w:rsid w:val="508E7F3C"/>
    <w:rsid w:val="50927935"/>
    <w:rsid w:val="509E3B74"/>
    <w:rsid w:val="50A218B6"/>
    <w:rsid w:val="50A32F39"/>
    <w:rsid w:val="50A839D1"/>
    <w:rsid w:val="50AA3EE6"/>
    <w:rsid w:val="50D72926"/>
    <w:rsid w:val="50DE31B0"/>
    <w:rsid w:val="50E269EF"/>
    <w:rsid w:val="50EC2BCA"/>
    <w:rsid w:val="50F43794"/>
    <w:rsid w:val="510F5CB6"/>
    <w:rsid w:val="51134562"/>
    <w:rsid w:val="5126166B"/>
    <w:rsid w:val="512C2E00"/>
    <w:rsid w:val="513242BC"/>
    <w:rsid w:val="514C175F"/>
    <w:rsid w:val="515B5BEE"/>
    <w:rsid w:val="519035B6"/>
    <w:rsid w:val="5191496F"/>
    <w:rsid w:val="51951DEF"/>
    <w:rsid w:val="519A433C"/>
    <w:rsid w:val="519B2FFB"/>
    <w:rsid w:val="51A21442"/>
    <w:rsid w:val="51AE4DB8"/>
    <w:rsid w:val="51DC0DF8"/>
    <w:rsid w:val="51DC3F8A"/>
    <w:rsid w:val="51E43809"/>
    <w:rsid w:val="51E608FC"/>
    <w:rsid w:val="51ED5F84"/>
    <w:rsid w:val="51ED60AC"/>
    <w:rsid w:val="51F50FAE"/>
    <w:rsid w:val="51F903FC"/>
    <w:rsid w:val="51FB1986"/>
    <w:rsid w:val="51FE2487"/>
    <w:rsid w:val="5208399B"/>
    <w:rsid w:val="520B1386"/>
    <w:rsid w:val="5222639A"/>
    <w:rsid w:val="52272346"/>
    <w:rsid w:val="522741A6"/>
    <w:rsid w:val="52583B2C"/>
    <w:rsid w:val="525C314D"/>
    <w:rsid w:val="52614A8E"/>
    <w:rsid w:val="52635D44"/>
    <w:rsid w:val="52754DA9"/>
    <w:rsid w:val="52776CE2"/>
    <w:rsid w:val="527821A3"/>
    <w:rsid w:val="527F656A"/>
    <w:rsid w:val="528F1931"/>
    <w:rsid w:val="529B5B9D"/>
    <w:rsid w:val="529F5124"/>
    <w:rsid w:val="52A00ECB"/>
    <w:rsid w:val="52A70384"/>
    <w:rsid w:val="52B14033"/>
    <w:rsid w:val="52B636DD"/>
    <w:rsid w:val="52BB6C5F"/>
    <w:rsid w:val="52C43E23"/>
    <w:rsid w:val="52C71500"/>
    <w:rsid w:val="52C74E1E"/>
    <w:rsid w:val="52D03D8D"/>
    <w:rsid w:val="52D3090B"/>
    <w:rsid w:val="52E34DBC"/>
    <w:rsid w:val="52E857FE"/>
    <w:rsid w:val="52F14884"/>
    <w:rsid w:val="52FE6B4C"/>
    <w:rsid w:val="53001F5C"/>
    <w:rsid w:val="530D4FE1"/>
    <w:rsid w:val="531A7A3B"/>
    <w:rsid w:val="53234805"/>
    <w:rsid w:val="53371F50"/>
    <w:rsid w:val="535733B5"/>
    <w:rsid w:val="53576453"/>
    <w:rsid w:val="536275BE"/>
    <w:rsid w:val="5372614B"/>
    <w:rsid w:val="537644A3"/>
    <w:rsid w:val="5387235B"/>
    <w:rsid w:val="539179C0"/>
    <w:rsid w:val="5393457C"/>
    <w:rsid w:val="53AC1D52"/>
    <w:rsid w:val="53B05DCE"/>
    <w:rsid w:val="53B46C9D"/>
    <w:rsid w:val="53B65CA7"/>
    <w:rsid w:val="53CA4429"/>
    <w:rsid w:val="53D963A2"/>
    <w:rsid w:val="53E50B71"/>
    <w:rsid w:val="53E8662E"/>
    <w:rsid w:val="53FB3972"/>
    <w:rsid w:val="53FF0DCE"/>
    <w:rsid w:val="540B5711"/>
    <w:rsid w:val="54280D1A"/>
    <w:rsid w:val="54324CFF"/>
    <w:rsid w:val="54325F10"/>
    <w:rsid w:val="5440264B"/>
    <w:rsid w:val="54501629"/>
    <w:rsid w:val="545A4256"/>
    <w:rsid w:val="545E17F4"/>
    <w:rsid w:val="546143E9"/>
    <w:rsid w:val="546E1AAF"/>
    <w:rsid w:val="5475299E"/>
    <w:rsid w:val="54761801"/>
    <w:rsid w:val="547B37BB"/>
    <w:rsid w:val="54841300"/>
    <w:rsid w:val="54880DC3"/>
    <w:rsid w:val="5489250E"/>
    <w:rsid w:val="54985506"/>
    <w:rsid w:val="54AB4AB2"/>
    <w:rsid w:val="54B03E76"/>
    <w:rsid w:val="54B5784B"/>
    <w:rsid w:val="54BA7EA4"/>
    <w:rsid w:val="54BF2D11"/>
    <w:rsid w:val="54E41CA2"/>
    <w:rsid w:val="54E921AD"/>
    <w:rsid w:val="54F55D2D"/>
    <w:rsid w:val="54FF79A8"/>
    <w:rsid w:val="55056BCC"/>
    <w:rsid w:val="550B5550"/>
    <w:rsid w:val="55216B22"/>
    <w:rsid w:val="55245A59"/>
    <w:rsid w:val="552B2379"/>
    <w:rsid w:val="553B3AD9"/>
    <w:rsid w:val="553D6107"/>
    <w:rsid w:val="55610682"/>
    <w:rsid w:val="559B524A"/>
    <w:rsid w:val="55A439DB"/>
    <w:rsid w:val="55AE4B76"/>
    <w:rsid w:val="55AF05D2"/>
    <w:rsid w:val="55BB5298"/>
    <w:rsid w:val="55BD52C8"/>
    <w:rsid w:val="55CC551E"/>
    <w:rsid w:val="55DB13C7"/>
    <w:rsid w:val="55EC390A"/>
    <w:rsid w:val="55F06C20"/>
    <w:rsid w:val="55F32475"/>
    <w:rsid w:val="55F6001A"/>
    <w:rsid w:val="560839BA"/>
    <w:rsid w:val="560E1C75"/>
    <w:rsid w:val="56134213"/>
    <w:rsid w:val="562A168B"/>
    <w:rsid w:val="56301712"/>
    <w:rsid w:val="56505911"/>
    <w:rsid w:val="566861D2"/>
    <w:rsid w:val="56927CD7"/>
    <w:rsid w:val="569B72DC"/>
    <w:rsid w:val="56AB0D99"/>
    <w:rsid w:val="56BA722E"/>
    <w:rsid w:val="56BD725A"/>
    <w:rsid w:val="56BF08AB"/>
    <w:rsid w:val="56D36446"/>
    <w:rsid w:val="56D54068"/>
    <w:rsid w:val="56DE4CCA"/>
    <w:rsid w:val="56E61DD1"/>
    <w:rsid w:val="56F221ED"/>
    <w:rsid w:val="56F40992"/>
    <w:rsid w:val="5704678E"/>
    <w:rsid w:val="57064096"/>
    <w:rsid w:val="57182EFE"/>
    <w:rsid w:val="57316FCA"/>
    <w:rsid w:val="573E1C0D"/>
    <w:rsid w:val="574511ED"/>
    <w:rsid w:val="574C5AC3"/>
    <w:rsid w:val="57654793"/>
    <w:rsid w:val="57743436"/>
    <w:rsid w:val="577D144A"/>
    <w:rsid w:val="577D428D"/>
    <w:rsid w:val="578E07D6"/>
    <w:rsid w:val="57A02FAD"/>
    <w:rsid w:val="57A61D96"/>
    <w:rsid w:val="57A80454"/>
    <w:rsid w:val="57A95DBD"/>
    <w:rsid w:val="57AC4BFF"/>
    <w:rsid w:val="57B10004"/>
    <w:rsid w:val="57B123DF"/>
    <w:rsid w:val="57C00874"/>
    <w:rsid w:val="57C540DC"/>
    <w:rsid w:val="57CA524F"/>
    <w:rsid w:val="57CC4E3B"/>
    <w:rsid w:val="57E26B8D"/>
    <w:rsid w:val="57E81072"/>
    <w:rsid w:val="57F94788"/>
    <w:rsid w:val="58123A8F"/>
    <w:rsid w:val="581559E9"/>
    <w:rsid w:val="581666E6"/>
    <w:rsid w:val="58201313"/>
    <w:rsid w:val="5824556F"/>
    <w:rsid w:val="58454D01"/>
    <w:rsid w:val="58501BF8"/>
    <w:rsid w:val="585E53D0"/>
    <w:rsid w:val="586E26F4"/>
    <w:rsid w:val="58723C7C"/>
    <w:rsid w:val="58747421"/>
    <w:rsid w:val="587D4A6C"/>
    <w:rsid w:val="588949DD"/>
    <w:rsid w:val="58A62BA4"/>
    <w:rsid w:val="58A957AC"/>
    <w:rsid w:val="58BD4DB3"/>
    <w:rsid w:val="58C12AF6"/>
    <w:rsid w:val="58D02D39"/>
    <w:rsid w:val="58D60995"/>
    <w:rsid w:val="58D96D95"/>
    <w:rsid w:val="58E10AA2"/>
    <w:rsid w:val="58EA2684"/>
    <w:rsid w:val="58F75CB5"/>
    <w:rsid w:val="59145DC3"/>
    <w:rsid w:val="591E5852"/>
    <w:rsid w:val="59274A42"/>
    <w:rsid w:val="592F76F7"/>
    <w:rsid w:val="593F3293"/>
    <w:rsid w:val="594B6459"/>
    <w:rsid w:val="5974265D"/>
    <w:rsid w:val="598221CE"/>
    <w:rsid w:val="598475E5"/>
    <w:rsid w:val="598B6B18"/>
    <w:rsid w:val="598B6C60"/>
    <w:rsid w:val="59A77200"/>
    <w:rsid w:val="59AF0404"/>
    <w:rsid w:val="59B811D2"/>
    <w:rsid w:val="59BE403A"/>
    <w:rsid w:val="59C14ADA"/>
    <w:rsid w:val="59C503C4"/>
    <w:rsid w:val="59D92F77"/>
    <w:rsid w:val="59E7556E"/>
    <w:rsid w:val="59F92E55"/>
    <w:rsid w:val="5A01761B"/>
    <w:rsid w:val="5A0507C0"/>
    <w:rsid w:val="5A1D0200"/>
    <w:rsid w:val="5A201F46"/>
    <w:rsid w:val="5A3C63D1"/>
    <w:rsid w:val="5A3D7BE8"/>
    <w:rsid w:val="5A3F1C9A"/>
    <w:rsid w:val="5A435B69"/>
    <w:rsid w:val="5A5974B5"/>
    <w:rsid w:val="5A6951F3"/>
    <w:rsid w:val="5A7F7417"/>
    <w:rsid w:val="5A9D4E9D"/>
    <w:rsid w:val="5AB578A0"/>
    <w:rsid w:val="5AB81209"/>
    <w:rsid w:val="5AC54F7B"/>
    <w:rsid w:val="5AC63126"/>
    <w:rsid w:val="5ACA61DE"/>
    <w:rsid w:val="5ACD0FBF"/>
    <w:rsid w:val="5AE25D78"/>
    <w:rsid w:val="5AEB6E3E"/>
    <w:rsid w:val="5AF80757"/>
    <w:rsid w:val="5AFE2270"/>
    <w:rsid w:val="5B0359C4"/>
    <w:rsid w:val="5B0C4CAD"/>
    <w:rsid w:val="5B0E72B6"/>
    <w:rsid w:val="5B1102A4"/>
    <w:rsid w:val="5B132DCD"/>
    <w:rsid w:val="5B340E49"/>
    <w:rsid w:val="5B3F3E24"/>
    <w:rsid w:val="5B413A7A"/>
    <w:rsid w:val="5B491B70"/>
    <w:rsid w:val="5B4D241F"/>
    <w:rsid w:val="5B5C259B"/>
    <w:rsid w:val="5B6F4A8B"/>
    <w:rsid w:val="5B7871DF"/>
    <w:rsid w:val="5B830895"/>
    <w:rsid w:val="5BAF4E87"/>
    <w:rsid w:val="5BBB382C"/>
    <w:rsid w:val="5BC03756"/>
    <w:rsid w:val="5BC049A1"/>
    <w:rsid w:val="5BF3378B"/>
    <w:rsid w:val="5BFF3207"/>
    <w:rsid w:val="5C063CBF"/>
    <w:rsid w:val="5C092DAD"/>
    <w:rsid w:val="5C096452"/>
    <w:rsid w:val="5C156FF2"/>
    <w:rsid w:val="5C171A1B"/>
    <w:rsid w:val="5C1902CA"/>
    <w:rsid w:val="5C1B4CCD"/>
    <w:rsid w:val="5C3C3432"/>
    <w:rsid w:val="5C4833FA"/>
    <w:rsid w:val="5C6043D4"/>
    <w:rsid w:val="5C735EB5"/>
    <w:rsid w:val="5C7514E3"/>
    <w:rsid w:val="5C760207"/>
    <w:rsid w:val="5C7F3569"/>
    <w:rsid w:val="5C806824"/>
    <w:rsid w:val="5CA009AE"/>
    <w:rsid w:val="5CB34038"/>
    <w:rsid w:val="5CBE5FD4"/>
    <w:rsid w:val="5CC02A2D"/>
    <w:rsid w:val="5CC10B53"/>
    <w:rsid w:val="5CD34A43"/>
    <w:rsid w:val="5CEC2016"/>
    <w:rsid w:val="5CF16BBD"/>
    <w:rsid w:val="5CF76AE6"/>
    <w:rsid w:val="5D1551BE"/>
    <w:rsid w:val="5D157B4B"/>
    <w:rsid w:val="5D197C22"/>
    <w:rsid w:val="5D2E4F87"/>
    <w:rsid w:val="5D3B1572"/>
    <w:rsid w:val="5D506423"/>
    <w:rsid w:val="5D8044CD"/>
    <w:rsid w:val="5D865323"/>
    <w:rsid w:val="5D8E0ABF"/>
    <w:rsid w:val="5D912BD6"/>
    <w:rsid w:val="5D944335"/>
    <w:rsid w:val="5D9B1BF7"/>
    <w:rsid w:val="5DA02272"/>
    <w:rsid w:val="5DA16A52"/>
    <w:rsid w:val="5DA362FB"/>
    <w:rsid w:val="5DA36E72"/>
    <w:rsid w:val="5DBA19EB"/>
    <w:rsid w:val="5DBC5B7A"/>
    <w:rsid w:val="5DC80482"/>
    <w:rsid w:val="5DD40BD5"/>
    <w:rsid w:val="5DD44A34"/>
    <w:rsid w:val="5DD7237A"/>
    <w:rsid w:val="5DEA5A02"/>
    <w:rsid w:val="5DF671F6"/>
    <w:rsid w:val="5DFC1EDA"/>
    <w:rsid w:val="5DFD09B2"/>
    <w:rsid w:val="5E0A0A9B"/>
    <w:rsid w:val="5E162F9C"/>
    <w:rsid w:val="5E3E2B7D"/>
    <w:rsid w:val="5E435D5B"/>
    <w:rsid w:val="5E446844"/>
    <w:rsid w:val="5E877319"/>
    <w:rsid w:val="5EA277F6"/>
    <w:rsid w:val="5EB70430"/>
    <w:rsid w:val="5EBE2B1D"/>
    <w:rsid w:val="5EC450EE"/>
    <w:rsid w:val="5EC56770"/>
    <w:rsid w:val="5ED00BDD"/>
    <w:rsid w:val="5ED510A9"/>
    <w:rsid w:val="5EF56019"/>
    <w:rsid w:val="5EFD23AE"/>
    <w:rsid w:val="5F0507BC"/>
    <w:rsid w:val="5F324694"/>
    <w:rsid w:val="5F4A1EEF"/>
    <w:rsid w:val="5F4A4601"/>
    <w:rsid w:val="5F5F0972"/>
    <w:rsid w:val="5F645F89"/>
    <w:rsid w:val="5F677827"/>
    <w:rsid w:val="5F69507D"/>
    <w:rsid w:val="5F742670"/>
    <w:rsid w:val="5F8A1C50"/>
    <w:rsid w:val="5F8E0142"/>
    <w:rsid w:val="5F965F3F"/>
    <w:rsid w:val="5F9E149B"/>
    <w:rsid w:val="5F9E593F"/>
    <w:rsid w:val="5FA12037"/>
    <w:rsid w:val="5FA9244A"/>
    <w:rsid w:val="5FB55316"/>
    <w:rsid w:val="5FCD1325"/>
    <w:rsid w:val="5FD72BFF"/>
    <w:rsid w:val="5FD90725"/>
    <w:rsid w:val="5FEB66AA"/>
    <w:rsid w:val="5FEF6F25"/>
    <w:rsid w:val="602005D7"/>
    <w:rsid w:val="602F2A3B"/>
    <w:rsid w:val="603349F6"/>
    <w:rsid w:val="60373A03"/>
    <w:rsid w:val="60485260"/>
    <w:rsid w:val="604C7106"/>
    <w:rsid w:val="60531502"/>
    <w:rsid w:val="60536017"/>
    <w:rsid w:val="60550939"/>
    <w:rsid w:val="60636507"/>
    <w:rsid w:val="60760CD7"/>
    <w:rsid w:val="607E60DD"/>
    <w:rsid w:val="60874625"/>
    <w:rsid w:val="608A1236"/>
    <w:rsid w:val="60912CAB"/>
    <w:rsid w:val="60A70823"/>
    <w:rsid w:val="60AF6A08"/>
    <w:rsid w:val="60B028DC"/>
    <w:rsid w:val="60B151FE"/>
    <w:rsid w:val="60C30418"/>
    <w:rsid w:val="60C50EA7"/>
    <w:rsid w:val="60E8781E"/>
    <w:rsid w:val="60E92BEA"/>
    <w:rsid w:val="60FD7918"/>
    <w:rsid w:val="60FF065F"/>
    <w:rsid w:val="610B51F0"/>
    <w:rsid w:val="61146CF4"/>
    <w:rsid w:val="611934DB"/>
    <w:rsid w:val="61277B90"/>
    <w:rsid w:val="612B00AD"/>
    <w:rsid w:val="6146003C"/>
    <w:rsid w:val="61516DE0"/>
    <w:rsid w:val="61534507"/>
    <w:rsid w:val="615545F7"/>
    <w:rsid w:val="615C44CF"/>
    <w:rsid w:val="61660A6E"/>
    <w:rsid w:val="61767D47"/>
    <w:rsid w:val="617912AD"/>
    <w:rsid w:val="618958B2"/>
    <w:rsid w:val="61902523"/>
    <w:rsid w:val="61A524A3"/>
    <w:rsid w:val="61BE1DA1"/>
    <w:rsid w:val="61C53457"/>
    <w:rsid w:val="61CD42B9"/>
    <w:rsid w:val="61D11C46"/>
    <w:rsid w:val="61D92C5E"/>
    <w:rsid w:val="61F90087"/>
    <w:rsid w:val="622B7371"/>
    <w:rsid w:val="62326812"/>
    <w:rsid w:val="62552403"/>
    <w:rsid w:val="625737B6"/>
    <w:rsid w:val="625B7B17"/>
    <w:rsid w:val="628B309E"/>
    <w:rsid w:val="629253D6"/>
    <w:rsid w:val="6299419B"/>
    <w:rsid w:val="629D16DF"/>
    <w:rsid w:val="62AE5E99"/>
    <w:rsid w:val="62CA25A7"/>
    <w:rsid w:val="62CD7D0E"/>
    <w:rsid w:val="62CF4061"/>
    <w:rsid w:val="62DE42A4"/>
    <w:rsid w:val="62DF384D"/>
    <w:rsid w:val="62FD6821"/>
    <w:rsid w:val="6306375E"/>
    <w:rsid w:val="631321A0"/>
    <w:rsid w:val="63145DAC"/>
    <w:rsid w:val="63216698"/>
    <w:rsid w:val="63367C3C"/>
    <w:rsid w:val="63491078"/>
    <w:rsid w:val="634A37D1"/>
    <w:rsid w:val="63605AB8"/>
    <w:rsid w:val="63620A31"/>
    <w:rsid w:val="636447A9"/>
    <w:rsid w:val="63651355"/>
    <w:rsid w:val="638210D3"/>
    <w:rsid w:val="638B43E1"/>
    <w:rsid w:val="638B7F88"/>
    <w:rsid w:val="639420DB"/>
    <w:rsid w:val="6397584A"/>
    <w:rsid w:val="63B15515"/>
    <w:rsid w:val="63B303C2"/>
    <w:rsid w:val="63B86EAA"/>
    <w:rsid w:val="63BF40D6"/>
    <w:rsid w:val="63CC1042"/>
    <w:rsid w:val="63D90944"/>
    <w:rsid w:val="64035A9B"/>
    <w:rsid w:val="640B10C9"/>
    <w:rsid w:val="640E58D1"/>
    <w:rsid w:val="641461CF"/>
    <w:rsid w:val="642D2C6F"/>
    <w:rsid w:val="64326D27"/>
    <w:rsid w:val="64374055"/>
    <w:rsid w:val="6448099E"/>
    <w:rsid w:val="6448736A"/>
    <w:rsid w:val="64504D2E"/>
    <w:rsid w:val="64616F3B"/>
    <w:rsid w:val="64650188"/>
    <w:rsid w:val="647A2F18"/>
    <w:rsid w:val="64833355"/>
    <w:rsid w:val="64913B23"/>
    <w:rsid w:val="64AC4960"/>
    <w:rsid w:val="64BE5FF1"/>
    <w:rsid w:val="64C645DF"/>
    <w:rsid w:val="64CF03AB"/>
    <w:rsid w:val="64DB0A9B"/>
    <w:rsid w:val="64DB4F3F"/>
    <w:rsid w:val="64DD2A65"/>
    <w:rsid w:val="64DD3919"/>
    <w:rsid w:val="64DE058B"/>
    <w:rsid w:val="64FB113D"/>
    <w:rsid w:val="650136CD"/>
    <w:rsid w:val="65055B18"/>
    <w:rsid w:val="65071890"/>
    <w:rsid w:val="651925FD"/>
    <w:rsid w:val="651F307E"/>
    <w:rsid w:val="652017A8"/>
    <w:rsid w:val="65297A59"/>
    <w:rsid w:val="65362175"/>
    <w:rsid w:val="65381C0E"/>
    <w:rsid w:val="655B17E2"/>
    <w:rsid w:val="656755AB"/>
    <w:rsid w:val="656942F9"/>
    <w:rsid w:val="65716C34"/>
    <w:rsid w:val="65766A16"/>
    <w:rsid w:val="657D59D8"/>
    <w:rsid w:val="65852BD6"/>
    <w:rsid w:val="65A06CCA"/>
    <w:rsid w:val="65A672FB"/>
    <w:rsid w:val="65A96DEB"/>
    <w:rsid w:val="65AB2B63"/>
    <w:rsid w:val="65BA4B36"/>
    <w:rsid w:val="65C60C19"/>
    <w:rsid w:val="65D06126"/>
    <w:rsid w:val="65D522B9"/>
    <w:rsid w:val="65E6594A"/>
    <w:rsid w:val="660101C9"/>
    <w:rsid w:val="660364FC"/>
    <w:rsid w:val="66100C18"/>
    <w:rsid w:val="66153231"/>
    <w:rsid w:val="66261918"/>
    <w:rsid w:val="66284820"/>
    <w:rsid w:val="662B2A66"/>
    <w:rsid w:val="662E5667"/>
    <w:rsid w:val="662F72F1"/>
    <w:rsid w:val="66401D55"/>
    <w:rsid w:val="66402691"/>
    <w:rsid w:val="66613222"/>
    <w:rsid w:val="66660838"/>
    <w:rsid w:val="666845B1"/>
    <w:rsid w:val="666F1DE3"/>
    <w:rsid w:val="667411A7"/>
    <w:rsid w:val="66747DFB"/>
    <w:rsid w:val="66846F11"/>
    <w:rsid w:val="669335F3"/>
    <w:rsid w:val="66951DEB"/>
    <w:rsid w:val="669B1E03"/>
    <w:rsid w:val="669B2BD8"/>
    <w:rsid w:val="66AB16A8"/>
    <w:rsid w:val="66BC2660"/>
    <w:rsid w:val="66BD0D09"/>
    <w:rsid w:val="66D06C26"/>
    <w:rsid w:val="66D103A8"/>
    <w:rsid w:val="66E84077"/>
    <w:rsid w:val="66E856F1"/>
    <w:rsid w:val="66EA286B"/>
    <w:rsid w:val="66F62740"/>
    <w:rsid w:val="67065B78"/>
    <w:rsid w:val="670818F0"/>
    <w:rsid w:val="670A709F"/>
    <w:rsid w:val="67114C48"/>
    <w:rsid w:val="67204E8B"/>
    <w:rsid w:val="672A5D0A"/>
    <w:rsid w:val="67340937"/>
    <w:rsid w:val="673B1CC5"/>
    <w:rsid w:val="67407191"/>
    <w:rsid w:val="67441E1C"/>
    <w:rsid w:val="674F678A"/>
    <w:rsid w:val="67535248"/>
    <w:rsid w:val="6764121C"/>
    <w:rsid w:val="67650AF0"/>
    <w:rsid w:val="676E5BF7"/>
    <w:rsid w:val="677127D1"/>
    <w:rsid w:val="678371C8"/>
    <w:rsid w:val="6791557B"/>
    <w:rsid w:val="679B287B"/>
    <w:rsid w:val="67D64059"/>
    <w:rsid w:val="67DE35A2"/>
    <w:rsid w:val="67E34E14"/>
    <w:rsid w:val="67E46CB1"/>
    <w:rsid w:val="67FB1B8B"/>
    <w:rsid w:val="67FD7926"/>
    <w:rsid w:val="680D3662"/>
    <w:rsid w:val="68166C2B"/>
    <w:rsid w:val="68180529"/>
    <w:rsid w:val="683230C8"/>
    <w:rsid w:val="684400AB"/>
    <w:rsid w:val="68701E42"/>
    <w:rsid w:val="68725BBA"/>
    <w:rsid w:val="687C4343"/>
    <w:rsid w:val="688A4CB2"/>
    <w:rsid w:val="68937E00"/>
    <w:rsid w:val="6898252F"/>
    <w:rsid w:val="689D55EC"/>
    <w:rsid w:val="68AB6102"/>
    <w:rsid w:val="68AF6678"/>
    <w:rsid w:val="68B34466"/>
    <w:rsid w:val="68B55D06"/>
    <w:rsid w:val="68B952A7"/>
    <w:rsid w:val="68BD37F2"/>
    <w:rsid w:val="68C83A2C"/>
    <w:rsid w:val="68E76E46"/>
    <w:rsid w:val="6906180C"/>
    <w:rsid w:val="690D484B"/>
    <w:rsid w:val="692C024E"/>
    <w:rsid w:val="69396506"/>
    <w:rsid w:val="6940217B"/>
    <w:rsid w:val="69431305"/>
    <w:rsid w:val="69450BD9"/>
    <w:rsid w:val="694766FF"/>
    <w:rsid w:val="694C1F68"/>
    <w:rsid w:val="69500B79"/>
    <w:rsid w:val="695157D0"/>
    <w:rsid w:val="69584526"/>
    <w:rsid w:val="69730836"/>
    <w:rsid w:val="69766FE4"/>
    <w:rsid w:val="69A237F1"/>
    <w:rsid w:val="69A27DD9"/>
    <w:rsid w:val="69A47FF6"/>
    <w:rsid w:val="69AB30C7"/>
    <w:rsid w:val="69B95123"/>
    <w:rsid w:val="69BB710C"/>
    <w:rsid w:val="69D163C0"/>
    <w:rsid w:val="69DC1BB5"/>
    <w:rsid w:val="69E345E8"/>
    <w:rsid w:val="69EC3867"/>
    <w:rsid w:val="6A07766D"/>
    <w:rsid w:val="6A1004EA"/>
    <w:rsid w:val="6A3953BC"/>
    <w:rsid w:val="6A4031C4"/>
    <w:rsid w:val="6A413A96"/>
    <w:rsid w:val="6A49294B"/>
    <w:rsid w:val="6A5449E6"/>
    <w:rsid w:val="6A623161"/>
    <w:rsid w:val="6A7752CC"/>
    <w:rsid w:val="6A7F33A9"/>
    <w:rsid w:val="6A837C0B"/>
    <w:rsid w:val="6A905F36"/>
    <w:rsid w:val="6A916F52"/>
    <w:rsid w:val="6A97383E"/>
    <w:rsid w:val="6A9F1D97"/>
    <w:rsid w:val="6AB75B07"/>
    <w:rsid w:val="6ACE260D"/>
    <w:rsid w:val="6B02105A"/>
    <w:rsid w:val="6B241461"/>
    <w:rsid w:val="6B4455CD"/>
    <w:rsid w:val="6B525520"/>
    <w:rsid w:val="6B752EC5"/>
    <w:rsid w:val="6B7F3314"/>
    <w:rsid w:val="6B83565B"/>
    <w:rsid w:val="6B910106"/>
    <w:rsid w:val="6B9E58E7"/>
    <w:rsid w:val="6B9F3924"/>
    <w:rsid w:val="6BA3608B"/>
    <w:rsid w:val="6BB24E23"/>
    <w:rsid w:val="6BCD3880"/>
    <w:rsid w:val="6BD91E39"/>
    <w:rsid w:val="6BD9508A"/>
    <w:rsid w:val="6BDF3567"/>
    <w:rsid w:val="6BE91CF0"/>
    <w:rsid w:val="6C045B35"/>
    <w:rsid w:val="6C117498"/>
    <w:rsid w:val="6C1720CA"/>
    <w:rsid w:val="6C1F3963"/>
    <w:rsid w:val="6C322A94"/>
    <w:rsid w:val="6C3E1D8C"/>
    <w:rsid w:val="6C4F1D22"/>
    <w:rsid w:val="6C53185F"/>
    <w:rsid w:val="6C5B77B1"/>
    <w:rsid w:val="6C643A6C"/>
    <w:rsid w:val="6C691082"/>
    <w:rsid w:val="6C6E7361"/>
    <w:rsid w:val="6C7C7E4B"/>
    <w:rsid w:val="6C977F2F"/>
    <w:rsid w:val="6CAD0F6F"/>
    <w:rsid w:val="6CAE0D30"/>
    <w:rsid w:val="6CB05520"/>
    <w:rsid w:val="6CB30550"/>
    <w:rsid w:val="6CB93EE7"/>
    <w:rsid w:val="6CC12AE2"/>
    <w:rsid w:val="6CC84FD3"/>
    <w:rsid w:val="6CDA55DB"/>
    <w:rsid w:val="6CE95B2F"/>
    <w:rsid w:val="6CF46B9E"/>
    <w:rsid w:val="6CF5432A"/>
    <w:rsid w:val="6D093871"/>
    <w:rsid w:val="6D21370B"/>
    <w:rsid w:val="6D3A754E"/>
    <w:rsid w:val="6D400035"/>
    <w:rsid w:val="6D573318"/>
    <w:rsid w:val="6D5767B8"/>
    <w:rsid w:val="6D6637D0"/>
    <w:rsid w:val="6DAF3888"/>
    <w:rsid w:val="6DB1683D"/>
    <w:rsid w:val="6DBB590E"/>
    <w:rsid w:val="6DBC2EBB"/>
    <w:rsid w:val="6DD24A05"/>
    <w:rsid w:val="6DF40E20"/>
    <w:rsid w:val="6DF8799B"/>
    <w:rsid w:val="6DFE77D4"/>
    <w:rsid w:val="6E014B77"/>
    <w:rsid w:val="6E0476FE"/>
    <w:rsid w:val="6E25722B"/>
    <w:rsid w:val="6E2C3AD0"/>
    <w:rsid w:val="6E453429"/>
    <w:rsid w:val="6E5B2C4D"/>
    <w:rsid w:val="6E601A68"/>
    <w:rsid w:val="6E7770F6"/>
    <w:rsid w:val="6EC66318"/>
    <w:rsid w:val="6ED01875"/>
    <w:rsid w:val="6EDE1629"/>
    <w:rsid w:val="6EE3511C"/>
    <w:rsid w:val="6EE82E5B"/>
    <w:rsid w:val="6EF50254"/>
    <w:rsid w:val="6EF50DEC"/>
    <w:rsid w:val="6EFC14BD"/>
    <w:rsid w:val="6EFE1F56"/>
    <w:rsid w:val="6F046E40"/>
    <w:rsid w:val="6F0B58D2"/>
    <w:rsid w:val="6F0D666B"/>
    <w:rsid w:val="6F1352D6"/>
    <w:rsid w:val="6F1F7EE2"/>
    <w:rsid w:val="6F2430DF"/>
    <w:rsid w:val="6F250C8F"/>
    <w:rsid w:val="6F3A0AB4"/>
    <w:rsid w:val="6F524178"/>
    <w:rsid w:val="6F6618A9"/>
    <w:rsid w:val="6F671BDB"/>
    <w:rsid w:val="6F6A4777"/>
    <w:rsid w:val="6F6F326D"/>
    <w:rsid w:val="6F777EAE"/>
    <w:rsid w:val="6F7B6482"/>
    <w:rsid w:val="6F7B7A02"/>
    <w:rsid w:val="6F806276"/>
    <w:rsid w:val="6F9B5D69"/>
    <w:rsid w:val="6F9D22F1"/>
    <w:rsid w:val="6FBA18BB"/>
    <w:rsid w:val="6FC37F08"/>
    <w:rsid w:val="6FCD36D6"/>
    <w:rsid w:val="6FF9271D"/>
    <w:rsid w:val="700C41FF"/>
    <w:rsid w:val="701B4F41"/>
    <w:rsid w:val="702F4391"/>
    <w:rsid w:val="705B5186"/>
    <w:rsid w:val="70630281"/>
    <w:rsid w:val="706A53C9"/>
    <w:rsid w:val="70704677"/>
    <w:rsid w:val="70716758"/>
    <w:rsid w:val="70736DF9"/>
    <w:rsid w:val="70913429"/>
    <w:rsid w:val="7096077F"/>
    <w:rsid w:val="70990584"/>
    <w:rsid w:val="70AE379B"/>
    <w:rsid w:val="70BE1773"/>
    <w:rsid w:val="70C464AE"/>
    <w:rsid w:val="70C823F9"/>
    <w:rsid w:val="70CE142D"/>
    <w:rsid w:val="70DA42FD"/>
    <w:rsid w:val="70E138DD"/>
    <w:rsid w:val="70E826D9"/>
    <w:rsid w:val="70F537D8"/>
    <w:rsid w:val="70F64F61"/>
    <w:rsid w:val="70F9789F"/>
    <w:rsid w:val="710A100B"/>
    <w:rsid w:val="71112066"/>
    <w:rsid w:val="71211F2C"/>
    <w:rsid w:val="71216126"/>
    <w:rsid w:val="713A23A1"/>
    <w:rsid w:val="71517EE3"/>
    <w:rsid w:val="717E2663"/>
    <w:rsid w:val="71863E99"/>
    <w:rsid w:val="71C034F3"/>
    <w:rsid w:val="71CD3E62"/>
    <w:rsid w:val="71CF0B0E"/>
    <w:rsid w:val="71EC078C"/>
    <w:rsid w:val="71F633B8"/>
    <w:rsid w:val="71FB5DE1"/>
    <w:rsid w:val="72035716"/>
    <w:rsid w:val="7207180A"/>
    <w:rsid w:val="721101F2"/>
    <w:rsid w:val="72146978"/>
    <w:rsid w:val="722874FA"/>
    <w:rsid w:val="722F0678"/>
    <w:rsid w:val="72477770"/>
    <w:rsid w:val="725D51E5"/>
    <w:rsid w:val="72671BC0"/>
    <w:rsid w:val="72810791"/>
    <w:rsid w:val="72A72905"/>
    <w:rsid w:val="72D229A4"/>
    <w:rsid w:val="72D27193"/>
    <w:rsid w:val="730E0277"/>
    <w:rsid w:val="7310553B"/>
    <w:rsid w:val="73243F55"/>
    <w:rsid w:val="732D4BB8"/>
    <w:rsid w:val="733D059E"/>
    <w:rsid w:val="73410663"/>
    <w:rsid w:val="73416402"/>
    <w:rsid w:val="735D61C9"/>
    <w:rsid w:val="735E7467"/>
    <w:rsid w:val="7361512A"/>
    <w:rsid w:val="73696C7E"/>
    <w:rsid w:val="736B1B84"/>
    <w:rsid w:val="737C1B7D"/>
    <w:rsid w:val="737F73DD"/>
    <w:rsid w:val="73A0012B"/>
    <w:rsid w:val="73A62BBC"/>
    <w:rsid w:val="73B21197"/>
    <w:rsid w:val="73D56FFD"/>
    <w:rsid w:val="73E51333"/>
    <w:rsid w:val="73E613F5"/>
    <w:rsid w:val="73F97679"/>
    <w:rsid w:val="740022CC"/>
    <w:rsid w:val="74025CA1"/>
    <w:rsid w:val="740A314B"/>
    <w:rsid w:val="740F0863"/>
    <w:rsid w:val="740F1765"/>
    <w:rsid w:val="741445C2"/>
    <w:rsid w:val="7419315D"/>
    <w:rsid w:val="74341F76"/>
    <w:rsid w:val="744C64FD"/>
    <w:rsid w:val="745B11C0"/>
    <w:rsid w:val="74716BB5"/>
    <w:rsid w:val="747D3BF3"/>
    <w:rsid w:val="749420DC"/>
    <w:rsid w:val="74A40406"/>
    <w:rsid w:val="74A96AE7"/>
    <w:rsid w:val="74AE6FA0"/>
    <w:rsid w:val="74E120FE"/>
    <w:rsid w:val="74E41BEE"/>
    <w:rsid w:val="74FE7827"/>
    <w:rsid w:val="75466405"/>
    <w:rsid w:val="756D0BFC"/>
    <w:rsid w:val="757A3FB0"/>
    <w:rsid w:val="759C73E8"/>
    <w:rsid w:val="75AA5940"/>
    <w:rsid w:val="75AB0AA6"/>
    <w:rsid w:val="75C839E5"/>
    <w:rsid w:val="75CF09BA"/>
    <w:rsid w:val="75D9535A"/>
    <w:rsid w:val="75DE488F"/>
    <w:rsid w:val="75DF4163"/>
    <w:rsid w:val="75E7607C"/>
    <w:rsid w:val="75F220E9"/>
    <w:rsid w:val="76040BF4"/>
    <w:rsid w:val="7625426C"/>
    <w:rsid w:val="76283D5C"/>
    <w:rsid w:val="762C626B"/>
    <w:rsid w:val="76391AC6"/>
    <w:rsid w:val="76425D2A"/>
    <w:rsid w:val="7647766F"/>
    <w:rsid w:val="765863F0"/>
    <w:rsid w:val="766D6295"/>
    <w:rsid w:val="76764AC8"/>
    <w:rsid w:val="767856CA"/>
    <w:rsid w:val="767A1407"/>
    <w:rsid w:val="76831738"/>
    <w:rsid w:val="768A78DE"/>
    <w:rsid w:val="7692546B"/>
    <w:rsid w:val="769F6CE8"/>
    <w:rsid w:val="76A21126"/>
    <w:rsid w:val="76B70F18"/>
    <w:rsid w:val="76CA684A"/>
    <w:rsid w:val="76CE0460"/>
    <w:rsid w:val="76D87B0D"/>
    <w:rsid w:val="76F8372F"/>
    <w:rsid w:val="77171366"/>
    <w:rsid w:val="771D2B87"/>
    <w:rsid w:val="771F5DAD"/>
    <w:rsid w:val="77256998"/>
    <w:rsid w:val="7730111A"/>
    <w:rsid w:val="77440722"/>
    <w:rsid w:val="77493F8A"/>
    <w:rsid w:val="77556600"/>
    <w:rsid w:val="77660933"/>
    <w:rsid w:val="776C1A27"/>
    <w:rsid w:val="777D3C34"/>
    <w:rsid w:val="77843214"/>
    <w:rsid w:val="77976AA4"/>
    <w:rsid w:val="779C055E"/>
    <w:rsid w:val="779F420C"/>
    <w:rsid w:val="77B45455"/>
    <w:rsid w:val="77B770C7"/>
    <w:rsid w:val="77B83E65"/>
    <w:rsid w:val="77BC475C"/>
    <w:rsid w:val="77BE6726"/>
    <w:rsid w:val="77C3668D"/>
    <w:rsid w:val="77D62D81"/>
    <w:rsid w:val="77E912C9"/>
    <w:rsid w:val="77ED0DBA"/>
    <w:rsid w:val="77FB0A5B"/>
    <w:rsid w:val="780E2EA7"/>
    <w:rsid w:val="781833D7"/>
    <w:rsid w:val="78281DF2"/>
    <w:rsid w:val="78287F4D"/>
    <w:rsid w:val="78323777"/>
    <w:rsid w:val="78544995"/>
    <w:rsid w:val="786100F2"/>
    <w:rsid w:val="78622141"/>
    <w:rsid w:val="78670B6C"/>
    <w:rsid w:val="78680440"/>
    <w:rsid w:val="786E00B9"/>
    <w:rsid w:val="7882385F"/>
    <w:rsid w:val="788334CC"/>
    <w:rsid w:val="788E574F"/>
    <w:rsid w:val="789161F9"/>
    <w:rsid w:val="78986E25"/>
    <w:rsid w:val="78A376CA"/>
    <w:rsid w:val="78B404DC"/>
    <w:rsid w:val="78CD4747"/>
    <w:rsid w:val="78CD7DE0"/>
    <w:rsid w:val="78E75809"/>
    <w:rsid w:val="78EA52F9"/>
    <w:rsid w:val="78EA70A7"/>
    <w:rsid w:val="78ED13FE"/>
    <w:rsid w:val="78F90A0C"/>
    <w:rsid w:val="78FA2C4B"/>
    <w:rsid w:val="790311D7"/>
    <w:rsid w:val="79134850"/>
    <w:rsid w:val="791F31F5"/>
    <w:rsid w:val="792D123F"/>
    <w:rsid w:val="79440EAD"/>
    <w:rsid w:val="79524DA4"/>
    <w:rsid w:val="79532E9E"/>
    <w:rsid w:val="796E7CD8"/>
    <w:rsid w:val="7975478C"/>
    <w:rsid w:val="79782905"/>
    <w:rsid w:val="79796CE2"/>
    <w:rsid w:val="79812BB1"/>
    <w:rsid w:val="7984196A"/>
    <w:rsid w:val="798474FC"/>
    <w:rsid w:val="798C5A9C"/>
    <w:rsid w:val="798D4602"/>
    <w:rsid w:val="79A11E5C"/>
    <w:rsid w:val="79A72DAD"/>
    <w:rsid w:val="79B31B8F"/>
    <w:rsid w:val="79B778D1"/>
    <w:rsid w:val="79DA711C"/>
    <w:rsid w:val="79DF2984"/>
    <w:rsid w:val="79E13F3E"/>
    <w:rsid w:val="79F04B91"/>
    <w:rsid w:val="79F0693F"/>
    <w:rsid w:val="79FC52E4"/>
    <w:rsid w:val="7A1C2AF8"/>
    <w:rsid w:val="7A261C3A"/>
    <w:rsid w:val="7A2F5B83"/>
    <w:rsid w:val="7A3F3423"/>
    <w:rsid w:val="7A475B7A"/>
    <w:rsid w:val="7A4D387C"/>
    <w:rsid w:val="7A4E5D81"/>
    <w:rsid w:val="7A560E98"/>
    <w:rsid w:val="7A5D1F16"/>
    <w:rsid w:val="7A5F5873"/>
    <w:rsid w:val="7A802D36"/>
    <w:rsid w:val="7A8552D9"/>
    <w:rsid w:val="7A8D23E0"/>
    <w:rsid w:val="7AA37C6A"/>
    <w:rsid w:val="7AA62D8E"/>
    <w:rsid w:val="7AA95740"/>
    <w:rsid w:val="7ABA52F4"/>
    <w:rsid w:val="7AC027B5"/>
    <w:rsid w:val="7ACB1B9D"/>
    <w:rsid w:val="7AD3235D"/>
    <w:rsid w:val="7AD445A1"/>
    <w:rsid w:val="7AD85D51"/>
    <w:rsid w:val="7AE213CC"/>
    <w:rsid w:val="7AE3103E"/>
    <w:rsid w:val="7AF24A8F"/>
    <w:rsid w:val="7AF97A75"/>
    <w:rsid w:val="7B105B71"/>
    <w:rsid w:val="7B116B6D"/>
    <w:rsid w:val="7B157BF2"/>
    <w:rsid w:val="7B1E0BE4"/>
    <w:rsid w:val="7B2368A0"/>
    <w:rsid w:val="7B241EFA"/>
    <w:rsid w:val="7B292109"/>
    <w:rsid w:val="7B346CFF"/>
    <w:rsid w:val="7B3C3442"/>
    <w:rsid w:val="7B433220"/>
    <w:rsid w:val="7B462B56"/>
    <w:rsid w:val="7B4F7695"/>
    <w:rsid w:val="7B551150"/>
    <w:rsid w:val="7B5C7E9F"/>
    <w:rsid w:val="7B615D46"/>
    <w:rsid w:val="7B656EB9"/>
    <w:rsid w:val="7B746733"/>
    <w:rsid w:val="7B7A78AA"/>
    <w:rsid w:val="7B7D06A6"/>
    <w:rsid w:val="7B7E5ABE"/>
    <w:rsid w:val="7B8414B2"/>
    <w:rsid w:val="7B896288"/>
    <w:rsid w:val="7B9B585B"/>
    <w:rsid w:val="7BA23C69"/>
    <w:rsid w:val="7BB51EF2"/>
    <w:rsid w:val="7BBA6099"/>
    <w:rsid w:val="7BBB5161"/>
    <w:rsid w:val="7BBC4E09"/>
    <w:rsid w:val="7BC11BFB"/>
    <w:rsid w:val="7BD14D95"/>
    <w:rsid w:val="7BD34D19"/>
    <w:rsid w:val="7BEB3800"/>
    <w:rsid w:val="7C035163"/>
    <w:rsid w:val="7C0B3DB1"/>
    <w:rsid w:val="7C192DB2"/>
    <w:rsid w:val="7C2F3340"/>
    <w:rsid w:val="7C321491"/>
    <w:rsid w:val="7C3D4512"/>
    <w:rsid w:val="7C3F595C"/>
    <w:rsid w:val="7C650823"/>
    <w:rsid w:val="7C6E25C8"/>
    <w:rsid w:val="7C730367"/>
    <w:rsid w:val="7CAB4D9F"/>
    <w:rsid w:val="7CAD6D69"/>
    <w:rsid w:val="7CAF31F7"/>
    <w:rsid w:val="7CC77E2B"/>
    <w:rsid w:val="7CED53B8"/>
    <w:rsid w:val="7CF36E72"/>
    <w:rsid w:val="7CFB5D27"/>
    <w:rsid w:val="7CFF64A5"/>
    <w:rsid w:val="7D0E09B5"/>
    <w:rsid w:val="7D1D3160"/>
    <w:rsid w:val="7D242E7E"/>
    <w:rsid w:val="7D6353C5"/>
    <w:rsid w:val="7D677AB7"/>
    <w:rsid w:val="7D864362"/>
    <w:rsid w:val="7D8E6B9B"/>
    <w:rsid w:val="7DC10D1E"/>
    <w:rsid w:val="7DC87CFA"/>
    <w:rsid w:val="7DDF61F2"/>
    <w:rsid w:val="7DE81ADB"/>
    <w:rsid w:val="7DF72FDB"/>
    <w:rsid w:val="7E064983"/>
    <w:rsid w:val="7E1B0636"/>
    <w:rsid w:val="7E1D666F"/>
    <w:rsid w:val="7E1F3C97"/>
    <w:rsid w:val="7E372623"/>
    <w:rsid w:val="7E4C0500"/>
    <w:rsid w:val="7E6A36E6"/>
    <w:rsid w:val="7E747B3F"/>
    <w:rsid w:val="7E7C2950"/>
    <w:rsid w:val="7E8D6E52"/>
    <w:rsid w:val="7E9958A6"/>
    <w:rsid w:val="7EAA17B2"/>
    <w:rsid w:val="7EB74AC2"/>
    <w:rsid w:val="7EB77A2B"/>
    <w:rsid w:val="7EB96B62"/>
    <w:rsid w:val="7EC550D4"/>
    <w:rsid w:val="7ECD0781"/>
    <w:rsid w:val="7ECD74CA"/>
    <w:rsid w:val="7ECF2FC7"/>
    <w:rsid w:val="7EE2275E"/>
    <w:rsid w:val="7EF94661"/>
    <w:rsid w:val="7EFC5D86"/>
    <w:rsid w:val="7F0B7D77"/>
    <w:rsid w:val="7F115112"/>
    <w:rsid w:val="7F1C2A22"/>
    <w:rsid w:val="7F2826D7"/>
    <w:rsid w:val="7F2F1CB8"/>
    <w:rsid w:val="7F3C10EB"/>
    <w:rsid w:val="7F3E6020"/>
    <w:rsid w:val="7F434318"/>
    <w:rsid w:val="7F522778"/>
    <w:rsid w:val="7F5B2CBA"/>
    <w:rsid w:val="7F5C5679"/>
    <w:rsid w:val="7F645E05"/>
    <w:rsid w:val="7F771520"/>
    <w:rsid w:val="7F78365F"/>
    <w:rsid w:val="7F8F589D"/>
    <w:rsid w:val="7F927DE0"/>
    <w:rsid w:val="7F9D1317"/>
    <w:rsid w:val="7FB43907"/>
    <w:rsid w:val="7FBB614D"/>
    <w:rsid w:val="7FC20EB5"/>
    <w:rsid w:val="7FC407E2"/>
    <w:rsid w:val="7FC71EF0"/>
    <w:rsid w:val="7FD5285F"/>
    <w:rsid w:val="7FE24F7C"/>
    <w:rsid w:val="7FE744F8"/>
    <w:rsid w:val="7FF64583"/>
    <w:rsid w:val="7FF8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Cs w:val="28"/>
    </w:rPr>
  </w:style>
  <w:style w:type="paragraph" w:styleId="6">
    <w:name w:val="heading 6"/>
    <w:basedOn w:val="1"/>
    <w:next w:val="1"/>
    <w:semiHidden/>
    <w:unhideWhenUsed/>
    <w:qFormat/>
    <w:uiPriority w:val="0"/>
    <w:pPr>
      <w:spacing w:line="17" w:lineRule="atLeast"/>
      <w:jc w:val="left"/>
      <w:outlineLvl w:val="5"/>
    </w:pPr>
    <w:rPr>
      <w:rFonts w:hint="eastAsia" w:ascii="宋体" w:hAnsi="宋体"/>
      <w:b/>
      <w:kern w:val="0"/>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style>
  <w:style w:type="paragraph" w:styleId="8">
    <w:name w:val="toc 4"/>
    <w:basedOn w:val="1"/>
    <w:next w:val="1"/>
    <w:qFormat/>
    <w:uiPriority w:val="39"/>
    <w:pPr>
      <w:ind w:left="630"/>
      <w:jc w:val="left"/>
    </w:pPr>
    <w:rPr>
      <w:rFonts w:cs="Calibri"/>
      <w:sz w:val="18"/>
      <w:szCs w:val="18"/>
    </w:rPr>
  </w:style>
  <w:style w:type="paragraph" w:styleId="9">
    <w:name w:val="toa heading"/>
    <w:basedOn w:val="1"/>
    <w:next w:val="1"/>
    <w:qFormat/>
    <w:uiPriority w:val="0"/>
    <w:pPr>
      <w:spacing w:before="120"/>
    </w:pPr>
    <w:rPr>
      <w:rFonts w:ascii="Arial" w:hAnsi="Arial"/>
      <w:sz w:val="24"/>
    </w:rPr>
  </w:style>
  <w:style w:type="paragraph" w:styleId="10">
    <w:name w:val="Salutation"/>
    <w:basedOn w:val="1"/>
    <w:next w:val="1"/>
    <w:qFormat/>
    <w:uiPriority w:val="0"/>
  </w:style>
  <w:style w:type="paragraph" w:styleId="11">
    <w:name w:val="Body Text"/>
    <w:basedOn w:val="1"/>
    <w:next w:val="1"/>
    <w:qFormat/>
    <w:uiPriority w:val="0"/>
    <w:pPr>
      <w:spacing w:after="120"/>
    </w:pPr>
  </w:style>
  <w:style w:type="paragraph" w:styleId="12">
    <w:name w:val="Body Text Indent"/>
    <w:basedOn w:val="1"/>
    <w:next w:val="13"/>
    <w:qFormat/>
    <w:uiPriority w:val="0"/>
    <w:pPr>
      <w:widowControl/>
      <w:ind w:left="426" w:hanging="426" w:hangingChars="152"/>
      <w:jc w:val="left"/>
    </w:pPr>
    <w:rPr>
      <w:rFonts w:ascii="宋体"/>
      <w:kern w:val="0"/>
    </w:rPr>
  </w:style>
  <w:style w:type="paragraph" w:styleId="13">
    <w:name w:val="Body Text First Indent 2"/>
    <w:basedOn w:val="12"/>
    <w:next w:val="14"/>
    <w:qFormat/>
    <w:uiPriority w:val="0"/>
    <w:pPr>
      <w:ind w:firstLine="420" w:firstLineChars="200"/>
    </w:pPr>
  </w:style>
  <w:style w:type="paragraph" w:styleId="14">
    <w:name w:val="Body Text First Indent"/>
    <w:basedOn w:val="11"/>
    <w:next w:val="13"/>
    <w:qFormat/>
    <w:uiPriority w:val="0"/>
    <w:pPr>
      <w:ind w:firstLine="420" w:firstLineChars="100"/>
    </w:pPr>
    <w:rPr>
      <w:rFonts w:eastAsia="仿宋_GB2312"/>
    </w:rPr>
  </w:style>
  <w:style w:type="paragraph" w:styleId="15">
    <w:name w:val="Plain Text"/>
    <w:basedOn w:val="1"/>
    <w:qFormat/>
    <w:uiPriority w:val="0"/>
    <w:rPr>
      <w:rFonts w:ascii="宋体" w:hAnsi="Courier New"/>
    </w:rPr>
  </w:style>
  <w:style w:type="paragraph" w:styleId="16">
    <w:name w:val="Date"/>
    <w:basedOn w:val="1"/>
    <w:next w:val="1"/>
    <w:link w:val="74"/>
    <w:qFormat/>
    <w:uiPriority w:val="0"/>
  </w:style>
  <w:style w:type="paragraph" w:styleId="17">
    <w:name w:val="Body Text Indent 2"/>
    <w:basedOn w:val="1"/>
    <w:next w:val="1"/>
    <w:qFormat/>
    <w:uiPriority w:val="0"/>
    <w:pPr>
      <w:spacing w:after="120" w:line="480" w:lineRule="auto"/>
      <w:ind w:left="420" w:leftChars="200"/>
    </w:pPr>
  </w:style>
  <w:style w:type="paragraph" w:styleId="18">
    <w:name w:val="footer"/>
    <w:basedOn w:val="1"/>
    <w:link w:val="72"/>
    <w:qFormat/>
    <w:uiPriority w:val="99"/>
    <w:pPr>
      <w:tabs>
        <w:tab w:val="center" w:pos="4153"/>
        <w:tab w:val="right" w:pos="8306"/>
      </w:tabs>
      <w:snapToGrid w:val="0"/>
      <w:jc w:val="left"/>
    </w:pPr>
    <w:rPr>
      <w:sz w:val="18"/>
      <w:szCs w:val="18"/>
    </w:rPr>
  </w:style>
  <w:style w:type="paragraph" w:styleId="19">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Body Text Indent 3"/>
    <w:basedOn w:val="1"/>
    <w:qFormat/>
    <w:uiPriority w:val="0"/>
    <w:pPr>
      <w:spacing w:line="440" w:lineRule="exact"/>
      <w:ind w:firstLine="480" w:firstLineChars="200"/>
    </w:pPr>
    <w:rPr>
      <w:rFonts w:ascii="宋体" w:hAnsi="宋体"/>
      <w:color w:val="000000"/>
      <w:sz w:val="24"/>
    </w:rPr>
  </w:style>
  <w:style w:type="paragraph" w:styleId="22">
    <w:name w:val="Body Text 2"/>
    <w:basedOn w:val="1"/>
    <w:unhideWhenUsed/>
    <w:qFormat/>
    <w:uiPriority w:val="99"/>
    <w:rPr>
      <w:rFonts w:ascii="楷体_GB2312" w:hAnsi="Copperplate Gothic Bold" w:eastAsia="楷体_GB2312"/>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333333"/>
      <w:u w:val="none"/>
    </w:rPr>
  </w:style>
  <w:style w:type="character" w:styleId="31">
    <w:name w:val="Emphasis"/>
    <w:basedOn w:val="27"/>
    <w:qFormat/>
    <w:uiPriority w:val="0"/>
  </w:style>
  <w:style w:type="character" w:styleId="32">
    <w:name w:val="HTML Definition"/>
    <w:basedOn w:val="27"/>
    <w:qFormat/>
    <w:uiPriority w:val="0"/>
    <w:rPr>
      <w:i/>
      <w:iCs/>
    </w:rPr>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rPr>
      <w:rFonts w:ascii="ActionIcon ! important" w:hAnsi="ActionIcon ! important" w:eastAsia="ActionIcon ! important" w:cs="ActionIcon ! important"/>
      <w:vanish/>
      <w:color w:val="3D4B62"/>
      <w:sz w:val="24"/>
      <w:szCs w:val="24"/>
    </w:rPr>
  </w:style>
  <w:style w:type="character" w:styleId="35">
    <w:name w:val="HTML Variable"/>
    <w:basedOn w:val="27"/>
    <w:qFormat/>
    <w:uiPriority w:val="0"/>
    <w:rPr>
      <w:sz w:val="0"/>
      <w:szCs w:val="0"/>
      <w:bdr w:val="single" w:color="auto" w:sz="2" w:space="0"/>
    </w:rPr>
  </w:style>
  <w:style w:type="character" w:styleId="36">
    <w:name w:val="Hyperlink"/>
    <w:basedOn w:val="27"/>
    <w:qFormat/>
    <w:uiPriority w:val="0"/>
    <w:rPr>
      <w:color w:val="0000FF"/>
      <w:u w:val="none"/>
    </w:rPr>
  </w:style>
  <w:style w:type="character" w:styleId="37">
    <w:name w:val="HTML Code"/>
    <w:basedOn w:val="27"/>
    <w:qFormat/>
    <w:uiPriority w:val="0"/>
    <w:rPr>
      <w:rFonts w:hint="default" w:ascii="Consolas" w:hAnsi="Consolas" w:eastAsia="Consolas" w:cs="Consolas"/>
      <w:color w:val="C7254E"/>
      <w:sz w:val="21"/>
      <w:szCs w:val="21"/>
      <w:shd w:val="clear" w:color="auto" w:fill="F9F2F4"/>
    </w:rPr>
  </w:style>
  <w:style w:type="character" w:styleId="38">
    <w:name w:val="HTML Cite"/>
    <w:basedOn w:val="27"/>
    <w:qFormat/>
    <w:uiPriority w:val="0"/>
  </w:style>
  <w:style w:type="character" w:styleId="39">
    <w:name w:val="HTML Keyboard"/>
    <w:basedOn w:val="27"/>
    <w:qFormat/>
    <w:uiPriority w:val="0"/>
    <w:rPr>
      <w:rFonts w:ascii="Consolas" w:hAnsi="Consolas" w:eastAsia="Consolas" w:cs="Consolas"/>
      <w:color w:val="FFFFFF"/>
      <w:sz w:val="21"/>
      <w:szCs w:val="21"/>
      <w:shd w:val="clear" w:color="auto" w:fill="333333"/>
    </w:rPr>
  </w:style>
  <w:style w:type="character" w:styleId="40">
    <w:name w:val="HTML Sample"/>
    <w:basedOn w:val="27"/>
    <w:qFormat/>
    <w:uiPriority w:val="0"/>
    <w:rPr>
      <w:rFonts w:hint="default" w:ascii="Consolas" w:hAnsi="Consolas" w:eastAsia="Consolas" w:cs="Consolas"/>
      <w:sz w:val="21"/>
      <w:szCs w:val="21"/>
    </w:rPr>
  </w:style>
  <w:style w:type="paragraph" w:customStyle="1" w:styleId="41">
    <w:name w:val="BodyText"/>
    <w:basedOn w:val="1"/>
    <w:next w:val="42"/>
    <w:qFormat/>
    <w:uiPriority w:val="0"/>
    <w:rPr>
      <w:rFonts w:cs="Calibri"/>
      <w:sz w:val="20"/>
    </w:rPr>
  </w:style>
  <w:style w:type="paragraph" w:customStyle="1" w:styleId="42">
    <w:name w:val="UserStyle_0"/>
    <w:basedOn w:val="1"/>
    <w:next w:val="43"/>
    <w:qFormat/>
    <w:uiPriority w:val="0"/>
    <w:pPr>
      <w:spacing w:line="300" w:lineRule="auto"/>
    </w:pPr>
    <w:rPr>
      <w:rFonts w:cs="Calibri"/>
      <w:szCs w:val="21"/>
    </w:rPr>
  </w:style>
  <w:style w:type="paragraph" w:customStyle="1" w:styleId="43">
    <w:name w:val="UserStyle_1"/>
    <w:basedOn w:val="44"/>
    <w:next w:val="1"/>
    <w:qFormat/>
    <w:uiPriority w:val="0"/>
    <w:pPr>
      <w:spacing w:before="120" w:line="360" w:lineRule="auto"/>
      <w:ind w:left="420" w:firstLine="527"/>
    </w:pPr>
    <w:rPr>
      <w:rFonts w:hAnsi="宋体"/>
      <w:sz w:val="24"/>
    </w:rPr>
  </w:style>
  <w:style w:type="paragraph" w:customStyle="1" w:styleId="44">
    <w:name w:val="NavPane"/>
    <w:basedOn w:val="1"/>
    <w:qFormat/>
    <w:uiPriority w:val="0"/>
    <w:pPr>
      <w:shd w:val="clear" w:color="auto" w:fill="000080"/>
    </w:pPr>
  </w:style>
  <w:style w:type="paragraph" w:customStyle="1" w:styleId="45">
    <w:name w:val="正文文本11"/>
    <w:basedOn w:val="1"/>
    <w:next w:val="1"/>
    <w:qFormat/>
    <w:uiPriority w:val="0"/>
    <w:pPr>
      <w:spacing w:before="34"/>
      <w:ind w:left="118"/>
    </w:pPr>
    <w:rPr>
      <w:rFonts w:ascii="宋体" w:hAnsi="宋体"/>
      <w:sz w:val="24"/>
      <w:szCs w:val="24"/>
    </w:rPr>
  </w:style>
  <w:style w:type="paragraph" w:styleId="46">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7">
    <w:name w:val="列出段落1"/>
    <w:basedOn w:val="1"/>
    <w:qFormat/>
    <w:uiPriority w:val="34"/>
    <w:pPr>
      <w:ind w:firstLine="420" w:firstLineChars="200"/>
      <w:jc w:val="left"/>
    </w:pPr>
    <w:rPr>
      <w:rFonts w:ascii="Times New Roman" w:hAnsi="Times New Roman"/>
      <w:szCs w:val="24"/>
    </w:rPr>
  </w:style>
  <w:style w:type="paragraph" w:customStyle="1" w:styleId="48">
    <w:name w:val="正文缩进1"/>
    <w:basedOn w:val="1"/>
    <w:qFormat/>
    <w:uiPriority w:val="0"/>
    <w:pPr>
      <w:ind w:firstLine="420" w:firstLineChars="200"/>
    </w:pPr>
  </w:style>
  <w:style w:type="paragraph" w:customStyle="1" w:styleId="49">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50">
    <w:name w:val="xl48"/>
    <w:basedOn w:val="1"/>
    <w:qFormat/>
    <w:uiPriority w:val="0"/>
    <w:pPr>
      <w:widowControl/>
      <w:pBdr>
        <w:bottom w:val="single" w:color="auto" w:sz="4" w:space="0"/>
      </w:pBdr>
      <w:spacing w:before="100" w:beforeAutospacing="1" w:after="100" w:afterAutospacing="1"/>
      <w:jc w:val="center"/>
    </w:pPr>
    <w:rPr>
      <w:rFonts w:eastAsia="Arial Unicode MS"/>
      <w:kern w:val="0"/>
      <w:sz w:val="24"/>
      <w:szCs w:val="24"/>
    </w:rPr>
  </w:style>
  <w:style w:type="paragraph" w:customStyle="1" w:styleId="51">
    <w:name w:val="（符号）二标题总则"/>
    <w:basedOn w:val="1"/>
    <w:qFormat/>
    <w:uiPriority w:val="0"/>
    <w:pPr>
      <w:spacing w:beforeLines="100" w:line="500" w:lineRule="atLeast"/>
      <w:jc w:val="center"/>
      <w:outlineLvl w:val="1"/>
    </w:pPr>
    <w:rPr>
      <w:rFonts w:ascii="华文中宋" w:hAnsi="华文中宋" w:eastAsia="华文中宋"/>
      <w:b/>
      <w:bCs/>
      <w:sz w:val="32"/>
      <w:szCs w:val="32"/>
    </w:rPr>
  </w:style>
  <w:style w:type="paragraph" w:customStyle="1" w:styleId="5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53">
    <w:name w:val="(符号)四标题1.1"/>
    <w:basedOn w:val="1"/>
    <w:qFormat/>
    <w:uiPriority w:val="0"/>
    <w:pPr>
      <w:tabs>
        <w:tab w:val="left" w:pos="700"/>
      </w:tabs>
      <w:spacing w:line="500" w:lineRule="atLeast"/>
      <w:ind w:left="700" w:hanging="700"/>
    </w:pPr>
    <w:rPr>
      <w:rFonts w:ascii="宋体" w:hAnsi="宋体"/>
      <w:color w:val="000000"/>
      <w:kern w:val="0"/>
      <w:sz w:val="24"/>
    </w:rPr>
  </w:style>
  <w:style w:type="paragraph" w:customStyle="1" w:styleId="54">
    <w:name w:val="目录"/>
    <w:basedOn w:val="1"/>
    <w:qFormat/>
    <w:uiPriority w:val="0"/>
    <w:pPr>
      <w:widowControl/>
      <w:jc w:val="center"/>
    </w:pPr>
    <w:rPr>
      <w:rFonts w:ascii="宋体"/>
      <w:b/>
      <w:kern w:val="0"/>
      <w:sz w:val="36"/>
    </w:rPr>
  </w:style>
  <w:style w:type="paragraph" w:customStyle="1" w:styleId="55">
    <w:name w:val="目录文字"/>
    <w:basedOn w:val="1"/>
    <w:qFormat/>
    <w:uiPriority w:val="0"/>
    <w:pPr>
      <w:widowControl/>
      <w:spacing w:line="480" w:lineRule="auto"/>
      <w:jc w:val="left"/>
    </w:pPr>
    <w:rPr>
      <w:rFonts w:ascii="宋体" w:hAnsi="宋体"/>
      <w:kern w:val="0"/>
      <w:sz w:val="24"/>
    </w:rPr>
  </w:style>
  <w:style w:type="paragraph" w:customStyle="1" w:styleId="56">
    <w:name w:val="默认段落字体 Para Char Char Char Char"/>
    <w:basedOn w:val="1"/>
    <w:qFormat/>
    <w:uiPriority w:val="0"/>
  </w:style>
  <w:style w:type="paragraph" w:customStyle="1" w:styleId="57">
    <w:name w:val="p0"/>
    <w:basedOn w:val="1"/>
    <w:qFormat/>
    <w:uiPriority w:val="0"/>
    <w:pPr>
      <w:widowControl/>
    </w:pPr>
    <w:rPr>
      <w:kern w:val="0"/>
      <w:szCs w:val="21"/>
    </w:rPr>
  </w:style>
  <w:style w:type="paragraph" w:customStyle="1" w:styleId="58">
    <w:name w:val="列表段落1"/>
    <w:basedOn w:val="1"/>
    <w:qFormat/>
    <w:uiPriority w:val="0"/>
    <w:pPr>
      <w:ind w:firstLine="420" w:firstLineChars="200"/>
    </w:pPr>
    <w:rPr>
      <w:rFonts w:ascii="宋体"/>
      <w:kern w:val="0"/>
      <w:sz w:val="24"/>
    </w:rPr>
  </w:style>
  <w:style w:type="paragraph" w:customStyle="1" w:styleId="59">
    <w:name w:val="Table Paragraph"/>
    <w:basedOn w:val="1"/>
    <w:qFormat/>
    <w:uiPriority w:val="99"/>
    <w:pPr>
      <w:spacing w:before="13" w:line="192" w:lineRule="exact"/>
      <w:ind w:left="20"/>
      <w:jc w:val="center"/>
    </w:pPr>
    <w:rPr>
      <w:rFonts w:ascii="微软雅黑" w:hAnsi="微软雅黑" w:eastAsia="微软雅黑" w:cs="微软雅黑"/>
      <w:lang w:val="pt-PT" w:eastAsia="pt-PT"/>
    </w:rPr>
  </w:style>
  <w:style w:type="paragraph" w:customStyle="1" w:styleId="60">
    <w:name w:val="标书"/>
    <w:basedOn w:val="1"/>
    <w:qFormat/>
    <w:uiPriority w:val="0"/>
    <w:pPr>
      <w:shd w:val="clear" w:color="auto" w:fill="FFFFFF"/>
      <w:spacing w:line="360" w:lineRule="auto"/>
      <w:ind w:firstLine="480"/>
      <w:jc w:val="left"/>
    </w:pPr>
    <w:rPr>
      <w:rFonts w:ascii="宋体" w:hAnsi="宋体"/>
      <w:sz w:val="24"/>
      <w:shd w:val="clear" w:color="auto" w:fill="FFFFFF"/>
    </w:rPr>
  </w:style>
  <w:style w:type="paragraph" w:customStyle="1" w:styleId="61">
    <w:name w:val="表 靠左"/>
    <w:basedOn w:val="1"/>
    <w:qFormat/>
    <w:uiPriority w:val="0"/>
    <w:rPr>
      <w:rFonts w:ascii="宋体" w:hAnsi="宋体"/>
      <w:sz w:val="21"/>
      <w:szCs w:val="21"/>
    </w:rPr>
  </w:style>
  <w:style w:type="paragraph" w:customStyle="1" w:styleId="62">
    <w:name w:val="(符号)三标题1."/>
    <w:basedOn w:val="1"/>
    <w:qFormat/>
    <w:uiPriority w:val="0"/>
    <w:pPr>
      <w:tabs>
        <w:tab w:val="left" w:pos="420"/>
      </w:tabs>
      <w:spacing w:before="140" w:after="140" w:line="500" w:lineRule="atLeast"/>
      <w:ind w:left="430" w:hanging="430"/>
      <w:outlineLvl w:val="2"/>
    </w:pPr>
    <w:rPr>
      <w:rFonts w:ascii="楷体_GB2312" w:hAnsi="宋体" w:eastAsia="楷体_GB2312"/>
      <w:b/>
      <w:bCs/>
    </w:rPr>
  </w:style>
  <w:style w:type="paragraph" w:customStyle="1" w:styleId="63">
    <w:name w:val="xl36"/>
    <w:basedOn w:val="1"/>
    <w:qFormat/>
    <w:uiPriority w:val="0"/>
    <w:pPr>
      <w:widowControl/>
      <w:spacing w:before="100" w:after="100"/>
      <w:jc w:val="center"/>
    </w:pPr>
    <w:rPr>
      <w:rFonts w:hint="eastAsia" w:ascii="宋体" w:hAnsi="宋体"/>
      <w:kern w:val="0"/>
      <w:sz w:val="24"/>
    </w:rPr>
  </w:style>
  <w:style w:type="paragraph" w:customStyle="1" w:styleId="64">
    <w:name w:val="p15"/>
    <w:basedOn w:val="1"/>
    <w:qFormat/>
    <w:uiPriority w:val="99"/>
    <w:pPr>
      <w:widowControl/>
    </w:pPr>
    <w:rPr>
      <w:kern w:val="0"/>
      <w:szCs w:val="21"/>
    </w:rPr>
  </w:style>
  <w:style w:type="paragraph" w:customStyle="1" w:styleId="65">
    <w:name w:val="标题 11"/>
    <w:basedOn w:val="1"/>
    <w:qFormat/>
    <w:uiPriority w:val="0"/>
    <w:pPr>
      <w:autoSpaceDE w:val="0"/>
      <w:autoSpaceDN w:val="0"/>
      <w:adjustRightInd w:val="0"/>
      <w:ind w:left="1704"/>
      <w:jc w:val="left"/>
      <w:outlineLvl w:val="0"/>
    </w:pPr>
    <w:rPr>
      <w:rFonts w:ascii="黑体" w:eastAsia="黑体" w:cs="黑体"/>
      <w:b/>
      <w:bCs/>
      <w:kern w:val="0"/>
      <w:sz w:val="32"/>
      <w:szCs w:val="32"/>
    </w:rPr>
  </w:style>
  <w:style w:type="character" w:customStyle="1" w:styleId="66">
    <w:name w:val="font12"/>
    <w:basedOn w:val="27"/>
    <w:qFormat/>
    <w:uiPriority w:val="0"/>
    <w:rPr>
      <w:rFonts w:ascii="Calibri" w:hAnsi="Calibri" w:cs="Calibri"/>
      <w:color w:val="000000"/>
      <w:sz w:val="21"/>
      <w:szCs w:val="21"/>
      <w:u w:val="none"/>
    </w:rPr>
  </w:style>
  <w:style w:type="character" w:customStyle="1" w:styleId="67">
    <w:name w:val="font81"/>
    <w:basedOn w:val="27"/>
    <w:qFormat/>
    <w:uiPriority w:val="0"/>
    <w:rPr>
      <w:rFonts w:hint="eastAsia" w:ascii="宋体" w:hAnsi="宋体" w:eastAsia="宋体" w:cs="宋体"/>
      <w:color w:val="0070C0"/>
      <w:sz w:val="20"/>
      <w:szCs w:val="20"/>
      <w:u w:val="none"/>
    </w:rPr>
  </w:style>
  <w:style w:type="character" w:customStyle="1" w:styleId="68">
    <w:name w:val="font11"/>
    <w:qFormat/>
    <w:uiPriority w:val="0"/>
    <w:rPr>
      <w:rFonts w:hint="eastAsia" w:ascii="宋体" w:hAnsi="宋体" w:eastAsia="宋体" w:cs="宋体"/>
      <w:color w:val="000000"/>
      <w:sz w:val="24"/>
      <w:szCs w:val="24"/>
      <w:u w:val="none"/>
    </w:rPr>
  </w:style>
  <w:style w:type="character" w:customStyle="1" w:styleId="69">
    <w:name w:val="font41"/>
    <w:qFormat/>
    <w:uiPriority w:val="0"/>
    <w:rPr>
      <w:rFonts w:hint="eastAsia" w:ascii="仿宋" w:hAnsi="仿宋" w:eastAsia="仿宋" w:cs="仿宋"/>
      <w:color w:val="000000"/>
      <w:sz w:val="24"/>
      <w:szCs w:val="24"/>
      <w:u w:val="none"/>
    </w:rPr>
  </w:style>
  <w:style w:type="character" w:customStyle="1" w:styleId="70">
    <w:name w:val="font71"/>
    <w:qFormat/>
    <w:uiPriority w:val="0"/>
    <w:rPr>
      <w:rFonts w:hint="eastAsia" w:ascii="宋体" w:hAnsi="宋体" w:eastAsia="宋体" w:cs="宋体"/>
      <w:color w:val="000000"/>
      <w:sz w:val="20"/>
      <w:szCs w:val="20"/>
      <w:u w:val="none"/>
    </w:rPr>
  </w:style>
  <w:style w:type="character" w:customStyle="1" w:styleId="71">
    <w:name w:val="font131"/>
    <w:basedOn w:val="27"/>
    <w:qFormat/>
    <w:uiPriority w:val="0"/>
    <w:rPr>
      <w:rFonts w:hint="eastAsia" w:ascii="宋体" w:hAnsi="宋体" w:eastAsia="宋体" w:cs="宋体"/>
      <w:color w:val="000000"/>
      <w:sz w:val="20"/>
      <w:szCs w:val="20"/>
      <w:u w:val="none"/>
    </w:rPr>
  </w:style>
  <w:style w:type="character" w:customStyle="1" w:styleId="72">
    <w:name w:val="页脚 Char"/>
    <w:link w:val="18"/>
    <w:qFormat/>
    <w:uiPriority w:val="99"/>
    <w:rPr>
      <w:rFonts w:eastAsia="宋体"/>
      <w:kern w:val="2"/>
      <w:sz w:val="18"/>
      <w:szCs w:val="18"/>
      <w:lang w:val="en-US" w:eastAsia="zh-CN" w:bidi="ar-SA"/>
    </w:rPr>
  </w:style>
  <w:style w:type="character" w:customStyle="1" w:styleId="73">
    <w:name w:val="font31"/>
    <w:basedOn w:val="27"/>
    <w:qFormat/>
    <w:uiPriority w:val="0"/>
    <w:rPr>
      <w:rFonts w:hint="default" w:ascii="等线" w:hAnsi="等线" w:eastAsia="等线" w:cs="等线"/>
      <w:b/>
      <w:color w:val="000000"/>
      <w:sz w:val="20"/>
      <w:szCs w:val="20"/>
      <w:u w:val="none"/>
    </w:rPr>
  </w:style>
  <w:style w:type="character" w:customStyle="1" w:styleId="74">
    <w:name w:val="日期 Char"/>
    <w:link w:val="16"/>
    <w:qFormat/>
    <w:locked/>
    <w:uiPriority w:val="0"/>
    <w:rPr>
      <w:kern w:val="2"/>
      <w:sz w:val="28"/>
    </w:rPr>
  </w:style>
  <w:style w:type="character" w:customStyle="1" w:styleId="75">
    <w:name w:val="font51"/>
    <w:qFormat/>
    <w:uiPriority w:val="0"/>
    <w:rPr>
      <w:rFonts w:hint="eastAsia" w:ascii="宋体" w:hAnsi="宋体" w:eastAsia="宋体" w:cs="宋体"/>
      <w:color w:val="000000"/>
      <w:sz w:val="18"/>
      <w:szCs w:val="18"/>
      <w:u w:val="none"/>
    </w:rPr>
  </w:style>
  <w:style w:type="character" w:customStyle="1" w:styleId="76">
    <w:name w:val="font61"/>
    <w:qFormat/>
    <w:uiPriority w:val="0"/>
    <w:rPr>
      <w:rFonts w:hint="eastAsia" w:ascii="宋体" w:hAnsi="宋体" w:eastAsia="宋体" w:cs="宋体"/>
      <w:b/>
      <w:color w:val="000000"/>
      <w:sz w:val="28"/>
      <w:szCs w:val="28"/>
      <w:u w:val="none"/>
    </w:rPr>
  </w:style>
  <w:style w:type="character" w:customStyle="1" w:styleId="77">
    <w:name w:val="页眉 Char"/>
    <w:link w:val="19"/>
    <w:qFormat/>
    <w:uiPriority w:val="0"/>
    <w:rPr>
      <w:kern w:val="2"/>
      <w:sz w:val="18"/>
      <w:szCs w:val="18"/>
    </w:rPr>
  </w:style>
  <w:style w:type="character" w:customStyle="1" w:styleId="78">
    <w:name w:val="font141"/>
    <w:basedOn w:val="27"/>
    <w:qFormat/>
    <w:uiPriority w:val="0"/>
    <w:rPr>
      <w:rFonts w:hint="eastAsia" w:ascii="宋体" w:hAnsi="宋体" w:eastAsia="宋体" w:cs="宋体"/>
      <w:color w:val="FF0000"/>
      <w:sz w:val="20"/>
      <w:szCs w:val="20"/>
      <w:u w:val="none"/>
    </w:rPr>
  </w:style>
  <w:style w:type="character" w:customStyle="1" w:styleId="79">
    <w:name w:val="页码1"/>
    <w:basedOn w:val="27"/>
    <w:qFormat/>
    <w:uiPriority w:val="0"/>
  </w:style>
  <w:style w:type="character" w:customStyle="1" w:styleId="80">
    <w:name w:val="font01"/>
    <w:basedOn w:val="27"/>
    <w:qFormat/>
    <w:uiPriority w:val="0"/>
    <w:rPr>
      <w:rFonts w:hint="default" w:ascii="等线" w:hAnsi="等线" w:eastAsia="等线" w:cs="等线"/>
      <w:b/>
      <w:color w:val="FF0000"/>
      <w:sz w:val="20"/>
      <w:szCs w:val="20"/>
      <w:u w:val="none"/>
    </w:rPr>
  </w:style>
  <w:style w:type="paragraph" w:customStyle="1" w:styleId="81">
    <w:name w:val="12 Table Text"/>
    <w:basedOn w:val="1"/>
    <w:qFormat/>
    <w:uiPriority w:val="0"/>
    <w:pPr>
      <w:spacing w:beforeLines="10" w:afterLines="10"/>
      <w:jc w:val="left"/>
    </w:pPr>
    <w:rPr>
      <w:szCs w:val="24"/>
    </w:rPr>
  </w:style>
  <w:style w:type="character" w:customStyle="1" w:styleId="82">
    <w:name w:val="button"/>
    <w:basedOn w:val="27"/>
    <w:qFormat/>
    <w:uiPriority w:val="0"/>
  </w:style>
  <w:style w:type="character" w:customStyle="1" w:styleId="83">
    <w:name w:val="indent"/>
    <w:basedOn w:val="27"/>
    <w:qFormat/>
    <w:uiPriority w:val="0"/>
  </w:style>
  <w:style w:type="character" w:customStyle="1" w:styleId="84">
    <w:name w:val="old"/>
    <w:basedOn w:val="27"/>
    <w:qFormat/>
    <w:uiPriority w:val="0"/>
    <w:rPr>
      <w:color w:val="999999"/>
    </w:rPr>
  </w:style>
  <w:style w:type="character" w:customStyle="1" w:styleId="85">
    <w:name w:val="hour_am"/>
    <w:basedOn w:val="27"/>
    <w:qFormat/>
    <w:uiPriority w:val="0"/>
  </w:style>
  <w:style w:type="character" w:customStyle="1" w:styleId="86">
    <w:name w:val="hover3"/>
    <w:basedOn w:val="27"/>
    <w:qFormat/>
    <w:uiPriority w:val="0"/>
    <w:rPr>
      <w:shd w:val="clear" w:color="auto" w:fill="EEEEEE"/>
    </w:rPr>
  </w:style>
  <w:style w:type="character" w:customStyle="1" w:styleId="87">
    <w:name w:val="glyphicon4"/>
    <w:basedOn w:val="27"/>
    <w:qFormat/>
    <w:uiPriority w:val="0"/>
  </w:style>
  <w:style w:type="character" w:customStyle="1" w:styleId="88">
    <w:name w:val="hour_pm"/>
    <w:basedOn w:val="27"/>
    <w:qFormat/>
    <w:uiPriority w:val="0"/>
  </w:style>
  <w:style w:type="character" w:customStyle="1" w:styleId="89">
    <w:name w:val="tmpztreemove_arrow"/>
    <w:basedOn w:val="27"/>
    <w:qFormat/>
    <w:uiPriority w:val="0"/>
    <w:rPr>
      <w:shd w:val="clear" w:color="auto" w:fill="FFFFFF"/>
    </w:rPr>
  </w:style>
  <w:style w:type="character" w:customStyle="1" w:styleId="90">
    <w:name w:val="proollist"/>
    <w:basedOn w:val="27"/>
    <w:qFormat/>
    <w:uiPriority w:val="0"/>
  </w:style>
  <w:style w:type="character" w:customStyle="1" w:styleId="91">
    <w:name w:val="input-direction"/>
    <w:basedOn w:val="27"/>
    <w:qFormat/>
    <w:uiPriority w:val="0"/>
    <w:rPr>
      <w:color w:val="FF6600"/>
    </w:rPr>
  </w:style>
  <w:style w:type="character" w:customStyle="1" w:styleId="92">
    <w:name w:val="span-long"/>
    <w:basedOn w:val="27"/>
    <w:qFormat/>
    <w:uiPriority w:val="0"/>
  </w:style>
  <w:style w:type="character" w:customStyle="1" w:styleId="93">
    <w:name w:val="beforeinfotext"/>
    <w:basedOn w:val="27"/>
    <w:qFormat/>
    <w:uiPriority w:val="0"/>
    <w:rPr>
      <w:color w:val="666666"/>
    </w:rPr>
  </w:style>
  <w:style w:type="character" w:customStyle="1" w:styleId="94">
    <w:name w:val="phone"/>
    <w:basedOn w:val="27"/>
    <w:qFormat/>
    <w:uiPriority w:val="0"/>
    <w:rPr>
      <w:color w:val="FF8833"/>
      <w:sz w:val="18"/>
      <w:szCs w:val="18"/>
    </w:rPr>
  </w:style>
  <w:style w:type="character" w:customStyle="1" w:styleId="95">
    <w:name w:val="stclosebtn"/>
    <w:basedOn w:val="27"/>
    <w:qFormat/>
    <w:uiPriority w:val="0"/>
  </w:style>
  <w:style w:type="character" w:customStyle="1" w:styleId="96">
    <w:name w:val="number"/>
    <w:basedOn w:val="27"/>
    <w:qFormat/>
    <w:uiPriority w:val="0"/>
    <w:rPr>
      <w:color w:val="FF8833"/>
      <w:sz w:val="18"/>
      <w:szCs w:val="18"/>
    </w:rPr>
  </w:style>
  <w:style w:type="character" w:customStyle="1" w:styleId="97">
    <w:name w:val="hilite6"/>
    <w:basedOn w:val="27"/>
    <w:qFormat/>
    <w:uiPriority w:val="0"/>
    <w:rPr>
      <w:color w:val="FFFFFF"/>
      <w:shd w:val="clear" w:color="auto" w:fill="666677"/>
    </w:rPr>
  </w:style>
  <w:style w:type="character" w:customStyle="1" w:styleId="98">
    <w:name w:val="active6"/>
    <w:basedOn w:val="27"/>
    <w:qFormat/>
    <w:uiPriority w:val="0"/>
    <w:rPr>
      <w:color w:val="00FF00"/>
      <w:shd w:val="clear" w:color="auto" w:fill="000000"/>
    </w:rPr>
  </w:style>
  <w:style w:type="character" w:customStyle="1" w:styleId="99">
    <w:name w:val="hilite"/>
    <w:basedOn w:val="27"/>
    <w:qFormat/>
    <w:uiPriority w:val="0"/>
    <w:rPr>
      <w:color w:val="FFFFFF"/>
      <w:shd w:val="clear" w:color="auto" w:fill="666677"/>
    </w:rPr>
  </w:style>
  <w:style w:type="character" w:customStyle="1" w:styleId="100">
    <w:name w:val="button2"/>
    <w:basedOn w:val="27"/>
    <w:qFormat/>
    <w:uiPriority w:val="0"/>
  </w:style>
  <w:style w:type="character" w:customStyle="1" w:styleId="101">
    <w:name w:val="hilite5"/>
    <w:basedOn w:val="27"/>
    <w:qFormat/>
    <w:uiPriority w:val="0"/>
    <w:rPr>
      <w:color w:val="FFFFFF"/>
      <w:shd w:val="clear" w:color="auto" w:fill="666677"/>
    </w:rPr>
  </w:style>
  <w:style w:type="character" w:customStyle="1" w:styleId="102">
    <w:name w:val="active4"/>
    <w:basedOn w:val="27"/>
    <w:qFormat/>
    <w:uiPriority w:val="0"/>
    <w:rPr>
      <w:color w:val="00FF00"/>
      <w:shd w:val="clear" w:color="auto" w:fill="000000"/>
    </w:rPr>
  </w:style>
  <w:style w:type="character" w:customStyle="1" w:styleId="103">
    <w:name w:val="hilite4"/>
    <w:basedOn w:val="27"/>
    <w:qFormat/>
    <w:uiPriority w:val="0"/>
    <w:rPr>
      <w:color w:val="FFFFFF"/>
      <w:shd w:val="clear" w:color="auto" w:fill="666677"/>
    </w:rPr>
  </w:style>
  <w:style w:type="character" w:customStyle="1" w:styleId="104">
    <w:name w:val="active"/>
    <w:basedOn w:val="27"/>
    <w:qFormat/>
    <w:uiPriority w:val="0"/>
    <w:rPr>
      <w:color w:val="00FF00"/>
      <w:shd w:val="clear" w:color="auto" w:fill="000000"/>
    </w:rPr>
  </w:style>
  <w:style w:type="paragraph" w:customStyle="1" w:styleId="105">
    <w:name w:val="纯文本1"/>
    <w:basedOn w:val="1"/>
    <w:qFormat/>
    <w:uiPriority w:val="0"/>
    <w:rPr>
      <w:rFonts w:ascii="宋体" w:hAnsi="宋体" w:cs="Courier New"/>
      <w:szCs w:val="21"/>
    </w:rPr>
  </w:style>
  <w:style w:type="paragraph" w:customStyle="1" w:styleId="10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07">
    <w:name w:val="List Paragraph1"/>
    <w:qFormat/>
    <w:uiPriority w:val="99"/>
    <w:pPr>
      <w:ind w:firstLine="420" w:firstLineChars="200"/>
    </w:pPr>
    <w:rPr>
      <w:rFonts w:ascii="Calibri" w:hAnsi="Calibri" w:eastAsia="宋体" w:cs="Times New Roman"/>
      <w:sz w:val="21"/>
      <w:szCs w:val="22"/>
      <w:lang w:val="en-US" w:eastAsia="zh-CN" w:bidi="ar-SA"/>
    </w:rPr>
  </w:style>
  <w:style w:type="paragraph" w:styleId="108">
    <w:name w:val="List Paragraph"/>
    <w:basedOn w:val="1"/>
    <w:qFormat/>
    <w:uiPriority w:val="34"/>
    <w:pPr>
      <w:ind w:firstLine="420" w:firstLineChars="200"/>
    </w:pPr>
    <w:rPr>
      <w:sz w:val="21"/>
    </w:rPr>
  </w:style>
  <w:style w:type="character" w:customStyle="1" w:styleId="109">
    <w:name w:val="mini-tree-nodetext3"/>
    <w:basedOn w:val="27"/>
    <w:qFormat/>
    <w:uiPriority w:val="0"/>
  </w:style>
  <w:style w:type="character" w:customStyle="1" w:styleId="110">
    <w:name w:val="mini-tree-nodetext2"/>
    <w:basedOn w:val="27"/>
    <w:qFormat/>
    <w:uiPriority w:val="0"/>
  </w:style>
  <w:style w:type="paragraph" w:customStyle="1" w:styleId="1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12">
    <w:name w:val="Table Normal"/>
    <w:semiHidden/>
    <w:unhideWhenUsed/>
    <w:qFormat/>
    <w:uiPriority w:val="0"/>
    <w:tblPr>
      <w:tblCellMar>
        <w:top w:w="0" w:type="dxa"/>
        <w:left w:w="0" w:type="dxa"/>
        <w:bottom w:w="0" w:type="dxa"/>
        <w:right w:w="0" w:type="dxa"/>
      </w:tblCellMar>
    </w:tblPr>
  </w:style>
  <w:style w:type="paragraph" w:customStyle="1" w:styleId="113">
    <w:name w:val="Normal_0"/>
    <w:qFormat/>
    <w:uiPriority w:val="0"/>
    <w:rPr>
      <w:rFonts w:ascii="Times New Roman" w:hAnsi="Times New Roman" w:eastAsia="Times New Roman" w:cs="Times New Roman"/>
      <w:sz w:val="24"/>
      <w:szCs w:val="24"/>
      <w:lang w:val="en-US" w:eastAsia="zh-CN" w:bidi="ar-SA"/>
    </w:rPr>
  </w:style>
  <w:style w:type="paragraph" w:customStyle="1" w:styleId="114">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15">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9AFD1-2CF2-40A1-9059-4DEDAC0B9B4F}">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59</Pages>
  <Words>17244</Words>
  <Characters>18508</Characters>
  <Lines>234</Lines>
  <Paragraphs>65</Paragraphs>
  <TotalTime>62</TotalTime>
  <ScaleCrop>false</ScaleCrop>
  <LinksUpToDate>false</LinksUpToDate>
  <CharactersWithSpaces>18669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2025-06-16T06:14:00Z</dcterms:created>
  <dc:creator>MC SYSTEM</dc:creator>
  <cp:lastModifiedBy>WPS_1658106135</cp:lastModifiedBy>
  <cp:lastPrinted>2025-08-28T02:36:12Z</cp:lastPrinted>
  <dcterms:modified xsi:type="dcterms:W3CDTF">2025-08-28T02:54:55Z</dcterms:modified>
  <dc:title>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58AB2F3D4B3A4F0CBCF342F216AFD126_13</vt:lpwstr>
  </property>
  <property fmtid="{D5CDD505-2E9C-101B-9397-08002B2CF9AE}" pid="4" name="KSOTemplateDocerSaveRecord">
    <vt:lpwstr>eyJoZGlkIjoiMzBlOTRhNzY0ZmNjYWMzMDI4ZjUyMWQxY2I2YWY5YmIiLCJ1c2VySWQiOiIxMzg5MDA5NDczIn0=</vt:lpwstr>
  </property>
</Properties>
</file>