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E89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333333"/>
          <w:spacing w:val="0"/>
          <w:sz w:val="31"/>
          <w:szCs w:val="31"/>
        </w:rPr>
      </w:pPr>
      <w:bookmarkStart w:id="0" w:name="_GoBack"/>
      <w:r>
        <w:rPr>
          <w:rFonts w:hint="eastAsia" w:ascii="宋体" w:hAnsi="宋体" w:eastAsia="宋体" w:cs="宋体"/>
          <w:b/>
          <w:bCs/>
          <w:i w:val="0"/>
          <w:iCs w:val="0"/>
          <w:caps w:val="0"/>
          <w:color w:val="333333"/>
          <w:spacing w:val="0"/>
          <w:sz w:val="31"/>
          <w:szCs w:val="31"/>
          <w:bdr w:val="none" w:color="auto" w:sz="0" w:space="0"/>
          <w:shd w:val="clear" w:fill="FFFFFF"/>
        </w:rPr>
        <w:t>招标项目技术、服务、商务及其他要求</w:t>
      </w:r>
    </w:p>
    <w:bookmarkEnd w:id="0"/>
    <w:p w14:paraId="0B324B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sz w:val="14"/>
          <w:szCs w:val="14"/>
          <w:bdr w:val="none" w:color="auto" w:sz="0" w:space="0"/>
          <w:shd w:val="clear" w:fill="FFFFFF"/>
        </w:rPr>
        <w:t>（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760F2D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sz w:val="14"/>
          <w:szCs w:val="14"/>
          <w:bdr w:val="none" w:color="auto" w:sz="0" w:space="0"/>
          <w:shd w:val="clear" w:fill="FFFFFF"/>
        </w:rPr>
        <w:t>（注：当采购包的评标方法为最低评标价法时带“★”的参数需求为实质性要求，供应商必须响应并满足的参数需求，采购人、采购代理机构应当根据项目实际需求合理设定，并明确具体要求。）</w:t>
      </w:r>
    </w:p>
    <w:p w14:paraId="484511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3.1采购项目概况</w:t>
      </w:r>
    </w:p>
    <w:p w14:paraId="4C9DFF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为雁塔区8个公办社区卫生服务中心和电子城二〇五所社区卫生服务站共计9个基层医疗机构设立健康小屋，采购包含：健康检测设备（血糖尿酸总胆固醇测试仪、超声骨密度检测仪、全自动智能电子血压仪等）、其他辅助设备（健康评估一体机（身高、体重、体脂）、健康档案自助查询机、中医体质辨识一体机、膳食宝塔等）、信息化产品及系统对接设备（信息化产品、基础资源服务器、数据安全设备、信息化系统对接开发服务等）设施设备一批，通过自助式健康检测和信息化管理，促进慢性病早期筛查与干预，加强居民健康管理能力，促进医防融合，为居民提供便捷的健康服务，要求所有货物（产品）质量合格、安装调试到位、验收合格达到交钥匙条件</w:t>
      </w:r>
    </w:p>
    <w:p w14:paraId="0FC457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3.2采购内容</w:t>
      </w:r>
    </w:p>
    <w:p w14:paraId="72A1A9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采购包1：</w:t>
      </w:r>
    </w:p>
    <w:p w14:paraId="14E4EF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采购包预算金额（元）: 1,075,500.00</w:t>
      </w:r>
    </w:p>
    <w:p w14:paraId="688492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采购包最高限价（元）: 1,075,500.00</w:t>
      </w:r>
    </w:p>
    <w:p w14:paraId="63FF19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供应商报价不允许超过标的金额</w:t>
      </w:r>
    </w:p>
    <w:p w14:paraId="14AC72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0"/>
        <w:gridCol w:w="1632"/>
        <w:gridCol w:w="492"/>
        <w:gridCol w:w="1179"/>
        <w:gridCol w:w="609"/>
        <w:gridCol w:w="609"/>
        <w:gridCol w:w="727"/>
        <w:gridCol w:w="844"/>
        <w:gridCol w:w="844"/>
        <w:gridCol w:w="962"/>
      </w:tblGrid>
      <w:tr w14:paraId="33EB65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00" w:type="dxa"/>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E3B220F">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D94128A">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05E67ED">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4EEE81E">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DF2E1BB">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93DB639">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7882962">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143096C">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D5E2877">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D1128A4">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是否属于环境标志产品</w:t>
            </w:r>
          </w:p>
        </w:tc>
      </w:tr>
      <w:tr w14:paraId="546A44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D64C3D3">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13976AD">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健康检测设备</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632DAD2">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7425B7D">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1,075,500.00</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22BAE5C">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AF1076D">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C6B8B0F">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0B99A27">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A68A056">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E234D6D">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14:paraId="6512E2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采购包2：</w:t>
      </w:r>
    </w:p>
    <w:p w14:paraId="01EBD5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采购包预算金额（元）: 970,200.00</w:t>
      </w:r>
    </w:p>
    <w:p w14:paraId="11FBBB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采购包最高限价（元）: 970,200.00</w:t>
      </w:r>
    </w:p>
    <w:p w14:paraId="24C03E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供应商报价不允许超过标的金额</w:t>
      </w:r>
    </w:p>
    <w:p w14:paraId="252D59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0"/>
        <w:gridCol w:w="1632"/>
        <w:gridCol w:w="492"/>
        <w:gridCol w:w="1179"/>
        <w:gridCol w:w="609"/>
        <w:gridCol w:w="609"/>
        <w:gridCol w:w="727"/>
        <w:gridCol w:w="844"/>
        <w:gridCol w:w="844"/>
        <w:gridCol w:w="962"/>
      </w:tblGrid>
      <w:tr w14:paraId="30DED6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00" w:type="dxa"/>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2C099CD">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153E5F2">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6F7943C">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2809FA7">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7757EC1">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85B3ABA">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43D4B0F">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A550E33">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3EE7085">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B286044">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是否属于环境标志产品</w:t>
            </w:r>
          </w:p>
        </w:tc>
      </w:tr>
      <w:tr w14:paraId="55F03B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86684A7">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8D2FEBA">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其他辅助设备</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374C16C2">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0E83939">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970,200.00</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766C21B">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617EE2E">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D8A5490">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F225744">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3105CA4">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CCE751A">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14:paraId="20EF46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采购包3：</w:t>
      </w:r>
    </w:p>
    <w:p w14:paraId="20F0AF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采购包预算金额（元）: 1,004,100.00</w:t>
      </w:r>
    </w:p>
    <w:p w14:paraId="67F716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采购包最高限价（元）: 1,004,100.00</w:t>
      </w:r>
    </w:p>
    <w:p w14:paraId="130FDF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供应商报价不允许超过标的金额</w:t>
      </w:r>
    </w:p>
    <w:p w14:paraId="4CCD72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0"/>
        <w:gridCol w:w="3073"/>
        <w:gridCol w:w="455"/>
        <w:gridCol w:w="1015"/>
        <w:gridCol w:w="500"/>
        <w:gridCol w:w="500"/>
        <w:gridCol w:w="544"/>
        <w:gridCol w:w="589"/>
        <w:gridCol w:w="589"/>
        <w:gridCol w:w="633"/>
      </w:tblGrid>
      <w:tr w14:paraId="1B41F6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00" w:type="dxa"/>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740C02E">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FA3E46D">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32E66913">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78260DF">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76F07F0">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76BECB6">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8BA1AE1">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5B007C5">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3EFB0540">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55C057B">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是否属于环境标志产品</w:t>
            </w:r>
          </w:p>
        </w:tc>
      </w:tr>
      <w:tr w14:paraId="4F04D2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A41662B">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C5EEE69">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信息化产品及系统对接设备</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DF14E37">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8B55D0E">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1,004,100.00</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452D621">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4DE03BF">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5A9763B">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311BD574">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26353AF">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A4C4826">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14:paraId="3B2803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3.3技术要求</w:t>
      </w:r>
    </w:p>
    <w:p w14:paraId="55F8A4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采购包1：</w:t>
      </w:r>
    </w:p>
    <w:p w14:paraId="4028CD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标的名称：健康检测设备</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14"/>
        <w:gridCol w:w="1214"/>
        <w:gridCol w:w="6070"/>
      </w:tblGrid>
      <w:tr w14:paraId="40A580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00"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9D8F04C">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500"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EF291BF">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2500"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29B8504">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44AD49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32A586D8">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DE35CFC">
            <w:pP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D71FF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ascii="仿宋" w:hAnsi="仿宋" w:eastAsia="仿宋" w:cs="仿宋"/>
                <w:color w:val="000000"/>
                <w:sz w:val="20"/>
                <w:szCs w:val="20"/>
                <w:bdr w:val="none" w:color="auto" w:sz="0" w:space="0"/>
              </w:rPr>
              <w:t>1.1</w:t>
            </w:r>
            <w:r>
              <w:rPr>
                <w:rStyle w:val="11"/>
                <w:rFonts w:hint="eastAsia" w:ascii="仿宋" w:hAnsi="仿宋" w:eastAsia="仿宋" w:cs="仿宋"/>
                <w:color w:val="000000"/>
                <w:sz w:val="20"/>
                <w:szCs w:val="20"/>
                <w:bdr w:val="none" w:color="auto" w:sz="0" w:space="0"/>
              </w:rPr>
              <w:t>采购需求清单：详见附表“采购包1（健康检测设备）采购需求清单”。</w:t>
            </w:r>
            <w:r>
              <w:rPr>
                <w:rFonts w:hint="eastAsia" w:ascii="仿宋" w:hAnsi="仿宋" w:eastAsia="仿宋" w:cs="仿宋"/>
                <w:color w:val="000000"/>
                <w:sz w:val="20"/>
                <w:szCs w:val="20"/>
                <w:bdr w:val="none" w:color="auto" w:sz="0" w:space="0"/>
              </w:rPr>
              <w:t>投标人应按要求提供所投的设备（产品）的技术资料（除特别说明外，其他不限于原厂印刷的产品说明书、质量证书、检测报告、合格证、官网截图等）；投标人应保证投标所提供第三方资料内容真实、完整、准确；如有相关第三方书面声明、相关检测报告等资料虚假，监管部门有权根据调查情形认定其是否属于提供虚假材料谋取中标（成交），并严肃处理；</w:t>
            </w:r>
          </w:p>
          <w:p w14:paraId="0875DC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1.2实施要求：</w:t>
            </w:r>
            <w:r>
              <w:rPr>
                <w:rFonts w:hint="eastAsia" w:ascii="仿宋" w:hAnsi="仿宋" w:eastAsia="仿宋" w:cs="仿宋"/>
                <w:color w:val="000000"/>
                <w:sz w:val="20"/>
                <w:szCs w:val="20"/>
                <w:bdr w:val="none" w:color="auto" w:sz="0" w:space="0"/>
              </w:rPr>
              <w:t>(1) 需成立项目小组，项目小组成立及项目人员分工细化到每一项工作内容，要求从时间维度、工作内容维度等进行详细的说明。</w:t>
            </w:r>
          </w:p>
          <w:p w14:paraId="206C5EE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(2) 项目实施计划：需提供明确项目实施计划,建立健全的制度保障，保障项目按照规定时间完成项目验收的措施和办法。</w:t>
            </w:r>
          </w:p>
          <w:p w14:paraId="6732DC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(3) 项目实施措施：需提供保证项目实施完成后应用效果的具体的方案和措施。</w:t>
            </w:r>
          </w:p>
          <w:p w14:paraId="43B3A3F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(4) 项目实施内容：要求提供包括项目实施内容、实施时间、完成时间、实现目标、人员配备、实施结果、阶段成果测试等内容。</w:t>
            </w:r>
          </w:p>
          <w:p w14:paraId="33A4D26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(5) 项目实施过程中的风险预测：要求承建方有切实可行的风险预测机制。</w:t>
            </w:r>
          </w:p>
          <w:p w14:paraId="5B39CBC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both"/>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1.3数据连通性要求：</w:t>
            </w:r>
            <w:r>
              <w:rPr>
                <w:rFonts w:hint="eastAsia" w:ascii="仿宋" w:hAnsi="仿宋" w:eastAsia="仿宋" w:cs="仿宋"/>
                <w:color w:val="000000"/>
                <w:sz w:val="20"/>
                <w:szCs w:val="20"/>
                <w:bdr w:val="none" w:color="auto" w:sz="0" w:space="0"/>
              </w:rPr>
              <w:t>设备须具备数据输出功能（USB、蓝牙、WiFi等），能与机构内健康管理信息系统（HIS）、公共卫生系统或区域卫生信息平台对接，实现数据自动或半自动上传至居民电子健康档案。</w:t>
            </w:r>
          </w:p>
          <w:p w14:paraId="0F14C82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both"/>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1.4安全性与合规性要求：</w:t>
            </w:r>
            <w:r>
              <w:rPr>
                <w:rFonts w:hint="eastAsia" w:ascii="仿宋" w:hAnsi="仿宋" w:eastAsia="仿宋" w:cs="仿宋"/>
                <w:color w:val="000000"/>
                <w:sz w:val="20"/>
                <w:szCs w:val="20"/>
                <w:bdr w:val="none" w:color="auto" w:sz="0" w:space="0"/>
              </w:rPr>
              <w:t>采购符合国家医疗器械相关法规（如需要注册证/备案凭证）、计量认证（如适用）等。</w:t>
            </w:r>
          </w:p>
          <w:p w14:paraId="24F6960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both"/>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1.5可扩展性：</w:t>
            </w:r>
            <w:r>
              <w:rPr>
                <w:rFonts w:hint="eastAsia" w:ascii="仿宋" w:hAnsi="仿宋" w:eastAsia="仿宋" w:cs="仿宋"/>
                <w:color w:val="000000"/>
                <w:sz w:val="20"/>
                <w:szCs w:val="20"/>
                <w:bdr w:val="none" w:color="auto" w:sz="0" w:space="0"/>
              </w:rPr>
              <w:t>需为未来功能升级或设备增加预留空间和接口，中标后免费共享所供设备数据与接口。</w:t>
            </w:r>
          </w:p>
          <w:p w14:paraId="66D83E8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both"/>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1.6整体建设目标要求：</w:t>
            </w:r>
            <w:r>
              <w:rPr>
                <w:rFonts w:hint="eastAsia" w:ascii="仿宋" w:hAnsi="仿宋" w:eastAsia="仿宋" w:cs="仿宋"/>
                <w:color w:val="000000"/>
                <w:sz w:val="20"/>
                <w:szCs w:val="20"/>
                <w:bdr w:val="none" w:color="auto" w:sz="0" w:space="0"/>
              </w:rPr>
              <w:t>（1）实现居民健康自我管理，在社区医院医护人员的协助下，可快速、易操作的健康检测设备，在自身的基础健康指标（如血压、血糖、BMI等），通过数据记录和趋势分析，培养居民定期监测习惯，提高健康素养。</w:t>
            </w:r>
          </w:p>
          <w:p w14:paraId="43549A3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（2）实现慢性病早期筛查与干预；针对高血压、糖尿病等慢性病高危人群，实现早期发现和分级管理，结合家庭医生签约服务，对异常指标居民进行随访和干预，降低并发症风险。</w:t>
            </w:r>
          </w:p>
          <w:p w14:paraId="384DD4C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（3）优化基层医疗服务效率；分流老年人、慢性病等重点人群健康检测需求，提高工作效率，让医护人员更专注于诊疗和重点人群管理；通过健康数据积累，为公共卫生决策提供依据。</w:t>
            </w:r>
          </w:p>
          <w:p w14:paraId="29D615B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（4）促进医防融合；通过“检测－预警－干预－随访”闭环，推动基层医疗机构从“被动治疗”转向“主动健康管理”。</w:t>
            </w:r>
          </w:p>
          <w:p w14:paraId="7106708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5）加强健康体检的信息化建设；通过健康小屋物联网建设，推动健康检测数据与“家庭医生签约服务平台”对接，实现居民健康档案动态更新、老年人体检，儿童入园体检、慢性病体检等功能，完成区域卫生健康数据互联互通、对接陕西省基本公卫管理系统、雁塔区区域检验平台，实现居民体检数据自动上传更新等。</w:t>
            </w:r>
          </w:p>
          <w:p w14:paraId="795D804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1.7安全要求：</w:t>
            </w:r>
            <w:r>
              <w:rPr>
                <w:rFonts w:hint="eastAsia" w:ascii="仿宋" w:hAnsi="仿宋" w:eastAsia="仿宋" w:cs="仿宋"/>
                <w:color w:val="000000"/>
                <w:sz w:val="20"/>
                <w:szCs w:val="20"/>
                <w:bdr w:val="none" w:color="auto" w:sz="0" w:space="0"/>
              </w:rPr>
              <w:t>认真贯彻执行国家及省、市有关安全文明生产的法律法规规章和强制性标准、安全操作规程等，所有设备(产品)应符合国家相关安全标准，所有货物（产品）能够承受频繁使用和可能的不当操作，结构稳定，不易倾倒或损坏；货物（产品）无锐利边角、无毒无害、不易造成意外伤害，部分尺寸可调节的产品应与实际使用场地相匹配；建立健全安装现场安全文明生产保证体系，落实各项具体措施，切实履行安全文明生产责任和义务，保护职工身体健康和生命安全，以及社会公众安全，保持安装现场整齐有序。</w:t>
            </w:r>
          </w:p>
          <w:p w14:paraId="76002D7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1.8质量标准及要求</w:t>
            </w:r>
          </w:p>
          <w:p w14:paraId="10B84AA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（1）所有货物（产品）、服务符合国家、省、市（行业）强制性标准及采购人要求的合格标准；</w:t>
            </w:r>
          </w:p>
          <w:p w14:paraId="06BA37F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2）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5C816B4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3）货物（产品）、服务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5D4F892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1.9</w:t>
            </w:r>
            <w:r>
              <w:rPr>
                <w:rFonts w:hint="eastAsia" w:ascii="仿宋" w:hAnsi="仿宋" w:eastAsia="仿宋" w:cs="仿宋"/>
                <w:color w:val="000000"/>
                <w:sz w:val="20"/>
                <w:szCs w:val="20"/>
                <w:bdr w:val="none" w:color="auto" w:sz="0" w:space="0"/>
              </w:rPr>
              <w:t>为保证货物（软件和硬件）质量和功能的严谨性，中标（成交）后采购人有权要求中标人对其所提供的设备（产品）（包含软件和硬件）的功能进行逐一演示，如有功能与实际不相符，一律按虚假应标处理，由中标人承担因此产生的一切后果和责任；</w:t>
            </w:r>
          </w:p>
          <w:p w14:paraId="095DDD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1.10产品“三包”要求：</w:t>
            </w:r>
            <w:r>
              <w:rPr>
                <w:rFonts w:hint="eastAsia" w:ascii="仿宋" w:hAnsi="仿宋" w:eastAsia="仿宋" w:cs="仿宋"/>
                <w:color w:val="000000"/>
                <w:sz w:val="20"/>
                <w:szCs w:val="20"/>
                <w:bdr w:val="none" w:color="auto" w:sz="0" w:space="0"/>
              </w:rPr>
              <w:t>货物（产品）属于国家规定的“三包产品”，产品制造商、经销代理商应遵守“三包”的规定，在产品发生质量问题时，及时对所提供产品实行“包退、包换、保修”服务。</w:t>
            </w:r>
          </w:p>
          <w:p w14:paraId="2579995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1.11售后服务要求：</w:t>
            </w:r>
            <w:r>
              <w:rPr>
                <w:rFonts w:hint="eastAsia" w:ascii="仿宋" w:hAnsi="仿宋" w:eastAsia="仿宋" w:cs="仿宋"/>
                <w:color w:val="000000"/>
                <w:sz w:val="20"/>
                <w:szCs w:val="20"/>
                <w:bdr w:val="none" w:color="auto" w:sz="0" w:space="0"/>
              </w:rPr>
              <w:t>（1）中标人须指派专人负责与采购人联系售后服务事宜；</w:t>
            </w:r>
          </w:p>
          <w:p w14:paraId="078673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(2) 要求建立多渠道的售后服务，满足不同时间、不同环境下对工作人员的问题提供多种沟通渠道，建立渠道维护机制,如采用QQ群、微信群等，保障通道畅通， 确保提供长效的售后服务机制，能提供完善的售后服务保障制度。</w:t>
            </w:r>
          </w:p>
          <w:p w14:paraId="180B05C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（3）中标人负责货物的现场安装、调试、测试和启动等；</w:t>
            </w:r>
          </w:p>
          <w:p w14:paraId="10A661F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4）中标人负责货物的安装、启动、运行及维护等对使用人员进行免费培训：培训主要内容为货物的基本结构、性能、主要部件的构造及原理，日常使用操作、维护保养与管理，常见故障的排除、紧急情况的处理等，如使用方未使用过同类型货物，中标人还需就货物的功能对使用方人员进行相应的技术培训，培训地点为货物安装现场或由采购人安排；</w:t>
            </w:r>
          </w:p>
          <w:p w14:paraId="2874A0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(5) 售后服务内容须具有可操作性,能够清晰体现维护详细内容，要求进行分类描述，如基本服务内容、应用提升服务内容、运维服务内容、服务对象、服务项目等。</w:t>
            </w:r>
          </w:p>
          <w:p w14:paraId="61FE236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（6）质保期自采购人在质量验收单（终验）上签字之日起计算，质保费用计入总价；</w:t>
            </w:r>
          </w:p>
          <w:p w14:paraId="62F8870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7）中标人负责对其提供的货物整体进行维修和系统维护，质保期内应无偿负责现场技术巡检、维修和替换等工作；若遇到采购人重大活动需无条件提供现场技术支持服务且不再收取任何费用，但不可抗力（如火灾、雷击等）造成的故障除外；超出质保期只收取维修所需原设备、材料成本费用；</w:t>
            </w:r>
          </w:p>
          <w:p w14:paraId="6A10DF5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（8）中标人负责对其所提供的设备、材料等备品配件供应，提供长期维修，并提供技术咨询等服务，所有维修记录交由采购人的现场技术人员一份，并详细说明问题所在、解决办法及注意事项；</w:t>
            </w:r>
          </w:p>
          <w:p w14:paraId="61698BE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（9）货物故障报修的投标时间为：每天至少8小时，在线值班人员服务时间7*24小时；每周六周日能提供值班人员。</w:t>
            </w:r>
          </w:p>
          <w:p w14:paraId="72129FB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10）所有货物服务方式均为中标人上门服务，即由中标人派人到货物使用现场维修，由此产生的一切费用均由中标人承担，对系统进行定期的检修、保养工作，并与用户进行沟通，定期开展技术交流活动，预防故障发生，保证系统的正常运行；</w:t>
            </w:r>
          </w:p>
          <w:p w14:paraId="4B6113F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（11）在保修期内更换系统部件，其保修期应相应延长；</w:t>
            </w:r>
          </w:p>
          <w:p w14:paraId="51D0552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（12）质保期结束后的维修、维护等由双方协商再定。</w:t>
            </w:r>
          </w:p>
          <w:p w14:paraId="03AB0D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both"/>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1.12其他要求和说明：</w:t>
            </w:r>
          </w:p>
          <w:p w14:paraId="773190E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(1)本项目标的所属行业为: </w:t>
            </w:r>
            <w:r>
              <w:rPr>
                <w:rFonts w:hint="eastAsia" w:ascii="仿宋" w:hAnsi="仿宋" w:eastAsia="仿宋" w:cs="仿宋"/>
                <w:color w:val="000000"/>
                <w:sz w:val="20"/>
                <w:szCs w:val="20"/>
                <w:u w:val="single"/>
                <w:bdr w:val="none" w:color="auto" w:sz="0" w:space="0"/>
              </w:rPr>
              <w:t>工业</w:t>
            </w:r>
            <w:r>
              <w:rPr>
                <w:rFonts w:hint="eastAsia" w:ascii="仿宋" w:hAnsi="仿宋" w:eastAsia="仿宋" w:cs="仿宋"/>
                <w:color w:val="000000"/>
                <w:sz w:val="20"/>
                <w:szCs w:val="20"/>
                <w:bdr w:val="none" w:color="auto" w:sz="0" w:space="0"/>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64956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（2）核心产品的名称：</w:t>
            </w:r>
            <w:r>
              <w:rPr>
                <w:rFonts w:hint="eastAsia" w:ascii="宋体" w:hAnsi="宋体" w:eastAsia="宋体" w:cs="宋体"/>
                <w:color w:val="000000"/>
                <w:sz w:val="20"/>
                <w:szCs w:val="20"/>
                <w:u w:val="single"/>
                <w:bdr w:val="none" w:color="auto" w:sz="0" w:space="0"/>
              </w:rPr>
              <w:t> </w:t>
            </w:r>
            <w:r>
              <w:rPr>
                <w:rFonts w:hint="eastAsia" w:ascii="仿宋" w:hAnsi="仿宋" w:eastAsia="仿宋" w:cs="仿宋"/>
                <w:color w:val="000000"/>
                <w:sz w:val="20"/>
                <w:szCs w:val="20"/>
                <w:u w:val="single"/>
                <w:bdr w:val="none" w:color="auto" w:sz="0" w:space="0"/>
              </w:rPr>
              <w:t>超声骨密度检测仪</w:t>
            </w:r>
            <w:r>
              <w:rPr>
                <w:rFonts w:ascii="Calibri" w:hAnsi="Calibri" w:eastAsia="宋体" w:cs="Calibri"/>
                <w:sz w:val="21"/>
                <w:szCs w:val="21"/>
                <w:u w:val="single"/>
                <w:bdr w:val="none" w:color="auto" w:sz="0" w:space="0"/>
              </w:rPr>
              <w:t> </w:t>
            </w:r>
            <w:r>
              <w:rPr>
                <w:rFonts w:hint="eastAsia" w:ascii="仿宋" w:hAnsi="仿宋" w:eastAsia="仿宋" w:cs="仿宋"/>
                <w:color w:val="000000"/>
                <w:sz w:val="20"/>
                <w:szCs w:val="20"/>
                <w:bdr w:val="none" w:color="auto" w:sz="0" w:space="0"/>
                <w:shd w:val="clear" w:fill="FFFFFF"/>
              </w:rPr>
              <w:t>。</w:t>
            </w:r>
          </w:p>
          <w:p w14:paraId="745E864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（3）属于强制采购的节能产品的，投标人应在“商务技术文件”中按要求提供强制节能产品认证证书，未提供强制节能产品认证证书或节能产品认证证书超出有效期的，按无效响应文件处理。</w:t>
            </w:r>
          </w:p>
        </w:tc>
      </w:tr>
    </w:tbl>
    <w:p w14:paraId="2FAD44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采购包2：</w:t>
      </w:r>
    </w:p>
    <w:p w14:paraId="292240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标的名称：其他辅助设备</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14"/>
        <w:gridCol w:w="1214"/>
        <w:gridCol w:w="6070"/>
      </w:tblGrid>
      <w:tr w14:paraId="2BDFFE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500"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458BC20">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500"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96E7AC3">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2500"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E55029E">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72EAD6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4AF5947">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94C9E5C">
            <w:pP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072BDB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1.1采购需求清单：详见附表“采购包2（其他辅助设备）采购需求清单”。</w:t>
            </w:r>
            <w:r>
              <w:rPr>
                <w:rFonts w:hint="eastAsia" w:ascii="仿宋" w:hAnsi="仿宋" w:eastAsia="仿宋" w:cs="仿宋"/>
                <w:color w:val="000000"/>
                <w:sz w:val="20"/>
                <w:szCs w:val="20"/>
                <w:bdr w:val="none" w:color="auto" w:sz="0" w:space="0"/>
              </w:rPr>
              <w:t>投标人应按要求提供所投的设备（产品）的技术资料（除特别说明外，其他不限于原厂印刷的产品说明书、质量证书、检测报告、合格证、官网截图等）；投标人应保证投标所提供的第三方资料内容真实、完整、准确；如有相关第三方书面声明、相关检测报告等资料虚假，监管部门有权根据调查情形认定其是否属于提供虚假材料谋取中标（成交），并严肃处理；</w:t>
            </w:r>
          </w:p>
          <w:p w14:paraId="70E5CDC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1.2实施要求：</w:t>
            </w:r>
            <w:r>
              <w:rPr>
                <w:rFonts w:hint="eastAsia" w:ascii="仿宋" w:hAnsi="仿宋" w:eastAsia="仿宋" w:cs="仿宋"/>
                <w:color w:val="000000"/>
                <w:sz w:val="20"/>
                <w:szCs w:val="20"/>
                <w:bdr w:val="none" w:color="auto" w:sz="0" w:space="0"/>
              </w:rPr>
              <w:t>(1) 需成立项目小组，项目小组成立及项目人员分工细化到每一项工作内容，要求从时间维度、工作内容维度等进行详细的说明。</w:t>
            </w:r>
          </w:p>
          <w:p w14:paraId="43D51D4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(2) 项目实施计划：需提供明确项目实施计划,建立健全的制度保障，保障项目按照规定时间完成项目验收的措施和办法。</w:t>
            </w:r>
          </w:p>
          <w:p w14:paraId="37ACAF7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(3) 项目实施措施：需提供保证项目实施完成后应用效果的具体的方案和措施。</w:t>
            </w:r>
          </w:p>
          <w:p w14:paraId="112D89D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(4) 项目实施内容：要求提供包括项目实施内容、实施时间、完成时间、实现目标、人员配备、实施结果、阶段成果测试等内容。</w:t>
            </w:r>
          </w:p>
          <w:p w14:paraId="0FC650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(5) 项目实施过程中的风险预测：要求承建方有切实可行的风险预测机制。</w:t>
            </w:r>
          </w:p>
          <w:p w14:paraId="04C2C6F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both"/>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1.3数据连通性要求：</w:t>
            </w:r>
            <w:r>
              <w:rPr>
                <w:rFonts w:hint="eastAsia" w:ascii="仿宋" w:hAnsi="仿宋" w:eastAsia="仿宋" w:cs="仿宋"/>
                <w:color w:val="000000"/>
                <w:sz w:val="20"/>
                <w:szCs w:val="20"/>
                <w:bdr w:val="none" w:color="auto" w:sz="0" w:space="0"/>
              </w:rPr>
              <w:t>设备须具备数据输出功能（USB、蓝牙、WiFi等），能与机构内健康管理信息系统（HIS）、公共卫生系统或区域卫生信息平台对接，实现数据自动或半自动上传至居民电子健康档案。</w:t>
            </w:r>
          </w:p>
          <w:p w14:paraId="5C428A0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both"/>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1.4安全性与合规性要求：</w:t>
            </w:r>
            <w:r>
              <w:rPr>
                <w:rFonts w:hint="eastAsia" w:ascii="仿宋" w:hAnsi="仿宋" w:eastAsia="仿宋" w:cs="仿宋"/>
                <w:color w:val="000000"/>
                <w:sz w:val="20"/>
                <w:szCs w:val="20"/>
                <w:bdr w:val="none" w:color="auto" w:sz="0" w:space="0"/>
              </w:rPr>
              <w:t>采购符合国家医疗器械相关法规（如需要注册证/备案凭证）、计量认证（如适用）等。</w:t>
            </w:r>
          </w:p>
          <w:p w14:paraId="657A19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both"/>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1.5可扩展性：</w:t>
            </w:r>
            <w:r>
              <w:rPr>
                <w:rFonts w:hint="eastAsia" w:ascii="仿宋" w:hAnsi="仿宋" w:eastAsia="仿宋" w:cs="仿宋"/>
                <w:color w:val="000000"/>
                <w:sz w:val="20"/>
                <w:szCs w:val="20"/>
                <w:bdr w:val="none" w:color="auto" w:sz="0" w:space="0"/>
              </w:rPr>
              <w:t>需为未来功能升级或设备增加预留空间和接口，中标后免费共享所供设备数据与接口。</w:t>
            </w:r>
          </w:p>
          <w:p w14:paraId="3DCA012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both"/>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1.6整体建设目标要求：</w:t>
            </w:r>
            <w:r>
              <w:rPr>
                <w:rFonts w:hint="eastAsia" w:ascii="仿宋" w:hAnsi="仿宋" w:eastAsia="仿宋" w:cs="仿宋"/>
                <w:color w:val="000000"/>
                <w:sz w:val="20"/>
                <w:szCs w:val="20"/>
                <w:bdr w:val="none" w:color="auto" w:sz="0" w:space="0"/>
              </w:rPr>
              <w:t>（1）实现居民健康自我管理，在社区医院医护人员的协助下，可快速、易操作的健康检测设备，在自身的基础健康指标（如血压、血糖、BMI等），通过数据记录和趋势分析，培养居民定期监测习惯，提高健康素养。</w:t>
            </w:r>
          </w:p>
          <w:p w14:paraId="0A99015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（2）实现慢性病早期筛查与干预；针对高血压、糖尿病等慢性病高危人群，实现早期发现和分级管理，结合家庭医生签约服务，对异常指标居民进行随访和干预，降低并发症风险。</w:t>
            </w:r>
          </w:p>
          <w:p w14:paraId="6FCE3A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（3）优化基层医疗服务效率；分流老年人、慢性病等重点人群健康检测需求，提高工作效率，让医护人员更专注于诊疗和重点人群管理；通过健康数据积累，为公共卫生决策提供依据。</w:t>
            </w:r>
          </w:p>
          <w:p w14:paraId="20B56B2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（4）促进医防融合；通过“检测－预警－干预－随访”闭环，推动基层医疗机构从“被动治疗”转向“主动健康管理”。</w:t>
            </w:r>
          </w:p>
          <w:p w14:paraId="68C8DC9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5）加强健康体检的信息化建设；通过健康小屋物联网建设，推动健康检测数据与“家庭医生签约服务平台”对接，实现居民健康档案动态更新、老年人体检，儿童入园体检、慢性病体检等功能，完成区域卫生健康数据互联互通、对接陕西省基本公卫管理系统、雁塔区区域检验平台，实现居民体检数据自动上传更新等。</w:t>
            </w:r>
          </w:p>
          <w:p w14:paraId="249B676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1.7安全要求：</w:t>
            </w:r>
            <w:r>
              <w:rPr>
                <w:rFonts w:hint="eastAsia" w:ascii="仿宋" w:hAnsi="仿宋" w:eastAsia="仿宋" w:cs="仿宋"/>
                <w:color w:val="000000"/>
                <w:sz w:val="20"/>
                <w:szCs w:val="20"/>
                <w:bdr w:val="none" w:color="auto" w:sz="0" w:space="0"/>
              </w:rPr>
              <w:t>认真贯彻执行国家及省、市有关安全文明生产的法律法规规章和强制性标准、安全操作规程等，所有设备(产品)应符合国家相关安全标准，所有货物（产品）能够承受频繁使用和可能的不当操作，结构稳定，不易倾倒或损坏；货物（产品）无锐利边角、无毒无害、不易造成意外伤害，部分尺寸可调节的产品应与实际使用场地相匹配；建立健全安装现场安全文明生产保证体系，落实各项具体措施，切实履行安全文明生产责任和义务，保护职工身体健康和生命安全，以及社会公众安全，保持安装现场整齐有序。</w:t>
            </w:r>
          </w:p>
          <w:p w14:paraId="1DF0337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1.8质量标准及要求</w:t>
            </w:r>
          </w:p>
          <w:p w14:paraId="227258E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（1）所有货物（产品）、服务符合国家、省、市（行业）强制性标准及采购人要求的合格标准；</w:t>
            </w:r>
          </w:p>
          <w:p w14:paraId="53991E0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2）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0B8C8D4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3）货物（产品）、服务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171F968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1.9</w:t>
            </w:r>
            <w:r>
              <w:rPr>
                <w:rFonts w:hint="eastAsia" w:ascii="仿宋" w:hAnsi="仿宋" w:eastAsia="仿宋" w:cs="仿宋"/>
                <w:color w:val="000000"/>
                <w:sz w:val="20"/>
                <w:szCs w:val="20"/>
                <w:bdr w:val="none" w:color="auto" w:sz="0" w:space="0"/>
              </w:rPr>
              <w:t>为保证货物（软件和硬件）质量和功能的严谨性，中标（成交）后采购人有权要求中标人对其所提供的设备（产品）（包含软件和硬件）的功能进行逐一演示，如有功能与实际不相符，一律按虚假应标处理，由中标人承担因此产生的一切后果和责任；</w:t>
            </w:r>
          </w:p>
          <w:p w14:paraId="5AC4682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1.10产品“三包”要求：</w:t>
            </w:r>
            <w:r>
              <w:rPr>
                <w:rFonts w:hint="eastAsia" w:ascii="仿宋" w:hAnsi="仿宋" w:eastAsia="仿宋" w:cs="仿宋"/>
                <w:color w:val="000000"/>
                <w:sz w:val="20"/>
                <w:szCs w:val="20"/>
                <w:bdr w:val="none" w:color="auto" w:sz="0" w:space="0"/>
              </w:rPr>
              <w:t>货物（产品）属于国家规定的“三包产品”，产品制造商、经销代理商应遵守“三包”的规定，在产品发生质量问题时，及时对所提供产品实行“包退、包换、保修”服务。</w:t>
            </w:r>
          </w:p>
          <w:p w14:paraId="51E9982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1.11售后服务要求：</w:t>
            </w:r>
            <w:r>
              <w:rPr>
                <w:rFonts w:hint="eastAsia" w:ascii="仿宋" w:hAnsi="仿宋" w:eastAsia="仿宋" w:cs="仿宋"/>
                <w:color w:val="000000"/>
                <w:sz w:val="20"/>
                <w:szCs w:val="20"/>
                <w:bdr w:val="none" w:color="auto" w:sz="0" w:space="0"/>
              </w:rPr>
              <w:t>（1）中标人须指派专人负责与采购人联系售后服务事宜；</w:t>
            </w:r>
          </w:p>
          <w:p w14:paraId="1DD5C0D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(2) 要求建立多渠道的售后服务，满足不同时间、不同环境下对工作人员的问题提供多种沟通渠道，建立渠道维护机制,如采用QQ群、微信群等，保障通道畅通， 确保提供长效的售后服务机制，能提供完善的售后服务保障制度。</w:t>
            </w:r>
          </w:p>
          <w:p w14:paraId="6194C3C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（3）中标人负责货物的现场安装、调试、测试和启动等；</w:t>
            </w:r>
          </w:p>
          <w:p w14:paraId="26DD182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4）中标人负责货物的安装、启动、运行及维护等对使用人员进行免费培训：培训主要内容为货物的基本结构、性能、主要部件的构造及原理，日常使用操作、维护保养与管理，常见故障的排除、紧急情况的处理等，如使用方未使用过同类型货物，中标人还需就货物的功能对使用方人员进行相应的技术培训，培训地点为货物安装现场或由采购人安排；</w:t>
            </w:r>
          </w:p>
          <w:p w14:paraId="29A17C2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(5) 售后服务内容须具有可操作性,能够清晰体现维护详细内容，要求进行分类描述，如基本服务内容、应用提升服务内容、运维服务内容、服务对象、服务项目等。</w:t>
            </w:r>
          </w:p>
          <w:p w14:paraId="122F746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（6）质保期自采购人在质量验收单（终验）上签字之日起计算，质保费用计入总价；</w:t>
            </w:r>
          </w:p>
          <w:p w14:paraId="5994A8F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7）中标人负责对其提供的货物整体进行维修和系统维护，质保期内应无偿负责现场技术巡检、维修和替换等工作；若遇到采购人重大活动需无条件提供现场技术支持服务且不再收取任何费用，但不可抗力（如火灾、雷击等）造成的故障除外；超出质保期只收取维修所需原设备、材料成本费用；</w:t>
            </w:r>
          </w:p>
          <w:p w14:paraId="39DF8DE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（8）中标人负责对其所提供的设备、材料等备品配件供应，提供长期维修，并提供技术咨询等服务，所有维修记录交由采购人的现场技术人员一份，并详细说明问题所在、解决办法及注意事项；</w:t>
            </w:r>
          </w:p>
          <w:p w14:paraId="17DA4BE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（9）货物故障报修的投标时间为：每天至少8小时，在线值班人员服务时间7*24小时；每周六周日能提供值班人员。</w:t>
            </w:r>
          </w:p>
          <w:p w14:paraId="4729AF5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10）所有货物服务方式均为中标人上门服务，即由中标人派人到货物使用现场维修，由此产生的一切费用均由中标人承担，对系统进行定期的检修、保养工作，并与用户进行沟通，定期开展技术交流活动，预防故障发生，保证系统的正常运行；</w:t>
            </w:r>
          </w:p>
          <w:p w14:paraId="005F06A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（11）在保修期内更换系统部件，其保修期应相应延长；</w:t>
            </w:r>
          </w:p>
          <w:p w14:paraId="7B37166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（12）质保期结束后的维修、维护等由双方协商再定。</w:t>
            </w:r>
          </w:p>
          <w:p w14:paraId="5283DAE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both"/>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1.12其他要求和说明：</w:t>
            </w:r>
          </w:p>
          <w:p w14:paraId="5BE6C40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(1)本项目标的所属行业为: </w:t>
            </w:r>
            <w:r>
              <w:rPr>
                <w:rFonts w:hint="eastAsia" w:ascii="仿宋" w:hAnsi="仿宋" w:eastAsia="仿宋" w:cs="仿宋"/>
                <w:color w:val="000000"/>
                <w:sz w:val="20"/>
                <w:szCs w:val="20"/>
                <w:u w:val="single"/>
                <w:bdr w:val="none" w:color="auto" w:sz="0" w:space="0"/>
              </w:rPr>
              <w:t>工业</w:t>
            </w:r>
            <w:r>
              <w:rPr>
                <w:rFonts w:hint="eastAsia" w:ascii="仿宋" w:hAnsi="仿宋" w:eastAsia="仿宋" w:cs="仿宋"/>
                <w:color w:val="000000"/>
                <w:sz w:val="20"/>
                <w:szCs w:val="20"/>
                <w:bdr w:val="none" w:color="auto" w:sz="0" w:space="0"/>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95B6D9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（2）核心产品的名称：</w:t>
            </w:r>
            <w:r>
              <w:rPr>
                <w:rFonts w:hint="eastAsia" w:ascii="宋体" w:hAnsi="宋体" w:eastAsia="宋体" w:cs="宋体"/>
                <w:color w:val="000000"/>
                <w:sz w:val="20"/>
                <w:szCs w:val="20"/>
                <w:u w:val="single"/>
                <w:bdr w:val="none" w:color="auto" w:sz="0" w:space="0"/>
              </w:rPr>
              <w:t> </w:t>
            </w:r>
            <w:r>
              <w:rPr>
                <w:rFonts w:hint="eastAsia" w:ascii="仿宋" w:hAnsi="仿宋" w:eastAsia="仿宋" w:cs="仿宋"/>
                <w:color w:val="000000"/>
                <w:sz w:val="20"/>
                <w:szCs w:val="20"/>
                <w:u w:val="single"/>
                <w:bdr w:val="none" w:color="auto" w:sz="0" w:space="0"/>
              </w:rPr>
              <w:t>便携式超声检查仪</w:t>
            </w:r>
            <w:r>
              <w:rPr>
                <w:rFonts w:hint="default" w:ascii="Calibri" w:hAnsi="Calibri" w:eastAsia="宋体" w:cs="Calibri"/>
                <w:sz w:val="21"/>
                <w:szCs w:val="21"/>
                <w:u w:val="single"/>
                <w:bdr w:val="none" w:color="auto" w:sz="0" w:space="0"/>
              </w:rPr>
              <w:t> </w:t>
            </w:r>
            <w:r>
              <w:rPr>
                <w:rFonts w:hint="eastAsia" w:ascii="仿宋" w:hAnsi="仿宋" w:eastAsia="仿宋" w:cs="仿宋"/>
                <w:color w:val="000000"/>
                <w:sz w:val="20"/>
                <w:szCs w:val="20"/>
                <w:bdr w:val="none" w:color="auto" w:sz="0" w:space="0"/>
                <w:shd w:val="clear" w:fill="FFFFFF"/>
              </w:rPr>
              <w:t>。</w:t>
            </w:r>
          </w:p>
          <w:p w14:paraId="52F33A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（3）属于强制采购的节能产品的，投标人应在“商务技术文件”中按要求提供强制节能产品认证证书，未提供强制节能产品认证证书或节能产品认证证书超出有效期的，按无效响应文件处理。</w:t>
            </w:r>
          </w:p>
        </w:tc>
      </w:tr>
    </w:tbl>
    <w:p w14:paraId="766351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采购包3：</w:t>
      </w:r>
    </w:p>
    <w:p w14:paraId="619F4F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标的名称：信息化产品及系统对接设备</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14"/>
        <w:gridCol w:w="1214"/>
        <w:gridCol w:w="6070"/>
      </w:tblGrid>
      <w:tr w14:paraId="3F4E6F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500"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7AA86B6">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500"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3BF83E5">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2500"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58AC740">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38A47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4CABB82">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3DDF06A7">
            <w:pP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10B579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1.1采购需求清单：详见附表“采购包3（信息化产品及系统对接设备）采购需求清单”。</w:t>
            </w:r>
            <w:r>
              <w:rPr>
                <w:rFonts w:hint="eastAsia" w:ascii="仿宋" w:hAnsi="仿宋" w:eastAsia="仿宋" w:cs="仿宋"/>
                <w:color w:val="000000"/>
                <w:sz w:val="20"/>
                <w:szCs w:val="20"/>
                <w:bdr w:val="none" w:color="auto" w:sz="0" w:space="0"/>
              </w:rPr>
              <w:t>投标人应按要求提供所投的设备（产品）的技术资料（除特别说明外，其他不限于原厂印刷的产品说明书、质量证书、检测报告、合格证、官网截图等）；投标人应保证投标所提供的第三方资料内容真实、完整、准确；如有相关第三方书面声明、相关检测报告等资料虚假，监管部门有权根据调查情形认定其是否属于提供虚假材料谋取中标（成交），并严肃处理；</w:t>
            </w:r>
          </w:p>
          <w:p w14:paraId="658F502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1.2实施要求：</w:t>
            </w:r>
            <w:r>
              <w:rPr>
                <w:rFonts w:hint="eastAsia" w:ascii="仿宋" w:hAnsi="仿宋" w:eastAsia="仿宋" w:cs="仿宋"/>
                <w:color w:val="000000"/>
                <w:sz w:val="20"/>
                <w:szCs w:val="20"/>
                <w:bdr w:val="none" w:color="auto" w:sz="0" w:space="0"/>
              </w:rPr>
              <w:t>(1) 需成立项目小组，项目小组成立及项目人员分工细化到每一项工作内容，要求从时间维度、工作内容维度等进行详细的说明。</w:t>
            </w:r>
          </w:p>
          <w:p w14:paraId="129CF0C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(2) 项目实施计划：需提供明确项目实施计划,建立健全的制度保障，保障项目按照规定时间完成项目验收的措施和办法。</w:t>
            </w:r>
          </w:p>
          <w:p w14:paraId="3CBCE51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(3) 项目实施措施：需提供保证项目实施完成后应用效果的具体的方案和措施。</w:t>
            </w:r>
          </w:p>
          <w:p w14:paraId="09EEDCC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(4) 项目实施内容：要求提供包括项目实施内容、实施时间、完成时间、实现目标、人员配备、实施结果、阶段成果测试等内容。</w:t>
            </w:r>
          </w:p>
          <w:p w14:paraId="007619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(5) 项目实施过程中的风险预测：要求承建方有切实可行的风险预测机制。</w:t>
            </w:r>
          </w:p>
          <w:p w14:paraId="0FB5141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both"/>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1.3数据连通性要求：</w:t>
            </w:r>
            <w:r>
              <w:rPr>
                <w:rFonts w:hint="eastAsia" w:ascii="仿宋" w:hAnsi="仿宋" w:eastAsia="仿宋" w:cs="仿宋"/>
                <w:color w:val="000000"/>
                <w:sz w:val="20"/>
                <w:szCs w:val="20"/>
                <w:bdr w:val="none" w:color="auto" w:sz="0" w:space="0"/>
              </w:rPr>
              <w:t>设备须具备数据输出功能（USB、蓝牙、WiFi等），能与机构内健康管理信息系统（HIS）、公共卫生系统或区域卫生信息平台对接，实现数据自动或半自动上传至居民电子健康档案。</w:t>
            </w:r>
          </w:p>
          <w:p w14:paraId="77C7A4E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both"/>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1.4安全性与合规性要求：</w:t>
            </w:r>
            <w:r>
              <w:rPr>
                <w:rFonts w:hint="eastAsia" w:ascii="仿宋" w:hAnsi="仿宋" w:eastAsia="仿宋" w:cs="仿宋"/>
                <w:color w:val="000000"/>
                <w:sz w:val="20"/>
                <w:szCs w:val="20"/>
                <w:bdr w:val="none" w:color="auto" w:sz="0" w:space="0"/>
              </w:rPr>
              <w:t>采购符合国家医疗器械相关法规（如需要注册证/备案凭证）、计量认证（如适用）等。</w:t>
            </w:r>
          </w:p>
          <w:p w14:paraId="74D538D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both"/>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1.5可扩展性：</w:t>
            </w:r>
            <w:r>
              <w:rPr>
                <w:rFonts w:hint="eastAsia" w:ascii="仿宋" w:hAnsi="仿宋" w:eastAsia="仿宋" w:cs="仿宋"/>
                <w:color w:val="000000"/>
                <w:sz w:val="20"/>
                <w:szCs w:val="20"/>
                <w:bdr w:val="none" w:color="auto" w:sz="0" w:space="0"/>
              </w:rPr>
              <w:t>需为未来功能升级或设备增加预留空间和接口，中标后免费共享所供设备数据与接口。</w:t>
            </w:r>
          </w:p>
          <w:p w14:paraId="41F19D9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both"/>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1.6整体建设目标要求：</w:t>
            </w:r>
            <w:r>
              <w:rPr>
                <w:rFonts w:hint="eastAsia" w:ascii="仿宋" w:hAnsi="仿宋" w:eastAsia="仿宋" w:cs="仿宋"/>
                <w:color w:val="000000"/>
                <w:sz w:val="20"/>
                <w:szCs w:val="20"/>
                <w:bdr w:val="none" w:color="auto" w:sz="0" w:space="0"/>
              </w:rPr>
              <w:t>（1）实现居民健康自我管理，在社区医院医护人员的协助下，可快速、易操作的健康检测设备，在自身的基础健康指标（如血压、血糖、BMI等），通过数据记录和趋势分析，培养居民定期监测习惯，提高健康素养。</w:t>
            </w:r>
          </w:p>
          <w:p w14:paraId="0FBF77F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（2）实现慢性病早期筛查与干预；针对高血压、糖尿病等慢性病高危人群，实现早期发现和分级管理，结合家庭医生签约服务，对异常指标居民进行随访和干预，降低并发症风险。</w:t>
            </w:r>
          </w:p>
          <w:p w14:paraId="0964195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（3）优化基层医疗服务效率；分流老年人、慢性病等重点人群健康检测需求，提高工作效率，让医护人员更专注于诊疗和重点人群管理；通过健康数据积累，为公共卫生决策提供依据。</w:t>
            </w:r>
          </w:p>
          <w:p w14:paraId="1AA95E4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（4）促进医防融合；通过“检测－预警－干预－随访”闭环，推动基层医疗机构从“被动治疗”转向“主动健康管理”。</w:t>
            </w:r>
          </w:p>
          <w:p w14:paraId="79A9A56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5）加强健康体检的信息化建设；通过健康小屋物联网建设，推动健康检测数据与“家庭医生签约服务平台”对接，实现居民健康档案动态更新、老年人体检，儿童入园体检、慢性病体检等功能，完成区域卫生健康数据互联互通、对接陕西省基本公卫管理系统、雁塔区区域检验平台，实现居民体检数据自动上传更新等。</w:t>
            </w:r>
          </w:p>
          <w:p w14:paraId="033BA15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1.7安全要求：</w:t>
            </w:r>
            <w:r>
              <w:rPr>
                <w:rFonts w:hint="eastAsia" w:ascii="仿宋" w:hAnsi="仿宋" w:eastAsia="仿宋" w:cs="仿宋"/>
                <w:color w:val="000000"/>
                <w:sz w:val="20"/>
                <w:szCs w:val="20"/>
                <w:bdr w:val="none" w:color="auto" w:sz="0" w:space="0"/>
              </w:rPr>
              <w:t>认真贯彻执行国家及省、市有关安全文明生产的法律法规规章和强制性标准、安全操作规程等，所有设备(产品)应符合国家相关安全标准，所有货物（产品）能够承受频繁使用和可能的不当操作，结构稳定，不易倾倒或损坏；货物（产品）无锐利边角、无毒无害、不易造成意外伤害，部分尺寸可调节的产品应与实际使用场地相匹配；建立健全安装现场安全文明生产保证体系，落实各项具体措施，切实履行安全文明生产责任和义务，保护职工身体健康和生命安全，以及社会公众安全，保持安装现场整齐有序。</w:t>
            </w:r>
          </w:p>
          <w:p w14:paraId="29F9175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1.8质量标准及要求</w:t>
            </w:r>
          </w:p>
          <w:p w14:paraId="34DD1BC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（1）所有货物（产品）、服务符合国家、省、市（行业）强制性标准及采购人要求的合格标准；</w:t>
            </w:r>
          </w:p>
          <w:p w14:paraId="3561D85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2）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498CA76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3）货物（产品）、服务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2B74B18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1.9</w:t>
            </w:r>
            <w:r>
              <w:rPr>
                <w:rFonts w:hint="eastAsia" w:ascii="仿宋" w:hAnsi="仿宋" w:eastAsia="仿宋" w:cs="仿宋"/>
                <w:color w:val="000000"/>
                <w:sz w:val="20"/>
                <w:szCs w:val="20"/>
                <w:bdr w:val="none" w:color="auto" w:sz="0" w:space="0"/>
              </w:rPr>
              <w:t>为保证货物（软件和硬件）质量和功能的严谨性，中标（成交）后采购人有权要求中标人对其所提供的设备（产品）（包含软件和硬件）的功能进行逐一演示，如有功能与实际不相符，一律按虚假应标处理，由中标人承担因此产生的一切后果和责任；</w:t>
            </w:r>
          </w:p>
          <w:p w14:paraId="2CF2EC9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1.10产品“三包”要求：</w:t>
            </w:r>
            <w:r>
              <w:rPr>
                <w:rFonts w:hint="eastAsia" w:ascii="仿宋" w:hAnsi="仿宋" w:eastAsia="仿宋" w:cs="仿宋"/>
                <w:color w:val="000000"/>
                <w:sz w:val="20"/>
                <w:szCs w:val="20"/>
                <w:bdr w:val="none" w:color="auto" w:sz="0" w:space="0"/>
              </w:rPr>
              <w:t>货物（产品）属于国家规定的“三包产品”，产品制造商、经销代理商应遵守“三包”的规定，在产品发生质量问题时，及时对所提供产品实行“包退、包换、保修”服务。</w:t>
            </w:r>
          </w:p>
          <w:p w14:paraId="05923A9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left"/>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1.11售后服务要求：</w:t>
            </w:r>
            <w:r>
              <w:rPr>
                <w:rFonts w:hint="eastAsia" w:ascii="仿宋" w:hAnsi="仿宋" w:eastAsia="仿宋" w:cs="仿宋"/>
                <w:color w:val="000000"/>
                <w:sz w:val="20"/>
                <w:szCs w:val="20"/>
                <w:bdr w:val="none" w:color="auto" w:sz="0" w:space="0"/>
              </w:rPr>
              <w:t>（1）中标人须指派专人负责与采购人联系售后服务事宜；</w:t>
            </w:r>
          </w:p>
          <w:p w14:paraId="6E87640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(2) 要求建立多渠道的售后服务，满足不同时间、不同环境下对工作人员的问题提供多种沟通渠道，建立渠道维护机制,如采用QQ群、微信群等，保障通道畅通， 确保提供长效的售后服务机制，能提供完善的售后服务保障制度。</w:t>
            </w:r>
          </w:p>
          <w:p w14:paraId="26CA8A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（3）中标人负责货物的现场安装、调试、测试和启动等；</w:t>
            </w:r>
          </w:p>
          <w:p w14:paraId="4C86346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4）中标人负责货物的安装、启动、运行及维护等对使用人员进行免费培训：培训主要内容为货物的基本结构、性能、主要部件的构造及原理，日常使用操作、维护保养与管理，常见故障的排除、紧急情况的处理等，如使用方未使用过同类型货物，中标人还需就货物的功能对使用方人员进行相应的技术培训，培训地点为货物安装现场或由采购人安排；</w:t>
            </w:r>
          </w:p>
          <w:p w14:paraId="0DBAFBB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(5) 售后服务内容须具有可操作性,能够清晰体现维护详细内容，要求进行分类描述，如基本服务内容、应用提升服务内容、运维服务内容、服务对象、服务项目等。</w:t>
            </w:r>
          </w:p>
          <w:p w14:paraId="2F13C16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（6）质保期自采购人在质量验收单（终验）上签字之日起计算，质保费用计入总价；</w:t>
            </w:r>
          </w:p>
          <w:p w14:paraId="370EE9F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7）中标人负责对其提供的货物整体进行维修和系统维护，质保期内应无偿负责现场技术巡检、维修和替换等工作；若遇到采购人重大活动需无条件提供现场技术支持服务且不再收取任何费用，但不可抗力（如火灾、雷击等）造成的故障除外；超出质保期只收取维修所需原设备、材料成本费用；</w:t>
            </w:r>
          </w:p>
          <w:p w14:paraId="2F9A6AA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（8）中标人负责对其所提供的设备、材料等备品配件供应，提供长期维修，并提供技术咨询等服务，所有维修记录交由采购人的现场技术人员一份，并详细说明问题所在、解决办法及注意事项；</w:t>
            </w:r>
          </w:p>
          <w:p w14:paraId="455624F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（9）货物故障报修的投标时间为：每天至少8小时，在线值班人员服务时间7*24小时；每周六周日能提供值班人员。</w:t>
            </w:r>
          </w:p>
          <w:p w14:paraId="19955E2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10）所有货物服务方式均为中标人上门服务，即由中标人派人到货物使用现场维修，由此产生的一切费用均由中标人承担，对系统进行定期的检修、保养工作，并与用户进行沟通，定期开展技术交流活动，预防故障发生，保证系统的正常运行；</w:t>
            </w:r>
          </w:p>
          <w:p w14:paraId="750A64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（11）在保修期内更换系统部件，其保修期应相应延长；</w:t>
            </w:r>
          </w:p>
          <w:p w14:paraId="5D607A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（12）质保期结束后的维修、维护等由双方协商再定。</w:t>
            </w:r>
          </w:p>
          <w:p w14:paraId="0DA1AC3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2"/>
              <w:jc w:val="both"/>
              <w:rPr>
                <w:rFonts w:hint="eastAsia" w:ascii="宋体" w:hAnsi="宋体" w:eastAsia="宋体" w:cs="宋体"/>
                <w:sz w:val="14"/>
                <w:szCs w:val="14"/>
              </w:rPr>
            </w:pPr>
            <w:r>
              <w:rPr>
                <w:rStyle w:val="11"/>
                <w:rFonts w:hint="eastAsia" w:ascii="仿宋" w:hAnsi="仿宋" w:eastAsia="仿宋" w:cs="仿宋"/>
                <w:color w:val="000000"/>
                <w:sz w:val="20"/>
                <w:szCs w:val="20"/>
                <w:bdr w:val="none" w:color="auto" w:sz="0" w:space="0"/>
              </w:rPr>
              <w:t>1.12其他要求和说明：</w:t>
            </w:r>
          </w:p>
          <w:p w14:paraId="736800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left"/>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(1)本项目标的所属行业为: </w:t>
            </w:r>
            <w:r>
              <w:rPr>
                <w:rFonts w:hint="eastAsia" w:ascii="仿宋" w:hAnsi="仿宋" w:eastAsia="仿宋" w:cs="仿宋"/>
                <w:color w:val="000000"/>
                <w:sz w:val="20"/>
                <w:szCs w:val="20"/>
                <w:u w:val="single"/>
                <w:bdr w:val="none" w:color="auto" w:sz="0" w:space="0"/>
              </w:rPr>
              <w:t>工业</w:t>
            </w:r>
            <w:r>
              <w:rPr>
                <w:rFonts w:hint="eastAsia" w:ascii="仿宋" w:hAnsi="仿宋" w:eastAsia="仿宋" w:cs="仿宋"/>
                <w:color w:val="000000"/>
                <w:sz w:val="20"/>
                <w:szCs w:val="20"/>
                <w:bdr w:val="none" w:color="auto" w:sz="0" w:space="0"/>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7C038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（2）核心产品的名称：</w:t>
            </w:r>
            <w:r>
              <w:rPr>
                <w:rFonts w:hint="eastAsia" w:ascii="宋体" w:hAnsi="宋体" w:eastAsia="宋体" w:cs="宋体"/>
                <w:color w:val="000000"/>
                <w:sz w:val="20"/>
                <w:szCs w:val="20"/>
                <w:u w:val="single"/>
                <w:bdr w:val="none" w:color="auto" w:sz="0" w:space="0"/>
              </w:rPr>
              <w:t> </w:t>
            </w:r>
            <w:r>
              <w:rPr>
                <w:rFonts w:hint="eastAsia" w:ascii="仿宋" w:hAnsi="仿宋" w:eastAsia="仿宋" w:cs="仿宋"/>
                <w:color w:val="000000"/>
                <w:sz w:val="20"/>
                <w:szCs w:val="20"/>
                <w:u w:val="single"/>
                <w:bdr w:val="none" w:color="auto" w:sz="0" w:space="0"/>
              </w:rPr>
              <w:t>健康小屋系统</w:t>
            </w:r>
            <w:r>
              <w:rPr>
                <w:rFonts w:hint="default" w:ascii="Calibri" w:hAnsi="Calibri" w:eastAsia="宋体" w:cs="Calibri"/>
                <w:sz w:val="21"/>
                <w:szCs w:val="21"/>
                <w:u w:val="single"/>
                <w:bdr w:val="none" w:color="auto" w:sz="0" w:space="0"/>
              </w:rPr>
              <w:t> </w:t>
            </w:r>
            <w:r>
              <w:rPr>
                <w:rFonts w:hint="eastAsia" w:ascii="仿宋" w:hAnsi="仿宋" w:eastAsia="仿宋" w:cs="仿宋"/>
                <w:color w:val="000000"/>
                <w:sz w:val="20"/>
                <w:szCs w:val="20"/>
                <w:bdr w:val="none" w:color="auto" w:sz="0" w:space="0"/>
                <w:shd w:val="clear" w:fill="FFFFFF"/>
              </w:rPr>
              <w:t>。</w:t>
            </w:r>
          </w:p>
          <w:p w14:paraId="636F058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0"/>
              <w:jc w:val="both"/>
              <w:rPr>
                <w:rFonts w:hint="eastAsia" w:ascii="宋体" w:hAnsi="宋体" w:eastAsia="宋体" w:cs="宋体"/>
                <w:sz w:val="14"/>
                <w:szCs w:val="14"/>
              </w:rPr>
            </w:pPr>
            <w:r>
              <w:rPr>
                <w:rFonts w:hint="eastAsia" w:ascii="仿宋" w:hAnsi="仿宋" w:eastAsia="仿宋" w:cs="仿宋"/>
                <w:color w:val="000000"/>
                <w:sz w:val="20"/>
                <w:szCs w:val="20"/>
                <w:bdr w:val="none" w:color="auto" w:sz="0" w:space="0"/>
              </w:rPr>
              <w:t>（3）属于强制采购的节能产品的，投标人应在“商务技术文件”中按要求提供强制节能产品认证证书，未提供强制节能产品认证证书或节能产品认证证书超出有效期的，按无效响应文件处理。</w:t>
            </w:r>
          </w:p>
        </w:tc>
      </w:tr>
    </w:tbl>
    <w:p w14:paraId="468831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3.4商务要求</w:t>
      </w:r>
    </w:p>
    <w:p w14:paraId="02CE2E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3.4.1交货时间</w:t>
      </w:r>
    </w:p>
    <w:p w14:paraId="4CB022C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采购包1：</w:t>
      </w:r>
    </w:p>
    <w:p w14:paraId="69D39C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自合同签订生效之日起60天完成供货、安装、调试、验收</w:t>
      </w:r>
    </w:p>
    <w:p w14:paraId="28F421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采购包2：</w:t>
      </w:r>
    </w:p>
    <w:p w14:paraId="45B6FA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自合同签订生效之日起60天完成供货、安装、调试、验收</w:t>
      </w:r>
    </w:p>
    <w:p w14:paraId="577D15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采购包3：</w:t>
      </w:r>
    </w:p>
    <w:p w14:paraId="6113CB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自合同签订生效之日起60天完成供货、安装、调试、验收</w:t>
      </w:r>
    </w:p>
    <w:p w14:paraId="146434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3.4.2交货地点</w:t>
      </w:r>
    </w:p>
    <w:p w14:paraId="7AB5FB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采购包1：</w:t>
      </w:r>
    </w:p>
    <w:p w14:paraId="7A0411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按采购人指定地点</w:t>
      </w:r>
    </w:p>
    <w:p w14:paraId="42F2C1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采购包2：</w:t>
      </w:r>
    </w:p>
    <w:p w14:paraId="4DAFA3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按采购人指定地点</w:t>
      </w:r>
    </w:p>
    <w:p w14:paraId="370D4C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采购包3：</w:t>
      </w:r>
    </w:p>
    <w:p w14:paraId="5398C0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按采购人指定地点</w:t>
      </w:r>
    </w:p>
    <w:p w14:paraId="4DF31A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3.4.3支付方式</w:t>
      </w:r>
    </w:p>
    <w:p w14:paraId="184D39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采购包1：</w:t>
      </w:r>
    </w:p>
    <w:p w14:paraId="728639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一次付清</w:t>
      </w:r>
    </w:p>
    <w:p w14:paraId="3F42E9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采购包2：</w:t>
      </w:r>
    </w:p>
    <w:p w14:paraId="69A87F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一次付清</w:t>
      </w:r>
    </w:p>
    <w:p w14:paraId="6FC874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采购包3：</w:t>
      </w:r>
    </w:p>
    <w:p w14:paraId="683C05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一次付清</w:t>
      </w:r>
    </w:p>
    <w:p w14:paraId="367EE6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3.4.4支付约定</w:t>
      </w:r>
    </w:p>
    <w:p w14:paraId="0966AE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采购包1： 付款条件说明： 所有货物供货、安装、调试、验收合格 ，达到付款条件起 30 日内，支付合同总金额的 100.00%。</w:t>
      </w:r>
    </w:p>
    <w:p w14:paraId="301257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采购包2： 付款条件说明： 所有货物供货、安装、调试、验收合格 ，达到付款条件起 30 日内，支付合同总金额的 100.00%。</w:t>
      </w:r>
    </w:p>
    <w:p w14:paraId="675517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采购包3： 付款条件说明： 所有货物供货、安装、调试、验收合格 ，达到付款条件起 30 日内，支付合同总金额的 100.00%。</w:t>
      </w:r>
    </w:p>
    <w:p w14:paraId="6C1AFC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3.4.5验收标准和方法</w:t>
      </w:r>
    </w:p>
    <w:p w14:paraId="0E4AA1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采购包1：</w:t>
      </w:r>
    </w:p>
    <w:p w14:paraId="02D8FC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现行的国家标准或国家行政部门颁布的法律法规、规章制度等，是项目验收的重要依据，采购人单位按照国家（行业）强制性标准及合同约定对中标人所供的货物（产品）或服务进行检查或验收，中标人须无条件地接受采购人的各类检查或验收；若验收不通过或质量不合格，中标人应在一定期限进行整改完善，以采购人要求的标准提供合格的货物（产品）或服务；若中标人在接受检查整改后，仍不能提供符合采购要求的合格货物（产品）或服务，采购人有权按违约予以撤项，具体按合同相关条款执行</w:t>
      </w:r>
    </w:p>
    <w:p w14:paraId="2D16DE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采购包2：</w:t>
      </w:r>
    </w:p>
    <w:p w14:paraId="175780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现行的国家标准或国家行政部门颁布的法律法规、规章制度等，是项目验收的重要依据，采购人单位按照国家（行业）强制性标准及合同约定对中标人所供的货物（产品）或服务进行检查或验收，中标人须无条件地接受采购人的各类检查或验收；若验收不通过或质量不合格，中标人应在一定期限进行整改完善，以采购人要求的标准提供合格的货物（产品）或服务；若中标人在接受检查整改后，仍不能提供符合采购要求的合格货物（产品）或服务，采购人有权按违约予以撤项，具体按合同相关条款执行</w:t>
      </w:r>
    </w:p>
    <w:p w14:paraId="75F7C4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采购包3：</w:t>
      </w:r>
    </w:p>
    <w:p w14:paraId="2B0240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现行的国家标准或国家行政部门颁布的法律法规、规章制度等，是项目验收的重要依据，采购人单位按照国家（行业）强制性标准及合同约定对中标人所供的货物（产品）或服务进行检查或验收，中标人须无条件地接受采购人的各类检查或验收；若验收不通过或质量不合格，中标人应在一定期限进行整改完善，以采购人要求的标准提供合格的货物（产品）或服务；若中标人在接受检查整改后，仍不能提供符合采购要求的合格货物（产品）或服务，采购人有权按违约予以撤项，具体按合同相关条款执行</w:t>
      </w:r>
    </w:p>
    <w:p w14:paraId="208871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3.4.6包装方式及运输</w:t>
      </w:r>
    </w:p>
    <w:p w14:paraId="114176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采购包1：</w:t>
      </w:r>
    </w:p>
    <w:p w14:paraId="506092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1）运输要求：采用公路或铁路运输方式，选择风险小、运费低和运距短的运输路线。运杂费一次性包死在总价内，采购人不再额外支付，包括从生产厂家到使用（安装）现场的包装、装载、运输、卸载、现场保管、二次倒运等费用。 （2）包装要求：①全部货物（产品）均应按照国家、行业规定的标准和保护措施进行包装，该包装应适应于远距离运输、防潮、防震、防锈和防野蛮装卸，以确保货物安全运抵指定地点；②当包装使用塑料、纸质、木材等包装材料时，除应当按照国家、行业规定的包装标准进行包装外，还需按照《商品包装政府采购需求标准（试行）》（财办库〔2020〕）123号）规定的环保要求进行包装；③当采用快递交货方式时，快递包装除应当按照国家、行业规定的包装标准进行包装外，还需按照《快递包装政府采购需求标准（试行）》（财办库〔2020〕）123号）规定的环保要求进行包装。</w:t>
      </w:r>
    </w:p>
    <w:p w14:paraId="2AEDCC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采购包2：</w:t>
      </w:r>
    </w:p>
    <w:p w14:paraId="37C050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1）运输要求：采用公路或铁路运输方式，选择风险小、运费低和运距短的运输路线。运杂费一次性包死在总价内，采购人不再额外支付，包括从生产厂家到使用（安装）现场的包装、装载、运输、卸载、现场保管、二次倒运等费用。 （2）包装要求：①全部货物（产品）均应按照国家、行业规定的标准和保护措施进行包装，该包装应适应于远距离运输、防潮、防震、防锈和防野蛮装卸，以确保货物安全运抵指定地点；②当包装使用塑料、纸质、木材等包装材料时，除应当按照国家、行业规定的包装标准进行包装外，还需按照《商品包装政府采购需求标准（试行）》（财办库〔2020〕）123号）规定的环保要求进行包装；③当采用快递交货方式时，快递包装除应当按照国家、行业规定的包装标准进行包装外，还需按照《快递包装政府采购需求标准（试行）》（财办库〔2020〕）123号）规定的环保要求进行包装。</w:t>
      </w:r>
    </w:p>
    <w:p w14:paraId="371BAA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采购包3：</w:t>
      </w:r>
    </w:p>
    <w:p w14:paraId="3B1F6E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1）运输要求：采用公路或铁路运输方式，选择风险小、运费低和运距短的运输路线。运杂费一次性包死在总价内，采购人不再额外支付，包括从生产厂家到使用（安装）现场的包装、装载、运输、卸载、现场保管、二次倒运等费用。 （2）包装要求：①全部货物（产品）均应按照国家、行业规定的标准和保护措施进行包装，该包装应适应于远距离运输、防潮、防震、防锈和防野蛮装卸，以确保货物安全运抵指定地点；②当包装使用塑料、纸质、木材等包装材料时，除应当按照国家、行业规定的包装标准进行包装外，还需按照《商品包装政府采购需求标准（试行）》（财办库〔2020〕）123号）规定的环保要求进行包装；③当采用快递交货方式时，快递包装除应当按照国家、行业规定的包装标准进行包装外，还需按照《快递包装政府采购需求标准（试行）》（财办库〔2020〕）123号）规定的环保要求进行包装。</w:t>
      </w:r>
    </w:p>
    <w:p w14:paraId="5B414E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3.4.7质量保修范围和保修期</w:t>
      </w:r>
    </w:p>
    <w:p w14:paraId="76139B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采购包1：</w:t>
      </w:r>
    </w:p>
    <w:p w14:paraId="4BFDEF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本项目整体质保期≥24个月，投标人承诺超过采购文件要求的，按其承诺的质保期进行质保，质保期起始时间为终验合格之日</w:t>
      </w:r>
    </w:p>
    <w:p w14:paraId="1A72DF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采购包2：</w:t>
      </w:r>
    </w:p>
    <w:p w14:paraId="32734C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本项目整体质保期≥24个月，投标人承诺超过采购文件要求的，按其承诺的质保期进行质保，质保期起始时间为终验合格之日。</w:t>
      </w:r>
    </w:p>
    <w:p w14:paraId="212EE8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采购包3：</w:t>
      </w:r>
    </w:p>
    <w:p w14:paraId="4E0898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本项目整体质保期≥24个月，投标人承诺超过采购文件要求的，按其承诺的质保期进行质保，质保期起始时间为终验合格之日。</w:t>
      </w:r>
    </w:p>
    <w:p w14:paraId="2F0757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3.4.8违约责任与解决争议的方法</w:t>
      </w:r>
    </w:p>
    <w:p w14:paraId="567A37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采购包1：</w:t>
      </w:r>
    </w:p>
    <w:p w14:paraId="559C22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详见合同条款</w:t>
      </w:r>
    </w:p>
    <w:p w14:paraId="2E15E0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采购包2：</w:t>
      </w:r>
    </w:p>
    <w:p w14:paraId="6E0452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详见合同条款</w:t>
      </w:r>
    </w:p>
    <w:p w14:paraId="1E9BC0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采购包3：</w:t>
      </w:r>
    </w:p>
    <w:p w14:paraId="7C7A9D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详见合同条款</w:t>
      </w:r>
    </w:p>
    <w:p w14:paraId="4BD9C5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3.5其他要求</w:t>
      </w:r>
    </w:p>
    <w:p w14:paraId="736ABB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4"/>
          <w:szCs w:val="14"/>
        </w:rPr>
      </w:pPr>
      <w:r>
        <w:rPr>
          <w:rFonts w:hint="eastAsia" w:ascii="宋体" w:hAnsi="宋体" w:eastAsia="宋体" w:cs="宋体"/>
          <w:i w:val="0"/>
          <w:iCs w:val="0"/>
          <w:caps w:val="0"/>
          <w:color w:val="0A82E5"/>
          <w:spacing w:val="0"/>
          <w:sz w:val="14"/>
          <w:szCs w:val="14"/>
          <w:bdr w:val="none" w:color="auto" w:sz="0" w:space="0"/>
          <w:shd w:val="clear" w:fill="FFFFFF"/>
        </w:rPr>
        <w:t>一、投标人的报价是投标人响应招标项目要求的全部工作内容的价格体现，包括投标人完成本项目所需的直接费、间接费、利润、税金及其他相关的一切费用，包括但不限于：产品费、附件费、工具费、验收费、运输费、保险费、安装费、调试费、技术服务费（含售后）、招标代理费、税金、利润及不可预见费等费用；投标总价中不得包含招标文件要求以外的内容，否则，在评标时不予核减。在提供服务的过程中出现的任何遗漏，均由中标人免费提供，采购人将不再支付任何费用。 二、投标有效期 1.出现特殊情况需要延长投标有效期的，采购代理机构或采购人可于投标有效期满之前，以书面形式通知所有投标人延长投标有效期。投标人应予书面答复，同意延长的，但不得要求或被允许修改其投标文件；投标人拒绝延长的，其投标文件失效。 2.在投标有效期内，投标人撤销投标文件的，应承担投标文件和法律规定的责任。 3.中标人的投标有效期自动延长至合同终止为止。 三、合格投标人少于3家的处理 1.评审过程中，若出现合格投标人只有2家时，采购人经同级财政部门同意后，可以按《政府采购非招标采购方式管理办法》（财政部第74号令）的规定与该2家投标人进行竞争性谈判采购。只有1家时，采购人应依法重新组织采购活动。 2.评审过程中，除符合第1条条款规定情形外，若出现合格投标人少于3家时，采购人应依法重新组织采购活动。 四、分公司独立参与投标时，不能使用总公司的资质或业绩；总公司单独参与投标时，除总公司所投产品为分公司生产的产品外，不能使用分公司的资质或业绩。总公司授权分公司或分支机构参与投标，可以使用总公司的资质或业绩。 五、文件中签名是指：手写签名或加盖签名章（含电子），盖章是指加盖单位章（含电子）。 六、恶意质疑、投诉的法律后果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二百四十三条【诬告陷害罪】捏造事实诬告陷害他人，意图使他人受到刑事追究，情节严重的，处三年以下有期徒刑、拘役或者管制；造成严重后果的，处三年以上十年以下有期徒刑。 （2）《中华人民共和国刑法》第二百四十六条【侮辱罪、诽谤罪】以暴力或者其他方法公然侮辱他人或者捏造事实诽谤他人，情节严重的，处三年以下有期徒刑、拘役、管制或者剥夺政治权利。 七、参与本项目的投标人应通过陕西省政府采购综合管理平台的项目电子化交易系统在线实施报名、获取采购文件、响应、报价等操作，投标人无需现场提供纸质响应文件。但在中标（成交）后，中标（成交）供应商在领取中标（成交）通知书时需提供纸质响应文件正本一套、副本一套用于备案，纸质投标文件应通过专用制作软件直接打印，确保与项目电子化交易系统中的电子投标文件保持一致，不允许修改和补充。中标（成交）通知书领取地址：西安市雁塔区雁翔路111号赛格·中京坊6幢1（公寓A1）单元2层10201室招标一部。</w:t>
      </w:r>
    </w:p>
    <w:p w14:paraId="4EAD26B5">
      <w:r>
        <w:br w:type="page"/>
      </w:r>
    </w:p>
    <w:p w14:paraId="11E58127">
      <w:pP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附表：</w:t>
      </w:r>
    </w:p>
    <w:p w14:paraId="201E03E8">
      <w:pPr>
        <w:pStyle w:val="12"/>
        <w:jc w:val="center"/>
        <w:rPr>
          <w:rFonts w:hint="eastAsia" w:asciiTheme="minorEastAsia" w:hAnsiTheme="minorEastAsia" w:eastAsiaTheme="minorEastAsia" w:cstheme="minorEastAsia"/>
          <w:b/>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0"/>
          <w:szCs w:val="20"/>
          <w:highlight w:val="none"/>
          <w:lang w:val="en-US" w:eastAsia="zh-CN"/>
          <w14:textFill>
            <w14:solidFill>
              <w14:schemeClr w14:val="tx1"/>
            </w14:solidFill>
          </w14:textFill>
        </w:rPr>
        <w:t>采购包1（健康检测设备）采购</w:t>
      </w:r>
      <w:r>
        <w:rPr>
          <w:rFonts w:hint="eastAsia" w:asciiTheme="minorEastAsia" w:hAnsiTheme="minorEastAsia" w:eastAsiaTheme="minorEastAsia" w:cstheme="minorEastAsia"/>
          <w:b/>
          <w:color w:val="000000" w:themeColor="text1"/>
          <w:sz w:val="20"/>
          <w:szCs w:val="20"/>
          <w:highlight w:val="none"/>
          <w14:textFill>
            <w14:solidFill>
              <w14:schemeClr w14:val="tx1"/>
            </w14:solidFill>
          </w14:textFill>
        </w:rPr>
        <w:t>需求清单</w:t>
      </w:r>
    </w:p>
    <w:tbl>
      <w:tblPr>
        <w:tblStyle w:val="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512"/>
        <w:gridCol w:w="5823"/>
        <w:gridCol w:w="741"/>
        <w:gridCol w:w="815"/>
      </w:tblGrid>
      <w:tr w14:paraId="7DB6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43" w:type="dxa"/>
            <w:vAlign w:val="center"/>
          </w:tcPr>
          <w:p w14:paraId="217989C9">
            <w:pPr>
              <w:jc w:val="cente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t>序号</w:t>
            </w:r>
          </w:p>
        </w:tc>
        <w:tc>
          <w:tcPr>
            <w:tcW w:w="1512" w:type="dxa"/>
            <w:vAlign w:val="center"/>
          </w:tcPr>
          <w:p w14:paraId="6F9D0329">
            <w:pPr>
              <w:jc w:val="cente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t>名称</w:t>
            </w:r>
          </w:p>
        </w:tc>
        <w:tc>
          <w:tcPr>
            <w:tcW w:w="5823" w:type="dxa"/>
            <w:vAlign w:val="center"/>
          </w:tcPr>
          <w:p w14:paraId="49F8D5EC">
            <w:pPr>
              <w:jc w:val="cente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t>技术规格要求</w:t>
            </w:r>
          </w:p>
        </w:tc>
        <w:tc>
          <w:tcPr>
            <w:tcW w:w="741" w:type="dxa"/>
            <w:vAlign w:val="center"/>
          </w:tcPr>
          <w:p w14:paraId="4513E8BE">
            <w:pPr>
              <w:jc w:val="center"/>
              <w:rPr>
                <w:rFonts w:hint="eastAsia" w:asciiTheme="minorEastAsia" w:hAnsiTheme="minorEastAsia" w:eastAsiaTheme="minorEastAsia" w:cstheme="minorEastAsia"/>
                <w:b/>
                <w:bCs w:val="0"/>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0"/>
                <w:szCs w:val="20"/>
                <w:highlight w:val="none"/>
                <w:lang w:val="en-US" w:eastAsia="zh-CN"/>
                <w14:textFill>
                  <w14:solidFill>
                    <w14:schemeClr w14:val="tx1"/>
                  </w14:solidFill>
                </w14:textFill>
              </w:rPr>
              <w:t>数量</w:t>
            </w:r>
          </w:p>
        </w:tc>
        <w:tc>
          <w:tcPr>
            <w:tcW w:w="815" w:type="dxa"/>
            <w:vAlign w:val="center"/>
          </w:tcPr>
          <w:p w14:paraId="31F95105">
            <w:pPr>
              <w:jc w:val="center"/>
              <w:rPr>
                <w:rFonts w:hint="eastAsia" w:asciiTheme="minorEastAsia" w:hAnsiTheme="minorEastAsia" w:eastAsiaTheme="minorEastAsia" w:cstheme="minorEastAsia"/>
                <w:b/>
                <w:bCs w:val="0"/>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0"/>
                <w:szCs w:val="20"/>
                <w:highlight w:val="none"/>
                <w:lang w:val="en-US" w:eastAsia="zh-CN"/>
                <w14:textFill>
                  <w14:solidFill>
                    <w14:schemeClr w14:val="tx1"/>
                  </w14:solidFill>
                </w14:textFill>
              </w:rPr>
              <w:t>单位</w:t>
            </w:r>
          </w:p>
        </w:tc>
      </w:tr>
      <w:tr w14:paraId="0612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675D0D0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1</w:t>
            </w:r>
          </w:p>
        </w:tc>
        <w:tc>
          <w:tcPr>
            <w:tcW w:w="1512" w:type="dxa"/>
            <w:vAlign w:val="center"/>
          </w:tcPr>
          <w:p w14:paraId="0DD3764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p>
          <w:p w14:paraId="4B41200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p>
          <w:p w14:paraId="6886F2C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血糖尿酸总胆固醇测试仪</w:t>
            </w:r>
          </w:p>
        </w:tc>
        <w:tc>
          <w:tcPr>
            <w:tcW w:w="5823" w:type="dxa"/>
            <w:vAlign w:val="center"/>
          </w:tcPr>
          <w:p w14:paraId="31F1DF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电化学生物感应法检测原理；</w:t>
            </w:r>
          </w:p>
          <w:p w14:paraId="1BE3E6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测量范围：血糖1.1-33.3mmol/L</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尿酸0.18-1.19mmol/L</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总胆固醇2.59-10.35mmol/L；</w:t>
            </w:r>
          </w:p>
          <w:p w14:paraId="596B6C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采血量：血糖采血量≥0.7μl</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尿酸采血量≥1.5μl</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总胆固醇采血量 ≥10.0μl；</w:t>
            </w:r>
          </w:p>
          <w:p w14:paraId="510FDB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4.采用</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虹吸孔试纸条，</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追加采血；</w:t>
            </w:r>
          </w:p>
          <w:p w14:paraId="70D223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有数据线接口，</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配合数据线或蓝牙传输数据；</w:t>
            </w:r>
          </w:p>
          <w:p w14:paraId="79026F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vertAlign w:val="baseli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退片设计，试纸按键弹出。</w:t>
            </w:r>
          </w:p>
        </w:tc>
        <w:tc>
          <w:tcPr>
            <w:tcW w:w="741" w:type="dxa"/>
            <w:vAlign w:val="center"/>
          </w:tcPr>
          <w:p w14:paraId="5C26430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9</w:t>
            </w:r>
          </w:p>
        </w:tc>
        <w:tc>
          <w:tcPr>
            <w:tcW w:w="815" w:type="dxa"/>
            <w:vAlign w:val="center"/>
          </w:tcPr>
          <w:p w14:paraId="46AA474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台</w:t>
            </w:r>
          </w:p>
        </w:tc>
      </w:tr>
      <w:tr w14:paraId="4DB3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023143A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2</w:t>
            </w:r>
          </w:p>
        </w:tc>
        <w:tc>
          <w:tcPr>
            <w:tcW w:w="1512" w:type="dxa"/>
            <w:vAlign w:val="center"/>
          </w:tcPr>
          <w:p w14:paraId="6B26701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p>
          <w:p w14:paraId="3AF2654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糖尿病视网膜筛查仪</w:t>
            </w:r>
          </w:p>
        </w:tc>
        <w:tc>
          <w:tcPr>
            <w:tcW w:w="5823" w:type="dxa"/>
            <w:vAlign w:val="center"/>
          </w:tcPr>
          <w:p w14:paraId="78E29F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自动判断眼底图像质量；</w:t>
            </w:r>
          </w:p>
          <w:p w14:paraId="1B2F22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视场角≥35度；</w:t>
            </w:r>
          </w:p>
          <w:p w14:paraId="46F398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最小孔径≤4.mm；</w:t>
            </w:r>
          </w:p>
          <w:p w14:paraId="657108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手动、自动调焦方式；</w:t>
            </w:r>
          </w:p>
          <w:p w14:paraId="73CC5D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相机像素：≥800万；</w:t>
            </w:r>
          </w:p>
          <w:p w14:paraId="4F1378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智能语音导航</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拍摄全程播放语音提示</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引导用户自主完成拍摄；</w:t>
            </w:r>
          </w:p>
          <w:p w14:paraId="3A1B00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数据接口</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USB，HDMI, WIFI/4G</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等</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w:t>
            </w:r>
          </w:p>
          <w:p w14:paraId="0022CC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8.具备</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糖尿病视网膜病变辅助诊断软件。</w:t>
            </w:r>
          </w:p>
        </w:tc>
        <w:tc>
          <w:tcPr>
            <w:tcW w:w="741" w:type="dxa"/>
            <w:vAlign w:val="center"/>
          </w:tcPr>
          <w:p w14:paraId="4DA267E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9</w:t>
            </w:r>
          </w:p>
        </w:tc>
        <w:tc>
          <w:tcPr>
            <w:tcW w:w="815" w:type="dxa"/>
            <w:vAlign w:val="center"/>
          </w:tcPr>
          <w:p w14:paraId="2A4F784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台</w:t>
            </w:r>
          </w:p>
        </w:tc>
      </w:tr>
      <w:tr w14:paraId="55E6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2AB79DB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3</w:t>
            </w:r>
          </w:p>
        </w:tc>
        <w:tc>
          <w:tcPr>
            <w:tcW w:w="1512" w:type="dxa"/>
            <w:vAlign w:val="center"/>
          </w:tcPr>
          <w:p w14:paraId="3A7CE44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p>
          <w:p w14:paraId="3BA477D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超声骨密度检测仪</w:t>
            </w:r>
          </w:p>
        </w:tc>
        <w:tc>
          <w:tcPr>
            <w:tcW w:w="5823" w:type="dxa"/>
            <w:vAlign w:val="center"/>
          </w:tcPr>
          <w:p w14:paraId="5F3CD9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通过设备屏幕显示测量结果，支持平板或电脑进行结果</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显示</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w:t>
            </w:r>
          </w:p>
          <w:p w14:paraId="3319C8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探头声工作频率：0.5</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0</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MHz，实际的声工作频率与标称声工作频率的偏差</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±15%；</w:t>
            </w:r>
          </w:p>
          <w:p w14:paraId="22292D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测量精度：SOS误差</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±2%，测量重复性</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±1%；BUA测量重复性</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±5%；</w:t>
            </w:r>
          </w:p>
          <w:p w14:paraId="66D2A0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4.具备</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测量SOS、BUA、T值、Z值、OI指数</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等功能</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BUA测量频率范围：0.25-0.65MHz；</w:t>
            </w:r>
          </w:p>
          <w:p w14:paraId="2404FB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适用脚范围：（34-46）码且跟骨厚度（28-58）mm；</w:t>
            </w:r>
          </w:p>
          <w:p w14:paraId="0EA1F2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测量时间：</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S；</w:t>
            </w:r>
          </w:p>
          <w:p w14:paraId="175E83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输出端口</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RS-232、USB</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等</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，支持其他扩展；</w:t>
            </w:r>
          </w:p>
          <w:p w14:paraId="7AD436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8.采用</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油囊探头，</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确保</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在产品寿命期内不需更换；</w:t>
            </w:r>
          </w:p>
          <w:p w14:paraId="4DE92E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9.</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自带校准模块，</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进行设备启动及日常使用校准</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p>
          <w:p w14:paraId="466CF7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0"/>
                <w:szCs w:val="20"/>
                <w:highlight w:val="none"/>
                <w:lang w:val="en-US"/>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10.提供第三方机构出具的超声骨密度软件产品质量检测检验软件产品登记测试报告。</w:t>
            </w:r>
          </w:p>
        </w:tc>
        <w:tc>
          <w:tcPr>
            <w:tcW w:w="741" w:type="dxa"/>
            <w:vAlign w:val="center"/>
          </w:tcPr>
          <w:p w14:paraId="2BBBE58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9</w:t>
            </w:r>
          </w:p>
        </w:tc>
        <w:tc>
          <w:tcPr>
            <w:tcW w:w="815" w:type="dxa"/>
            <w:vAlign w:val="center"/>
          </w:tcPr>
          <w:p w14:paraId="1068409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台</w:t>
            </w:r>
          </w:p>
        </w:tc>
      </w:tr>
      <w:tr w14:paraId="5E06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5A78F5F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4</w:t>
            </w:r>
          </w:p>
        </w:tc>
        <w:tc>
          <w:tcPr>
            <w:tcW w:w="1512" w:type="dxa"/>
            <w:vAlign w:val="center"/>
          </w:tcPr>
          <w:p w14:paraId="2431773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p>
          <w:p w14:paraId="1179D9C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肺功能检测仪</w:t>
            </w:r>
          </w:p>
        </w:tc>
        <w:tc>
          <w:tcPr>
            <w:tcW w:w="5823" w:type="dxa"/>
            <w:vAlign w:val="center"/>
          </w:tcPr>
          <w:p w14:paraId="7383DF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10英寸LCD真彩液晶屏</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分辨率：</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800×480</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全触控操作；</w:t>
            </w:r>
          </w:p>
          <w:p w14:paraId="4B0D0B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可检测吸入和呼出气量和流速；</w:t>
            </w:r>
          </w:p>
          <w:p w14:paraId="76ACD6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气体容量检测精度：±2%或±0.050L，取其大者</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；（以检测报告为准）</w:t>
            </w:r>
          </w:p>
          <w:p w14:paraId="7E67BC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气体流量检测精度：±5%或±0.3L/s， 取其大者</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；（以检测报告为准）</w:t>
            </w:r>
          </w:p>
          <w:p w14:paraId="6C8E55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内置高速热敏打印机；</w:t>
            </w:r>
          </w:p>
          <w:p w14:paraId="052362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6.具备</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完整的肺功能检测项目：用力肺活量测试曲线（FVC-T）</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流速容量曲线（F-V）</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肺活量曲线（VC）</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最大通气量测试曲线（MVV-T）</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用药前后及气道反应性试验；</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检测项目可单独或组合进行测试，并</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自动诊断、报告预览、存储、查询与打印等功能；</w:t>
            </w:r>
          </w:p>
          <w:p w14:paraId="4E8E83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标配</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可</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存储</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1万人次的测量数据与曲线</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的</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SD卡存储芯片，并</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重复使用；</w:t>
            </w:r>
          </w:p>
          <w:p w14:paraId="377773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8.支持通过</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USB接口实现与计算机工作站的双向数据通讯，并</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通过专用管理信息系统进行档案的数据、曲线、诊断结果查询和打印。</w:t>
            </w:r>
          </w:p>
        </w:tc>
        <w:tc>
          <w:tcPr>
            <w:tcW w:w="741" w:type="dxa"/>
            <w:vAlign w:val="center"/>
          </w:tcPr>
          <w:p w14:paraId="33D8CEF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9</w:t>
            </w:r>
          </w:p>
        </w:tc>
        <w:tc>
          <w:tcPr>
            <w:tcW w:w="815" w:type="dxa"/>
            <w:vAlign w:val="center"/>
          </w:tcPr>
          <w:p w14:paraId="33BC215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台</w:t>
            </w:r>
          </w:p>
        </w:tc>
      </w:tr>
      <w:tr w14:paraId="7ECC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42E7B41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5</w:t>
            </w:r>
          </w:p>
        </w:tc>
        <w:tc>
          <w:tcPr>
            <w:tcW w:w="1512" w:type="dxa"/>
            <w:vAlign w:val="center"/>
          </w:tcPr>
          <w:p w14:paraId="2D12BA3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p>
          <w:p w14:paraId="0846BE5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全自动智能电子血压仪</w:t>
            </w:r>
          </w:p>
        </w:tc>
        <w:tc>
          <w:tcPr>
            <w:tcW w:w="5823" w:type="dxa"/>
            <w:vAlign w:val="center"/>
          </w:tcPr>
          <w:p w14:paraId="2DACC3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示波法测量原理；</w:t>
            </w:r>
          </w:p>
          <w:p w14:paraId="00E6BF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升压型测量</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方式</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，在压力上升过程中测量血压，压力值上升到收缩压位置测量结束，无需加压到峰值再降压检测；</w:t>
            </w:r>
          </w:p>
          <w:p w14:paraId="66C58E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左、右臂</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等</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测量部位均可测量，另设置开关键；</w:t>
            </w:r>
          </w:p>
          <w:p w14:paraId="7BCD85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LED数字显示屏；</w:t>
            </w:r>
          </w:p>
          <w:p w14:paraId="7E7BB7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输出值：收缩压、舒张压、脉搏；</w:t>
            </w:r>
          </w:p>
          <w:p w14:paraId="4D58BB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血压测量范围：0～300mmHg；</w:t>
            </w:r>
          </w:p>
          <w:p w14:paraId="039C68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脉搏数测定范围：30～200bpm；</w:t>
            </w:r>
          </w:p>
          <w:p w14:paraId="1C63C9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8.支持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语音提示，</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支持可</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调节</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档语音大小；</w:t>
            </w:r>
          </w:p>
          <w:p w14:paraId="7486F3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9.</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约40秒测量时间；</w:t>
            </w:r>
          </w:p>
          <w:p w14:paraId="27DD27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10.</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采用抗菌材料袖带，</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袖套可拆卸清洗；</w:t>
            </w:r>
          </w:p>
          <w:p w14:paraId="6999EF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适用臂围：16-43cm；</w:t>
            </w:r>
          </w:p>
          <w:p w14:paraId="7BFC71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精确度：血压±2mmHg，脉搏：±2%；</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在量程任何测量点上，静态压力和动态压力测量的最大误差应是±0.3Kpa（±2mmHg）</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；（以检测报告为准）</w:t>
            </w:r>
          </w:p>
          <w:p w14:paraId="7DE248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13.具备</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过压、停电自动放气、紧急停止</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等</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保护措施；</w:t>
            </w:r>
          </w:p>
          <w:p w14:paraId="152975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14.</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机身</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设置肘部按键检测功能，确保身体坐姿到位与肘垫放置正确才能开始测量，如未放置到位，</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具备</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语音提示功能，避免因身体坐姿和胳膊放置位置不当导致测量偏差；</w:t>
            </w:r>
          </w:p>
          <w:p w14:paraId="4C5751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提供血压仪工作站软件著作权证书。</w:t>
            </w:r>
          </w:p>
        </w:tc>
        <w:tc>
          <w:tcPr>
            <w:tcW w:w="741" w:type="dxa"/>
            <w:vAlign w:val="center"/>
          </w:tcPr>
          <w:p w14:paraId="5185A5B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9</w:t>
            </w:r>
          </w:p>
        </w:tc>
        <w:tc>
          <w:tcPr>
            <w:tcW w:w="815" w:type="dxa"/>
            <w:vAlign w:val="center"/>
          </w:tcPr>
          <w:p w14:paraId="554D005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套</w:t>
            </w:r>
          </w:p>
        </w:tc>
      </w:tr>
      <w:tr w14:paraId="4314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5"/>
            <w:vAlign w:val="center"/>
          </w:tcPr>
          <w:p w14:paraId="0AF120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kern w:val="2"/>
                <w:sz w:val="20"/>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0"/>
                <w:szCs w:val="20"/>
                <w:highlight w:val="none"/>
                <w:lang w:val="en-US" w:eastAsia="zh-CN" w:bidi="ar-SA"/>
                <w14:textFill>
                  <w14:solidFill>
                    <w14:schemeClr w14:val="tx1"/>
                  </w14:solidFill>
                </w14:textFill>
              </w:rPr>
              <w:t>说明：1.有关重量、尺寸、规格、体积等的表述，允许投标人在国标允许范围内浮动，但必须满足采购人实际使用，部分外观颜色需根据实际需求供采购人可选。</w:t>
            </w:r>
          </w:p>
          <w:p w14:paraId="188486D5">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0"/>
                <w:szCs w:val="20"/>
                <w:highlight w:val="none"/>
                <w:lang w:val="en-US" w:eastAsia="zh-CN" w:bidi="ar-SA"/>
                <w14:textFill>
                  <w14:solidFill>
                    <w14:schemeClr w14:val="tx1"/>
                  </w14:solidFill>
                </w14:textFill>
              </w:rPr>
              <w:t>2.带“▲”号的技术指标参数为允许负偏离的技术指标参数需求，若未响应或者不满足，将在综合评审中予以扣分处理；带“★”的技术指标参数为实质性要求，若未响应或者不满足，将按废标处理；投标人未按要求提供相关证明材料或技术指标参数存在负偏离的，均按无效响应。</w:t>
            </w:r>
          </w:p>
        </w:tc>
      </w:tr>
    </w:tbl>
    <w:p w14:paraId="5766001B">
      <w:pPr>
        <w:pStyle w:val="12"/>
        <w:jc w:val="both"/>
        <w:rPr>
          <w:rFonts w:hint="eastAsia" w:asciiTheme="minorEastAsia" w:hAnsiTheme="minorEastAsia" w:eastAsiaTheme="minorEastAsia" w:cstheme="minorEastAsia"/>
          <w:b/>
          <w:color w:val="000000" w:themeColor="text1"/>
          <w:sz w:val="20"/>
          <w:szCs w:val="20"/>
          <w:highlight w:val="none"/>
          <w14:textFill>
            <w14:solidFill>
              <w14:schemeClr w14:val="tx1"/>
            </w14:solidFill>
          </w14:textFill>
        </w:rPr>
      </w:pPr>
    </w:p>
    <w:p w14:paraId="21F2E3A0">
      <w:pPr>
        <w:pStyle w:val="12"/>
        <w:jc w:val="both"/>
        <w:rPr>
          <w:rFonts w:hint="eastAsia" w:asciiTheme="minorEastAsia" w:hAnsiTheme="minorEastAsia" w:eastAsiaTheme="minorEastAsia" w:cstheme="minorEastAsia"/>
          <w:b/>
          <w:color w:val="000000" w:themeColor="text1"/>
          <w:sz w:val="20"/>
          <w:szCs w:val="20"/>
          <w:highlight w:val="none"/>
          <w14:textFill>
            <w14:solidFill>
              <w14:schemeClr w14:val="tx1"/>
            </w14:solidFill>
          </w14:textFill>
        </w:rPr>
      </w:pPr>
    </w:p>
    <w:p w14:paraId="2D04E7B1">
      <w:pPr>
        <w:pStyle w:val="12"/>
        <w:jc w:val="both"/>
        <w:rPr>
          <w:rFonts w:hint="eastAsia" w:asciiTheme="minorEastAsia" w:hAnsiTheme="minorEastAsia" w:eastAsiaTheme="minorEastAsia" w:cstheme="minorEastAsia"/>
          <w:b/>
          <w:color w:val="000000" w:themeColor="text1"/>
          <w:sz w:val="20"/>
          <w:szCs w:val="20"/>
          <w:highlight w:val="none"/>
          <w14:textFill>
            <w14:solidFill>
              <w14:schemeClr w14:val="tx1"/>
            </w14:solidFill>
          </w14:textFill>
        </w:rPr>
      </w:pPr>
    </w:p>
    <w:p w14:paraId="59FA2E9B">
      <w:pPr>
        <w:rPr>
          <w:rFonts w:hint="eastAsia" w:asciiTheme="minorEastAsia" w:hAnsiTheme="minorEastAsia" w:eastAsiaTheme="minorEastAsia" w:cstheme="minorEastAsia"/>
          <w:b/>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0"/>
          <w:szCs w:val="20"/>
          <w:highlight w:val="none"/>
          <w14:textFill>
            <w14:solidFill>
              <w14:schemeClr w14:val="tx1"/>
            </w14:solidFill>
          </w14:textFill>
        </w:rPr>
        <w:br w:type="page"/>
      </w:r>
    </w:p>
    <w:p w14:paraId="3E295192">
      <w:pPr>
        <w:pStyle w:val="12"/>
        <w:jc w:val="center"/>
        <w:rPr>
          <w:rFonts w:hint="eastAsia" w:asciiTheme="minorEastAsia" w:hAnsiTheme="minorEastAsia" w:eastAsiaTheme="minorEastAsia" w:cstheme="minorEastAsia"/>
          <w:b/>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0"/>
          <w:szCs w:val="20"/>
          <w:highlight w:val="none"/>
          <w:lang w:val="en-US" w:eastAsia="zh-CN"/>
          <w14:textFill>
            <w14:solidFill>
              <w14:schemeClr w14:val="tx1"/>
            </w14:solidFill>
          </w14:textFill>
        </w:rPr>
        <w:t>采购包2（其他辅助设备）采购</w:t>
      </w:r>
      <w:r>
        <w:rPr>
          <w:rFonts w:hint="eastAsia" w:asciiTheme="minorEastAsia" w:hAnsiTheme="minorEastAsia" w:eastAsiaTheme="minorEastAsia" w:cstheme="minorEastAsia"/>
          <w:b/>
          <w:color w:val="000000" w:themeColor="text1"/>
          <w:sz w:val="20"/>
          <w:szCs w:val="20"/>
          <w:highlight w:val="none"/>
          <w14:textFill>
            <w14:solidFill>
              <w14:schemeClr w14:val="tx1"/>
            </w14:solidFill>
          </w14:textFill>
        </w:rPr>
        <w:t>需求清单</w:t>
      </w:r>
    </w:p>
    <w:tbl>
      <w:tblPr>
        <w:tblStyle w:val="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512"/>
        <w:gridCol w:w="5823"/>
        <w:gridCol w:w="741"/>
        <w:gridCol w:w="815"/>
      </w:tblGrid>
      <w:tr w14:paraId="5735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43" w:type="dxa"/>
            <w:vAlign w:val="center"/>
          </w:tcPr>
          <w:p w14:paraId="62D84112">
            <w:pPr>
              <w:jc w:val="cente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t>序号</w:t>
            </w:r>
          </w:p>
        </w:tc>
        <w:tc>
          <w:tcPr>
            <w:tcW w:w="1512" w:type="dxa"/>
            <w:vAlign w:val="center"/>
          </w:tcPr>
          <w:p w14:paraId="1287114E">
            <w:pPr>
              <w:jc w:val="cente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t>名称</w:t>
            </w:r>
          </w:p>
        </w:tc>
        <w:tc>
          <w:tcPr>
            <w:tcW w:w="5823" w:type="dxa"/>
            <w:vAlign w:val="center"/>
          </w:tcPr>
          <w:p w14:paraId="2825B65C">
            <w:pPr>
              <w:jc w:val="cente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t>技术规格要求</w:t>
            </w:r>
          </w:p>
        </w:tc>
        <w:tc>
          <w:tcPr>
            <w:tcW w:w="741" w:type="dxa"/>
            <w:vAlign w:val="center"/>
          </w:tcPr>
          <w:p w14:paraId="0C59C08F">
            <w:pPr>
              <w:jc w:val="center"/>
              <w:rPr>
                <w:rFonts w:hint="eastAsia" w:asciiTheme="minorEastAsia" w:hAnsiTheme="minorEastAsia" w:eastAsiaTheme="minorEastAsia" w:cstheme="minorEastAsia"/>
                <w:b/>
                <w:bCs w:val="0"/>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0"/>
                <w:szCs w:val="20"/>
                <w:highlight w:val="none"/>
                <w:lang w:val="en-US" w:eastAsia="zh-CN"/>
                <w14:textFill>
                  <w14:solidFill>
                    <w14:schemeClr w14:val="tx1"/>
                  </w14:solidFill>
                </w14:textFill>
              </w:rPr>
              <w:t>数量</w:t>
            </w:r>
          </w:p>
        </w:tc>
        <w:tc>
          <w:tcPr>
            <w:tcW w:w="815" w:type="dxa"/>
            <w:vAlign w:val="center"/>
          </w:tcPr>
          <w:p w14:paraId="6C71E314">
            <w:pPr>
              <w:jc w:val="center"/>
              <w:rPr>
                <w:rFonts w:hint="eastAsia" w:asciiTheme="minorEastAsia" w:hAnsiTheme="minorEastAsia" w:eastAsiaTheme="minorEastAsia" w:cstheme="minorEastAsia"/>
                <w:b/>
                <w:bCs w:val="0"/>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0"/>
                <w:szCs w:val="20"/>
                <w:highlight w:val="none"/>
                <w:lang w:val="en-US" w:eastAsia="zh-CN"/>
                <w14:textFill>
                  <w14:solidFill>
                    <w14:schemeClr w14:val="tx1"/>
                  </w14:solidFill>
                </w14:textFill>
              </w:rPr>
              <w:t>单位</w:t>
            </w:r>
          </w:p>
        </w:tc>
      </w:tr>
      <w:tr w14:paraId="2D98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156EB8D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14:textFill>
                  <w14:solidFill>
                    <w14:schemeClr w14:val="tx1"/>
                  </w14:solidFill>
                </w14:textFill>
              </w:rPr>
              <w:t>1</w:t>
            </w:r>
          </w:p>
        </w:tc>
        <w:tc>
          <w:tcPr>
            <w:tcW w:w="1512" w:type="dxa"/>
            <w:vAlign w:val="center"/>
          </w:tcPr>
          <w:p w14:paraId="3A31A1D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健康评估一体机（身高、体重、体脂）</w:t>
            </w:r>
          </w:p>
        </w:tc>
        <w:tc>
          <w:tcPr>
            <w:tcW w:w="5823" w:type="dxa"/>
            <w:vAlign w:val="center"/>
          </w:tcPr>
          <w:p w14:paraId="7F3A3D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无接触式超声波测原理高，电子精密测重；</w:t>
            </w:r>
          </w:p>
          <w:p w14:paraId="797FE6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自动测量方式；</w:t>
            </w:r>
          </w:p>
          <w:p w14:paraId="36278F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身高范围：70cm-200cm(最小测量单位：1mm)；</w:t>
            </w:r>
          </w:p>
          <w:p w14:paraId="368C0C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体重范围：2kg-200kg (最小测量单位：100g)；</w:t>
            </w:r>
          </w:p>
          <w:p w14:paraId="12B31D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测量精度：体重测量误差≤±100g、身高测量误差≤±5mm；</w:t>
            </w:r>
          </w:p>
          <w:p w14:paraId="402B1B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输出值：身高、体重、身体质量指数（BMI）、日期时间显示；</w:t>
            </w:r>
          </w:p>
          <w:p w14:paraId="6C052E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底座自带水平仪，</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通过四角校正水平；</w:t>
            </w:r>
          </w:p>
          <w:p w14:paraId="7E07CEF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8.具备</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两种体重校准模式；</w:t>
            </w:r>
          </w:p>
          <w:p w14:paraId="765DB1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9.</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具备循环自检/测量体重、身高模式</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等</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p>
          <w:p w14:paraId="625507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10.</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通过CMC认证，获得计量器具型式评价报告。</w:t>
            </w:r>
          </w:p>
        </w:tc>
        <w:tc>
          <w:tcPr>
            <w:tcW w:w="741" w:type="dxa"/>
            <w:vAlign w:val="center"/>
          </w:tcPr>
          <w:p w14:paraId="2CA7EB9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9</w:t>
            </w:r>
          </w:p>
        </w:tc>
        <w:tc>
          <w:tcPr>
            <w:tcW w:w="815" w:type="dxa"/>
            <w:vAlign w:val="center"/>
          </w:tcPr>
          <w:p w14:paraId="5A26E2C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套</w:t>
            </w:r>
          </w:p>
        </w:tc>
      </w:tr>
      <w:tr w14:paraId="4E1D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5BC6B3B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2</w:t>
            </w:r>
          </w:p>
        </w:tc>
        <w:tc>
          <w:tcPr>
            <w:tcW w:w="1512" w:type="dxa"/>
            <w:vAlign w:val="center"/>
          </w:tcPr>
          <w:p w14:paraId="09D21CB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p>
          <w:p w14:paraId="06E9629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蓝牙腰臀尺</w:t>
            </w:r>
          </w:p>
        </w:tc>
        <w:tc>
          <w:tcPr>
            <w:tcW w:w="5823" w:type="dxa"/>
            <w:vAlign w:val="center"/>
          </w:tcPr>
          <w:p w14:paraId="13C4C1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测量范围：1-150cm；</w:t>
            </w:r>
          </w:p>
          <w:p w14:paraId="1AE3FD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测量精准：2-6mm；</w:t>
            </w:r>
          </w:p>
          <w:p w14:paraId="511393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分辨率：0.1cm；</w:t>
            </w:r>
          </w:p>
          <w:p w14:paraId="7D6950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高清屏幕；</w:t>
            </w:r>
          </w:p>
          <w:p w14:paraId="05EFE0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厘米、英寸显示单位切换；</w:t>
            </w:r>
          </w:p>
          <w:p w14:paraId="35266EF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蓝牙连接通讯方式</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p>
        </w:tc>
        <w:tc>
          <w:tcPr>
            <w:tcW w:w="741" w:type="dxa"/>
            <w:vAlign w:val="center"/>
          </w:tcPr>
          <w:p w14:paraId="267A724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p>
          <w:p w14:paraId="2FEFDA2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9</w:t>
            </w:r>
          </w:p>
        </w:tc>
        <w:tc>
          <w:tcPr>
            <w:tcW w:w="815" w:type="dxa"/>
            <w:vAlign w:val="center"/>
          </w:tcPr>
          <w:p w14:paraId="72FE9BA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个</w:t>
            </w:r>
          </w:p>
        </w:tc>
      </w:tr>
      <w:tr w14:paraId="433F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505571E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3</w:t>
            </w:r>
          </w:p>
        </w:tc>
        <w:tc>
          <w:tcPr>
            <w:tcW w:w="1512" w:type="dxa"/>
            <w:vAlign w:val="center"/>
          </w:tcPr>
          <w:p w14:paraId="0E0011E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视力表</w:t>
            </w:r>
          </w:p>
        </w:tc>
        <w:tc>
          <w:tcPr>
            <w:tcW w:w="5823" w:type="dxa"/>
            <w:vAlign w:val="center"/>
          </w:tcPr>
          <w:p w14:paraId="638B3D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采用标准的2.5米E字视力表；</w:t>
            </w:r>
          </w:p>
          <w:p w14:paraId="5B609B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使用LED光源，观察屏亮度均匀性：≥90%。</w:t>
            </w:r>
          </w:p>
        </w:tc>
        <w:tc>
          <w:tcPr>
            <w:tcW w:w="741" w:type="dxa"/>
            <w:vAlign w:val="center"/>
          </w:tcPr>
          <w:p w14:paraId="08ECFC3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9</w:t>
            </w:r>
          </w:p>
        </w:tc>
        <w:tc>
          <w:tcPr>
            <w:tcW w:w="815" w:type="dxa"/>
            <w:vAlign w:val="center"/>
          </w:tcPr>
          <w:p w14:paraId="3AAF617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份</w:t>
            </w:r>
          </w:p>
        </w:tc>
      </w:tr>
      <w:tr w14:paraId="143E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2CED034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4</w:t>
            </w:r>
          </w:p>
        </w:tc>
        <w:tc>
          <w:tcPr>
            <w:tcW w:w="1512" w:type="dxa"/>
            <w:vAlign w:val="center"/>
          </w:tcPr>
          <w:p w14:paraId="027E96A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p>
          <w:p w14:paraId="5248B39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健康档案自助查询机</w:t>
            </w:r>
          </w:p>
        </w:tc>
        <w:tc>
          <w:tcPr>
            <w:tcW w:w="5823" w:type="dxa"/>
            <w:vAlign w:val="center"/>
          </w:tcPr>
          <w:p w14:paraId="12A7CE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19寸防爆多点触摸一体屏；</w:t>
            </w:r>
          </w:p>
          <w:p w14:paraId="547657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主机</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配置：工控主板，≥</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Intel酷睿I5处理器</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处理能力</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,内存≥4GB，固态硬盘≥128GB；</w:t>
            </w:r>
          </w:p>
          <w:p w14:paraId="3D1609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具备条形码及二维码扫描器</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具备打印机</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支持A4、A5打印</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具备二代身份证读卡器；</w:t>
            </w:r>
          </w:p>
          <w:p w14:paraId="12D1C2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配套软件功能</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查询打印体检报告、历史数据、核对个人健康档案信息并提交修改申请。</w:t>
            </w:r>
          </w:p>
        </w:tc>
        <w:tc>
          <w:tcPr>
            <w:tcW w:w="741" w:type="dxa"/>
            <w:vAlign w:val="center"/>
          </w:tcPr>
          <w:p w14:paraId="26084F0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9</w:t>
            </w:r>
          </w:p>
        </w:tc>
        <w:tc>
          <w:tcPr>
            <w:tcW w:w="815" w:type="dxa"/>
            <w:vAlign w:val="center"/>
          </w:tcPr>
          <w:p w14:paraId="1778301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套</w:t>
            </w:r>
          </w:p>
        </w:tc>
      </w:tr>
      <w:tr w14:paraId="5914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1473F29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5</w:t>
            </w:r>
          </w:p>
        </w:tc>
        <w:tc>
          <w:tcPr>
            <w:tcW w:w="1512" w:type="dxa"/>
            <w:vAlign w:val="center"/>
          </w:tcPr>
          <w:p w14:paraId="3C5EA5B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中医体质辨识一体机</w:t>
            </w:r>
          </w:p>
        </w:tc>
        <w:tc>
          <w:tcPr>
            <w:tcW w:w="5823" w:type="dxa"/>
            <w:vAlign w:val="center"/>
          </w:tcPr>
          <w:p w14:paraId="24973C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依据中华中医药学会《中医体质分类与判定》标准，进行</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9种体质分类判定，并且提供营养方案、药物调理方案、饮食调理方案等；</w:t>
            </w:r>
          </w:p>
          <w:p w14:paraId="0A5FDC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主机配置：</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Intel酷睿I5</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同级别</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处理能力处理器</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其他同级别处理能力处理器均可</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，内存≥2GB，硬盘≥500G，屏幕≥19英寸；</w:t>
            </w:r>
          </w:p>
          <w:p w14:paraId="6B0D7B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3.内置≥</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3</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道题目适用于老年人群题库，</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6</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0</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道题目适用于其他人群题库</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后台</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模式可选；</w:t>
            </w:r>
          </w:p>
          <w:p w14:paraId="0CA027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通过对受测者面型特征、体型特征、饮食嗜好选定，结合进行体质分析判断；</w:t>
            </w:r>
          </w:p>
          <w:p w14:paraId="48F6EB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9</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种体质判定；</w:t>
            </w:r>
          </w:p>
          <w:p w14:paraId="2D6EAB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整机自带打印机，</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选择进行问卷题目打印</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打印单位名称、单位图标</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等</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w:t>
            </w:r>
          </w:p>
          <w:p w14:paraId="1AB3C5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7.支持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打印输出辨识结果，提供营养、药物、饮食和运动等的干预建议</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可选配扩展输出多张综合打印报告；</w:t>
            </w:r>
          </w:p>
          <w:p w14:paraId="1B5E96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开放式网络接口</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与医疗信息化各类软件和平台进行对接，实现数据互联互通；</w:t>
            </w:r>
          </w:p>
          <w:p w14:paraId="028B0F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9.</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具备软件著作权证书。</w:t>
            </w:r>
          </w:p>
        </w:tc>
        <w:tc>
          <w:tcPr>
            <w:tcW w:w="741" w:type="dxa"/>
            <w:vAlign w:val="center"/>
          </w:tcPr>
          <w:p w14:paraId="5912DD6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9</w:t>
            </w:r>
          </w:p>
        </w:tc>
        <w:tc>
          <w:tcPr>
            <w:tcW w:w="815" w:type="dxa"/>
            <w:vAlign w:val="center"/>
          </w:tcPr>
          <w:p w14:paraId="6B70D24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套</w:t>
            </w:r>
          </w:p>
        </w:tc>
      </w:tr>
      <w:tr w14:paraId="2EC6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0F08D7B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6</w:t>
            </w:r>
          </w:p>
        </w:tc>
        <w:tc>
          <w:tcPr>
            <w:tcW w:w="1512" w:type="dxa"/>
            <w:vAlign w:val="center"/>
          </w:tcPr>
          <w:p w14:paraId="761693A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便携式超声检查仪</w:t>
            </w:r>
          </w:p>
        </w:tc>
        <w:tc>
          <w:tcPr>
            <w:tcW w:w="5823" w:type="dxa"/>
            <w:vAlign w:val="center"/>
          </w:tcPr>
          <w:p w14:paraId="059A18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0"/>
                <w:szCs w:val="20"/>
                <w:highlight w:val="none"/>
                <w:lang w:val="en-US" w:eastAsia="zh-CN"/>
                <w14:textFill>
                  <w14:solidFill>
                    <w14:schemeClr w14:val="tx1"/>
                  </w14:solidFill>
                </w14:textFill>
              </w:rPr>
              <w:t>一、</w:t>
            </w:r>
            <w: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t>应用范围</w:t>
            </w:r>
          </w:p>
          <w:p w14:paraId="0F6C39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支持可</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用于腹部、妇产科、浅表器官、外周血管等检查和诊断；</w:t>
            </w:r>
          </w:p>
          <w:p w14:paraId="76097E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0"/>
                <w:szCs w:val="20"/>
                <w:highlight w:val="none"/>
                <w:lang w:val="en-US" w:eastAsia="zh-CN"/>
                <w14:textFill>
                  <w14:solidFill>
                    <w14:schemeClr w14:val="tx1"/>
                  </w14:solidFill>
                </w14:textFill>
              </w:rPr>
              <w:t>二、</w:t>
            </w:r>
            <w: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t>系统参数</w:t>
            </w:r>
          </w:p>
          <w:p w14:paraId="4DF0D5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≥12英寸高清液晶显示监视器，角度可调≥30度；</w:t>
            </w:r>
          </w:p>
          <w:p w14:paraId="480102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灰阶≥256灰阶；</w:t>
            </w:r>
          </w:p>
          <w:p w14:paraId="75A1E2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成像技术：全数字成像技术；</w:t>
            </w:r>
          </w:p>
          <w:p w14:paraId="75BE49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具有组织谐波成像技术；</w:t>
            </w:r>
          </w:p>
          <w:p w14:paraId="7C8F7B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具有斑点噪声抑制成像技术；</w:t>
            </w:r>
          </w:p>
          <w:p w14:paraId="2E0542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具有TSI组织优化成像技术；</w:t>
            </w:r>
          </w:p>
          <w:p w14:paraId="5EB10A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电影回放≥1024帧；</w:t>
            </w:r>
          </w:p>
          <w:p w14:paraId="50F132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输出接口：视频打印机接口，双USB接口；</w:t>
            </w:r>
          </w:p>
          <w:p w14:paraId="0F03EF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9.</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TGC≥8段；</w:t>
            </w:r>
          </w:p>
          <w:p w14:paraId="158762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10.支持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伪彩功能；</w:t>
            </w:r>
          </w:p>
          <w:p w14:paraId="6C24A3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11.支持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智能一键放大功能，最大超声扫查图像显示区域≥12寸；</w:t>
            </w:r>
          </w:p>
          <w:p w14:paraId="092578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置存储空间≥4G；</w:t>
            </w:r>
          </w:p>
          <w:p w14:paraId="6AF54C4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13</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支持超声教学软件，要求机器内部能提供标准超声声像图、解剖示意图、扫查手法图及扫查技巧介绍，支持医生对超声扫查的自学和训练；</w:t>
            </w:r>
          </w:p>
          <w:p w14:paraId="670E10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14.支持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智能一键优化技术；</w:t>
            </w:r>
          </w:p>
          <w:p w14:paraId="2D4596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0"/>
                <w:szCs w:val="20"/>
                <w:highlight w:val="none"/>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t>技术要求</w:t>
            </w:r>
          </w:p>
          <w:p w14:paraId="2B23DF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显示模式：B、B+B、B+M、M、4B；</w:t>
            </w:r>
          </w:p>
          <w:p w14:paraId="02BAC0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扫描模式：电子凸阵、电子线阵；</w:t>
            </w:r>
          </w:p>
          <w:p w14:paraId="4D6026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扫描深度≥24cm。；</w:t>
            </w:r>
          </w:p>
          <w:p w14:paraId="4A854E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扫描角度：凸阵≥80°，腔内探头≥140°,可实时调节改变.；</w:t>
            </w:r>
          </w:p>
          <w:p w14:paraId="4E745C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图像调整：左右、上下可调；</w:t>
            </w:r>
          </w:p>
          <w:p w14:paraId="6771CB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图像动态范围≥180db，屏幕可视，最少调节5dB；</w:t>
            </w:r>
          </w:p>
          <w:p w14:paraId="7D2E73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图像帧频：最大帧频≥200帧/秒以上；</w:t>
            </w:r>
          </w:p>
          <w:p w14:paraId="157B05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图像快速调节及多种参数预置功能：8种效果；</w:t>
            </w:r>
          </w:p>
          <w:p w14:paraId="12C131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9.</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图像放大≥10倍,10级可调,并可实时</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动态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放大图像；</w:t>
            </w:r>
          </w:p>
          <w:p w14:paraId="365636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10.</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体位标记≥100种以上；</w:t>
            </w:r>
          </w:p>
          <w:p w14:paraId="72C0D6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声功率输出调节≥32级以上；</w:t>
            </w:r>
          </w:p>
          <w:p w14:paraId="46EDE2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总增益：0-100Db；</w:t>
            </w:r>
          </w:p>
          <w:p w14:paraId="60824D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13.</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大凸探头图像帧频：18厘米深度下最大帧频≥39帧/秒以上；</w:t>
            </w:r>
          </w:p>
          <w:p w14:paraId="79C3BC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14.</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 xml:space="preserve"> 凸阵探头：基波4段  2-5Mhz；谐波2段 5-6Mhz；</w:t>
            </w:r>
          </w:p>
          <w:p w14:paraId="7E874F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扫描方式：电子凸阵扫描，电子线阵扫描；</w:t>
            </w:r>
          </w:p>
          <w:p w14:paraId="024362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0"/>
                <w:szCs w:val="20"/>
                <w:highlight w:val="none"/>
                <w:lang w:val="en-US" w:eastAsia="zh-CN"/>
                <w14:textFill>
                  <w14:solidFill>
                    <w14:schemeClr w14:val="tx1"/>
                  </w14:solidFill>
                </w14:textFill>
              </w:rPr>
              <w:t>四、</w:t>
            </w:r>
            <w: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t>测量</w:t>
            </w:r>
          </w:p>
          <w:p w14:paraId="3583FF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支持在实时状态下进行一般测量和各种高级应用测量，如距离、面积、周长、妇产科、矫形外科、心功能测量等；</w:t>
            </w:r>
          </w:p>
          <w:p w14:paraId="2FA9C7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妇产科测量：卵泡测量，子宫/宫颈；</w:t>
            </w:r>
          </w:p>
          <w:p w14:paraId="70A1D6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完整产科测量报告；</w:t>
            </w:r>
          </w:p>
          <w:p w14:paraId="501820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矫形外科测量；</w:t>
            </w:r>
          </w:p>
          <w:p w14:paraId="00AA8E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前列腺测量软件及PSAD自动生成报告；</w:t>
            </w:r>
          </w:p>
          <w:p w14:paraId="793B52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心功能测量软件；</w:t>
            </w:r>
          </w:p>
          <w:p w14:paraId="3E6920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介入功能及穿刺引导线可调节；</w:t>
            </w:r>
          </w:p>
          <w:p w14:paraId="789F26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8.支持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一般M测量：时间、距离、斜率、心率</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p>
          <w:p w14:paraId="1BFCA0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0"/>
                <w:szCs w:val="20"/>
                <w:highlight w:val="none"/>
                <w:lang w:val="en-US" w:eastAsia="zh-CN"/>
                <w14:textFill>
                  <w14:solidFill>
                    <w14:schemeClr w14:val="tx1"/>
                  </w14:solidFill>
                </w14:textFill>
              </w:rPr>
              <w:t>五、</w:t>
            </w:r>
            <w:r>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t>配置</w:t>
            </w:r>
          </w:p>
          <w:p w14:paraId="70A4E1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主机一台；</w:t>
            </w:r>
          </w:p>
          <w:p w14:paraId="1D1325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腹部探头一把。</w:t>
            </w:r>
          </w:p>
        </w:tc>
        <w:tc>
          <w:tcPr>
            <w:tcW w:w="741" w:type="dxa"/>
            <w:vAlign w:val="center"/>
          </w:tcPr>
          <w:p w14:paraId="4A60FC7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9</w:t>
            </w:r>
          </w:p>
        </w:tc>
        <w:tc>
          <w:tcPr>
            <w:tcW w:w="815" w:type="dxa"/>
            <w:vAlign w:val="center"/>
          </w:tcPr>
          <w:p w14:paraId="7D672BA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套</w:t>
            </w:r>
          </w:p>
        </w:tc>
      </w:tr>
      <w:tr w14:paraId="1240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6133BBF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7</w:t>
            </w:r>
          </w:p>
        </w:tc>
        <w:tc>
          <w:tcPr>
            <w:tcW w:w="1512" w:type="dxa"/>
            <w:vAlign w:val="center"/>
          </w:tcPr>
          <w:p w14:paraId="2B56D58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膳食宝塔</w:t>
            </w:r>
          </w:p>
        </w:tc>
        <w:tc>
          <w:tcPr>
            <w:tcW w:w="5823" w:type="dxa"/>
            <w:vAlign w:val="center"/>
          </w:tcPr>
          <w:p w14:paraId="039DEF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高通透亚克力材质；</w:t>
            </w:r>
          </w:p>
          <w:p w14:paraId="291481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规格</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约</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：90千卡热量/份；</w:t>
            </w:r>
          </w:p>
          <w:p w14:paraId="3BCC58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重量</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约</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：单个模型重量为提供90千卡热量的重量；</w:t>
            </w:r>
          </w:p>
          <w:p w14:paraId="088AF9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≥24种物模型种类；</w:t>
            </w:r>
          </w:p>
          <w:p w14:paraId="0CAEF2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食品级硅胶模型材质</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电脑配色，人工彩绘；</w:t>
            </w:r>
          </w:p>
          <w:p w14:paraId="1F6FA8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新版背胶（按照最新膳食指南制定）贴图。</w:t>
            </w:r>
          </w:p>
        </w:tc>
        <w:tc>
          <w:tcPr>
            <w:tcW w:w="741" w:type="dxa"/>
            <w:vAlign w:val="center"/>
          </w:tcPr>
          <w:p w14:paraId="6ECF6B6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9</w:t>
            </w:r>
          </w:p>
        </w:tc>
        <w:tc>
          <w:tcPr>
            <w:tcW w:w="815" w:type="dxa"/>
            <w:vAlign w:val="center"/>
          </w:tcPr>
          <w:p w14:paraId="3C7E3F6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套</w:t>
            </w:r>
          </w:p>
        </w:tc>
      </w:tr>
      <w:tr w14:paraId="351B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5"/>
            <w:vAlign w:val="center"/>
          </w:tcPr>
          <w:p w14:paraId="1BEAC3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kern w:val="2"/>
                <w:sz w:val="20"/>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0"/>
                <w:szCs w:val="20"/>
                <w:highlight w:val="none"/>
                <w:lang w:val="en-US" w:eastAsia="zh-CN" w:bidi="ar-SA"/>
                <w14:textFill>
                  <w14:solidFill>
                    <w14:schemeClr w14:val="tx1"/>
                  </w14:solidFill>
                </w14:textFill>
              </w:rPr>
              <w:t>说明：1.有关重量、尺寸、规格、体积等的表述，允许投标人在国标允许范围内浮动，但必须满足采购人实际使用，部分外观颜色需根据实际需求供采购人可选。</w:t>
            </w:r>
          </w:p>
          <w:p w14:paraId="2446817B">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0"/>
                <w:szCs w:val="20"/>
                <w:highlight w:val="none"/>
                <w:lang w:val="en-US" w:eastAsia="zh-CN" w:bidi="ar-SA"/>
                <w14:textFill>
                  <w14:solidFill>
                    <w14:schemeClr w14:val="tx1"/>
                  </w14:solidFill>
                </w14:textFill>
              </w:rPr>
              <w:t>2.带“▲”号的技术指标参数为允许负偏离的技术指标参数需求，若未响应或者不满足，将在综合评审中予以扣分处理；带“★”的技术指标参数为实质性要求，若未响应或者不满足，将按废标处理；投标人未按要求提供相关证明材料或技术指标参数存在负偏离的，均按无效响应。</w:t>
            </w:r>
          </w:p>
        </w:tc>
      </w:tr>
    </w:tbl>
    <w:p w14:paraId="61782A77">
      <w:pPr>
        <w:pStyle w:val="12"/>
        <w:jc w:val="both"/>
        <w:rPr>
          <w:rFonts w:hint="eastAsia" w:asciiTheme="minorEastAsia" w:hAnsiTheme="minorEastAsia" w:eastAsiaTheme="minorEastAsia" w:cstheme="minorEastAsia"/>
          <w:b/>
          <w:color w:val="000000" w:themeColor="text1"/>
          <w:sz w:val="20"/>
          <w:szCs w:val="20"/>
          <w:highlight w:val="none"/>
          <w14:textFill>
            <w14:solidFill>
              <w14:schemeClr w14:val="tx1"/>
            </w14:solidFill>
          </w14:textFill>
        </w:rPr>
      </w:pPr>
    </w:p>
    <w:p w14:paraId="3A758455">
      <w:pPr>
        <w:pStyle w:val="12"/>
        <w:jc w:val="both"/>
        <w:rPr>
          <w:rFonts w:hint="eastAsia" w:asciiTheme="minorEastAsia" w:hAnsiTheme="minorEastAsia" w:eastAsiaTheme="minorEastAsia" w:cstheme="minorEastAsia"/>
          <w:b/>
          <w:color w:val="000000" w:themeColor="text1"/>
          <w:sz w:val="20"/>
          <w:szCs w:val="20"/>
          <w:highlight w:val="none"/>
          <w14:textFill>
            <w14:solidFill>
              <w14:schemeClr w14:val="tx1"/>
            </w14:solidFill>
          </w14:textFill>
        </w:rPr>
      </w:pPr>
    </w:p>
    <w:p w14:paraId="0003E86F">
      <w:pPr>
        <w:rPr>
          <w:rFonts w:hint="eastAsia" w:asciiTheme="minorEastAsia" w:hAnsiTheme="minorEastAsia" w:eastAsiaTheme="minorEastAsia" w:cstheme="minorEastAsia"/>
          <w:b/>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0"/>
          <w:szCs w:val="20"/>
          <w:highlight w:val="none"/>
          <w14:textFill>
            <w14:solidFill>
              <w14:schemeClr w14:val="tx1"/>
            </w14:solidFill>
          </w14:textFill>
        </w:rPr>
        <w:br w:type="page"/>
      </w:r>
    </w:p>
    <w:p w14:paraId="7B761254">
      <w:pPr>
        <w:pStyle w:val="12"/>
        <w:jc w:val="center"/>
        <w:rPr>
          <w:rFonts w:hint="eastAsia" w:asciiTheme="minorEastAsia" w:hAnsiTheme="minorEastAsia" w:eastAsiaTheme="minorEastAsia" w:cstheme="minorEastAsia"/>
          <w:b/>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0"/>
          <w:szCs w:val="20"/>
          <w:highlight w:val="none"/>
          <w:lang w:val="en-US" w:eastAsia="zh-CN"/>
          <w14:textFill>
            <w14:solidFill>
              <w14:schemeClr w14:val="tx1"/>
            </w14:solidFill>
          </w14:textFill>
        </w:rPr>
        <w:t>采购包3（信息化产品及系统对接设备）采购</w:t>
      </w:r>
      <w:r>
        <w:rPr>
          <w:rFonts w:hint="eastAsia" w:asciiTheme="minorEastAsia" w:hAnsiTheme="minorEastAsia" w:eastAsiaTheme="minorEastAsia" w:cstheme="minorEastAsia"/>
          <w:b/>
          <w:color w:val="000000" w:themeColor="text1"/>
          <w:sz w:val="20"/>
          <w:szCs w:val="20"/>
          <w:highlight w:val="none"/>
          <w14:textFill>
            <w14:solidFill>
              <w14:schemeClr w14:val="tx1"/>
            </w14:solidFill>
          </w14:textFill>
        </w:rPr>
        <w:t>需求清单</w:t>
      </w:r>
    </w:p>
    <w:tbl>
      <w:tblPr>
        <w:tblStyle w:val="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512"/>
        <w:gridCol w:w="5823"/>
        <w:gridCol w:w="741"/>
        <w:gridCol w:w="815"/>
      </w:tblGrid>
      <w:tr w14:paraId="79CE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43" w:type="dxa"/>
            <w:vAlign w:val="center"/>
          </w:tcPr>
          <w:p w14:paraId="5F4EBE0A">
            <w:pPr>
              <w:jc w:val="cente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序号</w:t>
            </w:r>
          </w:p>
        </w:tc>
        <w:tc>
          <w:tcPr>
            <w:tcW w:w="1512" w:type="dxa"/>
            <w:vAlign w:val="center"/>
          </w:tcPr>
          <w:p w14:paraId="1C6960C2">
            <w:pPr>
              <w:jc w:val="cente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名称</w:t>
            </w:r>
          </w:p>
        </w:tc>
        <w:tc>
          <w:tcPr>
            <w:tcW w:w="5823" w:type="dxa"/>
            <w:vAlign w:val="center"/>
          </w:tcPr>
          <w:p w14:paraId="2EE1C299">
            <w:pPr>
              <w:jc w:val="cente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技术规格要求</w:t>
            </w:r>
          </w:p>
        </w:tc>
        <w:tc>
          <w:tcPr>
            <w:tcW w:w="741" w:type="dxa"/>
            <w:vAlign w:val="center"/>
          </w:tcPr>
          <w:p w14:paraId="4EA80DE2">
            <w:pPr>
              <w:jc w:val="center"/>
              <w:rPr>
                <w:rFonts w:hint="eastAsia" w:asciiTheme="minorEastAsia" w:hAnsiTheme="minorEastAsia" w:eastAsiaTheme="minorEastAsia" w:cstheme="minorEastAsia"/>
                <w:b/>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数量</w:t>
            </w:r>
          </w:p>
        </w:tc>
        <w:tc>
          <w:tcPr>
            <w:tcW w:w="815" w:type="dxa"/>
            <w:vAlign w:val="center"/>
          </w:tcPr>
          <w:p w14:paraId="2D1BDB52">
            <w:pPr>
              <w:jc w:val="center"/>
              <w:rPr>
                <w:rFonts w:hint="eastAsia" w:asciiTheme="minorEastAsia" w:hAnsiTheme="minorEastAsia" w:eastAsiaTheme="minorEastAsia" w:cstheme="minorEastAsia"/>
                <w:b/>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单位</w:t>
            </w:r>
          </w:p>
        </w:tc>
      </w:tr>
      <w:tr w14:paraId="47C3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22266EC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1</w:t>
            </w:r>
          </w:p>
        </w:tc>
        <w:tc>
          <w:tcPr>
            <w:tcW w:w="1512" w:type="dxa"/>
            <w:vAlign w:val="center"/>
          </w:tcPr>
          <w:p w14:paraId="2001694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65寸健康宣教智能电视</w:t>
            </w:r>
          </w:p>
        </w:tc>
        <w:tc>
          <w:tcPr>
            <w:tcW w:w="5823" w:type="dxa"/>
            <w:vAlign w:val="center"/>
          </w:tcPr>
          <w:p w14:paraId="533DC0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≥65英寸屏幕</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超高清4K分辨率</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p>
          <w:p w14:paraId="49261A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≥32GB存储内存，≥RAM3GB运行内存；</w:t>
            </w:r>
          </w:p>
          <w:p w14:paraId="16F8A2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四核A55架构</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处理能力</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处理器；</w:t>
            </w:r>
          </w:p>
          <w:p w14:paraId="2E2BF9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机身配置</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2个HDMI2.1接口，</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2个USB2.0接口。</w:t>
            </w:r>
          </w:p>
        </w:tc>
        <w:tc>
          <w:tcPr>
            <w:tcW w:w="741" w:type="dxa"/>
            <w:vAlign w:val="center"/>
          </w:tcPr>
          <w:p w14:paraId="4E6A187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9</w:t>
            </w:r>
          </w:p>
        </w:tc>
        <w:tc>
          <w:tcPr>
            <w:tcW w:w="815" w:type="dxa"/>
            <w:vAlign w:val="center"/>
          </w:tcPr>
          <w:p w14:paraId="262135D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台</w:t>
            </w:r>
          </w:p>
        </w:tc>
      </w:tr>
      <w:tr w14:paraId="47D4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04F7808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2</w:t>
            </w:r>
          </w:p>
        </w:tc>
        <w:tc>
          <w:tcPr>
            <w:tcW w:w="1512" w:type="dxa"/>
            <w:vAlign w:val="center"/>
          </w:tcPr>
          <w:p w14:paraId="7BAC6CD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宽幅热敏打印机</w:t>
            </w:r>
          </w:p>
        </w:tc>
        <w:tc>
          <w:tcPr>
            <w:tcW w:w="5823" w:type="dxa"/>
            <w:vAlign w:val="center"/>
          </w:tcPr>
          <w:p w14:paraId="061CDC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行式热敏打印；</w:t>
            </w:r>
          </w:p>
          <w:p w14:paraId="6D841AF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203DPI分辨率；</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12</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mm/s打印速率；26.</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-120mm用纸宽度；</w:t>
            </w:r>
          </w:p>
          <w:p w14:paraId="616789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串口+蓝牙通讯接口。</w:t>
            </w:r>
          </w:p>
        </w:tc>
        <w:tc>
          <w:tcPr>
            <w:tcW w:w="741" w:type="dxa"/>
            <w:vAlign w:val="center"/>
          </w:tcPr>
          <w:p w14:paraId="62729E3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9</w:t>
            </w:r>
          </w:p>
        </w:tc>
        <w:tc>
          <w:tcPr>
            <w:tcW w:w="815" w:type="dxa"/>
            <w:vAlign w:val="center"/>
          </w:tcPr>
          <w:p w14:paraId="7FBB435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台</w:t>
            </w:r>
          </w:p>
        </w:tc>
      </w:tr>
      <w:tr w14:paraId="4349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06230D9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3</w:t>
            </w:r>
          </w:p>
        </w:tc>
        <w:tc>
          <w:tcPr>
            <w:tcW w:w="1512" w:type="dxa"/>
            <w:vAlign w:val="center"/>
          </w:tcPr>
          <w:p w14:paraId="0185339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二维码扫描枪</w:t>
            </w:r>
          </w:p>
        </w:tc>
        <w:tc>
          <w:tcPr>
            <w:tcW w:w="5823" w:type="dxa"/>
            <w:vAlign w:val="center"/>
          </w:tcPr>
          <w:p w14:paraId="50DA5C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纸质，屏幕，金属</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等</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扫描介质；</w:t>
            </w:r>
          </w:p>
          <w:p w14:paraId="785D48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2.4GHz无线传输类型；</w:t>
            </w:r>
          </w:p>
          <w:p w14:paraId="5246F5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无线传输，无线传输距离8</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0</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-120M；</w:t>
            </w:r>
          </w:p>
          <w:p w14:paraId="7C8194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4.支持</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一维</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二维解码类型：。</w:t>
            </w:r>
          </w:p>
        </w:tc>
        <w:tc>
          <w:tcPr>
            <w:tcW w:w="741" w:type="dxa"/>
            <w:vAlign w:val="center"/>
          </w:tcPr>
          <w:p w14:paraId="2F6B699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54</w:t>
            </w:r>
          </w:p>
        </w:tc>
        <w:tc>
          <w:tcPr>
            <w:tcW w:w="815" w:type="dxa"/>
            <w:vAlign w:val="center"/>
          </w:tcPr>
          <w:p w14:paraId="2A49E0D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个</w:t>
            </w:r>
          </w:p>
        </w:tc>
      </w:tr>
      <w:tr w14:paraId="4C93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395D006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4</w:t>
            </w:r>
          </w:p>
        </w:tc>
        <w:tc>
          <w:tcPr>
            <w:tcW w:w="1512" w:type="dxa"/>
            <w:vAlign w:val="center"/>
          </w:tcPr>
          <w:p w14:paraId="64FE05E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居民身份证阅读器</w:t>
            </w:r>
          </w:p>
        </w:tc>
        <w:tc>
          <w:tcPr>
            <w:tcW w:w="5823" w:type="dxa"/>
            <w:vAlign w:val="center"/>
          </w:tcPr>
          <w:p w14:paraId="54A752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符合ISO14443TypeB标准射频技术；</w:t>
            </w:r>
          </w:p>
          <w:p w14:paraId="22B0D4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居民身份证验证安全控制保密模块；</w:t>
            </w:r>
          </w:p>
          <w:p w14:paraId="2139FB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非接触式读卡方式；</w:t>
            </w:r>
          </w:p>
          <w:p w14:paraId="270DEF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0-5</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读卡距离；</w:t>
            </w:r>
          </w:p>
          <w:p w14:paraId="7D7A25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≤1秒阅读时间。</w:t>
            </w:r>
          </w:p>
        </w:tc>
        <w:tc>
          <w:tcPr>
            <w:tcW w:w="741" w:type="dxa"/>
            <w:vAlign w:val="center"/>
          </w:tcPr>
          <w:p w14:paraId="2F1BC96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9</w:t>
            </w:r>
          </w:p>
        </w:tc>
        <w:tc>
          <w:tcPr>
            <w:tcW w:w="815" w:type="dxa"/>
            <w:vAlign w:val="center"/>
          </w:tcPr>
          <w:p w14:paraId="47989C9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台</w:t>
            </w:r>
          </w:p>
        </w:tc>
      </w:tr>
      <w:tr w14:paraId="05B1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6FC6795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5</w:t>
            </w:r>
          </w:p>
        </w:tc>
        <w:tc>
          <w:tcPr>
            <w:tcW w:w="1512" w:type="dxa"/>
            <w:vAlign w:val="center"/>
          </w:tcPr>
          <w:p w14:paraId="69320EA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健康小屋工作站计算机</w:t>
            </w:r>
          </w:p>
        </w:tc>
        <w:tc>
          <w:tcPr>
            <w:tcW w:w="5823" w:type="dxa"/>
            <w:vAlign w:val="center"/>
          </w:tcPr>
          <w:p w14:paraId="5E1F3F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1.CPU：≥国产海光3000系列同级别处理能力（同级别处理能力国产芯片均可），≥6核；</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2.芯片组：≥兆芯 ZX-200同级别性能（同级别性能的国产芯片组均可）；</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3.内存：≥8GB DDR4 2666MT/s，最大支持≥32GB；</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4.硬盘：≥1TB SSD，支持机械硬盘拓展；</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5.支持1000Mbps，网口支持wake on LAN；</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6.集成标准声卡、集成显卡；</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7.前置面板：USB3.0≥3个；TypeC≥1个；音频接口≥1个；</w:t>
            </w:r>
          </w:p>
          <w:p w14:paraId="43879D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8.后置面板：USB≥4个；HDMI输出≥1个；VGA输出≥1个；音频输入≥2个；音频输出≥1个；RJ45≥1个；PS/2≥2个；串口≥1个；</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9.内部插槽：PCIEX16≥1个（支持拓展独立显卡）；PCIEX8≥2个；M.2≥2个；SATA≥4个；</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10.显示器：≥21.5寸显示器，≥1920*1080分辨率；</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11.配置标准键盘、鼠标；</w:t>
            </w:r>
          </w:p>
          <w:p w14:paraId="5486E0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12.支持物理网络开关按键，关机状态下，支持≥3前置USB端口对外供电；</w:t>
            </w:r>
          </w:p>
          <w:p w14:paraId="272B92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13.操作系统：预装正版国产操作系统（麒麟、统信 UOS、中科方德等其他符合安全可靠测评要求）。</w:t>
            </w:r>
          </w:p>
        </w:tc>
        <w:tc>
          <w:tcPr>
            <w:tcW w:w="741" w:type="dxa"/>
            <w:vAlign w:val="center"/>
          </w:tcPr>
          <w:p w14:paraId="77F234E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18</w:t>
            </w:r>
          </w:p>
        </w:tc>
        <w:tc>
          <w:tcPr>
            <w:tcW w:w="815" w:type="dxa"/>
            <w:vAlign w:val="center"/>
          </w:tcPr>
          <w:p w14:paraId="0B1D6FD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台</w:t>
            </w:r>
          </w:p>
        </w:tc>
      </w:tr>
      <w:tr w14:paraId="6FFC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165187D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6</w:t>
            </w:r>
          </w:p>
        </w:tc>
        <w:tc>
          <w:tcPr>
            <w:tcW w:w="1512" w:type="dxa"/>
            <w:vAlign w:val="center"/>
          </w:tcPr>
          <w:p w14:paraId="357D701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平板电脑</w:t>
            </w:r>
          </w:p>
        </w:tc>
        <w:tc>
          <w:tcPr>
            <w:tcW w:w="5823" w:type="dxa"/>
            <w:vAlign w:val="center"/>
          </w:tcPr>
          <w:p w14:paraId="725894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≥10.5英寸屏幕</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≥1920*1080分辨率</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w:t>
            </w:r>
          </w:p>
          <w:p w14:paraId="152963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支持骁龙® 685 4G以上的移动平台；</w:t>
            </w:r>
          </w:p>
          <w:p w14:paraId="778EA4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八</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核</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4xCortex-A732.8GHz+4xCortex-A531.9GHz</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同级别处理能力</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处理器：；</w:t>
            </w:r>
          </w:p>
          <w:p w14:paraId="7B2839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≥128GB机身内存，≥8GB运行内存；</w:t>
            </w:r>
          </w:p>
          <w:p w14:paraId="0862B2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≥7250mAh电池容量大。</w:t>
            </w:r>
          </w:p>
        </w:tc>
        <w:tc>
          <w:tcPr>
            <w:tcW w:w="741" w:type="dxa"/>
            <w:vAlign w:val="center"/>
          </w:tcPr>
          <w:p w14:paraId="30EEB3F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9</w:t>
            </w:r>
          </w:p>
        </w:tc>
        <w:tc>
          <w:tcPr>
            <w:tcW w:w="815" w:type="dxa"/>
            <w:vAlign w:val="center"/>
          </w:tcPr>
          <w:p w14:paraId="3A7FC77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台</w:t>
            </w:r>
          </w:p>
        </w:tc>
      </w:tr>
      <w:tr w14:paraId="2738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7152008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7</w:t>
            </w:r>
          </w:p>
        </w:tc>
        <w:tc>
          <w:tcPr>
            <w:tcW w:w="1512" w:type="dxa"/>
            <w:vAlign w:val="center"/>
          </w:tcPr>
          <w:p w14:paraId="3DB53E7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其他附件设备</w:t>
            </w:r>
          </w:p>
        </w:tc>
        <w:tc>
          <w:tcPr>
            <w:tcW w:w="5823" w:type="dxa"/>
            <w:vAlign w:val="center"/>
          </w:tcPr>
          <w:p w14:paraId="419F33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提供</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包括（≥）</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：9个无线网卡，9个无线路由器，90个无线模块，90个二维码扫码模块，90个二维码扫码模块模具，90个二维码90个模块专用线束</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90个ID读卡电源，3箱</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符合国标</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5类网线（每箱</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300米）</w:t>
            </w:r>
            <w:r>
              <w:rPr>
                <w:rFonts w:hint="eastAsia" w:asciiTheme="minorEastAsia" w:hAnsiTheme="minorEastAsia" w:eastAsiaTheme="minorEastAsia" w:cstheme="minorEastAsia"/>
                <w:b w:val="0"/>
                <w:bCs/>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其他符合国标和实际使用的辅材接口等</w:t>
            </w:r>
            <w:r>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t>。</w:t>
            </w:r>
          </w:p>
        </w:tc>
        <w:tc>
          <w:tcPr>
            <w:tcW w:w="741" w:type="dxa"/>
            <w:vAlign w:val="center"/>
          </w:tcPr>
          <w:p w14:paraId="3603D14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1</w:t>
            </w:r>
          </w:p>
        </w:tc>
        <w:tc>
          <w:tcPr>
            <w:tcW w:w="815" w:type="dxa"/>
            <w:vAlign w:val="center"/>
          </w:tcPr>
          <w:p w14:paraId="613145F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套</w:t>
            </w:r>
          </w:p>
        </w:tc>
      </w:tr>
      <w:tr w14:paraId="68E8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5EDA9F2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8</w:t>
            </w:r>
          </w:p>
        </w:tc>
        <w:tc>
          <w:tcPr>
            <w:tcW w:w="1512" w:type="dxa"/>
            <w:vAlign w:val="center"/>
          </w:tcPr>
          <w:p w14:paraId="0F2DBF6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健康小屋系统</w:t>
            </w:r>
          </w:p>
        </w:tc>
        <w:tc>
          <w:tcPr>
            <w:tcW w:w="5823" w:type="dxa"/>
            <w:vAlign w:val="center"/>
          </w:tcPr>
          <w:p w14:paraId="635D9E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采集方式：支持管理系统将体检设备连成一个设备网络，每个设备都采用深度集成方式，通过键盘、身份证、居民健康卡、医保卡、社保卡、自制智能卡、条码体检卡、二维码、人脸识别等多种方式，进行数据录入、信息采集；</w:t>
            </w:r>
          </w:p>
          <w:p w14:paraId="098DC5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人脸识别功能：提供注册、识别两个模块，完成首次ID注册和后续受测人员识别。条码打印功能支持注册或核验识别完成后自动打印出二维码。支持双目活体宽动态人脸识别，支持公安部认证的二代身份证识别、支持第三代社保卡识别；</w:t>
            </w:r>
          </w:p>
          <w:p w14:paraId="642694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3.管理模块：支持包括当日检查人员、总体检查人员、仪器项目设备和数据统计等基本模块；</w:t>
            </w:r>
          </w:p>
          <w:p w14:paraId="08E49D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4.历史数据：支持可用折线图展示人员历史体检数据，根据图表的趋势变化可更直观地观测人员健康情况；</w:t>
            </w:r>
          </w:p>
          <w:p w14:paraId="25EE92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5.人数统计：支持根据年份、季度、月等时间单位来查看某个时间段内小屋的人员体检次数，方便管理健康小屋的使用状况；</w:t>
            </w:r>
          </w:p>
          <w:p w14:paraId="07A67A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6.常见病管理：支持用户可查看高血压、肥胖等常见疾病的人员健康情况；</w:t>
            </w:r>
          </w:p>
          <w:p w14:paraId="1DD2E5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7.报告模式：支持提供体检报告打印功能及互联网调阅功能，支持手机端APP、小程序实时推送报告功能，支持手机端能够不分时间和地点看到体检者所有的历史记录、主要数据趋势与曲线、健康宣教、运动等相关文字、图片内容，能够主动推送到受测者手机端；</w:t>
            </w:r>
          </w:p>
          <w:p w14:paraId="60352B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8.健康指导：支持打印报告可根据客户体检结果进行趋势分析和主要数据的历史曲线分析，对体检用户进行健康指导，包括饮食、戒烟限酒、运动处方等；</w:t>
            </w:r>
          </w:p>
          <w:p w14:paraId="4F0C43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9.支持扩展连接健康大数据中心平台：可以实现慢病统计分析，实现主要慢病与疾病（高血压、脑卒中、肥胖、糖尿病、冠心病等）的风险评估以及未来3-10年内患病风险的预测。</w:t>
            </w:r>
          </w:p>
        </w:tc>
        <w:tc>
          <w:tcPr>
            <w:tcW w:w="741" w:type="dxa"/>
            <w:vAlign w:val="center"/>
          </w:tcPr>
          <w:p w14:paraId="0934B5A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1</w:t>
            </w:r>
          </w:p>
        </w:tc>
        <w:tc>
          <w:tcPr>
            <w:tcW w:w="815" w:type="dxa"/>
            <w:vAlign w:val="center"/>
          </w:tcPr>
          <w:p w14:paraId="5CB6A34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套</w:t>
            </w:r>
          </w:p>
        </w:tc>
      </w:tr>
      <w:tr w14:paraId="067B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0224D63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9</w:t>
            </w:r>
          </w:p>
        </w:tc>
        <w:tc>
          <w:tcPr>
            <w:tcW w:w="1512" w:type="dxa"/>
            <w:vAlign w:val="center"/>
          </w:tcPr>
          <w:p w14:paraId="6511F4C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统计分析大屏系统</w:t>
            </w:r>
          </w:p>
          <w:p w14:paraId="5345D82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卫健局端</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tc>
        <w:tc>
          <w:tcPr>
            <w:tcW w:w="5823" w:type="dxa"/>
            <w:vAlign w:val="center"/>
          </w:tcPr>
          <w:p w14:paraId="0EEEA4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1.支持完成局级以图形、表格、数据多种形式展示全区实时数据功能；</w:t>
            </w:r>
          </w:p>
          <w:p w14:paraId="5C19AB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2.数据应包含机构名称，当日/累计体检登记人数，当日/累计体检在检人数，其中各类重点人群当日/累计登记体检人数、在检人数、完检人数，年度体检人数变化趋势、同比、环比等。</w:t>
            </w:r>
          </w:p>
        </w:tc>
        <w:tc>
          <w:tcPr>
            <w:tcW w:w="741" w:type="dxa"/>
            <w:vAlign w:val="center"/>
          </w:tcPr>
          <w:p w14:paraId="3A5F7DF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1</w:t>
            </w:r>
          </w:p>
        </w:tc>
        <w:tc>
          <w:tcPr>
            <w:tcW w:w="815" w:type="dxa"/>
            <w:vAlign w:val="center"/>
          </w:tcPr>
          <w:p w14:paraId="33E0D19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套</w:t>
            </w:r>
          </w:p>
        </w:tc>
      </w:tr>
      <w:tr w14:paraId="3386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79FA341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10</w:t>
            </w:r>
          </w:p>
        </w:tc>
        <w:tc>
          <w:tcPr>
            <w:tcW w:w="1512" w:type="dxa"/>
            <w:vAlign w:val="center"/>
          </w:tcPr>
          <w:p w14:paraId="0DE25B4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统计分析大屏系统</w:t>
            </w:r>
          </w:p>
          <w:p w14:paraId="4BE4042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机构端</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tc>
        <w:tc>
          <w:tcPr>
            <w:tcW w:w="5823" w:type="dxa"/>
            <w:vAlign w:val="center"/>
          </w:tcPr>
          <w:p w14:paraId="159578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1.支持可完成机构以图形、表格、数据多种形式展示本机构实时数据功能；</w:t>
            </w:r>
          </w:p>
          <w:p w14:paraId="7B248E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2.数据应包含机构名称，当日/累计体检登记人数，当日/累计体检在检人数，其中各类重点人群当日/累计登记体检人数、在检人数、完检人数，年度体检人数变化趋势、同比、环比等。</w:t>
            </w:r>
          </w:p>
        </w:tc>
        <w:tc>
          <w:tcPr>
            <w:tcW w:w="741" w:type="dxa"/>
            <w:vAlign w:val="center"/>
          </w:tcPr>
          <w:p w14:paraId="0B0944E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1</w:t>
            </w:r>
          </w:p>
        </w:tc>
        <w:tc>
          <w:tcPr>
            <w:tcW w:w="815" w:type="dxa"/>
            <w:vAlign w:val="center"/>
          </w:tcPr>
          <w:p w14:paraId="4566B12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套</w:t>
            </w:r>
          </w:p>
        </w:tc>
      </w:tr>
      <w:tr w14:paraId="315B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1A556E4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11</w:t>
            </w:r>
          </w:p>
        </w:tc>
        <w:tc>
          <w:tcPr>
            <w:tcW w:w="1512" w:type="dxa"/>
            <w:vAlign w:val="center"/>
          </w:tcPr>
          <w:p w14:paraId="6609359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系统对接</w:t>
            </w:r>
          </w:p>
        </w:tc>
        <w:tc>
          <w:tcPr>
            <w:tcW w:w="5823" w:type="dxa"/>
            <w:vAlign w:val="center"/>
          </w:tcPr>
          <w:p w14:paraId="58A430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1.与家庭医生签约服务平台对接</w:t>
            </w:r>
          </w:p>
          <w:p w14:paraId="5AB3A7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完成健康小屋信息系统与家庭医生签约服务平台对接，获取居民签约情况，提醒医务人员进行签约续约，向家庭医生签约服务平台推送各类检验检查结果数据。</w:t>
            </w:r>
          </w:p>
          <w:p w14:paraId="764C69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2.与雁塔区区域基本公卫系统对接</w:t>
            </w:r>
          </w:p>
          <w:p w14:paraId="1654BB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完成健康小屋信息系统与区域基本公共卫生系统对接，获取健康档案信息，提醒医务人员进行基本公共卫生，向基本公共卫生系统推送各类检验检查结果数据，以便基本公共卫生系统完成老年人体检、中医体质辨识、慢性病体检、儿童健康查体等项目的自动记录。</w:t>
            </w:r>
          </w:p>
          <w:p w14:paraId="402FC8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3.与雁塔区区域体检系统对接</w:t>
            </w:r>
          </w:p>
          <w:p w14:paraId="3E78F3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完成健康小屋信息系统与区域体检系统的深度融合对接，主要对接内容有：从区域体检系统获取居民体检登记信息、向区域体检系统推送各类检验检查结果数据，以便区域体检系统整合所有科室的体检数据，最终形成体检总结及健康评估；</w:t>
            </w:r>
          </w:p>
          <w:p w14:paraId="2C3C36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4.与健康小屋检测设备对接</w:t>
            </w:r>
          </w:p>
          <w:p w14:paraId="195331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完成健康小屋信息系统与本项目中健康小屋健康检测设备的数据对接，包括身高、体重、BMI、腰臀比、脉率、血压、血糖、血氧、尿酸、血脂四项、糖化血红蛋白、肺功能、中医体质辨识等，实现健康检测数据时时采集。</w:t>
            </w:r>
          </w:p>
          <w:p w14:paraId="2B3124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5.与陕西省省级“三秦智医”基本公卫系统对接预留接口，实现健康小屋与三秦智医项目基本公卫系统对接；</w:t>
            </w:r>
          </w:p>
          <w:p w14:paraId="46495C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6.与陕西省省级“三秦智医”基本医疗系统对接、预留接口，实现健康小屋与三秦智医项目基本医疗系统对接。</w:t>
            </w:r>
          </w:p>
        </w:tc>
        <w:tc>
          <w:tcPr>
            <w:tcW w:w="741" w:type="dxa"/>
            <w:vAlign w:val="center"/>
          </w:tcPr>
          <w:p w14:paraId="1FF470D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1</w:t>
            </w:r>
          </w:p>
        </w:tc>
        <w:tc>
          <w:tcPr>
            <w:tcW w:w="815" w:type="dxa"/>
            <w:vAlign w:val="center"/>
          </w:tcPr>
          <w:p w14:paraId="62732FD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套</w:t>
            </w:r>
          </w:p>
        </w:tc>
      </w:tr>
      <w:tr w14:paraId="0DBE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78BB1FA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12</w:t>
            </w:r>
          </w:p>
        </w:tc>
        <w:tc>
          <w:tcPr>
            <w:tcW w:w="1512" w:type="dxa"/>
            <w:vAlign w:val="center"/>
          </w:tcPr>
          <w:p w14:paraId="47A1750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val="0"/>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配套服务器</w:t>
            </w:r>
          </w:p>
        </w:tc>
        <w:tc>
          <w:tcPr>
            <w:tcW w:w="5823" w:type="dxa"/>
            <w:vAlign w:val="center"/>
          </w:tcPr>
          <w:p w14:paraId="30D989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1.≥处理器海光5480系列（同级别处理能力其他芯片均可），支持单颗最大32核64线程，本次搭配1颗处理器，最大可支持两颗；</w:t>
            </w:r>
          </w:p>
          <w:p w14:paraId="77F3B6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2.内存（≥）：16个内存插槽，最大可扩展至2TB内存，本次搭配4个32个DDR5内存，支持RDIMM、LRDIMM、NVDIMM；</w:t>
            </w:r>
          </w:p>
          <w:p w14:paraId="5D6429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3.存储（≥）：前置支持12个3.5寸或24个2.5寸硬盘支持Nvme M.2SSD，本次搭配3块4TSATA企业级硬盘以及两块480GSSD固态硬盘；</w:t>
            </w:r>
          </w:p>
          <w:p w14:paraId="3B5343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4.RAID支持（≥）：集成SATA控制器</w:t>
            </w:r>
            <w:r>
              <w:rPr>
                <w:rFonts w:hint="eastAsia" w:asciiTheme="minorEastAsia" w:hAnsiTheme="minorEastAsia" w:cstheme="minorEastAsia"/>
                <w:b w:val="0"/>
                <w:bCs/>
                <w:color w:val="000000" w:themeColor="text1"/>
                <w:sz w:val="20"/>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SAS卡支持RAID 0 1 10 ，SASRAID卡支持0165060，支持超级电容保护，提供raid状态迁移，RAID配置记忆等功能；</w:t>
            </w:r>
          </w:p>
          <w:p w14:paraId="053AE3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5.网络（≥）：板载双口千兆.支持扩展双口10G RJ45.双口10G SFP+、双口 25G 及 40G QSFP+等多种网络；</w:t>
            </w:r>
          </w:p>
          <w:p w14:paraId="56583B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6.PCI-E扩展：最大可支持7个PCI-E4.0扩展插槽，（2个pci-E ×16 5个PCIE×8）；</w:t>
            </w:r>
          </w:p>
          <w:p w14:paraId="2F7622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7.其他接口（≥）：1个RJ45管理接口、2个VGA接口、1个COM接口，可选支持USBDVD-RW，满配冗余风扇模组；</w:t>
            </w:r>
          </w:p>
          <w:p w14:paraId="58189A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8.电源：支持高效白金电源/钛金电源，可增配1+1冗余；</w:t>
            </w:r>
          </w:p>
          <w:p w14:paraId="152013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9.集成1个专用管理GE网口，支持全面的故障诊断、自动化运维；</w:t>
            </w:r>
          </w:p>
          <w:p w14:paraId="3EA020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10.支持SNMP、IPMI2.0等标准接口；提供基于HTML5/VNCKVM的远程管理界面，集成显示控制器，最大分辨率1920*1080.支持Linux操作系统，安全特性：管理员密码、CPU 内置安全芯片，支持 SM2/SM3/SM4 国密算法；</w:t>
            </w:r>
          </w:p>
          <w:p w14:paraId="411D3D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11.工作温度：5ºC-40ºC；</w:t>
            </w:r>
          </w:p>
        </w:tc>
        <w:tc>
          <w:tcPr>
            <w:tcW w:w="741" w:type="dxa"/>
            <w:vAlign w:val="center"/>
          </w:tcPr>
          <w:p w14:paraId="2BEFEF0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2</w:t>
            </w:r>
          </w:p>
        </w:tc>
        <w:tc>
          <w:tcPr>
            <w:tcW w:w="815" w:type="dxa"/>
            <w:vAlign w:val="center"/>
          </w:tcPr>
          <w:p w14:paraId="611F46F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套</w:t>
            </w:r>
          </w:p>
        </w:tc>
      </w:tr>
      <w:tr w14:paraId="6D9D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79F355E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13</w:t>
            </w:r>
          </w:p>
        </w:tc>
        <w:tc>
          <w:tcPr>
            <w:tcW w:w="1512" w:type="dxa"/>
            <w:vAlign w:val="center"/>
          </w:tcPr>
          <w:p w14:paraId="376C9D7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数据安全</w:t>
            </w:r>
          </w:p>
        </w:tc>
        <w:tc>
          <w:tcPr>
            <w:tcW w:w="5823" w:type="dxa"/>
            <w:vAlign w:val="center"/>
          </w:tcPr>
          <w:p w14:paraId="4F9764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1.防火墙：网络层吞吐量≧4G，应用层吞吐量≧2G，防病毒吞吐量≧600M，IPS吞吐量≧600M，全威胁吞吐量≧450M，并发连接数≧200万，新建连接数≧6万，内存大小≧4G，硬盘容量≧128G SSD，接口≧8千兆电口+2万兆光口；</w:t>
            </w:r>
          </w:p>
          <w:p w14:paraId="013D58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2.支持路由模式、透明模式、虚拟网线模式、旁路镜像模式等多种部署方式；</w:t>
            </w:r>
          </w:p>
          <w:p w14:paraId="060871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3.支持路由类型、协议类型、网络对象、国家地区等条件进行自动选路的策略路由，支持≥3种的调度算法，至少包括带宽比例、加权流量、线路优先等；</w:t>
            </w:r>
          </w:p>
          <w:p w14:paraId="780578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4.支持多对一、一对多和一对一等多种地址转换方式；</w:t>
            </w:r>
          </w:p>
          <w:p w14:paraId="6B3511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5.支持≥3种以上的用户认证方式,包含但不限于单点登录、本地账号密码、外部账号密码认证；</w:t>
            </w:r>
          </w:p>
          <w:p w14:paraId="6DC091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6.支持对≥9000种应用的识别和控制，应用类型包括游戏、购物、图书百科、工作招聘、P2P下载、聊天工具、旅游出行、股票软件等类型应用进行检测与控制；</w:t>
            </w:r>
          </w:p>
          <w:p w14:paraId="4C827A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7.支持多维度流量控制功能，支持基于IP地址、用户、应用、时间设置流量控制策略；</w:t>
            </w:r>
          </w:p>
          <w:p w14:paraId="412297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8.支持云威胁情报网关技术，实现对威胁流量就近进行实时检测&amp;拦截，实现失陷外联实时阻断，保护资产安全；</w:t>
            </w:r>
          </w:p>
          <w:p w14:paraId="1CC8C4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9.支持云端未知威胁主动探测技术，实现5min内未知威胁情报全网设备下发；</w:t>
            </w:r>
          </w:p>
          <w:p w14:paraId="58440D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10.支持对压缩病毒文件进行检测和拦截，压缩层数支持15层及以上；</w:t>
            </w:r>
          </w:p>
          <w:p w14:paraId="4B62D1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11.支持安全策略有效性分析功能，分析内容至少包括策略冗余分析、策略匹配分析、风险端口风险等内容，提供安全策略优化建议；</w:t>
            </w:r>
          </w:p>
          <w:p w14:paraId="2046BE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12.支持杀毒白名单设置，可以例外排除特定MD5和URL的病毒文件，针对特定文件不进行查杀；</w:t>
            </w:r>
          </w:p>
          <w:p w14:paraId="790A51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13.具备独立的勒索病毒防护模块，非普通防病毒功能，支持对特定的业务进行勒索风险自动化评估，并依据评估结果自动生成防护策略；</w:t>
            </w:r>
          </w:p>
          <w:p w14:paraId="2060B5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14.病毒防护系统：支持以软件形态部署，支持虚拟化部署；支持高可用；支持多版本、多操作系统（Windows、MacOS、统信、银河麒麟等操作系统），支持控制中心统一管理。PC授权≥20套，服务器授权≥1套；可扩展终端接入数≥1W点；</w:t>
            </w:r>
          </w:p>
          <w:p w14:paraId="67A90F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15.具备资产台账梳理功能，针对资产记录详细信息。资产台账应包括以下内容：包括操作系统及版本、内核模块、运行服务、启动项、计划任务、注册表、网络连接、开放接口；</w:t>
            </w:r>
          </w:p>
          <w:p w14:paraId="6D4FBE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16.定期梳理高可利用漏洞并展示，支持对资产进行统一漏洞检测，同时支持设置热点漏洞定时检测。支持弱密码检测，包括内置弱密码字典及自定义字典；</w:t>
            </w:r>
          </w:p>
          <w:p w14:paraId="130B1A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17.具备攻击路线呈现，提供攻击进程链可视化溯源，可直观看出攻击入口、相关操作行为、高危实体文件等信息；</w:t>
            </w:r>
          </w:p>
          <w:p w14:paraId="22AC9E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18.支持对终端勒索可疑行为进行检测功能，至少对勒索信息、命令行、修改文件等场景进行精准告警和自动拦截；支持对勒索入侵的主流方式RDP爆破做全方位保护，包括RDP登录校验、RDP文件加白二次校验等功能；</w:t>
            </w:r>
          </w:p>
          <w:p w14:paraId="351B3E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19.支持对单位低配硬件、老旧设备等以及占用资源智能检测，确保空闲时间开展实时监控和病毒扫描动作；</w:t>
            </w:r>
          </w:p>
          <w:p w14:paraId="7051C3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20.具备统一端点安全管理软件的错峰软件及规则库升级功能，限制客户端同时升级的最大数量；</w:t>
            </w:r>
          </w:p>
          <w:p w14:paraId="2587F8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21.支持对终端/终端组进行通用安全检查基线等保基线以及其他自定义基线的合规性检查，展示终端的基线合规检查结果并对不合规的检查项提供设置建议；</w:t>
            </w:r>
          </w:p>
          <w:p w14:paraId="44854D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22.支持对Windows7等老旧系统提供专项防护，包括0day漏洞防护、文件防护、爆破入侵防护、系统脆弱点识别和风险端口封堵等多项核心功能；</w:t>
            </w:r>
          </w:p>
          <w:p w14:paraId="4C1FFE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23.支持联动防火墙，防火墙检测到某主机有僵木蠕毒的C2通信时，支持手动或自动化将恶意域名信息下发到本产品做C2通信的封锁拦截，实现精准防控，且防火墙的此事件不再重复告警。</w:t>
            </w:r>
          </w:p>
        </w:tc>
        <w:tc>
          <w:tcPr>
            <w:tcW w:w="741" w:type="dxa"/>
            <w:vAlign w:val="center"/>
          </w:tcPr>
          <w:p w14:paraId="448DA80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1</w:t>
            </w:r>
          </w:p>
        </w:tc>
        <w:tc>
          <w:tcPr>
            <w:tcW w:w="815" w:type="dxa"/>
            <w:vAlign w:val="center"/>
          </w:tcPr>
          <w:p w14:paraId="571712F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套</w:t>
            </w:r>
          </w:p>
        </w:tc>
      </w:tr>
      <w:tr w14:paraId="7014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34B9BCD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14</w:t>
            </w:r>
          </w:p>
        </w:tc>
        <w:tc>
          <w:tcPr>
            <w:tcW w:w="1512" w:type="dxa"/>
            <w:vAlign w:val="center"/>
          </w:tcPr>
          <w:p w14:paraId="361C894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标准化实施</w:t>
            </w:r>
          </w:p>
        </w:tc>
        <w:tc>
          <w:tcPr>
            <w:tcW w:w="5823" w:type="dxa"/>
            <w:vAlign w:val="center"/>
          </w:tcPr>
          <w:p w14:paraId="286F33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highlight w:val="none"/>
                <w:lang w:val="en-US" w:eastAsia="zh-CN"/>
                <w14:textFill>
                  <w14:solidFill>
                    <w14:schemeClr w14:val="tx1"/>
                  </w14:solidFill>
                </w14:textFill>
              </w:rPr>
              <w:t>按照统一标准建设要求，确保9家建设点的内部、外部标识统一，在建筑入口处设置醒目“健康小屋”标牌（尺寸≥60cm×40cm）搭配统一Logo，区分标识（候诊区、检测区、咨询区）清晰易懂，安全提示（如“地面湿滑”“设备使用须知”）明确可见。</w:t>
            </w:r>
          </w:p>
        </w:tc>
        <w:tc>
          <w:tcPr>
            <w:tcW w:w="741" w:type="dxa"/>
            <w:vAlign w:val="center"/>
          </w:tcPr>
          <w:p w14:paraId="5E25341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1</w:t>
            </w:r>
          </w:p>
        </w:tc>
        <w:tc>
          <w:tcPr>
            <w:tcW w:w="815" w:type="dxa"/>
            <w:vAlign w:val="center"/>
          </w:tcPr>
          <w:p w14:paraId="3671490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套</w:t>
            </w:r>
          </w:p>
        </w:tc>
      </w:tr>
      <w:tr w14:paraId="48A3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5"/>
            <w:vAlign w:val="center"/>
          </w:tcPr>
          <w:p w14:paraId="160B14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kern w:val="2"/>
                <w:sz w:val="20"/>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0"/>
                <w:szCs w:val="20"/>
                <w:highlight w:val="none"/>
                <w:lang w:val="en-US" w:eastAsia="zh-CN" w:bidi="ar-SA"/>
                <w14:textFill>
                  <w14:solidFill>
                    <w14:schemeClr w14:val="tx1"/>
                  </w14:solidFill>
                </w14:textFill>
              </w:rPr>
              <w:t>说明：1.有关重量、尺寸、规格、体积等的表述，允许投标人在国标允许范围内浮动，但必须满足采购人实际使用，部分外观颜色需根据实际需求供采购人可选。</w:t>
            </w:r>
          </w:p>
          <w:p w14:paraId="0FEF870F">
            <w:pPr>
              <w:pStyle w:val="7"/>
              <w:ind w:left="0" w:leftChars="0" w:firstLine="0" w:firstLineChars="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0"/>
                <w:szCs w:val="20"/>
                <w:highlight w:val="none"/>
                <w:lang w:val="en-US" w:eastAsia="zh-CN" w:bidi="ar-SA"/>
                <w14:textFill>
                  <w14:solidFill>
                    <w14:schemeClr w14:val="tx1"/>
                  </w14:solidFill>
                </w14:textFill>
              </w:rPr>
              <w:t>2.带“▲”号的技术指标参数为允许负偏离的技术指标参数需求，若未响应或者不满足，将在综合评审中予以扣分处理；带“★”的技术指标参数为实质性要求，若未响应或者不满足，将按废标处理；投标人未按要求提供相关证明材料或技术指标参数存在负偏离的，均按无效响应。</w:t>
            </w:r>
          </w:p>
        </w:tc>
      </w:tr>
    </w:tbl>
    <w:p w14:paraId="6F8F68D6">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4A06E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34455"/>
    <w:rsid w:val="7D534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0"/>
    <w:pPr>
      <w:spacing w:after="12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5"/>
    <w:unhideWhenUsed/>
    <w:qFormat/>
    <w:uiPriority w:val="99"/>
    <w:pPr>
      <w:ind w:firstLine="420" w:firstLineChars="100"/>
    </w:pPr>
  </w:style>
  <w:style w:type="table" w:styleId="9">
    <w:name w:val="Table Grid"/>
    <w:basedOn w:val="8"/>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2025-08-29T13:42:00Z</dcterms:created>
  <dc:creator>Mr^冷冰</dc:creator>
  <cp:lastModifiedBy>Mr^冷冰</cp:lastModifiedBy>
  <dcterms:modified xsi:type="dcterms:W3CDTF">2025-08-29T13:43:10Z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945F038D7BAC4191A1CE53205E694328_11</vt:lpwstr>
  </property>
  <property fmtid="{D5CDD505-2E9C-101B-9397-08002B2CF9AE}" pid="4" name="KSOTemplateDocerSaveRecord">
    <vt:lpwstr>eyJoZGlkIjoiYjZiMGI5ODIwMTZlZjQ5ZjAxYWQzZTExY2JmOTM2MTMiLCJ1c2VySWQiOiI1Mzg3MTYzOTEifQ==</vt:lpwstr>
  </property>
</Properties>
</file>