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46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60"/>
      </w:tblGrid>
      <w:tr w14:paraId="615CBB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8" w:hRule="atLeast"/>
        </w:trPr>
        <w:tc>
          <w:tcPr>
            <w:tcW w:w="9460" w:type="dxa"/>
          </w:tcPr>
          <w:p w14:paraId="68D00C3F">
            <w:pPr>
              <w:pStyle w:val="4"/>
            </w:pPr>
            <w:r>
              <w:rPr>
                <w:rFonts w:ascii="仿宋_GB2312" w:hAnsi="仿宋_GB2312" w:eastAsia="仿宋_GB2312" w:cs="仿宋_GB2312"/>
              </w:rPr>
              <w:t xml:space="preserve"> 技术参数与性能指标</w:t>
            </w:r>
          </w:p>
        </w:tc>
      </w:tr>
      <w:tr w14:paraId="7E8E2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97" w:hRule="atLeast"/>
        </w:trPr>
        <w:tc>
          <w:tcPr>
            <w:tcW w:w="9460" w:type="dxa"/>
          </w:tcPr>
          <w:p w14:paraId="2A1A73B5">
            <w:pPr>
              <w:pStyle w:val="4"/>
            </w:pPr>
            <w:r>
              <w:rPr>
                <w:rFonts w:ascii="仿宋_GB2312" w:hAnsi="仿宋_GB2312" w:eastAsia="仿宋_GB2312" w:cs="仿宋_GB2312"/>
              </w:rPr>
              <w:t>全省城市垃圾处理行业第三方评估体检项目。组织第三方机构，对照《中华人民共和国固体废物污染环境防治法》《城市建筑垃圾管理规定》《生活垃圾填埋场污染控制标准》等相关要求,对全省建筑垃圾收集、转运、处理以及生活垃圾填埋场环境污染隐患排查整改情况进行实地调查、开展评估体检，进一步提升全省建筑垃圾和生活垃圾治理水平。</w:t>
            </w:r>
            <w:r>
              <w:br w:type="textWrapping"/>
            </w:r>
            <w:r>
              <w:rPr>
                <w:rFonts w:ascii="仿宋_GB2312" w:hAnsi="仿宋_GB2312" w:eastAsia="仿宋_GB2312" w:cs="仿宋_GB2312"/>
              </w:rPr>
              <w:t xml:space="preserve"> 一是依据国家《建筑垃圾处理技术标准》等标准规范，对全省62个建筑垃圾资源化利用厂或设施建设运营情况进行评估体检；</w:t>
            </w:r>
            <w:r>
              <w:br w:type="textWrapping"/>
            </w:r>
            <w:r>
              <w:rPr>
                <w:rFonts w:ascii="仿宋_GB2312" w:hAnsi="仿宋_GB2312" w:eastAsia="仿宋_GB2312" w:cs="仿宋_GB2312"/>
              </w:rPr>
              <w:t xml:space="preserve"> 二是编制我省《生活垃圾填埋场隐患排查指南》，指导各市完成填埋场垃圾坝体稳定性、截排洪设施完好性、渗滤液处置能力、地下水污染等风险隐患排查；依据各市自评排查台账，对全省103座生活垃圾填埋场进行逐场核查，形成县级以上生活垃圾填埋场环境污染隐患核查评估报告；</w:t>
            </w:r>
            <w:r>
              <w:br w:type="textWrapping"/>
            </w:r>
            <w:r>
              <w:rPr>
                <w:rFonts w:ascii="仿宋_GB2312" w:hAnsi="仿宋_GB2312" w:eastAsia="仿宋_GB2312" w:cs="仿宋_GB2312"/>
              </w:rPr>
              <w:t xml:space="preserve"> 三是针对第三轮中央环保督察指出的外省填埋场渗滤液直排和我省西安、神木、延安、商洛建筑垃圾乱堆乱倒问题，举一反三对我省信访反映、卫星遥感自查发现的问题点位，抽取100个乱堆乱倒点位整改情况进行实地核查；</w:t>
            </w:r>
            <w:r>
              <w:br w:type="textWrapping"/>
            </w:r>
            <w:r>
              <w:rPr>
                <w:rFonts w:ascii="仿宋_GB2312" w:hAnsi="仿宋_GB2312" w:eastAsia="仿宋_GB2312" w:cs="仿宋_GB2312"/>
              </w:rPr>
              <w:t xml:space="preserve"> 四是对10个设区城市、杨凌示范区及76个县（市、区）建筑垃圾污染防治工作规划实施落实情况进行督促检查，督促各地加快补齐制度建设和设施建设短板，推动建筑垃圾综合利用水平持续提升。</w:t>
            </w:r>
          </w:p>
        </w:tc>
      </w:tr>
    </w:tbl>
    <w:p w14:paraId="1BF8507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291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2025-09-04T09:38:56Z</dcterms:created>
  <dc:creator>Administrator</dc:creator>
  <cp:lastModifiedBy>Administrator</cp:lastModifiedBy>
  <dcterms:modified xsi:type="dcterms:W3CDTF">2025-09-04T09:39:35Z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eyJoZGlkIjoiMjAzYmJiNzk3NTgyYTJmNTM0N2IyODVhMDQ1N2IxNTAiLCJ1c2VySWQiOiI0MDk2MTE0NDAifQ==</vt:lpwstr>
  </property>
  <property fmtid="{D5CDD505-2E9C-101B-9397-08002B2CF9AE}" pid="4" name="ICV">
    <vt:lpwstr>327F7E5A5B9B4E35984FD66719BC9E0C_12</vt:lpwstr>
  </property>
</Properties>
</file>