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版本号：SXLX25-01-071Z(F)20250828001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智慧应急消防网格化管理平台建设及服务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SXLX25-01-071Z(F)</w:t>
      </w:r>
      <w:r>
        <w:br/>
      </w:r>
      <w:r>
        <w:br/>
      </w:r>
      <w:r>
        <w:br/>
      </w:r>
    </w:p>
    <w:p>
      <w:pPr>
        <w:pStyle w:val="null3"/>
        <w:jc w:val="center"/>
        <w:outlineLvl w:val="2"/>
      </w:pPr>
      <w:r>
        <w:rPr>
          <w:rFonts w:ascii="仿宋_GB2312" w:hAnsi="仿宋_GB2312" w:cs="仿宋_GB2312" w:eastAsia="仿宋_GB2312"/>
          <w:sz w:val="28"/>
          <w:b/>
        </w:rPr>
        <w:t>西安市未央区张家堡街道办事处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西安市未央区张家堡街道办事处</w:t>
      </w:r>
      <w:r>
        <w:rPr>
          <w:rFonts w:ascii="仿宋_GB2312" w:hAnsi="仿宋_GB2312" w:cs="仿宋_GB2312" w:eastAsia="仿宋_GB2312"/>
        </w:rPr>
        <w:t>委托，拟对</w:t>
      </w:r>
      <w:r>
        <w:rPr>
          <w:rFonts w:ascii="仿宋_GB2312" w:hAnsi="仿宋_GB2312" w:cs="仿宋_GB2312" w:eastAsia="仿宋_GB2312"/>
        </w:rPr>
        <w:t>智慧应急消防网格化管理平台建设及服务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SXLX25-01-071Z(F)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智慧应急消防网格化管理平台建设及服务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应急网格化管理平台应包含防汛水位监测系统、应急救援联动系统、网格化管理系统、电动车智能监测系统及独居老人消防检测系统等多个功能模块，提升监测预警的精准度与时效性，实现对街道全时段、无盲区的覆盖式监控，配合并促进采购人完成智慧应急网格化管理平台建设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采购包1（智慧应急消防网格化管理平台建设及服务）：属于专门面向中小企业采购。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西安市未央区张家堡街道办事处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029-86682391</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张翼</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西安市未央区张家堡街道办事处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西安市未央区张家堡街道办事处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西安市未央区张家堡街道办事处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应急网格化管理平台应包含防汛水位监测系统、应急救援联动系统、网格化管理系统、电动车智能监测系统及独居老人消防检测系统等多个功能模块，提升监测预警的精准度与时效性，实现对街道全时段、无盲区的覆盖式监控，配合并促进采购人完成智慧应急网格化管理平台建设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719,200.00</w:t>
      </w:r>
    </w:p>
    <w:p>
      <w:pPr>
        <w:pStyle w:val="null3"/>
      </w:pPr>
      <w:r>
        <w:rPr>
          <w:rFonts w:ascii="仿宋_GB2312" w:hAnsi="仿宋_GB2312" w:cs="仿宋_GB2312" w:eastAsia="仿宋_GB2312"/>
        </w:rPr>
        <w:t>采购包最高限价（元）: 719,200.00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智慧应急消防网格化管理平台建设及服务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标的名称：智慧应急消防网格化管理平台建设及服务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功能模块要求：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1）管理后台需求：①组织架构管理；②角色权限管理；③系统日志；④数据字典。</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2）监管对象管理：①小区管理；②九小场所管理； ③企业管理； ④孤寡老人信息管理。</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3）应急隐患管理：①小区隐患管理；②企业隐患管理； ③九小场所隐患管理。</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4）预警监测平台：①小区预警监测；②九小场所预警监测； ③企业安全生产预警监测； ④充电桩安全管理；⑤独居老人消防安全及一键求助；⑥防汛水位监测预警。</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5）应急资源管理：①应急队伍管理；②物资信息管理；③库存管理；④审计管理。</w:t>
            </w:r>
          </w:p>
          <w:p>
            <w:pPr>
              <w:pStyle w:val="null3"/>
              <w:ind w:firstLine="402"/>
              <w:jc w:val="left"/>
            </w:pPr>
            <w:r>
              <w:rPr>
                <w:rFonts w:ascii="仿宋_GB2312" w:hAnsi="仿宋_GB2312" w:cs="仿宋_GB2312" w:eastAsia="仿宋_GB2312"/>
                <w:sz w:val="20"/>
                <w:b/>
                <w:color w:val="000000"/>
              </w:rPr>
              <w:t>以上功能要求自行规划设计，要求效果直观，功能完善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1.2技术要求：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1）遵循软件行业的标准规范：开发过程中必须遵循软件行业标准规范及相关技术和数据规范、业务规范，结合实际需求进行系统的设计、开发与实施。</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基于B/S架构：通过TCP、MQTT、UDP等协议实现设备数据采集、实时状态监控及可视化分析，结合MySQL时序数据库存储海量传感器数据，实现对突发事件的实时监控、智能调度与全流程高效处置，多应用独立开发与部署，通过中间件和钩子机制实现功能解耦，增强系统的可扩展性和灵活性，兼容MySQL/Oracle等多种数据库，支持云服务器、容器化部署，满足高并发场景需求。</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3）平台架构升级要求：平台根据采购方的后续要求具备并可以实现升级能力。</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兼容主流操作系统、数据库、网络传输协议和浏览器等：开放的技术架构，能够兼容主流的服务器、操作系统（银河麒麟、统信等）、数据库（海量、达梦等）、程序语言、网络传输协议、浏览器（支持WebRCT应用）。能够在各类信息化环境中进行系统部署、运行、访问与集成。系统具备工作流引擎，实现工作流自定义功能。以现有的网络、数据处理、安全等设施为基础扩展，对原有资源（包括设备、应用、数据）进行最大限度地合理整合利用的原则。</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实现大数据存储控制及分析应用能力：具备实现数据存储和数据分析应用能力，至少使用国内先进水平的同等技术。同时产品提供模块化设计，基于模块提供的开放接口可以快速进行二次开发，扩展产品功能。</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网络环境兼容性：支持B/S架构的星型拓扑确保可扩展性，兼容移动/远程办公场景，适配多品牌终端与新旧设备，并集成MQTT等协议实现物联网设备接入，保障带宽以支持数据传输与实时协作，通过负载均衡避免中断，浏览器兼容需支持IE11及以上及Chrome/Firefox等主流内核，确保跨平台访问流畅性，协议层面强制HTTPS加密，保障通讯安全。</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7）具备与上级平台系统无缝对接功能：全面考虑平台用户的操作习惯和便捷性，本次建设的平台可向上级系统的数据要求实现全面对接，配合采购人对上级单位技术的对接工作。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8）支持信创迁移：随着政府建设信创云平台，服务方承诺配合迁移的解决方案及配套服务，确保系统顺利实现信创迁移。</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具备独立开展智慧应急网格化管理平台建设的技术力量和开发建设领域经验，采取科学、针对性强的建设方案，按照国家法律、法规的有关规定及操作规程做好项目的实施计划、组织协调、进度控制、难点、重点把握、质量控制、成本控制等全方面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 国务院、陕西省、西安市等各级政府部门相关文件精神。</w:t>
            </w:r>
          </w:p>
          <w:p>
            <w:pPr>
              <w:pStyle w:val="null3"/>
              <w:spacing w:before="105" w:after="105"/>
              <w:jc w:val="both"/>
            </w:pPr>
            <w:r>
              <w:rPr>
                <w:rFonts w:ascii="仿宋_GB2312" w:hAnsi="仿宋_GB2312" w:cs="仿宋_GB2312" w:eastAsia="仿宋_GB2312"/>
                <w:sz w:val="20"/>
                <w:b/>
                <w:color w:val="000000"/>
              </w:rPr>
              <w:t>1.3功能安全要求：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保证应急网格化管理平台与政府现有政务平台之间的数据安全和网络安全，服务端不存在中高危漏洞，不会被黑客、木马、病毒攻击并扩散到现有平台。在发生安全问题时，不会对现有平台的运行和数据产生影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2）按照积极防御、综合防范，兼顾安全与应用、兼顾安全与投入的原则，充分考虑现有安全保护基础，在合理利用现有安全设备基础上， 采取管理与技术相结合的手段，建立信息安全事件响应机制。有效提高系统的安全性，确保数据、网络和应用系统的安全。</w:t>
            </w:r>
          </w:p>
          <w:p>
            <w:pPr>
              <w:pStyle w:val="null3"/>
              <w:jc w:val="left"/>
            </w:pPr>
            <w:r>
              <w:rPr>
                <w:rFonts w:ascii="仿宋_GB2312" w:hAnsi="仿宋_GB2312" w:cs="仿宋_GB2312" w:eastAsia="仿宋_GB2312"/>
                <w:sz w:val="20"/>
                <w:b/>
                <w:color w:val="000000"/>
              </w:rPr>
              <w:t>1.4日常运维服务要求：</w:t>
            </w:r>
            <w:r>
              <w:rPr>
                <w:rFonts w:ascii="仿宋_GB2312" w:hAnsi="仿宋_GB2312" w:cs="仿宋_GB2312" w:eastAsia="仿宋_GB2312"/>
                <w:sz w:val="20"/>
                <w:color w:val="000000"/>
              </w:rPr>
              <w:t>提供详细的运行维护方案，并出具承诺书，承诺自项目验收合格起</w:t>
            </w:r>
            <w:r>
              <w:rPr>
                <w:rFonts w:ascii="仿宋_GB2312" w:hAnsi="仿宋_GB2312" w:cs="仿宋_GB2312" w:eastAsia="仿宋_GB2312"/>
                <w:sz w:val="20"/>
                <w:color w:val="000000"/>
              </w:rPr>
              <w:t>1年内提供项目实施组核心成员运维服务（应提供具体成员名单，包括姓名、工作职务、联系方式等）。服务内容包括但不限于在免费维保服务期，每月一次对平台软硬件设备进行全面的检查，完成系统的巡检工作，确保平台7×24小时全天候正常工作。需制定运维内容以及平台故障处置流程，如出现平台故障，通过远程服务形式，确保短时间内快速进行问题响应解决。</w:t>
            </w:r>
          </w:p>
          <w:p>
            <w:pPr>
              <w:pStyle w:val="null3"/>
              <w:jc w:val="both"/>
            </w:pPr>
            <w:r>
              <w:rPr>
                <w:rFonts w:ascii="仿宋_GB2312" w:hAnsi="仿宋_GB2312" w:cs="仿宋_GB2312" w:eastAsia="仿宋_GB2312"/>
                <w:sz w:val="20"/>
                <w:b/>
                <w:color w:val="000000"/>
              </w:rPr>
              <w:t>1.5进度要求：</w:t>
            </w:r>
            <w:r>
              <w:rPr>
                <w:rFonts w:ascii="仿宋_GB2312" w:hAnsi="仿宋_GB2312" w:cs="仿宋_GB2312" w:eastAsia="仿宋_GB2312"/>
                <w:sz w:val="20"/>
                <w:color w:val="000000"/>
              </w:rPr>
              <w:t>通过采取科学、合理、可行的组织、技术、管理等相关控制措施将项目实施进度控制在采购人所要求的合理时间节点内。</w:t>
            </w:r>
          </w:p>
          <w:p>
            <w:pPr>
              <w:pStyle w:val="null3"/>
              <w:spacing w:before="105" w:after="105"/>
              <w:jc w:val="left"/>
            </w:pPr>
            <w:r>
              <w:rPr>
                <w:rFonts w:ascii="仿宋_GB2312" w:hAnsi="仿宋_GB2312" w:cs="仿宋_GB2312" w:eastAsia="仿宋_GB2312"/>
                <w:sz w:val="20"/>
                <w:b/>
                <w:color w:val="000000"/>
              </w:rPr>
              <w:t>1.6服务要求：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1）服务方须指派专属人员与采购人联系服务事宜，服务响应时间应根据采购人实际安排随时调整。</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2）所有服务方式均为服务方上门服务，即由服务方派员到服务现场，项目实行包工包料、包组织、包服务，由此产生的一切费用均由服务方承担。</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3）服务方需根据服务实际情况编制服务方案，服务计划、进度安排、突发应急等方案措施。</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5）服务过程中，严格遵守各种管理规定及规章制度，做到奉公守法、诚实守信、廉洁自律、安全文明；服务过程如发生工伤及意外事故由服务方单位负责。</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7）严格按照国家、陕西省、西安市有关规定及采购人要求进行服务，不得随意更改或者变换服务内容，每项服务内容实施前应事先取得采购人的落实后方可实施；</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8）配合促进采购人安排的其他相关工作。</w:t>
            </w:r>
          </w:p>
          <w:p>
            <w:pPr>
              <w:pStyle w:val="null3"/>
              <w:spacing w:before="105" w:after="105"/>
              <w:jc w:val="left"/>
            </w:pPr>
            <w:r>
              <w:rPr>
                <w:rFonts w:ascii="仿宋_GB2312" w:hAnsi="仿宋_GB2312" w:cs="仿宋_GB2312" w:eastAsia="仿宋_GB2312"/>
                <w:sz w:val="20"/>
                <w:b/>
                <w:color w:val="000000"/>
              </w:rPr>
              <w:t>1.7服务质量：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1）各项服务符合国家、省、市（行业）强制性标准及采购人要求的合格标准。</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jc w:val="left"/>
            </w:pPr>
            <w:r>
              <w:rPr>
                <w:rFonts w:ascii="仿宋_GB2312" w:hAnsi="仿宋_GB2312" w:cs="仿宋_GB2312" w:eastAsia="仿宋_GB2312"/>
                <w:sz w:val="20"/>
                <w:b/>
                <w:color w:val="000000"/>
              </w:rPr>
              <w:t>1.8售后服务要求：</w:t>
            </w:r>
            <w:r>
              <w:rPr>
                <w:rFonts w:ascii="仿宋_GB2312" w:hAnsi="仿宋_GB2312" w:cs="仿宋_GB2312" w:eastAsia="仿宋_GB2312"/>
                <w:sz w:val="20"/>
                <w:color w:val="000000"/>
              </w:rPr>
              <w:t>①服务方应提供由专业技术人员保障的7×24小时技术支持电话服务及完善的服务机制。</w:t>
            </w:r>
          </w:p>
          <w:p>
            <w:pPr>
              <w:pStyle w:val="null3"/>
              <w:ind w:firstLine="400"/>
              <w:jc w:val="left"/>
            </w:pPr>
            <w:r>
              <w:rPr>
                <w:rFonts w:ascii="仿宋_GB2312" w:hAnsi="仿宋_GB2312" w:cs="仿宋_GB2312" w:eastAsia="仿宋_GB2312"/>
                <w:sz w:val="20"/>
                <w:color w:val="000000"/>
              </w:rPr>
              <w:t>②接到报修电话后，服务方技术人员需在4小时内上门服务、12 小时内排除故障。</w:t>
            </w:r>
          </w:p>
          <w:p>
            <w:pPr>
              <w:pStyle w:val="null3"/>
              <w:spacing w:before="105" w:after="105"/>
              <w:jc w:val="both"/>
            </w:pPr>
            <w:r>
              <w:rPr>
                <w:rFonts w:ascii="仿宋_GB2312" w:hAnsi="仿宋_GB2312" w:cs="仿宋_GB2312" w:eastAsia="仿宋_GB2312"/>
                <w:sz w:val="20"/>
                <w:color w:val="000000"/>
              </w:rPr>
              <w:t>③在售后服务期内，服务方能够独立操作、维护，确保系统能正常按技术服务内容（包括但不限于故障响应与处理、软件系统维护、日常巡检、性能优化、系统监控、数据备份与恢复、数据统计、安全防护与管理、功能定制、现场支持、系统培训等）正常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自合同签订生效之日起15日内完成平台建设，并提供1年维保服务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平台建设完成，经验收合格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响应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 xml:space="preserve"> 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响应文件内容齐全、无遗漏，符合采购文件中的实质性条款要求，且未含有采购人不能接受的附加条件。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根据对项目的理解情况，主要包括①管理后台需求、②监管对象管理、③应急隐患管理、④预警监测平台、⑤应急资源管理的响应程度。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根据实施方案的①实施思路、②实施方法、③技术依据、④调试，验收方案、⑤日常运行维护方案的响应程度。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根据对平台安全的①保障方案、②数据和网络安全、③隐患防御防范的响应程度。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根据对服务质量的①质量保证措施、②内部管理措施、③完成时效的响应程度。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合理化建议和廉洁、保密</w:t>
            </w:r>
          </w:p>
        </w:tc>
        <w:tc>
          <w:tcPr>
            <w:tcW w:type="dxa" w:w="2492"/>
          </w:tcPr>
          <w:p>
            <w:pPr>
              <w:pStyle w:val="null3"/>
            </w:pPr>
            <w:r>
              <w:rPr>
                <w:rFonts w:ascii="仿宋_GB2312" w:hAnsi="仿宋_GB2312" w:cs="仿宋_GB2312" w:eastAsia="仿宋_GB2312"/>
              </w:rPr>
              <w:t>根据对服务过程中的①有利于采购人的合理化建议和②廉洁、保密制度措施的响应程度。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具有2022年1月1日起至今（以合同签订时间为准）智慧平台建设类项目业绩，业绩以合同扫描件（复印件）为依据；每提供1个业绩得1分，最多得4分。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 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