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90D76">
      <w:pPr>
        <w:pStyle w:val="5"/>
        <w:jc w:val="center"/>
        <w:outlineLvl w:val="1"/>
      </w:pPr>
      <w:r>
        <w:rPr>
          <w:rFonts w:ascii="仿宋_GB2312" w:hAnsi="仿宋_GB2312" w:eastAsia="仿宋_GB2312" w:cs="仿宋_GB2312"/>
          <w:b/>
          <w:sz w:val="36"/>
        </w:rPr>
        <w:t>第三章 磋商项目技术、服务、商务及其他要求</w:t>
      </w:r>
    </w:p>
    <w:p w14:paraId="7625E20B">
      <w:pPr>
        <w:pStyle w:val="5"/>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9EAA79A">
      <w:pPr>
        <w:pStyle w:val="5"/>
        <w:outlineLvl w:val="2"/>
      </w:pPr>
      <w:r>
        <w:rPr>
          <w:rFonts w:ascii="仿宋_GB2312" w:hAnsi="仿宋_GB2312" w:eastAsia="仿宋_GB2312" w:cs="仿宋_GB2312"/>
          <w:b/>
          <w:sz w:val="28"/>
        </w:rPr>
        <w:t>3.1采购项目概况</w:t>
      </w:r>
    </w:p>
    <w:p w14:paraId="034C06C8">
      <w:pPr>
        <w:pStyle w:val="5"/>
        <w:ind w:firstLine="480"/>
        <w:rPr>
          <w:rFonts w:hint="eastAsia" w:ascii="仿宋_GB2312" w:hAnsi="仿宋_GB2312" w:eastAsia="仿宋_GB2312" w:cs="仿宋_GB2312"/>
        </w:rPr>
      </w:pPr>
      <w:r>
        <w:rPr>
          <w:rFonts w:hint="eastAsia" w:ascii="仿宋_GB2312" w:hAnsi="仿宋_GB2312" w:eastAsia="仿宋_GB2312" w:cs="仿宋_GB2312"/>
          <w:lang w:val="en-US" w:eastAsia="zh-CN"/>
        </w:rPr>
        <w:t>为保持第三次全国国土调查成果的现势性，按照《土地调查条例》、《土地调查条例实施办法》及《国土变更调查技术规程》等要求，利用最新卫星遥感影像，通过区级实地调查，省级、国家级核查，开展阎良区2025年度国土变更调查工作，掌握2025年度土地利用的变化情况，进一步夯实国土调查成果作为自然资源管理工作底数、底版和底图的工作基础，扎实做好耕地保护和粮食安全责任制考核的数据准备，有效支撑高质量发展和国土空间治理现代化。</w:t>
      </w:r>
    </w:p>
    <w:p w14:paraId="10DD806D">
      <w:pPr>
        <w:pStyle w:val="5"/>
        <w:outlineLvl w:val="2"/>
      </w:pPr>
      <w:r>
        <w:rPr>
          <w:rFonts w:ascii="仿宋_GB2312" w:hAnsi="仿宋_GB2312" w:eastAsia="仿宋_GB2312" w:cs="仿宋_GB2312"/>
          <w:b/>
          <w:sz w:val="28"/>
        </w:rPr>
        <w:t>3.2服务内容及服务要求</w:t>
      </w:r>
    </w:p>
    <w:p w14:paraId="3CBB3CC7">
      <w:pPr>
        <w:pStyle w:val="5"/>
        <w:outlineLvl w:val="3"/>
      </w:pPr>
      <w:r>
        <w:rPr>
          <w:rFonts w:ascii="仿宋_GB2312" w:hAnsi="仿宋_GB2312" w:eastAsia="仿宋_GB2312" w:cs="仿宋_GB2312"/>
          <w:b/>
          <w:sz w:val="24"/>
        </w:rPr>
        <w:t>3.2.1服务内容</w:t>
      </w:r>
    </w:p>
    <w:p w14:paraId="0476B2C3">
      <w:pPr>
        <w:pStyle w:val="5"/>
      </w:pPr>
      <w:r>
        <w:rPr>
          <w:rFonts w:ascii="仿宋_GB2312" w:hAnsi="仿宋_GB2312" w:eastAsia="仿宋_GB2312" w:cs="仿宋_GB2312"/>
        </w:rPr>
        <w:t>采购包1：</w:t>
      </w:r>
    </w:p>
    <w:p w14:paraId="7634C37E">
      <w:pPr>
        <w:pStyle w:val="5"/>
        <w:rPr>
          <w:rFonts w:hint="eastAsia" w:eastAsia="仿宋_GB2312"/>
          <w:lang w:eastAsia="zh-CN"/>
        </w:rPr>
      </w:pPr>
      <w:r>
        <w:rPr>
          <w:rFonts w:ascii="仿宋_GB2312" w:hAnsi="仿宋_GB2312" w:eastAsia="仿宋_GB2312" w:cs="仿宋_GB2312"/>
        </w:rPr>
        <w:t xml:space="preserve">采购包预算金额（元）: </w:t>
      </w:r>
      <w:r>
        <w:rPr>
          <w:rFonts w:hint="eastAsia" w:ascii="仿宋_GB2312" w:hAnsi="仿宋_GB2312" w:eastAsia="仿宋_GB2312" w:cs="仿宋_GB2312"/>
          <w:lang w:eastAsia="zh-CN"/>
        </w:rPr>
        <w:t>600,000.00</w:t>
      </w:r>
    </w:p>
    <w:p w14:paraId="05E6DF2F">
      <w:pPr>
        <w:pStyle w:val="5"/>
        <w:rPr>
          <w:rFonts w:hint="eastAsia" w:eastAsia="仿宋_GB2312"/>
          <w:lang w:eastAsia="zh-CN"/>
        </w:rPr>
      </w:pPr>
      <w:r>
        <w:rPr>
          <w:rFonts w:ascii="仿宋_GB2312" w:hAnsi="仿宋_GB2312" w:eastAsia="仿宋_GB2312" w:cs="仿宋_GB2312"/>
        </w:rPr>
        <w:t xml:space="preserve">采购包最高限价（元）: </w:t>
      </w:r>
      <w:r>
        <w:rPr>
          <w:rFonts w:hint="eastAsia" w:ascii="仿宋_GB2312" w:hAnsi="仿宋_GB2312" w:eastAsia="仿宋_GB2312" w:cs="仿宋_GB2312"/>
          <w:lang w:eastAsia="zh-CN"/>
        </w:rPr>
        <w:t>600,000.00</w:t>
      </w:r>
    </w:p>
    <w:p w14:paraId="0F34D3DC">
      <w:pPr>
        <w:pStyle w:val="5"/>
      </w:pPr>
      <w:r>
        <w:rPr>
          <w:rFonts w:ascii="仿宋_GB2312" w:hAnsi="仿宋_GB2312" w:eastAsia="仿宋_GB2312" w:cs="仿宋_GB2312"/>
        </w:rPr>
        <w:t>供应商报价不允许超过标的金额</w:t>
      </w:r>
    </w:p>
    <w:p w14:paraId="35E4335D">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0"/>
        <w:gridCol w:w="1049"/>
        <w:gridCol w:w="652"/>
        <w:gridCol w:w="1229"/>
        <w:gridCol w:w="727"/>
        <w:gridCol w:w="811"/>
        <w:gridCol w:w="811"/>
        <w:gridCol w:w="811"/>
        <w:gridCol w:w="811"/>
        <w:gridCol w:w="811"/>
      </w:tblGrid>
      <w:tr w14:paraId="652EE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70B960A">
            <w:pPr>
              <w:pStyle w:val="5"/>
            </w:pPr>
            <w:r>
              <w:rPr>
                <w:rFonts w:ascii="仿宋_GB2312" w:hAnsi="仿宋_GB2312" w:eastAsia="仿宋_GB2312" w:cs="仿宋_GB2312"/>
              </w:rPr>
              <w:t>序号</w:t>
            </w:r>
          </w:p>
        </w:tc>
        <w:tc>
          <w:tcPr>
            <w:tcW w:w="1049" w:type="dxa"/>
          </w:tcPr>
          <w:p w14:paraId="66E11CD7">
            <w:pPr>
              <w:pStyle w:val="5"/>
            </w:pPr>
            <w:r>
              <w:rPr>
                <w:rFonts w:ascii="仿宋_GB2312" w:hAnsi="仿宋_GB2312" w:eastAsia="仿宋_GB2312" w:cs="仿宋_GB2312"/>
              </w:rPr>
              <w:t>标的名称</w:t>
            </w:r>
          </w:p>
        </w:tc>
        <w:tc>
          <w:tcPr>
            <w:tcW w:w="652" w:type="dxa"/>
          </w:tcPr>
          <w:p w14:paraId="76860955">
            <w:pPr>
              <w:pStyle w:val="5"/>
            </w:pPr>
            <w:r>
              <w:rPr>
                <w:rFonts w:ascii="仿宋_GB2312" w:hAnsi="仿宋_GB2312" w:eastAsia="仿宋_GB2312" w:cs="仿宋_GB2312"/>
              </w:rPr>
              <w:t>数量</w:t>
            </w:r>
          </w:p>
        </w:tc>
        <w:tc>
          <w:tcPr>
            <w:tcW w:w="1229" w:type="dxa"/>
          </w:tcPr>
          <w:p w14:paraId="5A470DFE">
            <w:pPr>
              <w:pStyle w:val="5"/>
            </w:pPr>
            <w:r>
              <w:rPr>
                <w:rFonts w:ascii="仿宋_GB2312" w:hAnsi="仿宋_GB2312" w:eastAsia="仿宋_GB2312" w:cs="仿宋_GB2312"/>
              </w:rPr>
              <w:t>标的金额 （元）</w:t>
            </w:r>
          </w:p>
        </w:tc>
        <w:tc>
          <w:tcPr>
            <w:tcW w:w="727" w:type="dxa"/>
          </w:tcPr>
          <w:p w14:paraId="446F844E">
            <w:pPr>
              <w:pStyle w:val="5"/>
            </w:pPr>
            <w:r>
              <w:rPr>
                <w:rFonts w:ascii="仿宋_GB2312" w:hAnsi="仿宋_GB2312" w:eastAsia="仿宋_GB2312" w:cs="仿宋_GB2312"/>
              </w:rPr>
              <w:t>计量单位</w:t>
            </w:r>
          </w:p>
        </w:tc>
        <w:tc>
          <w:tcPr>
            <w:tcW w:w="811" w:type="dxa"/>
          </w:tcPr>
          <w:p w14:paraId="6F0E20BE">
            <w:pPr>
              <w:pStyle w:val="5"/>
            </w:pPr>
            <w:r>
              <w:rPr>
                <w:rFonts w:ascii="仿宋_GB2312" w:hAnsi="仿宋_GB2312" w:eastAsia="仿宋_GB2312" w:cs="仿宋_GB2312"/>
              </w:rPr>
              <w:t>所属行业</w:t>
            </w:r>
          </w:p>
        </w:tc>
        <w:tc>
          <w:tcPr>
            <w:tcW w:w="811" w:type="dxa"/>
          </w:tcPr>
          <w:p w14:paraId="033CBEF5">
            <w:pPr>
              <w:pStyle w:val="5"/>
            </w:pPr>
            <w:r>
              <w:rPr>
                <w:rFonts w:ascii="仿宋_GB2312" w:hAnsi="仿宋_GB2312" w:eastAsia="仿宋_GB2312" w:cs="仿宋_GB2312"/>
              </w:rPr>
              <w:t>是否核心产品</w:t>
            </w:r>
          </w:p>
        </w:tc>
        <w:tc>
          <w:tcPr>
            <w:tcW w:w="811" w:type="dxa"/>
          </w:tcPr>
          <w:p w14:paraId="0020FBE0">
            <w:pPr>
              <w:pStyle w:val="5"/>
            </w:pPr>
            <w:r>
              <w:rPr>
                <w:rFonts w:ascii="仿宋_GB2312" w:hAnsi="仿宋_GB2312" w:eastAsia="仿宋_GB2312" w:cs="仿宋_GB2312"/>
              </w:rPr>
              <w:t>是否允许进口产品</w:t>
            </w:r>
          </w:p>
        </w:tc>
        <w:tc>
          <w:tcPr>
            <w:tcW w:w="811" w:type="dxa"/>
          </w:tcPr>
          <w:p w14:paraId="6294C143">
            <w:pPr>
              <w:pStyle w:val="5"/>
            </w:pPr>
            <w:r>
              <w:rPr>
                <w:rFonts w:ascii="仿宋_GB2312" w:hAnsi="仿宋_GB2312" w:eastAsia="仿宋_GB2312" w:cs="仿宋_GB2312"/>
              </w:rPr>
              <w:t>是否属于节能产品</w:t>
            </w:r>
          </w:p>
        </w:tc>
        <w:tc>
          <w:tcPr>
            <w:tcW w:w="811" w:type="dxa"/>
          </w:tcPr>
          <w:p w14:paraId="2FE674F3">
            <w:pPr>
              <w:pStyle w:val="5"/>
            </w:pPr>
            <w:r>
              <w:rPr>
                <w:rFonts w:ascii="仿宋_GB2312" w:hAnsi="仿宋_GB2312" w:eastAsia="仿宋_GB2312" w:cs="仿宋_GB2312"/>
              </w:rPr>
              <w:t>是否属于环境标志产品</w:t>
            </w:r>
          </w:p>
        </w:tc>
      </w:tr>
      <w:tr w14:paraId="1558D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44F4DD3E">
            <w:pPr>
              <w:pStyle w:val="5"/>
            </w:pPr>
            <w:r>
              <w:rPr>
                <w:rFonts w:ascii="仿宋_GB2312" w:hAnsi="仿宋_GB2312" w:eastAsia="仿宋_GB2312" w:cs="仿宋_GB2312"/>
              </w:rPr>
              <w:t>1</w:t>
            </w:r>
          </w:p>
        </w:tc>
        <w:tc>
          <w:tcPr>
            <w:tcW w:w="1049" w:type="dxa"/>
          </w:tcPr>
          <w:p w14:paraId="3387C181">
            <w:pPr>
              <w:pStyle w:val="5"/>
              <w:rPr>
                <w:rFonts w:hint="eastAsia" w:eastAsiaTheme="minorEastAsia"/>
                <w:lang w:eastAsia="zh-CN"/>
              </w:rPr>
            </w:pPr>
            <w:r>
              <w:rPr>
                <w:rFonts w:hint="eastAsia" w:ascii="仿宋_GB2312" w:hAnsi="仿宋_GB2312" w:eastAsia="仿宋_GB2312" w:cs="仿宋_GB2312"/>
                <w:lang w:eastAsia="zh-CN"/>
              </w:rPr>
              <w:t>阎良区2025年度国土变更调查项目</w:t>
            </w:r>
          </w:p>
        </w:tc>
        <w:tc>
          <w:tcPr>
            <w:tcW w:w="652" w:type="dxa"/>
          </w:tcPr>
          <w:p w14:paraId="2BFF6344">
            <w:pPr>
              <w:pStyle w:val="5"/>
              <w:jc w:val="right"/>
            </w:pPr>
            <w:r>
              <w:rPr>
                <w:rFonts w:ascii="仿宋_GB2312" w:hAnsi="仿宋_GB2312" w:eastAsia="仿宋_GB2312" w:cs="仿宋_GB2312"/>
              </w:rPr>
              <w:t>1.00</w:t>
            </w:r>
          </w:p>
        </w:tc>
        <w:tc>
          <w:tcPr>
            <w:tcW w:w="1229" w:type="dxa"/>
          </w:tcPr>
          <w:p w14:paraId="05602EE1">
            <w:pPr>
              <w:pStyle w:val="5"/>
              <w:jc w:val="right"/>
              <w:rPr>
                <w:rFonts w:hint="eastAsia" w:eastAsiaTheme="minorEastAsia"/>
                <w:lang w:eastAsia="zh-CN"/>
              </w:rPr>
            </w:pPr>
            <w:r>
              <w:rPr>
                <w:rFonts w:hint="eastAsia" w:ascii="仿宋_GB2312" w:hAnsi="仿宋_GB2312" w:eastAsia="仿宋_GB2312" w:cs="仿宋_GB2312"/>
                <w:lang w:eastAsia="zh-CN"/>
              </w:rPr>
              <w:t>600,000.00</w:t>
            </w:r>
          </w:p>
        </w:tc>
        <w:tc>
          <w:tcPr>
            <w:tcW w:w="727" w:type="dxa"/>
          </w:tcPr>
          <w:p w14:paraId="21B71A16">
            <w:pPr>
              <w:pStyle w:val="5"/>
            </w:pPr>
            <w:r>
              <w:rPr>
                <w:rFonts w:ascii="仿宋_GB2312" w:hAnsi="仿宋_GB2312" w:eastAsia="仿宋_GB2312" w:cs="仿宋_GB2312"/>
              </w:rPr>
              <w:t>批</w:t>
            </w:r>
          </w:p>
        </w:tc>
        <w:tc>
          <w:tcPr>
            <w:tcW w:w="811" w:type="dxa"/>
          </w:tcPr>
          <w:p w14:paraId="564C018C">
            <w:pPr>
              <w:pStyle w:val="5"/>
              <w:rPr>
                <w:rFonts w:hint="eastAsia" w:eastAsiaTheme="minorEastAsia"/>
                <w:lang w:eastAsia="zh-CN"/>
              </w:rPr>
            </w:pPr>
            <w:r>
              <w:rPr>
                <w:rFonts w:hint="eastAsia" w:ascii="仿宋_GB2312" w:hAnsi="仿宋_GB2312" w:eastAsia="仿宋_GB2312" w:cs="仿宋_GB2312"/>
                <w:lang w:eastAsia="zh-CN"/>
              </w:rPr>
              <w:t>其他未列明行业</w:t>
            </w:r>
          </w:p>
        </w:tc>
        <w:tc>
          <w:tcPr>
            <w:tcW w:w="811" w:type="dxa"/>
          </w:tcPr>
          <w:p w14:paraId="2499AEE7">
            <w:pPr>
              <w:pStyle w:val="5"/>
            </w:pPr>
            <w:r>
              <w:rPr>
                <w:rFonts w:ascii="仿宋_GB2312" w:hAnsi="仿宋_GB2312" w:eastAsia="仿宋_GB2312" w:cs="仿宋_GB2312"/>
              </w:rPr>
              <w:t>否</w:t>
            </w:r>
          </w:p>
        </w:tc>
        <w:tc>
          <w:tcPr>
            <w:tcW w:w="811" w:type="dxa"/>
          </w:tcPr>
          <w:p w14:paraId="3DE92035">
            <w:pPr>
              <w:pStyle w:val="5"/>
            </w:pPr>
            <w:r>
              <w:rPr>
                <w:rFonts w:ascii="仿宋_GB2312" w:hAnsi="仿宋_GB2312" w:eastAsia="仿宋_GB2312" w:cs="仿宋_GB2312"/>
              </w:rPr>
              <w:t>否</w:t>
            </w:r>
          </w:p>
        </w:tc>
        <w:tc>
          <w:tcPr>
            <w:tcW w:w="811" w:type="dxa"/>
          </w:tcPr>
          <w:p w14:paraId="3A88993D">
            <w:pPr>
              <w:pStyle w:val="5"/>
            </w:pPr>
            <w:r>
              <w:rPr>
                <w:rFonts w:ascii="仿宋_GB2312" w:hAnsi="仿宋_GB2312" w:eastAsia="仿宋_GB2312" w:cs="仿宋_GB2312"/>
              </w:rPr>
              <w:t>否</w:t>
            </w:r>
          </w:p>
        </w:tc>
        <w:tc>
          <w:tcPr>
            <w:tcW w:w="811" w:type="dxa"/>
          </w:tcPr>
          <w:p w14:paraId="0E5ECEF6">
            <w:pPr>
              <w:pStyle w:val="5"/>
            </w:pPr>
            <w:r>
              <w:rPr>
                <w:rFonts w:ascii="仿宋_GB2312" w:hAnsi="仿宋_GB2312" w:eastAsia="仿宋_GB2312" w:cs="仿宋_GB2312"/>
              </w:rPr>
              <w:t>否</w:t>
            </w:r>
          </w:p>
        </w:tc>
      </w:tr>
    </w:tbl>
    <w:p w14:paraId="6F6AA6FF">
      <w:pPr>
        <w:pStyle w:val="5"/>
        <w:outlineLvl w:val="2"/>
      </w:pPr>
      <w:r>
        <w:rPr>
          <w:rFonts w:ascii="仿宋_GB2312" w:hAnsi="仿宋_GB2312" w:eastAsia="仿宋_GB2312" w:cs="仿宋_GB2312"/>
          <w:b/>
          <w:sz w:val="28"/>
        </w:rPr>
        <w:t>3.2.2服务要求</w:t>
      </w:r>
    </w:p>
    <w:p w14:paraId="2532A7E2">
      <w:pPr>
        <w:pStyle w:val="5"/>
      </w:pPr>
      <w:r>
        <w:rPr>
          <w:rFonts w:ascii="仿宋_GB2312" w:hAnsi="仿宋_GB2312" w:eastAsia="仿宋_GB2312" w:cs="仿宋_GB2312"/>
        </w:rPr>
        <w:t>采购包1：</w:t>
      </w:r>
    </w:p>
    <w:p w14:paraId="7AD28832">
      <w:pPr>
        <w:pStyle w:val="5"/>
        <w:rPr>
          <w:rFonts w:hint="eastAsia" w:eastAsia="仿宋_GB2312"/>
          <w:lang w:eastAsia="zh-CN"/>
        </w:rPr>
      </w:pPr>
      <w:r>
        <w:rPr>
          <w:rFonts w:ascii="仿宋_GB2312" w:hAnsi="仿宋_GB2312" w:eastAsia="仿宋_GB2312" w:cs="仿宋_GB2312"/>
        </w:rPr>
        <w:t>标的名称：</w:t>
      </w:r>
      <w:r>
        <w:rPr>
          <w:rFonts w:hint="eastAsia" w:ascii="仿宋_GB2312" w:hAnsi="仿宋_GB2312" w:eastAsia="仿宋_GB2312" w:cs="仿宋_GB2312"/>
          <w:lang w:eastAsia="zh-CN"/>
        </w:rPr>
        <w:t>阎良区2025年度国土变更调查项目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1185"/>
        <w:gridCol w:w="6176"/>
      </w:tblGrid>
      <w:tr w14:paraId="7A803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 w:type="dxa"/>
          </w:tcPr>
          <w:p w14:paraId="1FA5792A">
            <w:pPr>
              <w:pStyle w:val="5"/>
            </w:pPr>
            <w:r>
              <w:rPr>
                <w:rFonts w:ascii="仿宋_GB2312" w:hAnsi="仿宋_GB2312" w:eastAsia="仿宋_GB2312" w:cs="仿宋_GB2312"/>
              </w:rPr>
              <w:t xml:space="preserve"> 序号</w:t>
            </w:r>
          </w:p>
        </w:tc>
        <w:tc>
          <w:tcPr>
            <w:tcW w:w="1185" w:type="dxa"/>
          </w:tcPr>
          <w:p w14:paraId="3813EA64">
            <w:pPr>
              <w:pStyle w:val="5"/>
            </w:pPr>
            <w:r>
              <w:rPr>
                <w:rFonts w:ascii="仿宋_GB2312" w:hAnsi="仿宋_GB2312" w:eastAsia="仿宋_GB2312" w:cs="仿宋_GB2312"/>
              </w:rPr>
              <w:t xml:space="preserve"> 参数性质</w:t>
            </w:r>
          </w:p>
        </w:tc>
        <w:tc>
          <w:tcPr>
            <w:tcW w:w="6176" w:type="dxa"/>
          </w:tcPr>
          <w:p w14:paraId="4285DA26">
            <w:pPr>
              <w:pStyle w:val="5"/>
            </w:pPr>
            <w:r>
              <w:rPr>
                <w:rFonts w:ascii="仿宋_GB2312" w:hAnsi="仿宋_GB2312" w:eastAsia="仿宋_GB2312" w:cs="仿宋_GB2312"/>
              </w:rPr>
              <w:t xml:space="preserve"> 技术参数与性能指标</w:t>
            </w:r>
          </w:p>
        </w:tc>
      </w:tr>
      <w:tr w14:paraId="09558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 w:type="dxa"/>
          </w:tcPr>
          <w:p w14:paraId="05F39B7A">
            <w:pPr>
              <w:pStyle w:val="5"/>
            </w:pPr>
            <w:r>
              <w:rPr>
                <w:rFonts w:ascii="仿宋_GB2312" w:hAnsi="仿宋_GB2312" w:eastAsia="仿宋_GB2312" w:cs="仿宋_GB2312"/>
              </w:rPr>
              <w:t>1</w:t>
            </w:r>
          </w:p>
        </w:tc>
        <w:tc>
          <w:tcPr>
            <w:tcW w:w="1185" w:type="dxa"/>
          </w:tcPr>
          <w:p w14:paraId="787BA600">
            <w:pPr>
              <w:rPr>
                <w:rFonts w:hint="eastAsia" w:ascii="仿宋_GB2312" w:hAnsi="仿宋_GB2312" w:eastAsia="仿宋_GB2312" w:cs="仿宋_GB2312"/>
                <w:kern w:val="0"/>
                <w:sz w:val="20"/>
                <w:szCs w:val="20"/>
                <w:lang w:val="en-US" w:eastAsia="zh-Hans"/>
              </w:rPr>
            </w:pPr>
          </w:p>
        </w:tc>
        <w:tc>
          <w:tcPr>
            <w:tcW w:w="6176" w:type="dxa"/>
          </w:tcPr>
          <w:p w14:paraId="266CDA2D">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（一）工作范围</w:t>
            </w:r>
          </w:p>
          <w:p w14:paraId="59443ACF">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阎良区（自管区）范围内国家、省、市下发的监测图斑外业举证、数据库修改等，并将阎良区全区数据进行汇总上报市、省进行核查。</w:t>
            </w:r>
          </w:p>
          <w:p w14:paraId="4EEDE1A5">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（二）工作内容</w:t>
            </w:r>
          </w:p>
          <w:p w14:paraId="7CB87467">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按照国家、省、市的统一要求，在阎良区2024年度国土变更调查成果基础上，根据陕西省自然资源厅收集下发的2025年度遥感监测成果、各类用地管理信息及自行补充提取的土地利用变化情况，制作外业调查工作底图。以实地现状认定地类为原则，全面查清工作底图上每一块变化图斑的地类、面积、属性及单独图层信息的变化情况;对每个监测图斑进行逐一实地拍照举证。地类调查完成后结合日常变更成果，在2024年度国土调查数据库的基础上，更新阎良区国土调查数据库，形成年度变更增量包，逐级上报。经市、省、国家逐级地类核查和全面检查通过后，形成阎良区2025年度变更调查数据库成果。</w:t>
            </w:r>
          </w:p>
          <w:p w14:paraId="766CBBF8">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结合2024年度国土变更调查工作，同步开展对耕地特别是永久基本农田转为非耕地的情况进行全面排查，分析变化情况和原因，对不合理的耕地流出问题及时组织整改。要以“三区三线”成果为基础，重点梳理新增建设用地占用耕地、占用永久基本农田发展林果业和挖塘养鱼等情况，及时对违法违规用地等行为进行纠正和查处。</w:t>
            </w:r>
          </w:p>
          <w:p w14:paraId="53FB797A">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以2024年度耕地资源分区分类评价成果、2025年度国土变更调查成果为基础，结合2025年度土地综合整治、高标准农田建设等项目竣工验收资料,开展2025年度耕地资源分区分类评价工作，全面掌握全区年度内耕地资源质量变化情况。</w:t>
            </w:r>
          </w:p>
          <w:p w14:paraId="1CF161FE">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（三）工作成果</w:t>
            </w:r>
          </w:p>
          <w:p w14:paraId="3C565669">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1、遥感监测成果：包括遥感正射影像图、遥感监测图斑。</w:t>
            </w:r>
          </w:p>
          <w:p w14:paraId="593C3B5B">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2、外业调查成果：主要包括：外业调查图件、地物补测资料、图斑举证数据包（DB格式）。</w:t>
            </w:r>
          </w:p>
          <w:p w14:paraId="3B5A3C43">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3、数据库成果：包括更新后的国土调查数据库；国土调查数据库更新数据包（含增量信息与统计报表，由数据库质检软件打包生成）。</w:t>
            </w:r>
          </w:p>
          <w:p w14:paraId="0E246928">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4、图斑信息核实各类报表（MDB格式）：包括遥感监测图斑信息核实记录表；跟踪图斑列表；举证信息表。</w:t>
            </w:r>
          </w:p>
          <w:p w14:paraId="3BC4C234">
            <w:pPr>
              <w:pStyle w:val="5"/>
              <w:jc w:val="both"/>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5、文字成果：主要包括土地利用变化情况分析报告及各项专题报告。</w:t>
            </w:r>
          </w:p>
        </w:tc>
      </w:tr>
    </w:tbl>
    <w:p w14:paraId="23858B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D1EF8"/>
    <w:rsid w:val="500D1EF8"/>
    <w:rsid w:val="7EB6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360" w:lineRule="auto"/>
      <w:outlineLvl w:val="0"/>
    </w:pPr>
    <w:rPr>
      <w:rFonts w:ascii="等线" w:hAnsi="等线" w:eastAsia="黑体" w:cs="等线"/>
      <w:b/>
      <w:color w:val="000000"/>
      <w:kern w:val="44"/>
      <w:sz w:val="28"/>
      <w:lang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2025-08-27T03:02:00Z</dcterms:created>
  <dc:creator>Mr.好奇</dc:creator>
  <cp:lastModifiedBy>Mr.好奇</cp:lastModifiedBy>
  <dcterms:modified xsi:type="dcterms:W3CDTF">2025-08-27T03:03:41Z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C98DAF2A5F6344D78314F89F3278B320_11</vt:lpwstr>
  </property>
  <property fmtid="{D5CDD505-2E9C-101B-9397-08002B2CF9AE}" pid="4" name="KSOTemplateDocerSaveRecord">
    <vt:lpwstr>eyJoZGlkIjoiZDVjNGYzYTczOGZmYWYzMjJjNGMwNmQwZDUyYzczNGIiLCJ1c2VySWQiOiI1MzA2NTk0OTIifQ==</vt:lpwstr>
  </property>
</Properties>
</file>