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36F1">
      <w:pPr>
        <w:pStyle w:val="4"/>
        <w:numPr>
          <w:ilvl w:val="0"/>
          <w:numId w:val="1"/>
        </w:numPr>
        <w:ind w:firstLine="400" w:firstLineChars="200"/>
        <w:rPr>
          <w:rFonts w:hint="eastAsia"/>
          <w:lang w:val="en-US" w:eastAsia="zh-CN"/>
        </w:rPr>
      </w:pPr>
      <w:r>
        <w:rPr>
          <w:rFonts w:hint="eastAsia"/>
          <w:lang w:val="en-US" w:eastAsia="zh-CN"/>
        </w:rPr>
        <w:t>采购内容</w:t>
      </w:r>
    </w:p>
    <w:p w14:paraId="60E8EB64">
      <w:pPr>
        <w:pStyle w:val="4"/>
        <w:numPr>
          <w:numId w:val="0"/>
        </w:numPr>
        <w:ind w:firstLine="400" w:firstLineChars="200"/>
        <w:rPr>
          <w:rFonts w:hint="default"/>
          <w:lang w:val="en-US" w:eastAsia="zh-CN"/>
        </w:rPr>
      </w:pPr>
      <w:r>
        <w:t>西安曲江楼观生态文化旅游度假区已建成的楼观新镇安置区区域内的市政道路</w:t>
      </w:r>
      <w:r>
        <w:rPr>
          <w:rFonts w:hint="eastAsia"/>
          <w:lang w:val="en-US" w:eastAsia="zh-CN"/>
        </w:rPr>
        <w:t>及人行道保洁。</w:t>
      </w:r>
      <w:r>
        <w:t>市政道路面积26155.00 ㎡，人行道面积41925.95㎡，共计：68080.95㎡。</w:t>
      </w:r>
    </w:p>
    <w:p w14:paraId="26A9EB24">
      <w:pPr>
        <w:pStyle w:val="4"/>
        <w:ind w:firstLine="400"/>
      </w:pPr>
      <w:r>
        <w:rPr>
          <w:rFonts w:ascii="宋体" w:hAnsi="宋体" w:eastAsia="宋体" w:cs="宋体"/>
          <w:sz w:val="20"/>
        </w:rPr>
        <w:t>二、道路养护清扫标准</w:t>
      </w:r>
    </w:p>
    <w:p w14:paraId="37CF82DD">
      <w:pPr>
        <w:pStyle w:val="4"/>
        <w:ind w:firstLine="400"/>
      </w:pPr>
      <w:r>
        <w:rPr>
          <w:rFonts w:ascii="宋体" w:hAnsi="宋体" w:eastAsia="宋体" w:cs="宋体"/>
          <w:sz w:val="20"/>
        </w:rPr>
        <w:t xml:space="preserve">1. </w:t>
      </w:r>
      <w:r>
        <w:rPr>
          <w:rFonts w:hint="eastAsia" w:ascii="宋体" w:hAnsi="宋体" w:eastAsia="宋体" w:cs="宋体"/>
          <w:sz w:val="20"/>
        </w:rPr>
        <w:t>清扫频率：每两日普扫1次，确保路面无杂物、垃圾，保持路面清洁</w:t>
      </w:r>
      <w:r>
        <w:rPr>
          <w:rFonts w:ascii="宋体" w:hAnsi="宋体" w:eastAsia="宋体" w:cs="宋体"/>
          <w:sz w:val="20"/>
        </w:rPr>
        <w:t>。</w:t>
      </w:r>
    </w:p>
    <w:p w14:paraId="36C560A1">
      <w:pPr>
        <w:pStyle w:val="4"/>
        <w:ind w:firstLine="400"/>
      </w:pPr>
      <w:r>
        <w:rPr>
          <w:rFonts w:ascii="宋体" w:hAnsi="宋体" w:eastAsia="宋体" w:cs="宋体"/>
          <w:sz w:val="20"/>
        </w:rPr>
        <w:t>2. 保洁时间：</w:t>
      </w:r>
      <w:r>
        <w:rPr>
          <w:rFonts w:hint="eastAsia" w:ascii="宋体" w:hAnsi="宋体" w:eastAsia="宋体" w:cs="宋体"/>
          <w:sz w:val="20"/>
          <w:lang w:eastAsia="zh-CN"/>
        </w:rPr>
        <w:t>在</w:t>
      </w:r>
      <w:r>
        <w:rPr>
          <w:rFonts w:hint="eastAsia" w:ascii="宋体" w:hAnsi="宋体" w:eastAsia="宋体" w:cs="宋体"/>
          <w:sz w:val="20"/>
          <w:lang w:val="en-US" w:eastAsia="zh-CN"/>
        </w:rPr>
        <w:t>以下时间段内进行清扫保洁</w:t>
      </w:r>
      <w:r>
        <w:rPr>
          <w:rFonts w:ascii="宋体" w:hAnsi="宋体" w:eastAsia="宋体" w:cs="宋体"/>
          <w:sz w:val="20"/>
        </w:rPr>
        <w:t>。</w:t>
      </w:r>
    </w:p>
    <w:tbl>
      <w:tblPr>
        <w:tblStyle w:val="2"/>
        <w:tblW w:w="32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83"/>
        <w:gridCol w:w="1486"/>
        <w:gridCol w:w="2189"/>
      </w:tblGrid>
      <w:tr w14:paraId="25E3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4" w:type="pct"/>
            <w:vMerge w:val="restart"/>
            <w:tcBorders>
              <w:tl2br w:val="nil"/>
              <w:tr2bl w:val="nil"/>
            </w:tcBorders>
            <w:tcMar>
              <w:top w:w="0" w:type="dxa"/>
              <w:left w:w="105" w:type="dxa"/>
              <w:bottom w:w="0" w:type="dxa"/>
              <w:right w:w="105" w:type="dxa"/>
            </w:tcMar>
            <w:vAlign w:val="center"/>
          </w:tcPr>
          <w:p w14:paraId="572F54A2">
            <w:pPr>
              <w:pStyle w:val="4"/>
              <w:ind w:firstLine="0"/>
              <w:jc w:val="center"/>
              <w:rPr>
                <w:rFonts w:hint="default" w:eastAsiaTheme="minorEastAsia"/>
                <w:lang w:val="en-US" w:eastAsia="zh-CN"/>
              </w:rPr>
            </w:pPr>
            <w:r>
              <w:rPr>
                <w:rFonts w:hint="eastAsia"/>
                <w:lang w:val="en-US" w:eastAsia="zh-CN"/>
              </w:rPr>
              <w:t>保洁时间</w:t>
            </w:r>
          </w:p>
        </w:tc>
        <w:tc>
          <w:tcPr>
            <w:tcW w:w="1337" w:type="pct"/>
            <w:tcBorders>
              <w:tl2br w:val="nil"/>
              <w:tr2bl w:val="nil"/>
            </w:tcBorders>
            <w:tcMar>
              <w:top w:w="0" w:type="dxa"/>
              <w:left w:w="105" w:type="dxa"/>
              <w:bottom w:w="0" w:type="dxa"/>
              <w:right w:w="105" w:type="dxa"/>
            </w:tcMar>
          </w:tcPr>
          <w:p w14:paraId="66AF4594">
            <w:pPr>
              <w:pStyle w:val="4"/>
              <w:jc w:val="center"/>
              <w:rPr>
                <w:rFonts w:hint="eastAsia" w:eastAsiaTheme="minorEastAsia"/>
                <w:lang w:val="en-US" w:eastAsia="zh-CN"/>
              </w:rPr>
            </w:pPr>
            <w:r>
              <w:rPr>
                <w:rFonts w:hint="eastAsia"/>
                <w:lang w:val="en-US" w:eastAsia="zh-CN"/>
              </w:rPr>
              <w:t>上午清扫</w:t>
            </w:r>
          </w:p>
        </w:tc>
        <w:tc>
          <w:tcPr>
            <w:tcW w:w="1968" w:type="pct"/>
            <w:tcBorders>
              <w:tl2br w:val="nil"/>
              <w:tr2bl w:val="nil"/>
            </w:tcBorders>
            <w:tcMar>
              <w:top w:w="0" w:type="dxa"/>
              <w:left w:w="105" w:type="dxa"/>
              <w:bottom w:w="0" w:type="dxa"/>
              <w:right w:w="105" w:type="dxa"/>
            </w:tcMar>
          </w:tcPr>
          <w:p w14:paraId="20CDA3E0">
            <w:pPr>
              <w:pStyle w:val="4"/>
              <w:jc w:val="center"/>
              <w:rPr>
                <w:rFonts w:hint="default" w:eastAsiaTheme="minorEastAsia"/>
                <w:lang w:val="en-US" w:eastAsia="zh-CN"/>
              </w:rPr>
            </w:pPr>
            <w:r>
              <w:rPr>
                <w:rFonts w:hint="eastAsia"/>
                <w:lang w:val="en-US" w:eastAsia="zh-CN"/>
              </w:rPr>
              <w:t>下午清扫</w:t>
            </w:r>
          </w:p>
        </w:tc>
      </w:tr>
      <w:tr w14:paraId="4CDE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4" w:type="pct"/>
            <w:vMerge w:val="continue"/>
            <w:tcBorders>
              <w:tl2br w:val="nil"/>
              <w:tr2bl w:val="nil"/>
            </w:tcBorders>
            <w:tcMar>
              <w:top w:w="0" w:type="dxa"/>
              <w:left w:w="105" w:type="dxa"/>
              <w:bottom w:w="0" w:type="dxa"/>
              <w:right w:w="105" w:type="dxa"/>
            </w:tcMar>
          </w:tcPr>
          <w:p w14:paraId="16FF4F49">
            <w:pPr>
              <w:pStyle w:val="4"/>
              <w:ind w:firstLine="400"/>
            </w:pPr>
          </w:p>
        </w:tc>
        <w:tc>
          <w:tcPr>
            <w:tcW w:w="1337" w:type="pct"/>
            <w:tcBorders>
              <w:tl2br w:val="nil"/>
              <w:tr2bl w:val="nil"/>
            </w:tcBorders>
            <w:tcMar>
              <w:top w:w="0" w:type="dxa"/>
              <w:left w:w="105" w:type="dxa"/>
              <w:bottom w:w="0" w:type="dxa"/>
              <w:right w:w="105" w:type="dxa"/>
            </w:tcMar>
          </w:tcPr>
          <w:p w14:paraId="120A3841">
            <w:pPr>
              <w:pStyle w:val="4"/>
              <w:jc w:val="center"/>
              <w:rPr>
                <w:rFonts w:hint="default" w:eastAsia="宋体"/>
                <w:lang w:val="en-US" w:eastAsia="zh-CN"/>
              </w:rPr>
            </w:pPr>
            <w:r>
              <w:rPr>
                <w:rFonts w:ascii="宋体" w:hAnsi="宋体" w:eastAsia="宋体" w:cs="宋体"/>
                <w:sz w:val="20"/>
              </w:rPr>
              <w:t>6：30</w:t>
            </w:r>
            <w:r>
              <w:rPr>
                <w:rFonts w:hint="eastAsia" w:ascii="宋体" w:hAnsi="宋体" w:eastAsia="宋体" w:cs="宋体"/>
                <w:sz w:val="20"/>
                <w:lang w:eastAsia="zh-CN"/>
              </w:rPr>
              <w:t>：</w:t>
            </w:r>
            <w:r>
              <w:rPr>
                <w:rFonts w:hint="eastAsia" w:ascii="宋体" w:hAnsi="宋体" w:eastAsia="宋体" w:cs="宋体"/>
                <w:sz w:val="20"/>
                <w:lang w:val="en-US" w:eastAsia="zh-CN"/>
              </w:rPr>
              <w:t>11:00</w:t>
            </w:r>
          </w:p>
        </w:tc>
        <w:tc>
          <w:tcPr>
            <w:tcW w:w="1968" w:type="pct"/>
            <w:tcBorders>
              <w:tl2br w:val="nil"/>
              <w:tr2bl w:val="nil"/>
            </w:tcBorders>
            <w:tcMar>
              <w:top w:w="0" w:type="dxa"/>
              <w:left w:w="105" w:type="dxa"/>
              <w:bottom w:w="0" w:type="dxa"/>
              <w:right w:w="105" w:type="dxa"/>
            </w:tcMar>
          </w:tcPr>
          <w:p w14:paraId="54FFB0E1">
            <w:pPr>
              <w:pStyle w:val="4"/>
              <w:jc w:val="center"/>
            </w:pPr>
            <w:r>
              <w:rPr>
                <w:rFonts w:hint="eastAsia" w:ascii="宋体" w:hAnsi="宋体" w:eastAsia="宋体" w:cs="宋体"/>
                <w:sz w:val="20"/>
                <w:lang w:val="en-US" w:eastAsia="zh-CN"/>
              </w:rPr>
              <w:t>14</w:t>
            </w:r>
            <w:r>
              <w:rPr>
                <w:rFonts w:ascii="宋体" w:hAnsi="宋体" w:eastAsia="宋体" w:cs="宋体"/>
                <w:sz w:val="20"/>
              </w:rPr>
              <w:t>：00至1</w:t>
            </w:r>
            <w:r>
              <w:rPr>
                <w:rFonts w:hint="eastAsia" w:ascii="宋体" w:hAnsi="宋体" w:eastAsia="宋体" w:cs="宋体"/>
                <w:sz w:val="20"/>
                <w:lang w:val="en-US" w:eastAsia="zh-CN"/>
              </w:rPr>
              <w:t>7</w:t>
            </w:r>
            <w:r>
              <w:rPr>
                <w:rFonts w:ascii="宋体" w:hAnsi="宋体" w:eastAsia="宋体" w:cs="宋体"/>
                <w:sz w:val="20"/>
              </w:rPr>
              <w:t>：00</w:t>
            </w:r>
          </w:p>
        </w:tc>
      </w:tr>
    </w:tbl>
    <w:p w14:paraId="640EBBB2">
      <w:pPr>
        <w:pStyle w:val="4"/>
        <w:ind w:firstLine="400"/>
      </w:pPr>
      <w:r>
        <w:rPr>
          <w:rFonts w:ascii="宋体" w:hAnsi="宋体" w:eastAsia="宋体" w:cs="宋体"/>
          <w:sz w:val="20"/>
        </w:rPr>
        <w:t>3. 杂物清理：及时清理路面上的杂物，如纸屑、塑料袋、树叶等，确保路面整洁。</w:t>
      </w:r>
    </w:p>
    <w:p w14:paraId="423919A8">
      <w:pPr>
        <w:pStyle w:val="4"/>
        <w:ind w:firstLine="400"/>
      </w:pPr>
      <w:r>
        <w:rPr>
          <w:rFonts w:ascii="宋体" w:hAnsi="宋体" w:eastAsia="宋体" w:cs="宋体"/>
          <w:sz w:val="20"/>
        </w:rPr>
        <w:t>4. 道路垃圾清运：定期对道路垃圾进行清运，避免垃圾堆积，影响环境卫生。</w:t>
      </w:r>
    </w:p>
    <w:p w14:paraId="7BDAC815">
      <w:pPr>
        <w:pStyle w:val="4"/>
        <w:ind w:firstLine="400"/>
      </w:pPr>
      <w:r>
        <w:rPr>
          <w:rFonts w:ascii="宋体" w:hAnsi="宋体" w:eastAsia="宋体" w:cs="宋体"/>
          <w:sz w:val="20"/>
        </w:rPr>
        <w:t>5. 道路清洗：定期对道路进行清洗，保持路面清洁，避免灰尘和污渍影响路面卫生。</w:t>
      </w:r>
    </w:p>
    <w:p w14:paraId="12FFFCC3">
      <w:pPr>
        <w:pStyle w:val="4"/>
        <w:ind w:firstLine="400"/>
      </w:pPr>
      <w:r>
        <w:rPr>
          <w:rFonts w:ascii="宋体" w:hAnsi="宋体" w:eastAsia="宋体" w:cs="宋体"/>
          <w:sz w:val="20"/>
        </w:rPr>
        <w:t>6. 广告清理：及时清理道路上的广告单、海报等，避免影响市容市貌。</w:t>
      </w:r>
    </w:p>
    <w:p w14:paraId="57AB7DB1">
      <w:pPr>
        <w:pStyle w:val="4"/>
        <w:ind w:firstLine="400"/>
      </w:pPr>
      <w:r>
        <w:rPr>
          <w:rFonts w:ascii="宋体" w:hAnsi="宋体" w:eastAsia="宋体" w:cs="宋体"/>
          <w:sz w:val="20"/>
        </w:rPr>
        <w:t>7. 交通设施清洁：定期对道路上的交通设施，如交通信号灯、路牌、护栏等，进行清洁，保持交通设施整洁。</w:t>
      </w:r>
    </w:p>
    <w:p w14:paraId="3C8F6C9D">
      <w:pPr>
        <w:pStyle w:val="4"/>
        <w:ind w:firstLine="400"/>
      </w:pPr>
      <w:r>
        <w:rPr>
          <w:rFonts w:ascii="宋体" w:hAnsi="宋体" w:eastAsia="宋体" w:cs="宋体"/>
          <w:sz w:val="20"/>
        </w:rPr>
        <w:t>8. 环境异味处理：定期对道路上的异味进行清理，如宠物粪便、污水等，保持空气清新。</w:t>
      </w:r>
    </w:p>
    <w:p w14:paraId="7FAA8F34">
      <w:r>
        <w:rPr>
          <w:rFonts w:ascii="宋体" w:hAnsi="宋体" w:eastAsia="宋体" w:cs="宋体"/>
          <w:sz w:val="20"/>
        </w:rPr>
        <w:t>9. 应急预案：针对突发情况，如道路积水</w:t>
      </w:r>
      <w:bookmarkStart w:id="0" w:name="_GoBack"/>
      <w:bookmarkEnd w:id="0"/>
      <w:r>
        <w:rPr>
          <w:rFonts w:ascii="宋体" w:hAnsi="宋体" w:eastAsia="宋体" w:cs="宋体"/>
          <w:sz w:val="20"/>
        </w:rPr>
        <w:t>、积雪等，制定应急预案，确保道路安全、畅通。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56A4D"/>
    <w:multiLevelType w:val="singleLevel"/>
    <w:tmpl w:val="44E56A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1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2025-09-15T07:16:46Z</dcterms:created>
  <dc:creator>Lenovo</dc:creator>
  <cp:lastModifiedBy>钟声</cp:lastModifiedBy>
  <dcterms:modified xsi:type="dcterms:W3CDTF">2025-09-15T07:18:38Z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eyJoZGlkIjoiOTJmM2Y3YjgzNWU3ZDc3NGZmYWVkNzQyNTc3YTk1YjQiLCJ1c2VySWQiOiI2Nzc2MzQ0MTQifQ==</vt:lpwstr>
  </property>
  <property fmtid="{D5CDD505-2E9C-101B-9397-08002B2CF9AE}" pid="4" name="ICV">
    <vt:lpwstr>19C41C0AE69B47F4BE2FCEB2BC3111C9_12</vt:lpwstr>
  </property>
</Properties>
</file>