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SXZCZB2025-ZCCS-0913</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5986DFBD">
      <w:pPr>
        <w:jc w:val="center"/>
        <w:rPr>
          <w:rFonts w:hAnsi="宋体" w:cs="宋体"/>
          <w:b/>
          <w:color w:val="auto"/>
          <w:sz w:val="44"/>
          <w:szCs w:val="44"/>
          <w:highlight w:val="none"/>
        </w:rPr>
      </w:pPr>
      <w:r>
        <w:rPr>
          <w:rFonts w:hint="eastAsia" w:hAnsi="宋体" w:cs="宋体"/>
          <w:b/>
          <w:color w:val="auto"/>
          <w:sz w:val="44"/>
          <w:szCs w:val="44"/>
          <w:highlight w:val="none"/>
        </w:rPr>
        <w:t>2025年西安正能量网络精品征集展播活动</w:t>
      </w: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九</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16218"/>
      <w:bookmarkStart w:id="2" w:name="_Toc20858"/>
      <w:bookmarkStart w:id="3" w:name="_Toc19886"/>
      <w:bookmarkStart w:id="4" w:name="_Toc5293"/>
      <w:bookmarkStart w:id="5" w:name="_Toc20652"/>
      <w:bookmarkStart w:id="6" w:name="_Toc389582033"/>
      <w:bookmarkStart w:id="7" w:name="_Toc21518"/>
      <w:bookmarkStart w:id="8" w:name="_Toc27420"/>
      <w:bookmarkStart w:id="9" w:name="_Toc363473971"/>
      <w:bookmarkStart w:id="10" w:name="_Toc403077638"/>
      <w:bookmarkStart w:id="11" w:name="_Toc363474016"/>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31</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41</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bookmarkStart w:id="293" w:name="_GoBack"/>
      <w:bookmarkEnd w:id="293"/>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25782"/>
      <w:bookmarkStart w:id="13" w:name="_Toc423973071"/>
      <w:bookmarkStart w:id="14" w:name="_Toc2705"/>
      <w:bookmarkStart w:id="15" w:name="_Toc1931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63901F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sz w:val="24"/>
          <w:szCs w:val="24"/>
          <w:highlight w:val="none"/>
        </w:rPr>
      </w:pPr>
      <w:bookmarkStart w:id="16" w:name="_Toc2929"/>
      <w:bookmarkStart w:id="17" w:name="_Toc389582035"/>
      <w:bookmarkStart w:id="18" w:name="_Toc29249"/>
      <w:bookmarkStart w:id="19" w:name="_Toc423973072"/>
      <w:r>
        <w:rPr>
          <w:rFonts w:hint="eastAsia" w:ascii="宋体" w:hAnsi="宋体" w:eastAsia="宋体" w:cs="宋体"/>
          <w:b/>
          <w:bCs/>
          <w:sz w:val="24"/>
          <w:szCs w:val="24"/>
          <w:highlight w:val="none"/>
        </w:rPr>
        <w:t>项目概况</w:t>
      </w:r>
    </w:p>
    <w:p w14:paraId="09B4A9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2025年西安正能量网络精品征集展播活动采购项目的潜在供应商应在陕西省西安市经济技术开发区未央路171-1号银池道拉斯财富中心21楼03室获取采购文件，并于2025年09月12日09时00分（北京时间）前提交响应文件。</w:t>
      </w:r>
    </w:p>
    <w:p w14:paraId="264B154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3095F47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项目编号：SXZCZB2025-ZCCS-0913</w:t>
      </w:r>
    </w:p>
    <w:p w14:paraId="26289C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项目名称：2025年西安正能量网络精品征集展播活动</w:t>
      </w:r>
    </w:p>
    <w:p w14:paraId="6A75F1C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1C3254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预算金额：250,000.00元</w:t>
      </w:r>
    </w:p>
    <w:p w14:paraId="5AE09AC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0042D4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合同包1(2025年西安正能量网络精品征集展播活动):</w:t>
      </w:r>
    </w:p>
    <w:p w14:paraId="6C71E0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合同包预算金额：250,000.00元</w:t>
      </w:r>
    </w:p>
    <w:p w14:paraId="7C1F5F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合同包最高限价：250,000.00元</w:t>
      </w:r>
    </w:p>
    <w:tbl>
      <w:tblPr>
        <w:tblStyle w:val="2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1551"/>
        <w:gridCol w:w="1551"/>
        <w:gridCol w:w="1720"/>
        <w:gridCol w:w="1551"/>
        <w:gridCol w:w="1587"/>
      </w:tblGrid>
      <w:tr w14:paraId="683B1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pct"/>
          </w:tcPr>
          <w:p w14:paraId="0227BD1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815" w:type="pct"/>
          </w:tcPr>
          <w:p w14:paraId="5A7605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815" w:type="pct"/>
          </w:tcPr>
          <w:p w14:paraId="37C669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904" w:type="pct"/>
          </w:tcPr>
          <w:p w14:paraId="6BBAE8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815" w:type="pct"/>
          </w:tcPr>
          <w:p w14:paraId="20630B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834" w:type="pct"/>
          </w:tcPr>
          <w:p w14:paraId="74AE41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r>
      <w:tr w14:paraId="40171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pct"/>
          </w:tcPr>
          <w:p w14:paraId="1F9B0B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15" w:type="pct"/>
          </w:tcPr>
          <w:p w14:paraId="593481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公共信息服务</w:t>
            </w:r>
          </w:p>
        </w:tc>
        <w:tc>
          <w:tcPr>
            <w:tcW w:w="815" w:type="pct"/>
          </w:tcPr>
          <w:p w14:paraId="214F37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2025年西安正能量网络精品征集展播活动</w:t>
            </w:r>
          </w:p>
        </w:tc>
        <w:tc>
          <w:tcPr>
            <w:tcW w:w="904" w:type="pct"/>
          </w:tcPr>
          <w:p w14:paraId="2C5582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250,000(项)</w:t>
            </w:r>
          </w:p>
        </w:tc>
        <w:tc>
          <w:tcPr>
            <w:tcW w:w="815" w:type="pct"/>
          </w:tcPr>
          <w:p w14:paraId="63F89E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834" w:type="pct"/>
          </w:tcPr>
          <w:p w14:paraId="1C6D85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250,000.00</w:t>
            </w:r>
          </w:p>
        </w:tc>
      </w:tr>
    </w:tbl>
    <w:p w14:paraId="1FEC92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36B9CC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合同履行期限：详见采购文件</w:t>
      </w:r>
    </w:p>
    <w:p w14:paraId="17CAF5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38F10C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197A026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3AEF73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合同包1(2025年西安正能量网络精品征集展播活动)落实政府采购政策需满足的资格要求如下:</w:t>
      </w:r>
    </w:p>
    <w:p w14:paraId="4E2628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leftChars="20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（1）《政府采购促进中小企业发展管理办法》（财库〔2020〕46号）；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（2）《财政部司法部关于政府采购支持监狱企业发展有关问题的通知》（财库〔2014〕68号）；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（3）《关于促进残疾人就业政府采购政策的通知》（财库〔2017〕141号）；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（4）《节能产品政府采购实施意见》（财库〔2004〕185号）；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（5）《环境标志产品政府采购实施的意见》（财库〔2006〕90号）；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（6）《国务院办公厅关于建立政府强制采购节能产品制度的通知》（国办发〔2007〕51号）；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（8）《关于印发环境标志产品政府采购品目清单的通知》--（财库〔2019〕18号）；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（9）《关于印发节能产品政府采购品目清单的通知》--（财库〔2019〕19号）；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（10）《关于发布参与实施政府采购节能产品、环境标志产品认证机构名录的公告》—2019年第16号；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（11）《关于运用政府采购政策支持乡村产业振兴的通知》（财库〔2021〕19号）；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（13）《陕西省财政厅关于加快推进我省中小企业政府采购信用融资工作的通知》（陕财办采〔2020〕15号）；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（14）《关于进一步加强政府绿色采购有关问题的通知》（陕财办采〔2021〕29号）；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（15）《陕西省财政厅陕西省工业和信息化厅关于运用政府采购政策支持首台（套）及创新产品有关事项的通知》（陕财办采〔2021〕17号）；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（17）其他需要落实的政府采购政策。</w:t>
      </w:r>
    </w:p>
    <w:p w14:paraId="39B9BC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2BA7D1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合同包1(2025年西安正能量网络精品征集展播活动)特定资格要求如下:</w:t>
      </w:r>
    </w:p>
    <w:p w14:paraId="036C63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leftChars="20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（4）税收缴纳证明：提供磋商截止日前近一年内任意一个月的纳税证明或完税证明（任意税种），依法免税的单位应提供相关证明材料；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（8）提供具有履行合同所必需的设备和专业技术能力的书面承诺；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（9）本项目不接受联合体磋商（提供承诺书）。</w:t>
      </w:r>
    </w:p>
    <w:p w14:paraId="40D51F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三、获取采购文件</w:t>
      </w:r>
    </w:p>
    <w:p w14:paraId="725CE9F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时间：2025年09月02日至2025年09月08日，每天上午09:00:00至12:00:00，下午14:00:00至17:00:00（北京时间）</w:t>
      </w:r>
    </w:p>
    <w:p w14:paraId="65C3F06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途径：陕西省西安市经济技术开发区未央路171-1号银池道拉斯财富中心21楼03室</w:t>
      </w:r>
    </w:p>
    <w:p w14:paraId="3DC26D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14:paraId="524A19E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100253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p>
    <w:p w14:paraId="1BDA00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截止时间：2025年09月12日09时00分00秒（北京时间）</w:t>
      </w:r>
    </w:p>
    <w:p w14:paraId="1CEB7A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地点：陕西省西安市经济技术开发区未央路171-1号银池道拉斯财富中心21楼03室</w:t>
      </w:r>
    </w:p>
    <w:p w14:paraId="17D1054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35CEE6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时间：2025年09月12日09时00分00秒（北京时间）</w:t>
      </w:r>
    </w:p>
    <w:p w14:paraId="50A76A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地点：陕西省西安市经济技术开发区未央路171-1号银池道拉斯财富中心21楼03室</w:t>
      </w:r>
    </w:p>
    <w:p w14:paraId="21D717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六、公告期限</w:t>
      </w:r>
    </w:p>
    <w:p w14:paraId="04CCDB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14:paraId="2AD975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七、其他补充事宜</w:t>
      </w:r>
    </w:p>
    <w:p w14:paraId="785E565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（1）供应商领取采购文件时，请携带单位介绍信及经办人身份证原件及复印件加盖公章；</w:t>
      </w:r>
    </w:p>
    <w:p w14:paraId="1A6A22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（2）请供应商按照《陕西省财政厅关于政府采购供应商注册登记有关事项的通知》中的要求，通过陕西省政府采购网（http://www.ccgp-shaanxi.gov.cn/）注册登记加入陕西省政府采购供应商库；</w:t>
      </w:r>
    </w:p>
    <w:p w14:paraId="5B8194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（3）本项目非专门面向中小企业采购。</w:t>
      </w:r>
    </w:p>
    <w:p w14:paraId="4F8A76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八、对本次招标提出询问，请按以下方式联系。</w:t>
      </w:r>
    </w:p>
    <w:p w14:paraId="74F052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2635F3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名称：中共西安市委网络安全和信息化委员会办公室</w:t>
      </w:r>
    </w:p>
    <w:p w14:paraId="55B00F3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地址：陕西省西安市凤城八路99号</w:t>
      </w:r>
    </w:p>
    <w:p w14:paraId="3233F38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联系方式：029-86782958</w:t>
      </w:r>
    </w:p>
    <w:p w14:paraId="5B9210A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6CAC5C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名称：陕西至诚项目管理集团有限公司</w:t>
      </w:r>
    </w:p>
    <w:p w14:paraId="2C2804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地址：陕西省西安市经济技术开发区未央路171-1号银池道拉斯财富中心21楼</w:t>
      </w:r>
    </w:p>
    <w:p w14:paraId="0AFF40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联系方式：029-88219779</w:t>
      </w:r>
    </w:p>
    <w:p w14:paraId="1BC6E9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6D25C5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项目联系人：康乐、孙洋、常瑛</w:t>
      </w:r>
    </w:p>
    <w:p w14:paraId="504DE1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电话：029-88219779</w:t>
      </w:r>
    </w:p>
    <w:p w14:paraId="4537F7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w:t>
      </w:r>
      <w:r>
        <w:rPr>
          <w:rFonts w:hint="eastAsia" w:hAnsi="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3334"/>
      <w:bookmarkStart w:id="21" w:name="_Toc5958"/>
      <w:bookmarkStart w:id="22" w:name="_Toc14793"/>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4724"/>
      <w:bookmarkStart w:id="25" w:name="_Toc16830"/>
      <w:bookmarkStart w:id="26" w:name="_Toc8846"/>
      <w:bookmarkStart w:id="27" w:name="_Toc18299"/>
      <w:bookmarkStart w:id="28" w:name="_Toc23180"/>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625F3C4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7733E97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72D690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216CB32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（4）税收缴纳证明：提供磋商截止日前近一年内任意一个月的纳税证明或完税证明（任意税种），依法免税的单位应提供相关证明材料；</w:t>
            </w:r>
          </w:p>
          <w:p w14:paraId="5A3DC0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2FFCA2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w:t>
            </w:r>
          </w:p>
          <w:p w14:paraId="16FD5B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70A9E6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3BD8E4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w:t>
            </w:r>
            <w:r>
              <w:rPr>
                <w:rFonts w:hint="eastAsia" w:cs="宋体"/>
                <w:szCs w:val="24"/>
                <w:highlight w:val="none"/>
                <w:lang w:val="en-US" w:eastAsia="zh-CN"/>
              </w:rPr>
              <w:t>9</w:t>
            </w:r>
            <w:r>
              <w:rPr>
                <w:rFonts w:hint="eastAsia" w:hAnsi="宋体" w:cs="宋体"/>
                <w:szCs w:val="24"/>
                <w:highlight w:val="none"/>
                <w:lang w:val="en-US" w:eastAsia="zh-CN"/>
              </w:rPr>
              <w:t>）本项目不接受联合体磋商（提供承诺书）。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1-9项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w:t>
            </w:r>
            <w:r>
              <w:rPr>
                <w:rFonts w:hint="eastAsia" w:hAnsi="宋体" w:cs="宋体"/>
                <w:color w:val="auto"/>
                <w:szCs w:val="24"/>
                <w:highlight w:val="none"/>
                <w:lang w:val="en-US" w:eastAsia="zh-CN"/>
              </w:rPr>
              <w:t>及</w:t>
            </w:r>
            <w:r>
              <w:rPr>
                <w:rFonts w:hint="eastAsia" w:hAnsi="宋体" w:cs="宋体"/>
                <w:color w:val="auto"/>
                <w:szCs w:val="24"/>
                <w:highlight w:val="none"/>
              </w:rPr>
              <w:t>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w:t>
            </w:r>
            <w:r>
              <w:rPr>
                <w:rFonts w:hint="eastAsia" w:hAnsi="宋体" w:cs="宋体"/>
                <w:b/>
                <w:bCs/>
                <w:color w:val="auto"/>
                <w:szCs w:val="24"/>
                <w:highlight w:val="none"/>
                <w:lang w:val="en-US" w:eastAsia="zh-CN"/>
              </w:rPr>
              <w:t>非</w:t>
            </w:r>
            <w:r>
              <w:rPr>
                <w:rFonts w:hint="eastAsia" w:hAnsi="宋体" w:cs="宋体"/>
                <w:b/>
                <w:bCs/>
                <w:color w:val="auto"/>
                <w:szCs w:val="24"/>
                <w:highlight w:val="none"/>
              </w:rPr>
              <w:t>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403077639"/>
      <w:bookmarkStart w:id="30" w:name="_Toc363473972"/>
      <w:bookmarkStart w:id="31" w:name="_Toc363474017"/>
      <w:r>
        <w:rPr>
          <w:rFonts w:hint="eastAsia" w:hAnsi="宋体" w:cs="宋体"/>
          <w:b/>
          <w:color w:val="auto"/>
          <w:sz w:val="32"/>
          <w:szCs w:val="32"/>
          <w:highlight w:val="none"/>
        </w:rPr>
        <w:br w:type="page"/>
      </w:r>
      <w:bookmarkStart w:id="32" w:name="_Toc3623"/>
      <w:bookmarkStart w:id="33" w:name="_Toc22284"/>
      <w:bookmarkStart w:id="34" w:name="_Toc27537"/>
      <w:bookmarkStart w:id="35" w:name="_Toc30660"/>
      <w:bookmarkStart w:id="36" w:name="_Toc467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363474018"/>
      <w:bookmarkStart w:id="38" w:name="_Toc363473973"/>
      <w:bookmarkStart w:id="39" w:name="_Toc403077640"/>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Cs w:val="24"/>
          <w:highlight w:val="none"/>
          <w:lang w:val="en-US" w:eastAsia="zh-CN"/>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27903"/>
      <w:bookmarkStart w:id="41" w:name="_Toc30698"/>
      <w:bookmarkStart w:id="42" w:name="_Toc12362"/>
      <w:bookmarkStart w:id="43" w:name="_Toc15249"/>
      <w:bookmarkStart w:id="44" w:name="_Toc3174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9512"/>
      <w:bookmarkStart w:id="46" w:name="_Toc13771"/>
      <w:bookmarkStart w:id="47" w:name="_Toc28227"/>
      <w:bookmarkStart w:id="48" w:name="_Toc4913"/>
      <w:bookmarkStart w:id="49" w:name="_Toc363474019"/>
      <w:bookmarkStart w:id="50" w:name="_Toc363473974"/>
      <w:bookmarkStart w:id="51" w:name="_Toc403077641"/>
      <w:bookmarkStart w:id="52" w:name="_Toc26653"/>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28120"/>
      <w:bookmarkStart w:id="55" w:name="_Toc20799"/>
      <w:bookmarkStart w:id="56" w:name="_Toc13194"/>
      <w:bookmarkStart w:id="57" w:name="_Toc12266"/>
      <w:bookmarkStart w:id="58" w:name="_Toc18686"/>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30850"/>
      <w:bookmarkStart w:id="60" w:name="_Toc13669"/>
      <w:bookmarkStart w:id="61" w:name="_Toc15436"/>
      <w:bookmarkStart w:id="62" w:name="_Toc22043"/>
      <w:bookmarkStart w:id="63" w:name="_Toc403077643"/>
      <w:bookmarkStart w:id="64" w:name="_Toc363473976"/>
      <w:bookmarkStart w:id="65" w:name="_Toc363474021"/>
      <w:bookmarkStart w:id="66" w:name="_Toc25852"/>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9146"/>
      <w:bookmarkStart w:id="68" w:name="_Toc7759"/>
      <w:bookmarkStart w:id="69" w:name="_Toc24420"/>
      <w:bookmarkStart w:id="70" w:name="_Toc29694"/>
      <w:bookmarkStart w:id="71" w:name="_Toc1510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w:t>
      </w:r>
      <w:r>
        <w:rPr>
          <w:rFonts w:hint="eastAsia" w:hAnsi="宋体" w:cs="宋体"/>
          <w:color w:val="auto"/>
          <w:szCs w:val="24"/>
          <w:highlight w:val="none"/>
          <w:lang w:val="en-US" w:eastAsia="zh-CN"/>
        </w:rPr>
        <w:t>及</w:t>
      </w:r>
      <w:r>
        <w:rPr>
          <w:rFonts w:hint="eastAsia" w:hAnsi="宋体" w:cs="宋体"/>
          <w:color w:val="auto"/>
          <w:szCs w:val="24"/>
          <w:highlight w:val="none"/>
        </w:rPr>
        <w:t>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25783"/>
      <w:bookmarkStart w:id="74" w:name="_Toc423973074"/>
      <w:bookmarkStart w:id="75" w:name="_Toc403077645"/>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9687"/>
      <w:bookmarkStart w:id="78" w:name="_Toc11536"/>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3722"/>
      <w:bookmarkStart w:id="80" w:name="_Toc7988"/>
      <w:bookmarkStart w:id="81" w:name="_Toc26649"/>
      <w:bookmarkStart w:id="82" w:name="_Toc23762"/>
      <w:bookmarkStart w:id="83" w:name="_Toc32051"/>
      <w:bookmarkStart w:id="84" w:name="_Toc28665"/>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0625"/>
      <w:bookmarkStart w:id="86" w:name="_Toc20714"/>
      <w:bookmarkStart w:id="87" w:name="_Toc27029"/>
      <w:bookmarkStart w:id="88" w:name="_Toc27615"/>
      <w:bookmarkStart w:id="89" w:name="_Toc23145"/>
      <w:bookmarkStart w:id="90" w:name="_Toc2374"/>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17111"/>
      <w:bookmarkStart w:id="92" w:name="_Toc19221"/>
      <w:bookmarkStart w:id="93" w:name="_Toc24776"/>
      <w:bookmarkStart w:id="94" w:name="_Toc7905"/>
      <w:bookmarkStart w:id="95" w:name="_Toc30804"/>
      <w:bookmarkStart w:id="96" w:name="_Toc4428"/>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5458"/>
      <w:bookmarkStart w:id="98" w:name="_Toc14745"/>
      <w:bookmarkStart w:id="99" w:name="_Toc4223"/>
      <w:bookmarkStart w:id="100" w:name="_Toc28532"/>
      <w:bookmarkStart w:id="101" w:name="_Toc13330"/>
      <w:bookmarkStart w:id="102" w:name="_Toc23630"/>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2"/>
        <w:tblpPr w:leftFromText="180" w:rightFromText="180" w:vertAnchor="text" w:horzAnchor="page" w:tblpXSpec="center" w:tblpY="8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880"/>
        <w:gridCol w:w="870"/>
      </w:tblGrid>
      <w:tr w14:paraId="05C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56" w:type="dxa"/>
            <w:noWrap w:val="0"/>
            <w:vAlign w:val="center"/>
          </w:tcPr>
          <w:p w14:paraId="5756594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880" w:type="dxa"/>
            <w:noWrap w:val="0"/>
            <w:vAlign w:val="center"/>
          </w:tcPr>
          <w:p w14:paraId="18C4062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70" w:type="dxa"/>
            <w:noWrap w:val="0"/>
            <w:vAlign w:val="center"/>
          </w:tcPr>
          <w:p w14:paraId="148F7D9A">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65FE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56" w:type="dxa"/>
            <w:noWrap w:val="0"/>
            <w:vAlign w:val="center"/>
          </w:tcPr>
          <w:p w14:paraId="4A980532">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26ACAD65">
            <w:pPr>
              <w:spacing w:line="360" w:lineRule="auto"/>
              <w:jc w:val="center"/>
              <w:rPr>
                <w:rFonts w:hint="eastAsia" w:hAnsi="宋体" w:cs="宋体"/>
                <w:color w:val="auto"/>
                <w:szCs w:val="22"/>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880" w:type="dxa"/>
            <w:noWrap w:val="0"/>
            <w:vAlign w:val="center"/>
          </w:tcPr>
          <w:p w14:paraId="6E7CAD7C">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36B7B8D3">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70" w:type="dxa"/>
            <w:noWrap w:val="0"/>
            <w:vAlign w:val="center"/>
          </w:tcPr>
          <w:p w14:paraId="683921EA">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57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jc w:val="center"/>
        </w:trPr>
        <w:tc>
          <w:tcPr>
            <w:tcW w:w="1656" w:type="dxa"/>
            <w:noWrap w:val="0"/>
            <w:vAlign w:val="center"/>
          </w:tcPr>
          <w:p w14:paraId="41C7D059">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880" w:type="dxa"/>
            <w:noWrap w:val="0"/>
            <w:vAlign w:val="center"/>
          </w:tcPr>
          <w:p w14:paraId="233EA810">
            <w:pPr>
              <w:numPr>
                <w:ilvl w:val="0"/>
                <w:numId w:val="0"/>
              </w:numPr>
              <w:ind w:left="0" w:leftChars="0"/>
              <w:jc w:val="left"/>
              <w:rPr>
                <w:rFonts w:hint="default" w:ascii="宋体" w:hAnsi="宋体" w:eastAsia="宋体" w:cs="宋体"/>
                <w:color w:val="auto"/>
                <w:highlight w:val="none"/>
                <w:lang w:val="en-US" w:eastAsia="zh-CN"/>
              </w:rPr>
            </w:pPr>
            <w:r>
              <w:rPr>
                <w:rFonts w:hint="eastAsia" w:ascii="宋体" w:hAnsi="宋体" w:eastAsia="宋体" w:cs="宋体"/>
                <w:b/>
                <w:bCs/>
                <w:color w:val="auto"/>
                <w:sz w:val="24"/>
                <w:lang w:val="en-US" w:eastAsia="zh-CN" w:bidi="ar-SA"/>
              </w:rPr>
              <w:t>一、</w:t>
            </w:r>
            <w:r>
              <w:rPr>
                <w:rFonts w:hint="default" w:ascii="宋体" w:hAnsi="宋体" w:eastAsia="宋体" w:cs="宋体"/>
                <w:b/>
                <w:bCs/>
                <w:color w:val="auto"/>
                <w:highlight w:val="none"/>
                <w:lang w:val="en-US" w:eastAsia="zh-CN"/>
              </w:rPr>
              <w:t>评审内容：</w:t>
            </w:r>
          </w:p>
          <w:p w14:paraId="56DFA67F">
            <w:pPr>
              <w:numPr>
                <w:ilvl w:val="0"/>
                <w:numId w:val="0"/>
              </w:numPr>
              <w:ind w:left="0" w:leftChars="0" w:firstLine="0" w:firstLineChars="0"/>
              <w:jc w:val="left"/>
              <w:rPr>
                <w:rFonts w:hint="default" w:hAnsi="Times New Roman" w:cs="Times New Roman"/>
                <w:color w:val="auto"/>
                <w:highlight w:val="none"/>
                <w:lang w:val="en-US" w:eastAsia="zh-CN"/>
              </w:rPr>
            </w:pPr>
            <w:r>
              <w:rPr>
                <w:rFonts w:hint="default" w:ascii="宋体" w:hAnsi="宋体" w:eastAsia="宋体" w:cs="宋体"/>
                <w:color w:val="auto"/>
                <w:highlight w:val="none"/>
                <w:lang w:val="en-US" w:eastAsia="zh-CN"/>
              </w:rPr>
              <w:t>针对本项目提出适用于本项目的服务方案，包括：①活动策划整体方案②视频制作及推广方案③场地安排、颁奖仪式及后勤保障方案④宣传方案</w:t>
            </w:r>
            <w:r>
              <w:rPr>
                <w:rFonts w:hint="eastAsia" w:hAnsi="宋体" w:cs="宋体"/>
                <w:color w:val="auto"/>
                <w:highlight w:val="none"/>
                <w:lang w:val="en-US" w:eastAsia="zh-CN"/>
              </w:rPr>
              <w:t>⑤</w:t>
            </w:r>
            <w:r>
              <w:rPr>
                <w:rFonts w:hint="eastAsia" w:cs="Times New Roman"/>
                <w:color w:val="auto"/>
                <w:highlight w:val="none"/>
                <w:lang w:val="en-US" w:eastAsia="zh-CN"/>
              </w:rPr>
              <w:t>初筛、终筛审查标准</w:t>
            </w:r>
          </w:p>
          <w:p w14:paraId="1514CFDE">
            <w:pPr>
              <w:numPr>
                <w:ilvl w:val="0"/>
                <w:numId w:val="0"/>
              </w:numPr>
              <w:ind w:left="0" w:leftChars="0"/>
              <w:jc w:val="left"/>
              <w:rPr>
                <w:rFonts w:hint="default" w:ascii="宋体" w:hAnsi="宋体" w:eastAsia="宋体" w:cs="宋体"/>
                <w:b/>
                <w:bCs/>
                <w:color w:val="auto"/>
                <w:highlight w:val="none"/>
                <w:lang w:val="en-US" w:eastAsia="zh-CN"/>
              </w:rPr>
            </w:pPr>
            <w:r>
              <w:rPr>
                <w:rFonts w:hint="default" w:ascii="宋体" w:hAnsi="宋体" w:eastAsia="宋体" w:cs="宋体"/>
                <w:b/>
                <w:bCs/>
                <w:color w:val="auto"/>
                <w:highlight w:val="none"/>
                <w:lang w:val="en-US" w:eastAsia="zh-CN"/>
              </w:rPr>
              <w:t>二、评审标准：</w:t>
            </w:r>
          </w:p>
          <w:p w14:paraId="71F49FFA">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1、完整性：方案必须全面，对评审内容中的各项要求有详细描述；</w:t>
            </w:r>
          </w:p>
          <w:p w14:paraId="74644B88">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2、可实施性：切合本项目实际情况，提出步骤清晰、合理的方案；</w:t>
            </w:r>
          </w:p>
          <w:p w14:paraId="16F55CF2">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3、针对性：方案能够紧扣项目实际情况，内容科学合理。</w:t>
            </w:r>
          </w:p>
          <w:p w14:paraId="1FE7B800">
            <w:pPr>
              <w:numPr>
                <w:ilvl w:val="0"/>
                <w:numId w:val="0"/>
              </w:numPr>
              <w:ind w:left="0" w:leftChars="0"/>
              <w:jc w:val="left"/>
              <w:rPr>
                <w:rFonts w:hint="default" w:ascii="宋体" w:hAnsi="宋体" w:eastAsia="宋体" w:cs="宋体"/>
                <w:b/>
                <w:bCs/>
                <w:color w:val="auto"/>
                <w:highlight w:val="none"/>
                <w:lang w:val="en-US" w:eastAsia="zh-CN"/>
              </w:rPr>
            </w:pPr>
            <w:r>
              <w:rPr>
                <w:rFonts w:hint="default" w:ascii="宋体" w:hAnsi="宋体" w:eastAsia="宋体" w:cs="宋体"/>
                <w:b/>
                <w:bCs/>
                <w:color w:val="auto"/>
                <w:highlight w:val="none"/>
                <w:lang w:val="en-US" w:eastAsia="zh-CN"/>
              </w:rPr>
              <w:t>三、赋分标准（满分2</w:t>
            </w:r>
            <w:r>
              <w:rPr>
                <w:rFonts w:hint="eastAsia" w:hAnsi="宋体" w:cs="宋体"/>
                <w:b/>
                <w:bCs/>
                <w:color w:val="auto"/>
                <w:highlight w:val="none"/>
                <w:lang w:val="en-US" w:eastAsia="zh-CN"/>
              </w:rPr>
              <w:t>7</w:t>
            </w:r>
            <w:r>
              <w:rPr>
                <w:rFonts w:hint="default" w:ascii="宋体" w:hAnsi="宋体" w:eastAsia="宋体" w:cs="宋体"/>
                <w:b/>
                <w:bCs/>
                <w:color w:val="auto"/>
                <w:highlight w:val="none"/>
                <w:lang w:val="en-US" w:eastAsia="zh-CN"/>
              </w:rPr>
              <w:t>分）</w:t>
            </w:r>
          </w:p>
          <w:p w14:paraId="7A46356C">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①活动策划整体方案：每完全满足一个评审标准得 2分，</w:t>
            </w:r>
            <w:r>
              <w:rPr>
                <w:rFonts w:hint="eastAsia"/>
                <w:lang w:val="en-US" w:eastAsia="zh-CN"/>
              </w:rPr>
              <w:t>不完全满足一个评审标准得0-2分，</w:t>
            </w:r>
            <w:r>
              <w:rPr>
                <w:rFonts w:hint="default" w:ascii="宋体" w:hAnsi="宋体" w:eastAsia="宋体" w:cs="宋体"/>
                <w:color w:val="auto"/>
                <w:highlight w:val="none"/>
                <w:lang w:val="en-US" w:eastAsia="zh-CN"/>
              </w:rPr>
              <w:t>满分6分；</w:t>
            </w:r>
          </w:p>
          <w:p w14:paraId="746F657E">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②视频制作及推广方案：每完全满足一个评审标准得2分，</w:t>
            </w:r>
            <w:r>
              <w:rPr>
                <w:rFonts w:hint="eastAsia"/>
                <w:lang w:val="en-US" w:eastAsia="zh-CN"/>
              </w:rPr>
              <w:t>不完全满足一个评审标准得0-2分，</w:t>
            </w:r>
            <w:r>
              <w:rPr>
                <w:rFonts w:hint="default" w:ascii="宋体" w:hAnsi="宋体" w:eastAsia="宋体" w:cs="宋体"/>
                <w:color w:val="auto"/>
                <w:highlight w:val="none"/>
                <w:lang w:val="en-US" w:eastAsia="zh-CN"/>
              </w:rPr>
              <w:t>满分6分；</w:t>
            </w:r>
          </w:p>
          <w:p w14:paraId="24A47FF7">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③场地安排、颁奖仪式及后勤保障方案：每完全满足一个评审标准得2分，</w:t>
            </w:r>
            <w:r>
              <w:rPr>
                <w:rFonts w:hint="eastAsia"/>
                <w:lang w:val="en-US" w:eastAsia="zh-CN"/>
              </w:rPr>
              <w:t>不完全满足一个评审标准得0-2分，</w:t>
            </w:r>
            <w:r>
              <w:rPr>
                <w:rFonts w:hint="default" w:ascii="宋体" w:hAnsi="宋体" w:eastAsia="宋体" w:cs="宋体"/>
                <w:color w:val="auto"/>
                <w:highlight w:val="none"/>
                <w:lang w:val="en-US" w:eastAsia="zh-CN"/>
              </w:rPr>
              <w:t>满分6分。</w:t>
            </w:r>
          </w:p>
          <w:p w14:paraId="436A0BC1">
            <w:pPr>
              <w:numPr>
                <w:ilvl w:val="0"/>
                <w:numId w:val="0"/>
              </w:numPr>
              <w:ind w:left="0"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④宣传方案：每完全满足一个评审标准得2</w:t>
            </w:r>
            <w:r>
              <w:rPr>
                <w:rFonts w:hint="eastAsia" w:hAnsi="宋体" w:cs="宋体"/>
                <w:color w:val="auto"/>
                <w:highlight w:val="none"/>
                <w:lang w:val="en-US" w:eastAsia="zh-CN"/>
              </w:rPr>
              <w:t>.5</w:t>
            </w:r>
            <w:r>
              <w:rPr>
                <w:rFonts w:hint="default" w:ascii="宋体" w:hAnsi="宋体" w:eastAsia="宋体" w:cs="宋体"/>
                <w:color w:val="auto"/>
                <w:highlight w:val="none"/>
                <w:lang w:val="en-US" w:eastAsia="zh-CN"/>
              </w:rPr>
              <w:t>分，</w:t>
            </w:r>
            <w:r>
              <w:rPr>
                <w:rFonts w:hint="eastAsia"/>
                <w:lang w:val="en-US" w:eastAsia="zh-CN"/>
              </w:rPr>
              <w:t>不完全满足一个评审标准得0-2.5分，</w:t>
            </w:r>
            <w:r>
              <w:rPr>
                <w:rFonts w:hint="default" w:ascii="宋体" w:hAnsi="宋体" w:eastAsia="宋体" w:cs="宋体"/>
                <w:color w:val="auto"/>
                <w:highlight w:val="none"/>
                <w:lang w:val="en-US" w:eastAsia="zh-CN"/>
              </w:rPr>
              <w:t>满分</w:t>
            </w:r>
            <w:r>
              <w:rPr>
                <w:rFonts w:hint="eastAsia" w:hAnsi="宋体" w:cs="宋体"/>
                <w:color w:val="auto"/>
                <w:highlight w:val="none"/>
                <w:lang w:val="en-US" w:eastAsia="zh-CN"/>
              </w:rPr>
              <w:t>7.5</w:t>
            </w:r>
            <w:r>
              <w:rPr>
                <w:rFonts w:hint="default" w:ascii="宋体" w:hAnsi="宋体" w:eastAsia="宋体" w:cs="宋体"/>
                <w:color w:val="auto"/>
                <w:highlight w:val="none"/>
                <w:lang w:val="en-US" w:eastAsia="zh-CN"/>
              </w:rPr>
              <w:t>分。</w:t>
            </w:r>
          </w:p>
          <w:p w14:paraId="1B3E52A2">
            <w:pPr>
              <w:numPr>
                <w:ilvl w:val="0"/>
                <w:numId w:val="0"/>
              </w:numPr>
              <w:ind w:left="0" w:leftChars="0"/>
              <w:jc w:val="left"/>
              <w:rPr>
                <w:rFonts w:hint="default" w:ascii="宋体" w:hAnsi="宋体" w:eastAsia="宋体" w:cs="宋体"/>
                <w:color w:val="auto"/>
                <w:highlight w:val="none"/>
                <w:lang w:val="en-US" w:eastAsia="zh-CN"/>
              </w:rPr>
            </w:pPr>
            <w:r>
              <w:rPr>
                <w:rFonts w:hint="eastAsia" w:cs="Times New Roman"/>
                <w:color w:val="auto"/>
                <w:highlight w:val="none"/>
                <w:lang w:val="en-US" w:eastAsia="zh-CN"/>
              </w:rPr>
              <w:t>⑤初筛、终筛审查标准</w:t>
            </w:r>
            <w:r>
              <w:rPr>
                <w:rFonts w:hint="default" w:ascii="宋体" w:hAnsi="宋体" w:eastAsia="宋体" w:cs="宋体"/>
                <w:color w:val="auto"/>
                <w:highlight w:val="none"/>
                <w:lang w:val="en-US" w:eastAsia="zh-CN"/>
              </w:rPr>
              <w:t>：每完全满足一个评审标准得2</w:t>
            </w:r>
            <w:r>
              <w:rPr>
                <w:rFonts w:hint="eastAsia" w:ascii="宋体" w:hAnsi="宋体" w:eastAsia="宋体" w:cs="宋体"/>
                <w:color w:val="auto"/>
                <w:highlight w:val="none"/>
                <w:lang w:val="en-US" w:eastAsia="zh-CN"/>
              </w:rPr>
              <w:t>.5</w:t>
            </w:r>
            <w:r>
              <w:rPr>
                <w:rFonts w:hint="default" w:ascii="宋体" w:hAnsi="宋体" w:eastAsia="宋体" w:cs="宋体"/>
                <w:color w:val="auto"/>
                <w:highlight w:val="none"/>
                <w:lang w:val="en-US" w:eastAsia="zh-CN"/>
              </w:rPr>
              <w:t>分，</w:t>
            </w:r>
            <w:r>
              <w:rPr>
                <w:rFonts w:hint="eastAsia"/>
                <w:lang w:val="en-US" w:eastAsia="zh-CN"/>
              </w:rPr>
              <w:t>不完全满足一个评审标准得0-2.5分，</w:t>
            </w:r>
            <w:r>
              <w:rPr>
                <w:rFonts w:hint="default" w:ascii="宋体" w:hAnsi="宋体" w:eastAsia="宋体" w:cs="宋体"/>
                <w:color w:val="auto"/>
                <w:highlight w:val="none"/>
                <w:lang w:val="en-US" w:eastAsia="zh-CN"/>
              </w:rPr>
              <w:t>满分</w:t>
            </w:r>
            <w:r>
              <w:rPr>
                <w:rFonts w:hint="eastAsia" w:ascii="宋体" w:hAnsi="宋体" w:eastAsia="宋体" w:cs="宋体"/>
                <w:color w:val="auto"/>
                <w:highlight w:val="none"/>
                <w:lang w:val="en-US" w:eastAsia="zh-CN"/>
              </w:rPr>
              <w:t>7.5</w:t>
            </w:r>
            <w:r>
              <w:rPr>
                <w:rFonts w:hint="default" w:ascii="宋体" w:hAnsi="宋体" w:eastAsia="宋体" w:cs="宋体"/>
                <w:color w:val="auto"/>
                <w:highlight w:val="none"/>
                <w:lang w:val="en-US" w:eastAsia="zh-CN"/>
              </w:rPr>
              <w:t>分。</w:t>
            </w:r>
          </w:p>
        </w:tc>
        <w:tc>
          <w:tcPr>
            <w:tcW w:w="870" w:type="dxa"/>
            <w:noWrap w:val="0"/>
            <w:vAlign w:val="center"/>
          </w:tcPr>
          <w:p w14:paraId="25AB1D6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27</w:t>
            </w:r>
            <w:r>
              <w:rPr>
                <w:rFonts w:hint="eastAsia" w:hAnsi="宋体" w:cs="宋体"/>
                <w:color w:val="auto"/>
                <w:szCs w:val="24"/>
                <w:highlight w:val="none"/>
              </w:rPr>
              <w:t>分</w:t>
            </w:r>
          </w:p>
        </w:tc>
      </w:tr>
      <w:tr w14:paraId="5A3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56" w:type="dxa"/>
            <w:noWrap w:val="0"/>
            <w:vAlign w:val="center"/>
          </w:tcPr>
          <w:p w14:paraId="7617F131">
            <w:pPr>
              <w:jc w:val="center"/>
              <w:rPr>
                <w:rFonts w:hint="default" w:hAnsi="宋体" w:eastAsia="宋体" w:cs="宋体"/>
                <w:color w:val="auto"/>
                <w:szCs w:val="24"/>
                <w:highlight w:val="none"/>
                <w:lang w:val="en-US" w:eastAsia="zh-CN"/>
              </w:rPr>
            </w:pPr>
            <w:r>
              <w:rPr>
                <w:rFonts w:hint="default" w:hAnsi="宋体" w:eastAsia="宋体" w:cs="宋体"/>
                <w:color w:val="auto"/>
                <w:szCs w:val="24"/>
                <w:highlight w:val="none"/>
                <w:lang w:val="en-US" w:eastAsia="zh-CN"/>
              </w:rPr>
              <w:t>保障方案</w:t>
            </w:r>
          </w:p>
        </w:tc>
        <w:tc>
          <w:tcPr>
            <w:tcW w:w="6880" w:type="dxa"/>
            <w:noWrap w:val="0"/>
            <w:vAlign w:val="center"/>
          </w:tcPr>
          <w:p w14:paraId="05FFA969">
            <w:pPr>
              <w:numPr>
                <w:ilvl w:val="0"/>
                <w:numId w:val="4"/>
              </w:numPr>
              <w:jc w:val="left"/>
              <w:rPr>
                <w:rFonts w:hint="eastAsia" w:ascii="宋体" w:hAnsi="宋体" w:eastAsia="宋体" w:cs="宋体"/>
                <w:color w:val="auto"/>
                <w:sz w:val="24"/>
                <w:lang w:val="en-US" w:eastAsia="zh-CN" w:bidi="ar-SA"/>
              </w:rPr>
            </w:pPr>
            <w:r>
              <w:rPr>
                <w:rFonts w:hint="eastAsia" w:ascii="宋体" w:hAnsi="宋体" w:eastAsia="宋体" w:cs="宋体"/>
                <w:b/>
                <w:bCs/>
                <w:color w:val="auto"/>
                <w:sz w:val="24"/>
                <w:lang w:val="en-US" w:eastAsia="zh-CN" w:bidi="ar-SA"/>
              </w:rPr>
              <w:t>评审内容</w:t>
            </w:r>
            <w:r>
              <w:rPr>
                <w:rFonts w:hint="eastAsia" w:ascii="宋体" w:hAnsi="宋体" w:eastAsia="宋体" w:cs="宋体"/>
                <w:color w:val="auto"/>
                <w:sz w:val="24"/>
                <w:lang w:val="en-US" w:eastAsia="zh-CN" w:bidi="ar-SA"/>
              </w:rPr>
              <w:t>：</w:t>
            </w:r>
          </w:p>
          <w:p w14:paraId="6BF96BD0">
            <w:pPr>
              <w:numPr>
                <w:ilvl w:val="0"/>
                <w:numId w:val="0"/>
              </w:numPr>
              <w:ind w:firstLine="480" w:firstLineChars="200"/>
              <w:jc w:val="left"/>
              <w:rPr>
                <w:rFonts w:hint="eastAsia" w:hAnsi="Times New Roman" w:cs="Times New Roman"/>
                <w:color w:val="auto"/>
                <w:highlight w:val="none"/>
                <w:lang w:val="en-US" w:eastAsia="zh-CN"/>
              </w:rPr>
            </w:pPr>
            <w:r>
              <w:rPr>
                <w:rFonts w:hint="eastAsia" w:ascii="宋体" w:hAnsi="宋体" w:eastAsia="宋体" w:cs="宋体"/>
                <w:color w:val="auto"/>
                <w:sz w:val="24"/>
                <w:lang w:val="en-US" w:eastAsia="zh-CN" w:bidi="ar-SA"/>
              </w:rPr>
              <w:t>针对本项目提出适用于本项目</w:t>
            </w:r>
            <w:r>
              <w:rPr>
                <w:rFonts w:hint="eastAsia" w:hAnsi="宋体" w:cs="宋体"/>
                <w:color w:val="auto"/>
                <w:sz w:val="24"/>
                <w:lang w:val="en-US" w:eastAsia="zh-CN" w:bidi="ar-SA"/>
              </w:rPr>
              <w:t>的保障方案</w:t>
            </w:r>
            <w:r>
              <w:rPr>
                <w:rFonts w:hint="eastAsia" w:ascii="宋体" w:hAnsi="宋体" w:eastAsia="宋体" w:cs="宋体"/>
                <w:color w:val="auto"/>
                <w:sz w:val="24"/>
                <w:lang w:val="en-US" w:eastAsia="zh-CN" w:bidi="ar-SA"/>
              </w:rPr>
              <w:t>，包括：①进度保障方案②各部门协调方案③</w:t>
            </w:r>
            <w:r>
              <w:rPr>
                <w:rFonts w:hint="eastAsia" w:hAnsi="Times New Roman" w:cs="Times New Roman"/>
                <w:color w:val="auto"/>
                <w:highlight w:val="none"/>
                <w:lang w:val="en-US" w:eastAsia="zh-CN"/>
              </w:rPr>
              <w:t>项目人员管理措施</w:t>
            </w:r>
          </w:p>
          <w:p w14:paraId="591CCA7F">
            <w:pPr>
              <w:numPr>
                <w:ilvl w:val="0"/>
                <w:numId w:val="0"/>
              </w:numPr>
              <w:jc w:val="left"/>
              <w:rPr>
                <w:rFonts w:hint="eastAsia" w:ascii="宋体" w:hAnsi="宋体" w:eastAsia="宋体" w:cs="宋体"/>
                <w:b/>
                <w:bCs/>
                <w:color w:val="auto"/>
                <w:sz w:val="24"/>
                <w:lang w:val="en-US" w:eastAsia="zh-CN" w:bidi="ar-SA"/>
              </w:rPr>
            </w:pPr>
            <w:r>
              <w:rPr>
                <w:rFonts w:hint="eastAsia" w:ascii="宋体" w:hAnsi="宋体" w:eastAsia="宋体" w:cs="宋体"/>
                <w:b/>
                <w:bCs/>
                <w:color w:val="auto"/>
                <w:sz w:val="24"/>
                <w:lang w:val="en-US" w:eastAsia="zh-CN" w:bidi="ar-SA"/>
              </w:rPr>
              <w:t>二、评审标准：</w:t>
            </w:r>
          </w:p>
          <w:p w14:paraId="307C9504">
            <w:pPr>
              <w:numPr>
                <w:ilvl w:val="0"/>
                <w:numId w:val="0"/>
              </w:numPr>
              <w:ind w:left="0" w:leftChars="0"/>
              <w:jc w:val="left"/>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1、完整性：方案必须全面，对评审内容中的各项要求有详细描述；</w:t>
            </w:r>
          </w:p>
          <w:p w14:paraId="7995E831">
            <w:pPr>
              <w:numPr>
                <w:ilvl w:val="0"/>
                <w:numId w:val="0"/>
              </w:numPr>
              <w:ind w:left="0" w:leftChars="0"/>
              <w:jc w:val="left"/>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2、可实施性：切合本项目实际情况，提出步骤清晰、合理的方案；</w:t>
            </w:r>
          </w:p>
          <w:p w14:paraId="1821EDDC">
            <w:pPr>
              <w:numPr>
                <w:ilvl w:val="0"/>
                <w:numId w:val="0"/>
              </w:numPr>
              <w:ind w:left="0" w:leftChars="0"/>
              <w:jc w:val="left"/>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3、针对性：方案能够紧扣项目实际情况，内容科学合理。</w:t>
            </w:r>
          </w:p>
          <w:p w14:paraId="5D13968E">
            <w:pPr>
              <w:numPr>
                <w:ilvl w:val="0"/>
                <w:numId w:val="0"/>
              </w:numPr>
              <w:ind w:left="0" w:leftChars="0"/>
              <w:jc w:val="left"/>
              <w:rPr>
                <w:rFonts w:hint="eastAsia" w:ascii="宋体" w:hAnsi="宋体" w:eastAsia="宋体" w:cs="宋体"/>
                <w:b/>
                <w:bCs/>
                <w:color w:val="auto"/>
                <w:sz w:val="24"/>
                <w:lang w:val="en-US" w:eastAsia="zh-CN" w:bidi="ar-SA"/>
              </w:rPr>
            </w:pPr>
            <w:r>
              <w:rPr>
                <w:rFonts w:hint="eastAsia" w:ascii="宋体" w:hAnsi="宋体" w:eastAsia="宋体" w:cs="宋体"/>
                <w:b/>
                <w:bCs/>
                <w:color w:val="auto"/>
                <w:sz w:val="24"/>
                <w:lang w:val="en-US" w:eastAsia="zh-CN" w:bidi="ar-SA"/>
              </w:rPr>
              <w:t>三、赋分标准（满分1</w:t>
            </w:r>
            <w:r>
              <w:rPr>
                <w:rFonts w:hint="eastAsia" w:hAnsi="宋体" w:cs="宋体"/>
                <w:b/>
                <w:bCs/>
                <w:color w:val="auto"/>
                <w:sz w:val="24"/>
                <w:lang w:val="en-US" w:eastAsia="zh-CN" w:bidi="ar-SA"/>
              </w:rPr>
              <w:t>5</w:t>
            </w:r>
            <w:r>
              <w:rPr>
                <w:rFonts w:hint="eastAsia" w:ascii="宋体" w:hAnsi="宋体" w:eastAsia="宋体" w:cs="宋体"/>
                <w:b/>
                <w:bCs/>
                <w:color w:val="auto"/>
                <w:sz w:val="24"/>
                <w:lang w:val="en-US" w:eastAsia="zh-CN" w:bidi="ar-SA"/>
              </w:rPr>
              <w:t>分）</w:t>
            </w:r>
          </w:p>
          <w:p w14:paraId="6F377628">
            <w:pPr>
              <w:numPr>
                <w:ilvl w:val="0"/>
                <w:numId w:val="0"/>
              </w:numPr>
              <w:ind w:left="0" w:leftChars="0"/>
              <w:jc w:val="left"/>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①进度保障方案：每完全满足一个评审标准得</w:t>
            </w:r>
            <w:r>
              <w:rPr>
                <w:rFonts w:hint="eastAsia" w:hAnsi="宋体" w:cs="宋体"/>
                <w:color w:val="auto"/>
                <w:sz w:val="24"/>
                <w:lang w:val="en-US" w:eastAsia="zh-CN" w:bidi="ar-SA"/>
              </w:rPr>
              <w:t>2</w:t>
            </w:r>
            <w:r>
              <w:rPr>
                <w:rFonts w:hint="eastAsia" w:ascii="宋体" w:hAnsi="宋体" w:eastAsia="宋体" w:cs="宋体"/>
                <w:color w:val="auto"/>
                <w:sz w:val="24"/>
                <w:lang w:val="en-US" w:eastAsia="zh-CN" w:bidi="ar-SA"/>
              </w:rPr>
              <w:t>分，</w:t>
            </w:r>
            <w:r>
              <w:rPr>
                <w:rFonts w:hint="eastAsia"/>
                <w:lang w:val="en-US" w:eastAsia="zh-CN"/>
              </w:rPr>
              <w:t>不完全满足一个评审标准得0-2分，</w:t>
            </w:r>
            <w:r>
              <w:rPr>
                <w:rFonts w:hint="eastAsia" w:ascii="宋体" w:hAnsi="宋体" w:eastAsia="宋体" w:cs="宋体"/>
                <w:color w:val="auto"/>
                <w:sz w:val="24"/>
                <w:lang w:val="en-US" w:eastAsia="zh-CN" w:bidi="ar-SA"/>
              </w:rPr>
              <w:t>满分</w:t>
            </w:r>
            <w:r>
              <w:rPr>
                <w:rFonts w:hint="eastAsia" w:hAnsi="宋体" w:cs="宋体"/>
                <w:color w:val="auto"/>
                <w:sz w:val="24"/>
                <w:lang w:val="en-US" w:eastAsia="zh-CN" w:bidi="ar-SA"/>
              </w:rPr>
              <w:t>6</w:t>
            </w:r>
            <w:r>
              <w:rPr>
                <w:rFonts w:hint="eastAsia" w:ascii="宋体" w:hAnsi="宋体" w:eastAsia="宋体" w:cs="宋体"/>
                <w:color w:val="auto"/>
                <w:sz w:val="24"/>
                <w:lang w:val="en-US" w:eastAsia="zh-CN" w:bidi="ar-SA"/>
              </w:rPr>
              <w:t>分；</w:t>
            </w:r>
          </w:p>
          <w:p w14:paraId="255C412A">
            <w:pPr>
              <w:numPr>
                <w:ilvl w:val="0"/>
                <w:numId w:val="0"/>
              </w:numPr>
              <w:ind w:left="0" w:leftChars="0"/>
              <w:jc w:val="left"/>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②各部门协调方案：每完全满足一个评审标准得</w:t>
            </w:r>
            <w:r>
              <w:rPr>
                <w:rFonts w:hint="eastAsia" w:hAnsi="宋体" w:cs="宋体"/>
                <w:color w:val="auto"/>
                <w:sz w:val="24"/>
                <w:lang w:val="en-US" w:eastAsia="zh-CN" w:bidi="ar-SA"/>
              </w:rPr>
              <w:t>1.5</w:t>
            </w:r>
            <w:r>
              <w:rPr>
                <w:rFonts w:hint="eastAsia" w:ascii="宋体" w:hAnsi="宋体" w:eastAsia="宋体" w:cs="宋体"/>
                <w:color w:val="auto"/>
                <w:sz w:val="24"/>
                <w:lang w:val="en-US" w:eastAsia="zh-CN" w:bidi="ar-SA"/>
              </w:rPr>
              <w:t>分，</w:t>
            </w:r>
            <w:r>
              <w:rPr>
                <w:rFonts w:hint="eastAsia"/>
                <w:lang w:val="en-US" w:eastAsia="zh-CN"/>
              </w:rPr>
              <w:t>不完全满足一个评审标准得0-1.5分，</w:t>
            </w:r>
            <w:r>
              <w:rPr>
                <w:rFonts w:hint="eastAsia" w:ascii="宋体" w:hAnsi="宋体" w:eastAsia="宋体" w:cs="宋体"/>
                <w:color w:val="auto"/>
                <w:sz w:val="24"/>
                <w:lang w:val="en-US" w:eastAsia="zh-CN" w:bidi="ar-SA"/>
              </w:rPr>
              <w:t>满分</w:t>
            </w:r>
            <w:r>
              <w:rPr>
                <w:rFonts w:hint="eastAsia" w:hAnsi="宋体" w:cs="宋体"/>
                <w:color w:val="auto"/>
                <w:sz w:val="24"/>
                <w:lang w:val="en-US" w:eastAsia="zh-CN" w:bidi="ar-SA"/>
              </w:rPr>
              <w:t>4.5</w:t>
            </w:r>
            <w:r>
              <w:rPr>
                <w:rFonts w:hint="eastAsia" w:ascii="宋体" w:hAnsi="宋体" w:eastAsia="宋体" w:cs="宋体"/>
                <w:color w:val="auto"/>
                <w:sz w:val="24"/>
                <w:lang w:val="en-US" w:eastAsia="zh-CN" w:bidi="ar-SA"/>
              </w:rPr>
              <w:t>分；</w:t>
            </w:r>
          </w:p>
          <w:p w14:paraId="6A81E0F1">
            <w:pPr>
              <w:numPr>
                <w:ilvl w:val="0"/>
                <w:numId w:val="0"/>
              </w:numPr>
              <w:ind w:left="0" w:leftChars="0"/>
              <w:jc w:val="left"/>
              <w:rPr>
                <w:rFonts w:hint="default"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③</w:t>
            </w:r>
            <w:r>
              <w:rPr>
                <w:rFonts w:hint="eastAsia" w:hAnsi="Times New Roman" w:cs="Times New Roman"/>
                <w:color w:val="auto"/>
                <w:highlight w:val="none"/>
                <w:lang w:val="en-US" w:eastAsia="zh-CN"/>
              </w:rPr>
              <w:t>项目人员管理措施：</w:t>
            </w:r>
            <w:r>
              <w:rPr>
                <w:rFonts w:hint="eastAsia" w:ascii="宋体" w:hAnsi="宋体" w:eastAsia="宋体" w:cs="宋体"/>
                <w:color w:val="auto"/>
                <w:sz w:val="24"/>
                <w:lang w:val="en-US" w:eastAsia="zh-CN" w:bidi="ar-SA"/>
              </w:rPr>
              <w:t>每完全满足一个评审标准得</w:t>
            </w:r>
            <w:r>
              <w:rPr>
                <w:rFonts w:hint="eastAsia" w:hAnsi="宋体" w:cs="宋体"/>
                <w:color w:val="auto"/>
                <w:sz w:val="24"/>
                <w:lang w:val="en-US" w:eastAsia="zh-CN" w:bidi="ar-SA"/>
              </w:rPr>
              <w:t>1.5</w:t>
            </w:r>
            <w:r>
              <w:rPr>
                <w:rFonts w:hint="eastAsia" w:ascii="宋体" w:hAnsi="宋体" w:eastAsia="宋体" w:cs="宋体"/>
                <w:color w:val="auto"/>
                <w:sz w:val="24"/>
                <w:lang w:val="en-US" w:eastAsia="zh-CN" w:bidi="ar-SA"/>
              </w:rPr>
              <w:t>分，</w:t>
            </w:r>
            <w:r>
              <w:rPr>
                <w:rFonts w:hint="eastAsia"/>
                <w:lang w:val="en-US" w:eastAsia="zh-CN"/>
              </w:rPr>
              <w:t>不完全满足一个评审标准得0-1.5分，</w:t>
            </w:r>
            <w:r>
              <w:rPr>
                <w:rFonts w:hint="eastAsia" w:ascii="宋体" w:hAnsi="宋体" w:eastAsia="宋体" w:cs="宋体"/>
                <w:color w:val="auto"/>
                <w:sz w:val="24"/>
                <w:lang w:val="en-US" w:eastAsia="zh-CN" w:bidi="ar-SA"/>
              </w:rPr>
              <w:t>满分4.5分；</w:t>
            </w:r>
          </w:p>
        </w:tc>
        <w:tc>
          <w:tcPr>
            <w:tcW w:w="870" w:type="dxa"/>
            <w:noWrap w:val="0"/>
            <w:vAlign w:val="center"/>
          </w:tcPr>
          <w:p w14:paraId="4676457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15</w:t>
            </w:r>
            <w:r>
              <w:rPr>
                <w:rFonts w:hint="eastAsia" w:hAnsi="宋体" w:cs="宋体"/>
                <w:color w:val="auto"/>
                <w:szCs w:val="24"/>
                <w:highlight w:val="none"/>
              </w:rPr>
              <w:t>分</w:t>
            </w:r>
          </w:p>
        </w:tc>
      </w:tr>
      <w:tr w14:paraId="106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jc w:val="center"/>
        </w:trPr>
        <w:tc>
          <w:tcPr>
            <w:tcW w:w="1656" w:type="dxa"/>
            <w:noWrap w:val="0"/>
            <w:vAlign w:val="center"/>
          </w:tcPr>
          <w:p w14:paraId="13B9E482">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项目管理措施</w:t>
            </w:r>
          </w:p>
        </w:tc>
        <w:tc>
          <w:tcPr>
            <w:tcW w:w="6880" w:type="dxa"/>
            <w:noWrap w:val="0"/>
            <w:vAlign w:val="center"/>
          </w:tcPr>
          <w:p w14:paraId="323FCF2D">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5E0568EF">
            <w:pPr>
              <w:numPr>
                <w:ilvl w:val="0"/>
                <w:numId w:val="0"/>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针对采购需求提出适用于本项目的管理措施方案，方案包括： ①质量保证措施 ②质量管理体系</w:t>
            </w:r>
          </w:p>
          <w:p w14:paraId="31C61E11">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 xml:space="preserve">评审标准： </w:t>
            </w:r>
          </w:p>
          <w:p w14:paraId="49059426">
            <w:pPr>
              <w:numPr>
                <w:ilvl w:val="0"/>
                <w:numId w:val="5"/>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完整性：方案必须全面，对评审内容中的各项要求有详细描述；</w:t>
            </w:r>
          </w:p>
          <w:p w14:paraId="17B3BF48">
            <w:pPr>
              <w:numPr>
                <w:ilvl w:val="0"/>
                <w:numId w:val="5"/>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72444A25">
            <w:pPr>
              <w:numPr>
                <w:ilvl w:val="0"/>
                <w:numId w:val="5"/>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006C408C">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12</w:t>
            </w:r>
            <w:r>
              <w:rPr>
                <w:rFonts w:hint="eastAsia" w:hAnsi="Times New Roman" w:cs="Times New Roman"/>
                <w:b/>
                <w:bCs/>
                <w:color w:val="auto"/>
                <w:highlight w:val="none"/>
                <w:lang w:val="en-US" w:eastAsia="zh-CN"/>
              </w:rPr>
              <w:t>分）</w:t>
            </w:r>
          </w:p>
          <w:p w14:paraId="523F6C2E">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①质量保证措施：每完全满足一个评审标准得</w:t>
            </w:r>
            <w:r>
              <w:rPr>
                <w:rFonts w:hint="eastAsia" w:cs="Times New Roman"/>
                <w:color w:val="auto"/>
                <w:highlight w:val="none"/>
                <w:lang w:val="en-US" w:eastAsia="zh-CN"/>
              </w:rPr>
              <w:t>2</w:t>
            </w:r>
            <w:r>
              <w:rPr>
                <w:rFonts w:hint="eastAsia" w:hAnsi="Times New Roman" w:cs="Times New Roman"/>
                <w:color w:val="auto"/>
                <w:highlight w:val="none"/>
                <w:lang w:val="en-US" w:eastAsia="zh-CN"/>
              </w:rPr>
              <w:t>分，</w:t>
            </w:r>
            <w:r>
              <w:rPr>
                <w:rFonts w:hint="eastAsia"/>
                <w:lang w:val="en-US" w:eastAsia="zh-CN"/>
              </w:rPr>
              <w:t>不完全满足一个评审标准得0-2分，</w:t>
            </w:r>
            <w:r>
              <w:rPr>
                <w:rFonts w:hint="eastAsia" w:hAnsi="Times New Roman" w:cs="Times New Roman"/>
                <w:color w:val="auto"/>
                <w:highlight w:val="none"/>
                <w:lang w:val="en-US" w:eastAsia="zh-CN"/>
              </w:rPr>
              <w:t>满分</w:t>
            </w:r>
            <w:r>
              <w:rPr>
                <w:rFonts w:hint="eastAsia" w:cs="Times New Roman"/>
                <w:color w:val="auto"/>
                <w:highlight w:val="none"/>
                <w:lang w:val="en-US" w:eastAsia="zh-CN"/>
              </w:rPr>
              <w:t>6</w:t>
            </w:r>
            <w:r>
              <w:rPr>
                <w:rFonts w:hint="eastAsia" w:hAnsi="Times New Roman" w:cs="Times New Roman"/>
                <w:color w:val="auto"/>
                <w:highlight w:val="none"/>
                <w:lang w:val="en-US" w:eastAsia="zh-CN"/>
              </w:rPr>
              <w:t xml:space="preserve">分； </w:t>
            </w:r>
          </w:p>
          <w:p w14:paraId="151A22BD">
            <w:pPr>
              <w:numPr>
                <w:ilvl w:val="0"/>
                <w:numId w:val="0"/>
              </w:numPr>
              <w:ind w:leftChars="0"/>
              <w:jc w:val="left"/>
              <w:rPr>
                <w:rFonts w:hint="eastAsia" w:cs="Times New Roman"/>
                <w:color w:val="auto"/>
                <w:highlight w:val="none"/>
                <w:lang w:val="en-US" w:eastAsia="zh-CN"/>
              </w:rPr>
            </w:pPr>
            <w:r>
              <w:rPr>
                <w:rFonts w:hint="eastAsia" w:hAnsi="Times New Roman" w:cs="Times New Roman"/>
                <w:color w:val="auto"/>
                <w:highlight w:val="none"/>
                <w:lang w:val="en-US" w:eastAsia="zh-CN"/>
              </w:rPr>
              <w:t>②质量管理体系：每完全满足一个评审标准得</w:t>
            </w:r>
            <w:r>
              <w:rPr>
                <w:rFonts w:hint="eastAsia" w:cs="Times New Roman"/>
                <w:color w:val="auto"/>
                <w:highlight w:val="none"/>
                <w:lang w:val="en-US" w:eastAsia="zh-CN"/>
              </w:rPr>
              <w:t>2</w:t>
            </w:r>
            <w:r>
              <w:rPr>
                <w:rFonts w:hint="eastAsia" w:hAnsi="Times New Roman" w:cs="Times New Roman"/>
                <w:color w:val="auto"/>
                <w:highlight w:val="none"/>
                <w:lang w:val="en-US" w:eastAsia="zh-CN"/>
              </w:rPr>
              <w:t>分，</w:t>
            </w:r>
            <w:r>
              <w:rPr>
                <w:rFonts w:hint="eastAsia"/>
                <w:lang w:val="en-US" w:eastAsia="zh-CN"/>
              </w:rPr>
              <w:t>不完全满足一个评审标准得0-2分，</w:t>
            </w:r>
            <w:r>
              <w:rPr>
                <w:rFonts w:hint="eastAsia" w:hAnsi="Times New Roman" w:cs="Times New Roman"/>
                <w:color w:val="auto"/>
                <w:highlight w:val="none"/>
                <w:lang w:val="en-US" w:eastAsia="zh-CN"/>
              </w:rPr>
              <w:t>满分</w:t>
            </w:r>
            <w:r>
              <w:rPr>
                <w:rFonts w:hint="eastAsia" w:cs="Times New Roman"/>
                <w:color w:val="auto"/>
                <w:highlight w:val="none"/>
                <w:lang w:val="en-US" w:eastAsia="zh-CN"/>
              </w:rPr>
              <w:t>6</w:t>
            </w:r>
            <w:r>
              <w:rPr>
                <w:rFonts w:hint="eastAsia" w:hAnsi="Times New Roman" w:cs="Times New Roman"/>
                <w:color w:val="auto"/>
                <w:highlight w:val="none"/>
                <w:lang w:val="en-US" w:eastAsia="zh-CN"/>
              </w:rPr>
              <w:t xml:space="preserve">分； </w:t>
            </w:r>
          </w:p>
        </w:tc>
        <w:tc>
          <w:tcPr>
            <w:tcW w:w="870" w:type="dxa"/>
            <w:noWrap w:val="0"/>
            <w:vAlign w:val="center"/>
          </w:tcPr>
          <w:p w14:paraId="5CDA27F6">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12分</w:t>
            </w:r>
          </w:p>
        </w:tc>
      </w:tr>
      <w:tr w14:paraId="2692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noWrap w:val="0"/>
            <w:vAlign w:val="center"/>
          </w:tcPr>
          <w:p w14:paraId="3E1C7900">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应急安全管理</w:t>
            </w:r>
          </w:p>
        </w:tc>
        <w:tc>
          <w:tcPr>
            <w:tcW w:w="6880" w:type="dxa"/>
            <w:noWrap w:val="0"/>
            <w:vAlign w:val="center"/>
          </w:tcPr>
          <w:p w14:paraId="5F7E8173">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24EBFE54">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针对本项目提出适用于本项目的应急安全管理方案，方案包括： ①突发应急事件预案②应急保障措施 </w:t>
            </w:r>
          </w:p>
          <w:p w14:paraId="123BB214">
            <w:pPr>
              <w:numPr>
                <w:ilvl w:val="0"/>
                <w:numId w:val="0"/>
              </w:numPr>
              <w:ind w:left="0" w:leftChars="0" w:firstLine="0" w:firstLineChars="0"/>
              <w:jc w:val="left"/>
              <w:rPr>
                <w:rFonts w:hint="eastAsia" w:hAnsi="Times New Roman" w:cs="Times New Roman"/>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评审标准：</w:t>
            </w:r>
            <w:r>
              <w:rPr>
                <w:rFonts w:hint="eastAsia" w:hAnsi="Times New Roman" w:cs="Times New Roman"/>
                <w:color w:val="auto"/>
                <w:highlight w:val="none"/>
                <w:lang w:val="en-US" w:eastAsia="zh-CN"/>
              </w:rPr>
              <w:t xml:space="preserve"> </w:t>
            </w:r>
          </w:p>
          <w:p w14:paraId="45400CE7">
            <w:pPr>
              <w:numPr>
                <w:ilvl w:val="0"/>
                <w:numId w:val="6"/>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完整性：方案必须全面，对评审内容中的各项要求有详细描述； </w:t>
            </w:r>
          </w:p>
          <w:p w14:paraId="4E9DEFB8">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4FFF9F23">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3DDB8AF5">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6</w:t>
            </w:r>
            <w:r>
              <w:rPr>
                <w:rFonts w:hint="eastAsia" w:hAnsi="Times New Roman" w:cs="Times New Roman"/>
                <w:b/>
                <w:bCs/>
                <w:color w:val="auto"/>
                <w:highlight w:val="none"/>
                <w:lang w:val="en-US" w:eastAsia="zh-CN"/>
              </w:rPr>
              <w:t>分）</w:t>
            </w:r>
          </w:p>
          <w:p w14:paraId="6E6E4A4F">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①突发应急事件预案：每完全满足一个评审标准得</w:t>
            </w:r>
            <w:r>
              <w:rPr>
                <w:rFonts w:hint="eastAsia" w:cs="Times New Roman"/>
                <w:color w:val="auto"/>
                <w:highlight w:val="none"/>
                <w:lang w:val="en-US" w:eastAsia="zh-CN"/>
              </w:rPr>
              <w:t>1</w:t>
            </w:r>
            <w:r>
              <w:rPr>
                <w:rFonts w:hint="eastAsia" w:hAnsi="Times New Roman" w:cs="Times New Roman"/>
                <w:color w:val="auto"/>
                <w:highlight w:val="none"/>
                <w:lang w:val="en-US" w:eastAsia="zh-CN"/>
              </w:rPr>
              <w:t>分，</w:t>
            </w:r>
            <w:r>
              <w:rPr>
                <w:rFonts w:hint="eastAsia"/>
                <w:lang w:val="en-US" w:eastAsia="zh-CN"/>
              </w:rPr>
              <w:t>不完全满足一个评审标准得0-1分，</w:t>
            </w:r>
            <w:r>
              <w:rPr>
                <w:rFonts w:hint="eastAsia" w:hAnsi="Times New Roman" w:cs="Times New Roman"/>
                <w:color w:val="auto"/>
                <w:highlight w:val="none"/>
                <w:lang w:val="en-US" w:eastAsia="zh-CN"/>
              </w:rPr>
              <w:t>满分</w:t>
            </w:r>
            <w:r>
              <w:rPr>
                <w:rFonts w:hint="eastAsia" w:cs="Times New Roman"/>
                <w:color w:val="auto"/>
                <w:highlight w:val="none"/>
                <w:lang w:val="en-US" w:eastAsia="zh-CN"/>
              </w:rPr>
              <w:t>3</w:t>
            </w:r>
            <w:r>
              <w:rPr>
                <w:rFonts w:hint="eastAsia" w:hAnsi="Times New Roman" w:cs="Times New Roman"/>
                <w:color w:val="auto"/>
                <w:highlight w:val="none"/>
                <w:lang w:val="en-US" w:eastAsia="zh-CN"/>
              </w:rPr>
              <w:t>分；</w:t>
            </w:r>
          </w:p>
          <w:p w14:paraId="181CA627">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②应急保障措施：每完全满足一个评审标准得</w:t>
            </w:r>
            <w:r>
              <w:rPr>
                <w:rFonts w:hint="eastAsia" w:cs="Times New Roman"/>
                <w:color w:val="auto"/>
                <w:highlight w:val="none"/>
                <w:lang w:val="en-US" w:eastAsia="zh-CN"/>
              </w:rPr>
              <w:t>1</w:t>
            </w:r>
            <w:r>
              <w:rPr>
                <w:rFonts w:hint="eastAsia" w:hAnsi="Times New Roman" w:cs="Times New Roman"/>
                <w:color w:val="auto"/>
                <w:highlight w:val="none"/>
                <w:lang w:val="en-US" w:eastAsia="zh-CN"/>
              </w:rPr>
              <w:t>分，</w:t>
            </w:r>
            <w:r>
              <w:rPr>
                <w:rFonts w:hint="eastAsia"/>
                <w:lang w:val="en-US" w:eastAsia="zh-CN"/>
              </w:rPr>
              <w:t>不完全满足一个评审标准得0-1分，</w:t>
            </w:r>
            <w:r>
              <w:rPr>
                <w:rFonts w:hint="eastAsia" w:hAnsi="Times New Roman" w:cs="Times New Roman"/>
                <w:color w:val="auto"/>
                <w:highlight w:val="none"/>
                <w:lang w:val="en-US" w:eastAsia="zh-CN"/>
              </w:rPr>
              <w:t>满分</w:t>
            </w:r>
            <w:r>
              <w:rPr>
                <w:rFonts w:hint="eastAsia" w:cs="Times New Roman"/>
                <w:color w:val="auto"/>
                <w:highlight w:val="none"/>
                <w:lang w:val="en-US" w:eastAsia="zh-CN"/>
              </w:rPr>
              <w:t>3</w:t>
            </w:r>
            <w:r>
              <w:rPr>
                <w:rFonts w:hint="eastAsia" w:hAnsi="Times New Roman" w:cs="Times New Roman"/>
                <w:color w:val="auto"/>
                <w:highlight w:val="none"/>
                <w:lang w:val="en-US" w:eastAsia="zh-CN"/>
              </w:rPr>
              <w:t>分。</w:t>
            </w:r>
          </w:p>
        </w:tc>
        <w:tc>
          <w:tcPr>
            <w:tcW w:w="870" w:type="dxa"/>
            <w:noWrap w:val="0"/>
            <w:vAlign w:val="center"/>
          </w:tcPr>
          <w:p w14:paraId="7C3CCF8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6分</w:t>
            </w:r>
          </w:p>
        </w:tc>
      </w:tr>
      <w:tr w14:paraId="730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56" w:type="dxa"/>
            <w:noWrap w:val="0"/>
            <w:vAlign w:val="center"/>
          </w:tcPr>
          <w:p w14:paraId="7AAA6256">
            <w:pPr>
              <w:jc w:val="center"/>
              <w:rPr>
                <w:rFonts w:hint="default" w:hAnsi="Times New Roman" w:cs="Times New Roman"/>
                <w:color w:val="auto"/>
                <w:highlight w:val="none"/>
                <w:lang w:val="en-US" w:eastAsia="zh-CN"/>
              </w:rPr>
            </w:pPr>
            <w:r>
              <w:rPr>
                <w:rFonts w:hint="eastAsia" w:ascii="宋体" w:hAnsi="Times New Roman" w:eastAsia="宋体" w:cs="Times New Roman"/>
                <w:color w:val="auto"/>
                <w:highlight w:val="none"/>
                <w:lang w:val="en-US" w:eastAsia="zh-CN"/>
              </w:rPr>
              <w:t>人员配备方案</w:t>
            </w:r>
          </w:p>
        </w:tc>
        <w:tc>
          <w:tcPr>
            <w:tcW w:w="6880" w:type="dxa"/>
            <w:noWrap w:val="0"/>
            <w:vAlign w:val="center"/>
          </w:tcPr>
          <w:p w14:paraId="15FAB539">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一、评审内容：</w:t>
            </w:r>
          </w:p>
          <w:p w14:paraId="1596D2F3">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针对采购需求提出适用于本项目的人员配备方案，方案包括： ①人员配置计划（策划、征集、评选、宣传等阶段人员配备计划）。 ②组织机构及工作安排</w:t>
            </w:r>
          </w:p>
          <w:p w14:paraId="21A70795">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二、评审标准：</w:t>
            </w:r>
          </w:p>
          <w:p w14:paraId="06FACC16">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1、完整性：方案必须全面，对评审内容中的各项要求有详细描述；</w:t>
            </w:r>
          </w:p>
          <w:p w14:paraId="07E9D781">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2、可实施性：切合本项目实际情况，提出步骤清晰、合理的方案；</w:t>
            </w:r>
          </w:p>
          <w:p w14:paraId="74590226">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3、针对性：方案能够紧扣项目实际情况，内容科学合理。</w:t>
            </w:r>
          </w:p>
          <w:p w14:paraId="66703E8F">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三、赋分标准（满分9分）</w:t>
            </w:r>
          </w:p>
          <w:p w14:paraId="512E3367">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①人员配置计划：每完全满足一个评审标准得1.5分，</w:t>
            </w:r>
            <w:r>
              <w:rPr>
                <w:rFonts w:hint="eastAsia"/>
                <w:lang w:val="en-US" w:eastAsia="zh-CN"/>
              </w:rPr>
              <w:t>不完全满足一个评审标准得0-1.5分，</w:t>
            </w:r>
            <w:r>
              <w:rPr>
                <w:rFonts w:hint="eastAsia" w:ascii="宋体" w:hAnsi="Times New Roman" w:eastAsia="宋体" w:cs="Times New Roman"/>
                <w:color w:val="auto"/>
                <w:highlight w:val="none"/>
                <w:lang w:val="en-US" w:eastAsia="zh-CN"/>
              </w:rPr>
              <w:t>满分4.5分；</w:t>
            </w:r>
          </w:p>
          <w:p w14:paraId="2B036771">
            <w:pPr>
              <w:numPr>
                <w:ilvl w:val="0"/>
                <w:numId w:val="0"/>
              </w:numPr>
              <w:jc w:val="left"/>
              <w:rPr>
                <w:rFonts w:hint="default" w:hAnsi="宋体" w:cs="宋体"/>
                <w:color w:val="000000"/>
                <w:kern w:val="0"/>
                <w:sz w:val="24"/>
                <w:szCs w:val="24"/>
                <w:highlight w:val="none"/>
                <w:lang w:val="en-US" w:eastAsia="zh-CN" w:bidi="ar"/>
              </w:rPr>
            </w:pPr>
            <w:r>
              <w:rPr>
                <w:rFonts w:hint="eastAsia" w:ascii="宋体" w:hAnsi="Times New Roman" w:eastAsia="宋体" w:cs="Times New Roman"/>
                <w:color w:val="auto"/>
                <w:highlight w:val="none"/>
                <w:lang w:val="en-US" w:eastAsia="zh-CN"/>
              </w:rPr>
              <w:t>②组织机构及工作安排：每完全满足一个评审标准得1.5分，</w:t>
            </w:r>
            <w:r>
              <w:rPr>
                <w:rFonts w:hint="eastAsia"/>
                <w:lang w:val="en-US" w:eastAsia="zh-CN"/>
              </w:rPr>
              <w:t>不完全满足一个评审标准得0-1.5分，</w:t>
            </w:r>
            <w:r>
              <w:rPr>
                <w:rFonts w:hint="eastAsia" w:ascii="宋体" w:hAnsi="Times New Roman" w:eastAsia="宋体" w:cs="Times New Roman"/>
                <w:color w:val="auto"/>
                <w:highlight w:val="none"/>
                <w:lang w:val="en-US" w:eastAsia="zh-CN"/>
              </w:rPr>
              <w:t>满分4.5分；</w:t>
            </w:r>
          </w:p>
        </w:tc>
        <w:tc>
          <w:tcPr>
            <w:tcW w:w="870" w:type="dxa"/>
            <w:noWrap w:val="0"/>
            <w:vAlign w:val="center"/>
          </w:tcPr>
          <w:p w14:paraId="5F5C5BFF">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9分</w:t>
            </w:r>
          </w:p>
        </w:tc>
      </w:tr>
      <w:tr w14:paraId="3D9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656" w:type="dxa"/>
            <w:noWrap w:val="0"/>
            <w:vAlign w:val="center"/>
          </w:tcPr>
          <w:p w14:paraId="42815359">
            <w:pPr>
              <w:pStyle w:val="33"/>
              <w:jc w:val="center"/>
              <w:rPr>
                <w:rFonts w:hint="eastAsia" w:ascii="宋体" w:hAnsi="宋体" w:eastAsia="宋体" w:cs="宋体"/>
                <w:color w:val="auto"/>
                <w:highlight w:val="none"/>
              </w:rPr>
            </w:pPr>
            <w:r>
              <w:rPr>
                <w:rFonts w:hint="eastAsia" w:hAnsi="宋体" w:eastAsia="宋体" w:cs="宋体"/>
                <w:color w:val="auto"/>
                <w:highlight w:val="none"/>
              </w:rPr>
              <w:t>合理化建议</w:t>
            </w:r>
          </w:p>
        </w:tc>
        <w:tc>
          <w:tcPr>
            <w:tcW w:w="6880" w:type="dxa"/>
            <w:noWrap w:val="0"/>
            <w:vAlign w:val="center"/>
          </w:tcPr>
          <w:p w14:paraId="005BD9FD">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ascii="宋体" w:hAnsi="Times New Roman" w:eastAsia="宋体" w:cs="Times New Roman"/>
                <w:b/>
                <w:bCs/>
                <w:color w:val="auto"/>
                <w:highlight w:val="none"/>
                <w:lang w:val="en-US" w:eastAsia="zh-CN"/>
              </w:rPr>
              <w:t>评审内容:</w:t>
            </w:r>
          </w:p>
          <w:p w14:paraId="16684415">
            <w:pPr>
              <w:numPr>
                <w:ilvl w:val="0"/>
                <w:numId w:val="0"/>
              </w:numPr>
              <w:ind w:firstLine="480" w:firstLineChars="200"/>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针对本项目提出适用于本项目的合理化建议，方案包括:①合理化建议</w:t>
            </w:r>
          </w:p>
          <w:p w14:paraId="25A10256">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二、评审标准:</w:t>
            </w:r>
          </w:p>
          <w:p w14:paraId="15F85DDE">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1、完整性:方案必须全面，对评审内容中的各项要求有详细描述:</w:t>
            </w:r>
          </w:p>
          <w:p w14:paraId="0ED65B1B">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2、可实施性:切合本项目实际情况，提出步骤清晰合理的方案:</w:t>
            </w:r>
          </w:p>
          <w:p w14:paraId="09A84049">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3、针对性:方案能够紧扣项目实际情况，内容科学合理。</w:t>
            </w:r>
          </w:p>
          <w:p w14:paraId="776B4B58">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三、赋分标准(满分3分）</w:t>
            </w:r>
          </w:p>
          <w:p w14:paraId="4A8E1BBD">
            <w:pPr>
              <w:numPr>
                <w:ilvl w:val="0"/>
                <w:numId w:val="0"/>
              </w:numPr>
              <w:jc w:val="left"/>
              <w:rPr>
                <w:rFonts w:hint="eastAsia"/>
                <w:highlight w:val="none"/>
              </w:rPr>
            </w:pPr>
            <w:r>
              <w:rPr>
                <w:rFonts w:hint="eastAsia" w:ascii="宋体" w:hAnsi="Times New Roman" w:eastAsia="宋体" w:cs="Times New Roman"/>
                <w:color w:val="auto"/>
                <w:highlight w:val="none"/>
                <w:lang w:val="en-US" w:eastAsia="zh-CN"/>
              </w:rPr>
              <w:t>①合理化建议:每完全满足一个评审标准得1分，不完全满足一个评审标准得0-1分，满分3分；</w:t>
            </w:r>
          </w:p>
        </w:tc>
        <w:tc>
          <w:tcPr>
            <w:tcW w:w="870" w:type="dxa"/>
            <w:noWrap w:val="0"/>
            <w:vAlign w:val="center"/>
          </w:tcPr>
          <w:p w14:paraId="6FB6CF9C">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3</w:t>
            </w:r>
            <w:r>
              <w:rPr>
                <w:rFonts w:hint="eastAsia" w:hAnsi="宋体" w:cs="宋体"/>
                <w:color w:val="auto"/>
                <w:szCs w:val="24"/>
                <w:highlight w:val="none"/>
              </w:rPr>
              <w:t>分</w:t>
            </w:r>
          </w:p>
        </w:tc>
      </w:tr>
      <w:tr w14:paraId="3FA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56" w:type="dxa"/>
            <w:noWrap w:val="0"/>
            <w:vAlign w:val="center"/>
          </w:tcPr>
          <w:p w14:paraId="09FA0467">
            <w:pPr>
              <w:pStyle w:val="33"/>
              <w:jc w:val="center"/>
              <w:rPr>
                <w:rFonts w:hint="eastAsia" w:hAnsi="宋体" w:eastAsia="宋体" w:cs="宋体"/>
                <w:color w:val="auto"/>
                <w:highlight w:val="none"/>
              </w:rPr>
            </w:pPr>
            <w:r>
              <w:rPr>
                <w:rFonts w:hint="eastAsia" w:cs="Times New Roman"/>
                <w:color w:val="auto"/>
                <w:highlight w:val="none"/>
                <w:lang w:val="en-US" w:eastAsia="zh-CN"/>
              </w:rPr>
              <w:t>售后服务方案</w:t>
            </w:r>
          </w:p>
        </w:tc>
        <w:tc>
          <w:tcPr>
            <w:tcW w:w="6880" w:type="dxa"/>
            <w:noWrap w:val="0"/>
            <w:vAlign w:val="center"/>
          </w:tcPr>
          <w:p w14:paraId="00999145">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ascii="宋体" w:hAnsi="Times New Roman" w:eastAsia="宋体" w:cs="Times New Roman"/>
                <w:b/>
                <w:bCs/>
                <w:color w:val="auto"/>
                <w:highlight w:val="none"/>
                <w:lang w:val="en-US" w:eastAsia="zh-CN"/>
              </w:rPr>
              <w:t>评审内容:</w:t>
            </w:r>
          </w:p>
          <w:p w14:paraId="32E9503C">
            <w:pPr>
              <w:numPr>
                <w:ilvl w:val="0"/>
                <w:numId w:val="0"/>
              </w:numPr>
              <w:ind w:firstLine="480" w:firstLineChars="200"/>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针对本项目提出适用于本项目的</w:t>
            </w:r>
            <w:r>
              <w:rPr>
                <w:rFonts w:hint="eastAsia" w:cs="Times New Roman"/>
                <w:color w:val="auto"/>
                <w:highlight w:val="none"/>
                <w:lang w:val="en-US" w:eastAsia="zh-CN"/>
              </w:rPr>
              <w:t>售后服务方案</w:t>
            </w:r>
            <w:r>
              <w:rPr>
                <w:rFonts w:hint="eastAsia" w:ascii="宋体" w:hAnsi="Times New Roman" w:eastAsia="宋体" w:cs="Times New Roman"/>
                <w:color w:val="auto"/>
                <w:highlight w:val="none"/>
                <w:lang w:val="en-US" w:eastAsia="zh-CN"/>
              </w:rPr>
              <w:t>，方案包括:①服务质量承诺②</w:t>
            </w:r>
            <w:r>
              <w:rPr>
                <w:rFonts w:hint="eastAsia" w:hAnsi="Times New Roman" w:cs="Times New Roman"/>
                <w:color w:val="auto"/>
                <w:highlight w:val="none"/>
                <w:lang w:val="en-US" w:eastAsia="zh-CN"/>
              </w:rPr>
              <w:t>售后服务措施承诺</w:t>
            </w:r>
          </w:p>
          <w:p w14:paraId="2D67BC58">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二、评审标准:</w:t>
            </w:r>
          </w:p>
          <w:p w14:paraId="5A8D52BD">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完整性:方案必须全面，对评审内容中的各项要求有详细描述:</w:t>
            </w:r>
          </w:p>
          <w:p w14:paraId="102292BD">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2、可实施性:切合本项目实际情况，提出步骤清晰合理的方案:</w:t>
            </w:r>
          </w:p>
          <w:p w14:paraId="45761937">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3、针对性:方案能够紧扣项目实际情况，内容科学合理。</w:t>
            </w:r>
          </w:p>
          <w:p w14:paraId="4041B5BA">
            <w:pPr>
              <w:numPr>
                <w:ilvl w:val="0"/>
                <w:numId w:val="0"/>
              </w:numPr>
              <w:jc w:val="left"/>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三、赋分标准(满分6分）</w:t>
            </w:r>
          </w:p>
          <w:p w14:paraId="2C58FA60">
            <w:pPr>
              <w:numPr>
                <w:ilvl w:val="0"/>
                <w:numId w:val="0"/>
              </w:numPr>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①服务质量承诺:每完全满足一个评审标准得1分，</w:t>
            </w:r>
            <w:r>
              <w:rPr>
                <w:rFonts w:hint="eastAsia"/>
                <w:lang w:val="en-US" w:eastAsia="zh-CN"/>
              </w:rPr>
              <w:t>不完全满足一个评审标准得0-1分，</w:t>
            </w:r>
            <w:r>
              <w:rPr>
                <w:rFonts w:hint="eastAsia" w:ascii="宋体" w:hAnsi="Times New Roman" w:eastAsia="宋体" w:cs="Times New Roman"/>
                <w:color w:val="auto"/>
                <w:highlight w:val="none"/>
                <w:lang w:val="en-US" w:eastAsia="zh-CN"/>
              </w:rPr>
              <w:t>满分3分；</w:t>
            </w:r>
          </w:p>
          <w:p w14:paraId="651BB8AE">
            <w:pPr>
              <w:numPr>
                <w:ilvl w:val="0"/>
                <w:numId w:val="0"/>
              </w:numPr>
              <w:jc w:val="left"/>
              <w:rPr>
                <w:rFonts w:hint="default" w:hAnsi="Times New Roman" w:cs="Times New Roman"/>
                <w:color w:val="auto"/>
                <w:highlight w:val="none"/>
                <w:lang w:val="en-US" w:eastAsia="zh-CN"/>
              </w:rPr>
            </w:pPr>
            <w:r>
              <w:rPr>
                <w:rFonts w:hint="eastAsia" w:ascii="宋体" w:hAnsi="Times New Roman" w:eastAsia="宋体" w:cs="Times New Roman"/>
                <w:color w:val="auto"/>
                <w:highlight w:val="none"/>
                <w:lang w:val="en-US" w:eastAsia="zh-CN"/>
              </w:rPr>
              <w:t>②</w:t>
            </w:r>
            <w:r>
              <w:rPr>
                <w:rFonts w:hint="eastAsia" w:hAnsi="Times New Roman" w:cs="Times New Roman"/>
                <w:color w:val="auto"/>
                <w:highlight w:val="none"/>
                <w:lang w:val="en-US" w:eastAsia="zh-CN"/>
              </w:rPr>
              <w:t>售后服务措施承诺</w:t>
            </w:r>
            <w:r>
              <w:rPr>
                <w:rFonts w:hint="eastAsia" w:ascii="宋体" w:hAnsi="Times New Roman" w:eastAsia="宋体" w:cs="Times New Roman"/>
                <w:color w:val="auto"/>
                <w:highlight w:val="none"/>
                <w:lang w:val="en-US" w:eastAsia="zh-CN"/>
              </w:rPr>
              <w:t>:每完全满足一个评审标准得1分，</w:t>
            </w:r>
            <w:r>
              <w:rPr>
                <w:rFonts w:hint="eastAsia"/>
                <w:lang w:val="en-US" w:eastAsia="zh-CN"/>
              </w:rPr>
              <w:t>不完全满足一个评审标准得0-1分，</w:t>
            </w:r>
            <w:r>
              <w:rPr>
                <w:rFonts w:hint="eastAsia" w:ascii="宋体" w:hAnsi="Times New Roman" w:eastAsia="宋体" w:cs="Times New Roman"/>
                <w:color w:val="auto"/>
                <w:highlight w:val="none"/>
                <w:lang w:val="en-US" w:eastAsia="zh-CN"/>
              </w:rPr>
              <w:t>满分3分；</w:t>
            </w:r>
          </w:p>
        </w:tc>
        <w:tc>
          <w:tcPr>
            <w:tcW w:w="870" w:type="dxa"/>
            <w:noWrap w:val="0"/>
            <w:vAlign w:val="center"/>
          </w:tcPr>
          <w:p w14:paraId="138720F3">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6分</w:t>
            </w:r>
          </w:p>
        </w:tc>
      </w:tr>
      <w:tr w14:paraId="75B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656" w:type="dxa"/>
            <w:noWrap w:val="0"/>
            <w:vAlign w:val="center"/>
          </w:tcPr>
          <w:p w14:paraId="0B7E9E5A">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880" w:type="dxa"/>
            <w:noWrap w:val="0"/>
            <w:vAlign w:val="center"/>
          </w:tcPr>
          <w:p w14:paraId="2BD4ACC7">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2022年8月以后</w:t>
            </w:r>
            <w:r>
              <w:rPr>
                <w:rFonts w:hint="eastAsia" w:ascii="宋体" w:hAnsi="宋体"/>
                <w:color w:val="auto"/>
                <w:szCs w:val="22"/>
                <w:highlight w:val="none"/>
                <w:lang w:eastAsia="zh-CN"/>
              </w:rPr>
              <w:t>类似</w:t>
            </w:r>
            <w:r>
              <w:rPr>
                <w:rFonts w:hint="eastAsia" w:ascii="宋体" w:hAnsi="宋体"/>
                <w:color w:val="auto"/>
                <w:szCs w:val="22"/>
                <w:highlight w:val="none"/>
                <w:lang w:val="en-US" w:eastAsia="zh-CN"/>
              </w:rPr>
              <w:t>本</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3</w:t>
            </w:r>
            <w:r>
              <w:rPr>
                <w:rFonts w:hint="eastAsia" w:ascii="宋体" w:hAnsi="宋体"/>
                <w:color w:val="auto"/>
                <w:szCs w:val="22"/>
                <w:highlight w:val="none"/>
              </w:rPr>
              <w:t>分，满分</w:t>
            </w:r>
            <w:r>
              <w:rPr>
                <w:rFonts w:hint="eastAsia" w:ascii="宋体" w:hAnsi="宋体"/>
                <w:color w:val="auto"/>
                <w:szCs w:val="22"/>
                <w:highlight w:val="none"/>
                <w:lang w:val="en-US" w:eastAsia="zh-CN"/>
              </w:rPr>
              <w:t>12</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70" w:type="dxa"/>
            <w:noWrap w:val="0"/>
            <w:vAlign w:val="center"/>
          </w:tcPr>
          <w:p w14:paraId="4F77CF1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12</w:t>
            </w:r>
            <w:r>
              <w:rPr>
                <w:rFonts w:hint="eastAsia" w:hAnsi="宋体" w:cs="宋体"/>
                <w:color w:val="auto"/>
                <w:szCs w:val="24"/>
                <w:highlight w:val="none"/>
              </w:rPr>
              <w:t>分</w:t>
            </w:r>
          </w:p>
        </w:tc>
      </w:tr>
    </w:tbl>
    <w:p w14:paraId="6E50E7E1">
      <w:pPr>
        <w:spacing w:line="360" w:lineRule="auto"/>
        <w:ind w:firstLine="480" w:firstLineChars="200"/>
        <w:rPr>
          <w:rFonts w:hint="eastAsia" w:hAnsi="宋体" w:cs="宋体"/>
          <w:color w:val="auto"/>
          <w:szCs w:val="24"/>
          <w:highlight w:val="none"/>
        </w:rPr>
      </w:pPr>
    </w:p>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10029"/>
      <w:bookmarkStart w:id="104" w:name="_Toc2724"/>
      <w:bookmarkStart w:id="105" w:name="_Toc8788"/>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32476"/>
      <w:bookmarkStart w:id="107" w:name="_Toc24218"/>
      <w:bookmarkStart w:id="108" w:name="_Toc20005"/>
      <w:bookmarkStart w:id="109" w:name="_Toc23705"/>
      <w:bookmarkStart w:id="110" w:name="_Toc26300"/>
      <w:bookmarkStart w:id="111" w:name="_Toc3424"/>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条款号</w:t>
            </w:r>
          </w:p>
        </w:tc>
        <w:tc>
          <w:tcPr>
            <w:tcW w:w="8440" w:type="dxa"/>
            <w:vAlign w:val="center"/>
          </w:tcPr>
          <w:p w14:paraId="230CB97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1</w:t>
            </w:r>
          </w:p>
        </w:tc>
        <w:tc>
          <w:tcPr>
            <w:tcW w:w="8440" w:type="dxa"/>
            <w:vAlign w:val="center"/>
          </w:tcPr>
          <w:p w14:paraId="7425C9C2">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采购人名称：中共西安市委网络安全和信息化委员会办公室</w:t>
            </w:r>
          </w:p>
          <w:p w14:paraId="3CBA9BD3">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地      址：陕西省西安市凤城八路99号</w:t>
            </w:r>
          </w:p>
          <w:p w14:paraId="2D253657">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项目名称：2025年西安正能量网络精品征集展播活</w:t>
            </w:r>
            <w:r>
              <w:rPr>
                <w:rFonts w:hint="eastAsia" w:hAnsi="宋体" w:cs="宋体"/>
                <w:color w:val="auto"/>
                <w:sz w:val="22"/>
                <w:szCs w:val="22"/>
                <w:highlight w:val="none"/>
                <w:lang w:eastAsia="zh-CN"/>
              </w:rPr>
              <w:t>动</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2</w:t>
            </w:r>
          </w:p>
        </w:tc>
        <w:tc>
          <w:tcPr>
            <w:tcW w:w="8440" w:type="dxa"/>
            <w:vAlign w:val="center"/>
          </w:tcPr>
          <w:p w14:paraId="4604D0A2">
            <w:pPr>
              <w:spacing w:line="360" w:lineRule="auto"/>
              <w:rPr>
                <w:rFonts w:hint="default" w:hAnsi="宋体" w:eastAsia="宋体" w:cs="宋体"/>
                <w:color w:val="auto"/>
                <w:sz w:val="22"/>
                <w:szCs w:val="22"/>
                <w:highlight w:val="none"/>
                <w:lang w:val="en-US" w:eastAsia="zh-CN"/>
              </w:rPr>
            </w:pPr>
            <w:r>
              <w:rPr>
                <w:rFonts w:hint="eastAsia" w:hAnsi="宋体" w:cs="宋体"/>
                <w:color w:val="auto"/>
                <w:sz w:val="22"/>
                <w:szCs w:val="22"/>
                <w:highlight w:val="none"/>
              </w:rPr>
              <w:t>项目实施地点：</w:t>
            </w:r>
            <w:r>
              <w:rPr>
                <w:rFonts w:hint="eastAsia" w:hAnsi="宋体" w:cs="宋体"/>
                <w:color w:val="auto"/>
                <w:sz w:val="22"/>
                <w:szCs w:val="22"/>
                <w:highlight w:val="none"/>
                <w:lang w:val="en-US" w:eastAsia="zh-CN"/>
              </w:rPr>
              <w:t>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3</w:t>
            </w:r>
          </w:p>
        </w:tc>
        <w:tc>
          <w:tcPr>
            <w:tcW w:w="8440" w:type="dxa"/>
            <w:vAlign w:val="center"/>
          </w:tcPr>
          <w:p w14:paraId="2024DF0B">
            <w:pPr>
              <w:pStyle w:val="7"/>
              <w:ind w:firstLine="0" w:firstLineChars="0"/>
              <w:rPr>
                <w:rFonts w:hAnsi="宋体" w:cs="宋体"/>
                <w:color w:val="auto"/>
                <w:sz w:val="20"/>
                <w:szCs w:val="22"/>
                <w:highlight w:val="none"/>
              </w:rPr>
            </w:pPr>
            <w:r>
              <w:rPr>
                <w:rFonts w:hint="eastAsia" w:ascii="宋体" w:hAnsi="宋体" w:cs="宋体"/>
                <w:color w:val="auto"/>
                <w:sz w:val="22"/>
                <w:szCs w:val="22"/>
                <w:highlight w:val="none"/>
              </w:rPr>
              <w:t>服务期限：合同签订之日起至2025年12月底前完成整体项目</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2"/>
                <w:szCs w:val="22"/>
                <w:highlight w:val="none"/>
              </w:rPr>
            </w:pPr>
            <w:r>
              <w:rPr>
                <w:rFonts w:hint="eastAsia" w:hAnsi="宋体" w:cs="宋体"/>
                <w:color w:val="auto"/>
                <w:sz w:val="22"/>
                <w:szCs w:val="22"/>
                <w:highlight w:val="none"/>
              </w:rPr>
              <w:t>4</w:t>
            </w:r>
          </w:p>
        </w:tc>
        <w:tc>
          <w:tcPr>
            <w:tcW w:w="8440" w:type="dxa"/>
            <w:vAlign w:val="center"/>
          </w:tcPr>
          <w:p w14:paraId="6A9CC273">
            <w:pPr>
              <w:spacing w:line="360" w:lineRule="auto"/>
              <w:rPr>
                <w:rFonts w:hAnsi="宋体" w:cs="宋体"/>
                <w:b/>
                <w:color w:val="auto"/>
                <w:sz w:val="22"/>
                <w:szCs w:val="22"/>
                <w:highlight w:val="none"/>
              </w:rPr>
            </w:pPr>
            <w:r>
              <w:rPr>
                <w:rFonts w:hint="eastAsia" w:hAnsi="宋体" w:cs="宋体"/>
                <w:b/>
                <w:color w:val="auto"/>
                <w:sz w:val="22"/>
                <w:szCs w:val="22"/>
                <w:highlight w:val="none"/>
              </w:rPr>
              <w:t>付款：</w:t>
            </w:r>
          </w:p>
          <w:p w14:paraId="0247E17D">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2.付款方式和程序：</w:t>
            </w:r>
          </w:p>
          <w:p w14:paraId="746F0C34">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2.1由采购人负责结算，在付款前，供应商必须开具全额发票给采购人（附详细清单）。</w:t>
            </w:r>
          </w:p>
          <w:p w14:paraId="1D7F835B">
            <w:pPr>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2.2付款方式：</w:t>
            </w:r>
          </w:p>
          <w:p w14:paraId="430FF724">
            <w:pPr>
              <w:spacing w:line="360" w:lineRule="auto"/>
              <w:ind w:firstLine="440" w:firstLineChars="200"/>
              <w:rPr>
                <w:rFonts w:hint="eastAsia" w:hAnsi="宋体" w:cs="宋体"/>
                <w:b w:val="0"/>
                <w:bCs/>
                <w:color w:val="auto"/>
                <w:sz w:val="22"/>
                <w:szCs w:val="22"/>
                <w:highlight w:val="none"/>
              </w:rPr>
            </w:pPr>
            <w:r>
              <w:rPr>
                <w:rFonts w:hint="eastAsia" w:hAnsi="宋体" w:cs="宋体"/>
                <w:b w:val="0"/>
                <w:bCs/>
                <w:color w:val="auto"/>
                <w:sz w:val="22"/>
                <w:szCs w:val="22"/>
                <w:highlight w:val="none"/>
              </w:rPr>
              <w:t>服务费用分贰次支付，合同签订且供应商开具增值税正式发票后的10个工作日内，以银行转账形式向其支付本合同总费用的70%；合作结束后供应商提供结案报告，经市委网信办验收合格出具验收报告和绩效目标后30个工作日内，向供应商支付剩余30%服务费用。</w:t>
            </w:r>
          </w:p>
          <w:p w14:paraId="11EE0127">
            <w:pPr>
              <w:spacing w:line="360" w:lineRule="auto"/>
              <w:ind w:firstLine="442" w:firstLineChars="200"/>
              <w:rPr>
                <w:rFonts w:hAnsi="宋体" w:cs="宋体"/>
                <w:color w:val="auto"/>
                <w:sz w:val="22"/>
                <w:szCs w:val="22"/>
                <w:highlight w:val="none"/>
              </w:rPr>
            </w:pPr>
            <w:r>
              <w:rPr>
                <w:rFonts w:hint="eastAsia" w:hAnsi="宋体" w:cs="宋体"/>
                <w:b/>
                <w:color w:val="auto"/>
                <w:sz w:val="22"/>
                <w:szCs w:val="22"/>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2"/>
                <w:szCs w:val="22"/>
                <w:highlight w:val="none"/>
              </w:rPr>
            </w:pPr>
            <w:r>
              <w:rPr>
                <w:rFonts w:hint="eastAsia" w:hAnsi="宋体" w:cs="宋体"/>
                <w:color w:val="auto"/>
                <w:sz w:val="22"/>
                <w:szCs w:val="22"/>
                <w:highlight w:val="none"/>
              </w:rPr>
              <w:t>5</w:t>
            </w:r>
          </w:p>
        </w:tc>
        <w:tc>
          <w:tcPr>
            <w:tcW w:w="8440" w:type="dxa"/>
            <w:vAlign w:val="center"/>
          </w:tcPr>
          <w:p w14:paraId="7FC41AE5">
            <w:pPr>
              <w:spacing w:line="360" w:lineRule="auto"/>
              <w:rPr>
                <w:rFonts w:hAnsi="宋体" w:cs="宋体"/>
                <w:b/>
                <w:color w:val="auto"/>
                <w:sz w:val="22"/>
                <w:szCs w:val="22"/>
                <w:highlight w:val="none"/>
              </w:rPr>
            </w:pPr>
            <w:r>
              <w:rPr>
                <w:rFonts w:hint="eastAsia" w:hAnsi="宋体" w:cs="宋体"/>
                <w:b/>
                <w:color w:val="auto"/>
                <w:sz w:val="22"/>
                <w:szCs w:val="22"/>
                <w:highlight w:val="none"/>
              </w:rPr>
              <w:t>服务支持：</w:t>
            </w:r>
          </w:p>
          <w:p w14:paraId="49B1D659">
            <w:pPr>
              <w:spacing w:line="360" w:lineRule="auto"/>
              <w:ind w:firstLine="440" w:firstLineChars="200"/>
              <w:jc w:val="left"/>
              <w:rPr>
                <w:rFonts w:hAnsi="宋体" w:cs="宋体"/>
                <w:color w:val="auto"/>
                <w:sz w:val="22"/>
                <w:szCs w:val="22"/>
                <w:highlight w:val="none"/>
              </w:rPr>
            </w:pPr>
            <w:r>
              <w:rPr>
                <w:rFonts w:hint="eastAsia" w:hAnsi="宋体" w:cs="宋体"/>
                <w:bCs/>
                <w:color w:val="auto"/>
                <w:sz w:val="22"/>
                <w:szCs w:val="22"/>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2"/>
                <w:szCs w:val="22"/>
                <w:highlight w:val="none"/>
              </w:rPr>
            </w:pPr>
            <w:r>
              <w:rPr>
                <w:rFonts w:hint="eastAsia" w:hAnsi="宋体" w:cs="宋体"/>
                <w:color w:val="auto"/>
                <w:sz w:val="22"/>
                <w:szCs w:val="22"/>
                <w:highlight w:val="none"/>
              </w:rPr>
              <w:t>6</w:t>
            </w:r>
          </w:p>
        </w:tc>
        <w:tc>
          <w:tcPr>
            <w:tcW w:w="8440" w:type="dxa"/>
            <w:vAlign w:val="center"/>
          </w:tcPr>
          <w:p w14:paraId="53C90ADF">
            <w:pPr>
              <w:spacing w:line="360" w:lineRule="auto"/>
              <w:rPr>
                <w:rFonts w:hAnsi="宋体" w:cs="宋体"/>
                <w:b/>
                <w:color w:val="auto"/>
                <w:sz w:val="22"/>
                <w:szCs w:val="22"/>
                <w:highlight w:val="none"/>
              </w:rPr>
            </w:pPr>
            <w:r>
              <w:rPr>
                <w:rFonts w:hint="eastAsia" w:hAnsi="宋体" w:cs="宋体"/>
                <w:b/>
                <w:color w:val="auto"/>
                <w:sz w:val="22"/>
                <w:szCs w:val="22"/>
                <w:highlight w:val="none"/>
              </w:rPr>
              <w:t>知识产权、专利权：</w:t>
            </w:r>
          </w:p>
          <w:p w14:paraId="011EEA6E">
            <w:pPr>
              <w:tabs>
                <w:tab w:val="left" w:pos="498"/>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2"/>
                <w:szCs w:val="22"/>
                <w:highlight w:val="none"/>
              </w:rPr>
            </w:pPr>
            <w:r>
              <w:rPr>
                <w:rFonts w:hint="eastAsia" w:hAnsi="宋体" w:cs="宋体"/>
                <w:color w:val="auto"/>
                <w:sz w:val="22"/>
                <w:szCs w:val="22"/>
                <w:highlight w:val="none"/>
              </w:rPr>
              <w:t>7</w:t>
            </w:r>
          </w:p>
        </w:tc>
        <w:tc>
          <w:tcPr>
            <w:tcW w:w="8440" w:type="dxa"/>
            <w:vAlign w:val="center"/>
          </w:tcPr>
          <w:p w14:paraId="417F6DB1">
            <w:pPr>
              <w:spacing w:line="360" w:lineRule="auto"/>
              <w:rPr>
                <w:rFonts w:hAnsi="宋体" w:cs="宋体"/>
                <w:b/>
                <w:color w:val="auto"/>
                <w:sz w:val="22"/>
                <w:szCs w:val="22"/>
                <w:highlight w:val="none"/>
              </w:rPr>
            </w:pPr>
            <w:r>
              <w:rPr>
                <w:rFonts w:hint="eastAsia" w:hAnsi="宋体" w:cs="宋体"/>
                <w:b/>
                <w:color w:val="auto"/>
                <w:sz w:val="22"/>
                <w:szCs w:val="22"/>
                <w:highlight w:val="none"/>
              </w:rPr>
              <w:t>违约责任：</w:t>
            </w:r>
          </w:p>
          <w:p w14:paraId="11A3C416">
            <w:pPr>
              <w:tabs>
                <w:tab w:val="left" w:pos="152"/>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1、按《中华人民共和国民法典》中的相关条款执行。</w:t>
            </w:r>
          </w:p>
          <w:p w14:paraId="363EEA23">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8</w:t>
            </w:r>
          </w:p>
        </w:tc>
        <w:tc>
          <w:tcPr>
            <w:tcW w:w="8440" w:type="dxa"/>
            <w:vAlign w:val="center"/>
          </w:tcPr>
          <w:p w14:paraId="4EA77D40">
            <w:pPr>
              <w:spacing w:line="360" w:lineRule="auto"/>
              <w:rPr>
                <w:rFonts w:hAnsi="宋体" w:cs="宋体"/>
                <w:b/>
                <w:color w:val="auto"/>
                <w:sz w:val="22"/>
                <w:szCs w:val="22"/>
                <w:highlight w:val="none"/>
              </w:rPr>
            </w:pPr>
            <w:r>
              <w:rPr>
                <w:rFonts w:hint="eastAsia" w:hAnsi="宋体" w:cs="宋体"/>
                <w:b/>
                <w:color w:val="auto"/>
                <w:sz w:val="22"/>
                <w:szCs w:val="22"/>
                <w:highlight w:val="none"/>
              </w:rPr>
              <w:t>政府采购合同：</w:t>
            </w:r>
          </w:p>
          <w:p w14:paraId="580B0E61">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政府采购合同适用《中华人民共和国民法典》。采购人和供应商之间的权利和义务，应当按照平等、自愿的原则以合同方式约定。</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政府采购合同的双方当事人不得擅自变更、中止或者终止合同。</w:t>
            </w:r>
            <w:r>
              <w:rPr>
                <w:rFonts w:hint="eastAsia" w:hAnsi="宋体" w:cs="宋体"/>
                <w:color w:val="auto"/>
                <w:sz w:val="22"/>
                <w:szCs w:val="22"/>
                <w:highlight w:val="none"/>
              </w:rPr>
              <w:br w:type="textWrapping"/>
            </w:r>
            <w:r>
              <w:rPr>
                <w:rFonts w:hint="eastAsia" w:hAnsi="宋体" w:cs="宋体"/>
                <w:color w:val="auto"/>
                <w:sz w:val="22"/>
                <w:szCs w:val="22"/>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19199"/>
      <w:bookmarkStart w:id="113" w:name="_Toc26595"/>
      <w:bookmarkStart w:id="114" w:name="_Toc31520"/>
      <w:bookmarkStart w:id="115" w:name="_Toc19246"/>
      <w:bookmarkStart w:id="116" w:name="_Toc423973075"/>
      <w:bookmarkStart w:id="117" w:name="_Toc29888"/>
      <w:bookmarkStart w:id="118" w:name="_Toc4679"/>
      <w:bookmarkStart w:id="119" w:name="_Toc8333"/>
      <w:bookmarkStart w:id="120" w:name="_Toc389582037"/>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5216"/>
      <w:bookmarkStart w:id="122" w:name="_Toc7874"/>
      <w:bookmarkStart w:id="123" w:name="_Toc18120"/>
      <w:bookmarkStart w:id="124" w:name="_Toc22328"/>
      <w:bookmarkStart w:id="125" w:name="_Toc1362"/>
      <w:bookmarkStart w:id="126" w:name="_Toc24004"/>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20561"/>
      <w:bookmarkStart w:id="128" w:name="_Toc24621"/>
      <w:bookmarkStart w:id="129" w:name="_Toc28398"/>
      <w:bookmarkStart w:id="130" w:name="_Toc7965"/>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2025年西安正能量网络精品征集展播活动）相关采购要求的规定，合同双方就乙方向采购方提供2025年西安正能量网络精品征集展播活动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7407"/>
      <w:bookmarkStart w:id="132" w:name="_Toc30883"/>
      <w:bookmarkStart w:id="133" w:name="_Toc8841"/>
      <w:bookmarkStart w:id="134" w:name="_Toc15362"/>
      <w:bookmarkStart w:id="135" w:name="_Toc12769"/>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18749"/>
      <w:bookmarkStart w:id="137" w:name="_Toc29331"/>
      <w:bookmarkStart w:id="138" w:name="_Toc8887"/>
      <w:bookmarkStart w:id="139" w:name="_Toc4137"/>
      <w:bookmarkStart w:id="140" w:name="_Toc3926"/>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6296"/>
      <w:bookmarkStart w:id="142" w:name="_Toc28664"/>
      <w:bookmarkStart w:id="143" w:name="_Toc9765"/>
      <w:bookmarkStart w:id="144" w:name="_Toc23247"/>
      <w:bookmarkStart w:id="145" w:name="_Toc22511"/>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1110"/>
      <w:bookmarkStart w:id="147" w:name="_Toc21714"/>
      <w:bookmarkStart w:id="148" w:name="_Toc9555"/>
      <w:bookmarkStart w:id="149" w:name="_Toc21171"/>
      <w:bookmarkStart w:id="150" w:name="_Toc24406"/>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15947"/>
      <w:bookmarkStart w:id="152" w:name="_Toc32459"/>
      <w:bookmarkStart w:id="153" w:name="_Toc7966"/>
      <w:bookmarkStart w:id="154" w:name="_Toc27382"/>
      <w:bookmarkStart w:id="155" w:name="_Toc15118"/>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12558"/>
      <w:bookmarkStart w:id="157" w:name="_Toc21314"/>
      <w:bookmarkStart w:id="158" w:name="_Toc9903"/>
      <w:bookmarkStart w:id="159" w:name="_Toc13959"/>
      <w:bookmarkStart w:id="160" w:name="_Toc23868"/>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2975"/>
      <w:bookmarkStart w:id="162" w:name="_Toc13572"/>
      <w:bookmarkStart w:id="163" w:name="_Toc22161"/>
      <w:bookmarkStart w:id="164" w:name="_Toc28855"/>
      <w:bookmarkStart w:id="165" w:name="_Toc14409"/>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7598"/>
      <w:bookmarkStart w:id="167" w:name="_Toc20026"/>
      <w:bookmarkStart w:id="168" w:name="_Toc31076"/>
      <w:bookmarkStart w:id="169" w:name="_Toc9858"/>
      <w:bookmarkStart w:id="170" w:name="_Toc30681"/>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30630"/>
      <w:bookmarkStart w:id="172" w:name="_Toc13662"/>
      <w:bookmarkStart w:id="173" w:name="_Toc27523"/>
      <w:bookmarkStart w:id="174" w:name="_Toc15856"/>
      <w:bookmarkStart w:id="175" w:name="_Toc29958"/>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11478"/>
      <w:bookmarkStart w:id="177" w:name="_Toc7342"/>
      <w:bookmarkStart w:id="178" w:name="_Toc18389"/>
      <w:bookmarkStart w:id="179" w:name="_Toc2858"/>
      <w:bookmarkStart w:id="180" w:name="_Toc25612"/>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18225"/>
      <w:bookmarkStart w:id="182" w:name="_Toc21232"/>
      <w:bookmarkStart w:id="183" w:name="_Toc823"/>
      <w:bookmarkStart w:id="184" w:name="_Toc18381"/>
      <w:bookmarkStart w:id="185" w:name="_Toc31909"/>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1119"/>
      <w:bookmarkStart w:id="187" w:name="_Toc8072"/>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1FACBBF7">
      <w:pPr>
        <w:spacing w:line="560" w:lineRule="exact"/>
        <w:ind w:firstLine="482" w:firstLineChars="200"/>
        <w:rPr>
          <w:rFonts w:hint="eastAsia" w:ascii="宋体" w:hAnsi="宋体" w:eastAsia="宋体" w:cs="宋体"/>
          <w:b/>
          <w:bCs/>
          <w:sz w:val="24"/>
          <w:szCs w:val="24"/>
        </w:rPr>
      </w:pPr>
      <w:bookmarkStart w:id="189" w:name="_Toc6373"/>
      <w:bookmarkStart w:id="190" w:name="_Toc363474025"/>
      <w:bookmarkStart w:id="191" w:name="_Toc403077646"/>
      <w:bookmarkStart w:id="192" w:name="_Toc423973079"/>
      <w:bookmarkStart w:id="193" w:name="_Toc5084"/>
      <w:r>
        <w:rPr>
          <w:rFonts w:hint="eastAsia" w:ascii="宋体" w:hAnsi="宋体" w:eastAsia="宋体" w:cs="宋体"/>
          <w:b/>
          <w:bCs/>
          <w:sz w:val="24"/>
          <w:szCs w:val="24"/>
        </w:rPr>
        <w:t>一、活动主题</w:t>
      </w:r>
    </w:p>
    <w:p w14:paraId="1FACBBF8">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“书声光影话长安”</w:t>
      </w:r>
    </w:p>
    <w:p w14:paraId="1FACBBF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通过“书”（文字作品）、“声”（声音作品）、“光”（视频作品）、“影”（摄影作品），共同描绘长治久安的美好生活。</w:t>
      </w:r>
    </w:p>
    <w:p w14:paraId="1FACBBFA">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二、活动目的</w:t>
      </w:r>
    </w:p>
    <w:p w14:paraId="1FACBBF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充分展现西安在经济社会发展、城市面貌升级、生态环境保护、人民群众生活改善等方面取得的巨大变化，尤其是聚焦全市“六个打造”奋斗目标、“深化六个改革”重点工作部署和生动实践，面向社会征集一批网民认可、社会认同、影响广泛的网络正能量作品，通过全民参与、多平台宣传的方式，充分发挥正能量激励人、鼓舞人、引领人的重要作用，在网络空间为实现</w:t>
      </w:r>
      <w:r>
        <w:rPr>
          <w:rFonts w:hint="eastAsia" w:ascii="宋体" w:hAnsi="宋体" w:eastAsia="宋体" w:cs="宋体"/>
          <w:color w:val="000000"/>
          <w:sz w:val="24"/>
          <w:szCs w:val="24"/>
        </w:rPr>
        <w:t>中国式现代化西安实践</w:t>
      </w:r>
      <w:r>
        <w:rPr>
          <w:rFonts w:hint="eastAsia" w:ascii="宋体" w:hAnsi="宋体" w:eastAsia="宋体" w:cs="宋体"/>
          <w:sz w:val="24"/>
          <w:szCs w:val="24"/>
        </w:rPr>
        <w:t>凝聚奋进力量。同时，推荐此次活动征集到的优秀作品参加陕西正能量网络精品征集展播活动、中国正能量网络精品征集展播活动。</w:t>
      </w:r>
    </w:p>
    <w:p w14:paraId="1FACBBFC">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三、活动时间</w:t>
      </w:r>
    </w:p>
    <w:p w14:paraId="10A3948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合同签订之日起至2025年12月底前完成整体项目</w:t>
      </w:r>
    </w:p>
    <w:p w14:paraId="1FACBBFE">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四、活动内容</w:t>
      </w:r>
    </w:p>
    <w:p w14:paraId="1FACBBF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（一）作品征集类型</w:t>
      </w:r>
    </w:p>
    <w:p w14:paraId="1FACBC0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深入贯彻落实习近平总书记网络强国重要思想和“正能量是总要求，管得住是硬道理，用得好是真本事”指示精神，此次活动面向全社会（单位、团体或个人）公开征集、遴选、展播一批网民认可、社会认同、影响广泛的正能量网络精品，涵盖“网络正能量文字”“网络正能量图片”“网络正能量音视频”“网络正能量专题专栏”“网络正能量AIGC创意精品”五大类别。</w:t>
      </w:r>
    </w:p>
    <w:p w14:paraId="1FACBC01">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1.网络正能量文字：</w:t>
      </w:r>
      <w:r>
        <w:rPr>
          <w:rFonts w:hint="eastAsia" w:ascii="宋体" w:hAnsi="宋体" w:eastAsia="宋体" w:cs="宋体"/>
          <w:sz w:val="24"/>
          <w:szCs w:val="24"/>
        </w:rPr>
        <w:t>参评作品应当主题鲜明、立意深刻、文辞优美、导向正确，可通过网络理论评论、网络纪实报道、网络知识科普、网络普法宣传、网络公益宣传、网言网语等体裁，讲述西安精彩故事，剖析网络热点话题，引领正确舆论导向，展现城市独特魅力。</w:t>
      </w:r>
    </w:p>
    <w:p w14:paraId="1FACBC02">
      <w:pPr>
        <w:spacing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2.网络正能量图片：</w:t>
      </w:r>
      <w:r>
        <w:rPr>
          <w:rFonts w:hint="eastAsia" w:ascii="宋体" w:hAnsi="宋体" w:eastAsia="宋体" w:cs="宋体"/>
          <w:sz w:val="24"/>
          <w:szCs w:val="24"/>
        </w:rPr>
        <w:t>参评作品应当主题突出、构图新颖、色彩鲜明，以能充分体现时代特色，反映西安城市风貌、人文景观、市民生活等积极向上题材的图片为主。参评作品体裁包括摄影图片、创意图片、GIF动态图、漫画等，单幅、组图（不超过9张）均可。</w:t>
      </w:r>
    </w:p>
    <w:p w14:paraId="1FACBC03">
      <w:pPr>
        <w:spacing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3.网络正能量音视频：</w:t>
      </w:r>
      <w:r>
        <w:rPr>
          <w:rFonts w:hint="eastAsia" w:ascii="宋体" w:hAnsi="宋体" w:eastAsia="宋体" w:cs="宋体"/>
          <w:sz w:val="24"/>
          <w:szCs w:val="24"/>
        </w:rPr>
        <w:t>参评作品应当聚焦西安在经济、社会、民生等各个领域取得的发展成就，围绕西安正能量故事、先进人物事迹、城市发展变化等方面进行内容创作，要求主题突出、创意新颖、语态生动、制作精良、艺术表现力强，具有鲜明时代特征，能够在广大网民中产生强烈共鸣和正面影响。参评作品体裁包括纪录短片、动画短片、公益广告、广播剧、有声故事、正能量演讲等。</w:t>
      </w:r>
    </w:p>
    <w:p w14:paraId="1FACBC04">
      <w:pPr>
        <w:spacing w:line="5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4.网络正能量专题专栏：</w:t>
      </w:r>
      <w:r>
        <w:rPr>
          <w:rFonts w:hint="eastAsia" w:ascii="宋体" w:hAnsi="宋体" w:eastAsia="宋体" w:cs="宋体"/>
          <w:sz w:val="24"/>
          <w:szCs w:val="24"/>
        </w:rPr>
        <w:t>参评作品应当围绕经济社会发展、乡村振兴成果、百姓英雄事迹等特定正能量主题，综合运用文字、图片、音视频等多媒体手段制作的内容丰富、形式多样、社会认同度高的网络专题专栏。</w:t>
      </w:r>
    </w:p>
    <w:p w14:paraId="1FACBC05">
      <w:pPr>
        <w:spacing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5.网络正能量AIGC创意精品：</w:t>
      </w:r>
      <w:r>
        <w:rPr>
          <w:rFonts w:hint="eastAsia" w:ascii="宋体" w:hAnsi="宋体" w:eastAsia="宋体" w:cs="宋体"/>
          <w:sz w:val="24"/>
          <w:szCs w:val="24"/>
        </w:rPr>
        <w:t>人工智能生成内容（Artificial Intelligence Generated Content，AIGC)正以颠覆性力量塑造网络传播新格局，给网络内容建设带来前所未有的机遇与挑战。为充分发挥西安的科技创新优势，积极推动属地新媒体以技术赋能内容创作，探索主流价值传播与人工智能深度融合的新途径，在网络空间践行“科技向善”理念，此次活动特向全社会征集评选一批网络正能量AIGC创意精品，包含“AI数字画作”和“AI数字视频”两大类别。</w:t>
      </w:r>
    </w:p>
    <w:p w14:paraId="1FACBC0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（二）评选流程</w:t>
      </w:r>
    </w:p>
    <w:p w14:paraId="1FACBC07">
      <w:pPr>
        <w:spacing w:line="5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1.初筛：</w:t>
      </w:r>
      <w:r>
        <w:rPr>
          <w:rFonts w:hint="eastAsia" w:ascii="宋体" w:hAnsi="宋体" w:eastAsia="宋体" w:cs="宋体"/>
          <w:sz w:val="24"/>
          <w:szCs w:val="24"/>
        </w:rPr>
        <w:t>由高校专家、文字编辑和媒体相关从业人员组成初筛小组，依据征集要求对所有参评作品进行初步筛选，剔除不符合要求的作品，确定进入终审的作品名单。根据各个参评类别的作品数量，确定每个类别前10%-20%的作品进入终审环节，作品总数量控制在70件左右。</w:t>
      </w:r>
    </w:p>
    <w:p w14:paraId="1FACBC08">
      <w:pPr>
        <w:spacing w:line="5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2.终审：</w:t>
      </w:r>
      <w:r>
        <w:rPr>
          <w:rFonts w:hint="eastAsia" w:ascii="宋体" w:hAnsi="宋体" w:eastAsia="宋体" w:cs="宋体"/>
          <w:sz w:val="24"/>
          <w:szCs w:val="24"/>
        </w:rPr>
        <w:t>邀请网络媒体资深编辑、专家学者、自媒体代表等组成终审委员会，从主题契合度、内容质量及表现形式、创新能力、传播价值四个维度，对初筛入围作品进行打分评审，满分100分。</w:t>
      </w:r>
    </w:p>
    <w:p w14:paraId="1FACBC09">
      <w:pPr>
        <w:spacing w:line="5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3.结果公示：</w:t>
      </w:r>
      <w:r>
        <w:rPr>
          <w:rFonts w:hint="eastAsia" w:ascii="宋体" w:hAnsi="宋体" w:eastAsia="宋体" w:cs="宋体"/>
          <w:sz w:val="24"/>
          <w:szCs w:val="24"/>
        </w:rPr>
        <w:t>终审结果将在西安网专题页面、网信西安微信公众号等平台公示，接受社会公众监督，公示期暂定为一周。</w:t>
      </w:r>
    </w:p>
    <w:p w14:paraId="1FACBC0A">
      <w:pPr>
        <w:spacing w:line="560" w:lineRule="exact"/>
        <w:ind w:left="640"/>
        <w:rPr>
          <w:rFonts w:hint="eastAsia" w:ascii="宋体" w:hAnsi="宋体" w:eastAsia="宋体" w:cs="宋体"/>
          <w:bCs/>
          <w:sz w:val="24"/>
          <w:szCs w:val="24"/>
        </w:rPr>
      </w:pPr>
      <w:r>
        <w:rPr>
          <w:rFonts w:hint="eastAsia" w:ascii="宋体" w:hAnsi="宋体" w:eastAsia="宋体" w:cs="宋体"/>
          <w:bCs/>
          <w:sz w:val="24"/>
          <w:szCs w:val="24"/>
        </w:rPr>
        <w:t>（三）奖项设置</w:t>
      </w:r>
    </w:p>
    <w:p w14:paraId="1FACBC0B">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此次活动计划</w:t>
      </w:r>
      <w:r>
        <w:rPr>
          <w:rFonts w:hint="eastAsia" w:ascii="宋体" w:hAnsi="宋体" w:eastAsia="宋体" w:cs="宋体"/>
          <w:sz w:val="24"/>
          <w:szCs w:val="24"/>
        </w:rPr>
        <w:t>设置</w:t>
      </w:r>
      <w:r>
        <w:rPr>
          <w:rFonts w:hint="eastAsia" w:ascii="宋体" w:hAnsi="宋体" w:eastAsia="宋体" w:cs="宋体"/>
          <w:bCs/>
          <w:sz w:val="24"/>
          <w:szCs w:val="24"/>
        </w:rPr>
        <w:t>“网络正能量文字”“网络正能量图片”“网络正能量音视频”“网络正能量专题专栏”“网络正能量AIGC创意精品”和“优秀组织单位”6大奖项，每个类别分设一、二、三等奖和优秀作品奖，获奖作品数量将根据作品征集情况按比例合理确定，力求在奖项分布上均衡公平。所有获奖作品均颁发荣誉证书和奖杯，“优秀组织单位”颁发奖牌。</w:t>
      </w:r>
    </w:p>
    <w:p w14:paraId="1FACBC0C">
      <w:pPr>
        <w:spacing w:line="560" w:lineRule="exact"/>
        <w:ind w:left="640"/>
        <w:rPr>
          <w:rFonts w:hint="eastAsia" w:ascii="宋体" w:hAnsi="宋体" w:eastAsia="宋体" w:cs="宋体"/>
          <w:bCs/>
          <w:sz w:val="24"/>
          <w:szCs w:val="24"/>
        </w:rPr>
      </w:pPr>
      <w:r>
        <w:rPr>
          <w:rFonts w:hint="eastAsia" w:ascii="宋体" w:hAnsi="宋体" w:eastAsia="宋体" w:cs="宋体"/>
          <w:bCs/>
          <w:sz w:val="24"/>
          <w:szCs w:val="24"/>
        </w:rPr>
        <w:t>（四）宣传推广</w:t>
      </w:r>
    </w:p>
    <w:p w14:paraId="1FACBC0D">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1.活动预热阶段</w:t>
      </w:r>
    </w:p>
    <w:p w14:paraId="1FACBC0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专门制作网络视频、图文在西安网、西安新闻网、西安发布、原点新闻、网信西安、西安头条、长安号等平台发布活动预告信息，详细介绍活动背景、主题、征集内容及要求等，吸引广大网民关注，同步协调中省网络媒体、全国商业网络平台宣传推广。</w:t>
      </w:r>
    </w:p>
    <w:p w14:paraId="1FACBC0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（2）协调市内各大网络媒体平台，通过开设活动专题页面、投放宣传海报等形式，扩大活动知晓度。</w:t>
      </w:r>
    </w:p>
    <w:p w14:paraId="1FACBC1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（3）发动西安市网络联谊会成员以及知名网络大V，在各自平台进行活动宣传推广，引导自媒体创作者积极参与。</w:t>
      </w:r>
    </w:p>
    <w:p w14:paraId="1FACBC11">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2.作品征集阶段</w:t>
      </w:r>
    </w:p>
    <w:p w14:paraId="1FACBC12">
      <w:pPr>
        <w:spacing w:line="5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搭建活动专题，设计制作活动主海报、作品征集短视频、作品征集H5页面，定期在官方平台展示部分优秀投稿作品，进行阶段性成果宣传，激发更多网民参与热情。同时，对活动参与情况进行数据分析，根据参与人群特点和投稿趋势调整宣传策略。</w:t>
      </w:r>
    </w:p>
    <w:p w14:paraId="1FACBC13">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3.评选及表彰阶段</w:t>
      </w:r>
    </w:p>
    <w:p w14:paraId="1FACBC1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搭建线上云展厅，设计制作入围作品展播海报、入围作品展播短视频，实时报道评选进展情况，对入围作品进行集中展示和介绍。组织线下颁奖仪式和作品展播活动，邀请媒体记者进行采访报道，通过多种渠道发布活动成果，扩大活动影响力。</w:t>
      </w:r>
    </w:p>
    <w:p w14:paraId="1FACBC17">
      <w:pPr>
        <w:spacing w:line="560" w:lineRule="exact"/>
        <w:rPr>
          <w:rFonts w:hint="eastAsia" w:ascii="宋体" w:hAnsi="宋体" w:eastAsia="宋体" w:cs="宋体"/>
          <w:b/>
          <w:bCs/>
          <w:sz w:val="24"/>
          <w:szCs w:val="24"/>
        </w:rPr>
      </w:pPr>
      <w:r>
        <w:rPr>
          <w:rFonts w:hint="eastAsia" w:ascii="宋体" w:hAnsi="宋体" w:eastAsia="宋体" w:cs="宋体"/>
          <w:b/>
          <w:bCs/>
          <w:sz w:val="24"/>
          <w:szCs w:val="24"/>
        </w:rPr>
        <w:t>五、活动预算（总计25万）</w:t>
      </w:r>
    </w:p>
    <w:tbl>
      <w:tblPr>
        <w:tblStyle w:val="22"/>
        <w:tblW w:w="4999" w:type="pct"/>
        <w:jc w:val="center"/>
        <w:tblLayout w:type="autofit"/>
        <w:tblCellMar>
          <w:top w:w="0" w:type="dxa"/>
          <w:left w:w="108" w:type="dxa"/>
          <w:bottom w:w="0" w:type="dxa"/>
          <w:right w:w="108" w:type="dxa"/>
        </w:tblCellMar>
      </w:tblPr>
      <w:tblGrid>
        <w:gridCol w:w="1123"/>
        <w:gridCol w:w="7011"/>
        <w:gridCol w:w="1378"/>
      </w:tblGrid>
      <w:tr w14:paraId="1FACBC1D">
        <w:tblPrEx>
          <w:tblCellMar>
            <w:top w:w="0" w:type="dxa"/>
            <w:left w:w="108" w:type="dxa"/>
            <w:bottom w:w="0" w:type="dxa"/>
            <w:right w:w="108" w:type="dxa"/>
          </w:tblCellMar>
        </w:tblPrEx>
        <w:trPr>
          <w:trHeight w:val="925" w:hRule="atLeast"/>
          <w:jc w:val="cent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1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事项</w:t>
            </w: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1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主要内容</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1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r>
      <w:tr w14:paraId="1FACBC23">
        <w:tblPrEx>
          <w:tblCellMar>
            <w:top w:w="0" w:type="dxa"/>
            <w:left w:w="108" w:type="dxa"/>
            <w:bottom w:w="0" w:type="dxa"/>
            <w:right w:w="108" w:type="dxa"/>
          </w:tblCellMar>
        </w:tblPrEx>
        <w:trPr>
          <w:trHeight w:val="420" w:hRule="atLeast"/>
          <w:jc w:val="cent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1E">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活动专题</w:t>
            </w: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1F">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搭建“2025年西安正能量网络精品征集展播活动”专题</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20">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1个</w:t>
            </w:r>
          </w:p>
        </w:tc>
      </w:tr>
      <w:tr w14:paraId="1FACBC2D">
        <w:tblPrEx>
          <w:tblCellMar>
            <w:top w:w="0" w:type="dxa"/>
            <w:left w:w="108" w:type="dxa"/>
            <w:bottom w:w="0" w:type="dxa"/>
            <w:right w:w="108" w:type="dxa"/>
          </w:tblCellMar>
        </w:tblPrEx>
        <w:trPr>
          <w:trHeight w:val="420" w:hRule="atLeast"/>
          <w:jc w:val="center"/>
        </w:trPr>
        <w:tc>
          <w:tcPr>
            <w:tcW w:w="590" w:type="pct"/>
            <w:vMerge w:val="restart"/>
            <w:tcBorders>
              <w:top w:val="single" w:color="000000" w:sz="4" w:space="0"/>
              <w:left w:val="single" w:color="000000" w:sz="4" w:space="0"/>
              <w:bottom w:val="nil"/>
              <w:right w:val="single" w:color="000000" w:sz="4" w:space="0"/>
            </w:tcBorders>
            <w:shd w:val="clear" w:color="auto" w:fill="auto"/>
            <w:vAlign w:val="center"/>
          </w:tcPr>
          <w:p w14:paraId="1FACBC24">
            <w:pPr>
              <w:widowControl/>
              <w:spacing w:line="40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融</w:t>
            </w:r>
          </w:p>
          <w:p w14:paraId="1FACBC25">
            <w:pPr>
              <w:widowControl/>
              <w:spacing w:line="40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媒</w:t>
            </w:r>
          </w:p>
          <w:p w14:paraId="1FACBC26">
            <w:pPr>
              <w:widowControl/>
              <w:spacing w:line="40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体</w:t>
            </w:r>
          </w:p>
          <w:p w14:paraId="1FACBC27">
            <w:pPr>
              <w:widowControl/>
              <w:spacing w:line="40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w:t>
            </w:r>
          </w:p>
          <w:p w14:paraId="1FACBC28">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w:t>
            </w: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29">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制作活动主海报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2A">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2张</w:t>
            </w:r>
          </w:p>
        </w:tc>
      </w:tr>
      <w:tr w14:paraId="1FACBC33">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nil"/>
              <w:right w:val="single" w:color="000000" w:sz="4" w:space="0"/>
            </w:tcBorders>
            <w:shd w:val="clear" w:color="auto" w:fill="auto"/>
            <w:vAlign w:val="center"/>
          </w:tcPr>
          <w:p w14:paraId="1FACBC2E">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2F">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制作作品征集短视频</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30">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1条</w:t>
            </w:r>
          </w:p>
        </w:tc>
      </w:tr>
      <w:tr w14:paraId="1FACBC39">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nil"/>
              <w:right w:val="single" w:color="000000" w:sz="4" w:space="0"/>
            </w:tcBorders>
            <w:shd w:val="clear" w:color="auto" w:fill="auto"/>
            <w:vAlign w:val="center"/>
          </w:tcPr>
          <w:p w14:paraId="1FACBC34">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35">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制作作品征集H5页面</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36">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1个</w:t>
            </w:r>
          </w:p>
        </w:tc>
      </w:tr>
      <w:tr w14:paraId="1FACBC3F">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nil"/>
              <w:right w:val="single" w:color="000000" w:sz="4" w:space="0"/>
            </w:tcBorders>
            <w:shd w:val="clear" w:color="auto" w:fill="auto"/>
            <w:vAlign w:val="center"/>
          </w:tcPr>
          <w:p w14:paraId="1FACBC3A">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3B">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搭建线上云展厅</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3C">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1个</w:t>
            </w:r>
          </w:p>
        </w:tc>
      </w:tr>
      <w:tr w14:paraId="1FACBC45">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nil"/>
              <w:right w:val="single" w:color="000000" w:sz="4" w:space="0"/>
            </w:tcBorders>
            <w:shd w:val="clear" w:color="auto" w:fill="auto"/>
            <w:vAlign w:val="center"/>
          </w:tcPr>
          <w:p w14:paraId="1FACBC40">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41">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制作入围作品展播海报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42">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20张</w:t>
            </w:r>
          </w:p>
        </w:tc>
      </w:tr>
      <w:tr w14:paraId="1FACBC4B">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nil"/>
              <w:right w:val="single" w:color="000000" w:sz="4" w:space="0"/>
            </w:tcBorders>
            <w:shd w:val="clear" w:color="auto" w:fill="auto"/>
            <w:vAlign w:val="center"/>
          </w:tcPr>
          <w:p w14:paraId="1FACBC46">
            <w:pPr>
              <w:widowControl/>
              <w:spacing w:line="400" w:lineRule="exact"/>
              <w:jc w:val="center"/>
              <w:rPr>
                <w:rFonts w:hint="eastAsia" w:ascii="宋体" w:hAnsi="宋体" w:eastAsia="宋体" w:cs="宋体"/>
                <w:color w:val="000000"/>
                <w:sz w:val="24"/>
                <w:szCs w:val="24"/>
              </w:rPr>
            </w:pPr>
          </w:p>
        </w:tc>
        <w:tc>
          <w:tcPr>
            <w:tcW w:w="3684" w:type="pct"/>
            <w:tcBorders>
              <w:top w:val="nil"/>
              <w:left w:val="nil"/>
              <w:bottom w:val="nil"/>
              <w:right w:val="single" w:color="000000" w:sz="4" w:space="0"/>
            </w:tcBorders>
            <w:shd w:val="clear" w:color="auto" w:fill="auto"/>
            <w:vAlign w:val="center"/>
          </w:tcPr>
          <w:p w14:paraId="1FACBC47">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制作获奖作品展播短视频</w:t>
            </w:r>
          </w:p>
        </w:tc>
        <w:tc>
          <w:tcPr>
            <w:tcW w:w="724" w:type="pct"/>
            <w:tcBorders>
              <w:top w:val="nil"/>
              <w:left w:val="single" w:color="000000" w:sz="4" w:space="0"/>
              <w:bottom w:val="nil"/>
              <w:right w:val="single" w:color="000000" w:sz="4" w:space="0"/>
            </w:tcBorders>
            <w:shd w:val="clear" w:color="auto" w:fill="auto"/>
            <w:noWrap/>
            <w:vAlign w:val="center"/>
          </w:tcPr>
          <w:p w14:paraId="1FACBC48">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10条</w:t>
            </w:r>
          </w:p>
        </w:tc>
      </w:tr>
      <w:tr w14:paraId="1FACBC51">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nil"/>
              <w:right w:val="single" w:color="000000" w:sz="4" w:space="0"/>
            </w:tcBorders>
            <w:shd w:val="clear" w:color="auto" w:fill="auto"/>
            <w:vAlign w:val="center"/>
          </w:tcPr>
          <w:p w14:paraId="1FACBC4C">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4D">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制作获奖作品展播海报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4E">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10张</w:t>
            </w:r>
          </w:p>
        </w:tc>
      </w:tr>
      <w:tr w14:paraId="1FACBC57">
        <w:tblPrEx>
          <w:tblCellMar>
            <w:top w:w="0" w:type="dxa"/>
            <w:left w:w="108" w:type="dxa"/>
            <w:bottom w:w="0" w:type="dxa"/>
            <w:right w:w="108" w:type="dxa"/>
          </w:tblCellMar>
        </w:tblPrEx>
        <w:trPr>
          <w:trHeight w:val="420" w:hRule="atLeast"/>
          <w:jc w:val="center"/>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52">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专家评审</w:t>
            </w: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53">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高校专家、文字编辑和媒体相关从业人员对投稿作品进行初筛</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54">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5名</w:t>
            </w:r>
          </w:p>
        </w:tc>
      </w:tr>
      <w:tr w14:paraId="1FACBC5D">
        <w:tblPrEx>
          <w:tblCellMar>
            <w:top w:w="0" w:type="dxa"/>
            <w:left w:w="108" w:type="dxa"/>
            <w:bottom w:w="0" w:type="dxa"/>
            <w:right w:w="108" w:type="dxa"/>
          </w:tblCellMar>
        </w:tblPrEx>
        <w:trPr>
          <w:trHeight w:val="820"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58">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59">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网络媒体资深编辑、专家学者、自媒体代表对入围作品进行终审</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5A">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5名</w:t>
            </w:r>
          </w:p>
        </w:tc>
      </w:tr>
      <w:tr w14:paraId="1FACBC63">
        <w:tblPrEx>
          <w:tblCellMar>
            <w:top w:w="0" w:type="dxa"/>
            <w:left w:w="108" w:type="dxa"/>
            <w:bottom w:w="0" w:type="dxa"/>
            <w:right w:w="108" w:type="dxa"/>
          </w:tblCellMar>
        </w:tblPrEx>
        <w:trPr>
          <w:trHeight w:val="420" w:hRule="atLeast"/>
          <w:jc w:val="center"/>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5E">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颁奖仪式</w:t>
            </w: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5F">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邀请媒体记者进行采访报道</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60">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1场</w:t>
            </w:r>
          </w:p>
        </w:tc>
      </w:tr>
      <w:tr w14:paraId="1FACBC69">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64">
            <w:pPr>
              <w:widowControl/>
              <w:spacing w:line="400" w:lineRule="exact"/>
              <w:jc w:val="center"/>
              <w:rPr>
                <w:rFonts w:hint="eastAsia" w:ascii="宋体" w:hAnsi="宋体" w:eastAsia="宋体" w:cs="宋体"/>
                <w:color w:val="000000"/>
                <w:sz w:val="24"/>
                <w:szCs w:val="24"/>
              </w:rPr>
            </w:pP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65">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制作证书、奖杯、奖牌</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66">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50套</w:t>
            </w:r>
          </w:p>
        </w:tc>
      </w:tr>
      <w:tr w14:paraId="1FACBC6F">
        <w:tblPrEx>
          <w:tblCellMar>
            <w:top w:w="0" w:type="dxa"/>
            <w:left w:w="108" w:type="dxa"/>
            <w:bottom w:w="0" w:type="dxa"/>
            <w:right w:w="108" w:type="dxa"/>
          </w:tblCellMar>
        </w:tblPrEx>
        <w:trPr>
          <w:trHeight w:val="420"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6A">
            <w:pPr>
              <w:widowControl/>
              <w:spacing w:line="400" w:lineRule="exact"/>
              <w:jc w:val="center"/>
              <w:rPr>
                <w:rFonts w:hint="eastAsia" w:ascii="宋体" w:hAnsi="宋体" w:eastAsia="宋体" w:cs="宋体"/>
                <w:color w:val="000000"/>
                <w:sz w:val="24"/>
                <w:szCs w:val="24"/>
              </w:rPr>
            </w:pPr>
          </w:p>
        </w:tc>
        <w:tc>
          <w:tcPr>
            <w:tcW w:w="3684" w:type="pct"/>
            <w:tcBorders>
              <w:top w:val="nil"/>
              <w:left w:val="single" w:color="000000" w:sz="4" w:space="0"/>
              <w:bottom w:val="single" w:color="000000" w:sz="4" w:space="0"/>
              <w:right w:val="single" w:color="000000" w:sz="4" w:space="0"/>
            </w:tcBorders>
            <w:shd w:val="clear" w:color="auto" w:fill="auto"/>
            <w:vAlign w:val="center"/>
          </w:tcPr>
          <w:p w14:paraId="1FACBC6B">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场地使用费和相关物料费用</w:t>
            </w:r>
          </w:p>
        </w:tc>
        <w:tc>
          <w:tcPr>
            <w:tcW w:w="724" w:type="pct"/>
            <w:tcBorders>
              <w:top w:val="nil"/>
              <w:left w:val="single" w:color="000000" w:sz="4" w:space="0"/>
              <w:bottom w:val="single" w:color="000000" w:sz="4" w:space="0"/>
              <w:right w:val="single" w:color="000000" w:sz="4" w:space="0"/>
            </w:tcBorders>
            <w:shd w:val="clear" w:color="auto" w:fill="auto"/>
            <w:noWrap/>
            <w:vAlign w:val="center"/>
          </w:tcPr>
          <w:p w14:paraId="1FACBC6C">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1场</w:t>
            </w:r>
          </w:p>
        </w:tc>
      </w:tr>
      <w:tr w14:paraId="1FACBC75">
        <w:tblPrEx>
          <w:tblCellMar>
            <w:top w:w="0" w:type="dxa"/>
            <w:left w:w="108" w:type="dxa"/>
            <w:bottom w:w="0" w:type="dxa"/>
            <w:right w:w="108" w:type="dxa"/>
          </w:tblCellMar>
        </w:tblPrEx>
        <w:trPr>
          <w:trHeight w:val="420" w:hRule="atLeast"/>
          <w:jc w:val="center"/>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70">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活动宣传</w:t>
            </w:r>
          </w:p>
        </w:tc>
        <w:tc>
          <w:tcPr>
            <w:tcW w:w="3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71">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获奖作品进行线下展览、展播</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BC72">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1场</w:t>
            </w:r>
          </w:p>
        </w:tc>
      </w:tr>
      <w:tr w14:paraId="1FACBC7B">
        <w:tblPrEx>
          <w:tblCellMar>
            <w:top w:w="0" w:type="dxa"/>
            <w:left w:w="108" w:type="dxa"/>
            <w:bottom w:w="0" w:type="dxa"/>
            <w:right w:w="108" w:type="dxa"/>
          </w:tblCellMar>
        </w:tblPrEx>
        <w:trPr>
          <w:trHeight w:val="408"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76">
            <w:pPr>
              <w:widowControl/>
              <w:spacing w:line="400" w:lineRule="exact"/>
              <w:jc w:val="center"/>
              <w:rPr>
                <w:rFonts w:hint="eastAsia" w:ascii="宋体" w:hAnsi="宋体" w:eastAsia="宋体" w:cs="宋体"/>
                <w:color w:val="000000"/>
                <w:sz w:val="24"/>
                <w:szCs w:val="24"/>
              </w:rPr>
            </w:pPr>
          </w:p>
        </w:tc>
        <w:tc>
          <w:tcPr>
            <w:tcW w:w="3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77">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对活动期间制作的海报、H5及评选出的优秀作品，结合网站、APP、微博、今日头条、抖音等平台特点，进行分众化传播。</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78">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活动期间</w:t>
            </w:r>
          </w:p>
        </w:tc>
      </w:tr>
      <w:tr w14:paraId="1FACBC81">
        <w:tblPrEx>
          <w:tblCellMar>
            <w:top w:w="0" w:type="dxa"/>
            <w:left w:w="108" w:type="dxa"/>
            <w:bottom w:w="0" w:type="dxa"/>
            <w:right w:w="108" w:type="dxa"/>
          </w:tblCellMar>
        </w:tblPrEx>
        <w:trPr>
          <w:trHeight w:val="408"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7C">
            <w:pPr>
              <w:widowControl/>
              <w:spacing w:line="400" w:lineRule="exact"/>
              <w:jc w:val="center"/>
              <w:rPr>
                <w:rFonts w:hint="eastAsia" w:ascii="宋体" w:hAnsi="宋体" w:eastAsia="宋体" w:cs="宋体"/>
                <w:color w:val="000000"/>
                <w:sz w:val="24"/>
                <w:szCs w:val="24"/>
              </w:rPr>
            </w:pPr>
          </w:p>
        </w:tc>
        <w:tc>
          <w:tcPr>
            <w:tcW w:w="3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7D">
            <w:pPr>
              <w:widowControl/>
              <w:spacing w:line="400" w:lineRule="exact"/>
              <w:jc w:val="left"/>
              <w:rPr>
                <w:rFonts w:hint="eastAsia" w:ascii="宋体" w:hAnsi="宋体" w:eastAsia="宋体" w:cs="宋体"/>
                <w:color w:val="000000"/>
                <w:sz w:val="24"/>
                <w:szCs w:val="24"/>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7E">
            <w:pPr>
              <w:widowControl/>
              <w:spacing w:line="400" w:lineRule="exact"/>
              <w:jc w:val="center"/>
              <w:rPr>
                <w:rFonts w:hint="eastAsia" w:ascii="宋体" w:hAnsi="宋体" w:eastAsia="宋体" w:cs="宋体"/>
                <w:color w:val="000000"/>
                <w:sz w:val="24"/>
                <w:szCs w:val="24"/>
              </w:rPr>
            </w:pPr>
          </w:p>
        </w:tc>
      </w:tr>
      <w:tr w14:paraId="1FACBC87">
        <w:tblPrEx>
          <w:tblCellMar>
            <w:top w:w="0" w:type="dxa"/>
            <w:left w:w="108" w:type="dxa"/>
            <w:bottom w:w="0" w:type="dxa"/>
            <w:right w:w="108" w:type="dxa"/>
          </w:tblCellMar>
        </w:tblPrEx>
        <w:trPr>
          <w:trHeight w:val="408"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82">
            <w:pPr>
              <w:widowControl/>
              <w:spacing w:line="400" w:lineRule="exact"/>
              <w:jc w:val="center"/>
              <w:rPr>
                <w:rFonts w:hint="eastAsia" w:ascii="宋体" w:hAnsi="宋体" w:eastAsia="宋体" w:cs="宋体"/>
                <w:color w:val="000000"/>
                <w:sz w:val="24"/>
                <w:szCs w:val="24"/>
              </w:rPr>
            </w:pPr>
          </w:p>
        </w:tc>
        <w:tc>
          <w:tcPr>
            <w:tcW w:w="3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83">
            <w:pPr>
              <w:widowControl/>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中央和省市主流媒体、全国网盟、重点商业网站及便民多媒体平台推送传播。</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BC84">
            <w:pPr>
              <w:widowControl/>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活动期间</w:t>
            </w:r>
          </w:p>
        </w:tc>
      </w:tr>
      <w:tr w14:paraId="1FACBC8D">
        <w:tblPrEx>
          <w:tblCellMar>
            <w:top w:w="0" w:type="dxa"/>
            <w:left w:w="108" w:type="dxa"/>
            <w:bottom w:w="0" w:type="dxa"/>
            <w:right w:w="108" w:type="dxa"/>
          </w:tblCellMar>
        </w:tblPrEx>
        <w:trPr>
          <w:trHeight w:val="408" w:hRule="atLeast"/>
          <w:jc w:val="center"/>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88">
            <w:pPr>
              <w:widowControl/>
              <w:spacing w:line="400" w:lineRule="exact"/>
              <w:jc w:val="center"/>
              <w:rPr>
                <w:rFonts w:hint="eastAsia" w:ascii="宋体" w:hAnsi="宋体" w:eastAsia="宋体" w:cs="宋体"/>
                <w:color w:val="000000"/>
                <w:sz w:val="24"/>
                <w:szCs w:val="24"/>
              </w:rPr>
            </w:pPr>
          </w:p>
        </w:tc>
        <w:tc>
          <w:tcPr>
            <w:tcW w:w="3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89">
            <w:pPr>
              <w:widowControl/>
              <w:spacing w:line="400" w:lineRule="exact"/>
              <w:jc w:val="left"/>
              <w:rPr>
                <w:rFonts w:hint="eastAsia" w:ascii="宋体" w:hAnsi="宋体" w:eastAsia="宋体" w:cs="宋体"/>
                <w:color w:val="000000"/>
                <w:sz w:val="24"/>
                <w:szCs w:val="24"/>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BC8A">
            <w:pPr>
              <w:widowControl/>
              <w:spacing w:line="400" w:lineRule="exact"/>
              <w:jc w:val="center"/>
              <w:rPr>
                <w:rFonts w:hint="eastAsia" w:ascii="宋体" w:hAnsi="宋体" w:eastAsia="宋体" w:cs="宋体"/>
                <w:color w:val="000000"/>
                <w:sz w:val="24"/>
                <w:szCs w:val="24"/>
              </w:rPr>
            </w:pPr>
          </w:p>
        </w:tc>
      </w:tr>
    </w:tbl>
    <w:p w14:paraId="07B236DB">
      <w:pPr>
        <w:keepNext w:val="0"/>
        <w:keepLines w:val="0"/>
        <w:pageBreakBefore w:val="0"/>
        <w:kinsoku/>
        <w:wordWrap/>
        <w:overflowPunct/>
        <w:topLinePunct w:val="0"/>
        <w:autoSpaceDE/>
        <w:autoSpaceDN/>
        <w:bidi w:val="0"/>
        <w:adjustRightInd/>
        <w:snapToGrid/>
        <w:spacing w:line="520" w:lineRule="exact"/>
        <w:ind w:firstLine="723" w:firstLineChars="200"/>
        <w:jc w:val="left"/>
        <w:textAlignment w:val="auto"/>
        <w:rPr>
          <w:rStyle w:val="29"/>
          <w:rFonts w:hint="eastAsia" w:ascii="宋体" w:eastAsia="宋体" w:cs="宋体"/>
          <w:color w:val="auto"/>
          <w:sz w:val="36"/>
          <w:szCs w:val="21"/>
          <w:highlight w:val="none"/>
        </w:rPr>
      </w:pPr>
    </w:p>
    <w:p w14:paraId="731EA5DB">
      <w:pPr>
        <w:jc w:val="center"/>
        <w:rPr>
          <w:rStyle w:val="29"/>
          <w:rFonts w:hint="eastAsia" w:ascii="宋体" w:eastAsia="宋体" w:cs="宋体"/>
          <w:color w:val="auto"/>
          <w:sz w:val="36"/>
          <w:szCs w:val="21"/>
          <w:highlight w:val="none"/>
        </w:rPr>
      </w:pPr>
      <w:r>
        <w:rPr>
          <w:rStyle w:val="29"/>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yellow"/>
          <w:lang w:eastAsia="zh-CN"/>
        </w:rPr>
      </w:pPr>
      <w:r>
        <w:rPr>
          <w:rFonts w:hint="eastAsia" w:hAnsi="宋体" w:cs="宋体"/>
          <w:b/>
          <w:bCs/>
          <w:color w:val="auto"/>
          <w:sz w:val="32"/>
          <w:szCs w:val="32"/>
          <w:highlight w:val="none"/>
        </w:rPr>
        <w:t>项目编号：SXZCZB2025-ZCCS-0913</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604D6DCE">
      <w:pPr>
        <w:jc w:val="center"/>
        <w:rPr>
          <w:rFonts w:hint="eastAsia" w:hAnsi="宋体" w:cs="宋体"/>
          <w:b/>
          <w:color w:val="auto"/>
          <w:sz w:val="56"/>
          <w:szCs w:val="56"/>
          <w:highlight w:val="none"/>
          <w:lang w:eastAsia="zh-CN"/>
        </w:rPr>
      </w:pPr>
      <w:r>
        <w:rPr>
          <w:rFonts w:hint="eastAsia" w:hAnsi="宋体" w:cs="宋体"/>
          <w:b/>
          <w:color w:val="auto"/>
          <w:sz w:val="56"/>
          <w:szCs w:val="56"/>
          <w:highlight w:val="none"/>
          <w:lang w:eastAsia="zh-CN"/>
        </w:rPr>
        <w:t>2025年西安正能量网络精品征集展播活动</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403077648"/>
      <w:bookmarkStart w:id="197" w:name="_Toc363474027"/>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15762"/>
      <w:bookmarkStart w:id="200" w:name="_Toc6128"/>
      <w:bookmarkStart w:id="201" w:name="_Toc28508"/>
      <w:bookmarkStart w:id="202" w:name="_Toc16320"/>
      <w:bookmarkStart w:id="203" w:name="_Toc4367"/>
      <w:bookmarkStart w:id="204" w:name="_Toc32002"/>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7"/>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7"/>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28910"/>
      <w:bookmarkStart w:id="206" w:name="_Toc9730"/>
      <w:bookmarkStart w:id="207" w:name="_Toc403077651"/>
      <w:bookmarkStart w:id="208" w:name="_Toc27989"/>
      <w:bookmarkStart w:id="209" w:name="_Toc732"/>
      <w:bookmarkStart w:id="210" w:name="_Toc363474030"/>
      <w:bookmarkStart w:id="211" w:name="_Toc17800"/>
      <w:bookmarkStart w:id="212" w:name="_Toc13482"/>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11518"/>
      <w:bookmarkStart w:id="214" w:name="_Toc1405"/>
      <w:bookmarkStart w:id="215" w:name="_Toc12732"/>
      <w:bookmarkStart w:id="216" w:name="_Toc29008"/>
      <w:bookmarkStart w:id="217" w:name="_Toc32277"/>
      <w:bookmarkStart w:id="218" w:name="_Toc7982"/>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19127"/>
      <w:bookmarkStart w:id="221" w:name="_Toc9760"/>
      <w:bookmarkStart w:id="222" w:name="_Toc8017"/>
      <w:bookmarkStart w:id="223" w:name="_Toc8370"/>
      <w:bookmarkStart w:id="224" w:name="_Toc9220"/>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32126"/>
      <w:bookmarkStart w:id="227" w:name="_Toc24059"/>
      <w:bookmarkStart w:id="228" w:name="_Toc24936"/>
      <w:bookmarkStart w:id="229" w:name="_Toc32541"/>
      <w:bookmarkStart w:id="230" w:name="_Toc3628"/>
      <w:bookmarkStart w:id="231" w:name="_Toc5944"/>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21284"/>
      <w:bookmarkStart w:id="233" w:name="_Toc1379"/>
      <w:bookmarkStart w:id="234" w:name="_Toc2621"/>
      <w:bookmarkStart w:id="235" w:name="_Toc23455"/>
      <w:bookmarkStart w:id="236" w:name="_Toc9218"/>
      <w:bookmarkStart w:id="237" w:name="_Toc5662"/>
      <w:bookmarkStart w:id="238" w:name="_Toc15265"/>
      <w:bookmarkStart w:id="239" w:name="_Toc8845"/>
    </w:p>
    <w:p w14:paraId="70D1C1A2">
      <w:pPr>
        <w:spacing w:line="360" w:lineRule="auto"/>
        <w:rPr>
          <w:rFonts w:hAnsi="宋体" w:cs="宋体"/>
          <w:b/>
          <w:bCs/>
          <w:color w:val="auto"/>
          <w:sz w:val="30"/>
          <w:szCs w:val="30"/>
          <w:highlight w:val="none"/>
        </w:rPr>
      </w:pPr>
      <w:bookmarkStart w:id="240" w:name="_Toc31151"/>
      <w:bookmarkStart w:id="241" w:name="_Toc3626"/>
      <w:bookmarkStart w:id="242" w:name="_Toc4503"/>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11212"/>
      <w:bookmarkStart w:id="246" w:name="_Toc3253"/>
      <w:bookmarkStart w:id="247" w:name="_Toc3386"/>
      <w:bookmarkStart w:id="248" w:name="_Toc27470"/>
      <w:bookmarkStart w:id="249" w:name="_Toc1542"/>
      <w:bookmarkStart w:id="250" w:name="_Toc7544"/>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363474034"/>
      <w:bookmarkStart w:id="252" w:name="_Toc403077657"/>
      <w:r>
        <w:rPr>
          <w:rFonts w:hint="eastAsia" w:hAnsi="宋体" w:cs="宋体"/>
          <w:b/>
          <w:bCs/>
          <w:color w:val="auto"/>
          <w:sz w:val="30"/>
          <w:szCs w:val="30"/>
          <w:highlight w:val="none"/>
        </w:rPr>
        <w:br w:type="page"/>
      </w:r>
      <w:bookmarkStart w:id="253" w:name="_Toc13983"/>
      <w:bookmarkStart w:id="254" w:name="_Toc6273"/>
      <w:bookmarkStart w:id="255" w:name="_Toc6077"/>
      <w:bookmarkStart w:id="256" w:name="_Toc29285"/>
      <w:bookmarkStart w:id="257" w:name="_Toc7842"/>
      <w:bookmarkStart w:id="258" w:name="_Toc32016"/>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7E765B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51AEB6D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0EFD75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3F8F48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（4）税收缴纳证明：提供磋商截止日前近一年内任意一个月的纳税证明或完税证明（任意税种），依法免税的单位应提供相关证明材料；</w:t>
      </w:r>
    </w:p>
    <w:p w14:paraId="556549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ECFB0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w:t>
      </w:r>
    </w:p>
    <w:p w14:paraId="2E38DC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3B5937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76058A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w:t>
      </w:r>
      <w:r>
        <w:rPr>
          <w:rFonts w:hint="eastAsia" w:cs="宋体"/>
          <w:szCs w:val="24"/>
          <w:highlight w:val="none"/>
          <w:lang w:val="en-US" w:eastAsia="zh-CN"/>
        </w:rPr>
        <w:t>9</w:t>
      </w:r>
      <w:r>
        <w:rPr>
          <w:rFonts w:hint="eastAsia" w:hAnsi="宋体" w:cs="宋体"/>
          <w:szCs w:val="24"/>
          <w:highlight w:val="none"/>
          <w:lang w:val="en-US" w:eastAsia="zh-CN"/>
        </w:rPr>
        <w:t>）本项目不接受联合体磋商（提供承诺书）。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24739"/>
      <w:bookmarkStart w:id="260" w:name="_Toc12717"/>
      <w:bookmarkStart w:id="261" w:name="_Toc22315"/>
      <w:bookmarkStart w:id="262" w:name="_Toc23859"/>
      <w:bookmarkStart w:id="263" w:name="_Toc6853"/>
      <w:bookmarkStart w:id="264" w:name="_Toc19114"/>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29387"/>
      <w:bookmarkStart w:id="266" w:name="_Toc13906"/>
      <w:bookmarkStart w:id="267" w:name="_Toc25119"/>
      <w:bookmarkStart w:id="268" w:name="_Toc17513"/>
      <w:bookmarkStart w:id="269" w:name="_Toc6055"/>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1869530">
      <w:pPr>
        <w:pStyle w:val="8"/>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如有不实，我方将无条件地退出本项目的采购活动，并遵照《中华人民共和国政府采购法》有关“提供虚假材料的规定”接受处罚。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72" w:name="_Toc29482"/>
      <w:bookmarkStart w:id="273" w:name="_Toc32573"/>
      <w:bookmarkStart w:id="274" w:name="_Toc2812"/>
      <w:r>
        <w:rPr>
          <w:rFonts w:hint="eastAsia" w:hAnsi="宋体" w:cs="宋体"/>
          <w:b/>
          <w:color w:val="auto"/>
          <w:sz w:val="28"/>
          <w:szCs w:val="28"/>
          <w:highlight w:val="none"/>
        </w:rPr>
        <w:t>附件2：中小企业声明函</w:t>
      </w:r>
      <w:bookmarkEnd w:id="270"/>
      <w:bookmarkEnd w:id="271"/>
      <w:bookmarkEnd w:id="272"/>
      <w:bookmarkEnd w:id="273"/>
      <w:bookmarkEnd w:id="274"/>
    </w:p>
    <w:p w14:paraId="70E8A17E">
      <w:pPr>
        <w:spacing w:beforeLines="50" w:afterLines="50" w:line="360" w:lineRule="auto"/>
        <w:jc w:val="center"/>
        <w:rPr>
          <w:rFonts w:hAnsi="宋体" w:cs="宋体"/>
          <w:b/>
          <w:color w:val="auto"/>
          <w:sz w:val="28"/>
          <w:szCs w:val="28"/>
          <w:highlight w:val="none"/>
        </w:rPr>
      </w:pPr>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76" w:name="_Toc12704"/>
      <w:bookmarkStart w:id="277" w:name="_Toc5964"/>
      <w:bookmarkStart w:id="278" w:name="_Toc8863"/>
      <w:bookmarkStart w:id="279" w:name="_Toc13530"/>
      <w:bookmarkStart w:id="280" w:name="_Toc10758"/>
      <w:r>
        <w:rPr>
          <w:rFonts w:hint="eastAsia" w:hAnsi="宋体" w:cs="宋体"/>
          <w:b/>
          <w:color w:val="auto"/>
          <w:sz w:val="28"/>
          <w:szCs w:val="28"/>
          <w:highlight w:val="none"/>
        </w:rPr>
        <w:t>附件3：磋商产品属节能、环境标志产品列表（如有）</w:t>
      </w:r>
      <w:bookmarkEnd w:id="276"/>
      <w:bookmarkEnd w:id="277"/>
      <w:bookmarkEnd w:id="278"/>
      <w:bookmarkEnd w:id="279"/>
      <w:bookmarkEnd w:id="280"/>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75"/>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5"/>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81" w:name="_Toc11066"/>
      <w:bookmarkStart w:id="282" w:name="_Toc22425"/>
      <w:bookmarkStart w:id="283" w:name="_Toc11235"/>
      <w:bookmarkStart w:id="284" w:name="_Toc27124"/>
      <w:bookmarkStart w:id="285" w:name="_Toc29025"/>
      <w:r>
        <w:rPr>
          <w:rFonts w:hint="eastAsia" w:hAnsi="宋体" w:cs="宋体"/>
          <w:b/>
          <w:bCs/>
          <w:color w:val="auto"/>
          <w:spacing w:val="6"/>
          <w:sz w:val="30"/>
          <w:szCs w:val="30"/>
          <w:highlight w:val="none"/>
        </w:rPr>
        <w:t>附件4：残疾人福利性单位声明函（如有）</w:t>
      </w:r>
      <w:bookmarkEnd w:id="281"/>
      <w:bookmarkEnd w:id="282"/>
      <w:bookmarkEnd w:id="283"/>
      <w:bookmarkEnd w:id="284"/>
      <w:bookmarkEnd w:id="285"/>
    </w:p>
    <w:p w14:paraId="334000A8">
      <w:pPr>
        <w:spacing w:line="588" w:lineRule="exact"/>
        <w:jc w:val="center"/>
        <w:rPr>
          <w:rFonts w:hAnsi="宋体" w:cs="宋体"/>
          <w:b/>
          <w:color w:val="auto"/>
          <w:spacing w:val="6"/>
          <w:sz w:val="32"/>
          <w:szCs w:val="32"/>
          <w:highlight w:val="none"/>
        </w:rPr>
      </w:pPr>
      <w:bookmarkStart w:id="286" w:name="OLE_LINK13"/>
      <w:bookmarkStart w:id="287" w:name="OLE_LINK14"/>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9109"/>
      <w:bookmarkStart w:id="289" w:name="_Toc2139"/>
      <w:bookmarkStart w:id="290" w:name="_Toc2119"/>
      <w:bookmarkStart w:id="291" w:name="_Toc19526"/>
      <w:bookmarkStart w:id="292" w:name="_Toc23160"/>
      <w:r>
        <w:rPr>
          <w:rFonts w:hint="eastAsia" w:hAnsi="宋体" w:cs="宋体"/>
          <w:b/>
          <w:color w:val="auto"/>
          <w:sz w:val="28"/>
          <w:szCs w:val="28"/>
          <w:highlight w:val="none"/>
        </w:rPr>
        <w:t>附件5：质疑函范本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2025年西安正能量网络精品征集展播活动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EEE3"/>
    <w:multiLevelType w:val="singleLevel"/>
    <w:tmpl w:val="8636EEE3"/>
    <w:lvl w:ilvl="0" w:tentative="0">
      <w:start w:val="1"/>
      <w:numFmt w:val="decimal"/>
      <w:suff w:val="nothing"/>
      <w:lvlText w:val="%1、"/>
      <w:lvlJc w:val="left"/>
    </w:lvl>
  </w:abstractNum>
  <w:abstractNum w:abstractNumId="1">
    <w:nsid w:val="CCC7A2A6"/>
    <w:multiLevelType w:val="singleLevel"/>
    <w:tmpl w:val="CCC7A2A6"/>
    <w:lvl w:ilvl="0" w:tentative="0">
      <w:start w:val="1"/>
      <w:numFmt w:val="decimal"/>
      <w:suff w:val="nothing"/>
      <w:lvlText w:val="%1、"/>
      <w:lvlJc w:val="left"/>
    </w:lvl>
  </w:abstractNum>
  <w:abstractNum w:abstractNumId="2">
    <w:nsid w:val="24214F00"/>
    <w:multiLevelType w:val="singleLevel"/>
    <w:tmpl w:val="24214F00"/>
    <w:lvl w:ilvl="0" w:tentative="0">
      <w:start w:val="1"/>
      <w:numFmt w:val="chineseCounting"/>
      <w:suff w:val="nothing"/>
      <w:lvlText w:val="%1、"/>
      <w:lvlJc w:val="left"/>
      <w:rPr>
        <w:rFonts w:hint="eastAsia"/>
      </w:rPr>
    </w:lvl>
  </w:abstractNum>
  <w:abstractNum w:abstractNumId="3">
    <w:nsid w:val="3345DCC0"/>
    <w:multiLevelType w:val="singleLevel"/>
    <w:tmpl w:val="3345DCC0"/>
    <w:lvl w:ilvl="0" w:tentative="0">
      <w:start w:val="1"/>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951F11"/>
    <w:rsid w:val="0BE31B98"/>
    <w:rsid w:val="0C4F1BEB"/>
    <w:rsid w:val="0C580AA0"/>
    <w:rsid w:val="0DCD7E5B"/>
    <w:rsid w:val="0EC42C1D"/>
    <w:rsid w:val="0FB71F81"/>
    <w:rsid w:val="0FCB77DB"/>
    <w:rsid w:val="0FD83CA6"/>
    <w:rsid w:val="108274B3"/>
    <w:rsid w:val="10BD35C7"/>
    <w:rsid w:val="10C03B1A"/>
    <w:rsid w:val="110A4333"/>
    <w:rsid w:val="11933EF1"/>
    <w:rsid w:val="124E6541"/>
    <w:rsid w:val="13055EFC"/>
    <w:rsid w:val="1408016B"/>
    <w:rsid w:val="14FF19C2"/>
    <w:rsid w:val="16D004E2"/>
    <w:rsid w:val="16D34E48"/>
    <w:rsid w:val="17381DE3"/>
    <w:rsid w:val="175400B6"/>
    <w:rsid w:val="17E77172"/>
    <w:rsid w:val="18243F2C"/>
    <w:rsid w:val="18624A54"/>
    <w:rsid w:val="19F1107F"/>
    <w:rsid w:val="1A6A586E"/>
    <w:rsid w:val="1A7840BB"/>
    <w:rsid w:val="1A7F74B5"/>
    <w:rsid w:val="1AB77E2C"/>
    <w:rsid w:val="1B917B2A"/>
    <w:rsid w:val="1BAE4D2B"/>
    <w:rsid w:val="1BF20D44"/>
    <w:rsid w:val="1BF70EFF"/>
    <w:rsid w:val="1D6C4D32"/>
    <w:rsid w:val="1D8C396C"/>
    <w:rsid w:val="1E47352A"/>
    <w:rsid w:val="1E474499"/>
    <w:rsid w:val="1E616F4E"/>
    <w:rsid w:val="1E7D10B6"/>
    <w:rsid w:val="1E9329DA"/>
    <w:rsid w:val="1F126C7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E01C20"/>
    <w:rsid w:val="29E55A22"/>
    <w:rsid w:val="2AF552B4"/>
    <w:rsid w:val="2B372839"/>
    <w:rsid w:val="2B934FAD"/>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C81974"/>
    <w:rsid w:val="31CF685F"/>
    <w:rsid w:val="3231334B"/>
    <w:rsid w:val="331040BE"/>
    <w:rsid w:val="333E1EEE"/>
    <w:rsid w:val="355C5974"/>
    <w:rsid w:val="358723B5"/>
    <w:rsid w:val="359C6A8A"/>
    <w:rsid w:val="361433DA"/>
    <w:rsid w:val="36745C27"/>
    <w:rsid w:val="37662F7D"/>
    <w:rsid w:val="38325D99"/>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06B590C"/>
    <w:rsid w:val="42377DAE"/>
    <w:rsid w:val="429D651C"/>
    <w:rsid w:val="42B37C55"/>
    <w:rsid w:val="42F00D2B"/>
    <w:rsid w:val="430B7CC0"/>
    <w:rsid w:val="43305EF3"/>
    <w:rsid w:val="45A81449"/>
    <w:rsid w:val="45D148E1"/>
    <w:rsid w:val="477E6905"/>
    <w:rsid w:val="47BA5602"/>
    <w:rsid w:val="47CB7BCD"/>
    <w:rsid w:val="48723E9C"/>
    <w:rsid w:val="48A948A9"/>
    <w:rsid w:val="48F344FE"/>
    <w:rsid w:val="496B79EC"/>
    <w:rsid w:val="49BD79B3"/>
    <w:rsid w:val="49C82C57"/>
    <w:rsid w:val="49DD445F"/>
    <w:rsid w:val="4A02381D"/>
    <w:rsid w:val="4A1C0EB1"/>
    <w:rsid w:val="4A5E47CC"/>
    <w:rsid w:val="4AAC2C6F"/>
    <w:rsid w:val="4B9C1A50"/>
    <w:rsid w:val="4BAD77B9"/>
    <w:rsid w:val="4C966BC0"/>
    <w:rsid w:val="4D1E03A6"/>
    <w:rsid w:val="4D3038E5"/>
    <w:rsid w:val="4D477799"/>
    <w:rsid w:val="4D596375"/>
    <w:rsid w:val="4DEB6377"/>
    <w:rsid w:val="4DED6593"/>
    <w:rsid w:val="4E7E7EDA"/>
    <w:rsid w:val="4EA053B3"/>
    <w:rsid w:val="4F0B353D"/>
    <w:rsid w:val="4F0D5377"/>
    <w:rsid w:val="50121437"/>
    <w:rsid w:val="50132763"/>
    <w:rsid w:val="509203B3"/>
    <w:rsid w:val="50DF5A3C"/>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90A2C81"/>
    <w:rsid w:val="59361347"/>
    <w:rsid w:val="593908DE"/>
    <w:rsid w:val="59875AED"/>
    <w:rsid w:val="598A113A"/>
    <w:rsid w:val="59A66EED"/>
    <w:rsid w:val="5A4E220C"/>
    <w:rsid w:val="5AF150AF"/>
    <w:rsid w:val="5C06474A"/>
    <w:rsid w:val="5D500F29"/>
    <w:rsid w:val="5D5905FD"/>
    <w:rsid w:val="5D822C5A"/>
    <w:rsid w:val="5D93740B"/>
    <w:rsid w:val="5DD46E27"/>
    <w:rsid w:val="5E421FD0"/>
    <w:rsid w:val="5E7A7155"/>
    <w:rsid w:val="5E7A79CF"/>
    <w:rsid w:val="5EAA2796"/>
    <w:rsid w:val="5ED0632D"/>
    <w:rsid w:val="5ED51AA0"/>
    <w:rsid w:val="5F1C7961"/>
    <w:rsid w:val="5F864151"/>
    <w:rsid w:val="60032A91"/>
    <w:rsid w:val="60637039"/>
    <w:rsid w:val="60C74A21"/>
    <w:rsid w:val="60E03D35"/>
    <w:rsid w:val="61195669"/>
    <w:rsid w:val="61397DAE"/>
    <w:rsid w:val="61B50D1E"/>
    <w:rsid w:val="62AE5E99"/>
    <w:rsid w:val="63397B7F"/>
    <w:rsid w:val="633F11E7"/>
    <w:rsid w:val="634A36E8"/>
    <w:rsid w:val="638A1AF5"/>
    <w:rsid w:val="64A936CA"/>
    <w:rsid w:val="64B90E2D"/>
    <w:rsid w:val="64CA4AE0"/>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E237E7E"/>
    <w:rsid w:val="6E960558"/>
    <w:rsid w:val="6F386134"/>
    <w:rsid w:val="6F944668"/>
    <w:rsid w:val="6F995F63"/>
    <w:rsid w:val="70406237"/>
    <w:rsid w:val="70C5413D"/>
    <w:rsid w:val="70FE3161"/>
    <w:rsid w:val="71BC1928"/>
    <w:rsid w:val="723E1DBC"/>
    <w:rsid w:val="73C27AB3"/>
    <w:rsid w:val="73C72DDD"/>
    <w:rsid w:val="7436299A"/>
    <w:rsid w:val="74393A30"/>
    <w:rsid w:val="74C552BF"/>
    <w:rsid w:val="74F97939"/>
    <w:rsid w:val="75102D70"/>
    <w:rsid w:val="76047015"/>
    <w:rsid w:val="76214E9E"/>
    <w:rsid w:val="76E06023"/>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25775</Words>
  <Characters>27548</Characters>
  <Lines>245</Lines>
  <Paragraphs>69</Paragraphs>
  <TotalTime>2</TotalTime>
  <ScaleCrop>false</ScaleCrop>
  <LinksUpToDate>false</LinksUpToDate>
  <CharactersWithSpaces>28320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2025-09-02T02:34:25Z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12D31501B1064D93852A700EDCD94387_13</vt:lpwstr>
  </property>
  <property fmtid="{D5CDD505-2E9C-101B-9397-08002B2CF9AE}" pid="4" name="KSOTemplateDocerSaveRecord">
    <vt:lpwstr>eyJoZGlkIjoiMDc2YjExZDk4YmRkMTFlODc4NDZiMTVkOTg4ODNhMmEiLCJ1c2VySWQiOiI1OTI1NjQzNTQifQ==</vt:lpwstr>
  </property>
</Properties>
</file>