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西安石油大学赵季平音乐艺术馆建设项目招标公告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赵季平音乐艺术馆建设项目</w:t>
      </w:r>
      <w:r>
        <w:rPr>
          <w:rFonts w:ascii="仿宋_GB2312" w:hAnsi="仿宋_GB2312" w:cs="仿宋_GB2312" w:eastAsia="仿宋_GB2312"/>
        </w:rPr>
        <w:t>的潜在投标人应在陕西省政府采购综合管理平台项目电子化交易系统（以下简称“项目电子化交易系统”）获取招标文件，并于</w:t>
      </w:r>
      <w:r>
        <w:rPr>
          <w:rFonts w:ascii="仿宋_GB2312" w:hAnsi="仿宋_GB2312" w:cs="仿宋_GB2312" w:eastAsia="仿宋_GB2312"/>
        </w:rPr>
        <w:t xml:space="preserve"> 2025年10月09日 14时00分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项目编号：HRC-ZBDL-2025-01347</w:t>
      </w:r>
    </w:p>
    <w:p>
      <w:pPr>
        <w:pStyle w:val="null3"/>
      </w:pPr>
      <w:r>
        <w:rPr>
          <w:rFonts w:ascii="仿宋_GB2312" w:hAnsi="仿宋_GB2312" w:cs="仿宋_GB2312" w:eastAsia="仿宋_GB2312"/>
        </w:rPr>
        <w:t>项目名称：赵季平音乐艺术馆建设项目</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预算金额：4,500,000.00元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采购包1：65日历天（2025年12月20日前完工）</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合同包1(赵季平音乐艺术馆建设项目)落实政府采购政策需满足的资格要求如下:</w:t>
      </w:r>
    </w:p>
    <w:p>
      <w:pPr>
        <w:pStyle w:val="null3"/>
        <w:ind w:left="480"/>
      </w:pPr>
      <w:r>
        <w:rPr>
          <w:rFonts w:ascii="仿宋_GB2312" w:hAnsi="仿宋_GB2312" w:cs="仿宋_GB2312" w:eastAsia="仿宋_GB2312"/>
        </w:rPr>
        <w:t>参与的供应商（联合体） 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合同包1(赵季平音乐艺术馆建设项目)特定资格要求如下:</w:t>
      </w:r>
    </w:p>
    <w:p>
      <w:pPr>
        <w:pStyle w:val="null3"/>
      </w:pPr>
      <w:r>
        <w:rPr>
          <w:rFonts w:ascii="仿宋_GB2312" w:hAnsi="仿宋_GB2312" w:cs="仿宋_GB2312" w:eastAsia="仿宋_GB2312"/>
        </w:rPr>
        <w:t>(1)具有独立承担民事责任能力的法人、其他组织或自然人，并出具合法有效的营业执照或事业单位法人证书等国家规定的相关证明，自然人参与的提供其身份证明。 供应商需在项目电子化交易系统中按要求上传相应证明文件并进行电子签章。</w:t>
      </w:r>
    </w:p>
    <w:p>
      <w:pPr>
        <w:pStyle w:val="null3"/>
      </w:pPr>
      <w:r>
        <w:rPr>
          <w:rFonts w:ascii="仿宋_GB2312" w:hAnsi="仿宋_GB2312" w:cs="仿宋_GB2312" w:eastAsia="仿宋_GB2312"/>
        </w:rPr>
        <w:t>(2)法定代表人参加投标须提供《法定代表人身份证明》及身份证复印 件；法定代表人授权他人参加投标，须提供《法定代表人授权委托书》及委托代理人身份证复印件，并提供被授权人自2025年5月1日以来至少一个月在本公司的社会保障资金缴纳证明。 供应商需在项目电子化交易系统中按要求上传相应授权书并进行电子签章。</w:t>
      </w:r>
    </w:p>
    <w:p>
      <w:pPr>
        <w:pStyle w:val="null3"/>
      </w:pPr>
      <w:r>
        <w:rPr>
          <w:rFonts w:ascii="仿宋_GB2312" w:hAnsi="仿宋_GB2312" w:cs="仿宋_GB2312" w:eastAsia="仿宋_GB2312"/>
        </w:rPr>
        <w:t>(3)①可提供2024年度经审计完整的财务报告（包括审计报告、资产负债表、利润表、现金流量表、所有者权益变动表及其附注等相关资料），②可提供截至投标文件提交截止日半年内银行出具的资信证明，③供应商注册时间截至投标文件提交截止日不足一年的，也可提供成立后任意时段的资产负债表；④提供财政部门认可的政府采购专业担保机构出具的投标担保函；（以上四种形式的资料提供任何一种即可）。 供应商需在项目电子化交易系统中按要求上传相应证明文件并进行电子签章。</w:t>
      </w:r>
    </w:p>
    <w:p>
      <w:pPr>
        <w:pStyle w:val="null3"/>
      </w:pPr>
      <w:r>
        <w:rPr>
          <w:rFonts w:ascii="仿宋_GB2312" w:hAnsi="仿宋_GB2312" w:cs="仿宋_GB2312" w:eastAsia="仿宋_GB2312"/>
        </w:rPr>
        <w:t>(4)提供2025年3月至今已缴纳的任意一个月的纳税证明或完税证明（任意税种），依法免税的单位应提供相关证明材料。供应商需在项目电子化交易系统中按要求上传相应证明文件并进行电子签章。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(5)提供2025年3月至今任意一个月的社会保障资金缴存单据或社保机构开具的社会保险参保缴费情况证明，依法不需要缴纳社会保障资金的单位应提供相关证明材料。 供应商需在项目电子化交易系统中按要求上传相应证明文件并进行电子签章。</w:t>
      </w:r>
    </w:p>
    <w:p>
      <w:pPr>
        <w:pStyle w:val="null3"/>
      </w:pPr>
      <w:r>
        <w:rPr>
          <w:rFonts w:ascii="仿宋_GB2312" w:hAnsi="仿宋_GB2312" w:cs="仿宋_GB2312" w:eastAsia="仿宋_GB2312"/>
        </w:rPr>
        <w:t>(6)须具备建筑装修装饰工程专业承包贰级及以上资质，并具有有效的安全生产许可证。 供应商需在项目电子化交易系统中按要求上传相应证明文件并进行电子签章。</w:t>
      </w:r>
    </w:p>
    <w:p>
      <w:pPr>
        <w:pStyle w:val="null3"/>
      </w:pPr>
      <w:r>
        <w:rPr>
          <w:rFonts w:ascii="仿宋_GB2312" w:hAnsi="仿宋_GB2312" w:cs="仿宋_GB2312" w:eastAsia="仿宋_GB2312"/>
        </w:rPr>
        <w:t>(7)拟派项目经理具备建筑工程专业二级及以上注册建造师执业资格且在本单位注册，具有有效的安全生产考核合格证（建安B证），无不良信用记录，且未担任其他在建工程项目的项目经理。 专业：建筑工程专业 供应商需在项目电子化交易系统中按要求上传相应证明文件并进行电子签章，拟派项目经理无不良信用记录、无在建项目证明按格式要求提供承诺函。</w:t>
      </w:r>
    </w:p>
    <w:p>
      <w:pPr>
        <w:pStyle w:val="null3"/>
      </w:pPr>
      <w:r>
        <w:rPr>
          <w:rFonts w:ascii="仿宋_GB2312" w:hAnsi="仿宋_GB2312" w:cs="仿宋_GB2312" w:eastAsia="仿宋_GB2312"/>
        </w:rPr>
        <w:t>(8)提供陕西省住房和城乡建设厅（ht tps://js.shaanxi.gov.cn）《陕西省建筑市场监管与诚信信息发布平台》企业和拟派项目经理查询截图；外省进陕企业需提供陕西省住房和城乡建设厅官网企业库外省进陕企业信息首页截图。 供应商在项目电子化交易系统中按要求上传相应查询截图并进行电子签章，未提供或提供的截图不清晰，以评审现场核查为准。</w:t>
      </w:r>
    </w:p>
    <w:p>
      <w:pPr>
        <w:pStyle w:val="null3"/>
      </w:pPr>
      <w:r>
        <w:rPr>
          <w:rFonts w:ascii="仿宋_GB2312" w:hAnsi="仿宋_GB2312" w:cs="仿宋_GB2312" w:eastAsia="仿宋_GB2312"/>
        </w:rPr>
        <w:t>(9)参加本次政府采购活动前三年内在经营活动中没有重大违纪，以及未被列入失信被执行人、重大税收违法失信主体、政府采购严重违法失信行为记录名单。本项目拒绝被列入失信被执行人、重大税收违法失信主体、政府采购严重违法失信行为的供应商参与。 供应商在项目电子化交易系统中按要求提供《基本资格条件承诺函》并进行电子签章。</w:t>
      </w:r>
    </w:p>
    <w:p>
      <w:pPr>
        <w:pStyle w:val="null3"/>
      </w:pPr>
      <w:r>
        <w:rPr>
          <w:rFonts w:ascii="仿宋_GB2312" w:hAnsi="仿宋_GB2312" w:cs="仿宋_GB2312" w:eastAsia="仿宋_GB2312"/>
        </w:rPr>
        <w:t>(10)单位负责人为同一人或者存在直接控股、管理关系的不同供应商（承包商），不得同时参加本项目同一合同项的投标。 供应商需在项目电子化交易系统中按要求填写《投标函》完成承诺并进行电子签章。</w:t>
      </w:r>
    </w:p>
    <w:p>
      <w:pPr>
        <w:pStyle w:val="null3"/>
      </w:pPr>
      <w:r>
        <w:rPr>
          <w:rFonts w:ascii="仿宋_GB2312" w:hAnsi="仿宋_GB2312" w:cs="仿宋_GB2312" w:eastAsia="仿宋_GB2312"/>
        </w:rPr>
        <w:t>(11)提供具有履行合同所必需的设备和专业技术能力的承诺函。 供应商在项目电子化交易系统中按要求提供《基本资格条件承诺函》并进行电子签章。</w:t>
      </w:r>
    </w:p>
    <w:p>
      <w:pPr>
        <w:pStyle w:val="null3"/>
      </w:pPr>
      <w:r>
        <w:rPr>
          <w:rFonts w:ascii="仿宋_GB2312" w:hAnsi="仿宋_GB2312" w:cs="仿宋_GB2312" w:eastAsia="仿宋_GB2312"/>
        </w:rPr>
        <w:t>(12)本项目为专门面向中小企业项目，供应商提供《中小企业声明函》。承揽工程的供应商应为中型企业或小型、微型企业或监狱企业或残疾人福利性单位（监狱企业以及残疾人福利性单位视同小型、微型企业）。</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2025年09月16日 </w:t>
      </w:r>
      <w:r>
        <w:rPr>
          <w:rFonts w:ascii="仿宋_GB2312" w:hAnsi="仿宋_GB2312" w:cs="仿宋_GB2312" w:eastAsia="仿宋_GB2312"/>
        </w:rPr>
        <w:t>至</w:t>
      </w:r>
      <w:r>
        <w:rPr>
          <w:rFonts w:ascii="仿宋_GB2312" w:hAnsi="仿宋_GB2312" w:cs="仿宋_GB2312" w:eastAsia="仿宋_GB2312"/>
        </w:rPr>
        <w:t xml:space="preserve"> 2025年09月22日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2025年10月09日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pPr>
      <w:r>
        <w:rPr>
          <w:rFonts w:ascii="仿宋_GB2312" w:hAnsi="仿宋_GB2312" w:cs="仿宋_GB2312" w:eastAsia="仿宋_GB2312"/>
        </w:rPr>
        <w:t>开标地点：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24"/>
          <w:color w:val="000000"/>
        </w:rPr>
        <w:t>为顺利推进政府采购电子化交易平台应用工作，</w:t>
      </w:r>
      <w:r>
        <w:rPr>
          <w:rFonts w:ascii="仿宋_GB2312" w:hAnsi="仿宋_GB2312" w:cs="仿宋_GB2312" w:eastAsia="仿宋_GB2312"/>
          <w:sz w:val="24"/>
          <w:color w:val="000000"/>
        </w:rPr>
        <w:t>中标</w:t>
      </w:r>
      <w:r>
        <w:rPr>
          <w:rFonts w:ascii="仿宋_GB2312" w:hAnsi="仿宋_GB2312" w:cs="仿宋_GB2312" w:eastAsia="仿宋_GB2312"/>
          <w:sz w:val="24"/>
          <w:color w:val="000000"/>
        </w:rPr>
        <w:t>供应商在领取</w:t>
      </w:r>
      <w:r>
        <w:rPr>
          <w:rFonts w:ascii="仿宋_GB2312" w:hAnsi="仿宋_GB2312" w:cs="仿宋_GB2312" w:eastAsia="仿宋_GB2312"/>
          <w:sz w:val="24"/>
          <w:color w:val="000000"/>
        </w:rPr>
        <w:t>中标</w:t>
      </w:r>
      <w:r>
        <w:rPr>
          <w:rFonts w:ascii="仿宋_GB2312" w:hAnsi="仿宋_GB2312" w:cs="仿宋_GB2312" w:eastAsia="仿宋_GB2312"/>
          <w:sz w:val="24"/>
          <w:color w:val="000000"/>
        </w:rPr>
        <w:t>通知书时，需线下提供纸质响应文件叁份、电子版（</w:t>
      </w:r>
      <w:r>
        <w:rPr>
          <w:rFonts w:ascii="仿宋_GB2312" w:hAnsi="仿宋_GB2312" w:cs="仿宋_GB2312" w:eastAsia="仿宋_GB2312"/>
          <w:sz w:val="24"/>
          <w:color w:val="000000"/>
        </w:rPr>
        <w:t>U盘）壹份（内容与平台上传的签章版电子文件保持一致），纸质响应文件建议A4纸双面</w:t>
      </w:r>
      <w:r>
        <w:rPr>
          <w:rFonts w:ascii="仿宋_GB2312" w:hAnsi="仿宋_GB2312" w:cs="仿宋_GB2312" w:eastAsia="仿宋_GB2312"/>
          <w:sz w:val="24"/>
          <w:color w:val="000000"/>
        </w:rPr>
        <w:t>黑白</w:t>
      </w:r>
      <w:r>
        <w:rPr>
          <w:rFonts w:ascii="仿宋_GB2312" w:hAnsi="仿宋_GB2312" w:cs="仿宋_GB2312" w:eastAsia="仿宋_GB2312"/>
          <w:sz w:val="24"/>
          <w:color w:val="000000"/>
        </w:rPr>
        <w:t>打印，各自装订成册</w:t>
      </w:r>
      <w:r>
        <w:rPr>
          <w:rFonts w:ascii="仿宋_GB2312" w:hAnsi="仿宋_GB2312" w:cs="仿宋_GB2312" w:eastAsia="仿宋_GB2312"/>
          <w:sz w:val="24"/>
          <w:color w:val="000000"/>
        </w:rPr>
        <w:t>，</w:t>
      </w:r>
      <w:r>
        <w:rPr>
          <w:rFonts w:ascii="仿宋_GB2312" w:hAnsi="仿宋_GB2312" w:cs="仿宋_GB2312" w:eastAsia="仿宋_GB2312"/>
          <w:sz w:val="24"/>
          <w:color w:val="000000"/>
        </w:rPr>
        <w:t>封面加盖红章</w:t>
      </w:r>
      <w:r>
        <w:rPr>
          <w:rFonts w:ascii="仿宋_GB2312" w:hAnsi="仿宋_GB2312" w:cs="仿宋_GB2312" w:eastAsia="仿宋_GB2312"/>
          <w:sz w:val="24"/>
          <w:color w:val="000000"/>
        </w:rPr>
        <w:t>及加盖骑缝章</w:t>
      </w:r>
      <w:r>
        <w:rPr>
          <w:rFonts w:ascii="仿宋_GB2312" w:hAnsi="仿宋_GB2312" w:cs="仿宋_GB2312" w:eastAsia="仿宋_GB2312"/>
          <w:sz w:val="24"/>
          <w:color w:val="000000"/>
        </w:rPr>
        <w:t>，</w:t>
      </w:r>
      <w:r>
        <w:rPr>
          <w:rFonts w:ascii="仿宋_GB2312" w:hAnsi="仿宋_GB2312" w:cs="仿宋_GB2312" w:eastAsia="仿宋_GB2312"/>
          <w:sz w:val="24"/>
          <w:color w:val="000000"/>
        </w:rPr>
        <w:t>书脊处写明项目名称及项目编号</w:t>
      </w:r>
      <w:r>
        <w:rPr>
          <w:rFonts w:ascii="仿宋_GB2312" w:hAnsi="仿宋_GB2312" w:cs="仿宋_GB2312" w:eastAsia="仿宋_GB2312"/>
          <w:sz w:val="24"/>
          <w:color w:val="000000"/>
        </w:rPr>
        <w:t>。</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西安石油大学</w:t>
      </w:r>
    </w:p>
    <w:p>
      <w:pPr>
        <w:pStyle w:val="null3"/>
      </w:pPr>
      <w:r>
        <w:rPr>
          <w:rFonts w:ascii="仿宋_GB2312" w:hAnsi="仿宋_GB2312" w:cs="仿宋_GB2312" w:eastAsia="仿宋_GB2312"/>
        </w:rPr>
        <w:t>地址：</w:t>
      </w:r>
      <w:r>
        <w:rPr>
          <w:rFonts w:ascii="仿宋_GB2312" w:hAnsi="仿宋_GB2312" w:cs="仿宋_GB2312" w:eastAsia="仿宋_GB2312"/>
        </w:rPr>
        <w:t>西安市电子二路18号</w:t>
      </w:r>
    </w:p>
    <w:p>
      <w:pPr>
        <w:pStyle w:val="null3"/>
      </w:pPr>
      <w:r>
        <w:rPr>
          <w:rFonts w:ascii="仿宋_GB2312" w:hAnsi="仿宋_GB2312" w:cs="仿宋_GB2312" w:eastAsia="仿宋_GB2312"/>
        </w:rPr>
        <w:t>联系方式：</w:t>
      </w:r>
      <w:r>
        <w:rPr>
          <w:rFonts w:ascii="仿宋_GB2312" w:hAnsi="仿宋_GB2312" w:cs="仿宋_GB2312" w:eastAsia="仿宋_GB2312"/>
        </w:rPr>
        <w:t xml:space="preserve"> 029-88382832</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华睿诚项目管理有限公司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陕西省西安市雁塔区曲江新区雁翔路3269号旺座曲江E座29层2901号</w:t>
      </w:r>
    </w:p>
    <w:p>
      <w:pPr>
        <w:pStyle w:val="null3"/>
      </w:pPr>
      <w:r>
        <w:rPr>
          <w:rFonts w:ascii="仿宋_GB2312" w:hAnsi="仿宋_GB2312" w:cs="仿宋_GB2312" w:eastAsia="仿宋_GB2312"/>
        </w:rPr>
        <w:t>联系方式：</w:t>
      </w:r>
      <w:r>
        <w:rPr>
          <w:rFonts w:ascii="仿宋_GB2312" w:hAnsi="仿宋_GB2312" w:cs="仿宋_GB2312" w:eastAsia="仿宋_GB2312"/>
        </w:rPr>
        <w:t>15209203045</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何幸</w:t>
      </w:r>
    </w:p>
    <w:p>
      <w:pPr>
        <w:pStyle w:val="null3"/>
      </w:pPr>
      <w:r>
        <w:rPr>
          <w:rFonts w:ascii="仿宋_GB2312" w:hAnsi="仿宋_GB2312" w:cs="仿宋_GB2312" w:eastAsia="仿宋_GB2312"/>
        </w:rPr>
        <w:t>电话：</w:t>
      </w:r>
      <w:r>
        <w:rPr>
          <w:rFonts w:ascii="仿宋_GB2312" w:hAnsi="仿宋_GB2312" w:cs="仿宋_GB2312" w:eastAsia="仿宋_GB2312"/>
        </w:rPr>
        <w:t>15209203045</w:t>
      </w:r>
    </w:p>
    <w:p>
      <w:pPr>
        <w:pStyle w:val="null3"/>
        <w:jc w:val="right"/>
      </w:pPr>
      <w:r>
        <w:rPr>
          <w:rFonts w:ascii="仿宋_GB2312" w:hAnsi="仿宋_GB2312" w:cs="仿宋_GB2312" w:eastAsia="仿宋_GB2312"/>
        </w:rPr>
        <w:t>华睿诚项目管理有限公司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