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宜川县民政局宜川县2024年特殊困难家庭适老化改造项目竞争性谈判公告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宜川县2024年特殊困难家庭适老化改造项目</w:t>
      </w:r>
      <w:r>
        <w:rPr>
          <w:rFonts w:ascii="仿宋_GB2312" w:hAnsi="仿宋_GB2312" w:cs="仿宋_GB2312" w:eastAsia="仿宋_GB2312"/>
        </w:rPr>
        <w:t>采购项目的潜在供应商应在</w:t>
      </w:r>
      <w:r>
        <w:rPr>
          <w:rFonts w:ascii="仿宋_GB2312" w:hAnsi="仿宋_GB2312" w:cs="仿宋_GB2312" w:eastAsia="仿宋_GB2312"/>
        </w:rPr>
        <w:t>凡有意供应商，请于2025年 9月18日至2025年9月22 日（节假日休息），每日上午8时30分至11时30分，下午14时30分至17时30分持法定代表人身份证明书或法定代表人授权委托书及本人身份证原件及复印件在延安市枣园路圣都花园C区10楼报名室获取竞争性谈判文件。</w:t>
      </w:r>
      <w:r>
        <w:rPr>
          <w:rFonts w:ascii="仿宋_GB2312" w:hAnsi="仿宋_GB2312" w:cs="仿宋_GB2312" w:eastAsia="仿宋_GB2312"/>
        </w:rPr>
        <w:t>获取采购文件，并于</w:t>
      </w:r>
      <w:r>
        <w:rPr>
          <w:rFonts w:ascii="仿宋_GB2312" w:hAnsi="仿宋_GB2312" w:cs="仿宋_GB2312" w:eastAsia="仿宋_GB2312"/>
        </w:rPr>
        <w:t xml:space="preserve"> 2025年09月25日 15时00分 </w:t>
      </w:r>
      <w:r>
        <w:rPr>
          <w:rFonts w:ascii="仿宋_GB2312" w:hAnsi="仿宋_GB2312" w:cs="仿宋_GB2312" w:eastAsia="仿宋_GB2312"/>
        </w:rPr>
        <w:t>（北京时间）前提交响应文件。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项目编号：HDCGDL-ZC2025-073</w:t>
      </w:r>
    </w:p>
    <w:p>
      <w:pPr>
        <w:pStyle w:val="null3"/>
      </w:pPr>
      <w:r>
        <w:rPr>
          <w:rFonts w:ascii="仿宋_GB2312" w:hAnsi="仿宋_GB2312" w:cs="仿宋_GB2312" w:eastAsia="仿宋_GB2312"/>
        </w:rPr>
        <w:t>项目名称：宜川县2024年特殊困难家庭适老化改造项目</w:t>
      </w:r>
    </w:p>
    <w:p>
      <w:pPr>
        <w:pStyle w:val="null3"/>
      </w:pPr>
      <w:r>
        <w:rPr>
          <w:rFonts w:ascii="仿宋_GB2312" w:hAnsi="仿宋_GB2312" w:cs="仿宋_GB2312" w:eastAsia="仿宋_GB2312"/>
        </w:rPr>
        <w:t>采购方式：竞争性谈判</w:t>
      </w:r>
    </w:p>
    <w:p>
      <w:pPr>
        <w:pStyle w:val="null3"/>
      </w:pPr>
      <w:r>
        <w:rPr>
          <w:rFonts w:ascii="仿宋_GB2312" w:hAnsi="仿宋_GB2312" w:cs="仿宋_GB2312" w:eastAsia="仿宋_GB2312"/>
        </w:rPr>
        <w:t>预算金额：245,100.00元</w:t>
      </w:r>
    </w:p>
    <w:p>
      <w:pPr>
        <w:pStyle w:val="null3"/>
      </w:pPr>
      <w:r>
        <w:rPr>
          <w:rFonts w:ascii="仿宋_GB2312" w:hAnsi="仿宋_GB2312" w:cs="仿宋_GB2312" w:eastAsia="仿宋_GB2312"/>
        </w:rPr>
        <w:t>采购需求：</w:t>
      </w:r>
    </w:p>
    <w:p>
      <w:pPr>
        <w:pStyle w:val="null3"/>
      </w:pPr>
      <w:r>
        <w:rPr>
          <w:rFonts w:ascii="仿宋_GB2312" w:hAnsi="仿宋_GB2312" w:cs="仿宋_GB2312" w:eastAsia="仿宋_GB2312"/>
        </w:rPr>
        <w:t>合同包1(宜川县2024年特殊困难家庭适老化改造项目):</w:t>
      </w:r>
    </w:p>
    <w:p>
      <w:pPr>
        <w:pStyle w:val="null3"/>
        <w:ind w:firstLine="630"/>
      </w:pPr>
      <w:r>
        <w:rPr>
          <w:rFonts w:ascii="仿宋_GB2312" w:hAnsi="仿宋_GB2312" w:cs="仿宋_GB2312" w:eastAsia="仿宋_GB2312"/>
        </w:rPr>
        <w:t>合同包预算金额：</w:t>
      </w:r>
      <w:r>
        <w:rPr>
          <w:rFonts w:ascii="仿宋_GB2312" w:hAnsi="仿宋_GB2312" w:cs="仿宋_GB2312" w:eastAsia="仿宋_GB2312"/>
        </w:rPr>
        <w:t>245,100.00元</w:t>
      </w:r>
    </w:p>
    <w:p>
      <w:pPr>
        <w:pStyle w:val="null3"/>
        <w:ind w:firstLine="630"/>
      </w:pPr>
      <w:r>
        <w:rPr>
          <w:rFonts w:ascii="仿宋_GB2312" w:hAnsi="仿宋_GB2312" w:cs="仿宋_GB2312" w:eastAsia="仿宋_GB2312"/>
        </w:rPr>
        <w:t xml:space="preserve"> 合同包最高限价：</w:t>
      </w:r>
      <w:r>
        <w:rPr>
          <w:rFonts w:ascii="仿宋_GB2312" w:hAnsi="仿宋_GB2312" w:cs="仿宋_GB2312" w:eastAsia="仿宋_GB2312"/>
        </w:rPr>
        <w:t>245,100.00元</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rFonts w:ascii="仿宋_GB2312" w:hAnsi="仿宋_GB2312" w:cs="仿宋_GB2312" w:eastAsia="仿宋_GB2312"/>
              </w:rPr>
              <w:t>品目号</w:t>
            </w:r>
          </w:p>
        </w:tc>
        <w:tc>
          <w:tcPr>
            <w:tcW w:type="dxa" w:w="1384"/>
          </w:tcPr>
          <w:p>
            <w:pPr>
              <w:pStyle w:val="null3"/>
            </w:pPr>
            <w:r>
              <w:rPr>
                <w:rFonts w:ascii="仿宋_GB2312" w:hAnsi="仿宋_GB2312" w:cs="仿宋_GB2312" w:eastAsia="仿宋_GB2312"/>
              </w:rPr>
              <w:t>品目名称</w:t>
            </w:r>
          </w:p>
        </w:tc>
        <w:tc>
          <w:tcPr>
            <w:tcW w:type="dxa" w:w="1384"/>
          </w:tcPr>
          <w:p>
            <w:pPr>
              <w:pStyle w:val="null3"/>
            </w:pPr>
            <w:r>
              <w:rPr>
                <w:rFonts w:ascii="仿宋_GB2312" w:hAnsi="仿宋_GB2312" w:cs="仿宋_GB2312" w:eastAsia="仿宋_GB2312"/>
              </w:rPr>
              <w:t>采购标的</w:t>
            </w:r>
          </w:p>
        </w:tc>
        <w:tc>
          <w:tcPr>
            <w:tcW w:type="dxa" w:w="1384"/>
          </w:tcPr>
          <w:p>
            <w:pPr>
              <w:pStyle w:val="null3"/>
            </w:pPr>
            <w:r>
              <w:rPr>
                <w:rFonts w:ascii="仿宋_GB2312" w:hAnsi="仿宋_GB2312" w:cs="仿宋_GB2312" w:eastAsia="仿宋_GB2312"/>
              </w:rPr>
              <w:t>数量（单位）</w:t>
            </w:r>
          </w:p>
        </w:tc>
        <w:tc>
          <w:tcPr>
            <w:tcW w:type="dxa" w:w="1384"/>
          </w:tcPr>
          <w:p>
            <w:pPr>
              <w:pStyle w:val="null3"/>
            </w:pPr>
            <w:r>
              <w:rPr>
                <w:rFonts w:ascii="仿宋_GB2312" w:hAnsi="仿宋_GB2312" w:cs="仿宋_GB2312" w:eastAsia="仿宋_GB2312"/>
              </w:rPr>
              <w:t>技术规格、参数及要求</w:t>
            </w:r>
          </w:p>
        </w:tc>
        <w:tc>
          <w:tcPr>
            <w:tcW w:type="dxa" w:w="1384"/>
          </w:tcPr>
          <w:p>
            <w:pPr>
              <w:pStyle w:val="null3"/>
            </w:pPr>
            <w:r>
              <w:rPr>
                <w:rFonts w:ascii="仿宋_GB2312" w:hAnsi="仿宋_GB2312" w:cs="仿宋_GB2312" w:eastAsia="仿宋_GB2312"/>
              </w:rPr>
              <w:t>品目预算(元)</w:t>
            </w:r>
          </w:p>
        </w:tc>
      </w:tr>
      <w:tr>
        <w:tc>
          <w:tcPr>
            <w:tcW w:type="dxa" w:w="1384"/>
          </w:tcPr>
          <w:p>
            <w:pPr>
              <w:pStyle w:val="null3"/>
            </w:pPr>
            <w:r>
              <w:rPr>
                <w:rFonts w:ascii="仿宋_GB2312" w:hAnsi="仿宋_GB2312" w:cs="仿宋_GB2312" w:eastAsia="仿宋_GB2312"/>
              </w:rPr>
              <w:t>1-1</w:t>
            </w:r>
          </w:p>
        </w:tc>
        <w:tc>
          <w:tcPr>
            <w:tcW w:type="dxa" w:w="1384"/>
          </w:tcPr>
          <w:p>
            <w:pPr>
              <w:pStyle w:val="null3"/>
            </w:pPr>
            <w:r>
              <w:rPr>
                <w:rFonts w:ascii="仿宋_GB2312" w:hAnsi="仿宋_GB2312" w:cs="仿宋_GB2312" w:eastAsia="仿宋_GB2312"/>
              </w:rPr>
              <w:t>其他室内装具</w:t>
            </w:r>
          </w:p>
        </w:tc>
        <w:tc>
          <w:tcPr>
            <w:tcW w:type="dxa" w:w="1384"/>
          </w:tcPr>
          <w:p>
            <w:pPr>
              <w:pStyle w:val="null3"/>
            </w:pPr>
            <w:r>
              <w:rPr>
                <w:rFonts w:ascii="仿宋_GB2312" w:hAnsi="仿宋_GB2312" w:cs="仿宋_GB2312" w:eastAsia="仿宋_GB2312"/>
              </w:rPr>
              <w:t>起身扶手、带坐助力扶手、可移动床边扶手、智能定位手表等</w:t>
            </w:r>
          </w:p>
        </w:tc>
        <w:tc>
          <w:tcPr>
            <w:tcW w:type="dxa" w:w="1384"/>
          </w:tcPr>
          <w:p>
            <w:pPr>
              <w:pStyle w:val="null3"/>
            </w:pPr>
            <w:r>
              <w:rPr>
                <w:rFonts w:ascii="仿宋_GB2312" w:hAnsi="仿宋_GB2312" w:cs="仿宋_GB2312" w:eastAsia="仿宋_GB2312"/>
              </w:rPr>
              <w:t>1(批)</w:t>
            </w:r>
          </w:p>
        </w:tc>
        <w:tc>
          <w:tcPr>
            <w:tcW w:type="dxa" w:w="1384"/>
          </w:tcPr>
          <w:p>
            <w:pPr>
              <w:pStyle w:val="null3"/>
            </w:pPr>
            <w:r>
              <w:rPr>
                <w:rFonts w:ascii="仿宋_GB2312" w:hAnsi="仿宋_GB2312" w:cs="仿宋_GB2312" w:eastAsia="仿宋_GB2312"/>
              </w:rPr>
              <w:t>详见采购文件</w:t>
            </w:r>
          </w:p>
        </w:tc>
        <w:tc>
          <w:tcPr>
            <w:tcW w:type="dxa" w:w="1384"/>
          </w:tcPr>
          <w:p>
            <w:pPr>
              <w:pStyle w:val="null3"/>
            </w:pPr>
            <w:r>
              <w:rPr>
                <w:rFonts w:ascii="仿宋_GB2312" w:hAnsi="仿宋_GB2312" w:cs="仿宋_GB2312" w:eastAsia="仿宋_GB2312"/>
              </w:rPr>
              <w:t>245,100.00</w:t>
            </w:r>
          </w:p>
        </w:tc>
      </w:tr>
    </w:tbl>
    <w:p>
      <w:pPr>
        <w:pStyle w:val="null3"/>
      </w:pPr>
      <w:r>
        <w:rPr>
          <w:rFonts w:ascii="仿宋_GB2312" w:hAnsi="仿宋_GB2312" w:cs="仿宋_GB2312" w:eastAsia="仿宋_GB2312"/>
        </w:rPr>
        <w:t xml:space="preserve"> 本合同包</w:t>
      </w:r>
      <w:r>
        <w:rPr>
          <w:rFonts w:ascii="仿宋_GB2312" w:hAnsi="仿宋_GB2312" w:cs="仿宋_GB2312" w:eastAsia="仿宋_GB2312"/>
        </w:rPr>
        <w:t>不接受</w:t>
      </w:r>
      <w:r>
        <w:rPr>
          <w:rFonts w:ascii="仿宋_GB2312" w:hAnsi="仿宋_GB2312" w:cs="仿宋_GB2312" w:eastAsia="仿宋_GB2312"/>
        </w:rPr>
        <w:t>联合体投标</w:t>
      </w:r>
    </w:p>
    <w:p>
      <w:pPr>
        <w:pStyle w:val="null3"/>
      </w:pPr>
      <w:r>
        <w:rPr>
          <w:rFonts w:ascii="仿宋_GB2312" w:hAnsi="仿宋_GB2312" w:cs="仿宋_GB2312" w:eastAsia="仿宋_GB2312"/>
        </w:rPr>
        <w:t xml:space="preserve"> 合同履行期限：</w:t>
      </w:r>
      <w:r>
        <w:rPr>
          <w:rFonts w:ascii="仿宋_GB2312" w:hAnsi="仿宋_GB2312" w:cs="仿宋_GB2312" w:eastAsia="仿宋_GB2312"/>
        </w:rPr>
        <w:t>自合同签订之日起30日历天</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2.落实政府采购政策需满足的资格要求：</w:t>
      </w:r>
    </w:p>
    <w:p>
      <w:pPr>
        <w:pStyle w:val="null3"/>
      </w:pPr>
      <w:r>
        <w:rPr>
          <w:rFonts w:ascii="仿宋_GB2312" w:hAnsi="仿宋_GB2312" w:cs="仿宋_GB2312" w:eastAsia="仿宋_GB2312"/>
        </w:rPr>
        <w:t>合同包1(宜川县2024年特殊困难家庭适老化改造项目)落实政府采购政策需满足的资格要求如下:</w:t>
      </w:r>
    </w:p>
    <w:p>
      <w:pPr>
        <w:pStyle w:val="null3"/>
        <w:ind w:left="480"/>
      </w:pPr>
      <w:r>
        <w:rPr>
          <w:rFonts w:ascii="仿宋_GB2312" w:hAnsi="仿宋_GB2312" w:cs="仿宋_GB2312" w:eastAsia="仿宋_GB2312"/>
        </w:rPr>
        <w:t>①《财政部工业和信息化部关于印发〈政府采购促进中小企业发展管理办法〉的通知》（财库〔2020〕46号）；</w:t>
      </w:r>
      <w:r>
        <w:br/>
      </w:r>
      <w:r>
        <w:rPr>
          <w:rFonts w:ascii="仿宋_GB2312" w:hAnsi="仿宋_GB2312" w:cs="仿宋_GB2312" w:eastAsia="仿宋_GB2312"/>
        </w:rPr>
        <w:t>②《财政部司法部关于政府采购支持监狱企业发展有关问题的通知》（财库〔2014〕68号）；</w:t>
      </w:r>
      <w:r>
        <w:br/>
      </w:r>
      <w:r>
        <w:rPr>
          <w:rFonts w:ascii="仿宋_GB2312" w:hAnsi="仿宋_GB2312" w:cs="仿宋_GB2312" w:eastAsia="仿宋_GB2312"/>
        </w:rPr>
        <w:t>③《三部门联合发布关于促进残疾人就业政府采购政策的通知》（财库〔2017〕141号）；</w:t>
      </w:r>
      <w:r>
        <w:br/>
      </w:r>
      <w:r>
        <w:rPr>
          <w:rFonts w:ascii="仿宋_GB2312" w:hAnsi="仿宋_GB2312" w:cs="仿宋_GB2312" w:eastAsia="仿宋_GB2312"/>
        </w:rPr>
        <w:t>④其他需要落实的政府采购政策；</w:t>
      </w:r>
      <w:r>
        <w:br/>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合同包1(宜川县2024年特殊困难家庭适老化改造项目)特定资格要求如下:</w:t>
      </w:r>
    </w:p>
    <w:p>
      <w:pPr>
        <w:pStyle w:val="null3"/>
        <w:ind w:left="480"/>
      </w:pPr>
      <w:r>
        <w:rPr>
          <w:rFonts w:ascii="仿宋_GB2312" w:hAnsi="仿宋_GB2312" w:cs="仿宋_GB2312" w:eastAsia="仿宋_GB2312"/>
        </w:rPr>
        <w:t>①供应商具有独立承担民事责任能力的法人或其他组织，提供合法有效的统一社会信用代码的营业执照（年度报告）或事业单位法人证书等国家规定的相关证明，开户许可证（或基本存款账户信息）；</w:t>
      </w:r>
      <w:r>
        <w:br/>
      </w:r>
      <w:r>
        <w:rPr>
          <w:rFonts w:ascii="仿宋_GB2312" w:hAnsi="仿宋_GB2312" w:cs="仿宋_GB2312" w:eastAsia="仿宋_GB2312"/>
        </w:rPr>
        <w:t>②法定代表人授权书（附法定代表人身份证复印件）及被授权人身份证原件；（法定代表人直接参加只须提供法定代表人身份证）；</w:t>
      </w:r>
      <w:r>
        <w:br/>
      </w:r>
      <w:r>
        <w:rPr>
          <w:rFonts w:ascii="仿宋_GB2312" w:hAnsi="仿宋_GB2312" w:cs="仿宋_GB2312" w:eastAsia="仿宋_GB2312"/>
        </w:rPr>
        <w:t>③供应商应出具参加政府采购活动前3年内，在经营活动中无重大违法记录的书面声明；</w:t>
      </w:r>
      <w:r>
        <w:br/>
      </w:r>
      <w:r>
        <w:rPr>
          <w:rFonts w:ascii="仿宋_GB2312" w:hAnsi="仿宋_GB2312" w:cs="仿宋_GB2312" w:eastAsia="仿宋_GB2312"/>
        </w:rPr>
        <w:t xml:space="preserve">④提供2024年经会计师事务所审计的财务审计报告或近三个月内银行出具的资信证明； </w:t>
      </w:r>
      <w:r>
        <w:br/>
      </w:r>
      <w:r>
        <w:rPr>
          <w:rFonts w:ascii="仿宋_GB2312" w:hAnsi="仿宋_GB2312" w:cs="仿宋_GB2312" w:eastAsia="仿宋_GB2312"/>
        </w:rPr>
        <w:t xml:space="preserve">⑤ 提供2025年1月1日至今至少1个月依法缴纳税收的相关材料,依法免税或无须缴纳税收的投标人，应提供相应证明文件；     </w:t>
      </w:r>
      <w:r>
        <w:br/>
      </w:r>
      <w:r>
        <w:rPr>
          <w:rFonts w:ascii="仿宋_GB2312" w:hAnsi="仿宋_GB2312" w:cs="仿宋_GB2312" w:eastAsia="仿宋_GB2312"/>
        </w:rPr>
        <w:t>⑥提供2024年1月1日至今至少1个月的社保机构开具的社会保险参保缴费情况证明，单据或证明上应有社保机构的公章,依法不需要缴纳社会保障资金的投标人应提供相关证明文件；</w:t>
      </w:r>
      <w:r>
        <w:br/>
      </w:r>
      <w:r>
        <w:rPr>
          <w:rFonts w:ascii="仿宋_GB2312" w:hAnsi="仿宋_GB2312" w:cs="仿宋_GB2312" w:eastAsia="仿宋_GB2312"/>
        </w:rPr>
        <w:t>⑦供应商不得为“中国执行信息公开网”列入失信被执行人名单的供应商，不得为“信用中国”网列入重大税收违法失信主体名单的供应商，不得为中国政府采购网政府采购严重违法失信行为记录名单中被财政部门禁止参加政府采购活动的供应商（以上内容资格审查时现场核查）。</w:t>
      </w:r>
      <w:r>
        <w:br/>
      </w:r>
      <w:r>
        <w:rPr>
          <w:rFonts w:ascii="仿宋_GB2312" w:hAnsi="仿宋_GB2312" w:cs="仿宋_GB2312" w:eastAsia="仿宋_GB2312"/>
        </w:rPr>
        <w:t>⑧单位负责人为同一人或者存在控股、管理关系的不同供应商，不得同时参加本项目同一合同包的采购活动。</w:t>
      </w:r>
      <w:r>
        <w:br/>
      </w:r>
      <w:r>
        <w:rPr>
          <w:rFonts w:ascii="仿宋_GB2312" w:hAnsi="仿宋_GB2312" w:cs="仿宋_GB2312" w:eastAsia="仿宋_GB2312"/>
        </w:rPr>
        <w:t>（9）本项目为专门面向中小企业采购项目。</w:t>
      </w:r>
    </w:p>
    <w:p>
      <w:pPr>
        <w:pStyle w:val="null3"/>
        <w:outlineLvl w:val="3"/>
      </w:pPr>
      <w:r>
        <w:rPr>
          <w:rFonts w:ascii="仿宋_GB2312" w:hAnsi="仿宋_GB2312" w:cs="仿宋_GB2312" w:eastAsia="仿宋_GB2312"/>
          <w:sz w:val="24"/>
          <w:b/>
        </w:rPr>
        <w:t>三、获取采购文件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2025年09月18日 </w:t>
      </w:r>
      <w:r>
        <w:rPr>
          <w:rFonts w:ascii="仿宋_GB2312" w:hAnsi="仿宋_GB2312" w:cs="仿宋_GB2312" w:eastAsia="仿宋_GB2312"/>
        </w:rPr>
        <w:t>至</w:t>
      </w:r>
      <w:r>
        <w:rPr>
          <w:rFonts w:ascii="仿宋_GB2312" w:hAnsi="仿宋_GB2312" w:cs="仿宋_GB2312" w:eastAsia="仿宋_GB2312"/>
        </w:rPr>
        <w:t xml:space="preserve"> 2025年09月22日 </w:t>
      </w:r>
      <w:r>
        <w:rPr>
          <w:rFonts w:ascii="仿宋_GB2312" w:hAnsi="仿宋_GB2312" w:cs="仿宋_GB2312" w:eastAsia="仿宋_GB2312"/>
        </w:rPr>
        <w:t>，每天上午</w:t>
      </w:r>
      <w:r>
        <w:rPr>
          <w:rFonts w:ascii="仿宋_GB2312" w:hAnsi="仿宋_GB2312" w:cs="仿宋_GB2312" w:eastAsia="仿宋_GB2312"/>
        </w:rPr>
        <w:t xml:space="preserve"> 08:00:00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12:00:00 </w:t>
      </w:r>
      <w:r>
        <w:rPr>
          <w:rFonts w:ascii="仿宋_GB2312" w:hAnsi="仿宋_GB2312" w:cs="仿宋_GB2312" w:eastAsia="仿宋_GB2312"/>
        </w:rPr>
        <w:t>至</w:t>
      </w:r>
      <w:r>
        <w:rPr>
          <w:rFonts w:ascii="仿宋_GB2312" w:hAnsi="仿宋_GB2312" w:cs="仿宋_GB2312" w:eastAsia="仿宋_GB2312"/>
        </w:rPr>
        <w:t xml:space="preserve"> 18:00:00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凡有意供应商，请于2025年 9月18日至2025年9月22 日（节假日休息），每日上午8时30分至11时30分，下午14时30分至17时30分持法定代表人身份证明书或法定代表人授权委托书及本人身份证原件及复印件在延安市枣园路圣都花园C区10楼报名室获取竞争性谈判文件。</w:t>
      </w:r>
    </w:p>
    <w:p>
      <w:pPr>
        <w:pStyle w:val="null3"/>
      </w:pPr>
      <w:r>
        <w:rPr>
          <w:rFonts w:ascii="仿宋_GB2312" w:hAnsi="仿宋_GB2312" w:cs="仿宋_GB2312" w:eastAsia="仿宋_GB2312"/>
        </w:rPr>
        <w:t>方式：</w:t>
      </w:r>
      <w:r>
        <w:rPr>
          <w:rFonts w:ascii="仿宋_GB2312" w:hAnsi="仿宋_GB2312" w:cs="仿宋_GB2312" w:eastAsia="仿宋_GB2312"/>
        </w:rPr>
        <w:t>现场获取</w:t>
      </w:r>
    </w:p>
    <w:p>
      <w:pPr>
        <w:pStyle w:val="null3"/>
      </w:pPr>
      <w:r>
        <w:rPr>
          <w:rFonts w:ascii="仿宋_GB2312" w:hAnsi="仿宋_GB2312" w:cs="仿宋_GB2312" w:eastAsia="仿宋_GB2312"/>
        </w:rPr>
        <w:t>售价：</w:t>
      </w:r>
      <w:r>
        <w:rPr>
          <w:rFonts w:ascii="仿宋_GB2312" w:hAnsi="仿宋_GB2312" w:cs="仿宋_GB2312" w:eastAsia="仿宋_GB2312"/>
        </w:rPr>
        <w:t xml:space="preserve"> 300元</w:t>
      </w:r>
    </w:p>
    <w:p>
      <w:pPr>
        <w:pStyle w:val="null3"/>
        <w:outlineLvl w:val="3"/>
      </w:pPr>
      <w:r>
        <w:rPr>
          <w:rFonts w:ascii="仿宋_GB2312" w:hAnsi="仿宋_GB2312" w:cs="仿宋_GB2312" w:eastAsia="仿宋_GB2312"/>
          <w:sz w:val="24"/>
          <w:b/>
        </w:rPr>
        <w:t>四、响应文件提交</w:t>
      </w:r>
    </w:p>
    <w:p>
      <w:pPr>
        <w:pStyle w:val="null3"/>
      </w:pPr>
      <w:r>
        <w:rPr>
          <w:rFonts w:ascii="仿宋_GB2312" w:hAnsi="仿宋_GB2312" w:cs="仿宋_GB2312" w:eastAsia="仿宋_GB2312"/>
        </w:rPr>
        <w:t>截止时间：</w:t>
      </w:r>
      <w:r>
        <w:rPr>
          <w:rFonts w:ascii="仿宋_GB2312" w:hAnsi="仿宋_GB2312" w:cs="仿宋_GB2312" w:eastAsia="仿宋_GB2312"/>
        </w:rPr>
        <w:t xml:space="preserve"> 2025年09月25日 15时00分00秒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延安市枣园路圣都花园C区10楼开标大厅</w:t>
      </w:r>
    </w:p>
    <w:p>
      <w:pPr>
        <w:pStyle w:val="null3"/>
        <w:outlineLvl w:val="3"/>
      </w:pPr>
      <w:r>
        <w:rPr>
          <w:rFonts w:ascii="仿宋_GB2312" w:hAnsi="仿宋_GB2312" w:cs="仿宋_GB2312" w:eastAsia="仿宋_GB2312"/>
          <w:sz w:val="24"/>
          <w:b/>
        </w:rPr>
        <w:t>五、开启</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2025年09月25日 15时00分00秒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延安市枣园路圣都花园C区10楼开标大厅</w:t>
      </w:r>
    </w:p>
    <w:p>
      <w:pPr>
        <w:pStyle w:val="null3"/>
        <w:outlineLvl w:val="3"/>
      </w:pPr>
      <w:r>
        <w:rPr>
          <w:rFonts w:ascii="仿宋_GB2312" w:hAnsi="仿宋_GB2312" w:cs="仿宋_GB2312" w:eastAsia="仿宋_GB2312"/>
          <w:sz w:val="24"/>
          <w:b/>
        </w:rPr>
        <w:t>六、公告期限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3</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七、其他补充事宜</w:t>
      </w:r>
    </w:p>
    <w:p>
      <w:pPr>
        <w:pStyle w:val="null3"/>
      </w:pPr>
      <w:r>
        <w:rPr>
          <w:rFonts w:ascii="仿宋_GB2312" w:hAnsi="仿宋_GB2312" w:cs="仿宋_GB2312" w:eastAsia="仿宋_GB2312"/>
        </w:rPr>
        <w:t>/</w:t>
      </w:r>
    </w:p>
    <w:p>
      <w:pPr>
        <w:pStyle w:val="null3"/>
        <w:outlineLvl w:val="3"/>
      </w:pPr>
      <w:r>
        <w:rPr>
          <w:rFonts w:ascii="仿宋_GB2312" w:hAnsi="仿宋_GB2312" w:cs="仿宋_GB2312" w:eastAsia="仿宋_GB2312"/>
          <w:sz w:val="24"/>
          <w:b/>
        </w:rPr>
        <w:t>八、对本次招标提出询问，请按以下方式联系。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宜川县民政局</w:t>
      </w:r>
    </w:p>
    <w:p>
      <w:pPr>
        <w:pStyle w:val="null3"/>
      </w:pPr>
      <w:r>
        <w:rPr>
          <w:rFonts w:ascii="仿宋_GB2312" w:hAnsi="仿宋_GB2312" w:cs="仿宋_GB2312" w:eastAsia="仿宋_GB2312"/>
        </w:rPr>
        <w:t>地址：</w:t>
      </w:r>
      <w:r>
        <w:rPr>
          <w:rFonts w:ascii="仿宋_GB2312" w:hAnsi="仿宋_GB2312" w:cs="仿宋_GB2312" w:eastAsia="仿宋_GB2312"/>
        </w:rPr>
        <w:t>宜川县党湾街</w:t>
      </w:r>
    </w:p>
    <w:p>
      <w:pPr>
        <w:pStyle w:val="null3"/>
      </w:pPr>
      <w:r>
        <w:rPr>
          <w:rFonts w:ascii="仿宋_GB2312" w:hAnsi="仿宋_GB2312" w:cs="仿宋_GB2312" w:eastAsia="仿宋_GB2312"/>
        </w:rPr>
        <w:t>联系方式：</w:t>
      </w:r>
      <w:r>
        <w:rPr>
          <w:rFonts w:ascii="仿宋_GB2312" w:hAnsi="仿宋_GB2312" w:cs="仿宋_GB2312" w:eastAsia="仿宋_GB2312"/>
        </w:rPr>
        <w:t>18309112353</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华鼎工程咨询集团有限公司</w:t>
      </w:r>
    </w:p>
    <w:p>
      <w:pPr>
        <w:pStyle w:val="null3"/>
      </w:pPr>
      <w:r>
        <w:rPr>
          <w:rFonts w:ascii="仿宋_GB2312" w:hAnsi="仿宋_GB2312" w:cs="仿宋_GB2312" w:eastAsia="仿宋_GB2312"/>
        </w:rPr>
        <w:t>地址：</w:t>
      </w:r>
      <w:r>
        <w:rPr>
          <w:rFonts w:ascii="仿宋_GB2312" w:hAnsi="仿宋_GB2312" w:cs="仿宋_GB2312" w:eastAsia="仿宋_GB2312"/>
        </w:rPr>
        <w:t>延安市枣园路圣都花园C区10楼</w:t>
      </w:r>
    </w:p>
    <w:p>
      <w:pPr>
        <w:pStyle w:val="null3"/>
      </w:pPr>
      <w:r>
        <w:rPr>
          <w:rFonts w:ascii="仿宋_GB2312" w:hAnsi="仿宋_GB2312" w:cs="仿宋_GB2312" w:eastAsia="仿宋_GB2312"/>
        </w:rPr>
        <w:t>联系方式：</w:t>
      </w:r>
      <w:r>
        <w:rPr>
          <w:rFonts w:ascii="仿宋_GB2312" w:hAnsi="仿宋_GB2312" w:cs="仿宋_GB2312" w:eastAsia="仿宋_GB2312"/>
        </w:rPr>
        <w:t>18700101117</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郭晓莉</w:t>
      </w:r>
    </w:p>
    <w:p>
      <w:pPr>
        <w:pStyle w:val="null3"/>
      </w:pPr>
      <w:r>
        <w:rPr>
          <w:rFonts w:ascii="仿宋_GB2312" w:hAnsi="仿宋_GB2312" w:cs="仿宋_GB2312" w:eastAsia="仿宋_GB2312"/>
        </w:rPr>
        <w:t>电话：</w:t>
      </w:r>
      <w:r>
        <w:rPr>
          <w:rFonts w:ascii="仿宋_GB2312" w:hAnsi="仿宋_GB2312" w:cs="仿宋_GB2312" w:eastAsia="仿宋_GB2312"/>
        </w:rPr>
        <w:t>18700101117</w:t>
      </w:r>
    </w:p>
    <w:p>
      <w:pPr>
        <w:pStyle w:val="null3"/>
        <w:jc w:val="right"/>
      </w:pPr>
      <w:r>
        <w:rPr>
          <w:rFonts w:ascii="仿宋_GB2312" w:hAnsi="仿宋_GB2312" w:cs="仿宋_GB2312" w:eastAsia="仿宋_GB2312"/>
        </w:rPr>
        <w:t>华鼎工程咨询集团有限公司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