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D45D">
      <w:pPr>
        <w:pStyle w:val="4"/>
      </w:pPr>
      <w:r>
        <w:rPr>
          <w:rFonts w:ascii="仿宋_GB2312" w:hAnsi="仿宋_GB2312" w:eastAsia="仿宋_GB2312" w:cs="仿宋_GB2312"/>
        </w:rPr>
        <w:t>标的名称：液态靶单晶衍射仪维保服务项目</w:t>
      </w:r>
    </w:p>
    <w:tbl>
      <w:tblPr>
        <w:tblStyle w:val="2"/>
        <w:tblW w:w="102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6"/>
        <w:gridCol w:w="716"/>
        <w:gridCol w:w="8857"/>
      </w:tblGrid>
      <w:tr w14:paraId="04FBE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666" w:type="dxa"/>
          </w:tcPr>
          <w:p w14:paraId="30A98CC1">
            <w:pPr>
              <w:pStyle w:val="4"/>
            </w:pPr>
            <w:bookmarkStart w:id="0" w:name="_GoBack"/>
            <w:bookmarkEnd w:id="0"/>
            <w:r>
              <w:rPr>
                <w:rFonts w:ascii="仿宋_GB2312" w:hAnsi="仿宋_GB2312" w:eastAsia="仿宋_GB2312" w:cs="仿宋_GB2312"/>
              </w:rPr>
              <w:t>序号</w:t>
            </w:r>
          </w:p>
        </w:tc>
        <w:tc>
          <w:tcPr>
            <w:tcW w:w="716" w:type="dxa"/>
          </w:tcPr>
          <w:p w14:paraId="16785F04">
            <w:pPr>
              <w:pStyle w:val="4"/>
            </w:pPr>
            <w:r>
              <w:rPr>
                <w:rFonts w:ascii="仿宋_GB2312" w:hAnsi="仿宋_GB2312" w:eastAsia="仿宋_GB2312" w:cs="仿宋_GB2312"/>
              </w:rPr>
              <w:t>参数性质</w:t>
            </w:r>
          </w:p>
        </w:tc>
        <w:tc>
          <w:tcPr>
            <w:tcW w:w="8857" w:type="dxa"/>
          </w:tcPr>
          <w:p w14:paraId="465D21F5">
            <w:pPr>
              <w:pStyle w:val="4"/>
            </w:pPr>
            <w:r>
              <w:rPr>
                <w:rFonts w:ascii="仿宋_GB2312" w:hAnsi="仿宋_GB2312" w:eastAsia="仿宋_GB2312" w:cs="仿宋_GB2312"/>
              </w:rPr>
              <w:t xml:space="preserve"> 技术参数与性能指标</w:t>
            </w:r>
          </w:p>
        </w:tc>
      </w:tr>
      <w:tr w14:paraId="5C8CC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2" w:hRule="atLeast"/>
        </w:trPr>
        <w:tc>
          <w:tcPr>
            <w:tcW w:w="666" w:type="dxa"/>
          </w:tcPr>
          <w:p w14:paraId="46501F38">
            <w:pPr>
              <w:pStyle w:val="4"/>
            </w:pPr>
            <w:r>
              <w:rPr>
                <w:rFonts w:ascii="仿宋_GB2312" w:hAnsi="仿宋_GB2312" w:eastAsia="仿宋_GB2312" w:cs="仿宋_GB2312"/>
              </w:rPr>
              <w:t>1</w:t>
            </w:r>
          </w:p>
        </w:tc>
        <w:tc>
          <w:tcPr>
            <w:tcW w:w="716" w:type="dxa"/>
          </w:tcPr>
          <w:p w14:paraId="01AC19DA"/>
        </w:tc>
        <w:tc>
          <w:tcPr>
            <w:tcW w:w="8857" w:type="dxa"/>
          </w:tcPr>
          <w:p w14:paraId="7B7A238D">
            <w:pPr>
              <w:pStyle w:val="4"/>
              <w:jc w:val="left"/>
            </w:pPr>
            <w:r>
              <w:rPr>
                <w:rFonts w:ascii="仿宋_GB2312" w:hAnsi="仿宋_GB2312" w:eastAsia="仿宋_GB2312" w:cs="仿宋_GB2312"/>
                <w:b/>
                <w:sz w:val="28"/>
              </w:rPr>
              <w:t>采购标的需实现的功能或者目标：</w:t>
            </w:r>
          </w:p>
          <w:p w14:paraId="0C37D7DB">
            <w:pPr>
              <w:pStyle w:val="4"/>
              <w:jc w:val="left"/>
            </w:pPr>
            <w:r>
              <w:rPr>
                <w:rFonts w:ascii="仿宋_GB2312" w:hAnsi="仿宋_GB2312" w:eastAsia="仿宋_GB2312" w:cs="仿宋_GB2312"/>
                <w:sz w:val="28"/>
              </w:rPr>
              <w:t>1. 完成液态靶单晶衍射仪现场故障诊断与维修，使仪器恢复正常性能指标；</w:t>
            </w:r>
          </w:p>
          <w:p w14:paraId="5C734E26">
            <w:pPr>
              <w:pStyle w:val="4"/>
              <w:jc w:val="left"/>
            </w:pPr>
            <w:r>
              <w:rPr>
                <w:rFonts w:ascii="仿宋_GB2312" w:hAnsi="仿宋_GB2312" w:eastAsia="仿宋_GB2312" w:cs="仿宋_GB2312"/>
                <w:sz w:val="28"/>
              </w:rPr>
              <w:t>2. 完成合同期内的液态金属靶光源维护服务；</w:t>
            </w:r>
          </w:p>
          <w:p w14:paraId="539DE6BD">
            <w:pPr>
              <w:pStyle w:val="4"/>
              <w:jc w:val="both"/>
            </w:pPr>
            <w:r>
              <w:rPr>
                <w:rFonts w:ascii="仿宋_GB2312" w:hAnsi="仿宋_GB2312" w:eastAsia="仿宋_GB2312" w:cs="仿宋_GB2312"/>
                <w:sz w:val="28"/>
              </w:rPr>
              <w:t>3. 完成合同期内的整机质量保修。</w:t>
            </w:r>
          </w:p>
        </w:tc>
      </w:tr>
      <w:tr w14:paraId="0FED2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01" w:hRule="atLeast"/>
        </w:trPr>
        <w:tc>
          <w:tcPr>
            <w:tcW w:w="666" w:type="dxa"/>
          </w:tcPr>
          <w:p w14:paraId="70EF32E3">
            <w:pPr>
              <w:pStyle w:val="4"/>
            </w:pPr>
            <w:r>
              <w:rPr>
                <w:rFonts w:ascii="仿宋_GB2312" w:hAnsi="仿宋_GB2312" w:eastAsia="仿宋_GB2312" w:cs="仿宋_GB2312"/>
              </w:rPr>
              <w:t>2</w:t>
            </w:r>
          </w:p>
        </w:tc>
        <w:tc>
          <w:tcPr>
            <w:tcW w:w="716" w:type="dxa"/>
          </w:tcPr>
          <w:p w14:paraId="540A6F0C"/>
        </w:tc>
        <w:tc>
          <w:tcPr>
            <w:tcW w:w="8857" w:type="dxa"/>
          </w:tcPr>
          <w:p w14:paraId="0345E76F">
            <w:pPr>
              <w:pStyle w:val="4"/>
              <w:jc w:val="left"/>
            </w:pPr>
            <w:r>
              <w:rPr>
                <w:rFonts w:ascii="仿宋_GB2312" w:hAnsi="仿宋_GB2312" w:eastAsia="仿宋_GB2312" w:cs="仿宋_GB2312"/>
                <w:b/>
                <w:sz w:val="28"/>
              </w:rPr>
              <w:t>服务内容：</w:t>
            </w:r>
          </w:p>
          <w:p w14:paraId="3E714448">
            <w:pPr>
              <w:pStyle w:val="4"/>
              <w:ind w:firstLine="560"/>
              <w:jc w:val="left"/>
            </w:pPr>
            <w:r>
              <w:rPr>
                <w:rFonts w:ascii="仿宋_GB2312" w:hAnsi="仿宋_GB2312" w:eastAsia="仿宋_GB2312" w:cs="仿宋_GB2312"/>
                <w:sz w:val="28"/>
              </w:rPr>
              <w:t>服务内容包括：液态靶单晶衍射仪（型号D8 VENTURE METALJET D2）现场故障诊断与维修，使仪器恢复正常性能指标；提供合同期内的液态金属靶光源维护服务以及合同期内的整机质量保修。</w:t>
            </w:r>
          </w:p>
          <w:p w14:paraId="2495C40B">
            <w:pPr>
              <w:pStyle w:val="4"/>
              <w:ind w:firstLine="560"/>
              <w:jc w:val="left"/>
            </w:pPr>
            <w:r>
              <w:rPr>
                <w:rFonts w:ascii="仿宋_GB2312" w:hAnsi="仿宋_GB2312" w:eastAsia="仿宋_GB2312" w:cs="仿宋_GB2312"/>
                <w:sz w:val="28"/>
              </w:rPr>
              <w:t xml:space="preserve">1. 故障诊断与维修服务     </w:t>
            </w:r>
          </w:p>
          <w:p w14:paraId="6FD42EBB">
            <w:pPr>
              <w:pStyle w:val="4"/>
              <w:ind w:firstLine="560"/>
              <w:jc w:val="left"/>
            </w:pPr>
            <w:r>
              <w:rPr>
                <w:rFonts w:ascii="仿宋_GB2312" w:hAnsi="仿宋_GB2312" w:eastAsia="仿宋_GB2312" w:cs="仿宋_GB2312"/>
                <w:sz w:val="28"/>
              </w:rPr>
              <w:t>（1）合同生效后，应在 2 个工作日内提供详细的远程初步诊断方案和预案，并在合同签订后的5 个工作日内安排工程师抵达现场。完成所有维修工作，确保仪器各项核心功能恢复正常，并达到以下性能验收指标。</w:t>
            </w:r>
          </w:p>
          <w:p w14:paraId="63A7D893">
            <w:pPr>
              <w:pStyle w:val="4"/>
              <w:ind w:left="420" w:firstLine="560"/>
              <w:jc w:val="both"/>
            </w:pPr>
            <w:r>
              <w:rPr>
                <w:rFonts w:ascii="仿宋_GB2312" w:hAnsi="仿宋_GB2312" w:eastAsia="仿宋_GB2312" w:cs="仿宋_GB2312"/>
                <w:sz w:val="28"/>
              </w:rPr>
              <w:t>X射线光源强度：DX :150，2theta=0，Al衰减片，0.8mm准直管， 满功率测试直射光光强≥94W CPS；</w:t>
            </w:r>
          </w:p>
          <w:p w14:paraId="5730F33C">
            <w:pPr>
              <w:pStyle w:val="4"/>
              <w:ind w:firstLine="2800"/>
              <w:jc w:val="both"/>
            </w:pPr>
            <w:r>
              <w:rPr>
                <w:rFonts w:ascii="仿宋_GB2312" w:hAnsi="仿宋_GB2312" w:eastAsia="仿宋_GB2312" w:cs="仿宋_GB2312"/>
                <w:sz w:val="28"/>
              </w:rPr>
              <w:t>功率≥ 250 W；</w:t>
            </w:r>
          </w:p>
          <w:p w14:paraId="7FD5CFE5">
            <w:pPr>
              <w:pStyle w:val="4"/>
              <w:ind w:firstLine="1120"/>
              <w:jc w:val="both"/>
            </w:pPr>
            <w:r>
              <w:rPr>
                <w:rFonts w:ascii="仿宋_GB2312" w:hAnsi="仿宋_GB2312" w:eastAsia="仿宋_GB2312" w:cs="仿宋_GB2312"/>
                <w:sz w:val="28"/>
              </w:rPr>
              <w:t>探测器性能：温度稳定性-15±0.5℃，图像正常；</w:t>
            </w:r>
          </w:p>
          <w:p w14:paraId="01B88311">
            <w:pPr>
              <w:pStyle w:val="4"/>
              <w:ind w:firstLine="560"/>
              <w:jc w:val="both"/>
            </w:pPr>
            <w:r>
              <w:rPr>
                <w:rFonts w:ascii="仿宋_GB2312" w:hAnsi="仿宋_GB2312" w:eastAsia="仿宋_GB2312" w:cs="仿宋_GB2312"/>
                <w:sz w:val="28"/>
              </w:rPr>
              <w:t>低温系统：温度控制范围：90 - 400K，控温精度：0.1 K；</w:t>
            </w:r>
          </w:p>
          <w:p w14:paraId="74CD0E29">
            <w:pPr>
              <w:pStyle w:val="4"/>
              <w:ind w:firstLine="560"/>
              <w:jc w:val="both"/>
            </w:pPr>
            <w:r>
              <w:rPr>
                <w:rFonts w:ascii="仿宋_GB2312" w:hAnsi="仿宋_GB2312" w:eastAsia="仿宋_GB2312" w:cs="仿宋_GB2312"/>
                <w:sz w:val="28"/>
              </w:rPr>
              <w:t>数据质量：使用标晶收集测试数据，0.9 A分辨率，R</w:t>
            </w:r>
            <w:r>
              <w:rPr>
                <w:rFonts w:ascii="仿宋_GB2312" w:hAnsi="仿宋_GB2312" w:eastAsia="仿宋_GB2312" w:cs="仿宋_GB2312"/>
                <w:sz w:val="28"/>
                <w:vertAlign w:val="subscript"/>
              </w:rPr>
              <w:t>sym</w:t>
            </w:r>
            <w:r>
              <w:rPr>
                <w:rFonts w:ascii="仿宋_GB2312" w:hAnsi="仿宋_GB2312" w:eastAsia="仿宋_GB2312" w:cs="仿宋_GB2312"/>
                <w:sz w:val="28"/>
              </w:rPr>
              <w:t xml:space="preserve"> &lt; 0.07，R</w:t>
            </w:r>
            <w:r>
              <w:rPr>
                <w:rFonts w:ascii="仿宋_GB2312" w:hAnsi="仿宋_GB2312" w:eastAsia="仿宋_GB2312" w:cs="仿宋_GB2312"/>
                <w:sz w:val="28"/>
                <w:vertAlign w:val="subscript"/>
              </w:rPr>
              <w:t>int</w:t>
            </w:r>
            <w:r>
              <w:rPr>
                <w:rFonts w:ascii="仿宋_GB2312" w:hAnsi="仿宋_GB2312" w:eastAsia="仿宋_GB2312" w:cs="仿宋_GB2312"/>
                <w:sz w:val="28"/>
              </w:rPr>
              <w:t xml:space="preserve"> &lt; 0.03, 结构精修R</w:t>
            </w:r>
            <w:r>
              <w:rPr>
                <w:rFonts w:ascii="仿宋_GB2312" w:hAnsi="仿宋_GB2312" w:eastAsia="仿宋_GB2312" w:cs="仿宋_GB2312"/>
                <w:sz w:val="28"/>
                <w:vertAlign w:val="subscript"/>
              </w:rPr>
              <w:t>1</w:t>
            </w:r>
            <w:r>
              <w:rPr>
                <w:rFonts w:ascii="仿宋_GB2312" w:hAnsi="仿宋_GB2312" w:eastAsia="仿宋_GB2312" w:cs="仿宋_GB2312"/>
                <w:sz w:val="28"/>
              </w:rPr>
              <w:t xml:space="preserve"> &lt; 0.03，Flack &lt; 0.1，完成从数据收集到结构解析的全流程。</w:t>
            </w:r>
          </w:p>
          <w:p w14:paraId="2875638A">
            <w:pPr>
              <w:pStyle w:val="4"/>
              <w:ind w:firstLine="560"/>
              <w:jc w:val="left"/>
            </w:pPr>
            <w:r>
              <w:rPr>
                <w:rFonts w:ascii="仿宋_GB2312" w:hAnsi="仿宋_GB2312" w:eastAsia="仿宋_GB2312" w:cs="仿宋_GB2312"/>
                <w:sz w:val="28"/>
              </w:rPr>
              <w:t xml:space="preserve">（2）此次维修必须包含Metaljet泵的深度维护及光源系统的升级（200W升级至250W）。   </w:t>
            </w:r>
          </w:p>
          <w:p w14:paraId="53BEE798">
            <w:pPr>
              <w:pStyle w:val="4"/>
              <w:ind w:firstLine="560"/>
              <w:jc w:val="left"/>
            </w:pPr>
            <w:r>
              <w:rPr>
                <w:rFonts w:ascii="仿宋_GB2312" w:hAnsi="仿宋_GB2312" w:eastAsia="仿宋_GB2312" w:cs="仿宋_GB2312"/>
                <w:sz w:val="28"/>
              </w:rPr>
              <w:t>（3）供应商必须指派具有丰富液态金属靶单晶设备维修经验的高级工程师提供现场服务，彻底排查并定位仪器故障点，向采购人出具书面《故障诊断报告》，明确说明故障原因、所需更换的部件清单及维修方案，并经采购人确认后方可实施。</w:t>
            </w:r>
          </w:p>
          <w:p w14:paraId="06525DC1">
            <w:pPr>
              <w:pStyle w:val="4"/>
              <w:ind w:firstLine="560"/>
              <w:jc w:val="left"/>
            </w:pPr>
            <w:r>
              <w:rPr>
                <w:rFonts w:ascii="仿宋_GB2312" w:hAnsi="仿宋_GB2312" w:eastAsia="仿宋_GB2312" w:cs="仿宋_GB2312"/>
                <w:sz w:val="28"/>
              </w:rPr>
              <w:t>（4）维修过程中更换的所有部件必须为原厂全新正品配件，并提供部件来源证明（光源系统为Excillum原厂配件，低温系统为Oxford原厂配件，其他部分为Bruker原厂配件）。</w:t>
            </w:r>
          </w:p>
          <w:p w14:paraId="0ED94F74">
            <w:pPr>
              <w:pStyle w:val="4"/>
              <w:ind w:firstLine="560"/>
              <w:jc w:val="left"/>
            </w:pPr>
            <w:r>
              <w:rPr>
                <w:rFonts w:ascii="仿宋_GB2312" w:hAnsi="仿宋_GB2312" w:eastAsia="仿宋_GB2312" w:cs="仿宋_GB2312"/>
                <w:sz w:val="28"/>
              </w:rPr>
              <w:t>2. 液态金属靶光源维护服务</w:t>
            </w:r>
          </w:p>
          <w:p w14:paraId="322A00F0">
            <w:pPr>
              <w:pStyle w:val="4"/>
              <w:ind w:firstLine="560"/>
              <w:jc w:val="left"/>
            </w:pPr>
            <w:r>
              <w:rPr>
                <w:rFonts w:ascii="仿宋_GB2312" w:hAnsi="仿宋_GB2312" w:eastAsia="仿宋_GB2312" w:cs="仿宋_GB2312"/>
                <w:sz w:val="28"/>
              </w:rPr>
              <w:t xml:space="preserve"> （1）提供光源升级（200W升级至250W）并提供合同期内液态金属靶光源的维护保障。此保障必须包括因光源正常衰减或故障导致的远程光源调试及免费更换配件（含人工），调试及更换不限次数，确保合同期内光源亮度满足测试需求。</w:t>
            </w:r>
          </w:p>
          <w:p w14:paraId="074343E8">
            <w:pPr>
              <w:pStyle w:val="4"/>
              <w:ind w:firstLine="560"/>
              <w:jc w:val="left"/>
            </w:pPr>
            <w:r>
              <w:rPr>
                <w:rFonts w:ascii="仿宋_GB2312" w:hAnsi="仿宋_GB2312" w:eastAsia="仿宋_GB2312" w:cs="仿宋_GB2312"/>
                <w:sz w:val="28"/>
              </w:rPr>
              <w:t xml:space="preserve"> （2）在合同期内，提供不少于 2 次的光源状态远程检测与评估，并出具评估报告。</w:t>
            </w:r>
          </w:p>
          <w:p w14:paraId="23662C1E">
            <w:pPr>
              <w:pStyle w:val="4"/>
              <w:ind w:firstLine="560"/>
              <w:jc w:val="left"/>
            </w:pPr>
            <w:r>
              <w:rPr>
                <w:rFonts w:ascii="仿宋_GB2312" w:hAnsi="仿宋_GB2312" w:eastAsia="仿宋_GB2312" w:cs="仿宋_GB2312"/>
                <w:sz w:val="28"/>
              </w:rPr>
              <w:t>3. 整机质量保修服务</w:t>
            </w:r>
          </w:p>
          <w:p w14:paraId="11914B1A">
            <w:pPr>
              <w:pStyle w:val="4"/>
              <w:ind w:firstLine="560"/>
              <w:jc w:val="left"/>
            </w:pPr>
            <w:r>
              <w:rPr>
                <w:rFonts w:ascii="仿宋_GB2312" w:hAnsi="仿宋_GB2312" w:eastAsia="仿宋_GB2312" w:cs="仿宋_GB2312"/>
                <w:sz w:val="28"/>
              </w:rPr>
              <w:t>（1）自合同生效起，提供合同期内的整机免费质量保修。</w:t>
            </w:r>
          </w:p>
          <w:p w14:paraId="539EBC17">
            <w:pPr>
              <w:pStyle w:val="4"/>
              <w:ind w:firstLine="560"/>
              <w:jc w:val="left"/>
            </w:pPr>
            <w:r>
              <w:rPr>
                <w:rFonts w:ascii="仿宋_GB2312" w:hAnsi="仿宋_GB2312" w:eastAsia="仿宋_GB2312" w:cs="仿宋_GB2312"/>
                <w:sz w:val="28"/>
              </w:rPr>
              <w:t>（2）保修范围涵盖本单晶衍射仪光源系统、测角仪、探测器、主机控制器、应用系统及软件等。</w:t>
            </w:r>
          </w:p>
          <w:p w14:paraId="5F36228B">
            <w:pPr>
              <w:pStyle w:val="4"/>
              <w:ind w:firstLine="560"/>
              <w:jc w:val="left"/>
            </w:pPr>
            <w:r>
              <w:rPr>
                <w:rFonts w:ascii="仿宋_GB2312" w:hAnsi="仿宋_GB2312" w:eastAsia="仿宋_GB2312" w:cs="仿宋_GB2312"/>
                <w:sz w:val="28"/>
              </w:rPr>
              <w:t>（3）对于保修期内出现的任何非人为因素造成的故障，供应商需提供免费的远程技术支持、现场维修服务及部件更换。</w:t>
            </w:r>
          </w:p>
          <w:p w14:paraId="65144CA9">
            <w:pPr>
              <w:pStyle w:val="4"/>
              <w:ind w:firstLine="560"/>
              <w:jc w:val="left"/>
            </w:pPr>
            <w:r>
              <w:rPr>
                <w:rFonts w:ascii="仿宋_GB2312" w:hAnsi="仿宋_GB2312" w:eastAsia="仿宋_GB2312" w:cs="仿宋_GB2312"/>
                <w:sz w:val="28"/>
              </w:rPr>
              <w:t>（4）提供应急电话支持，对于紧急故障，工程师需在12 小时内响应，并在48 小时内提出解决方案或安排现场支持。</w:t>
            </w:r>
          </w:p>
          <w:p w14:paraId="408B0A41">
            <w:pPr>
              <w:pStyle w:val="4"/>
              <w:ind w:firstLine="560"/>
              <w:jc w:val="left"/>
            </w:pPr>
            <w:r>
              <w:rPr>
                <w:rFonts w:ascii="仿宋_GB2312" w:hAnsi="仿宋_GB2312" w:eastAsia="仿宋_GB2312" w:cs="仿宋_GB2312"/>
                <w:sz w:val="28"/>
              </w:rPr>
              <w:t>4.</w:t>
            </w:r>
            <w:r>
              <w:rPr>
                <w:rFonts w:ascii="仿宋_GB2312" w:hAnsi="仿宋_GB2312" w:eastAsia="仿宋_GB2312" w:cs="仿宋_GB2312"/>
              </w:rPr>
              <w:t xml:space="preserve"> </w:t>
            </w:r>
            <w:r>
              <w:rPr>
                <w:rFonts w:ascii="仿宋_GB2312" w:hAnsi="仿宋_GB2312" w:eastAsia="仿宋_GB2312" w:cs="仿宋_GB2312"/>
                <w:sz w:val="28"/>
              </w:rPr>
              <w:t>服务时效</w:t>
            </w:r>
          </w:p>
          <w:p w14:paraId="3069E70F">
            <w:pPr>
              <w:pStyle w:val="4"/>
              <w:ind w:firstLine="560"/>
              <w:jc w:val="left"/>
            </w:pPr>
            <w:r>
              <w:rPr>
                <w:rFonts w:ascii="仿宋_GB2312" w:hAnsi="仿宋_GB2312" w:eastAsia="仿宋_GB2312" w:cs="仿宋_GB2312"/>
                <w:sz w:val="28"/>
              </w:rPr>
              <w:t>自合同签订之日起，提供现场故障诊断与维修，使仪器恢复正常性能指标，并提供为期12个月的液态金属靶光源维护服务及整机质量保修。合同期内故障维修和光源维护使仪器停机总时长不得超过60天（仪器报修时间为起始时间，仪器恢复正常运行时间为结束时间），若超出60天，合同期限增加相应的超出时长。</w:t>
            </w:r>
            <w:r>
              <w:rPr>
                <w:rFonts w:ascii="仿宋_GB2312" w:hAnsi="仿宋_GB2312" w:eastAsia="仿宋_GB2312" w:cs="仿宋_GB2312"/>
              </w:rPr>
              <w:t xml:space="preserve"> </w:t>
            </w:r>
          </w:p>
          <w:p w14:paraId="6339F2B7">
            <w:pPr>
              <w:pStyle w:val="4"/>
              <w:ind w:firstLine="560"/>
              <w:jc w:val="left"/>
            </w:pPr>
            <w:r>
              <w:rPr>
                <w:rFonts w:ascii="仿宋_GB2312" w:hAnsi="仿宋_GB2312" w:eastAsia="仿宋_GB2312" w:cs="仿宋_GB2312"/>
                <w:sz w:val="28"/>
              </w:rPr>
              <w:t>5. 技术培训</w:t>
            </w:r>
          </w:p>
          <w:p w14:paraId="6A0B3955">
            <w:pPr>
              <w:pStyle w:val="4"/>
              <w:ind w:firstLine="560"/>
              <w:jc w:val="left"/>
            </w:pPr>
            <w:r>
              <w:rPr>
                <w:rFonts w:ascii="仿宋_GB2312" w:hAnsi="仿宋_GB2312" w:eastAsia="仿宋_GB2312" w:cs="仿宋_GB2312"/>
                <w:sz w:val="28"/>
              </w:rPr>
              <w:t>维修完成后，应为采购人操作人员提供一次完整的现场操作与日常维护培训，重点讲解仪器维护要点和常见故障的初步判断方法。</w:t>
            </w:r>
          </w:p>
          <w:p w14:paraId="5C4E9809">
            <w:pPr>
              <w:pStyle w:val="4"/>
              <w:jc w:val="both"/>
            </w:pPr>
            <w:r>
              <w:rPr>
                <w:rFonts w:ascii="仿宋_GB2312" w:hAnsi="仿宋_GB2312" w:eastAsia="仿宋_GB2312" w:cs="仿宋_GB2312"/>
                <w:sz w:val="28"/>
              </w:rPr>
              <w:t>6. 供应商需对上述要求提供相应证明文件或承诺。</w:t>
            </w:r>
          </w:p>
        </w:tc>
      </w:tr>
    </w:tbl>
    <w:p w14:paraId="41B3C82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C6A4F"/>
    <w:rsid w:val="62CC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2025-09-22T03:44:00Z</dcterms:created>
  <dc:creator>hh</dc:creator>
  <cp:lastModifiedBy>hh</cp:lastModifiedBy>
  <dcterms:modified xsi:type="dcterms:W3CDTF">2025-09-22T03:45:29Z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396E70F590574F1F93E4AB08A246284C_11</vt:lpwstr>
  </property>
  <property fmtid="{D5CDD505-2E9C-101B-9397-08002B2CF9AE}" pid="4" name="KSOTemplateDocerSaveRecord">
    <vt:lpwstr>eyJoZGlkIjoiMGQ4ZTdmZWNkZThhYzU1MTNmMWJlNWM0M2ExM2M5MDQiLCJ1c2VySWQiOiI1NTQxNTg5NzAifQ==</vt:lpwstr>
  </property>
</Properties>
</file>