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76D16">
      <w:pPr>
        <w:pStyle w:val="9"/>
        <w:jc w:val="center"/>
        <w:outlineLvl w:val="1"/>
        <w:rPr>
          <w:rFonts w:ascii="仿宋_GB2312" w:hAnsi="仿宋_GB2312" w:eastAsia="仿宋_GB2312" w:cs="仿宋_GB2312"/>
        </w:rPr>
      </w:pPr>
      <w:r>
        <w:rPr>
          <w:rFonts w:ascii="仿宋_GB2312" w:hAnsi="仿宋_GB2312" w:eastAsia="仿宋_GB2312" w:cs="仿宋_GB2312"/>
          <w:b/>
          <w:sz w:val="36"/>
        </w:rPr>
        <w:t>拟签订合同文本</w:t>
      </w:r>
      <w:r>
        <w:rPr>
          <w:rFonts w:ascii="仿宋_GB2312" w:hAnsi="仿宋_GB2312" w:eastAsia="仿宋_GB2312" w:cs="仿宋_GB2312"/>
        </w:rPr>
        <w:br w:type="textWrapping"/>
      </w:r>
    </w:p>
    <w:p w14:paraId="29B81DCB">
      <w:pPr>
        <w:pStyle w:val="9"/>
        <w:jc w:val="center"/>
        <w:outlineLvl w:val="1"/>
        <w:rPr>
          <w:rFonts w:ascii="仿宋_GB2312" w:hAnsi="仿宋_GB2312" w:eastAsia="仿宋_GB2312" w:cs="仿宋_GB2312"/>
        </w:rPr>
      </w:pPr>
    </w:p>
    <w:p w14:paraId="1A8A1A62">
      <w:pPr>
        <w:pStyle w:val="9"/>
        <w:jc w:val="center"/>
        <w:outlineLvl w:val="1"/>
        <w:rPr>
          <w:rFonts w:ascii="仿宋_GB2312" w:hAnsi="仿宋_GB2312" w:eastAsia="仿宋_GB2312" w:cs="仿宋_GB2312"/>
        </w:rPr>
      </w:pPr>
    </w:p>
    <w:p w14:paraId="3D914548">
      <w:pPr>
        <w:pStyle w:val="9"/>
        <w:jc w:val="center"/>
        <w:outlineLvl w:val="1"/>
        <w:rPr>
          <w:rFonts w:ascii="仿宋_GB2312" w:hAnsi="仿宋_GB2312" w:eastAsia="仿宋_GB2312" w:cs="仿宋_GB2312"/>
        </w:rPr>
      </w:pPr>
    </w:p>
    <w:p w14:paraId="2CB481DC">
      <w:pPr>
        <w:pStyle w:val="9"/>
        <w:jc w:val="center"/>
        <w:outlineLvl w:val="1"/>
        <w:rPr>
          <w:rFonts w:ascii="仿宋_GB2312" w:hAnsi="仿宋_GB2312" w:eastAsia="仿宋_GB2312" w:cs="仿宋_GB2312"/>
        </w:rPr>
      </w:pPr>
    </w:p>
    <w:p w14:paraId="449F37E3">
      <w:pPr>
        <w:pStyle w:val="9"/>
        <w:jc w:val="center"/>
        <w:outlineLvl w:val="1"/>
        <w:rPr>
          <w:rFonts w:ascii="仿宋_GB2312" w:hAnsi="仿宋_GB2312" w:eastAsia="仿宋_GB2312" w:cs="仿宋_GB2312"/>
        </w:rPr>
      </w:pPr>
    </w:p>
    <w:p w14:paraId="00E72DD6">
      <w:pPr>
        <w:pStyle w:val="9"/>
        <w:jc w:val="center"/>
        <w:outlineLvl w:val="1"/>
        <w:rPr>
          <w:rFonts w:ascii="仿宋_GB2312" w:hAnsi="仿宋_GB2312" w:eastAsia="仿宋_GB2312" w:cs="仿宋_GB2312"/>
        </w:rPr>
      </w:pPr>
    </w:p>
    <w:p w14:paraId="01ECF8F9">
      <w:pPr>
        <w:pStyle w:val="9"/>
        <w:jc w:val="center"/>
        <w:outlineLvl w:val="1"/>
        <w:rPr>
          <w:rFonts w:ascii="宋体" w:hAnsi="宋体" w:cs="宋体"/>
          <w:b/>
          <w:bCs/>
          <w:color w:val="auto"/>
          <w:spacing w:val="-20"/>
          <w:kern w:val="44"/>
          <w:sz w:val="36"/>
          <w:szCs w:val="36"/>
          <w:highlight w:val="none"/>
        </w:rPr>
      </w:pPr>
      <w:r>
        <w:rPr>
          <w:rFonts w:hint="eastAsia" w:ascii="宋体" w:hAnsi="宋体" w:cs="宋体"/>
          <w:bCs/>
          <w:color w:val="auto"/>
          <w:spacing w:val="-20"/>
          <w:kern w:val="44"/>
          <w:sz w:val="36"/>
          <w:szCs w:val="36"/>
          <w:highlight w:val="none"/>
        </w:rPr>
        <w:t>政府采购货物买卖合同</w:t>
      </w:r>
    </w:p>
    <w:p w14:paraId="403B1410">
      <w:pPr>
        <w:spacing w:line="360" w:lineRule="auto"/>
        <w:ind w:left="420" w:leftChars="200"/>
        <w:rPr>
          <w:rFonts w:ascii="宋体" w:hAnsi="宋体" w:cs="宋体"/>
          <w:color w:val="auto"/>
          <w:kern w:val="0"/>
          <w:sz w:val="24"/>
          <w:highlight w:val="none"/>
        </w:rPr>
      </w:pPr>
    </w:p>
    <w:p w14:paraId="59B0998A">
      <w:pPr>
        <w:spacing w:line="360" w:lineRule="auto"/>
        <w:ind w:left="420" w:leftChars="200"/>
        <w:rPr>
          <w:rFonts w:ascii="宋体" w:hAnsi="宋体" w:cs="宋体"/>
          <w:color w:val="auto"/>
          <w:kern w:val="0"/>
          <w:sz w:val="24"/>
          <w:highlight w:val="none"/>
        </w:rPr>
      </w:pPr>
    </w:p>
    <w:p w14:paraId="434E165E">
      <w:pPr>
        <w:spacing w:line="360" w:lineRule="auto"/>
        <w:ind w:left="420" w:leftChars="200"/>
        <w:rPr>
          <w:rFonts w:ascii="宋体" w:hAnsi="宋体" w:cs="宋体"/>
          <w:color w:val="auto"/>
          <w:kern w:val="0"/>
          <w:sz w:val="24"/>
          <w:highlight w:val="none"/>
        </w:rPr>
      </w:pPr>
    </w:p>
    <w:p w14:paraId="5F3F1837">
      <w:pPr>
        <w:spacing w:line="360" w:lineRule="auto"/>
        <w:ind w:left="420" w:leftChars="200"/>
        <w:rPr>
          <w:rFonts w:ascii="宋体" w:hAnsi="宋体" w:cs="宋体"/>
          <w:color w:val="auto"/>
          <w:kern w:val="0"/>
          <w:sz w:val="24"/>
          <w:highlight w:val="none"/>
        </w:rPr>
      </w:pPr>
    </w:p>
    <w:p w14:paraId="7C101F34">
      <w:pPr>
        <w:spacing w:line="360" w:lineRule="auto"/>
        <w:ind w:firstLine="1205" w:firstLineChars="500"/>
        <w:rPr>
          <w:b/>
          <w:color w:val="auto"/>
          <w:sz w:val="24"/>
          <w:highlight w:val="none"/>
        </w:rPr>
      </w:pPr>
      <w:r>
        <w:rPr>
          <w:rFonts w:hint="eastAsia" w:ascii="宋体" w:hAnsi="宋体" w:cs="宋体"/>
          <w:b/>
          <w:color w:val="auto"/>
          <w:kern w:val="0"/>
          <w:sz w:val="24"/>
          <w:highlight w:val="none"/>
        </w:rPr>
        <w:t>项目名称</w:t>
      </w:r>
      <w:r>
        <w:rPr>
          <w:rFonts w:hint="eastAsia" w:ascii="宋体" w:hAnsi="宋体" w:cs="宋体"/>
          <w:b/>
          <w:color w:val="auto"/>
          <w:kern w:val="0"/>
          <w:sz w:val="24"/>
          <w:highlight w:val="none"/>
          <w:lang w:eastAsia="zh-CN"/>
        </w:rPr>
        <w:t>：</w:t>
      </w:r>
      <w:r>
        <w:rPr>
          <w:rFonts w:ascii="宋体" w:hAnsi="宋体" w:cs="宋体"/>
          <w:color w:val="auto"/>
          <w:kern w:val="0"/>
          <w:sz w:val="24"/>
          <w:highlight w:val="none"/>
          <w:u w:val="single"/>
        </w:rPr>
        <w:t xml:space="preserve">                                .</w:t>
      </w:r>
    </w:p>
    <w:p w14:paraId="1EB76C68">
      <w:pPr>
        <w:spacing w:line="360" w:lineRule="auto"/>
        <w:ind w:firstLine="1205" w:firstLineChars="500"/>
        <w:rPr>
          <w:b/>
          <w:color w:val="auto"/>
          <w:sz w:val="24"/>
          <w:highlight w:val="none"/>
        </w:rPr>
      </w:pPr>
      <w:r>
        <w:rPr>
          <w:rFonts w:hint="eastAsia" w:ascii="宋体" w:hAnsi="宋体" w:cs="宋体"/>
          <w:b/>
          <w:color w:val="auto"/>
          <w:kern w:val="0"/>
          <w:sz w:val="24"/>
          <w:highlight w:val="none"/>
        </w:rPr>
        <w:t>合同编号</w:t>
      </w:r>
      <w:r>
        <w:rPr>
          <w:rFonts w:hint="eastAsia" w:ascii="宋体" w:hAnsi="宋体" w:cs="宋体"/>
          <w:b/>
          <w:color w:val="auto"/>
          <w:kern w:val="0"/>
          <w:sz w:val="24"/>
          <w:highlight w:val="none"/>
          <w:lang w:eastAsia="zh-CN"/>
        </w:rPr>
        <w:t>：</w:t>
      </w:r>
      <w:r>
        <w:rPr>
          <w:rFonts w:ascii="宋体" w:hAnsi="宋体" w:cs="宋体"/>
          <w:color w:val="auto"/>
          <w:kern w:val="0"/>
          <w:sz w:val="24"/>
          <w:highlight w:val="none"/>
          <w:u w:val="single"/>
        </w:rPr>
        <w:t xml:space="preserve">                                .</w:t>
      </w:r>
      <w:r>
        <w:rPr>
          <w:rFonts w:hint="eastAsia"/>
          <w:color w:val="auto"/>
          <w:sz w:val="24"/>
          <w:highlight w:val="none"/>
          <w:u w:val="single"/>
        </w:rPr>
        <w:t xml:space="preserve"> </w:t>
      </w:r>
    </w:p>
    <w:p w14:paraId="6E8F4708">
      <w:pPr>
        <w:spacing w:line="360" w:lineRule="auto"/>
        <w:ind w:firstLine="1205" w:firstLineChars="500"/>
        <w:rPr>
          <w:rFonts w:ascii="宋体" w:hAnsi="宋体" w:cs="宋体"/>
          <w:b/>
          <w:color w:val="auto"/>
          <w:kern w:val="0"/>
          <w:sz w:val="24"/>
          <w:highlight w:val="none"/>
        </w:rPr>
      </w:pPr>
      <w:r>
        <w:rPr>
          <w:rFonts w:hint="eastAsia" w:ascii="宋体" w:hAnsi="宋体" w:cs="宋体"/>
          <w:b/>
          <w:color w:val="auto"/>
          <w:kern w:val="0"/>
          <w:sz w:val="24"/>
          <w:highlight w:val="none"/>
        </w:rPr>
        <w:t>甲    方</w:t>
      </w:r>
      <w:r>
        <w:rPr>
          <w:rFonts w:hint="eastAsia" w:ascii="宋体" w:hAnsi="宋体" w:cs="宋体"/>
          <w:b/>
          <w:color w:val="auto"/>
          <w:kern w:val="0"/>
          <w:sz w:val="24"/>
          <w:highlight w:val="none"/>
          <w:lang w:eastAsia="zh-CN"/>
        </w:rPr>
        <w:t>：</w:t>
      </w:r>
      <w:r>
        <w:rPr>
          <w:rFonts w:ascii="宋体" w:hAnsi="宋体" w:cs="宋体"/>
          <w:color w:val="auto"/>
          <w:kern w:val="0"/>
          <w:sz w:val="24"/>
          <w:highlight w:val="none"/>
          <w:u w:val="single"/>
        </w:rPr>
        <w:t xml:space="preserve">                                .</w:t>
      </w:r>
    </w:p>
    <w:p w14:paraId="6050B2FC">
      <w:pPr>
        <w:spacing w:line="360" w:lineRule="auto"/>
        <w:ind w:firstLine="1205" w:firstLineChars="500"/>
        <w:rPr>
          <w:color w:val="auto"/>
          <w:sz w:val="24"/>
          <w:highlight w:val="none"/>
          <w:u w:val="single"/>
        </w:rPr>
      </w:pPr>
      <w:r>
        <w:rPr>
          <w:rFonts w:hint="eastAsia" w:ascii="宋体" w:hAnsi="宋体" w:cs="宋体"/>
          <w:b/>
          <w:color w:val="auto"/>
          <w:kern w:val="0"/>
          <w:sz w:val="24"/>
          <w:highlight w:val="none"/>
        </w:rPr>
        <w:t>乙    方</w:t>
      </w:r>
      <w:r>
        <w:rPr>
          <w:rFonts w:hint="eastAsia" w:ascii="宋体" w:hAnsi="宋体" w:cs="宋体"/>
          <w:b/>
          <w:color w:val="auto"/>
          <w:kern w:val="0"/>
          <w:sz w:val="24"/>
          <w:highlight w:val="none"/>
          <w:lang w:eastAsia="zh-CN"/>
        </w:rPr>
        <w:t>：</w:t>
      </w:r>
      <w:r>
        <w:rPr>
          <w:rFonts w:ascii="宋体" w:hAnsi="宋体" w:cs="宋体"/>
          <w:color w:val="auto"/>
          <w:kern w:val="0"/>
          <w:sz w:val="24"/>
          <w:highlight w:val="none"/>
          <w:u w:val="single"/>
        </w:rPr>
        <w:t xml:space="preserve">                                .</w:t>
      </w:r>
    </w:p>
    <w:p w14:paraId="028FF731">
      <w:pPr>
        <w:spacing w:line="360" w:lineRule="auto"/>
        <w:ind w:firstLine="1205" w:firstLineChars="500"/>
        <w:rPr>
          <w:color w:val="auto"/>
          <w:sz w:val="24"/>
          <w:highlight w:val="none"/>
          <w:u w:val="single"/>
        </w:rPr>
      </w:pPr>
      <w:r>
        <w:rPr>
          <w:rFonts w:hint="eastAsia" w:ascii="宋体" w:hAnsi="宋体" w:cs="宋体"/>
          <w:b/>
          <w:color w:val="auto"/>
          <w:kern w:val="0"/>
          <w:sz w:val="24"/>
          <w:highlight w:val="none"/>
        </w:rPr>
        <w:t>签订时间</w:t>
      </w:r>
      <w:r>
        <w:rPr>
          <w:rFonts w:hint="eastAsia" w:ascii="宋体" w:hAnsi="宋体" w:cs="宋体"/>
          <w:b/>
          <w:color w:val="auto"/>
          <w:kern w:val="0"/>
          <w:sz w:val="24"/>
          <w:highlight w:val="none"/>
          <w:lang w:eastAsia="zh-CN"/>
        </w:rPr>
        <w:t>：</w:t>
      </w:r>
      <w:r>
        <w:rPr>
          <w:rFonts w:ascii="宋体" w:hAnsi="宋体" w:cs="宋体"/>
          <w:color w:val="auto"/>
          <w:kern w:val="0"/>
          <w:sz w:val="24"/>
          <w:highlight w:val="none"/>
          <w:u w:val="single"/>
        </w:rPr>
        <w:t xml:space="preserve">                                .</w:t>
      </w:r>
      <w:r>
        <w:rPr>
          <w:rFonts w:hint="eastAsia"/>
          <w:color w:val="auto"/>
          <w:sz w:val="24"/>
          <w:highlight w:val="none"/>
          <w:u w:val="single"/>
        </w:rPr>
        <w:t xml:space="preserve"> </w:t>
      </w:r>
      <w:r>
        <w:rPr>
          <w:rFonts w:hint="eastAsia" w:ascii="宋体" w:hAnsi="宋体" w:cs="宋体"/>
          <w:b/>
          <w:color w:val="auto"/>
          <w:kern w:val="0"/>
          <w:sz w:val="24"/>
          <w:highlight w:val="none"/>
        </w:rPr>
        <w:t xml:space="preserve"> </w:t>
      </w:r>
    </w:p>
    <w:p w14:paraId="4D4F1F37">
      <w:pPr>
        <w:spacing w:line="360" w:lineRule="auto"/>
        <w:jc w:val="center"/>
        <w:rPr>
          <w:b/>
          <w:color w:val="auto"/>
          <w:sz w:val="32"/>
          <w:szCs w:val="32"/>
          <w:highlight w:val="none"/>
        </w:rPr>
      </w:pPr>
      <w:r>
        <w:rPr>
          <w:color w:val="auto"/>
          <w:sz w:val="32"/>
          <w:szCs w:val="32"/>
          <w:highlight w:val="none"/>
          <w:u w:val="single"/>
        </w:rPr>
        <w:br w:type="page"/>
      </w:r>
      <w:r>
        <w:rPr>
          <w:rFonts w:hint="eastAsia"/>
          <w:b/>
          <w:color w:val="auto"/>
          <w:sz w:val="32"/>
          <w:szCs w:val="32"/>
          <w:highlight w:val="none"/>
        </w:rPr>
        <w:t>使 用 说 明</w:t>
      </w:r>
    </w:p>
    <w:p w14:paraId="17E8A345">
      <w:pPr>
        <w:pStyle w:val="3"/>
        <w:rPr>
          <w:color w:val="auto"/>
          <w:highlight w:val="none"/>
        </w:rPr>
      </w:pPr>
    </w:p>
    <w:p w14:paraId="23B30B85">
      <w:pPr>
        <w:spacing w:line="48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1.本合同标准文本适用于购买现成货物的采购项目，不包括需要</w:t>
      </w:r>
      <w:r>
        <w:rPr>
          <w:rFonts w:hint="eastAsia" w:ascii="仿宋" w:hAnsi="仿宋" w:eastAsia="仿宋"/>
          <w:color w:val="auto"/>
          <w:sz w:val="24"/>
          <w:highlight w:val="none"/>
          <w:lang w:eastAsia="zh-CN"/>
        </w:rPr>
        <w:t>投标人</w:t>
      </w:r>
      <w:r>
        <w:rPr>
          <w:rFonts w:hint="eastAsia" w:ascii="仿宋" w:hAnsi="仿宋" w:eastAsia="仿宋"/>
          <w:color w:val="auto"/>
          <w:sz w:val="24"/>
          <w:highlight w:val="none"/>
        </w:rPr>
        <w:t>定制开发、创新研发的货物采购项目。</w:t>
      </w:r>
    </w:p>
    <w:p w14:paraId="223BB728">
      <w:pPr>
        <w:spacing w:line="48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2.本合同标准文本为政府采购货物买卖合同编制提供参考，可以结合采购项目具体情况，对文本作必要的调整修订后使用。</w:t>
      </w:r>
    </w:p>
    <w:p w14:paraId="44C1E3A0">
      <w:pPr>
        <w:spacing w:line="48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3.本合同标准文本各条款中，如涉及填写多家</w:t>
      </w:r>
      <w:r>
        <w:rPr>
          <w:rFonts w:hint="eastAsia" w:ascii="仿宋" w:hAnsi="仿宋" w:eastAsia="仿宋"/>
          <w:color w:val="auto"/>
          <w:sz w:val="24"/>
          <w:highlight w:val="none"/>
          <w:lang w:eastAsia="zh-CN"/>
        </w:rPr>
        <w:t>投标人</w:t>
      </w:r>
      <w:r>
        <w:rPr>
          <w:rFonts w:hint="eastAsia" w:ascii="仿宋" w:hAnsi="仿宋" w:eastAsia="仿宋"/>
          <w:color w:val="auto"/>
          <w:sz w:val="24"/>
          <w:highlight w:val="none"/>
        </w:rPr>
        <w:t>、制造商，多种采购标的、分包主要内容等信息的，可根据采购项目具体情况添加信息项。</w:t>
      </w:r>
    </w:p>
    <w:p w14:paraId="29D839BC">
      <w:pPr>
        <w:keepNext w:val="0"/>
        <w:keepLines w:val="0"/>
        <w:pageBreakBefore w:val="0"/>
        <w:kinsoku/>
        <w:wordWrap/>
        <w:overflowPunct/>
        <w:topLinePunct w:val="0"/>
        <w:bidi w:val="0"/>
        <w:spacing w:line="300" w:lineRule="auto"/>
        <w:jc w:val="center"/>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color w:val="auto"/>
          <w:highlight w:val="none"/>
        </w:rPr>
        <w:br w:type="page"/>
      </w: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第一节 政府采购合同协议书</w:t>
      </w:r>
    </w:p>
    <w:p w14:paraId="39118A61">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甲方（全称）：</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（采购人、受采购人委托签订合同的单位或采购文件约定的合同甲方）</w:t>
      </w:r>
    </w:p>
    <w:p w14:paraId="16DBC3F6">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乙方（全称）：</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w:t>
      </w:r>
    </w:p>
    <w:p w14:paraId="488B4162">
      <w:pPr>
        <w:pStyle w:val="4"/>
        <w:keepNext w:val="0"/>
        <w:keepLines w:val="0"/>
        <w:pageBreakBefore w:val="0"/>
        <w:kinsoku/>
        <w:wordWrap/>
        <w:overflowPunct/>
        <w:topLinePunct w:val="0"/>
        <w:bidi w:val="0"/>
        <w:adjustRightInd w:val="0"/>
        <w:snapToGrid w:val="0"/>
        <w:spacing w:after="0"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依据《中华人民共和国民法典</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中华人民共和国政府采购法》等有关的法律法规，以及本采购项目的招标文件、乙方的投标文件及中标通知书等有关文件，甲乙双方同意签订本合同。具体情况及要求如下：    </w:t>
      </w:r>
    </w:p>
    <w:p w14:paraId="5178AEE6">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1.项目信息</w:t>
      </w:r>
    </w:p>
    <w:p w14:paraId="5F82A5CE">
      <w:pPr>
        <w:pStyle w:val="4"/>
        <w:keepNext w:val="0"/>
        <w:keepLines w:val="0"/>
        <w:pageBreakBefore w:val="0"/>
        <w:kinsoku/>
        <w:wordWrap/>
        <w:overflowPunct/>
        <w:topLinePunct w:val="0"/>
        <w:bidi w:val="0"/>
        <w:adjustRightInd w:val="0"/>
        <w:snapToGrid w:val="0"/>
        <w:spacing w:after="0"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（1）项目名称</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 </w:t>
      </w:r>
    </w:p>
    <w:p w14:paraId="1FF92245">
      <w:pPr>
        <w:pStyle w:val="4"/>
        <w:keepNext w:val="0"/>
        <w:keepLines w:val="0"/>
        <w:pageBreakBefore w:val="0"/>
        <w:tabs>
          <w:tab w:val="left" w:pos="999"/>
        </w:tabs>
        <w:kinsoku/>
        <w:wordWrap/>
        <w:overflowPunct/>
        <w:topLinePunct w:val="0"/>
        <w:bidi w:val="0"/>
        <w:adjustRightInd w:val="0"/>
        <w:snapToGrid w:val="0"/>
        <w:spacing w:after="0" w:line="300" w:lineRule="auto"/>
        <w:ind w:firstLine="21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项目编号</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 </w:t>
      </w:r>
    </w:p>
    <w:p w14:paraId="6652A5DF">
      <w:pPr>
        <w:pStyle w:val="4"/>
        <w:keepNext w:val="0"/>
        <w:keepLines w:val="0"/>
        <w:pageBreakBefore w:val="0"/>
        <w:kinsoku/>
        <w:wordWrap/>
        <w:overflowPunct/>
        <w:topLinePunct w:val="0"/>
        <w:bidi w:val="0"/>
        <w:adjustRightInd w:val="0"/>
        <w:snapToGrid w:val="0"/>
        <w:spacing w:after="0"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（2）计划编号</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 </w:t>
      </w:r>
    </w:p>
    <w:p w14:paraId="3B520659">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（3）项目内容</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p>
    <w:p w14:paraId="608C615D">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采购标的及数量（台/套</w:t>
      </w:r>
      <w:r>
        <w:rPr>
          <w:rFonts w:hint="eastAsia" w:asciiTheme="minorEastAsia" w:hAnsiTheme="minorEastAsia" w:eastAsiaTheme="minorEastAsia" w:cstheme="minorEastAsia"/>
          <w:color w:val="000000" w:themeColor="text1"/>
          <w:sz w:val="20"/>
          <w:szCs w:val="20"/>
          <w:highlight w:val="none"/>
          <w:lang w:val="en"/>
          <w14:textFill>
            <w14:solidFill>
              <w14:schemeClr w14:val="tx1"/>
            </w14:solidFill>
          </w14:textFill>
        </w:rPr>
        <w:t>/个/架/组等</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p>
    <w:p w14:paraId="478FFDF4">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品牌：</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u w:val="single"/>
          <w:lang w:val="e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u w:val="single"/>
          <w:lang w:val="e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lang w:val="e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规格型号</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u w:val="single"/>
          <w:lang w:val="en"/>
          <w14:textFill>
            <w14:solidFill>
              <w14:schemeClr w14:val="tx1"/>
            </w14:solidFill>
          </w14:textFill>
        </w:rPr>
        <w:t xml:space="preserve"> </w:t>
      </w:r>
    </w:p>
    <w:p w14:paraId="69E8A3FE">
      <w:pPr>
        <w:keepNext w:val="0"/>
        <w:keepLines w:val="0"/>
        <w:pageBreakBefore w:val="0"/>
        <w:kinsoku/>
        <w:wordWrap/>
        <w:overflowPunct/>
        <w:topLinePunct w:val="0"/>
        <w:bidi w:val="0"/>
        <w:adjustRightInd w:val="0"/>
        <w:snapToGrid w:val="0"/>
        <w:spacing w:line="300" w:lineRule="auto"/>
        <w:ind w:firstLine="900" w:firstLineChars="450"/>
        <w:textAlignment w:val="auto"/>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采购标的的技术要求、商务要求具体见附件。</w:t>
      </w:r>
    </w:p>
    <w:p w14:paraId="477949BB">
      <w:pPr>
        <w:pStyle w:val="10"/>
        <w:keepNext w:val="0"/>
        <w:keepLines w:val="0"/>
        <w:pageBreakBefore w:val="0"/>
        <w:kinsoku/>
        <w:wordWrap/>
        <w:overflowPunct/>
        <w:topLinePunct w:val="0"/>
        <w:bidi w:val="0"/>
        <w:snapToGrid w:val="0"/>
        <w:spacing w:line="300" w:lineRule="auto"/>
        <w:ind w:firstLine="0" w:firstLineChars="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lang w:val="en"/>
          <w14:textFill>
            <w14:solidFill>
              <w14:schemeClr w14:val="tx1"/>
            </w14:solidFill>
          </w14:textFill>
        </w:rPr>
        <w:t>4</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）政府采购组织形式：</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政府集中采购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部门集中采购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分散采购</w:t>
      </w:r>
    </w:p>
    <w:p w14:paraId="1876C291">
      <w:pPr>
        <w:pStyle w:val="10"/>
        <w:keepNext w:val="0"/>
        <w:keepLines w:val="0"/>
        <w:pageBreakBefore w:val="0"/>
        <w:kinsoku/>
        <w:wordWrap/>
        <w:overflowPunct/>
        <w:topLinePunct w:val="0"/>
        <w:bidi w:val="0"/>
        <w:snapToGrid w:val="0"/>
        <w:spacing w:line="300" w:lineRule="auto"/>
        <w:ind w:firstLine="420" w:firstLineChars="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lang w:val="en"/>
          <w14:textFill>
            <w14:solidFill>
              <w14:schemeClr w14:val="tx1"/>
            </w14:solidFill>
          </w14:textFill>
        </w:rPr>
        <w:t>5</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）政府采购方式：</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公开招标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邀请招标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竞争性谈判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竞争性磋商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询价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单一来源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框架协议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其他：</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p>
    <w:p w14:paraId="4297385A">
      <w:pPr>
        <w:pStyle w:val="10"/>
        <w:keepNext w:val="0"/>
        <w:keepLines w:val="0"/>
        <w:pageBreakBefore w:val="0"/>
        <w:kinsoku/>
        <w:wordWrap/>
        <w:overflowPunct/>
        <w:topLinePunct w:val="0"/>
        <w:bidi w:val="0"/>
        <w:snapToGrid w:val="0"/>
        <w:spacing w:line="300" w:lineRule="auto"/>
        <w:ind w:firstLine="200" w:firstLineChars="100"/>
        <w:textAlignment w:val="auto"/>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lang w:val="en"/>
          <w14:textFill>
            <w14:solidFill>
              <w14:schemeClr w14:val="tx1"/>
            </w14:solidFill>
          </w14:textFill>
        </w:rPr>
        <w:t>6</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w:t>
      </w:r>
      <w:r>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t>中标（成交）采购标的制造商是否为中小企业：</w:t>
      </w:r>
      <w:r>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t xml:space="preserve"> 是      </w:t>
      </w:r>
      <w:r>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t xml:space="preserve"> 否</w:t>
      </w:r>
    </w:p>
    <w:p w14:paraId="0E63C350">
      <w:pPr>
        <w:pStyle w:val="10"/>
        <w:keepNext w:val="0"/>
        <w:keepLines w:val="0"/>
        <w:pageBreakBefore w:val="0"/>
        <w:kinsoku/>
        <w:wordWrap/>
        <w:overflowPunct/>
        <w:topLinePunct w:val="0"/>
        <w:bidi w:val="0"/>
        <w:snapToGrid w:val="0"/>
        <w:spacing w:line="300" w:lineRule="auto"/>
        <w:ind w:firstLine="420"/>
        <w:textAlignment w:val="auto"/>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本合同是否为专门面向中小企业的采购合同（中小企业预留合同）：</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是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否</w:t>
      </w:r>
    </w:p>
    <w:p w14:paraId="758777A9">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若本项目不专门面向中小企业采购，是否给予小微企业评审优惠：</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是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否</w:t>
      </w:r>
    </w:p>
    <w:p w14:paraId="04C22D74">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中标（成交）采购标的制造商是否为残疾人福利性单位：</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是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否</w:t>
      </w:r>
    </w:p>
    <w:p w14:paraId="18F1FEB1">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中标（成交）采购标的制造商是否为监狱企业：</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是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否</w:t>
      </w:r>
    </w:p>
    <w:p w14:paraId="0340D20D">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lang w:val="en"/>
          <w14:textFill>
            <w14:solidFill>
              <w14:schemeClr w14:val="tx1"/>
            </w14:solidFill>
          </w14:textFill>
        </w:rPr>
        <w:t>7</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）合同是否分包：</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是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否</w:t>
      </w:r>
    </w:p>
    <w:p w14:paraId="3229BDE4">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分包主要内容</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p>
    <w:p w14:paraId="7F31F2E1">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分包</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/制造商名称（如</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和制造商不同，请分别填写）</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p>
    <w:p w14:paraId="22F4BEBE">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分包</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/制造商类型（如果</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和制造商不同，只填写制造商类型）：</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大型企业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中型企业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小微型企业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残疾人福利性单位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监狱企业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其他</w:t>
      </w:r>
      <w:r>
        <w:rPr>
          <w:rFonts w:hint="eastAsia" w:asciiTheme="minorEastAsia" w:hAnsiTheme="minorEastAsia" w:eastAsiaTheme="minorEastAsia" w:cstheme="minorEastAsia"/>
          <w:iCs/>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p>
    <w:p w14:paraId="4896CE3E">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lang w:val="en"/>
          <w14:textFill>
            <w14:solidFill>
              <w14:schemeClr w14:val="tx1"/>
            </w14:solidFill>
          </w14:textFill>
        </w:rPr>
        <w:t>8</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）中标（成交）</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是否为外商投资企业：</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是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否</w:t>
      </w:r>
    </w:p>
    <w:p w14:paraId="2590F830">
      <w:pPr>
        <w:pStyle w:val="10"/>
        <w:keepNext w:val="0"/>
        <w:keepLines w:val="0"/>
        <w:pageBreakBefore w:val="0"/>
        <w:tabs>
          <w:tab w:val="left" w:pos="1340"/>
        </w:tabs>
        <w:kinsoku/>
        <w:wordWrap/>
        <w:overflowPunct/>
        <w:topLinePunct w:val="0"/>
        <w:bidi w:val="0"/>
        <w:spacing w:line="300" w:lineRule="auto"/>
        <w:ind w:firstLine="0" w:firstLineChars="0"/>
        <w:textAlignment w:val="auto"/>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外商投资企业类型：</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全部由外国投资者投资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部分由外国投资者投资</w:t>
      </w:r>
    </w:p>
    <w:p w14:paraId="05B2001C">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lang w:val="en"/>
          <w14:textFill>
            <w14:solidFill>
              <w14:schemeClr w14:val="tx1"/>
            </w14:solidFill>
          </w14:textFill>
        </w:rPr>
        <w:t>9</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）是否涉及进口产品：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是，《政府采购品目分类目录》底级品目名称：</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金额：</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国别：</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品牌：</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规格型号：</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p>
    <w:p w14:paraId="09FBF00B">
      <w:pPr>
        <w:keepNext w:val="0"/>
        <w:keepLines w:val="0"/>
        <w:pageBreakBefore w:val="0"/>
        <w:kinsoku/>
        <w:wordWrap/>
        <w:overflowPunct/>
        <w:topLinePunct w:val="0"/>
        <w:bidi w:val="0"/>
        <w:adjustRightInd w:val="0"/>
        <w:snapToGrid w:val="0"/>
        <w:spacing w:line="300" w:lineRule="auto"/>
        <w:ind w:firstLine="800" w:firstLineChars="4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否</w:t>
      </w:r>
    </w:p>
    <w:p w14:paraId="151E4603">
      <w:pPr>
        <w:keepNext w:val="0"/>
        <w:keepLines w:val="0"/>
        <w:pageBreakBefore w:val="0"/>
        <w:tabs>
          <w:tab w:val="left" w:pos="740"/>
        </w:tabs>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（1</w:t>
      </w:r>
      <w:r>
        <w:rPr>
          <w:rFonts w:hint="eastAsia" w:asciiTheme="minorEastAsia" w:hAnsiTheme="minorEastAsia" w:eastAsiaTheme="minorEastAsia" w:cstheme="minorEastAsia"/>
          <w:color w:val="000000" w:themeColor="text1"/>
          <w:sz w:val="20"/>
          <w:szCs w:val="20"/>
          <w:highlight w:val="none"/>
          <w:lang w:val="en"/>
          <w14:textFill>
            <w14:solidFill>
              <w14:schemeClr w14:val="tx1"/>
            </w14:solidFill>
          </w14:textFill>
        </w:rPr>
        <w:t>0</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）是否涉及节能产品：</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是，《节能产品政府采购品目清单》的底级品目名称</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w:t>
      </w:r>
    </w:p>
    <w:p w14:paraId="3825B445">
      <w:pPr>
        <w:keepNext w:val="0"/>
        <w:keepLines w:val="0"/>
        <w:pageBreakBefore w:val="0"/>
        <w:tabs>
          <w:tab w:val="left" w:pos="740"/>
        </w:tabs>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强制采购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优先采购    </w:t>
      </w:r>
    </w:p>
    <w:p w14:paraId="054DAFE5">
      <w:pPr>
        <w:keepNext w:val="0"/>
        <w:keepLines w:val="0"/>
        <w:pageBreakBefore w:val="0"/>
        <w:tabs>
          <w:tab w:val="left" w:pos="740"/>
        </w:tabs>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否</w:t>
      </w:r>
    </w:p>
    <w:p w14:paraId="4CBF3B63">
      <w:pPr>
        <w:keepNext w:val="0"/>
        <w:keepLines w:val="0"/>
        <w:pageBreakBefore w:val="0"/>
        <w:tabs>
          <w:tab w:val="left" w:pos="740"/>
        </w:tabs>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是否涉及环境标志产品：</w:t>
      </w:r>
    </w:p>
    <w:p w14:paraId="148300D7">
      <w:pPr>
        <w:keepNext w:val="0"/>
        <w:keepLines w:val="0"/>
        <w:pageBreakBefore w:val="0"/>
        <w:tabs>
          <w:tab w:val="left" w:pos="740"/>
        </w:tabs>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是，《环境标志产品政府采购品目清单》的底级品目名称</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p>
    <w:p w14:paraId="205B012E">
      <w:pPr>
        <w:keepNext w:val="0"/>
        <w:keepLines w:val="0"/>
        <w:pageBreakBefore w:val="0"/>
        <w:tabs>
          <w:tab w:val="left" w:pos="740"/>
        </w:tabs>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强制采购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优先采购    </w:t>
      </w:r>
    </w:p>
    <w:p w14:paraId="75ED3D8D">
      <w:pPr>
        <w:keepNext w:val="0"/>
        <w:keepLines w:val="0"/>
        <w:pageBreakBefore w:val="0"/>
        <w:tabs>
          <w:tab w:val="left" w:pos="740"/>
        </w:tabs>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否</w:t>
      </w:r>
    </w:p>
    <w:p w14:paraId="4F2C6DC9">
      <w:pPr>
        <w:pStyle w:val="10"/>
        <w:keepNext w:val="0"/>
        <w:keepLines w:val="0"/>
        <w:pageBreakBefore w:val="0"/>
        <w:kinsoku/>
        <w:wordWrap/>
        <w:overflowPunct/>
        <w:topLinePunct w:val="0"/>
        <w:bidi w:val="0"/>
        <w:snapToGrid w:val="0"/>
        <w:spacing w:line="300" w:lineRule="auto"/>
        <w:ind w:firstLine="0" w:firstLineChars="0"/>
        <w:textAlignment w:val="auto"/>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t xml:space="preserve">是否涉及绿色产品： </w:t>
      </w:r>
    </w:p>
    <w:p w14:paraId="2DC50DC5">
      <w:pPr>
        <w:pStyle w:val="10"/>
        <w:keepNext w:val="0"/>
        <w:keepLines w:val="0"/>
        <w:pageBreakBefore w:val="0"/>
        <w:kinsoku/>
        <w:wordWrap/>
        <w:overflowPunct/>
        <w:topLinePunct w:val="0"/>
        <w:bidi w:val="0"/>
        <w:spacing w:line="300" w:lineRule="auto"/>
        <w:ind w:firstLine="420" w:firstLineChars="0"/>
        <w:textAlignment w:val="auto"/>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t xml:space="preserve"> 是，绿色产品政府采购相关政策确定的底级品目名称</w:t>
      </w:r>
      <w:r>
        <w:rPr>
          <w:rFonts w:hint="eastAsia" w:asciiTheme="minorEastAsia" w:hAnsiTheme="minorEastAsia" w:eastAsiaTheme="minorEastAsia" w:cstheme="minorEastAsia"/>
          <w:color w:val="000000" w:themeColor="text1"/>
          <w:kern w:val="2"/>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   </w:t>
      </w:r>
    </w:p>
    <w:p w14:paraId="2916F5D3">
      <w:pPr>
        <w:keepNext w:val="0"/>
        <w:keepLines w:val="0"/>
        <w:pageBreakBefore w:val="0"/>
        <w:tabs>
          <w:tab w:val="left" w:pos="740"/>
        </w:tabs>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强制采购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优先采购    </w:t>
      </w:r>
    </w:p>
    <w:p w14:paraId="7FE3F799">
      <w:pPr>
        <w:pStyle w:val="10"/>
        <w:keepNext w:val="0"/>
        <w:keepLines w:val="0"/>
        <w:pageBreakBefore w:val="0"/>
        <w:kinsoku/>
        <w:wordWrap/>
        <w:overflowPunct/>
        <w:topLinePunct w:val="0"/>
        <w:bidi w:val="0"/>
        <w:spacing w:line="300" w:lineRule="auto"/>
        <w:ind w:firstLine="420" w:firstLineChars="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t xml:space="preserve"> 否</w:t>
      </w:r>
    </w:p>
    <w:p w14:paraId="7E47301F">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（1</w:t>
      </w:r>
      <w:r>
        <w:rPr>
          <w:rFonts w:hint="eastAsia" w:asciiTheme="minorEastAsia" w:hAnsiTheme="minorEastAsia" w:eastAsiaTheme="minorEastAsia" w:cstheme="minorEastAsia"/>
          <w:color w:val="000000" w:themeColor="text1"/>
          <w:sz w:val="20"/>
          <w:szCs w:val="20"/>
          <w:highlight w:val="none"/>
          <w:lang w:val="en"/>
          <w14:textFill>
            <w14:solidFill>
              <w14:schemeClr w14:val="tx1"/>
            </w14:solidFill>
          </w14:textFill>
        </w:rPr>
        <w:t>1</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）涉及商品包装和快递包装的，是否参考《商品包装政府采购需求标准（试行）</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快递包装政府采购需求标准（试行）》明确产品及相关快递服务的具体包装要求：</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是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否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不涉及</w:t>
      </w:r>
    </w:p>
    <w:p w14:paraId="1974C959">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2.合同金额</w:t>
      </w:r>
    </w:p>
    <w:p w14:paraId="1C563BEE">
      <w:pPr>
        <w:keepNext w:val="0"/>
        <w:keepLines w:val="0"/>
        <w:pageBreakBefore w:val="0"/>
        <w:kinsoku/>
        <w:wordWrap/>
        <w:overflowPunct/>
        <w:topLinePunct w:val="0"/>
        <w:bidi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（1）合同总价：人民币（大写）</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元，（￥</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p>
    <w:p w14:paraId="7215862F">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本合同总价是货物（产品）设计、材料、制造、包装、运输、安装、调试、检测、验收合格交付使用之前及保修期内保修服务与备用物件等其他有关各项的含税费用。  </w:t>
      </w:r>
    </w:p>
    <w:p w14:paraId="2B75C954">
      <w:pPr>
        <w:keepNext w:val="0"/>
        <w:keepLines w:val="0"/>
        <w:pageBreakBefore w:val="0"/>
        <w:kinsoku/>
        <w:wordWrap/>
        <w:overflowPunct/>
        <w:topLinePunct w:val="0"/>
        <w:bidi w:val="0"/>
        <w:adjustRightInd w:val="0"/>
        <w:snapToGrid w:val="0"/>
        <w:spacing w:line="300" w:lineRule="auto"/>
        <w:ind w:firstLine="600" w:firstLineChars="3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分包金额（如有）小写</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 </w:t>
      </w:r>
    </w:p>
    <w:p w14:paraId="636A9BE9">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大写</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 </w:t>
      </w:r>
    </w:p>
    <w:p w14:paraId="18AC3A23">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（注：固定单价合同应填写单价和最高限价）</w:t>
      </w:r>
    </w:p>
    <w:p w14:paraId="01911C67">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（2）合同定价方式（采用组合定价方式的，可以勾选多项）：</w:t>
      </w:r>
    </w:p>
    <w:p w14:paraId="7E335987">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固定总价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固定单价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固定费率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成本补偿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绩效激励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 xml:space="preserve"> 其他</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p>
    <w:p w14:paraId="3FC18395">
      <w:pPr>
        <w:pStyle w:val="11"/>
        <w:keepNext w:val="0"/>
        <w:keepLines w:val="0"/>
        <w:pageBreakBefore w:val="0"/>
        <w:kinsoku/>
        <w:wordWrap/>
        <w:overflowPunct/>
        <w:topLinePunct w:val="0"/>
        <w:bidi w:val="0"/>
        <w:spacing w:line="300" w:lineRule="auto"/>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（3）付款方式（按项目实际勾选填写）：</w:t>
      </w:r>
    </w:p>
    <w:p w14:paraId="05CB9772">
      <w:pPr>
        <w:keepNext w:val="0"/>
        <w:keepLines w:val="0"/>
        <w:pageBreakBefore w:val="0"/>
        <w:kinsoku/>
        <w:wordWrap/>
        <w:overflowPunct/>
        <w:topLinePunct w:val="0"/>
        <w:bidi w:val="0"/>
        <w:adjustRightInd w:val="0"/>
        <w:snapToGrid w:val="0"/>
        <w:spacing w:line="300" w:lineRule="auto"/>
        <w:ind w:firstLine="600" w:firstLineChars="300"/>
        <w:textAlignment w:val="auto"/>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全额付款：</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FF0000"/>
          <w:sz w:val="20"/>
          <w:szCs w:val="20"/>
          <w:highlight w:val="yellow"/>
          <w:u w:val="single"/>
        </w:rPr>
        <w:t>所有货物</w:t>
      </w:r>
      <w:r>
        <w:rPr>
          <w:rFonts w:hint="eastAsia" w:asciiTheme="minorEastAsia" w:hAnsiTheme="minorEastAsia" w:eastAsiaTheme="minorEastAsia" w:cstheme="minorEastAsia"/>
          <w:color w:val="FF0000"/>
          <w:sz w:val="20"/>
          <w:szCs w:val="20"/>
          <w:highlight w:val="yellow"/>
          <w:u w:val="single"/>
          <w:lang w:val="en-US" w:eastAsia="zh-CN"/>
        </w:rPr>
        <w:t>供货、</w:t>
      </w:r>
      <w:r>
        <w:rPr>
          <w:rFonts w:hint="eastAsia" w:asciiTheme="minorEastAsia" w:hAnsiTheme="minorEastAsia" w:eastAsiaTheme="minorEastAsia" w:cstheme="minorEastAsia"/>
          <w:color w:val="FF0000"/>
          <w:sz w:val="20"/>
          <w:szCs w:val="20"/>
          <w:highlight w:val="yellow"/>
          <w:u w:val="single"/>
        </w:rPr>
        <w:t>安装、调试、验收合格，达到付款条件起 30 日内，一次性支付所有货款</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p>
    <w:p w14:paraId="3C73D8C8">
      <w:pPr>
        <w:keepNext w:val="0"/>
        <w:keepLines w:val="0"/>
        <w:pageBreakBefore w:val="0"/>
        <w:kinsoku/>
        <w:wordWrap/>
        <w:overflowPunct/>
        <w:topLinePunct w:val="0"/>
        <w:bidi w:val="0"/>
        <w:snapToGrid w:val="0"/>
        <w:spacing w:line="300" w:lineRule="auto"/>
        <w:ind w:firstLine="600" w:firstLineChars="300"/>
        <w:textAlignment w:val="auto"/>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分期付款：</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（应明确分期支付合同款项的各期比例和支付条件，各期支付条件应与分期履约验收情况挂钩）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，其中涉及预付款的：</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（应明确预付款的支付比例和支付条件） </w:t>
      </w:r>
    </w:p>
    <w:p w14:paraId="28E7717F">
      <w:pPr>
        <w:keepNext w:val="0"/>
        <w:keepLines w:val="0"/>
        <w:pageBreakBefore w:val="0"/>
        <w:kinsoku/>
        <w:wordWrap/>
        <w:overflowPunct/>
        <w:topLinePunct w:val="0"/>
        <w:bidi w:val="0"/>
        <w:adjustRightInd w:val="0"/>
        <w:snapToGrid w:val="0"/>
        <w:spacing w:line="300" w:lineRule="auto"/>
        <w:ind w:firstLine="600" w:firstLineChars="300"/>
        <w:textAlignment w:val="auto"/>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成本补偿：</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（应明确按照成本补偿方式的支付方式和支付条件）   </w:t>
      </w:r>
    </w:p>
    <w:p w14:paraId="10631F86">
      <w:pPr>
        <w:keepNext w:val="0"/>
        <w:keepLines w:val="0"/>
        <w:pageBreakBefore w:val="0"/>
        <w:kinsoku/>
        <w:wordWrap/>
        <w:overflowPunct/>
        <w:topLinePunct w:val="0"/>
        <w:bidi w:val="0"/>
        <w:adjustRightInd w:val="0"/>
        <w:snapToGrid w:val="0"/>
        <w:spacing w:line="300" w:lineRule="auto"/>
        <w:ind w:firstLine="600" w:firstLineChars="3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绩效激励：</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（应明确按照绩效激励方式的支付方式和支付条件）   </w:t>
      </w:r>
    </w:p>
    <w:p w14:paraId="5330B878">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b/>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3.合同履行</w:t>
      </w:r>
    </w:p>
    <w:p w14:paraId="58037CA6">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（1）起始日期：</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年</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日，完成日期：</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年</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日。</w:t>
      </w:r>
    </w:p>
    <w:p w14:paraId="57E8E384">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（2）履约地点</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  </w:t>
      </w:r>
    </w:p>
    <w:p w14:paraId="0FB07B79">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（3）履约担保：</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是否收取履约保证金：</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是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否</w:t>
      </w:r>
    </w:p>
    <w:p w14:paraId="4BAAA903">
      <w:pPr>
        <w:pStyle w:val="10"/>
        <w:keepNext w:val="0"/>
        <w:keepLines w:val="0"/>
        <w:pageBreakBefore w:val="0"/>
        <w:kinsoku/>
        <w:wordWrap/>
        <w:overflowPunct/>
        <w:topLinePunct w:val="0"/>
        <w:bidi w:val="0"/>
        <w:spacing w:line="300" w:lineRule="auto"/>
        <w:ind w:firstLine="420"/>
        <w:textAlignment w:val="auto"/>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收取履约保证金形式</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 </w:t>
      </w:r>
      <w:r>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t xml:space="preserve"> </w:t>
      </w:r>
    </w:p>
    <w:p w14:paraId="1DA74A77">
      <w:pPr>
        <w:pStyle w:val="10"/>
        <w:keepNext w:val="0"/>
        <w:keepLines w:val="0"/>
        <w:pageBreakBefore w:val="0"/>
        <w:kinsoku/>
        <w:wordWrap/>
        <w:overflowPunct/>
        <w:topLinePunct w:val="0"/>
        <w:bidi w:val="0"/>
        <w:spacing w:line="300" w:lineRule="auto"/>
        <w:ind w:firstLine="42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收取履约保证金金额：</w:t>
      </w:r>
      <w:r>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 </w:t>
      </w:r>
    </w:p>
    <w:p w14:paraId="7BDC6F2C">
      <w:pPr>
        <w:keepNext w:val="0"/>
        <w:keepLines w:val="0"/>
        <w:pageBreakBefore w:val="0"/>
        <w:kinsoku/>
        <w:wordWrap/>
        <w:overflowPunct/>
        <w:topLinePunct w:val="0"/>
        <w:bidi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 xml:space="preserve">    履约担保期限</w:t>
      </w:r>
      <w:r>
        <w:rPr>
          <w:rFonts w:hint="eastAsia" w:asciiTheme="minorEastAsia" w:hAnsiTheme="minorEastAsia" w:eastAsiaTheme="minorEastAsia" w:cstheme="minorEastAsia"/>
          <w:bCs/>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 </w:t>
      </w:r>
      <w:r>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t xml:space="preserve">   </w:t>
      </w:r>
    </w:p>
    <w:p w14:paraId="0290DB7F">
      <w:pPr>
        <w:keepNext w:val="0"/>
        <w:keepLines w:val="0"/>
        <w:pageBreakBefore w:val="0"/>
        <w:kinsoku/>
        <w:wordWrap/>
        <w:overflowPunct/>
        <w:topLinePunct w:val="0"/>
        <w:bidi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分期履行要求</w:t>
      </w:r>
      <w:r>
        <w:rPr>
          <w:rFonts w:hint="eastAsia" w:asciiTheme="minorEastAsia" w:hAnsiTheme="minorEastAsia" w:eastAsiaTheme="minorEastAsia" w:cstheme="minorEastAsia"/>
          <w:bCs/>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t xml:space="preserve">  </w:t>
      </w:r>
    </w:p>
    <w:p w14:paraId="233280B0">
      <w:pPr>
        <w:keepNext w:val="0"/>
        <w:keepLines w:val="0"/>
        <w:pageBreakBefore w:val="0"/>
        <w:kinsoku/>
        <w:wordWrap/>
        <w:overflowPunct/>
        <w:topLinePunct w:val="0"/>
        <w:bidi w:val="0"/>
        <w:adjustRightInd w:val="0"/>
        <w:snapToGrid w:val="0"/>
        <w:spacing w:line="300" w:lineRule="auto"/>
        <w:ind w:left="420"/>
        <w:textAlignment w:val="auto"/>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（5）风险处置措施和替代方案</w:t>
      </w:r>
      <w:r>
        <w:rPr>
          <w:rFonts w:hint="eastAsia" w:asciiTheme="minorEastAsia" w:hAnsiTheme="minorEastAsia" w:eastAsiaTheme="minorEastAsia" w:cstheme="minorEastAsia"/>
          <w:bCs/>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 </w:t>
      </w:r>
    </w:p>
    <w:p w14:paraId="1DD187FA">
      <w:pPr>
        <w:keepNext w:val="0"/>
        <w:keepLines w:val="0"/>
        <w:pageBreakBefore w:val="0"/>
        <w:kinsoku/>
        <w:wordWrap/>
        <w:overflowPunct/>
        <w:topLinePunct w:val="0"/>
        <w:bidi w:val="0"/>
        <w:adjustRightInd w:val="0"/>
        <w:snapToGrid w:val="0"/>
        <w:spacing w:line="300" w:lineRule="auto"/>
        <w:ind w:left="420"/>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4.合同验收</w:t>
      </w:r>
    </w:p>
    <w:p w14:paraId="6F8ADB88">
      <w:pPr>
        <w:keepNext w:val="0"/>
        <w:keepLines w:val="0"/>
        <w:pageBreakBefore w:val="0"/>
        <w:numPr>
          <w:ilvl w:val="0"/>
          <w:numId w:val="1"/>
        </w:numPr>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验收组织方式：</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 xml:space="preserve">自行组织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委托第三方组织</w:t>
      </w:r>
    </w:p>
    <w:p w14:paraId="70CEFD1B">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 xml:space="preserve">         验收主体</w:t>
      </w:r>
      <w:r>
        <w:rPr>
          <w:rFonts w:hint="eastAsia" w:asciiTheme="minorEastAsia" w:hAnsiTheme="minorEastAsia" w:eastAsiaTheme="minorEastAsia" w:cstheme="minorEastAsia"/>
          <w:bCs/>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 </w:t>
      </w:r>
      <w:r>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t xml:space="preserve"> </w:t>
      </w:r>
    </w:p>
    <w:p w14:paraId="24345185">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 xml:space="preserve">        是否邀请本项目的其他</w:t>
      </w:r>
      <w:r>
        <w:rPr>
          <w:rFonts w:hint="eastAsia" w:asciiTheme="minorEastAsia" w:hAnsiTheme="minorEastAsia" w:eastAsiaTheme="minorEastAsia" w:cstheme="minorEastAsia"/>
          <w:bCs/>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参加验收：</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 xml:space="preserve">是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否</w:t>
      </w:r>
    </w:p>
    <w:p w14:paraId="487D5303">
      <w:pPr>
        <w:keepNext w:val="0"/>
        <w:keepLines w:val="0"/>
        <w:pageBreakBefore w:val="0"/>
        <w:kinsoku/>
        <w:wordWrap/>
        <w:overflowPunct/>
        <w:topLinePunct w:val="0"/>
        <w:bidi w:val="0"/>
        <w:adjustRightInd w:val="0"/>
        <w:snapToGrid w:val="0"/>
        <w:spacing w:line="300" w:lineRule="auto"/>
        <w:ind w:firstLine="800" w:firstLineChars="400"/>
        <w:textAlignment w:val="auto"/>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是否邀请专家参加验收：</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 xml:space="preserve">是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否</w:t>
      </w:r>
    </w:p>
    <w:p w14:paraId="3098AC5F">
      <w:pPr>
        <w:keepNext w:val="0"/>
        <w:keepLines w:val="0"/>
        <w:pageBreakBefore w:val="0"/>
        <w:kinsoku/>
        <w:wordWrap/>
        <w:overflowPunct/>
        <w:topLinePunct w:val="0"/>
        <w:bidi w:val="0"/>
        <w:adjustRightInd w:val="0"/>
        <w:snapToGrid w:val="0"/>
        <w:spacing w:line="300" w:lineRule="auto"/>
        <w:ind w:firstLine="800" w:firstLineChars="400"/>
        <w:textAlignment w:val="auto"/>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是否邀请服务对象参加验收：</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 xml:space="preserve">是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否</w:t>
      </w:r>
    </w:p>
    <w:p w14:paraId="5468356F">
      <w:pPr>
        <w:keepNext w:val="0"/>
        <w:keepLines w:val="0"/>
        <w:pageBreakBefore w:val="0"/>
        <w:kinsoku/>
        <w:wordWrap/>
        <w:overflowPunct/>
        <w:topLinePunct w:val="0"/>
        <w:bidi w:val="0"/>
        <w:adjustRightInd w:val="0"/>
        <w:snapToGrid w:val="0"/>
        <w:spacing w:line="300" w:lineRule="auto"/>
        <w:ind w:firstLine="800" w:firstLineChars="400"/>
        <w:textAlignment w:val="auto"/>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是否邀请第三方检测机构参加验收：</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 xml:space="preserve">是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否</w:t>
      </w:r>
    </w:p>
    <w:p w14:paraId="7CC3E577">
      <w:pPr>
        <w:keepNext w:val="0"/>
        <w:keepLines w:val="0"/>
        <w:pageBreakBefore w:val="0"/>
        <w:kinsoku/>
        <w:wordWrap/>
        <w:overflowPunct/>
        <w:topLinePunct w:val="0"/>
        <w:bidi w:val="0"/>
        <w:adjustRightInd w:val="0"/>
        <w:snapToGrid w:val="0"/>
        <w:spacing w:line="300" w:lineRule="auto"/>
        <w:ind w:firstLine="800" w:firstLineChars="400"/>
        <w:textAlignment w:val="auto"/>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是否进行抽查检测：</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是，抽查比例：</w:t>
      </w:r>
      <w:r>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否</w:t>
      </w:r>
    </w:p>
    <w:p w14:paraId="6270B6F2">
      <w:pPr>
        <w:keepNext w:val="0"/>
        <w:keepLines w:val="0"/>
        <w:pageBreakBefore w:val="0"/>
        <w:kinsoku/>
        <w:wordWrap/>
        <w:overflowPunct/>
        <w:topLinePunct w:val="0"/>
        <w:bidi w:val="0"/>
        <w:adjustRightInd w:val="0"/>
        <w:snapToGrid w:val="0"/>
        <w:spacing w:line="300" w:lineRule="auto"/>
        <w:ind w:firstLine="800" w:firstLineChars="400"/>
        <w:textAlignment w:val="auto"/>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是否存在破坏性检测：</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是，</w:t>
      </w:r>
      <w:r>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t>（应明确对被破坏的检测产品的处理方式）</w:t>
      </w:r>
    </w:p>
    <w:p w14:paraId="2F40E150">
      <w:pPr>
        <w:keepNext w:val="0"/>
        <w:keepLines w:val="0"/>
        <w:pageBreakBefore w:val="0"/>
        <w:kinsoku/>
        <w:wordWrap/>
        <w:overflowPunct/>
        <w:topLinePunct w:val="0"/>
        <w:bidi w:val="0"/>
        <w:adjustRightInd w:val="0"/>
        <w:snapToGrid w:val="0"/>
        <w:spacing w:line="300" w:lineRule="auto"/>
        <w:ind w:firstLine="800" w:firstLineChars="400"/>
        <w:textAlignment w:val="auto"/>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否</w:t>
      </w:r>
    </w:p>
    <w:p w14:paraId="30C649CE">
      <w:pPr>
        <w:keepNext w:val="0"/>
        <w:keepLines w:val="0"/>
        <w:pageBreakBefore w:val="0"/>
        <w:kinsoku/>
        <w:wordWrap/>
        <w:overflowPunct/>
        <w:topLinePunct w:val="0"/>
        <w:bidi w:val="0"/>
        <w:adjustRightInd w:val="0"/>
        <w:snapToGrid w:val="0"/>
        <w:spacing w:line="300" w:lineRule="auto"/>
        <w:ind w:firstLine="800" w:firstLineChars="400"/>
        <w:textAlignment w:val="auto"/>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验收组织的其他事项：</w:t>
      </w:r>
      <w:r>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t xml:space="preserve">                </w:t>
      </w:r>
    </w:p>
    <w:p w14:paraId="34C13E85">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（2）履约验收时间：</w:t>
      </w:r>
      <w:r>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t>（计划于何时验收/</w:t>
      </w:r>
      <w:r>
        <w:rPr>
          <w:rFonts w:hint="eastAsia" w:asciiTheme="minorEastAsia" w:hAnsiTheme="minorEastAsia" w:eastAsiaTheme="minorEastAsia" w:cstheme="minorEastAsia"/>
          <w:bCs/>
          <w:color w:val="000000" w:themeColor="text1"/>
          <w:sz w:val="20"/>
          <w:szCs w:val="20"/>
          <w:highlight w:val="none"/>
          <w:u w:val="single"/>
          <w:lang w:eastAsia="zh-CN"/>
          <w14:textFill>
            <w14:solidFill>
              <w14:schemeClr w14:val="tx1"/>
            </w14:solidFill>
          </w14:textFill>
        </w:rPr>
        <w:t>供应商</w:t>
      </w:r>
      <w:r>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t xml:space="preserve">提出验收申请之日起   日内组织验收） </w:t>
      </w:r>
    </w:p>
    <w:p w14:paraId="390DAF37">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（3）履约验收方式：</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 xml:space="preserve">一次性验收         </w:t>
      </w:r>
    </w:p>
    <w:p w14:paraId="67C79FAC">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分期/分项验收：</w:t>
      </w:r>
      <w:r>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t xml:space="preserve"> （应明确分期</w:t>
      </w:r>
      <w:r>
        <w:rPr>
          <w:rFonts w:hint="eastAsia" w:asciiTheme="minorEastAsia" w:hAnsiTheme="minorEastAsia" w:eastAsiaTheme="minorEastAsia" w:cstheme="minorEastAsia"/>
          <w:bCs/>
          <w:color w:val="000000" w:themeColor="text1"/>
          <w:sz w:val="20"/>
          <w:szCs w:val="20"/>
          <w:highlight w:val="none"/>
          <w:u w:val="single"/>
          <w:lang w:val="en"/>
          <w14:textFill>
            <w14:solidFill>
              <w14:schemeClr w14:val="tx1"/>
            </w14:solidFill>
          </w14:textFill>
        </w:rPr>
        <w:t>/分项验收的工作安排</w:t>
      </w:r>
      <w:r>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t xml:space="preserve">）  </w:t>
      </w:r>
    </w:p>
    <w:p w14:paraId="3FE6FD5F">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（4）履约验收程序</w:t>
      </w:r>
      <w:r>
        <w:rPr>
          <w:rFonts w:hint="eastAsia" w:asciiTheme="minorEastAsia" w:hAnsiTheme="minorEastAsia" w:eastAsiaTheme="minorEastAsia" w:cstheme="minorEastAsia"/>
          <w:bCs/>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t xml:space="preserve">     </w:t>
      </w:r>
    </w:p>
    <w:p w14:paraId="3FC3398E">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（5）履约验收的内容：</w:t>
      </w:r>
      <w:r>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t xml:space="preserve"> （应当包括每一项技术和商务要求的履约情况，特别是落实政府采购扶持中小企业，支持绿色发展和乡村振兴等政策情况）</w:t>
      </w:r>
    </w:p>
    <w:p w14:paraId="60478491">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（6）履约验收标准</w:t>
      </w:r>
      <w:r>
        <w:rPr>
          <w:rFonts w:hint="eastAsia" w:asciiTheme="minorEastAsia" w:hAnsiTheme="minorEastAsia" w:eastAsiaTheme="minorEastAsia" w:cstheme="minorEastAsia"/>
          <w:bCs/>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 </w:t>
      </w:r>
      <w:r>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t xml:space="preserve"> </w:t>
      </w:r>
    </w:p>
    <w:p w14:paraId="24C5744D">
      <w:pPr>
        <w:pStyle w:val="10"/>
        <w:keepNext w:val="0"/>
        <w:keepLines w:val="0"/>
        <w:pageBreakBefore w:val="0"/>
        <w:kinsoku/>
        <w:wordWrap/>
        <w:overflowPunct/>
        <w:topLinePunct w:val="0"/>
        <w:bidi w:val="0"/>
        <w:spacing w:line="300" w:lineRule="auto"/>
        <w:ind w:firstLine="42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（7）是否以采购活动中</w:t>
      </w:r>
      <w:r>
        <w:rPr>
          <w:rFonts w:hint="eastAsia" w:asciiTheme="minorEastAsia" w:hAnsiTheme="minorEastAsia" w:eastAsiaTheme="minorEastAsia" w:cstheme="minorEastAsia"/>
          <w:bCs/>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提供的样品作为参考：</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 xml:space="preserve">是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sym w:font="Wingdings" w:char="00A8"/>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否</w:t>
      </w:r>
    </w:p>
    <w:p w14:paraId="161FEA13">
      <w:pPr>
        <w:pStyle w:val="12"/>
        <w:keepNext w:val="0"/>
        <w:keepLines w:val="0"/>
        <w:pageBreakBefore w:val="0"/>
        <w:numPr>
          <w:ilvl w:val="0"/>
          <w:numId w:val="2"/>
        </w:numPr>
        <w:kinsoku/>
        <w:wordWrap/>
        <w:overflowPunct/>
        <w:topLinePunct w:val="0"/>
        <w:bidi w:val="0"/>
        <w:adjustRightInd w:val="0"/>
        <w:snapToGrid w:val="0"/>
        <w:spacing w:line="300" w:lineRule="auto"/>
        <w:ind w:firstLineChars="0"/>
        <w:textAlignment w:val="auto"/>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履约验收其他事项：</w:t>
      </w:r>
      <w:r>
        <w:rPr>
          <w:rFonts w:hint="eastAsia" w:asciiTheme="minorEastAsia" w:hAnsiTheme="minorEastAsia" w:eastAsiaTheme="minorEastAsia" w:cstheme="minorEastAsia"/>
          <w:bCs/>
          <w:color w:val="000000" w:themeColor="text1"/>
          <w:sz w:val="20"/>
          <w:szCs w:val="20"/>
          <w:highlight w:val="none"/>
          <w:u w:val="single"/>
          <w14:textFill>
            <w14:solidFill>
              <w14:schemeClr w14:val="tx1"/>
            </w14:solidFill>
          </w14:textFill>
        </w:rPr>
        <w:t xml:space="preserve">      （产权过户登记等）          </w:t>
      </w:r>
    </w:p>
    <w:p w14:paraId="47939872">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5.组成合同的文件</w:t>
      </w:r>
    </w:p>
    <w:p w14:paraId="589EE8F5">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本协议书与下列文件一起构成合同文件，如下述文件之间有任何抵触、矛盾或歧义，应按以下顺序解释：</w:t>
      </w:r>
    </w:p>
    <w:p w14:paraId="2F3ED5D8">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（1）政府采购合同协议书及其变更、补充协议</w:t>
      </w:r>
    </w:p>
    <w:p w14:paraId="02052595">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（2）政府采购合同专用条款</w:t>
      </w:r>
    </w:p>
    <w:p w14:paraId="2679B5C6">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（3）政府采购合同通用条款</w:t>
      </w:r>
    </w:p>
    <w:p w14:paraId="627E25E6">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（4）中标（成交）通知书</w:t>
      </w:r>
    </w:p>
    <w:p w14:paraId="7BB3B5C5">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（5）投标（</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投标</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）文件</w:t>
      </w:r>
    </w:p>
    <w:p w14:paraId="076742CA">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（6）采购文件</w:t>
      </w:r>
    </w:p>
    <w:p w14:paraId="05ADFC4B">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（7）有关技术文件，图纸</w:t>
      </w:r>
    </w:p>
    <w:p w14:paraId="63A47F60">
      <w:pPr>
        <w:pStyle w:val="10"/>
        <w:keepNext w:val="0"/>
        <w:keepLines w:val="0"/>
        <w:pageBreakBefore w:val="0"/>
        <w:kinsoku/>
        <w:wordWrap/>
        <w:overflowPunct/>
        <w:topLinePunct w:val="0"/>
        <w:bidi w:val="0"/>
        <w:spacing w:line="300" w:lineRule="auto"/>
        <w:ind w:firstLineChars="0"/>
        <w:textAlignment w:val="auto"/>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0"/>
          <w:szCs w:val="20"/>
          <w:highlight w:val="none"/>
          <w14:textFill>
            <w14:solidFill>
              <w14:schemeClr w14:val="tx1"/>
            </w14:solidFill>
          </w14:textFill>
        </w:rPr>
        <w:t>（8）国家法律、行政法规和规章制度规定或合同约定的作为合同组成部分的其他文件</w:t>
      </w:r>
    </w:p>
    <w:p w14:paraId="7F671322">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6.合同生效</w:t>
      </w:r>
    </w:p>
    <w:p w14:paraId="3B5AE91C">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本合同自</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生效。</w:t>
      </w:r>
    </w:p>
    <w:p w14:paraId="634B1CD4">
      <w:pPr>
        <w:keepNext w:val="0"/>
        <w:keepLines w:val="0"/>
        <w:pageBreakBefore w:val="0"/>
        <w:kinsoku/>
        <w:wordWrap/>
        <w:overflowPunct/>
        <w:topLinePunct w:val="0"/>
        <w:bidi w:val="0"/>
        <w:adjustRightInd w:val="0"/>
        <w:snapToGrid w:val="0"/>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7.合同份数</w:t>
      </w:r>
    </w:p>
    <w:p w14:paraId="551AC463">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本合同一式</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份，甲方执</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份，乙方执</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份，均具有同等法律效力。</w:t>
      </w:r>
    </w:p>
    <w:p w14:paraId="7D5D7FEF">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合同订立时间：</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年</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日</w:t>
      </w:r>
    </w:p>
    <w:p w14:paraId="189923D7">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合同订立地点：</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p>
    <w:p w14:paraId="7105767A">
      <w:pPr>
        <w:keepNext w:val="0"/>
        <w:keepLines w:val="0"/>
        <w:pageBreakBefore w:val="0"/>
        <w:kinsoku/>
        <w:wordWrap/>
        <w:overflowPunct/>
        <w:topLinePunct w:val="0"/>
        <w:bidi w:val="0"/>
        <w:adjustRightInd w:val="0"/>
        <w:snapToGrid w:val="0"/>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附件：具体标的及其技术要求和商务要求、联合协议、分包意向协议等。</w:t>
      </w:r>
    </w:p>
    <w:p w14:paraId="17A711CA">
      <w:pPr>
        <w:pStyle w:val="3"/>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br w:type="page"/>
      </w:r>
    </w:p>
    <w:tbl>
      <w:tblPr>
        <w:tblStyle w:val="7"/>
        <w:tblW w:w="4927" w:type="pct"/>
        <w:tblInd w:w="113"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17E93F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53C34E51">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甲方（采购人、受采购人委托签订合同的单位或采购文件约定的合同甲方）</w:t>
            </w:r>
          </w:p>
        </w:tc>
        <w:tc>
          <w:tcPr>
            <w:tcW w:w="2437" w:type="pct"/>
            <w:gridSpan w:val="2"/>
            <w:tcBorders>
              <w:left w:val="single" w:color="auto" w:sz="2" w:space="0"/>
              <w:bottom w:val="single" w:color="auto" w:sz="2" w:space="0"/>
            </w:tcBorders>
            <w:vAlign w:val="center"/>
          </w:tcPr>
          <w:p w14:paraId="56FF52E4">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乙方（</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w:t>
            </w:r>
          </w:p>
        </w:tc>
      </w:tr>
      <w:tr w14:paraId="3E77DD6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0367A2EE">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043DBF90">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5E9CA494">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单位名称（公章或合同章）</w:t>
            </w:r>
          </w:p>
        </w:tc>
        <w:tc>
          <w:tcPr>
            <w:tcW w:w="1259" w:type="pct"/>
            <w:tcBorders>
              <w:top w:val="single" w:color="auto" w:sz="2" w:space="0"/>
              <w:left w:val="single" w:color="auto" w:sz="2" w:space="0"/>
              <w:bottom w:val="single" w:color="auto" w:sz="2" w:space="0"/>
            </w:tcBorders>
            <w:vAlign w:val="center"/>
          </w:tcPr>
          <w:p w14:paraId="522F4953">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0"/>
                <w:szCs w:val="20"/>
                <w:highlight w:val="none"/>
                <w14:textFill>
                  <w14:solidFill>
                    <w14:schemeClr w14:val="tx1"/>
                  </w14:solidFill>
                </w14:textFill>
              </w:rPr>
            </w:pPr>
          </w:p>
        </w:tc>
      </w:tr>
      <w:tr w14:paraId="3CC4953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05F0C4B7">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法定代表人</w:t>
            </w:r>
          </w:p>
          <w:p w14:paraId="19705C9A">
            <w:pPr>
              <w:adjustRightInd w:val="0"/>
              <w:snapToGrid w:val="0"/>
              <w:spacing w:line="300" w:lineRule="exact"/>
              <w:ind w:firstLine="96" w:firstLineChars="48"/>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3B6E55FE">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right w:val="single" w:color="auto" w:sz="2" w:space="0"/>
            </w:tcBorders>
            <w:vAlign w:val="center"/>
          </w:tcPr>
          <w:p w14:paraId="4ECD83E2">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法定代表人</w:t>
            </w:r>
          </w:p>
          <w:p w14:paraId="3D033EF5">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或其委托代理人（签章）</w:t>
            </w:r>
          </w:p>
        </w:tc>
        <w:tc>
          <w:tcPr>
            <w:tcW w:w="1259" w:type="pct"/>
            <w:tcBorders>
              <w:top w:val="single" w:color="auto" w:sz="2" w:space="0"/>
              <w:left w:val="single" w:color="auto" w:sz="2" w:space="0"/>
              <w:bottom w:val="single" w:color="auto" w:sz="2" w:space="0"/>
            </w:tcBorders>
            <w:vAlign w:val="center"/>
          </w:tcPr>
          <w:p w14:paraId="0A22763D">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29AB187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3F98CC6B">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436" w:type="pct"/>
            <w:vMerge w:val="continue"/>
            <w:tcBorders>
              <w:left w:val="single" w:color="auto" w:sz="2" w:space="0"/>
              <w:bottom w:val="single" w:color="auto" w:sz="2" w:space="0"/>
              <w:right w:val="single" w:color="auto" w:sz="2" w:space="0"/>
            </w:tcBorders>
            <w:vAlign w:val="center"/>
          </w:tcPr>
          <w:p w14:paraId="0781E940">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29C8B4E0">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拥有者性别</w:t>
            </w:r>
          </w:p>
        </w:tc>
        <w:tc>
          <w:tcPr>
            <w:tcW w:w="1259" w:type="pct"/>
            <w:tcBorders>
              <w:top w:val="single" w:color="auto" w:sz="2" w:space="0"/>
              <w:left w:val="single" w:color="auto" w:sz="2" w:space="0"/>
              <w:bottom w:val="single" w:color="auto" w:sz="2" w:space="0"/>
            </w:tcBorders>
            <w:vAlign w:val="center"/>
          </w:tcPr>
          <w:p w14:paraId="14E85288">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0"/>
                <w:szCs w:val="20"/>
                <w:highlight w:val="none"/>
                <w14:textFill>
                  <w14:solidFill>
                    <w14:schemeClr w14:val="tx1"/>
                  </w14:solidFill>
                </w14:textFill>
              </w:rPr>
            </w:pPr>
          </w:p>
        </w:tc>
      </w:tr>
      <w:tr w14:paraId="21B7FC5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FCF68CA">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7C1B3192">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6A4B5730">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住  所</w:t>
            </w:r>
          </w:p>
        </w:tc>
        <w:tc>
          <w:tcPr>
            <w:tcW w:w="1259" w:type="pct"/>
            <w:tcBorders>
              <w:top w:val="single" w:color="auto" w:sz="2" w:space="0"/>
              <w:left w:val="single" w:color="auto" w:sz="2" w:space="0"/>
              <w:bottom w:val="single" w:color="auto" w:sz="2" w:space="0"/>
            </w:tcBorders>
            <w:vAlign w:val="center"/>
          </w:tcPr>
          <w:p w14:paraId="2801BEAA">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0"/>
                <w:szCs w:val="20"/>
                <w:highlight w:val="none"/>
                <w14:textFill>
                  <w14:solidFill>
                    <w14:schemeClr w14:val="tx1"/>
                  </w14:solidFill>
                </w14:textFill>
              </w:rPr>
            </w:pPr>
          </w:p>
        </w:tc>
      </w:tr>
      <w:tr w14:paraId="437E774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0C667D4">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50F502E7">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78834528">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联 系 人</w:t>
            </w:r>
          </w:p>
        </w:tc>
        <w:tc>
          <w:tcPr>
            <w:tcW w:w="1259" w:type="pct"/>
            <w:tcBorders>
              <w:top w:val="single" w:color="auto" w:sz="2" w:space="0"/>
              <w:left w:val="single" w:color="auto" w:sz="2" w:space="0"/>
              <w:bottom w:val="single" w:color="auto" w:sz="2" w:space="0"/>
            </w:tcBorders>
            <w:vAlign w:val="center"/>
          </w:tcPr>
          <w:p w14:paraId="29E5E786">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0"/>
                <w:szCs w:val="20"/>
                <w:highlight w:val="none"/>
                <w14:textFill>
                  <w14:solidFill>
                    <w14:schemeClr w14:val="tx1"/>
                  </w14:solidFill>
                </w14:textFill>
              </w:rPr>
            </w:pPr>
          </w:p>
        </w:tc>
      </w:tr>
      <w:tr w14:paraId="7529653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A57167D">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709DFCAF">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2B937B47">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联系电话</w:t>
            </w:r>
          </w:p>
        </w:tc>
        <w:tc>
          <w:tcPr>
            <w:tcW w:w="1259" w:type="pct"/>
            <w:tcBorders>
              <w:top w:val="single" w:color="auto" w:sz="2" w:space="0"/>
              <w:left w:val="single" w:color="auto" w:sz="2" w:space="0"/>
              <w:bottom w:val="single" w:color="auto" w:sz="2" w:space="0"/>
            </w:tcBorders>
            <w:vAlign w:val="center"/>
          </w:tcPr>
          <w:p w14:paraId="2C9EB195">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0"/>
                <w:szCs w:val="20"/>
                <w:highlight w:val="none"/>
                <w14:textFill>
                  <w14:solidFill>
                    <w14:schemeClr w14:val="tx1"/>
                  </w14:solidFill>
                </w14:textFill>
              </w:rPr>
            </w:pPr>
          </w:p>
        </w:tc>
      </w:tr>
      <w:tr w14:paraId="643A689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01EF380">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2B109150">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6D9D9758">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通信地址</w:t>
            </w:r>
          </w:p>
        </w:tc>
        <w:tc>
          <w:tcPr>
            <w:tcW w:w="1259" w:type="pct"/>
            <w:tcBorders>
              <w:top w:val="single" w:color="auto" w:sz="2" w:space="0"/>
              <w:left w:val="single" w:color="auto" w:sz="2" w:space="0"/>
              <w:bottom w:val="single" w:color="auto" w:sz="2" w:space="0"/>
            </w:tcBorders>
            <w:vAlign w:val="center"/>
          </w:tcPr>
          <w:p w14:paraId="578AF3E1">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0"/>
                <w:szCs w:val="20"/>
                <w:highlight w:val="none"/>
                <w14:textFill>
                  <w14:solidFill>
                    <w14:schemeClr w14:val="tx1"/>
                  </w14:solidFill>
                </w14:textFill>
              </w:rPr>
            </w:pPr>
          </w:p>
        </w:tc>
      </w:tr>
      <w:tr w14:paraId="37D253D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8B5F8BF">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4ADB8AAD">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66F1F851">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邮政编码</w:t>
            </w:r>
          </w:p>
        </w:tc>
        <w:tc>
          <w:tcPr>
            <w:tcW w:w="1259" w:type="pct"/>
            <w:tcBorders>
              <w:top w:val="single" w:color="auto" w:sz="2" w:space="0"/>
              <w:left w:val="single" w:color="auto" w:sz="2" w:space="0"/>
              <w:bottom w:val="single" w:color="auto" w:sz="2" w:space="0"/>
            </w:tcBorders>
            <w:vAlign w:val="center"/>
          </w:tcPr>
          <w:p w14:paraId="524A2CCE">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0"/>
                <w:szCs w:val="20"/>
                <w:highlight w:val="none"/>
                <w14:textFill>
                  <w14:solidFill>
                    <w14:schemeClr w14:val="tx1"/>
                  </w14:solidFill>
                </w14:textFill>
              </w:rPr>
            </w:pPr>
          </w:p>
        </w:tc>
      </w:tr>
      <w:tr w14:paraId="5921157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ED12F0C">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5B256952">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3D20B289">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电子邮箱</w:t>
            </w:r>
          </w:p>
        </w:tc>
        <w:tc>
          <w:tcPr>
            <w:tcW w:w="1259" w:type="pct"/>
            <w:tcBorders>
              <w:top w:val="single" w:color="auto" w:sz="2" w:space="0"/>
              <w:left w:val="single" w:color="auto" w:sz="2" w:space="0"/>
              <w:bottom w:val="single" w:color="auto" w:sz="2" w:space="0"/>
            </w:tcBorders>
            <w:vAlign w:val="center"/>
          </w:tcPr>
          <w:p w14:paraId="0DF5612F">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0"/>
                <w:szCs w:val="20"/>
                <w:highlight w:val="none"/>
                <w14:textFill>
                  <w14:solidFill>
                    <w14:schemeClr w14:val="tx1"/>
                  </w14:solidFill>
                </w14:textFill>
              </w:rPr>
            </w:pPr>
          </w:p>
        </w:tc>
      </w:tr>
      <w:tr w14:paraId="3162069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DB66DB7">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04C05ECB">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00F7BC67">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统一社会信用代码</w:t>
            </w:r>
          </w:p>
        </w:tc>
        <w:tc>
          <w:tcPr>
            <w:tcW w:w="1259" w:type="pct"/>
            <w:tcBorders>
              <w:top w:val="single" w:color="auto" w:sz="2" w:space="0"/>
              <w:left w:val="single" w:color="auto" w:sz="2" w:space="0"/>
              <w:bottom w:val="single" w:color="auto" w:sz="2" w:space="0"/>
            </w:tcBorders>
            <w:vAlign w:val="center"/>
          </w:tcPr>
          <w:p w14:paraId="317CFC12">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0"/>
                <w:szCs w:val="20"/>
                <w:highlight w:val="none"/>
                <w14:textFill>
                  <w14:solidFill>
                    <w14:schemeClr w14:val="tx1"/>
                  </w14:solidFill>
                </w14:textFill>
              </w:rPr>
            </w:pPr>
          </w:p>
        </w:tc>
      </w:tr>
      <w:tr w14:paraId="6C5BE49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E4C5498">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4C2E312A">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42107CDB">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开户名称</w:t>
            </w:r>
          </w:p>
        </w:tc>
        <w:tc>
          <w:tcPr>
            <w:tcW w:w="1259" w:type="pct"/>
            <w:tcBorders>
              <w:top w:val="single" w:color="auto" w:sz="2" w:space="0"/>
              <w:left w:val="single" w:color="auto" w:sz="2" w:space="0"/>
              <w:bottom w:val="single" w:color="auto" w:sz="2" w:space="0"/>
            </w:tcBorders>
            <w:vAlign w:val="center"/>
          </w:tcPr>
          <w:p w14:paraId="59328E92">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0"/>
                <w:szCs w:val="20"/>
                <w:highlight w:val="none"/>
                <w14:textFill>
                  <w14:solidFill>
                    <w14:schemeClr w14:val="tx1"/>
                  </w14:solidFill>
                </w14:textFill>
              </w:rPr>
            </w:pPr>
          </w:p>
        </w:tc>
      </w:tr>
      <w:tr w14:paraId="7AABE7A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D070C6C">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6E16F821">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6121703D">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开户银行</w:t>
            </w:r>
          </w:p>
        </w:tc>
        <w:tc>
          <w:tcPr>
            <w:tcW w:w="1259" w:type="pct"/>
            <w:tcBorders>
              <w:top w:val="single" w:color="auto" w:sz="2" w:space="0"/>
              <w:left w:val="single" w:color="auto" w:sz="2" w:space="0"/>
              <w:bottom w:val="single" w:color="auto" w:sz="2" w:space="0"/>
            </w:tcBorders>
            <w:vAlign w:val="center"/>
          </w:tcPr>
          <w:p w14:paraId="5EE0EEB6">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0"/>
                <w:szCs w:val="20"/>
                <w:highlight w:val="none"/>
                <w14:textFill>
                  <w14:solidFill>
                    <w14:schemeClr w14:val="tx1"/>
                  </w14:solidFill>
                </w14:textFill>
              </w:rPr>
            </w:pPr>
          </w:p>
        </w:tc>
      </w:tr>
      <w:tr w14:paraId="3E71933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9DF7349">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08A72AB9">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3C7DB06D">
            <w:pPr>
              <w:adjustRightInd w:val="0"/>
              <w:snapToGrid w:val="0"/>
              <w:spacing w:line="300" w:lineRule="exact"/>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银行账号</w:t>
            </w:r>
          </w:p>
        </w:tc>
        <w:tc>
          <w:tcPr>
            <w:tcW w:w="1259" w:type="pct"/>
            <w:tcBorders>
              <w:top w:val="single" w:color="auto" w:sz="2" w:space="0"/>
              <w:left w:val="single" w:color="auto" w:sz="2" w:space="0"/>
              <w:bottom w:val="single" w:color="auto" w:sz="2" w:space="0"/>
            </w:tcBorders>
            <w:vAlign w:val="center"/>
          </w:tcPr>
          <w:p w14:paraId="204B24A9">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0"/>
                <w:szCs w:val="20"/>
                <w:highlight w:val="none"/>
                <w14:textFill>
                  <w14:solidFill>
                    <w14:schemeClr w14:val="tx1"/>
                  </w14:solidFill>
                </w14:textFill>
              </w:rPr>
            </w:pPr>
          </w:p>
        </w:tc>
      </w:tr>
      <w:tr w14:paraId="0F97439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57F2C8AA">
            <w:pPr>
              <w:pStyle w:val="4"/>
              <w:adjustRightInd w:val="0"/>
              <w:snapToGrid w:val="0"/>
              <w:spacing w:before="156" w:beforeLines="50" w:line="360" w:lineRule="auto"/>
              <w:ind w:firstLine="210"/>
              <w:jc w:val="left"/>
              <w:rPr>
                <w:rFonts w:hint="eastAsia" w:asciiTheme="minorEastAsia" w:hAnsiTheme="minorEastAsia" w:eastAsiaTheme="minorEastAsia" w:cstheme="minorEastAsia"/>
                <w:color w:val="000000" w:themeColor="text1"/>
                <w:spacing w:val="2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注：涉及联合体或其他合同主体的信息应按上表格式加列。</w:t>
            </w:r>
          </w:p>
        </w:tc>
      </w:tr>
    </w:tbl>
    <w:p w14:paraId="4B5270DC">
      <w:pPr>
        <w:pStyle w:val="6"/>
        <w:ind w:firstLine="210"/>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39B2EF12">
      <w:pPr>
        <w:pStyle w:val="6"/>
        <w:ind w:firstLine="210"/>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37AE6D7C">
      <w:pPr>
        <w:pStyle w:val="6"/>
        <w:ind w:firstLine="210"/>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4D0F9E1D">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br w:type="page"/>
      </w: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第二节 政府采购合同通用条款</w:t>
      </w:r>
    </w:p>
    <w:p w14:paraId="3728F1C7">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1. 定义</w:t>
      </w:r>
    </w:p>
    <w:p w14:paraId="55024D92">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1.1合同当事人</w:t>
      </w:r>
    </w:p>
    <w:p w14:paraId="54719710">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（1）采购人（以下称甲方）是指使用财政性资金，通过政府采购方式向</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购买货物及其相关服务的国家机关、事业单位、团体组织。</w:t>
      </w:r>
    </w:p>
    <w:p w14:paraId="7F73B83A">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（以下称乙方）是指参加政府采购活动并且中标（成交），向采购人提供合同约定的货物及其相关服务的法人、非法人组织或者自然人。</w:t>
      </w:r>
    </w:p>
    <w:p w14:paraId="4B9BD12C">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（3）其他合同主体是指除采购人和</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以外，依法参与合同缔结或履行，享有权利、承担义务的合同当事人。</w:t>
      </w:r>
    </w:p>
    <w:p w14:paraId="74677E2F">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1.2本合同下列术语应解释为：</w:t>
      </w:r>
    </w:p>
    <w:p w14:paraId="42C9D115">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（1）“合同”系指合同当事人意思表示达成一致的任何协议，包括签署的政府采购合同协议书及其变更、补充协议，政府采购合同专用条款，政府采购合同通用条款，中标（成交）通知书，投标（</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投标</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）文件，采购文件，有关技术文件和图纸，以及国家法律、行政法规和规章制度规定或合同约定的作为合同组成部分的其他文件。</w:t>
      </w:r>
    </w:p>
    <w:p w14:paraId="48C43A2B">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（2）“合同价款”系指根据本合同规定乙方在全面履行合同义务后甲方应支付给乙方的价款。</w:t>
      </w:r>
    </w:p>
    <w:p w14:paraId="35FD52B9">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（3）“货物”系指乙方根据本合同规定须向甲方提供的各种形态和种类的物品，包括原材料、设备、产品（包括软件）及相关</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的</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备品备件、工具、手册及其他技术资料和材料等。</w:t>
      </w:r>
    </w:p>
    <w:p w14:paraId="133E81EB">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61295255">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（5）“分包”系指中标（成交）</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按采购文件、投标（</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投标</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）文件的规定，根据分包意向协议，将中标（成交）项目中的部分履约内容，分给具有相应资质条件的</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履行合同的行为。</w:t>
      </w:r>
    </w:p>
    <w:p w14:paraId="0785F4BF">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（6）“联合体”系指由两个以上的自然人、法人或者非法人组织组成，以一个</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政府采购合同专用条款】。</w:t>
      </w:r>
    </w:p>
    <w:p w14:paraId="7B6E2485">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（7）其他术语解释，见【政府采购合同专用条款】。</w:t>
      </w:r>
    </w:p>
    <w:p w14:paraId="6C868455">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2. 合同标的及金额</w:t>
      </w:r>
    </w:p>
    <w:p w14:paraId="6111357F">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2.1 合同标的及金额应与中标（成交）结果一致。乙方为履行本合同而发生的所有费用均应包含在合同价款中，甲方不再另行支付其他任何费用。</w:t>
      </w:r>
    </w:p>
    <w:p w14:paraId="008FA985">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3. 履行合同的时间、地点和方式</w:t>
      </w:r>
    </w:p>
    <w:p w14:paraId="30726D59">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3.1 乙方应当在约定的时间、地点，按照约定方式履行合同。</w:t>
      </w:r>
    </w:p>
    <w:p w14:paraId="3C432FDC">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4. 甲方的权利和义务</w:t>
      </w:r>
    </w:p>
    <w:p w14:paraId="5D65D2E0">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325285DD">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1F4413FD">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4.3 甲方有权要求乙方对缺陷部分予以修复，并按合同约定享有货物保修及其他合同约定的权利。</w:t>
      </w:r>
    </w:p>
    <w:p w14:paraId="0DF58151">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4.4 甲方应当按照合同约定及时对交付的货物进行验收，未在【政府采购合同专用条款】约定的期限内对乙方履约提出任何异议或者向乙方作出任何说明的，视为验收通过。</w:t>
      </w:r>
    </w:p>
    <w:p w14:paraId="63773AF2">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4.5 甲方应当根据合同约定及时向乙方支付合同价款，不得以内部人员变更、履行内部付款流程等为由，拒绝或迟延支付。</w:t>
      </w:r>
    </w:p>
    <w:p w14:paraId="316F9233">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4.6 国家法律法规规定及【政府采购合同专用条款】约定应由甲方承担的其他义务和责任。</w:t>
      </w:r>
    </w:p>
    <w:p w14:paraId="67100DFD">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5. 乙方的权利和义务</w:t>
      </w:r>
    </w:p>
    <w:p w14:paraId="4FE4E65F">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5.1 签署合同后，乙方应确定项目负责人（或项目联系人），负责与本合同有关的事务。</w:t>
      </w:r>
    </w:p>
    <w:p w14:paraId="70867869">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2CD99B7E">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5.3乙方有权根据合同约定向甲方收取合同价款。</w:t>
      </w:r>
    </w:p>
    <w:p w14:paraId="1026709F">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5.4国家法律法规规定及【政府采购合同专用条款】约定应由乙方承担的其他义务和责任。</w:t>
      </w:r>
    </w:p>
    <w:p w14:paraId="5D5FB9A0">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6. 合同履行</w:t>
      </w:r>
    </w:p>
    <w:p w14:paraId="2FA9EF15">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6.1 甲乙双方应当按照【政府采购合同专用条款】约定顺序履行合同义务；如果没有先后顺序的，应当同时履行。</w:t>
      </w:r>
    </w:p>
    <w:p w14:paraId="7A182D1B">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303B3E9C">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7. 货物包装、运输、保险和交付要求</w:t>
      </w:r>
    </w:p>
    <w:p w14:paraId="6FB43B82">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7.1 本合同涉及商品包装、快递包装的，除【政府采购合同专用条款】另有约定外，包装应适应远距离运输、防潮、防震、防锈和防野蛮装卸等要求，确保货物安全无损地运抵【政府采购合同专用条款】约定的指定现场。</w:t>
      </w:r>
    </w:p>
    <w:p w14:paraId="09D1225D">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7.2 除【政府采购合同专用条款】另有约定外，乙方负责办理将货物运抵本合同规定的交货地点，并装卸、交付至甲方的一切运输事项，相关费用应包含在合同价款中。</w:t>
      </w:r>
    </w:p>
    <w:p w14:paraId="67AD4402">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7.3 货物保险要求按【政府采购合同专用条款】规定执行。</w:t>
      </w:r>
    </w:p>
    <w:p w14:paraId="2630BE63">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7.4 除采购活动对商品包装、快递包装达成具体约定外，乙方提供产品及相关快递服务涉及到具体包装要求的，应</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《商品包装政府采购需求标准（试行）》《快递包装政府采购需求标准（试行）》标准，并作为履约验收的内容，必要时甲方可以要求乙方在履约验收环节出具检测报告。</w:t>
      </w:r>
    </w:p>
    <w:p w14:paraId="245705E9">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7.5 乙方在运输到达之前应提前通知甲方，并提示货物运输装卸的注意事项，甲方配合乙方做好货物的接收工作。</w:t>
      </w:r>
    </w:p>
    <w:p w14:paraId="7271350F">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7.6 如因包装、运输问题导致货物损毁、丢失或者品质下降，甲方有权要求降价、换货、拒收部分或整批货物，由此产生的费用和损失，均由乙方承担。</w:t>
      </w:r>
    </w:p>
    <w:p w14:paraId="604C12CE">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8. 质量标准和保证</w:t>
      </w:r>
    </w:p>
    <w:p w14:paraId="455E64EA">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8.1 质量标准</w:t>
      </w:r>
    </w:p>
    <w:p w14:paraId="52D97A95">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2DC5218">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（2）采用中华人民共和国法定计量单位。</w:t>
      </w:r>
    </w:p>
    <w:p w14:paraId="648C5684">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（3）乙方所提供的货物应符合国家有关安全、环保、卫生的规定。</w:t>
      </w:r>
    </w:p>
    <w:p w14:paraId="0ADA748E">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（4）乙方应向甲方提交所提供货物的技术文件，包括相应的中文技术文件，如：产品目录、图纸、操作手册、使用说明、维护手册或服务指南等。上述文件应包装好随货物一同发运。</w:t>
      </w:r>
    </w:p>
    <w:p w14:paraId="434628F6">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8.2 保证</w:t>
      </w:r>
    </w:p>
    <w:p w14:paraId="538B13DE">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14:paraId="0F0AA0DC">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（2）在质量保证期内所发现的缺陷，甲方应尽快以书面形式通知乙方。</w:t>
      </w:r>
    </w:p>
    <w:p w14:paraId="5E98C194">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（3）乙方收到通知后，应在【政府采购合同专用条款】规定的</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投标</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时间内以合理的速度免费维修或更换有缺陷的货物或部件。</w:t>
      </w:r>
    </w:p>
    <w:p w14:paraId="7E25F29F">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（4）在质量保证期内，如果货物的质量或规格与合同不符，或证实货物是有缺陷的，包括潜在的缺陷或使用不符合要求的材料等，甲方可以根据本合同第15.1条规定以书面形式追究乙方的违约责任。</w:t>
      </w:r>
    </w:p>
    <w:p w14:paraId="40A0875A">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（5）乙方在约定的时间内未能弥补缺陷，甲方可采取必要的补救措施，但其风险和费用将由乙方承担，甲方根据合同约定对乙方行使的其他权利不受影响。</w:t>
      </w:r>
    </w:p>
    <w:p w14:paraId="5611CEAC">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9. 权利瑕疵担保</w:t>
      </w:r>
    </w:p>
    <w:p w14:paraId="0EA6C57F">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9.1 乙方保证对其出售的货物享有合法的权利。</w:t>
      </w:r>
    </w:p>
    <w:p w14:paraId="181C8933">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9.2 乙方保证在交付的货物上不存在抵押权等担保物权。</w:t>
      </w:r>
    </w:p>
    <w:p w14:paraId="6ABC4ECD">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9.3 如甲方使用上述货物构成对第三人侵权的，则由乙方承担全部责任。</w:t>
      </w:r>
    </w:p>
    <w:p w14:paraId="3C15D080">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10. 知识产权保护</w:t>
      </w:r>
    </w:p>
    <w:p w14:paraId="4331E7E7">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09540192">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11. 保密义务</w:t>
      </w:r>
    </w:p>
    <w:p w14:paraId="29F089B6">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政府采购合同专用条款】中约定。</w:t>
      </w:r>
    </w:p>
    <w:p w14:paraId="7C10895A">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12. 合同价款支付</w:t>
      </w:r>
    </w:p>
    <w:p w14:paraId="68E2A5BA">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12.1 合同价款支付按照国库集中支付制度及财政管理相关规定执行。</w:t>
      </w:r>
    </w:p>
    <w:p w14:paraId="5CC4911D">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2B8FC206">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13. 履约保证金</w:t>
      </w:r>
    </w:p>
    <w:p w14:paraId="74E1CB04">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13.1 乙方应当以支票、汇票、本票或者金融机构、担保机构出具的保函等非现金形式提交。</w:t>
      </w:r>
    </w:p>
    <w:p w14:paraId="6D10C0A7">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13.2 如果乙方出现【政府采购合同专用条款】约定情形的，履约保证金不予退还；如果乙方未能按合同约定全面履行义务，甲方有权从履约保证金中取得补偿或赔偿，且不影响甲方要求乙方承担合同约定的超过履约保证金的违约责任的权利。</w:t>
      </w:r>
    </w:p>
    <w:p w14:paraId="65C95BDB">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13.3 甲方在项目通过验收后按照【政府采购合同专用条款】规定的时间内将履约保证金退还乙方；逾期退还的，乙方可要求甲方支付违约金，违约金按照【政府采购合同专用条款】规定支付。</w:t>
      </w:r>
    </w:p>
    <w:p w14:paraId="4EA31867">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14. 售后服务</w:t>
      </w:r>
    </w:p>
    <w:p w14:paraId="1E053873">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14.1 除项目不涉及或采购活动中明确约定无须承担外，乙方还应提供下列服务：</w:t>
      </w:r>
    </w:p>
    <w:p w14:paraId="3C6CDC5A">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（1）货物的现场移动、安装、调试、启动监督及技术支持；</w:t>
      </w:r>
    </w:p>
    <w:p w14:paraId="7ADC446C">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（2）提供货物组装和维修所需的专用工具和辅助材料；</w:t>
      </w:r>
    </w:p>
    <w:p w14:paraId="7E6FE946">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（3）在【政府采购合同专用条款】约定的期限内对所有的货物实施运行监督、维修，但前提条件是该服务并不能免除乙方在质量保证期内所承担的义务；</w:t>
      </w:r>
    </w:p>
    <w:p w14:paraId="1E24E576">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（4）在制造商所在地或指定现场就货物的安装、启动、运营、维护、废弃处置等对甲方操作人员进行培训；</w:t>
      </w:r>
    </w:p>
    <w:p w14:paraId="45B097E6">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（5）依照法律、行政法规的规定或者按照【政府采购合同专用条款】约定，货物在有效使用年限届满后应予回收的，乙方负有自行或者委托第三人对货物予以回收的义务；</w:t>
      </w:r>
    </w:p>
    <w:p w14:paraId="433FB654">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（6）【政府采购合同专用条款】规定由乙方提供的其他服务。</w:t>
      </w:r>
    </w:p>
    <w:p w14:paraId="0636FED8">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14.2 乙方提供的售后服务的费用已包含在合同价款中，甲方不再另行支付。</w:t>
      </w:r>
    </w:p>
    <w:p w14:paraId="7932E557">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15. 违约责任</w:t>
      </w:r>
    </w:p>
    <w:p w14:paraId="6E0F3E6B">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15.1质量瑕疵的违约责任</w:t>
      </w:r>
    </w:p>
    <w:p w14:paraId="52462026">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乙方提供的产品不符合合同约定的质量标准或存在产品质量缺陷，甲方有权要求乙方根据【政府采购合同专用条款】要求及时修理、重作、更换，并承担由此给甲方造成的损失。</w:t>
      </w:r>
    </w:p>
    <w:p w14:paraId="78D74BAA">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15.2 迟延交货的违约责任</w:t>
      </w:r>
    </w:p>
    <w:p w14:paraId="5F7237C0">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0B3D6FA1">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如果乙方没有按照合同规定的时间交货和提供相关服务，甲方有权从货款中扣除误期赔偿费而不影响合同项下的其他补救方法，赔偿费按【政府采购合同专用条款】规定执行。如果涉及公共利益，且赔偿金额无法弥补公共利益损失，甲方可要求继续履行或者采取其他补救措施。</w:t>
      </w:r>
    </w:p>
    <w:p w14:paraId="6BEE0936">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15.3 迟延支付的违约责任</w:t>
      </w:r>
    </w:p>
    <w:p w14:paraId="77B5D809">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甲方存在迟延支付乙方合同款项的，应当承担【政府采购合同专用条款】规定的逾期付款利息。</w:t>
      </w:r>
    </w:p>
    <w:p w14:paraId="42CBA5AA">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15.4其他违约责任根据项目实际需要按【政府采购合同专用条款】规定执行。</w:t>
      </w:r>
    </w:p>
    <w:p w14:paraId="7898C23F">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16. 合同变更、中止与终止</w:t>
      </w:r>
    </w:p>
    <w:p w14:paraId="0D795456">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16.1合同的变更</w:t>
      </w:r>
    </w:p>
    <w:p w14:paraId="6E4BEA11">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政府采购合同履行中，在不改变合同其他条款的前提下，甲方可以在合同价款10%的范围内追加与合同标的相同的货物，并就此与乙方协商一致后签订补充协议。</w:t>
      </w:r>
    </w:p>
    <w:p w14:paraId="5DB7DE73">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16.2合同的中止</w:t>
      </w:r>
    </w:p>
    <w:p w14:paraId="1638CEBF">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（1）合同履行过程中因</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就采购文件、采购过程或结果提起投诉的，甲方认为有必要的，可以中止合同的履行。</w:t>
      </w:r>
    </w:p>
    <w:p w14:paraId="514D0F4E">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3A824F52">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（3）乙方分立、合并或者变更住所的，应当及时以书面形式告知甲方。乙方没有及时告知甲方，致使合同履行发生困难的，甲方可以中止合同履行并要求乙方承担由此给甲方造成的损失。</w:t>
      </w:r>
    </w:p>
    <w:p w14:paraId="17B0CCDD">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（4）甲方不得以行政区划调整、政府换届、机构或者职能调整以及相关责任人更替为由中止合同。</w:t>
      </w:r>
    </w:p>
    <w:p w14:paraId="15680D72">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16.3合同的终止</w:t>
      </w:r>
    </w:p>
    <w:p w14:paraId="7FACB7A5">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（1）合同因有效期限届满而终止；</w:t>
      </w:r>
    </w:p>
    <w:p w14:paraId="32C2E4BA">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（2）乙方未按合同约定履行，构成根本性违约的，甲方有权终止合同，并追究乙方的违约责任。</w:t>
      </w:r>
    </w:p>
    <w:p w14:paraId="61B139B5">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16.4 涉及国家利益、社会公共利益的情形</w:t>
      </w:r>
    </w:p>
    <w:p w14:paraId="32CC8C9B">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政府采购合同继续履行将损害国家利益和社会公共利益的，双方当事人应当变更、中止或者终止合同。有过错的一方应当承担赔偿责任，双方都有过错的，各自承担相应的责任。</w:t>
      </w:r>
    </w:p>
    <w:p w14:paraId="3897E8AA">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17. 合同分包</w:t>
      </w:r>
    </w:p>
    <w:p w14:paraId="39A50E07">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17.1 乙方不得将合同转包给其他</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。涉及合同分包的，乙方应根据采购文件和投标（</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投标</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）文件规定进行合同分包。</w:t>
      </w:r>
    </w:p>
    <w:p w14:paraId="708E7ECB">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17.2 乙方执行政府采购政策向中小企业依法分包的，乙方应当按采购文件和投标（</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投标</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）文件签订分包意向协议，分包意向协议属于本合同组成部分。</w:t>
      </w:r>
    </w:p>
    <w:p w14:paraId="0ED6D592">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18. 不可抗力</w:t>
      </w:r>
    </w:p>
    <w:p w14:paraId="6943178A">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18.1 不可抗力是指合同双方不能预见、不能避免且不能克服的客观情况。</w:t>
      </w:r>
    </w:p>
    <w:p w14:paraId="26FBE56C">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18.2 任何一方对由于不可抗力造成的部分或全部不能履行合同不承担违约责任。但迟延履行后发生不可抗力的，不能免除责任。</w:t>
      </w:r>
    </w:p>
    <w:p w14:paraId="00D5BAAA">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3ECCCAD2">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19. 解决争议的方法</w:t>
      </w:r>
    </w:p>
    <w:p w14:paraId="2D162565">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19.1 因本合同及合同有关事项发生的争议，由甲乙双方友好协商解决。协商不成时，可以向有关组织申请调解。合同一方或双方不愿调解或调解不成的，可以通过仲裁或诉讼的方式解决争议。</w:t>
      </w:r>
    </w:p>
    <w:p w14:paraId="03CC69BF">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19.2 选择仲裁的，应在【政府采购合同专用条款】中明确仲裁机构及仲裁地；通过诉讼方式解决的，可以在【政府采购合同专用条款】中进一步约定选择与争议有实际联系的地点的人民法院管辖，但管辖法院的约定不得违反级别管辖和专属管辖的规定。</w:t>
      </w:r>
    </w:p>
    <w:p w14:paraId="6022460A">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19.3 如甲乙双方有争议的事项不影响合同其他部分的履行，在争议解决期间，合同其他部分应当继续履行。</w:t>
      </w:r>
    </w:p>
    <w:p w14:paraId="4613CCDC">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20. 政府采购政策</w:t>
      </w:r>
    </w:p>
    <w:p w14:paraId="4277B134">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20.1 本合同应当按照规定执行政府采购政策。</w:t>
      </w:r>
    </w:p>
    <w:p w14:paraId="75642207">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6FA638D8">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1E41A06">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21. 法律适用</w:t>
      </w:r>
    </w:p>
    <w:p w14:paraId="02A7105F">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21.1 本合同的订立、生效、解释、履行及与本合同有关的争议解决，均适用法律、行政法规。</w:t>
      </w:r>
    </w:p>
    <w:p w14:paraId="67C8C644">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21.2 本合同条款与法律、行政法规的强制性规定不一致的，双方当事人应按照法律、行政法规的强制性规定修改本合同的相关条款。</w:t>
      </w:r>
    </w:p>
    <w:p w14:paraId="616AEF1C">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22. 通知</w:t>
      </w:r>
    </w:p>
    <w:p w14:paraId="602A49A4">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22.1 本合同任何一方向对方发出的通知、信件、数据电文等，应当发送至本合同第一部分《政府采购合同协议书》所约定的通讯地址、联系人、联系电话或电子邮箱。</w:t>
      </w:r>
    </w:p>
    <w:p w14:paraId="4E16A76C">
      <w:pPr>
        <w:keepNext w:val="0"/>
        <w:keepLines w:val="0"/>
        <w:pageBreakBefore w:val="0"/>
        <w:widowControl w:val="0"/>
        <w:kinsoku/>
        <w:wordWrap/>
        <w:overflowPunct/>
        <w:topLinePunct w:val="0"/>
        <w:autoSpaceDE/>
        <w:autoSpaceDN/>
        <w:bidi w:val="0"/>
        <w:adjustRightInd/>
        <w:snapToGrid/>
        <w:spacing w:line="300" w:lineRule="auto"/>
        <w:ind w:firstLine="42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22.2 一方当事人变更名称、住所、联系人、联系电话或电子邮箱等信息的，应当在变更后3日内及时书面通知对方，对方实际收到变更通知前的送达仍为有效送达。</w:t>
      </w:r>
    </w:p>
    <w:p w14:paraId="1E18A77B">
      <w:pPr>
        <w:keepNext w:val="0"/>
        <w:keepLines w:val="0"/>
        <w:pageBreakBefore w:val="0"/>
        <w:widowControl w:val="0"/>
        <w:kinsoku/>
        <w:wordWrap/>
        <w:overflowPunct/>
        <w:topLinePunct w:val="0"/>
        <w:autoSpaceDE/>
        <w:autoSpaceDN/>
        <w:bidi w:val="0"/>
        <w:adjustRightInd/>
        <w:snapToGrid/>
        <w:spacing w:line="300" w:lineRule="auto"/>
        <w:ind w:firstLine="42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22.3本合同一方给另一方的通知均应采用书面形式，传真或快递送到本合同中规定的对方的地址和办理签收手续。</w:t>
      </w:r>
    </w:p>
    <w:p w14:paraId="1D691DC5">
      <w:pPr>
        <w:keepNext w:val="0"/>
        <w:keepLines w:val="0"/>
        <w:pageBreakBefore w:val="0"/>
        <w:widowControl w:val="0"/>
        <w:kinsoku/>
        <w:wordWrap/>
        <w:overflowPunct/>
        <w:topLinePunct w:val="0"/>
        <w:autoSpaceDE/>
        <w:autoSpaceDN/>
        <w:bidi w:val="0"/>
        <w:adjustRightInd/>
        <w:snapToGrid/>
        <w:spacing w:line="300" w:lineRule="auto"/>
        <w:ind w:firstLine="42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22.4通知以送达之日或通知书中规定的生效之日起生效，两者中以较迟之日为准。</w:t>
      </w:r>
    </w:p>
    <w:p w14:paraId="3630231C">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23. 合同未尽事项</w:t>
      </w:r>
    </w:p>
    <w:p w14:paraId="2C528A3F">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23.1合同未尽事项见【政府采购合同专用条款】。</w:t>
      </w:r>
    </w:p>
    <w:p w14:paraId="4D0A22F8">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23.2 合同附件与合同正文具有同等的法律效力。</w:t>
      </w:r>
    </w:p>
    <w:p w14:paraId="1BDBFB3D">
      <w:pPr>
        <w:spacing w:line="360" w:lineRule="auto"/>
        <w:jc w:val="cente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br w:type="page"/>
      </w: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第三节 政府采购</w:t>
      </w:r>
      <w:r>
        <w:rPr>
          <w:rFonts w:hint="eastAsia" w:asciiTheme="minorEastAsia" w:hAnsiTheme="minorEastAsia" w:eastAsiaTheme="minorEastAsia" w:cstheme="minorEastAsia"/>
          <w:b/>
          <w:color w:val="000000" w:themeColor="text1"/>
          <w:sz w:val="20"/>
          <w:szCs w:val="20"/>
          <w:highlight w:val="none"/>
          <w:lang w:eastAsia="zh-CN"/>
          <w14:textFill>
            <w14:solidFill>
              <w14:schemeClr w14:val="tx1"/>
            </w14:solidFill>
          </w14:textFill>
        </w:rPr>
        <w:t>合同</w:t>
      </w:r>
      <w:r>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t>专用条款</w:t>
      </w:r>
    </w:p>
    <w:tbl>
      <w:tblPr>
        <w:tblStyle w:val="7"/>
        <w:tblW w:w="920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8"/>
        <w:gridCol w:w="2220"/>
        <w:gridCol w:w="5379"/>
      </w:tblGrid>
      <w:tr w14:paraId="016E31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13A8B495">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610A86E6">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第1.2（6）项</w:t>
            </w:r>
          </w:p>
        </w:tc>
        <w:tc>
          <w:tcPr>
            <w:tcW w:w="2220" w:type="dxa"/>
            <w:vAlign w:val="center"/>
          </w:tcPr>
          <w:p w14:paraId="1DAD004C">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联合体具体要求</w:t>
            </w:r>
          </w:p>
        </w:tc>
        <w:tc>
          <w:tcPr>
            <w:tcW w:w="5379" w:type="dxa"/>
            <w:vAlign w:val="center"/>
          </w:tcPr>
          <w:p w14:paraId="76956930">
            <w:pPr>
              <w:adjustRightInd w:val="0"/>
              <w:snapToGrid w:val="0"/>
              <w:jc w:val="left"/>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w:t>
            </w:r>
          </w:p>
        </w:tc>
      </w:tr>
      <w:tr w14:paraId="0DD72A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8" w:type="dxa"/>
            <w:vAlign w:val="center"/>
          </w:tcPr>
          <w:p w14:paraId="0F805F69">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17180D96">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第1.2（7）项</w:t>
            </w:r>
          </w:p>
        </w:tc>
        <w:tc>
          <w:tcPr>
            <w:tcW w:w="2220" w:type="dxa"/>
            <w:vAlign w:val="center"/>
          </w:tcPr>
          <w:p w14:paraId="0B3BA51B">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其他术语解释</w:t>
            </w:r>
          </w:p>
        </w:tc>
        <w:tc>
          <w:tcPr>
            <w:tcW w:w="5379" w:type="dxa"/>
            <w:vAlign w:val="center"/>
          </w:tcPr>
          <w:p w14:paraId="101F15A2">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66A2AC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353CDBCC">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1DEB9198">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第4.4款</w:t>
            </w:r>
          </w:p>
        </w:tc>
        <w:tc>
          <w:tcPr>
            <w:tcW w:w="2220" w:type="dxa"/>
            <w:vAlign w:val="center"/>
          </w:tcPr>
          <w:p w14:paraId="4B64B06F">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履约验收中甲方提出异议或作出说明的期限</w:t>
            </w:r>
          </w:p>
        </w:tc>
        <w:tc>
          <w:tcPr>
            <w:tcW w:w="5379" w:type="dxa"/>
            <w:vAlign w:val="center"/>
          </w:tcPr>
          <w:p w14:paraId="20AF0857">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验收后</w:t>
            </w: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日内</w:t>
            </w:r>
          </w:p>
        </w:tc>
      </w:tr>
      <w:tr w14:paraId="3A5D88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25211A5C">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15A995FA">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第4.6款</w:t>
            </w:r>
          </w:p>
        </w:tc>
        <w:tc>
          <w:tcPr>
            <w:tcW w:w="2220" w:type="dxa"/>
            <w:vAlign w:val="center"/>
          </w:tcPr>
          <w:p w14:paraId="6D4BEFD2">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约定甲方承担的其他义务和责任</w:t>
            </w:r>
          </w:p>
        </w:tc>
        <w:tc>
          <w:tcPr>
            <w:tcW w:w="5379" w:type="dxa"/>
            <w:vAlign w:val="center"/>
          </w:tcPr>
          <w:p w14:paraId="5802975E">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0D4F32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1B262DCE">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1F86261C">
            <w:pPr>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第5.4款</w:t>
            </w:r>
          </w:p>
        </w:tc>
        <w:tc>
          <w:tcPr>
            <w:tcW w:w="2220" w:type="dxa"/>
            <w:vAlign w:val="center"/>
          </w:tcPr>
          <w:p w14:paraId="7C0A95BB">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约定乙方承担的其他义务和责任</w:t>
            </w:r>
          </w:p>
        </w:tc>
        <w:tc>
          <w:tcPr>
            <w:tcW w:w="5379" w:type="dxa"/>
            <w:vAlign w:val="center"/>
          </w:tcPr>
          <w:p w14:paraId="6C0C0CD3">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3205D4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41D8B2B0">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6E80C88E">
            <w:pPr>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第6.1款</w:t>
            </w:r>
          </w:p>
        </w:tc>
        <w:tc>
          <w:tcPr>
            <w:tcW w:w="2220" w:type="dxa"/>
            <w:vAlign w:val="center"/>
          </w:tcPr>
          <w:p w14:paraId="5D38F69E">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履行合同义务的顺序</w:t>
            </w:r>
          </w:p>
        </w:tc>
        <w:tc>
          <w:tcPr>
            <w:tcW w:w="5379" w:type="dxa"/>
            <w:vAlign w:val="center"/>
          </w:tcPr>
          <w:p w14:paraId="14A685A3">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19E480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Merge w:val="restart"/>
            <w:vAlign w:val="center"/>
          </w:tcPr>
          <w:p w14:paraId="04F1B1BB">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5F8E9D48">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第7.1款</w:t>
            </w:r>
          </w:p>
        </w:tc>
        <w:tc>
          <w:tcPr>
            <w:tcW w:w="2220" w:type="dxa"/>
            <w:vAlign w:val="center"/>
          </w:tcPr>
          <w:p w14:paraId="5042F91F">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包装特殊要求</w:t>
            </w:r>
          </w:p>
        </w:tc>
        <w:tc>
          <w:tcPr>
            <w:tcW w:w="5379" w:type="dxa"/>
            <w:vAlign w:val="center"/>
          </w:tcPr>
          <w:p w14:paraId="215F5980">
            <w:pP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 xml:space="preserve"> </w:t>
            </w:r>
          </w:p>
        </w:tc>
      </w:tr>
      <w:tr w14:paraId="3FA26A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Merge w:val="continue"/>
            <w:vAlign w:val="center"/>
          </w:tcPr>
          <w:p w14:paraId="1583FDBC">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2220" w:type="dxa"/>
            <w:vAlign w:val="center"/>
          </w:tcPr>
          <w:p w14:paraId="281FA1A1">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指定现场</w:t>
            </w:r>
          </w:p>
        </w:tc>
        <w:tc>
          <w:tcPr>
            <w:tcW w:w="5379" w:type="dxa"/>
            <w:vAlign w:val="center"/>
          </w:tcPr>
          <w:p w14:paraId="41369C83">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采购人指定地点</w:t>
            </w:r>
          </w:p>
        </w:tc>
      </w:tr>
      <w:tr w14:paraId="790BE9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8" w:type="dxa"/>
            <w:vAlign w:val="center"/>
          </w:tcPr>
          <w:p w14:paraId="57288070">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16F5F910">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第7.2款</w:t>
            </w:r>
          </w:p>
        </w:tc>
        <w:tc>
          <w:tcPr>
            <w:tcW w:w="2220" w:type="dxa"/>
            <w:vAlign w:val="center"/>
          </w:tcPr>
          <w:p w14:paraId="36361216">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运输特殊要求</w:t>
            </w:r>
          </w:p>
        </w:tc>
        <w:tc>
          <w:tcPr>
            <w:tcW w:w="5379" w:type="dxa"/>
            <w:vAlign w:val="center"/>
          </w:tcPr>
          <w:p w14:paraId="2450999C">
            <w:pPr>
              <w:tabs>
                <w:tab w:val="left" w:pos="312"/>
              </w:tabs>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1.乙方负责所有产品的运输，确保采购产品安全、完整到达甲方指定地点。运杂费用包含在合同总价内，包括从产品供应地点所含的运输费、装卸费、仓储费、保险费等。</w:t>
            </w:r>
          </w:p>
          <w:p w14:paraId="5F65D6D5">
            <w:pPr>
              <w:tabs>
                <w:tab w:val="left" w:pos="312"/>
              </w:tabs>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2.运输方式由乙方自行选择，但必须保证按期交货</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所</w:t>
            </w: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有</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采购货物在运输、搬运的过程中，造成甲方损失的，由乙方为甲方免费更换。</w:t>
            </w:r>
          </w:p>
        </w:tc>
      </w:tr>
      <w:tr w14:paraId="35362E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Align w:val="center"/>
          </w:tcPr>
          <w:p w14:paraId="3E1F50AD">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73A60B61">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第7.3款</w:t>
            </w:r>
          </w:p>
        </w:tc>
        <w:tc>
          <w:tcPr>
            <w:tcW w:w="2220" w:type="dxa"/>
            <w:vAlign w:val="center"/>
          </w:tcPr>
          <w:p w14:paraId="5E111C33">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保险要求</w:t>
            </w:r>
          </w:p>
        </w:tc>
        <w:tc>
          <w:tcPr>
            <w:tcW w:w="5379" w:type="dxa"/>
            <w:vAlign w:val="center"/>
          </w:tcPr>
          <w:p w14:paraId="4C5D216C">
            <w:pPr>
              <w:tabs>
                <w:tab w:val="left" w:pos="312"/>
              </w:tabs>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有关运输和保险的一切费用由乙方承担</w:t>
            </w:r>
          </w:p>
        </w:tc>
      </w:tr>
      <w:tr w14:paraId="393375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1841B203">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039E83D5">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第8.2（1）项</w:t>
            </w:r>
          </w:p>
        </w:tc>
        <w:tc>
          <w:tcPr>
            <w:tcW w:w="2220" w:type="dxa"/>
            <w:vAlign w:val="center"/>
          </w:tcPr>
          <w:p w14:paraId="4C5DC1A1">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质量保证期</w:t>
            </w:r>
          </w:p>
        </w:tc>
        <w:tc>
          <w:tcPr>
            <w:tcW w:w="5379" w:type="dxa"/>
            <w:vAlign w:val="center"/>
          </w:tcPr>
          <w:p w14:paraId="15839BD8">
            <w:pPr>
              <w:tabs>
                <w:tab w:val="left" w:pos="312"/>
              </w:tabs>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1.乙方须提供全新的、未使用过的合格正品货物（含零部件、配件等），完全符合合同规定的质量、规格和性能的要求。</w:t>
            </w:r>
          </w:p>
          <w:p w14:paraId="04EA1567">
            <w:pPr>
              <w:tabs>
                <w:tab w:val="left" w:pos="312"/>
              </w:tabs>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2.乙方提供的节能和环保产品必须是列入节能、环保标志产品品目清单中的产品。</w:t>
            </w:r>
          </w:p>
          <w:p w14:paraId="265B7838">
            <w:pPr>
              <w:tabs>
                <w:tab w:val="left" w:pos="312"/>
              </w:tabs>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3.质量标准按照最新颁布的国家标准、行业标准或制造商企业标准确定，上述标准不一致的，以严格标准为准。</w:t>
            </w:r>
          </w:p>
          <w:p w14:paraId="454FC981">
            <w:pPr>
              <w:tabs>
                <w:tab w:val="left" w:pos="312"/>
              </w:tabs>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4.乙方所提供货物还应符合国家和陕西省有关安全、环保、节能之规定，“3C”认证的货物（产品）应加贴“3C”认证标志。</w:t>
            </w:r>
          </w:p>
          <w:p w14:paraId="4B734A4A">
            <w:pPr>
              <w:tabs>
                <w:tab w:val="left" w:pos="312"/>
              </w:tabs>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5.货物制造质量出现问题，乙方应负责三包（包修、包换、包退），费用由乙方负担，甲方有权到乙方生产场地检查货物质量和生产进度。</w:t>
            </w:r>
          </w:p>
          <w:p w14:paraId="5AFDD092">
            <w:pPr>
              <w:autoSpaceDE w:val="0"/>
              <w:autoSpaceDN w:val="0"/>
              <w:adjustRightInd w:val="0"/>
              <w:snapToGrid w:val="0"/>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6.产品质量保证期和售后服务期：从验收合格之</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日起</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个月。</w:t>
            </w:r>
          </w:p>
        </w:tc>
      </w:tr>
      <w:tr w14:paraId="149CCB3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2B6BA07B">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2E450A97">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第8.2（3）项</w:t>
            </w:r>
          </w:p>
        </w:tc>
        <w:tc>
          <w:tcPr>
            <w:tcW w:w="2220" w:type="dxa"/>
            <w:vAlign w:val="center"/>
          </w:tcPr>
          <w:p w14:paraId="2837C0E5">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货物质量缺陷</w:t>
            </w:r>
          </w:p>
          <w:p w14:paraId="5E3B4BF6">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响应时间</w:t>
            </w:r>
          </w:p>
        </w:tc>
        <w:tc>
          <w:tcPr>
            <w:tcW w:w="5379" w:type="dxa"/>
            <w:vAlign w:val="center"/>
          </w:tcPr>
          <w:p w14:paraId="5A6151D1">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发现质量缺陷24小时内做出响应并提供解决方案</w:t>
            </w:r>
          </w:p>
        </w:tc>
      </w:tr>
      <w:tr w14:paraId="444518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5185439B">
            <w:pPr>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52CBAD48">
            <w:pPr>
              <w:pStyle w:val="10"/>
              <w:ind w:firstLine="0" w:firstLineChars="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第11.1款</w:t>
            </w:r>
          </w:p>
        </w:tc>
        <w:tc>
          <w:tcPr>
            <w:tcW w:w="2220" w:type="dxa"/>
            <w:vAlign w:val="center"/>
          </w:tcPr>
          <w:p w14:paraId="23D6097B">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其他应当保密的信息</w:t>
            </w:r>
          </w:p>
        </w:tc>
        <w:tc>
          <w:tcPr>
            <w:tcW w:w="5379" w:type="dxa"/>
            <w:vAlign w:val="center"/>
          </w:tcPr>
          <w:p w14:paraId="1F5AF3C0">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1AC504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8" w:type="dxa"/>
            <w:vAlign w:val="center"/>
          </w:tcPr>
          <w:p w14:paraId="749989C3">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596BEB0F">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第12.2款</w:t>
            </w:r>
          </w:p>
        </w:tc>
        <w:tc>
          <w:tcPr>
            <w:tcW w:w="2220" w:type="dxa"/>
            <w:vAlign w:val="center"/>
          </w:tcPr>
          <w:p w14:paraId="4C553183">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合同价款支付时间</w:t>
            </w:r>
          </w:p>
        </w:tc>
        <w:tc>
          <w:tcPr>
            <w:tcW w:w="5379" w:type="dxa"/>
            <w:vAlign w:val="center"/>
          </w:tcPr>
          <w:p w14:paraId="4F62CB34">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（1）合同签订生效后，所有货物（产品）供货完成，经验收合格，达到付款条件起</w:t>
            </w: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0日内甲方一次性支付所有合同款项</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p>
          <w:p w14:paraId="5F5A75A6">
            <w:pPr>
              <w:pStyle w:val="3"/>
              <w:rPr>
                <w:rFonts w:hint="eastAsia"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（2）付款前乙方应开具与付款金额一致的正式发票给甲方，甲方收到发票后以转账形式支付乙方费用，否则，甲方有权拒绝付款且不承担任何违约责任，且乙方不得以此为由停止履行本合同项下的任意义务；</w:t>
            </w:r>
          </w:p>
        </w:tc>
      </w:tr>
      <w:tr w14:paraId="00B6AD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9" w:hRule="atLeast"/>
          <w:jc w:val="center"/>
        </w:trPr>
        <w:tc>
          <w:tcPr>
            <w:tcW w:w="1608" w:type="dxa"/>
            <w:vAlign w:val="center"/>
          </w:tcPr>
          <w:p w14:paraId="04DE5372">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0EBC6308">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第13.2款</w:t>
            </w:r>
          </w:p>
        </w:tc>
        <w:tc>
          <w:tcPr>
            <w:tcW w:w="2220" w:type="dxa"/>
            <w:vAlign w:val="center"/>
          </w:tcPr>
          <w:p w14:paraId="4CBB5ED5">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履约保证金不予退还的情形</w:t>
            </w:r>
          </w:p>
        </w:tc>
        <w:tc>
          <w:tcPr>
            <w:tcW w:w="5379" w:type="dxa"/>
            <w:vAlign w:val="center"/>
          </w:tcPr>
          <w:p w14:paraId="664E688A">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w:t>
            </w:r>
          </w:p>
        </w:tc>
      </w:tr>
      <w:tr w14:paraId="7B1543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72A7E889">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3FC9A02D">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第13.3款</w:t>
            </w:r>
          </w:p>
        </w:tc>
        <w:tc>
          <w:tcPr>
            <w:tcW w:w="2220" w:type="dxa"/>
            <w:vAlign w:val="center"/>
          </w:tcPr>
          <w:p w14:paraId="79A120A6">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履约保证金退还时间及逾期退还的违约金</w:t>
            </w:r>
          </w:p>
        </w:tc>
        <w:tc>
          <w:tcPr>
            <w:tcW w:w="5379" w:type="dxa"/>
            <w:vAlign w:val="center"/>
          </w:tcPr>
          <w:p w14:paraId="2732B73B">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w:t>
            </w:r>
          </w:p>
        </w:tc>
      </w:tr>
      <w:tr w14:paraId="59602AD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608" w:type="dxa"/>
            <w:vAlign w:val="center"/>
          </w:tcPr>
          <w:p w14:paraId="246C3C90">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12A11F24">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第14.1（3）项</w:t>
            </w:r>
          </w:p>
        </w:tc>
        <w:tc>
          <w:tcPr>
            <w:tcW w:w="2220" w:type="dxa"/>
            <w:vAlign w:val="center"/>
          </w:tcPr>
          <w:p w14:paraId="10A2CC74">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运行监督、维修期限</w:t>
            </w:r>
          </w:p>
        </w:tc>
        <w:tc>
          <w:tcPr>
            <w:tcW w:w="5379" w:type="dxa"/>
            <w:vAlign w:val="center"/>
          </w:tcPr>
          <w:p w14:paraId="59B9419A">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611859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608" w:type="dxa"/>
            <w:vAlign w:val="center"/>
          </w:tcPr>
          <w:p w14:paraId="4D03CF5E">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01ECADE5">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第14.1（5）项</w:t>
            </w:r>
          </w:p>
        </w:tc>
        <w:tc>
          <w:tcPr>
            <w:tcW w:w="2220" w:type="dxa"/>
            <w:vAlign w:val="center"/>
          </w:tcPr>
          <w:p w14:paraId="731577EB">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货物回收的约定</w:t>
            </w:r>
          </w:p>
        </w:tc>
        <w:tc>
          <w:tcPr>
            <w:tcW w:w="5379" w:type="dxa"/>
            <w:vAlign w:val="center"/>
          </w:tcPr>
          <w:p w14:paraId="058AD077">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发现质量缺陷对应货物回收并重新发货</w:t>
            </w:r>
          </w:p>
        </w:tc>
      </w:tr>
      <w:tr w14:paraId="4CF552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0" w:hRule="atLeast"/>
          <w:jc w:val="center"/>
        </w:trPr>
        <w:tc>
          <w:tcPr>
            <w:tcW w:w="1608" w:type="dxa"/>
            <w:vAlign w:val="center"/>
          </w:tcPr>
          <w:p w14:paraId="121E7FCE">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7E17A763">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第14.1（6）项</w:t>
            </w:r>
          </w:p>
        </w:tc>
        <w:tc>
          <w:tcPr>
            <w:tcW w:w="2220" w:type="dxa"/>
            <w:vAlign w:val="center"/>
          </w:tcPr>
          <w:p w14:paraId="16722D28">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乙方提供的其他服务</w:t>
            </w:r>
          </w:p>
        </w:tc>
        <w:tc>
          <w:tcPr>
            <w:tcW w:w="5379" w:type="dxa"/>
            <w:vAlign w:val="center"/>
          </w:tcPr>
          <w:p w14:paraId="339E39AA">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1F750A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9" w:hRule="atLeast"/>
          <w:jc w:val="center"/>
        </w:trPr>
        <w:tc>
          <w:tcPr>
            <w:tcW w:w="1608" w:type="dxa"/>
            <w:vAlign w:val="center"/>
          </w:tcPr>
          <w:p w14:paraId="479EB3A7">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27FD0A32">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第15.1款</w:t>
            </w:r>
          </w:p>
        </w:tc>
        <w:tc>
          <w:tcPr>
            <w:tcW w:w="2220" w:type="dxa"/>
            <w:vAlign w:val="center"/>
          </w:tcPr>
          <w:p w14:paraId="0D83D8E2">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修理、重</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做</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、更换相关具体规定</w:t>
            </w:r>
          </w:p>
        </w:tc>
        <w:tc>
          <w:tcPr>
            <w:tcW w:w="5379" w:type="dxa"/>
            <w:vAlign w:val="center"/>
          </w:tcPr>
          <w:p w14:paraId="652E2618">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3503010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45B2745E">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055454AA">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第15.2（2）项</w:t>
            </w:r>
          </w:p>
        </w:tc>
        <w:tc>
          <w:tcPr>
            <w:tcW w:w="2220" w:type="dxa"/>
            <w:vAlign w:val="center"/>
          </w:tcPr>
          <w:p w14:paraId="29BD07B0">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迟延交货赔偿费</w:t>
            </w:r>
          </w:p>
        </w:tc>
        <w:tc>
          <w:tcPr>
            <w:tcW w:w="5379" w:type="dxa"/>
            <w:vAlign w:val="center"/>
          </w:tcPr>
          <w:p w14:paraId="033D5F70">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乙方逾期交货的，每逾期一日按合同价款的</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3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‰向甲方支付违约金。逾期达</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5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日，甲方有权解除合同，乙方应按合同的价款的</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10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%向甲方支付违约金，并赔偿由此给甲方造成的相关经济损失。</w:t>
            </w:r>
          </w:p>
        </w:tc>
      </w:tr>
      <w:tr w14:paraId="05300C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7" w:hRule="atLeast"/>
          <w:jc w:val="center"/>
        </w:trPr>
        <w:tc>
          <w:tcPr>
            <w:tcW w:w="1608" w:type="dxa"/>
            <w:vAlign w:val="center"/>
          </w:tcPr>
          <w:p w14:paraId="1F8AB44F">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0C6F7C2D">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第15.3款</w:t>
            </w:r>
          </w:p>
        </w:tc>
        <w:tc>
          <w:tcPr>
            <w:tcW w:w="2220" w:type="dxa"/>
            <w:vAlign w:val="center"/>
          </w:tcPr>
          <w:p w14:paraId="35406ABA">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逾期付款利息</w:t>
            </w:r>
          </w:p>
        </w:tc>
        <w:tc>
          <w:tcPr>
            <w:tcW w:w="5379" w:type="dxa"/>
            <w:vAlign w:val="center"/>
          </w:tcPr>
          <w:p w14:paraId="16CD5B49">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因甲方所有的付款均需财政部门审批，本合同履行期间，非因甲方故意拖延付款申请流程造成的逾期付款的，乙方对此予以谅解不得追究甲方的逾期付款责任。</w:t>
            </w:r>
          </w:p>
        </w:tc>
      </w:tr>
      <w:tr w14:paraId="5DA08F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44" w:hRule="atLeast"/>
          <w:jc w:val="center"/>
        </w:trPr>
        <w:tc>
          <w:tcPr>
            <w:tcW w:w="1608" w:type="dxa"/>
            <w:tcBorders>
              <w:bottom w:val="single" w:color="auto" w:sz="2" w:space="0"/>
              <w:right w:val="single" w:color="auto" w:sz="2" w:space="0"/>
            </w:tcBorders>
            <w:vAlign w:val="center"/>
          </w:tcPr>
          <w:p w14:paraId="152C7756">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57EA5BBF">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第15.4款</w:t>
            </w:r>
          </w:p>
        </w:tc>
        <w:tc>
          <w:tcPr>
            <w:tcW w:w="2220" w:type="dxa"/>
            <w:tcBorders>
              <w:left w:val="single" w:color="auto" w:sz="2" w:space="0"/>
              <w:bottom w:val="single" w:color="auto" w:sz="2" w:space="0"/>
              <w:right w:val="single" w:color="auto" w:sz="2" w:space="0"/>
            </w:tcBorders>
            <w:vAlign w:val="center"/>
          </w:tcPr>
          <w:p w14:paraId="7DCC9590">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其他违约责任</w:t>
            </w:r>
          </w:p>
        </w:tc>
        <w:tc>
          <w:tcPr>
            <w:tcW w:w="5379" w:type="dxa"/>
            <w:tcBorders>
              <w:left w:val="single" w:color="auto" w:sz="2" w:space="0"/>
              <w:bottom w:val="single" w:color="auto" w:sz="2" w:space="0"/>
            </w:tcBorders>
            <w:vAlign w:val="center"/>
          </w:tcPr>
          <w:p w14:paraId="17D92A79">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1.乙方违约责任</w:t>
            </w:r>
          </w:p>
          <w:p w14:paraId="4CE8BBA1">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（1）如乙方不能交付货物，同时乙方应向甲方支付合同总价</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5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％的违约金；</w:t>
            </w:r>
          </w:p>
          <w:p w14:paraId="16C6337B">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（2）乙方逾期交付货物的，每逾期1天，乙方向甲方偿付逾期交货部分货款总额的</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2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‰的滞纳金。如乙方逾期交货达_7__天，甲方有权解除合同，解除合同的通知自到达乙方时生效；</w:t>
            </w:r>
          </w:p>
          <w:p w14:paraId="32A20635">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（3）乙方所交付的货物品种、型号、规格不符合合同规定的，甲方有权拒收。甲方拒收的，乙方应向甲方支付货款总额</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2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%的违约金；</w:t>
            </w:r>
          </w:p>
          <w:p w14:paraId="3760DF82">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（4）乙方货物经甲方送交具有法定资格条件的质量技术监督机构检测后，如检测结果认定货物质量不符合本合同规定标准的，则视为乙方没有按时交货而违约，乙方须在</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5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天内无条件更换合格的货物，如逾期不能更换合格的货物，甲方有权终止本合同，乙方应另向甲方支付货款总额的</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2</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%的违约金；</w:t>
            </w:r>
          </w:p>
          <w:p w14:paraId="19B6F63B">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871F980">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（6）乙方未按本合同的规定和“服务承诺”提供伴随服务/售后服务的，应按合同总价款的</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5</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%向甲方承担违约责任；</w:t>
            </w:r>
          </w:p>
          <w:p w14:paraId="682EC527">
            <w:pPr>
              <w:rPr>
                <w:rFonts w:hint="eastAsia" w:asciiTheme="minorEastAsia" w:hAnsiTheme="minorEastAsia" w:eastAsiaTheme="minorEastAsia" w:cstheme="minorEastAsia"/>
                <w:color w:val="000000" w:themeColor="text1"/>
                <w:kern w:val="2"/>
                <w:sz w:val="20"/>
                <w:szCs w:val="20"/>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
                <w:sz w:val="20"/>
                <w:szCs w:val="20"/>
                <w:highlight w:val="none"/>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kern w:val="2"/>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0"/>
                <w:szCs w:val="20"/>
                <w:highlight w:val="none"/>
                <w:u w:val="none"/>
                <w:lang w:val="en-US" w:eastAsia="zh-CN"/>
                <w14:textFill>
                  <w14:solidFill>
                    <w14:schemeClr w14:val="tx1"/>
                  </w14:solidFill>
                </w14:textFill>
              </w:rPr>
              <w:t>合同履约过程中，乙方提供的货物无法满足使用需求，视为虚假响应；</w:t>
            </w:r>
            <w:r>
              <w:rPr>
                <w:rFonts w:hint="eastAsia" w:asciiTheme="minorEastAsia" w:hAnsiTheme="minorEastAsia" w:eastAsiaTheme="minorEastAsia" w:cstheme="minorEastAsia"/>
                <w:color w:val="000000" w:themeColor="text1"/>
                <w:kern w:val="0"/>
                <w:sz w:val="20"/>
                <w:szCs w:val="20"/>
                <w:highlight w:val="none"/>
                <w:u w:val="none"/>
                <w14:textFill>
                  <w14:solidFill>
                    <w14:schemeClr w14:val="tx1"/>
                  </w14:solidFill>
                </w14:textFill>
              </w:rPr>
              <w:t>为保证货物（软件和硬件）质量功能的严谨性，成交后</w:t>
            </w:r>
            <w:r>
              <w:rPr>
                <w:rFonts w:hint="eastAsia" w:asciiTheme="minorEastAsia" w:hAnsiTheme="minorEastAsia" w:eastAsiaTheme="minorEastAsia" w:cstheme="minorEastAsia"/>
                <w:color w:val="000000" w:themeColor="text1"/>
                <w:kern w:val="0"/>
                <w:sz w:val="20"/>
                <w:szCs w:val="20"/>
                <w:highlight w:val="none"/>
                <w:u w:val="none"/>
                <w:lang w:val="en-US" w:eastAsia="zh-CN"/>
                <w14:textFill>
                  <w14:solidFill>
                    <w14:schemeClr w14:val="tx1"/>
                  </w14:solidFill>
                </w14:textFill>
              </w:rPr>
              <w:t>甲方有权</w:t>
            </w:r>
            <w:r>
              <w:rPr>
                <w:rFonts w:hint="eastAsia" w:asciiTheme="minorEastAsia" w:hAnsiTheme="minorEastAsia" w:eastAsiaTheme="minorEastAsia" w:cstheme="minorEastAsia"/>
                <w:color w:val="000000" w:themeColor="text1"/>
                <w:kern w:val="0"/>
                <w:sz w:val="20"/>
                <w:szCs w:val="20"/>
                <w:highlight w:val="none"/>
                <w:u w:val="none"/>
                <w14:textFill>
                  <w14:solidFill>
                    <w14:schemeClr w14:val="tx1"/>
                  </w14:solidFill>
                </w14:textFill>
              </w:rPr>
              <w:t>要求</w:t>
            </w:r>
            <w:r>
              <w:rPr>
                <w:rFonts w:hint="eastAsia" w:asciiTheme="minorEastAsia" w:hAnsiTheme="minorEastAsia" w:eastAsiaTheme="minorEastAsia" w:cstheme="minorEastAsia"/>
                <w:color w:val="000000" w:themeColor="text1"/>
                <w:kern w:val="0"/>
                <w:sz w:val="20"/>
                <w:szCs w:val="20"/>
                <w:highlight w:val="none"/>
                <w:u w:val="none"/>
                <w:lang w:val="en-US" w:eastAsia="zh-CN"/>
                <w14:textFill>
                  <w14:solidFill>
                    <w14:schemeClr w14:val="tx1"/>
                  </w14:solidFill>
                </w14:textFill>
              </w:rPr>
              <w:t>乙方</w:t>
            </w:r>
            <w:r>
              <w:rPr>
                <w:rFonts w:hint="eastAsia" w:asciiTheme="minorEastAsia" w:hAnsiTheme="minorEastAsia" w:eastAsiaTheme="minorEastAsia" w:cstheme="minorEastAsia"/>
                <w:color w:val="000000" w:themeColor="text1"/>
                <w:kern w:val="0"/>
                <w:sz w:val="20"/>
                <w:szCs w:val="20"/>
                <w:highlight w:val="none"/>
                <w:u w:val="none"/>
                <w14:textFill>
                  <w14:solidFill>
                    <w14:schemeClr w14:val="tx1"/>
                  </w14:solidFill>
                </w14:textFill>
              </w:rPr>
              <w:t>对其</w:t>
            </w:r>
            <w:r>
              <w:rPr>
                <w:rFonts w:hint="eastAsia" w:asciiTheme="minorEastAsia" w:hAnsiTheme="minorEastAsia" w:eastAsiaTheme="minorEastAsia" w:cstheme="minorEastAsia"/>
                <w:color w:val="000000" w:themeColor="text1"/>
                <w:kern w:val="0"/>
                <w:sz w:val="20"/>
                <w:szCs w:val="20"/>
                <w:highlight w:val="none"/>
                <w:u w:val="none"/>
                <w:lang w:eastAsia="zh-CN"/>
                <w14:textFill>
                  <w14:solidFill>
                    <w14:schemeClr w14:val="tx1"/>
                  </w14:solidFill>
                </w14:textFill>
              </w:rPr>
              <w:t>所提</w:t>
            </w:r>
            <w:r>
              <w:rPr>
                <w:rFonts w:hint="eastAsia" w:asciiTheme="minorEastAsia" w:hAnsiTheme="minorEastAsia" w:eastAsiaTheme="minorEastAsia" w:cstheme="minorEastAsia"/>
                <w:color w:val="000000" w:themeColor="text1"/>
                <w:kern w:val="0"/>
                <w:sz w:val="20"/>
                <w:szCs w:val="20"/>
                <w:highlight w:val="none"/>
                <w:u w:val="none"/>
                <w14:textFill>
                  <w14:solidFill>
                    <w14:schemeClr w14:val="tx1"/>
                  </w14:solidFill>
                </w14:textFill>
              </w:rPr>
              <w:t>供的设备（产品）（</w:t>
            </w:r>
            <w:r>
              <w:rPr>
                <w:rFonts w:hint="eastAsia" w:asciiTheme="minorEastAsia" w:hAnsiTheme="minorEastAsia" w:eastAsiaTheme="minorEastAsia" w:cstheme="minorEastAsia"/>
                <w:color w:val="000000" w:themeColor="text1"/>
                <w:kern w:val="0"/>
                <w:sz w:val="20"/>
                <w:szCs w:val="20"/>
                <w:highlight w:val="none"/>
                <w:u w:val="none"/>
                <w:lang w:val="en-US" w:eastAsia="zh-CN"/>
                <w14:textFill>
                  <w14:solidFill>
                    <w14:schemeClr w14:val="tx1"/>
                  </w14:solidFill>
                </w14:textFill>
              </w:rPr>
              <w:t>包含</w:t>
            </w:r>
            <w:r>
              <w:rPr>
                <w:rFonts w:hint="eastAsia" w:asciiTheme="minorEastAsia" w:hAnsiTheme="minorEastAsia" w:eastAsiaTheme="minorEastAsia" w:cstheme="minorEastAsia"/>
                <w:color w:val="000000" w:themeColor="text1"/>
                <w:kern w:val="0"/>
                <w:sz w:val="20"/>
                <w:szCs w:val="20"/>
                <w:highlight w:val="none"/>
                <w:u w:val="none"/>
                <w14:textFill>
                  <w14:solidFill>
                    <w14:schemeClr w14:val="tx1"/>
                  </w14:solidFill>
                </w14:textFill>
              </w:rPr>
              <w:t>软件和硬件）的功能进行逐一演示，如有功能</w:t>
            </w:r>
            <w:r>
              <w:rPr>
                <w:rFonts w:hint="eastAsia" w:asciiTheme="minorEastAsia" w:hAnsiTheme="minorEastAsia" w:eastAsiaTheme="minorEastAsia" w:cstheme="minorEastAsia"/>
                <w:color w:val="000000" w:themeColor="text1"/>
                <w:kern w:val="0"/>
                <w:sz w:val="20"/>
                <w:szCs w:val="20"/>
                <w:highlight w:val="none"/>
                <w:u w:val="none"/>
                <w:lang w:val="en-US" w:eastAsia="zh-CN"/>
                <w14:textFill>
                  <w14:solidFill>
                    <w14:schemeClr w14:val="tx1"/>
                  </w14:solidFill>
                </w14:textFill>
              </w:rPr>
              <w:t>与实际不相符，一律</w:t>
            </w:r>
            <w:r>
              <w:rPr>
                <w:rFonts w:hint="eastAsia" w:asciiTheme="minorEastAsia" w:hAnsiTheme="minorEastAsia" w:eastAsiaTheme="minorEastAsia" w:cstheme="minorEastAsia"/>
                <w:color w:val="000000" w:themeColor="text1"/>
                <w:kern w:val="0"/>
                <w:sz w:val="20"/>
                <w:szCs w:val="20"/>
                <w:highlight w:val="none"/>
                <w:u w:val="none"/>
                <w14:textFill>
                  <w14:solidFill>
                    <w14:schemeClr w14:val="tx1"/>
                  </w14:solidFill>
                </w14:textFill>
              </w:rPr>
              <w:t>按虚假应标处理，由</w:t>
            </w:r>
            <w:r>
              <w:rPr>
                <w:rFonts w:hint="eastAsia" w:asciiTheme="minorEastAsia" w:hAnsiTheme="minorEastAsia" w:eastAsiaTheme="minorEastAsia" w:cstheme="minorEastAsia"/>
                <w:color w:val="000000" w:themeColor="text1"/>
                <w:kern w:val="0"/>
                <w:sz w:val="20"/>
                <w:szCs w:val="20"/>
                <w:highlight w:val="none"/>
                <w:u w:val="none"/>
                <w:lang w:val="en-US" w:eastAsia="zh-CN"/>
                <w14:textFill>
                  <w14:solidFill>
                    <w14:schemeClr w14:val="tx1"/>
                  </w14:solidFill>
                </w14:textFill>
              </w:rPr>
              <w:t>乙方</w:t>
            </w:r>
            <w:r>
              <w:rPr>
                <w:rFonts w:hint="eastAsia" w:asciiTheme="minorEastAsia" w:hAnsiTheme="minorEastAsia" w:eastAsiaTheme="minorEastAsia" w:cstheme="minorEastAsia"/>
                <w:color w:val="000000" w:themeColor="text1"/>
                <w:kern w:val="0"/>
                <w:sz w:val="20"/>
                <w:szCs w:val="20"/>
                <w:highlight w:val="none"/>
                <w:u w:val="none"/>
                <w14:textFill>
                  <w14:solidFill>
                    <w14:schemeClr w14:val="tx1"/>
                  </w14:solidFill>
                </w14:textFill>
              </w:rPr>
              <w:t>承担</w:t>
            </w:r>
            <w:r>
              <w:rPr>
                <w:rFonts w:hint="eastAsia" w:asciiTheme="minorEastAsia" w:hAnsiTheme="minorEastAsia" w:eastAsiaTheme="minorEastAsia" w:cstheme="minorEastAsia"/>
                <w:color w:val="000000" w:themeColor="text1"/>
                <w:kern w:val="0"/>
                <w:sz w:val="20"/>
                <w:szCs w:val="20"/>
                <w:highlight w:val="none"/>
                <w:u w:val="none"/>
                <w:lang w:eastAsia="zh-CN"/>
                <w14:textFill>
                  <w14:solidFill>
                    <w14:schemeClr w14:val="tx1"/>
                  </w14:solidFill>
                </w14:textFill>
              </w:rPr>
              <w:t>因此</w:t>
            </w:r>
            <w:r>
              <w:rPr>
                <w:rFonts w:hint="eastAsia" w:asciiTheme="minorEastAsia" w:hAnsiTheme="minorEastAsia" w:eastAsiaTheme="minorEastAsia" w:cstheme="minorEastAsia"/>
                <w:color w:val="000000" w:themeColor="text1"/>
                <w:kern w:val="0"/>
                <w:sz w:val="20"/>
                <w:szCs w:val="20"/>
                <w:highlight w:val="none"/>
                <w:u w:val="none"/>
                <w14:textFill>
                  <w14:solidFill>
                    <w14:schemeClr w14:val="tx1"/>
                  </w14:solidFill>
                </w14:textFill>
              </w:rPr>
              <w:t>产生的</w:t>
            </w:r>
            <w:r>
              <w:rPr>
                <w:rFonts w:hint="eastAsia" w:asciiTheme="minorEastAsia" w:hAnsiTheme="minorEastAsia" w:eastAsiaTheme="minorEastAsia" w:cstheme="minorEastAsia"/>
                <w:color w:val="000000" w:themeColor="text1"/>
                <w:kern w:val="0"/>
                <w:sz w:val="20"/>
                <w:szCs w:val="20"/>
                <w:highlight w:val="none"/>
                <w:u w:val="none"/>
                <w:lang w:eastAsia="zh-CN"/>
                <w14:textFill>
                  <w14:solidFill>
                    <w14:schemeClr w14:val="tx1"/>
                  </w14:solidFill>
                </w14:textFill>
              </w:rPr>
              <w:t>违约</w:t>
            </w:r>
            <w:r>
              <w:rPr>
                <w:rFonts w:hint="eastAsia" w:asciiTheme="minorEastAsia" w:hAnsiTheme="minorEastAsia" w:eastAsiaTheme="minorEastAsia" w:cstheme="minorEastAsia"/>
                <w:color w:val="000000" w:themeColor="text1"/>
                <w:kern w:val="0"/>
                <w:sz w:val="20"/>
                <w:szCs w:val="20"/>
                <w:highlight w:val="none"/>
                <w:u w:val="none"/>
                <w14:textFill>
                  <w14:solidFill>
                    <w14:schemeClr w14:val="tx1"/>
                  </w14:solidFill>
                </w14:textFill>
              </w:rPr>
              <w:t>责任</w:t>
            </w:r>
            <w:r>
              <w:rPr>
                <w:rFonts w:hint="eastAsia" w:asciiTheme="minorEastAsia" w:hAnsiTheme="minorEastAsia" w:eastAsiaTheme="minorEastAsia" w:cstheme="minorEastAsia"/>
                <w:color w:val="000000" w:themeColor="text1"/>
                <w:kern w:val="0"/>
                <w:sz w:val="20"/>
                <w:szCs w:val="20"/>
                <w:highlight w:val="none"/>
                <w:u w:val="none"/>
                <w:lang w:eastAsia="zh-CN"/>
                <w14:textFill>
                  <w14:solidFill>
                    <w14:schemeClr w14:val="tx1"/>
                  </w14:solidFill>
                </w14:textFill>
              </w:rPr>
              <w:t>。</w:t>
            </w:r>
          </w:p>
          <w:p w14:paraId="2217E151">
            <w:pPr>
              <w:pStyle w:val="9"/>
              <w:jc w:val="both"/>
              <w:rPr>
                <w:rFonts w:hint="eastAsia" w:asciiTheme="minorEastAsia" w:hAnsiTheme="minorEastAsia" w:eastAsiaTheme="minorEastAsia" w:cstheme="minorEastAsia"/>
                <w:color w:val="000000" w:themeColor="text1"/>
                <w:kern w:val="2"/>
                <w:sz w:val="20"/>
                <w:szCs w:val="20"/>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
                <w:sz w:val="20"/>
                <w:szCs w:val="20"/>
                <w:highlight w:val="none"/>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kern w:val="2"/>
                <w:sz w:val="20"/>
                <w:szCs w:val="20"/>
                <w:highlight w:val="none"/>
                <w:lang w:eastAsia="zh-CN"/>
                <w14:textFill>
                  <w14:solidFill>
                    <w14:schemeClr w14:val="tx1"/>
                  </w14:solidFill>
                </w14:textFill>
              </w:rPr>
              <w:t>）质保期结束，甲方根据售后服务要求对乙方进行整体评价，如评价为不合格，视为未按约定履行合同约定，上报上级财政部门。质保期结束后的维修、维护等由双方协商再定；</w:t>
            </w:r>
          </w:p>
          <w:p w14:paraId="7A5C0A28">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）乙方在承担上述1-7款一项或多项违约责任后，仍应继续履行合同规定的义务（甲方解除合同的除外）。甲方未能及时追究乙方的任何一项违约责任并不表明甲方放弃追究乙方该项或其他违约责任；</w:t>
            </w:r>
          </w:p>
          <w:p w14:paraId="23334EB5">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）乙方偿付的违约金不足以弥补甲方损失的，还应按甲方损失尚未弥补的部分，支付赔偿金给甲方。</w:t>
            </w:r>
          </w:p>
          <w:p w14:paraId="611349F5">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w:t>
            </w: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依据《中华人民共和国民法典》、《中华人民共和国政府采购法》的相关条款和所签署的合同约定，乙方未全面履行合同义务或者发生违约，甲方会依法向乙方进行经济索赔，并报请政府采购监督管理机关进行相应的行政处罚。</w:t>
            </w:r>
          </w:p>
        </w:tc>
      </w:tr>
      <w:tr w14:paraId="19ED0F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14" w:hRule="atLeast"/>
          <w:jc w:val="center"/>
        </w:trPr>
        <w:tc>
          <w:tcPr>
            <w:tcW w:w="1608" w:type="dxa"/>
            <w:tcBorders>
              <w:top w:val="single" w:color="auto" w:sz="2" w:space="0"/>
              <w:right w:val="single" w:color="auto" w:sz="2" w:space="0"/>
            </w:tcBorders>
            <w:vAlign w:val="center"/>
          </w:tcPr>
          <w:p w14:paraId="255FA830">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10AB798E">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第19.2款</w:t>
            </w:r>
          </w:p>
        </w:tc>
        <w:tc>
          <w:tcPr>
            <w:tcW w:w="2220" w:type="dxa"/>
            <w:tcBorders>
              <w:top w:val="single" w:color="auto" w:sz="2" w:space="0"/>
              <w:left w:val="single" w:color="auto" w:sz="2" w:space="0"/>
              <w:right w:val="single" w:color="auto" w:sz="2" w:space="0"/>
            </w:tcBorders>
            <w:vAlign w:val="center"/>
          </w:tcPr>
          <w:p w14:paraId="0F799AA4">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解决争议的方法</w:t>
            </w:r>
          </w:p>
        </w:tc>
        <w:tc>
          <w:tcPr>
            <w:tcW w:w="5379" w:type="dxa"/>
            <w:tcBorders>
              <w:top w:val="single" w:color="auto" w:sz="2" w:space="0"/>
              <w:left w:val="single" w:color="auto" w:sz="2" w:space="0"/>
            </w:tcBorders>
            <w:vAlign w:val="center"/>
          </w:tcPr>
          <w:p w14:paraId="093DB55D">
            <w:pPr>
              <w:autoSpaceDE w:val="0"/>
              <w:autoSpaceDN w:val="0"/>
              <w:adjustRightInd w:val="0"/>
              <w:snapToGrid w:val="0"/>
              <w:spacing w:line="400" w:lineRule="exact"/>
              <w:jc w:val="left"/>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因本合同及合同有关事项发生的争议，按下列第</w:t>
            </w:r>
            <w:r>
              <w:rPr>
                <w:rFonts w:hint="eastAsia" w:asciiTheme="minorEastAsia" w:hAnsiTheme="minorEastAsia" w:eastAsiaTheme="minorEastAsia" w:cstheme="minorEastAsia"/>
                <w:iCs/>
                <w:color w:val="000000" w:themeColor="text1"/>
                <w:sz w:val="20"/>
                <w:szCs w:val="20"/>
                <w:highlight w:val="none"/>
                <w:u w:val="single"/>
                <w14:textFill>
                  <w14:solidFill>
                    <w14:schemeClr w14:val="tx1"/>
                  </w14:solidFill>
                </w14:textFill>
              </w:rPr>
              <w:t>（2）</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种方式解决：（1）向</w:t>
            </w:r>
            <w:r>
              <w:rPr>
                <w:rFonts w:hint="eastAsia" w:asciiTheme="minorEastAsia" w:hAnsiTheme="minorEastAsia" w:eastAsiaTheme="minorEastAsia" w:cstheme="minorEastAsia"/>
                <w:iCs/>
                <w:color w:val="000000" w:themeColor="text1"/>
                <w:sz w:val="20"/>
                <w:szCs w:val="20"/>
                <w:highlight w:val="none"/>
                <w:u w:val="single"/>
                <w14:textFill>
                  <w14:solidFill>
                    <w14:schemeClr w14:val="tx1"/>
                  </w14:solidFill>
                </w14:textFill>
              </w:rPr>
              <w:t xml:space="preserve"> 西安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仲裁委员会申请仲裁；（2）向</w:t>
            </w:r>
            <w:r>
              <w:rPr>
                <w:rFonts w:hint="eastAsia" w:asciiTheme="minorEastAsia" w:hAnsiTheme="minorEastAsia" w:eastAsiaTheme="minorEastAsia" w:cstheme="minorEastAsia"/>
                <w:iCs/>
                <w:color w:val="000000" w:themeColor="text1"/>
                <w:sz w:val="20"/>
                <w:szCs w:val="20"/>
                <w:highlight w:val="none"/>
                <w:u w:val="single"/>
                <w14:textFill>
                  <w14:solidFill>
                    <w14:schemeClr w14:val="tx1"/>
                  </w14:solidFill>
                </w14:textFill>
              </w:rPr>
              <w:t xml:space="preserve"> 甲方所在地 </w:t>
            </w:r>
            <w:r>
              <w:rPr>
                <w:rFonts w:hint="eastAsia" w:asciiTheme="minorEastAsia" w:hAnsiTheme="minorEastAsia" w:eastAsiaTheme="minorEastAsia" w:cstheme="minorEastAsia"/>
                <w:iCs/>
                <w:color w:val="000000" w:themeColor="text1"/>
                <w:sz w:val="20"/>
                <w:szCs w:val="20"/>
                <w:highlight w:val="none"/>
                <w14:textFill>
                  <w14:solidFill>
                    <w14:schemeClr w14:val="tx1"/>
                  </w14:solidFill>
                </w14:textFill>
              </w:rPr>
              <w:t>人民法院起诉。</w:t>
            </w:r>
          </w:p>
        </w:tc>
      </w:tr>
      <w:tr w14:paraId="4F0FB9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74" w:hRule="atLeast"/>
          <w:jc w:val="center"/>
        </w:trPr>
        <w:tc>
          <w:tcPr>
            <w:tcW w:w="1608" w:type="dxa"/>
            <w:vAlign w:val="center"/>
          </w:tcPr>
          <w:p w14:paraId="12CB7FF3">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第二节</w:t>
            </w:r>
          </w:p>
          <w:p w14:paraId="33FF7125">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第23.1款</w:t>
            </w:r>
          </w:p>
        </w:tc>
        <w:tc>
          <w:tcPr>
            <w:tcW w:w="2220" w:type="dxa"/>
            <w:vAlign w:val="center"/>
          </w:tcPr>
          <w:p w14:paraId="18833EB0">
            <w:pPr>
              <w:adjustRightInd w:val="0"/>
              <w:snapToGrid w:val="0"/>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0"/>
                <w:szCs w:val="20"/>
                <w:highlight w:val="none"/>
                <w14:textFill>
                  <w14:solidFill>
                    <w14:schemeClr w14:val="tx1"/>
                  </w14:solidFill>
                </w14:textFill>
              </w:rPr>
              <w:t>其他专用条款</w:t>
            </w:r>
          </w:p>
        </w:tc>
        <w:tc>
          <w:tcPr>
            <w:tcW w:w="5379" w:type="dxa"/>
            <w:vAlign w:val="center"/>
          </w:tcPr>
          <w:p w14:paraId="7D6881D7">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1.货物验收由甲方组织，乙方配合，并按下列程序进行：</w:t>
            </w:r>
          </w:p>
          <w:p w14:paraId="3AEE4493">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交货验收时，乙方须提供质检部门产品抽样检查合格的检测报告（或生产厂家自检报告）及所提供货物（产品）的合格证、装箱清单、配件、随机工具、用户使用手册（产品使用说明书）、保修卡等资料交付给甲方；</w:t>
            </w:r>
          </w:p>
          <w:p w14:paraId="06052CD0">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（2）到货验收 ：货物到达后，按合同第一条款的货物清单和装箱单逐一核对，同时检查货物外观，是否有划痕或破损的，并做好相应记录；</w:t>
            </w:r>
          </w:p>
          <w:p w14:paraId="285248CC">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按乙方承诺的产品包装环保材料进行验收，必要时乙方需提供检测报告，甲方发现虚假承诺时，将扣除总货款的</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3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%作为处罚。</w:t>
            </w:r>
          </w:p>
          <w:p w14:paraId="4D53592A">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（3）货物初验：乙方应在货物到货之日起，</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日内全部完成安装调试完毕；乙方安装调试完毕后</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日内完成初步验收；初步验收合格后，进入</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日试用期；试用期间发生重大质量问题，修复后试用期相应顺延；</w:t>
            </w:r>
          </w:p>
          <w:p w14:paraId="154F725F">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（4）货物终验：试用期结束后</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日内完成最终验收；</w:t>
            </w:r>
          </w:p>
          <w:p w14:paraId="2C0BA266">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（5）质量验收合格，双方签署质量验收报告。</w:t>
            </w:r>
          </w:p>
          <w:p w14:paraId="7241099C">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2.货物验收依据：</w:t>
            </w:r>
          </w:p>
          <w:p w14:paraId="6608914A">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w:t>
            </w: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文件；</w:t>
            </w:r>
          </w:p>
          <w:p w14:paraId="15304566">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（2）响应文件；</w:t>
            </w:r>
          </w:p>
          <w:p w14:paraId="72664275">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（3）采购合同及补充协议；</w:t>
            </w:r>
          </w:p>
          <w:p w14:paraId="2F1D0F75">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（4）质检部门抽样检查货物（产</w:t>
            </w:r>
            <w:bookmarkStart w:id="0" w:name="_GoBack"/>
            <w:bookmarkEnd w:id="0"/>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品）合格的检测报告。</w:t>
            </w:r>
          </w:p>
          <w:p w14:paraId="64032E1A">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3.货物验收时发现问题的处理办法：</w:t>
            </w:r>
          </w:p>
          <w:p w14:paraId="04D021DF">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（1）乙方提供不符合谈判文件和本合同规定的货物（产品），甲方有权拒绝接受；</w:t>
            </w:r>
          </w:p>
          <w:p w14:paraId="1EE39134">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（2）如发现所交付的货物有短装、次品、损坏或</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其他不</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符合标准及本合同规定之情形者，甲方有权要求更换货物（产品），同时做出详尽的现场记录，或由甲乙双方签署备忘录，此现场记录或备忘录可用作补充、缺失和更换损坏部件或更换整个货物（产品</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）的</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有效证据，由此产生的时间延误与有关费用由乙方承担，验收期限相应顺延；</w:t>
            </w:r>
          </w:p>
          <w:p w14:paraId="1AF0EE2C">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（3）如货物经乙方</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 </w:t>
            </w:r>
          </w:p>
          <w:p w14:paraId="015F148A">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（4）货物安装完成后</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日内，甲方无故不进行验收工作并已使用货物的，视同已安装调试完成并验收合格；</w:t>
            </w:r>
          </w:p>
          <w:p w14:paraId="1947E17B">
            <w:pPr>
              <w:adjustRightInd w:val="0"/>
              <w:snapToGrid w:val="0"/>
              <w:jc w:val="left"/>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（5）乙方不能完整交付货物及本条第一款规定的单证和工具的，必须负责补齐，否则视为未按合同约定交货；</w:t>
            </w:r>
          </w:p>
          <w:p w14:paraId="237273FA">
            <w:pPr>
              <w:adjustRightInd w:val="0"/>
              <w:snapToGrid w:val="0"/>
              <w:jc w:val="left"/>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（6）超出合理磅差的处理方法：</w:t>
            </w:r>
            <w:r>
              <w:rPr>
                <w:rFonts w:hint="eastAsia" w:asciiTheme="minorEastAsia" w:hAnsiTheme="minorEastAsia" w:eastAsiaTheme="minorEastAsia" w:cstheme="minorEastAsia"/>
                <w:color w:val="000000" w:themeColor="text1"/>
                <w:sz w:val="20"/>
                <w:szCs w:val="20"/>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p>
        </w:tc>
      </w:tr>
    </w:tbl>
    <w:p w14:paraId="04F873A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0000000000000000000"/>
    <w:charset w:val="86"/>
    <w:family w:val="auto"/>
    <w:pitch w:val="default"/>
    <w:sig w:usb0="00000000" w:usb1="00000000" w:usb2="00000010" w:usb3="00000000" w:csb0="000400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FC674"/>
    <w:multiLevelType w:val="singleLevel"/>
    <w:tmpl w:val="FFEFC674"/>
    <w:lvl w:ilvl="0" w:tentative="0">
      <w:start w:val="1"/>
      <w:numFmt w:val="decimal"/>
      <w:suff w:val="nothing"/>
      <w:lvlText w:val="（%1）"/>
      <w:lvlJc w:val="left"/>
    </w:lvl>
  </w:abstractNum>
  <w:abstractNum w:abstractNumId="1">
    <w:nsid w:val="010C5A66"/>
    <w:multiLevelType w:val="multilevel"/>
    <w:tmpl w:val="010C5A66"/>
    <w:lvl w:ilvl="0" w:tentative="0">
      <w:start w:val="8"/>
      <w:numFmt w:val="decimal"/>
      <w:lvlText w:val="（%1）"/>
      <w:lvlJc w:val="left"/>
      <w:pPr>
        <w:ind w:left="1140" w:hanging="720"/>
      </w:pPr>
      <w:rPr>
        <w:rFonts w:hint="default"/>
        <w:u w:val="none"/>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CD7DA8"/>
    <w:rsid w:val="5DCD7DA8"/>
    <w:rsid w:val="66B971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ascii="Times New Roman" w:hAnsi="Times New Roman" w:eastAsia="宋体" w:cs="Times New Roman"/>
    </w:rPr>
  </w:style>
  <w:style w:type="paragraph" w:styleId="3">
    <w:name w:val="Body Text"/>
    <w:basedOn w:val="1"/>
    <w:unhideWhenUsed/>
    <w:qFormat/>
    <w:uiPriority w:val="0"/>
    <w:pPr>
      <w:spacing w:after="120"/>
    </w:pPr>
  </w:style>
  <w:style w:type="paragraph" w:styleId="4">
    <w:name w:val="Body Text Indent"/>
    <w:basedOn w:val="1"/>
    <w:next w:val="5"/>
    <w:unhideWhenUsed/>
    <w:qFormat/>
    <w:uiPriority w:val="0"/>
    <w:pPr>
      <w:spacing w:after="120"/>
      <w:ind w:left="420" w:leftChars="200"/>
    </w:pPr>
    <w:rPr>
      <w:rFonts w:asciiTheme="minorHAnsi" w:hAnsiTheme="minorHAnsi" w:eastAsiaTheme="minorEastAsia" w:cstheme="minorBidi"/>
      <w:szCs w:val="24"/>
    </w:r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11">
    <w:name w:val="列出段落1"/>
    <w:basedOn w:val="1"/>
    <w:qFormat/>
    <w:uiPriority w:val="0"/>
    <w:pPr>
      <w:ind w:firstLine="420" w:firstLineChars="200"/>
    </w:pPr>
    <w:rPr>
      <w:rFonts w:ascii="Times New Roman" w:hAnsi="Times New Roman"/>
      <w:szCs w:val="21"/>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2025-08-29T10:15:00Z</dcterms:created>
  <dc:creator>杜航</dc:creator>
  <cp:lastModifiedBy>杜航</cp:lastModifiedBy>
  <dcterms:modified xsi:type="dcterms:W3CDTF">2025-08-29T10:17:36Z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A5CA32A82CC941168511E929E3935F4B_11</vt:lpwstr>
  </property>
  <property fmtid="{D5CDD505-2E9C-101B-9397-08002B2CF9AE}" pid="4" name="KSOTemplateDocerSaveRecord">
    <vt:lpwstr>eyJoZGlkIjoiNGVjNGI1ZWQxMDUyODY5ZDAxOTAyNjljNjE1NWUwNGQiLCJ1c2VySWQiOiIzMDgwODY2MDYifQ==</vt:lpwstr>
  </property>
</Properties>
</file>