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04BEDF">
      <w:pPr>
        <w:pStyle w:val="6"/>
        <w:spacing w:line="500" w:lineRule="exact"/>
        <w:ind w:firstLine="643" w:firstLineChars="200"/>
        <w:jc w:val="center"/>
        <w:outlineLvl w:val="1"/>
        <w:rPr>
          <w:rFonts w:hint="eastAsia" w:ascii="仿宋" w:hAnsi="仿宋" w:eastAsia="仿宋" w:cs="Times New Roman"/>
          <w:b/>
          <w:color w:val="auto"/>
          <w:sz w:val="32"/>
          <w:szCs w:val="32"/>
        </w:rPr>
      </w:pPr>
      <w:bookmarkStart w:id="0" w:name="_Toc48834466"/>
      <w:bookmarkStart w:id="1" w:name="_Toc48834545"/>
      <w:bookmarkStart w:id="2" w:name="_Toc48834304"/>
      <w:bookmarkStart w:id="3" w:name="_Toc20365"/>
      <w:bookmarkStart w:id="4" w:name="_Toc48834107"/>
      <w:bookmarkStart w:id="5" w:name="_Toc14082138"/>
      <w:bookmarkStart w:id="6" w:name="_Toc48834177"/>
      <w:r>
        <w:rPr>
          <w:rFonts w:ascii="仿宋" w:hAnsi="仿宋" w:eastAsia="仿宋" w:cs="Times New Roman"/>
          <w:b/>
          <w:color w:val="auto"/>
          <w:sz w:val="32"/>
          <w:szCs w:val="32"/>
        </w:rPr>
        <w:t>谈判内容及采购</w:t>
      </w:r>
      <w:r>
        <w:rPr>
          <w:rFonts w:hint="eastAsia" w:ascii="仿宋" w:hAnsi="仿宋" w:eastAsia="仿宋" w:cs="Times New Roman"/>
          <w:b/>
          <w:color w:val="auto"/>
          <w:sz w:val="32"/>
          <w:szCs w:val="32"/>
        </w:rPr>
        <w:t>需</w:t>
      </w:r>
      <w:r>
        <w:rPr>
          <w:rFonts w:ascii="仿宋" w:hAnsi="仿宋" w:eastAsia="仿宋" w:cs="Times New Roman"/>
          <w:b/>
          <w:color w:val="auto"/>
          <w:sz w:val="32"/>
          <w:szCs w:val="32"/>
        </w:rPr>
        <w:t>求</w:t>
      </w:r>
    </w:p>
    <w:p w14:paraId="00DB1E25">
      <w:pPr>
        <w:pStyle w:val="10"/>
        <w:spacing w:line="500" w:lineRule="exact"/>
        <w:ind w:firstLine="567"/>
        <w:rPr>
          <w:rFonts w:hint="eastAsia" w:ascii="仿宋" w:hAnsi="仿宋" w:eastAsia="仿宋" w:cs="Times New Roman"/>
          <w:color w:val="auto"/>
        </w:rPr>
      </w:pPr>
      <w:r>
        <w:rPr>
          <w:rFonts w:hint="eastAsia" w:ascii="仿宋" w:hAnsi="仿宋" w:eastAsia="仿宋" w:cs="Times New Roman"/>
          <w:color w:val="auto"/>
        </w:rPr>
        <w:t>本次</w:t>
      </w:r>
      <w:r>
        <w:rPr>
          <w:rFonts w:hint="eastAsia" w:ascii="仿宋" w:hAnsi="仿宋" w:eastAsia="仿宋" w:cs="Times New Roman"/>
          <w:color w:val="auto"/>
          <w:lang w:eastAsia="zh-CN"/>
        </w:rPr>
        <w:t>采购项目为采购农学院学生公寓床及相关桌椅、会议室家具项目</w:t>
      </w:r>
      <w:r>
        <w:rPr>
          <w:rFonts w:hint="eastAsia" w:ascii="仿宋" w:hAnsi="仿宋" w:eastAsia="仿宋" w:cs="Times New Roman"/>
          <w:color w:val="auto"/>
        </w:rPr>
        <w:t>，供应商必须对本项目进行整体响应，只对其中一部分内容进行的响应都被视为无效响应。谈判报价应遵守《中华人民共和国价格法》，供应商不得以低于成本的报价参与本次采购活动。</w:t>
      </w:r>
      <w:bookmarkEnd w:id="0"/>
      <w:bookmarkEnd w:id="1"/>
      <w:bookmarkEnd w:id="2"/>
      <w:bookmarkEnd w:id="3"/>
      <w:bookmarkEnd w:id="4"/>
      <w:bookmarkEnd w:id="5"/>
      <w:bookmarkEnd w:id="6"/>
    </w:p>
    <w:p w14:paraId="6A938885">
      <w:pPr>
        <w:pStyle w:val="10"/>
        <w:spacing w:line="500" w:lineRule="exact"/>
        <w:ind w:firstLine="569"/>
        <w:rPr>
          <w:rFonts w:hint="eastAsia" w:ascii="仿宋" w:hAnsi="仿宋" w:eastAsia="仿宋" w:cs="Times New Roman"/>
          <w:b/>
          <w:bCs/>
          <w:color w:val="auto"/>
        </w:rPr>
      </w:pPr>
      <w:r>
        <w:rPr>
          <w:rFonts w:hint="eastAsia" w:ascii="仿宋" w:hAnsi="仿宋" w:eastAsia="仿宋" w:cs="Times New Roman"/>
          <w:b/>
          <w:bCs/>
          <w:color w:val="auto"/>
        </w:rPr>
        <w:t>采购需求：</w:t>
      </w:r>
    </w:p>
    <w:p w14:paraId="0C7318C7">
      <w:pPr>
        <w:pStyle w:val="10"/>
        <w:spacing w:line="500" w:lineRule="exact"/>
        <w:ind w:firstLine="567"/>
        <w:rPr>
          <w:rFonts w:hint="eastAsia" w:ascii="仿宋" w:hAnsi="仿宋" w:eastAsia="仿宋" w:cs="Times New Roman"/>
          <w:color w:val="auto"/>
          <w:lang w:eastAsia="zh-CN"/>
        </w:rPr>
      </w:pPr>
      <w:r>
        <w:rPr>
          <w:rFonts w:hint="eastAsia" w:ascii="仿宋" w:hAnsi="仿宋" w:eastAsia="仿宋" w:cs="Times New Roman"/>
          <w:color w:val="auto"/>
          <w:lang w:eastAsia="zh-CN"/>
        </w:rPr>
        <w:t>（一）</w:t>
      </w:r>
      <w:r>
        <w:rPr>
          <w:rFonts w:hint="eastAsia" w:ascii="仿宋" w:hAnsi="仿宋" w:eastAsia="仿宋" w:cs="Times New Roman"/>
          <w:color w:val="auto"/>
        </w:rPr>
        <w:t>榆林职业技术学院农学院学生公寓床及相关桌椅</w:t>
      </w:r>
      <w:r>
        <w:rPr>
          <w:rFonts w:hint="eastAsia" w:ascii="仿宋" w:hAnsi="仿宋" w:eastAsia="仿宋" w:cs="Times New Roman"/>
          <w:color w:val="auto"/>
          <w:lang w:eastAsia="zh-CN"/>
        </w:rPr>
        <w:t>、会议室家具项目</w:t>
      </w:r>
      <w:r>
        <w:rPr>
          <w:rFonts w:hint="eastAsia" w:ascii="仿宋" w:hAnsi="仿宋" w:eastAsia="仿宋" w:cs="Times New Roman"/>
          <w:color w:val="auto"/>
        </w:rPr>
        <w:t>购置清单</w:t>
      </w:r>
      <w:r>
        <w:rPr>
          <w:rFonts w:hint="eastAsia" w:ascii="仿宋" w:hAnsi="仿宋" w:eastAsia="仿宋" w:cs="Times New Roman"/>
          <w:color w:val="auto"/>
          <w:lang w:eastAsia="zh-CN"/>
        </w:rPr>
        <w:t>及技术参数</w:t>
      </w:r>
    </w:p>
    <w:tbl>
      <w:tblPr>
        <w:tblStyle w:val="8"/>
        <w:tblW w:w="91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"/>
        <w:gridCol w:w="1147"/>
        <w:gridCol w:w="693"/>
        <w:gridCol w:w="6828"/>
      </w:tblGrid>
      <w:tr w14:paraId="518D3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" w:type="dxa"/>
            <w:noWrap w:val="0"/>
            <w:vAlign w:val="center"/>
          </w:tcPr>
          <w:p w14:paraId="01CFF9C3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eastAsia="zh-CN"/>
              </w:rPr>
              <w:t>序号</w:t>
            </w:r>
          </w:p>
        </w:tc>
        <w:tc>
          <w:tcPr>
            <w:tcW w:w="1147" w:type="dxa"/>
            <w:noWrap w:val="0"/>
            <w:vAlign w:val="center"/>
          </w:tcPr>
          <w:p w14:paraId="6C21BD5B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eastAsia="zh-CN"/>
              </w:rPr>
              <w:t>名称</w:t>
            </w:r>
          </w:p>
        </w:tc>
        <w:tc>
          <w:tcPr>
            <w:tcW w:w="693" w:type="dxa"/>
            <w:noWrap w:val="0"/>
            <w:vAlign w:val="center"/>
          </w:tcPr>
          <w:p w14:paraId="4CFA8F40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eastAsia="zh-CN"/>
              </w:rPr>
              <w:t>数量</w:t>
            </w:r>
          </w:p>
        </w:tc>
        <w:tc>
          <w:tcPr>
            <w:tcW w:w="6828" w:type="dxa"/>
            <w:noWrap w:val="0"/>
            <w:vAlign w:val="center"/>
          </w:tcPr>
          <w:p w14:paraId="4903EE0A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eastAsia="zh-CN"/>
              </w:rPr>
              <w:t>技术参数要求</w:t>
            </w:r>
          </w:p>
        </w:tc>
      </w:tr>
      <w:tr w14:paraId="5CE5B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" w:type="dxa"/>
            <w:noWrap w:val="0"/>
            <w:vAlign w:val="center"/>
          </w:tcPr>
          <w:p w14:paraId="7FEBB93F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147" w:type="dxa"/>
            <w:noWrap w:val="0"/>
            <w:vAlign w:val="center"/>
          </w:tcPr>
          <w:p w14:paraId="1F95339D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两连三位步梯公寓床</w:t>
            </w:r>
          </w:p>
        </w:tc>
        <w:tc>
          <w:tcPr>
            <w:tcW w:w="693" w:type="dxa"/>
            <w:noWrap w:val="0"/>
            <w:vAlign w:val="center"/>
          </w:tcPr>
          <w:p w14:paraId="007B159E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462床位</w:t>
            </w:r>
          </w:p>
        </w:tc>
        <w:tc>
          <w:tcPr>
            <w:tcW w:w="6828" w:type="dxa"/>
            <w:noWrap w:val="0"/>
            <w:vAlign w:val="center"/>
          </w:tcPr>
          <w:p w14:paraId="6B096BA7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一、公寓床组合家具整体尺寸：</w:t>
            </w:r>
          </w:p>
          <w:p w14:paraId="6D9713EA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bookmarkStart w:id="7" w:name="_GoBack"/>
            <w:r>
              <w:rPr>
                <w:color w:val="auto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497840</wp:posOffset>
                  </wp:positionV>
                  <wp:extent cx="3168015" cy="1511935"/>
                  <wp:effectExtent l="0" t="0" r="13335" b="12065"/>
                  <wp:wrapTopAndBottom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1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7"/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4500L(±10）mm×900W(±10）mm×2150H(±10）mm(高度不含蚊帐杆高度)</w:t>
            </w:r>
          </w:p>
          <w:p w14:paraId="6231B872">
            <w:pPr>
              <w:numPr>
                <w:ilvl w:val="0"/>
                <w:numId w:val="1"/>
              </w:num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规格参数技术要求</w:t>
            </w:r>
          </w:p>
          <w:p w14:paraId="4D8E2468"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钢制部分：钢制和注塑部分整体为暖白色。</w:t>
            </w:r>
          </w:p>
          <w:p w14:paraId="099D64D5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1.立柱</w:t>
            </w:r>
          </w:p>
          <w:p w14:paraId="6BA6467C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1.1材料截面尺寸：70mm×35mm（±2mm），厚度≥1.2mm；</w:t>
            </w:r>
          </w:p>
          <w:p w14:paraId="400C4553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1.2材质要求：采用优质带钢，经轧压线辊压成型，高频焊接成闭口型材管；</w:t>
            </w:r>
          </w:p>
          <w:p w14:paraId="6BB0A017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1.3技术要求：管材截面由不少于7条折弯及7个面组成，内侧角为直角设计，便于立柱与床挡头形成统一平面；立柱上下封口采用优质PP塑料的静音内外塞。</w:t>
            </w:r>
          </w:p>
          <w:p w14:paraId="6C543D82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2.立柱拉换</w:t>
            </w:r>
          </w:p>
          <w:p w14:paraId="4CFFFBE5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2.1与床铺关联的立柱拉换</w:t>
            </w:r>
          </w:p>
          <w:p w14:paraId="5AE15E26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2.1.1材料截面尺寸：55mm×35mm（±2mm），厚度≥1.0mm；</w:t>
            </w:r>
          </w:p>
          <w:p w14:paraId="06244271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2.1.2材质要求：采用优质带钢，经轧压线辊压成型，高频焊接成闭口型材管。</w:t>
            </w:r>
          </w:p>
          <w:p w14:paraId="5B45C327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2.1.3技术要求：管材截面由6条加强筋及6个面组成，管材设计安装床铺板的直角台阶，台阶深度为15（±1）mm，高度为20（±1）mm；与床换共同承重，同时能有效防止使用人踩踏导致铺板翘起导致受伤。</w:t>
            </w:r>
          </w:p>
          <w:p w14:paraId="475FB2A2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2.2 学习桌一侧立柱下拉换</w:t>
            </w:r>
          </w:p>
          <w:p w14:paraId="5825302B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2.2.1材料截面尺寸：30mm×15mm（±2mm），厚度≥1.0mm</w:t>
            </w:r>
          </w:p>
          <w:p w14:paraId="1F66132A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2.2.2材质要求：闭口型材；</w:t>
            </w:r>
          </w:p>
          <w:p w14:paraId="3CF94E79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 xml:space="preserve">2.2.3技术要求：矩形管，与立柱台阶尺寸吻合，焊接后不外凸。 </w:t>
            </w:r>
          </w:p>
          <w:p w14:paraId="40E628A7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2.3学习桌后方床架下拉换：</w:t>
            </w:r>
          </w:p>
          <w:p w14:paraId="529A1E7B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2.3.1材料截面尺寸：30mm×20mm（±2mm），厚度≥1.0mm</w:t>
            </w:r>
          </w:p>
          <w:p w14:paraId="636977F3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2.3.2材质要求：闭口型材；</w:t>
            </w:r>
          </w:p>
          <w:p w14:paraId="7EE00127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 xml:space="preserve">2.3.3技术要求：矩形管，两端与立柱焊接卡式连接件，并与立柱通过连接件挂孔连接，安装迅速且稳固。 </w:t>
            </w:r>
          </w:p>
          <w:p w14:paraId="73BE15DE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3.挡头</w:t>
            </w:r>
          </w:p>
          <w:p w14:paraId="73943FD4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3.1走梯远端挡头：</w:t>
            </w:r>
          </w:p>
          <w:p w14:paraId="0CB55E45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3.1.1材料截面尺寸：φ16mm（±1mm），厚度≥1.0mm</w:t>
            </w:r>
          </w:p>
          <w:p w14:paraId="186A09E3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3.1.2材质要求：塑木混合</w:t>
            </w:r>
          </w:p>
          <w:p w14:paraId="3617F965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3.1.3：技术要求：规格为≥800mm×400/550mm×18/75mm。立柱档头基材采用E1级≥15mm厚三聚氰胺饰面板制作（基材为实木颗粒板），四周整体一次成型PP塑料注塑嵌边，四周无接缝。塑料靠背规格≥580mm×350mm×75mm，靠背上部有大面积透气小孔，增加靠背的透气性，减少背部和靠背之间的接触面积，降低闷热感，钢制和注塑部分为暖白色，木制部分为落羽杉色。</w:t>
            </w:r>
          </w:p>
          <w:p w14:paraId="17564EED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3.2靠走梯近端档头：</w:t>
            </w:r>
          </w:p>
          <w:p w14:paraId="2766738C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3.2.1材料截面尺寸：φ16mm（±1mm），厚度≥1.0mm</w:t>
            </w:r>
          </w:p>
          <w:p w14:paraId="5436E8F8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3.2.2材质要求：规格为400(±5)mmX330（±5）mmX21mm(±1mm)，基材采用E1级≥18mm厚三聚氰胺饰面板颗粒板，四周整体一次成型PP塑料注塑嵌边，四周无接缝。</w:t>
            </w:r>
          </w:p>
          <w:p w14:paraId="156DD02E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4.前、后床厅</w:t>
            </w:r>
          </w:p>
          <w:p w14:paraId="733BF5F5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4.1截面尺寸：70mm×30mm（±1mm），厚度≥1.2mm；</w:t>
            </w:r>
          </w:p>
          <w:p w14:paraId="0077755A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4.2材质要求：采用优质带钢，经轧压线辊压成型，高频焊接成闭口型材管；</w:t>
            </w:r>
          </w:p>
          <w:p w14:paraId="7575B7EC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4.3技术要求：两端焊接卡式连接件，整体长度1980±5mm,床厅与挂件正面焊接处需连续满焊不能有缺口及缝隙，以确保强度并提升美观性。</w:t>
            </w:r>
          </w:p>
          <w:p w14:paraId="246F0811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两端卡式连接件与立柱挂孔完美匹配。</w:t>
            </w:r>
          </w:p>
          <w:p w14:paraId="74605F2B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5.卡式连接件</w:t>
            </w:r>
          </w:p>
          <w:p w14:paraId="5AEA575A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5.1规格尺寸：≥35mm×35×120mm</w:t>
            </w:r>
          </w:p>
          <w:p w14:paraId="47BD636C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5.2材质要求：厚度≥2.0mm优质钢板；</w:t>
            </w:r>
          </w:p>
          <w:p w14:paraId="1BF290D5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5.3技术要求：采用优质钢板一次冲压拉伸成型，成型后外形与床立柱有3个接触面以有效提升床架的稳固性。内侧带3个挂齿，挂齿由导向段和锁紧段组成，安装后立柱与床厅挂件接触面不少于3个；床厅与挂件正面焊接处需连续满焊不能留缺口及缝隙且挂齿不外露。</w:t>
            </w:r>
          </w:p>
          <w:p w14:paraId="5CC09DD0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6.前床厅护栏档板</w:t>
            </w:r>
          </w:p>
          <w:p w14:paraId="4084F372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6.1规格尺寸：≥1600mm×380mm×90mm</w:t>
            </w:r>
          </w:p>
          <w:p w14:paraId="3B6A5281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6.2材质要求：采用钢、木、塑整体结合式；</w:t>
            </w:r>
          </w:p>
          <w:p w14:paraId="542E0D41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6.3技术要求：护栏挡板位于前床厅的上方，基材采用一整张E1级≥18mm厚三聚氰胺饰面板颗粒板基材，护栏内镶嵌整根φ28mm的喷塑钢圆管，板材和圆管通过整体一次注塑成型工艺连接成一个整体结构，确保护栏强度与刚性，四周无任何接缝及刃口； 护栏两端钢管外露自然形成拉手功能，背面设有警示语，提醒床垫铺设时高度要求，避免学生铺设床垫高度过高导致掉落的风险； 整个护栏为一体注塑成型，向外扩展式储物空间，正前方外设校徽、床号、姓名区位；储物区设有钢制抽拉板，可灵活拆除与选配，抽拉板带有杯座功能，内侧面有小孔便于挂小件、挂装网兜等功，钢制及注塑部分为暖白色，木制部分为落羽杉色。</w:t>
            </w:r>
          </w:p>
          <w:p w14:paraId="66ABD469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7.床换</w:t>
            </w:r>
          </w:p>
          <w:p w14:paraId="5D1618D8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7.1 截面尺寸：25mm/15mm×25mm（±1mm），厚度≥1.0mm</w:t>
            </w:r>
          </w:p>
          <w:p w14:paraId="4912456A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7.2材质要求：闭口型材管；</w:t>
            </w:r>
          </w:p>
          <w:p w14:paraId="25E1DA0D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7.3技术要求：采用优质带钢，经轧压线辊压成型，高频焊接成闭口型材管，管材截面为三角形，下部为圆弧，上方安装限位消音件；每张床位数量4根，与边立柱拉换台阶及中立柱拉换台阶共同形成承重点。</w:t>
            </w:r>
          </w:p>
          <w:p w14:paraId="22AC4C21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8.中上走梯：钢制和注塑部分为暖白色，如整体图示</w:t>
            </w:r>
          </w:p>
          <w:p w14:paraId="35BF8743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8.1整体规格尺寸：500L×880W×1380Hmm（±3mm）</w:t>
            </w:r>
          </w:p>
          <w:p w14:paraId="53F00BDC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8.2走梯钢架：走梯钢架管采用30mm×20mm（±1mm），厚度≥1.2mm距管和20mm×20（±1mm），厚度≥1.2mm方管组合焊接而成；</w:t>
            </w:r>
          </w:p>
          <w:p w14:paraId="208EAA89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8.3走梯踩板：梯踩板与门板采用15mm厚度的E1级环保三聚氰胺板制造，四周PVC封边，走梯为四步四外翻门设计，外翻门板上带内陷拉手，门板内侧安装液压缓冲铰链,踩板颜色为落羽杉色。</w:t>
            </w:r>
          </w:p>
          <w:p w14:paraId="6287CE1F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9.床下钢制鞋架</w:t>
            </w:r>
          </w:p>
          <w:p w14:paraId="741C5F51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9.1整体规格尺寸：1980(±10)mm×600（±10）mm×95mm(±10mm）暖白色。</w:t>
            </w:r>
          </w:p>
          <w:p w14:paraId="753746D5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9.2技术要求：鞋架整体为钢制，采用厚度为1.0mm，φ16mm（±1mm）圆管和20mm×20mm（±1mm）方管组合焊接而成。</w:t>
            </w:r>
          </w:p>
          <w:p w14:paraId="41D8B53A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10.蚊帐杆</w:t>
            </w:r>
          </w:p>
          <w:p w14:paraId="3C696AC3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10.1整体尺寸：按房间高度定制</w:t>
            </w:r>
          </w:p>
          <w:p w14:paraId="7E7DF81D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10.2材质要求：20mm×20mm（±1mm），厚度≥1.0mm优质方管及φ16mm（±1mm），厚度≥1.0mm的圆管组合，暖白色；</w:t>
            </w:r>
          </w:p>
          <w:p w14:paraId="13D1246D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10.3技术要求：方管折弯成 7 字型，底部固定在立柱上不升降，方管顶部安装一根圆管提供左右支撑力，降低丢失、损坏的风险；数量为4根。</w:t>
            </w:r>
          </w:p>
          <w:p w14:paraId="308E60EC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11.床板</w:t>
            </w:r>
          </w:p>
          <w:p w14:paraId="453316AF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11.1规格尺寸：厚度≥15mm；</w:t>
            </w:r>
          </w:p>
          <w:p w14:paraId="60D3FAA4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 xml:space="preserve">11.2材质要求：杉木直拼双面创光床板，均匀排布，材料进行熏蒸杀虫、干燥处理，无边角缺陷、虫蛀、腐朽、霉变、开裂、变形等，中间不少于4根25mmX35mm(±1mm)的木横撑固定，木撑表面刨光、光滑无毛刺。横衬无明显缺边料(边皮)。床承受的动、静载荷大于400KG。木材吸水率控制检测标准准确性≤15%，床板含水率、虫眼和节疤符合国家家具用材标准。 </w:t>
            </w:r>
          </w:p>
          <w:p w14:paraId="53945B34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 xml:space="preserve">11.3技术要求：铺板底部带≥4根实木加强筋，提升结构强度。 </w:t>
            </w:r>
          </w:p>
        </w:tc>
      </w:tr>
      <w:tr w14:paraId="4D4BE8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" w:type="dxa"/>
            <w:noWrap w:val="0"/>
            <w:vAlign w:val="center"/>
          </w:tcPr>
          <w:p w14:paraId="414E177B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147" w:type="dxa"/>
            <w:noWrap w:val="0"/>
            <w:vAlign w:val="center"/>
          </w:tcPr>
          <w:p w14:paraId="00A7ACA9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学生书桌</w:t>
            </w:r>
          </w:p>
        </w:tc>
        <w:tc>
          <w:tcPr>
            <w:tcW w:w="693" w:type="dxa"/>
            <w:noWrap w:val="0"/>
            <w:vAlign w:val="center"/>
          </w:tcPr>
          <w:p w14:paraId="373647A1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154个</w:t>
            </w:r>
          </w:p>
        </w:tc>
        <w:tc>
          <w:tcPr>
            <w:tcW w:w="6828" w:type="dxa"/>
            <w:noWrap w:val="0"/>
            <w:vAlign w:val="center"/>
          </w:tcPr>
          <w:p w14:paraId="0B9066D4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.学习桌架：</w:t>
            </w:r>
          </w:p>
          <w:p w14:paraId="29385FCC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.1立柱管规格：40mm×40mm（±1mm），厚度≥1.0mm；</w:t>
            </w:r>
          </w:p>
          <w:p w14:paraId="12EA8C8A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.2侧边拉换规格：40mm×20mm（±1mm），厚度≥1.0mm；</w:t>
            </w:r>
          </w:p>
          <w:p w14:paraId="2E49CD08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.3桌下托管规格：40mm×30mm（±1mm），厚度≥1.0mm；</w:t>
            </w:r>
          </w:p>
          <w:p w14:paraId="2B61CFD6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.4技术要求：桌下托管与桌侧边架采用互扣式冲压件连接，立柱下封口采用优质PP塑料的静音内外塞。</w:t>
            </w:r>
          </w:p>
          <w:p w14:paraId="56070954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2.学习桌</w:t>
            </w:r>
          </w:p>
          <w:p w14:paraId="0B75810C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2.1整体规格：1920（±10）mm×600（±10）mm×750（±10）mm；</w:t>
            </w:r>
          </w:p>
          <w:p w14:paraId="404315BD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2.2学习桌材质：采用≥15mm厚度的E1级环保三聚氰胺板制作，抽屉底板采用≥5mm密度板基材三聚氰胺饰面板。</w:t>
            </w:r>
          </w:p>
          <w:p w14:paraId="7238EBA7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2.3学习桌面规格：1920（±10）×600（±10）×25（±1）mm</w:t>
            </w:r>
          </w:p>
          <w:p w14:paraId="69F9953A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2.3.1桌面材质：采用≥25mm厚度的环保E1级三聚氰胺饰面板制作，桌面和书架整体为落羽杉色。</w:t>
            </w:r>
          </w:p>
          <w:p w14:paraId="59801723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2.3.2技术要求：桌面采用一次注塑成型技术，四周边部整体注塑成型且无接缝，前后端设计为符合人体工程学的舒适直边，双面小鸭嘴边造型，防止桌面板与学生发生磕碰。</w:t>
            </w:r>
          </w:p>
          <w:p w14:paraId="6D381B83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2.学习桌</w:t>
            </w:r>
          </w:p>
          <w:p w14:paraId="07D9DEE2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2.1整体规格：1920（±10）mm×600（±10）mm×750（±10）mm；</w:t>
            </w:r>
          </w:p>
          <w:p w14:paraId="26940819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2.2学习桌材质：采用≥15mm厚度的E1级环保三聚氰胺板制作，抽屉底板采用≥5mm密度板基材三聚氰胺饰面板。</w:t>
            </w:r>
          </w:p>
          <w:p w14:paraId="0F000EA9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2.3学习桌面规格：1920（±10）×600（±10）×25（±1）mm</w:t>
            </w:r>
          </w:p>
          <w:p w14:paraId="20DEF6DB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2.3.1桌面材质：采用≥25mm厚度的环保E1级三聚氰胺饰面板制作，桌面和书架整体为落羽杉色。</w:t>
            </w:r>
          </w:p>
          <w:p w14:paraId="1BC2DC35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2.3.2技术要求：桌面采用一次注塑成型技术，四周边部整体注塑成型且无接缝，前后端设计为符合人体工程学的舒适直边，双面小鸭嘴边造型，防止桌面板与学生发生磕碰。</w:t>
            </w:r>
          </w:p>
          <w:p w14:paraId="68640B3B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3.学习桌书架</w:t>
            </w:r>
          </w:p>
          <w:p w14:paraId="1F2B6A9C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3.1整体规格：1900（±10）mm×240（±10）mm×950（±10）mm</w:t>
            </w:r>
          </w:p>
          <w:p w14:paraId="5CE20B82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3.2：学习桌书架材质：采用25+15mm厚度的E1级环保三聚氰胺板制作，隔板采用≥25mm厚度的E1级环保三聚氰胺板制作。增强承重力。</w:t>
            </w:r>
          </w:p>
        </w:tc>
      </w:tr>
      <w:tr w14:paraId="7C42C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" w:type="dxa"/>
            <w:noWrap w:val="0"/>
            <w:vAlign w:val="center"/>
          </w:tcPr>
          <w:p w14:paraId="18C3E44D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147" w:type="dxa"/>
            <w:noWrap w:val="0"/>
            <w:vAlign w:val="center"/>
          </w:tcPr>
          <w:p w14:paraId="7A25D04D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更衣柜</w:t>
            </w:r>
          </w:p>
        </w:tc>
        <w:tc>
          <w:tcPr>
            <w:tcW w:w="693" w:type="dxa"/>
            <w:noWrap w:val="0"/>
            <w:vAlign w:val="center"/>
          </w:tcPr>
          <w:p w14:paraId="7C2D01E1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77个</w:t>
            </w:r>
          </w:p>
        </w:tc>
        <w:tc>
          <w:tcPr>
            <w:tcW w:w="6828" w:type="dxa"/>
            <w:noWrap w:val="0"/>
            <w:vAlign w:val="center"/>
          </w:tcPr>
          <w:p w14:paraId="4AA6B305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1.衣柜</w:t>
            </w:r>
          </w:p>
          <w:p w14:paraId="67F3BB6C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1.1整体规格：800（±5）mm×600（±5）mm×1900（±10）mm</w:t>
            </w:r>
          </w:p>
          <w:p w14:paraId="72C5DEE9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1.2柜体主材:采用≥15mm厚度的E1级环保三聚氰胺板制作，基材为刨花板，衣柜背板采用≥5mm密度板基材三聚氰胺饰面板制作，可视面PVC封边，柜体为落羽杉色。</w:t>
            </w:r>
          </w:p>
          <w:p w14:paraId="175331F8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1.3衣柜门板：</w:t>
            </w:r>
          </w:p>
          <w:p w14:paraId="0940799E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1.3.1柜门规格：595（±5mm）×395（±5）mm×15（±1）mm，门板及注塑颜色为暖白色。</w:t>
            </w:r>
          </w:p>
          <w:p w14:paraId="02F62279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1.3.2柜门材质：采用≥15mm厚度的环保E1级三聚氰胺饰面板制作</w:t>
            </w:r>
          </w:p>
          <w:p w14:paraId="020D3E11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1.3.2技术要求：门板采用一次注塑成型技术四周边部整体注塑成型且无接缝，自带内凹式整体成型拉手设计且拉手在门板正面的边角部。开启关闭着力点指向明确，免额外明拉手设计，减少外凸明拉手对使用者带来的意外伤害，门板铰链安装位置采用一次模压注塑成型杯孔，安装螺丝握钉力大大加强，减少铰链易脱落的现象，降低维修率。</w:t>
            </w:r>
          </w:p>
          <w:p w14:paraId="00E5C5DC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自带内凹成型明锁空间位置，锁具不外露，低于门板表面，解决了外凸明锁对人体的伤害，对穿一次注塑成型锁孔设计，使门板在闭合时不与木板基材发生摩擦，增加使用寿命。</w:t>
            </w:r>
          </w:p>
          <w:p w14:paraId="26C0D41F">
            <w:pPr>
              <w:spacing w:line="24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781425" cy="1419860"/>
                  <wp:effectExtent l="0" t="0" r="9525" b="8890"/>
                  <wp:docPr id="5" name="图片 1" descr="24bd04b610ed4eb3e6b65a6b7665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24bd04b610ed4eb3e6b65a6b76656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7506" t="4448" r="17133" b="2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0E37E"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drawing>
                <wp:inline distT="0" distB="0" distL="114300" distR="114300">
                  <wp:extent cx="1297940" cy="990600"/>
                  <wp:effectExtent l="0" t="0" r="16510" b="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drawing>
                <wp:inline distT="0" distB="0" distL="114300" distR="114300">
                  <wp:extent cx="1169035" cy="945515"/>
                  <wp:effectExtent l="0" t="0" r="12065" b="6985"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169035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 xml:space="preserve">   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drawing>
                <wp:inline distT="0" distB="0" distL="114300" distR="114300">
                  <wp:extent cx="1002665" cy="1438275"/>
                  <wp:effectExtent l="0" t="0" r="6985" b="9525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7C705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</w:p>
        </w:tc>
      </w:tr>
      <w:tr w14:paraId="64448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" w:type="dxa"/>
            <w:noWrap w:val="0"/>
            <w:vAlign w:val="center"/>
          </w:tcPr>
          <w:p w14:paraId="5988A238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147" w:type="dxa"/>
            <w:noWrap w:val="0"/>
            <w:vAlign w:val="center"/>
          </w:tcPr>
          <w:p w14:paraId="47B029C3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公寓椅</w:t>
            </w:r>
          </w:p>
        </w:tc>
        <w:tc>
          <w:tcPr>
            <w:tcW w:w="693" w:type="dxa"/>
            <w:noWrap w:val="0"/>
            <w:vAlign w:val="center"/>
          </w:tcPr>
          <w:p w14:paraId="7B1C0FCF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462个</w:t>
            </w:r>
          </w:p>
        </w:tc>
        <w:tc>
          <w:tcPr>
            <w:tcW w:w="6828" w:type="dxa"/>
            <w:noWrap w:val="0"/>
            <w:vAlign w:val="center"/>
          </w:tcPr>
          <w:p w14:paraId="6827D04F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1.整体规格：440mm×440mm(±2mm) ,椅座面离地高度420mm(±5)mm；椅钢架为暖白色椅背颜色为浅灰色。</w:t>
            </w:r>
          </w:p>
          <w:p w14:paraId="6DD62A04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2.椅座背板规格：440mm×440mm×380mm(±2mm)</w:t>
            </w:r>
          </w:p>
          <w:p w14:paraId="71676A14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2.1座背板材质：采用优质改性PP塑料一次成型，颜色为浅灰色。2.2技术要求：座面与靠背连接处带7条加强筋，确保强度和使用寿命；坐面部分必须带透气孔，靠背需设计有孔型把手，方便挪动；椅面与钢架采用卡销方式连接，坚固耐用。</w:t>
            </w:r>
          </w:p>
          <w:p w14:paraId="66997AD8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3.椅钢架：</w:t>
            </w:r>
          </w:p>
          <w:p w14:paraId="48723971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3.1椅钢架材质：采用优质结构钢，各组合管材规格如下：</w:t>
            </w:r>
          </w:p>
          <w:p w14:paraId="23E7B69E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3.2椅脚架管规格：φ22mm×1.5mm(±2mm)圆管；</w:t>
            </w:r>
          </w:p>
          <w:p w14:paraId="723D2DA9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3.3拉换规格：φ19mm×1.5mm(±2mm)圆管；</w:t>
            </w:r>
          </w:p>
          <w:p w14:paraId="57E16EA2">
            <w:pPr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  <w:t>3.4其它塑料件、脚内塞：采用抗老化PP工程塑料一次性注塑成型，钢架为暖白色。</w:t>
            </w:r>
          </w:p>
          <w:p w14:paraId="00A66EF1">
            <w:pPr>
              <w:spacing w:line="24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drawing>
                <wp:inline distT="0" distB="0" distL="114300" distR="114300">
                  <wp:extent cx="2312035" cy="1927225"/>
                  <wp:effectExtent l="0" t="0" r="12065" b="15875"/>
                  <wp:docPr id="8" name="图片 5" descr="桌子上放着蓝色的卡通人物&#10;&#10;低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 descr="桌子上放着蓝色的卡通人物&#10;&#10;低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35" cy="192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37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" w:type="dxa"/>
            <w:noWrap w:val="0"/>
            <w:vAlign w:val="center"/>
          </w:tcPr>
          <w:p w14:paraId="27C95694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147" w:type="dxa"/>
            <w:noWrap w:val="0"/>
            <w:vAlign w:val="center"/>
          </w:tcPr>
          <w:p w14:paraId="656478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atLeast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主席台桌</w:t>
            </w:r>
          </w:p>
        </w:tc>
        <w:tc>
          <w:tcPr>
            <w:tcW w:w="693" w:type="dxa"/>
            <w:noWrap w:val="0"/>
            <w:vAlign w:val="center"/>
          </w:tcPr>
          <w:p w14:paraId="6F2C28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atLeast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5张</w:t>
            </w:r>
          </w:p>
        </w:tc>
        <w:tc>
          <w:tcPr>
            <w:tcW w:w="6828" w:type="dxa"/>
            <w:noWrap w:val="0"/>
            <w:vAlign w:val="center"/>
          </w:tcPr>
          <w:p w14:paraId="000CA6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约1600*600*750mm；</w:t>
            </w:r>
          </w:p>
          <w:p w14:paraId="764657BF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基材:采用E0级板材，甲醛释放量符合国家标准，侧板厚度≥36mm，材料厚度≥25mm。</w:t>
            </w:r>
          </w:p>
          <w:p w14:paraId="38B7C597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饰面与封边:采用优质厚度≥0.6m木皮贴面，实木条封边，颜色均匀平整。</w:t>
            </w:r>
          </w:p>
          <w:p w14:paraId="34725A12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油漆工艺:环保水性油漆，采用“六底三面”油漆工艺。 </w:t>
            </w:r>
          </w:p>
          <w:p w14:paraId="6F15D2D3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结构:桌面桌脚倒斜边，桌面桌脚交接处海棠角。</w:t>
            </w:r>
          </w:p>
          <w:p w14:paraId="159CA136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粘胶剂:采用环保型胶水，游离甲醛达到国家标准。 </w:t>
            </w:r>
          </w:p>
          <w:p w14:paraId="33BAB7A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701675</wp:posOffset>
                  </wp:positionV>
                  <wp:extent cx="3452495" cy="1994535"/>
                  <wp:effectExtent l="0" t="0" r="14605" b="5715"/>
                  <wp:wrapTopAndBottom/>
                  <wp:docPr id="9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495" cy="199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6、五金配件:采用高强度标准五金件；所有五金件表面必须经过防锈、防腐，抗氧化等表面装饰技术处理。</w:t>
            </w:r>
          </w:p>
          <w:p w14:paraId="546031EC">
            <w:pPr>
              <w:jc w:val="both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FFFFFF" w:fill="D9D9D9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FFFFFF" w:fill="D9D9D9"/>
                <w:lang w:val="en-US" w:eastAsia="zh-CN" w:bidi="ar"/>
              </w:rPr>
              <w:t>7、颜色：如图所示</w:t>
            </w:r>
          </w:p>
        </w:tc>
      </w:tr>
      <w:tr w14:paraId="574AD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" w:type="dxa"/>
            <w:noWrap w:val="0"/>
            <w:vAlign w:val="center"/>
          </w:tcPr>
          <w:p w14:paraId="5D92C84C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147" w:type="dxa"/>
            <w:noWrap w:val="0"/>
            <w:vAlign w:val="center"/>
          </w:tcPr>
          <w:p w14:paraId="492AF9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atLeas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主席台</w:t>
            </w:r>
          </w:p>
          <w:p w14:paraId="40C0CF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atLeast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会议椅</w:t>
            </w:r>
          </w:p>
        </w:tc>
        <w:tc>
          <w:tcPr>
            <w:tcW w:w="693" w:type="dxa"/>
            <w:noWrap w:val="0"/>
            <w:vAlign w:val="center"/>
          </w:tcPr>
          <w:p w14:paraId="7BE761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atLeast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10把</w:t>
            </w:r>
          </w:p>
        </w:tc>
        <w:tc>
          <w:tcPr>
            <w:tcW w:w="6828" w:type="dxa"/>
            <w:noWrap w:val="0"/>
            <w:vAlign w:val="center"/>
          </w:tcPr>
          <w:p w14:paraId="030C6C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总高1200*坐高470*总宽550mm；</w:t>
            </w:r>
          </w:p>
          <w:p w14:paraId="49A9AB23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基材:采用E0级实木板材，甲醛释放量符合国家标准，侧板厚度≥36mm，材料厚度≥25mm。2、饰面与封边:采用优质厚度≥0.6m木皮贴面，实木条封边，颜色均匀平整。 </w:t>
            </w:r>
          </w:p>
          <w:p w14:paraId="5D916B65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油漆工艺:环保水性油漆，采用“六底三面”油漆工艺。 </w:t>
            </w:r>
          </w:p>
          <w:p w14:paraId="1D63A3C5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结构:桌面桌脚倒斜边，桌面桌脚交接处海棠角。 </w:t>
            </w:r>
          </w:p>
          <w:p w14:paraId="3B2C242E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粘胶剂:采用环保型胶水，游离甲醛达到国家标准。 </w:t>
            </w:r>
          </w:p>
          <w:p w14:paraId="6A0351B4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五金配件:采用高强度标准五金件；所有五金件表面必须经过防锈、防腐，抗氧化等表面装饰技术处理。</w:t>
            </w:r>
          </w:p>
          <w:p w14:paraId="66C26D03">
            <w:pPr>
              <w:numPr>
                <w:ilvl w:val="0"/>
                <w:numId w:val="4"/>
              </w:numPr>
              <w:jc w:val="both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FFFFFF" w:fill="D9D9D9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247650</wp:posOffset>
                  </wp:positionV>
                  <wp:extent cx="2841625" cy="2220595"/>
                  <wp:effectExtent l="0" t="0" r="15875" b="8255"/>
                  <wp:wrapTopAndBottom/>
                  <wp:docPr id="7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3"/>
                          <pic:cNvPicPr/>
                        </pic:nvPicPr>
                        <pic:blipFill>
                          <a:blip r:embed="rId11"/>
                          <a:srcRect t="22459" b="19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625" cy="222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FFFFFF" w:fill="D9D9D9"/>
                <w:lang w:val="en-US" w:eastAsia="zh-CN" w:bidi="ar"/>
              </w:rPr>
              <w:t>颜色：如图所示</w:t>
            </w:r>
          </w:p>
          <w:p w14:paraId="1FC3093C"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FFFFFF" w:fill="D9D9D9"/>
                <w:lang w:val="en-US" w:eastAsia="zh-CN" w:bidi="ar"/>
              </w:rPr>
            </w:pPr>
          </w:p>
        </w:tc>
      </w:tr>
      <w:tr w14:paraId="27BEFE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" w:type="dxa"/>
            <w:noWrap w:val="0"/>
            <w:vAlign w:val="center"/>
          </w:tcPr>
          <w:p w14:paraId="6BA9AC87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147" w:type="dxa"/>
            <w:noWrap w:val="0"/>
            <w:vAlign w:val="center"/>
          </w:tcPr>
          <w:p w14:paraId="3DDE1D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atLeast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会议条桌</w:t>
            </w:r>
          </w:p>
        </w:tc>
        <w:tc>
          <w:tcPr>
            <w:tcW w:w="693" w:type="dxa"/>
            <w:noWrap w:val="0"/>
            <w:vAlign w:val="center"/>
          </w:tcPr>
          <w:p w14:paraId="2B9F62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atLeast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120张</w:t>
            </w:r>
          </w:p>
        </w:tc>
        <w:tc>
          <w:tcPr>
            <w:tcW w:w="6828" w:type="dxa"/>
            <w:noWrap w:val="0"/>
            <w:vAlign w:val="center"/>
          </w:tcPr>
          <w:p w14:paraId="2526B0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约1200*400*750mm；</w:t>
            </w:r>
          </w:p>
          <w:p w14:paraId="5F3FE85F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基材:采用E0级板材，甲醛释放量符合国家标准，侧板厚度≥36mm，材料厚度≥25mm。</w:t>
            </w:r>
          </w:p>
          <w:p w14:paraId="0B6E6938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饰面与封边:采用优质厚度≥0.6m木皮贴面，实木条封边，颜色均匀平整。 </w:t>
            </w:r>
          </w:p>
          <w:p w14:paraId="25D6F5BD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油漆工艺:环保水性油漆，采用“六底三面”油漆工艺。 </w:t>
            </w:r>
          </w:p>
          <w:p w14:paraId="623F9A40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结构:桌面桌脚倒斜边，桌面桌脚交接处海棠角。</w:t>
            </w:r>
          </w:p>
          <w:p w14:paraId="36776D99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粘胶剂:采用环保型胶水，游离甲醛达到国家标准。 </w:t>
            </w:r>
          </w:p>
          <w:p w14:paraId="6B7080C3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五金配件:采用高强度标准五金件；所有五金件表面必须经过防锈、防腐，抗氧化等表面装饰技术处理。</w:t>
            </w:r>
          </w:p>
          <w:p w14:paraId="169989DD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216535</wp:posOffset>
                  </wp:positionV>
                  <wp:extent cx="2828925" cy="1642745"/>
                  <wp:effectExtent l="0" t="0" r="9525" b="14605"/>
                  <wp:wrapTopAndBottom/>
                  <wp:docPr id="6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FFFFFF" w:fill="D9D9D9"/>
                <w:lang w:val="en-US" w:eastAsia="zh-CN" w:bidi="ar"/>
              </w:rPr>
              <w:t>颜色：如图所示</w:t>
            </w:r>
          </w:p>
        </w:tc>
      </w:tr>
      <w:tr w14:paraId="20024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" w:type="dxa"/>
            <w:noWrap w:val="0"/>
            <w:vAlign w:val="center"/>
          </w:tcPr>
          <w:p w14:paraId="40CB7CC3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147" w:type="dxa"/>
            <w:noWrap w:val="0"/>
            <w:vAlign w:val="center"/>
          </w:tcPr>
          <w:p w14:paraId="2CA153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atLeast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会议椅</w:t>
            </w:r>
          </w:p>
        </w:tc>
        <w:tc>
          <w:tcPr>
            <w:tcW w:w="693" w:type="dxa"/>
            <w:noWrap w:val="0"/>
            <w:vAlign w:val="center"/>
          </w:tcPr>
          <w:p w14:paraId="334CEE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atLeast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230把</w:t>
            </w:r>
          </w:p>
        </w:tc>
        <w:tc>
          <w:tcPr>
            <w:tcW w:w="6828" w:type="dxa"/>
            <w:noWrap w:val="0"/>
            <w:vAlign w:val="center"/>
          </w:tcPr>
          <w:p w14:paraId="51F2FA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约总高1200*坐高470*总宽480mm；</w:t>
            </w:r>
          </w:p>
          <w:p w14:paraId="635624E7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基材:采用E0级实木板材，甲醛释放量符合国家标准，侧板厚度≥36mm，材料厚度≥25mm。2、饰面与封边:采用优质厚度≥0.6m木皮贴面，实木条封边，颜色均匀平整。 </w:t>
            </w:r>
          </w:p>
          <w:p w14:paraId="19166778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油漆工艺:环保水性油漆，采用“六底三面”油漆工艺。</w:t>
            </w:r>
          </w:p>
          <w:p w14:paraId="0DF494AC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结构:桌面桌脚倒斜边，桌面桌脚交接处海棠角。 </w:t>
            </w:r>
          </w:p>
          <w:p w14:paraId="69FDD0F2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粘胶剂:采用环保型胶水，游离甲醛达到国家标准。 </w:t>
            </w:r>
          </w:p>
          <w:p w14:paraId="35101068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五金配件:采用高强度标准五金件；所有五金件表面必须经过防锈、防腐，抗氧化等表面装饰技术处理。 </w:t>
            </w:r>
          </w:p>
          <w:p w14:paraId="76797D86"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201295</wp:posOffset>
                  </wp:positionV>
                  <wp:extent cx="1985645" cy="2445385"/>
                  <wp:effectExtent l="0" t="0" r="14605" b="12065"/>
                  <wp:wrapTopAndBottom/>
                  <wp:docPr id="2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244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FFFFFF" w:fill="D9D9D9"/>
                <w:lang w:val="en-US" w:eastAsia="zh-CN" w:bidi="ar"/>
              </w:rPr>
              <w:t>颜色：如图所示</w:t>
            </w:r>
          </w:p>
        </w:tc>
      </w:tr>
      <w:tr w14:paraId="7B646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4" w:hRule="atLeast"/>
          <w:jc w:val="center"/>
        </w:trPr>
        <w:tc>
          <w:tcPr>
            <w:tcW w:w="441" w:type="dxa"/>
            <w:noWrap w:val="0"/>
            <w:vAlign w:val="center"/>
          </w:tcPr>
          <w:p w14:paraId="400F6A7A"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147" w:type="dxa"/>
            <w:noWrap w:val="0"/>
            <w:vAlign w:val="center"/>
          </w:tcPr>
          <w:p w14:paraId="67B5CF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atLeast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演讲台</w:t>
            </w:r>
          </w:p>
        </w:tc>
        <w:tc>
          <w:tcPr>
            <w:tcW w:w="693" w:type="dxa"/>
            <w:noWrap w:val="0"/>
            <w:vAlign w:val="center"/>
          </w:tcPr>
          <w:p w14:paraId="41FF26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atLeast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  <w:tc>
          <w:tcPr>
            <w:tcW w:w="6828" w:type="dxa"/>
            <w:noWrap w:val="0"/>
            <w:vAlign w:val="center"/>
          </w:tcPr>
          <w:p w14:paraId="164212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深度：550m，宽：650mm，高：1140mm，符合人体工程学，方便演讲者在演讲过程中自然操作，与观众保持良好视线交流 。选用E1级环保中密度纤维板（MDF），板材厚度18mm，通过高温高压压制而成，结构稳定，抗变形能力强，甲醛释放量远低于国家标准，保障室内空气质。表面贴覆0.6mm厚胡桃木天然木皮，纹理清晰自然，触感细腻；经过防刮耐磨处理，能抵御日常使用中的轻微刮擦，延长使用寿命。采用2mm厚同色PVC优质封边条，通过热熔胶高温封边工艺处理，边缘平整光滑，密封性好，有效防止水分侵入板材内部，同时增强整体美观性。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表面采用环保水性漆喷涂，经过“三底两面”工艺，漆膜厚度达0.25mm，色泽均匀饱满，具有良好的耐磨性、耐污性，方便日常清洁，且无刺激性气味，环保健康。</w:t>
            </w:r>
          </w:p>
          <w:p w14:paraId="6AFB3C16">
            <w:pPr>
              <w:jc w:val="both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FFFFFF" w:fill="D9D9D9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318135</wp:posOffset>
                  </wp:positionV>
                  <wp:extent cx="1833245" cy="3017520"/>
                  <wp:effectExtent l="0" t="0" r="14605" b="11430"/>
                  <wp:wrapTopAndBottom/>
                  <wp:docPr id="3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45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shd w:val="clear" w:color="FFFFFF" w:fill="D9D9D9"/>
                <w:lang w:val="en-US" w:eastAsia="zh-CN" w:bidi="ar"/>
              </w:rPr>
              <w:t>颜色：如图所示</w:t>
            </w:r>
          </w:p>
        </w:tc>
      </w:tr>
    </w:tbl>
    <w:p w14:paraId="4BD642B4">
      <w:pPr>
        <w:spacing w:line="500" w:lineRule="exact"/>
        <w:ind w:firstLine="420" w:firstLineChars="200"/>
        <w:rPr>
          <w:rFonts w:hint="eastAsia" w:ascii="仿宋" w:hAnsi="仿宋" w:eastAsia="仿宋" w:cs="Times New Roman"/>
          <w:color w:val="auto"/>
          <w:kern w:val="0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kern w:val="0"/>
          <w:lang w:val="en-US" w:eastAsia="zh-CN"/>
        </w:rPr>
        <w:t xml:space="preserve">（二）其他需求 </w:t>
      </w:r>
    </w:p>
    <w:p w14:paraId="48BFA1D3">
      <w:pPr>
        <w:spacing w:line="500" w:lineRule="exact"/>
        <w:ind w:firstLine="420" w:firstLineChars="200"/>
        <w:rPr>
          <w:rFonts w:hint="eastAsia" w:ascii="仿宋" w:hAnsi="仿宋" w:eastAsia="仿宋" w:cs="Times New Roman"/>
          <w:color w:val="auto"/>
          <w:kern w:val="0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kern w:val="0"/>
          <w:lang w:val="en-US" w:eastAsia="zh-CN"/>
        </w:rPr>
        <w:t>中标人应在签订合同时，提供一套符合投标文件要求的实物样品（学生公寓床两连三位1套、主席台桌1张、主席台会议椅1把、会议条桌1张、会议椅1把、演讲台1个），作为项目验收标准。</w:t>
      </w:r>
    </w:p>
    <w:p w14:paraId="0C629CFF">
      <w:pPr>
        <w:spacing w:line="500" w:lineRule="exact"/>
        <w:ind w:firstLine="420" w:firstLineChars="200"/>
        <w:rPr>
          <w:rFonts w:hint="eastAsia" w:ascii="仿宋" w:hAnsi="仿宋" w:eastAsia="仿宋" w:cs="Times New Roman"/>
          <w:color w:val="auto"/>
          <w:kern w:val="0"/>
          <w:lang w:val="en-US" w:eastAsia="zh-CN"/>
        </w:rPr>
      </w:pPr>
    </w:p>
    <w:p w14:paraId="2E5A15BA">
      <w:pPr>
        <w:spacing w:line="500" w:lineRule="exact"/>
        <w:ind w:firstLine="420" w:firstLineChars="200"/>
        <w:rPr>
          <w:rFonts w:hint="eastAsia" w:ascii="仿宋" w:hAnsi="仿宋" w:eastAsia="仿宋" w:cs="Times New Roman"/>
          <w:color w:val="auto"/>
          <w:kern w:val="0"/>
          <w:lang w:val="en-US" w:eastAsia="zh-CN"/>
        </w:rPr>
      </w:pPr>
    </w:p>
    <w:p w14:paraId="5A64603A">
      <w:pPr>
        <w:spacing w:line="500" w:lineRule="exact"/>
        <w:ind w:firstLine="420" w:firstLineChars="200"/>
        <w:rPr>
          <w:rFonts w:hint="eastAsia" w:ascii="仿宋" w:hAnsi="仿宋" w:eastAsia="仿宋" w:cs="Times New Roman"/>
          <w:color w:val="auto"/>
          <w:kern w:val="0"/>
          <w:lang w:val="en-US" w:eastAsia="zh-CN"/>
        </w:rPr>
      </w:pPr>
    </w:p>
    <w:p w14:paraId="2124A5FB">
      <w:pPr>
        <w:spacing w:line="240" w:lineRule="auto"/>
        <w:ind w:firstLine="420" w:firstLineChars="200"/>
        <w:rPr>
          <w:rFonts w:hint="eastAsia" w:ascii="仿宋" w:hAnsi="仿宋" w:eastAsia="仿宋" w:cs="Times New Roman"/>
          <w:color w:val="auto"/>
          <w:kern w:val="0"/>
          <w:lang w:val="en-US" w:eastAsia="zh-CN"/>
        </w:rPr>
      </w:pPr>
      <w:r>
        <w:rPr>
          <w:rFonts w:hint="eastAsia"/>
          <w:color w:val="auto"/>
          <w:lang w:eastAsia="zh-CN"/>
        </w:rPr>
        <w:drawing>
          <wp:inline distT="0" distB="0" distL="114300" distR="114300">
            <wp:extent cx="5272405" cy="7399655"/>
            <wp:effectExtent l="0" t="0" r="4445" b="10795"/>
            <wp:docPr id="13" name="图片 6" descr="榆政财采发〔2023〕16 号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榆政财采发〔2023〕16 号_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309FD">
      <w:pPr>
        <w:pStyle w:val="2"/>
        <w:rPr>
          <w:rFonts w:hint="eastAsia" w:ascii="仿宋" w:hAnsi="仿宋" w:eastAsia="仿宋"/>
          <w:color w:val="auto"/>
          <w:sz w:val="32"/>
          <w:szCs w:val="32"/>
          <w:highlight w:val="yellow"/>
          <w:lang w:val="en-US" w:eastAsia="zh-CN"/>
        </w:rPr>
      </w:pPr>
    </w:p>
    <w:p w14:paraId="1D75575A">
      <w:pPr>
        <w:pStyle w:val="6"/>
        <w:spacing w:line="240" w:lineRule="auto"/>
        <w:ind w:left="0" w:leftChars="0" w:firstLine="0" w:firstLineChars="0"/>
        <w:jc w:val="center"/>
        <w:outlineLvl w:val="1"/>
        <w:rPr>
          <w:rFonts w:hint="eastAsia" w:ascii="仿宋" w:hAnsi="仿宋" w:eastAsia="仿宋" w:cs="Times New Roman"/>
          <w:b/>
          <w:color w:val="auto"/>
          <w:sz w:val="32"/>
          <w:szCs w:val="32"/>
        </w:rPr>
      </w:pPr>
      <w:r>
        <w:rPr>
          <w:rFonts w:hint="eastAsia"/>
          <w:color w:val="auto"/>
          <w:lang w:eastAsia="zh-CN"/>
        </w:rPr>
        <w:drawing>
          <wp:inline distT="0" distB="0" distL="114300" distR="114300">
            <wp:extent cx="5272405" cy="7399655"/>
            <wp:effectExtent l="0" t="0" r="4445" b="10795"/>
            <wp:docPr id="14" name="图片 7" descr="榆政财采发〔2023〕16 号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榆政财采发〔2023〕16 号_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312D6">
      <w:pPr>
        <w:pStyle w:val="6"/>
        <w:spacing w:line="500" w:lineRule="exact"/>
        <w:ind w:left="0" w:leftChars="0" w:firstLine="0" w:firstLineChars="0"/>
        <w:jc w:val="center"/>
        <w:outlineLvl w:val="1"/>
        <w:rPr>
          <w:rFonts w:hint="eastAsia" w:ascii="仿宋" w:hAnsi="仿宋" w:eastAsia="仿宋" w:cs="Times New Roman"/>
          <w:b/>
          <w:color w:val="auto"/>
          <w:sz w:val="32"/>
          <w:szCs w:val="32"/>
        </w:rPr>
      </w:pPr>
    </w:p>
    <w:p w14:paraId="46DC1D7F">
      <w:pPr>
        <w:rPr>
          <w:rFonts w:hint="eastAsia" w:eastAsiaTheme="minorEastAsia"/>
          <w:lang w:eastAsia="zh-CN"/>
        </w:rPr>
      </w:pPr>
      <w:r>
        <w:rPr>
          <w:rFonts w:hint="eastAsia"/>
          <w:color w:val="auto"/>
          <w:lang w:eastAsia="zh-CN"/>
        </w:rPr>
        <w:drawing>
          <wp:inline distT="0" distB="0" distL="114300" distR="114300">
            <wp:extent cx="5272405" cy="7399655"/>
            <wp:effectExtent l="0" t="0" r="4445" b="10795"/>
            <wp:docPr id="15" name="图片 8" descr="榆政财采发〔2023〕16 号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榆政财采发〔2023〕16 号_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eastAsia="zh-CN"/>
        </w:rPr>
        <w:drawing>
          <wp:inline distT="0" distB="0" distL="114300" distR="114300">
            <wp:extent cx="5549900" cy="7849235"/>
            <wp:effectExtent l="0" t="0" r="12700" b="18415"/>
            <wp:docPr id="16" name="图片 9" descr="榆政财采发〔2023〕16 号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榆政财采发〔2023〕16 号_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78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eastAsia="zh-CN"/>
        </w:rPr>
        <w:drawing>
          <wp:inline distT="0" distB="0" distL="114300" distR="114300">
            <wp:extent cx="5452745" cy="7712075"/>
            <wp:effectExtent l="0" t="0" r="14605" b="3175"/>
            <wp:docPr id="1" name="图片 10" descr="榆政财采发〔2023〕16 号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榆政财采发〔2023〕16 号_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77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/>
          <w:lang w:eastAsia="zh-CN"/>
        </w:rPr>
        <w:instrText xml:space="preserve">ADDIN CNKISM.UserStyle</w:instrText>
      </w:r>
      <w:r>
        <w:fldChar w:fldCharType="separate"/>
      </w:r>
      <w: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(W1)">
    <w:altName w:val="Arial"/>
    <w:panose1 w:val="00000000000000000000"/>
    <w:charset w:val="00"/>
    <w:family w:val="swiss"/>
    <w:pitch w:val="default"/>
    <w:sig w:usb0="00000000" w:usb1="00000000" w:usb2="00000008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1F0B3A"/>
    <w:multiLevelType w:val="singleLevel"/>
    <w:tmpl w:val="871F0B3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50D2088"/>
    <w:multiLevelType w:val="singleLevel"/>
    <w:tmpl w:val="F50D208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21970C1"/>
    <w:multiLevelType w:val="singleLevel"/>
    <w:tmpl w:val="021970C1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F564EF6"/>
    <w:multiLevelType w:val="singleLevel"/>
    <w:tmpl w:val="4F564EF6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69E1625B"/>
    <w:multiLevelType w:val="singleLevel"/>
    <w:tmpl w:val="69E1625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6BD55560"/>
    <w:multiLevelType w:val="singleLevel"/>
    <w:tmpl w:val="6BD5556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17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unhideWhenUsed/>
    <w:qFormat/>
    <w:uiPriority w:val="99"/>
    <w:pPr>
      <w:ind w:firstLine="420"/>
    </w:pPr>
  </w:style>
  <w:style w:type="paragraph" w:styleId="3">
    <w:name w:val="Body Text"/>
    <w:basedOn w:val="1"/>
    <w:next w:val="4"/>
    <w:qFormat/>
    <w:uiPriority w:val="0"/>
    <w:pPr>
      <w:spacing w:afterLines="50" w:line="360" w:lineRule="auto"/>
    </w:pPr>
    <w:rPr>
      <w:rFonts w:ascii="宋体" w:hAnsi="宋体"/>
      <w:color w:val="000000"/>
      <w:sz w:val="24"/>
    </w:rPr>
  </w:style>
  <w:style w:type="paragraph" w:customStyle="1" w:styleId="4">
    <w:name w:val="RFI Heading 2nd Level Char"/>
    <w:next w:val="5"/>
    <w:qFormat/>
    <w:uiPriority w:val="0"/>
    <w:pPr>
      <w:spacing w:before="240" w:after="240"/>
      <w:ind w:left="1152" w:hanging="1152"/>
      <w:jc w:val="both"/>
      <w:outlineLvl w:val="1"/>
    </w:pPr>
    <w:rPr>
      <w:rFonts w:ascii="Arial (W1)" w:hAnsi="Calibri" w:eastAsia="Times New Roman" w:cs="Times New Roman"/>
      <w:b/>
      <w:color w:val="3366FF"/>
      <w:kern w:val="2"/>
      <w:sz w:val="21"/>
      <w:lang w:val="en-US" w:eastAsia="zh-CN" w:bidi="ar-SA"/>
    </w:rPr>
  </w:style>
  <w:style w:type="paragraph" w:customStyle="1" w:styleId="5">
    <w:name w:val="Normal 0.51"/>
    <w:next w:val="1"/>
    <w:qFormat/>
    <w:uiPriority w:val="0"/>
    <w:pPr>
      <w:spacing w:before="180" w:after="120"/>
      <w:ind w:left="720"/>
      <w:jc w:val="both"/>
    </w:pPr>
    <w:rPr>
      <w:rFonts w:ascii="Calibri" w:hAnsi="Calibri" w:eastAsia="宋体" w:cs="Times New Roman"/>
      <w:kern w:val="2"/>
      <w:sz w:val="24"/>
      <w:lang w:val="en-US" w:eastAsia="zh-CN" w:bidi="ar-SA"/>
    </w:rPr>
  </w:style>
  <w:style w:type="paragraph" w:styleId="6">
    <w:name w:val="Body Text First Indent"/>
    <w:basedOn w:val="3"/>
    <w:unhideWhenUsed/>
    <w:qFormat/>
    <w:uiPriority w:val="0"/>
    <w:pPr>
      <w:spacing w:afterLines="0" w:line="240" w:lineRule="auto"/>
      <w:ind w:firstLine="420" w:firstLineChars="100"/>
    </w:pPr>
    <w:rPr>
      <w:rFonts w:ascii="Times New Roman" w:hAnsi="Times New Roman"/>
      <w:color w:val="auto"/>
      <w:sz w:val="18"/>
      <w:szCs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正文（缩进 2 字符）"/>
    <w:basedOn w:val="1"/>
    <w:qFormat/>
    <w:uiPriority w:val="0"/>
    <w:pPr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2025-09-23T01:21:45Z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eyJoZGlkIjoiZjY4Njg5MWJmMzRlNDU0OTJhNzE3Nzg3YzBiNDRjNjciLCJ1c2VySWQiOiIyNTUwNzIxOTEifQ==</vt:lpwstr>
  </property>
  <property fmtid="{D5CDD505-2E9C-101B-9397-08002B2CF9AE}" pid="4" name="ICV">
    <vt:lpwstr>B038A9299A64475C9084E6E670F89FC3_12</vt:lpwstr>
  </property>
</Properties>
</file>