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40B38">
      <w:pPr>
        <w:pStyle w:val="7"/>
        <w:spacing w:line="500" w:lineRule="exact"/>
        <w:ind w:firstLine="643" w:firstLineChars="200"/>
        <w:jc w:val="center"/>
        <w:outlineLvl w:val="1"/>
        <w:rPr>
          <w:rFonts w:hint="eastAsia" w:ascii="仿宋" w:hAnsi="仿宋" w:eastAsia="仿宋" w:cs="Times New Roman"/>
          <w:b/>
          <w:sz w:val="32"/>
          <w:szCs w:val="32"/>
        </w:rPr>
      </w:pPr>
      <w:bookmarkStart w:id="0" w:name="_Toc48834177"/>
      <w:bookmarkStart w:id="1" w:name="_Toc14082138"/>
      <w:bookmarkStart w:id="2" w:name="_Toc48834107"/>
      <w:bookmarkStart w:id="3" w:name="_Toc48834304"/>
      <w:bookmarkStart w:id="4" w:name="_Toc48834545"/>
      <w:bookmarkStart w:id="5" w:name="_Toc20365"/>
      <w:bookmarkStart w:id="6" w:name="_Toc48834466"/>
      <w:r>
        <w:rPr>
          <w:rFonts w:ascii="仿宋" w:hAnsi="仿宋" w:eastAsia="仿宋" w:cs="Times New Roman"/>
          <w:b/>
          <w:sz w:val="32"/>
          <w:szCs w:val="32"/>
        </w:rPr>
        <w:t>谈判内容及采购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3A41A4F5">
      <w:pPr>
        <w:pStyle w:val="10"/>
        <w:spacing w:line="500" w:lineRule="exact"/>
        <w:ind w:firstLine="567"/>
        <w:rPr>
          <w:rFonts w:hint="eastAsia" w:ascii="仿宋" w:hAnsi="仿宋" w:eastAsia="仿宋" w:cs="Times New Roman"/>
        </w:rPr>
      </w:pPr>
      <w:r>
        <w:rPr>
          <w:rFonts w:hint="eastAsia" w:ascii="仿宋" w:hAnsi="仿宋" w:eastAsia="仿宋" w:cs="Times New Roman"/>
        </w:rPr>
        <w:t>本次采购项目为关于榆林市政务大厅显示管理系统的货物类项目，供应商必须对本项目进行整体响应，只对其中一部分内容进行的响应都被视为无效响应。谈判报价应遵守《中华人民共和国价格法》，供应商不得以低于成本的报价参与本次采购活动。</w:t>
      </w:r>
      <w:bookmarkEnd w:id="0"/>
      <w:bookmarkEnd w:id="1"/>
      <w:bookmarkEnd w:id="2"/>
      <w:bookmarkEnd w:id="3"/>
      <w:bookmarkEnd w:id="4"/>
      <w:bookmarkEnd w:id="5"/>
      <w:bookmarkEnd w:id="6"/>
    </w:p>
    <w:p w14:paraId="412A57FF">
      <w:pPr>
        <w:pStyle w:val="10"/>
        <w:spacing w:line="500" w:lineRule="exact"/>
        <w:ind w:firstLine="569"/>
        <w:rPr>
          <w:rFonts w:hint="eastAsia" w:ascii="仿宋" w:hAnsi="仿宋" w:eastAsia="仿宋" w:cs="Times New Roman"/>
          <w:lang w:val="en-US" w:eastAsia="zh-CN"/>
        </w:rPr>
      </w:pPr>
      <w:r>
        <w:rPr>
          <w:rFonts w:hint="eastAsia" w:ascii="仿宋" w:hAnsi="仿宋" w:eastAsia="仿宋" w:cs="Times New Roman"/>
          <w:b/>
          <w:bCs/>
        </w:rPr>
        <w:t>采购需求：</w:t>
      </w:r>
    </w:p>
    <w:p w14:paraId="066EA836">
      <w:pPr>
        <w:pStyle w:val="10"/>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拟在市政务服务大厅一楼中厅在原址按照原尺寸重新建设显示管理系统，以保障政务服务业务需要。具体包括：全彩LED显示屏及其配套配件（尺寸为7.2×4.725，像素间距为1.5625mm，面积为34.02平方米)、控制软件1套、主控设备7台、视频拼接器1台、配电系统1台、中央主控主机1台、控制平板1台、交换机1台、音响系统1套以及配套线缆和安装调试工程（详见采购内容清单）。</w:t>
      </w:r>
    </w:p>
    <w:p w14:paraId="796FFBB4">
      <w:pPr>
        <w:pStyle w:val="10"/>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本项目大屏系统为榆林市政务服务业务办理指引、政策宣传等的重要平台，为更好的支撑保障政务服务工作，故本项目需要免费提供至少1名专业技术支持人员现场进行作业支持保障，服务保障期3年，且服务响应时间为：10分钟内响应。（需提供至少一名计算机相关专业中级及以上职称证书）</w:t>
      </w:r>
    </w:p>
    <w:p w14:paraId="67379098">
      <w:pPr>
        <w:pStyle w:val="10"/>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2.供应商负责原大屏拆除、运输、保管等，保管期为3年，在拆除、运输、保管过程中需要保证原大屏及其相关配件的完整性，如有丢失，自行承担相应责任。</w:t>
      </w:r>
    </w:p>
    <w:p w14:paraId="2233C3E4">
      <w:pPr>
        <w:pStyle w:val="10"/>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3.供应商须保证提供质量可靠、技术指标先进、参数合理、全新的、未经使用过的产品进行交付，且货源渠道正常合法，满足招标文件要求。同时，新建LED大屏系统需满足中央集中控制和平板控制等多端控制功能。</w:t>
      </w:r>
    </w:p>
    <w:p w14:paraId="30CEEAB8">
      <w:pPr>
        <w:pStyle w:val="10"/>
        <w:spacing w:line="500" w:lineRule="exact"/>
        <w:ind w:firstLine="567"/>
        <w:rPr>
          <w:rFonts w:hint="eastAsia" w:ascii="仿宋" w:hAnsi="仿宋" w:eastAsia="仿宋" w:cs="Times New Roman"/>
          <w:lang w:val="en-US" w:eastAsia="zh-CN"/>
        </w:rPr>
      </w:pPr>
    </w:p>
    <w:p w14:paraId="48D19F02">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jc w:val="both"/>
        <w:textAlignment w:val="auto"/>
        <w:rPr>
          <w:rFonts w:hint="eastAsia" w:ascii="仿宋" w:hAnsi="仿宋" w:eastAsia="仿宋" w:cs="Times New Roman"/>
          <w:kern w:val="2"/>
          <w:sz w:val="28"/>
          <w:szCs w:val="28"/>
          <w:lang w:val="en-US" w:eastAsia="zh-CN" w:bidi="ar-SA"/>
        </w:rPr>
      </w:pPr>
    </w:p>
    <w:p w14:paraId="2E56B50C">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jc w:val="both"/>
        <w:textAlignment w:val="auto"/>
        <w:rPr>
          <w:rFonts w:hint="eastAsia" w:ascii="仿宋" w:hAnsi="仿宋" w:eastAsia="仿宋" w:cs="Times New Roman"/>
          <w:kern w:val="2"/>
          <w:sz w:val="28"/>
          <w:szCs w:val="28"/>
          <w:lang w:val="en-US" w:eastAsia="zh-CN" w:bidi="ar-SA"/>
        </w:rPr>
      </w:pPr>
    </w:p>
    <w:p w14:paraId="07B4AA94">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jc w:val="both"/>
        <w:textAlignment w:val="auto"/>
        <w:rPr>
          <w:rFonts w:hint="eastAsia" w:ascii="仿宋" w:hAnsi="仿宋" w:eastAsia="仿宋" w:cs="Times New Roman"/>
          <w:kern w:val="2"/>
          <w:sz w:val="28"/>
          <w:szCs w:val="28"/>
          <w:lang w:val="en-US" w:eastAsia="zh-CN" w:bidi="ar-SA"/>
        </w:rPr>
      </w:pPr>
    </w:p>
    <w:p w14:paraId="44477083">
      <w:pPr>
        <w:pStyle w:val="10"/>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附件：采购内容清单</w:t>
      </w:r>
    </w:p>
    <w:tbl>
      <w:tblPr>
        <w:tblStyle w:val="8"/>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764"/>
        <w:gridCol w:w="4617"/>
        <w:gridCol w:w="751"/>
        <w:gridCol w:w="762"/>
        <w:gridCol w:w="943"/>
      </w:tblGrid>
      <w:tr w14:paraId="2384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blHead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4E993E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08D8CE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70B68C5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650BDA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57F8E0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506228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说明</w:t>
            </w:r>
          </w:p>
        </w:tc>
      </w:tr>
      <w:tr w14:paraId="59BA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EE2DC17">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6894" w:type="dxa"/>
            <w:gridSpan w:val="4"/>
            <w:tcBorders>
              <w:top w:val="single" w:color="000000" w:sz="4" w:space="0"/>
              <w:left w:val="single" w:color="000000" w:sz="4" w:space="0"/>
              <w:bottom w:val="single" w:color="000000" w:sz="4" w:space="0"/>
              <w:right w:val="single" w:color="000000" w:sz="4" w:space="0"/>
            </w:tcBorders>
            <w:noWrap w:val="0"/>
            <w:vAlign w:val="center"/>
          </w:tcPr>
          <w:p w14:paraId="6726131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硬件设备购置费</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54CAA97">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仿宋" w:hAnsi="仿宋" w:eastAsia="仿宋" w:cs="仿宋"/>
                <w:i w:val="0"/>
                <w:iCs w:val="0"/>
                <w:color w:val="000000"/>
                <w:sz w:val="21"/>
                <w:szCs w:val="21"/>
                <w:u w:val="none"/>
              </w:rPr>
            </w:pPr>
          </w:p>
        </w:tc>
      </w:tr>
      <w:tr w14:paraId="0132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DD6B6AF">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1D6A27D">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lang w:val="en-US"/>
              </w:rPr>
            </w:pPr>
            <w:r>
              <w:rPr>
                <w:rStyle w:val="11"/>
                <w:rFonts w:hint="eastAsia" w:ascii="仿宋" w:hAnsi="仿宋" w:eastAsia="仿宋" w:cs="仿宋"/>
                <w:sz w:val="21"/>
                <w:szCs w:val="21"/>
                <w:lang w:val="en-US" w:eastAsia="zh-CN" w:bidi="ar"/>
              </w:rPr>
              <w:t>室内全彩LED屏</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68BE8DC5">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尺寸：7.2m×4.725m；</w:t>
            </w:r>
          </w:p>
          <w:p w14:paraId="5CE27BCD">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像素结构： SMD 3in1 1212；</w:t>
            </w:r>
          </w:p>
          <w:p w14:paraId="0F8730B4">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像素间距:≤1.5625mm；</w:t>
            </w:r>
          </w:p>
          <w:p w14:paraId="35990F5F">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像素密度(Point/m2)：≥409600；</w:t>
            </w:r>
          </w:p>
          <w:p w14:paraId="0D235DB7">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亮度 (nits) ≥800；</w:t>
            </w:r>
          </w:p>
          <w:p w14:paraId="02B6DA24">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色温（K）： 3000~18000 可调；</w:t>
            </w:r>
          </w:p>
          <w:p w14:paraId="101A34C0">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视角 (horiz，vert)°：horiz≥170°，vert≥165°；</w:t>
            </w:r>
          </w:p>
          <w:p w14:paraId="59A7E6FA">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发光点中心距偏差：≤3%；</w:t>
            </w:r>
          </w:p>
          <w:p w14:paraId="41C14E5E">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亮度均匀性 ≥97%；</w:t>
            </w:r>
          </w:p>
          <w:p w14:paraId="30AEBF0D">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色度均匀性（校正后） ±0.003Cx，Cy 之内；</w:t>
            </w:r>
          </w:p>
          <w:p w14:paraId="24232E22">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对比度≥5000:1；</w:t>
            </w:r>
          </w:p>
          <w:p w14:paraId="3E272522">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功耗(max，avg)/ m2：max550W，avg≤150W；</w:t>
            </w:r>
          </w:p>
          <w:p w14:paraId="348C37CB">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箱体支持X/Y/Z六向调节；</w:t>
            </w:r>
          </w:p>
          <w:p w14:paraId="5CA93572">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产品PCB、单元整体阻燃等级满足V-0等级要求；</w:t>
            </w:r>
          </w:p>
          <w:p w14:paraId="45B6C991">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模组横向最大拉力14Fm（kN），纵向最大拉力16Fm（kN）；</w:t>
            </w:r>
          </w:p>
          <w:p w14:paraId="063E2C16">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箱体抗拉力≥5000N/㎡，箱体抗压力≥5000N/㎡；</w:t>
            </w:r>
          </w:p>
          <w:p w14:paraId="62F5C672">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搭配HDR系统卡，实现高动态范围图像显示屏效果，支持20bit精细灰度，色域域120%覆盖全面达到DCI-P3标准，超万亿色彩表现能力</w:t>
            </w:r>
            <w:r>
              <w:rPr>
                <w:rFonts w:hint="eastAsia" w:ascii="仿宋" w:hAnsi="仿宋" w:eastAsia="仿宋" w:cs="仿宋"/>
                <w:color w:val="auto"/>
                <w:kern w:val="0"/>
                <w:sz w:val="21"/>
                <w:szCs w:val="21"/>
                <w:highlight w:val="none"/>
                <w:lang w:eastAsia="zh-CN" w:bidi="ar"/>
              </w:rPr>
              <w:t>；</w:t>
            </w:r>
          </w:p>
          <w:p w14:paraId="0A27890B">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PCB设计，一体化驱动主板控制设计，拥有自带驱动控制的LED显示单元技术，多层PCB板设计</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具独特的抗消隐、节能设计，无毛毛虫、鬼影跟随现象；</w:t>
            </w:r>
          </w:p>
          <w:p w14:paraId="52ACA784">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光生物安全：符合EN62471:2008标准；</w:t>
            </w:r>
          </w:p>
          <w:p w14:paraId="32131080">
            <w:pPr>
              <w:keepNext w:val="0"/>
              <w:keepLines w:val="0"/>
              <w:pageBreakBefore w:val="0"/>
              <w:widowControl/>
              <w:numPr>
                <w:ilvl w:val="0"/>
                <w:numId w:val="1"/>
              </w:numPr>
              <w:suppressLineNumbers w:val="0"/>
              <w:shd w:val="clear" w:color="auto" w:fill="auto"/>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lang w:bidi="ar"/>
              </w:rPr>
              <w:t>控制方式：网络同步异步控制，点点对应；</w:t>
            </w:r>
          </w:p>
          <w:p w14:paraId="6BA3C789">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安</w:t>
            </w:r>
            <w:r>
              <w:rPr>
                <w:rFonts w:hint="eastAsia" w:ascii="仿宋" w:hAnsi="仿宋" w:eastAsia="仿宋" w:cs="仿宋"/>
                <w:i w:val="0"/>
                <w:iCs w:val="0"/>
                <w:color w:val="auto"/>
                <w:kern w:val="0"/>
                <w:sz w:val="21"/>
                <w:szCs w:val="21"/>
                <w:u w:val="none"/>
                <w:lang w:val="en-US" w:eastAsia="zh-CN" w:bidi="ar"/>
              </w:rPr>
              <w:t>装方式：支持前/后安装；</w:t>
            </w:r>
          </w:p>
          <w:p w14:paraId="3B23A956">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维护方式：前维护；</w:t>
            </w:r>
          </w:p>
          <w:p w14:paraId="1A76E52A">
            <w:pPr>
              <w:keepNext w:val="0"/>
              <w:keepLines w:val="0"/>
              <w:pageBreakBefore w:val="0"/>
              <w:widowControl/>
              <w:numPr>
                <w:ilvl w:val="0"/>
                <w:numId w:val="1"/>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刷新率（Hz）： ≥3840；</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C695E7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平米</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0C1262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80F3BCB">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箱体安装</w:t>
            </w:r>
          </w:p>
        </w:tc>
      </w:tr>
      <w:tr w14:paraId="569A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1E9C3FC">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EEE835D">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备品备件</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70ECFCB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highlight w:val="none"/>
                <w:lang w:val="en-US" w:eastAsia="zh-CN" w:bidi="ar"/>
              </w:rPr>
              <w:t>提供与所投产品同型号同性能的4</w:t>
            </w:r>
            <w:r>
              <w:rPr>
                <w:rStyle w:val="11"/>
                <w:rFonts w:hint="eastAsia" w:ascii="仿宋" w:hAnsi="仿宋" w:eastAsia="仿宋" w:cs="仿宋"/>
                <w:sz w:val="21"/>
                <w:szCs w:val="21"/>
                <w:highlight w:val="none"/>
                <w:lang w:val="en-US" w:eastAsia="zh-CN" w:bidi="ar"/>
              </w:rPr>
              <w:t>张模组，</w:t>
            </w:r>
            <w:r>
              <w:rPr>
                <w:rStyle w:val="12"/>
                <w:rFonts w:hint="eastAsia" w:ascii="仿宋" w:hAnsi="仿宋" w:eastAsia="仿宋" w:cs="仿宋"/>
                <w:sz w:val="21"/>
                <w:szCs w:val="21"/>
                <w:highlight w:val="none"/>
                <w:lang w:val="en-US" w:eastAsia="zh-CN" w:bidi="ar"/>
              </w:rPr>
              <w:t>1</w:t>
            </w:r>
            <w:r>
              <w:rPr>
                <w:rStyle w:val="11"/>
                <w:rFonts w:hint="eastAsia" w:ascii="仿宋" w:hAnsi="仿宋" w:eastAsia="仿宋" w:cs="仿宋"/>
                <w:sz w:val="21"/>
                <w:szCs w:val="21"/>
                <w:highlight w:val="none"/>
                <w:lang w:val="en-US" w:eastAsia="zh-CN" w:bidi="ar"/>
              </w:rPr>
              <w:t>张发送卡 ，</w:t>
            </w:r>
            <w:r>
              <w:rPr>
                <w:rStyle w:val="12"/>
                <w:rFonts w:hint="eastAsia" w:ascii="仿宋" w:hAnsi="仿宋" w:eastAsia="仿宋" w:cs="仿宋"/>
                <w:sz w:val="21"/>
                <w:szCs w:val="21"/>
                <w:highlight w:val="none"/>
                <w:lang w:val="en-US" w:eastAsia="zh-CN" w:bidi="ar"/>
              </w:rPr>
              <w:t>1</w:t>
            </w:r>
            <w:r>
              <w:rPr>
                <w:rStyle w:val="11"/>
                <w:rFonts w:hint="eastAsia" w:ascii="仿宋" w:hAnsi="仿宋" w:eastAsia="仿宋" w:cs="仿宋"/>
                <w:sz w:val="21"/>
                <w:szCs w:val="21"/>
                <w:highlight w:val="none"/>
                <w:lang w:val="en-US" w:eastAsia="zh-CN" w:bidi="ar"/>
              </w:rPr>
              <w:t>台电源</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75B379C">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485CC2D">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E47B556">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屏体备品备件</w:t>
            </w:r>
          </w:p>
        </w:tc>
      </w:tr>
      <w:tr w14:paraId="03D1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278B64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C38D38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控制软件</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2F667A9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支持两种及以上工作模式：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1.本机播放，显示屏进行实时同步显示，应用于同步播放的场景。播放窗口在扩展屏上时，可使用画面监视功能，在主显示器上查看当前播放情况。</w:t>
            </w:r>
          </w:p>
          <w:p w14:paraId="6C0F59E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2.异步播放，软件发送节目给多媒体播放器，多媒体播放器将节目存储到本地，并根据播放计划进行播放，应用于多媒体播放器带载显示屏的场景。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提供专业的节目制作功能，用户根据所制作内容丰富、排期复杂的节目。</w:t>
            </w:r>
          </w:p>
          <w:p w14:paraId="28A1B6F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3.支持每个页面添加多个页面，从上到下依次播放。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添加页面时可直接应用系统模版，也可自定义模版。模版中能灵活设置窗口数量、坐标和宽高。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4.页面中支持添加通用窗口、打折窗口、office文件、图片、视频、GIF、文本、炫彩字、数字时钟、模拟时钟、计时器、天气、RSS、流媒体和网页。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5.每个页面可设置播放时间和周期，当前页面的排期可批量应用于其他页面。</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A0A2C7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CC00B5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5502A62">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46D8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B8CCEA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548EE4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独立主控</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6ECDCAA4">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1、支持1路SL-DVI视频输入，1路HDMI1.3输入</w:t>
            </w:r>
          </w:p>
          <w:p w14:paraId="28452B30">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2、支持AUDIO音频输入</w:t>
            </w:r>
          </w:p>
          <w:p w14:paraId="7DE0832F">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3、支持4路千兆网口输出，单路网口最大带载为65万像素点</w:t>
            </w:r>
          </w:p>
          <w:p w14:paraId="451CB780">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4、支持USB接口控制，支持UART控制接口，可级联多台进行统一控制</w:t>
            </w:r>
          </w:p>
          <w:p w14:paraId="1E4B74C8">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5、单张发送卡支持自定义分辨率，最宽最高为3840</w:t>
            </w:r>
          </w:p>
          <w:p w14:paraId="5F1BE5C1">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6、支持外接光探头，可以检测环境亮度，智能调节屏体亮度</w:t>
            </w:r>
          </w:p>
          <w:p w14:paraId="30312305">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7、支持逐点亮色度校正，对每个灯点的亮度和色度进行校正，有效消除色差，使整屏的亮度和色度达到高度均匀一致，提高显示屏的画质</w:t>
            </w:r>
          </w:p>
          <w:p w14:paraId="3DDF0E09">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8、支持双卡备份以及网线备份，双重保险</w:t>
            </w:r>
          </w:p>
          <w:p w14:paraId="0ECFCECB">
            <w:pPr>
              <w:keepNext w:val="0"/>
              <w:keepLines w:val="0"/>
              <w:pageBreakBefore w:val="0"/>
              <w:widowControl/>
              <w:numPr>
                <w:ilvl w:val="0"/>
                <w:numId w:val="0"/>
              </w:numPr>
              <w:suppressLineNumbers w:val="0"/>
              <w:kinsoku/>
              <w:wordWrap/>
              <w:overflowPunct/>
              <w:topLinePunct w:val="0"/>
              <w:autoSpaceDE/>
              <w:autoSpaceDN/>
              <w:bidi w:val="0"/>
              <w:spacing w:line="240" w:lineRule="auto"/>
              <w:ind w:left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9、支持视频源位深 8bit\10bit\12bit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0D3E652">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91E20D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7D3556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0884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81A5CD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C254B1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视频拼接器</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7E0DC67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1"/>
                <w:rFonts w:hint="eastAsia" w:ascii="仿宋" w:hAnsi="仿宋" w:eastAsia="仿宋" w:cs="仿宋"/>
                <w:sz w:val="21"/>
                <w:szCs w:val="21"/>
                <w:lang w:val="en-US" w:eastAsia="zh-CN" w:bidi="ar"/>
              </w:rPr>
            </w:pPr>
            <w:r>
              <w:rPr>
                <w:rStyle w:val="11"/>
                <w:rFonts w:hint="eastAsia" w:ascii="仿宋" w:hAnsi="仿宋" w:eastAsia="仿宋" w:cs="仿宋"/>
                <w:sz w:val="21"/>
                <w:szCs w:val="21"/>
                <w:lang w:val="en-US" w:eastAsia="zh-CN" w:bidi="ar"/>
              </w:rPr>
              <w:t xml:space="preserve">插卡式结构设计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1.支持单卡槽多容量。4路 2K×1K@60Hz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输入输出在线状态实时监测。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输入输出卡支持热插拔，不影响其他板卡正常工作。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2.多屏幕管理，集中控制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每个屏幕可以自定义与其他屏幕不同的输出分辨率。 </w:t>
            </w:r>
          </w:p>
          <w:p w14:paraId="4E30CDCD">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1"/>
                <w:rFonts w:hint="eastAsia" w:ascii="仿宋" w:hAnsi="仿宋" w:eastAsia="仿宋" w:cs="仿宋"/>
                <w:sz w:val="21"/>
                <w:szCs w:val="21"/>
                <w:lang w:val="en-US" w:eastAsia="zh-CN" w:bidi="ar"/>
              </w:rPr>
              <w:t xml:space="preserve">输出接口同步拼接。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支持单卡单接口配屏和跨卡多接口配屏。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支持混合接口配屏。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支持相同帧频的 HDMI 和 DVI 输出接口配置到同一拼接屏。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支持对显示单元的拼接缝进行边缘补偿。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3.多样化显示，灵活配置。</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多图层显示。 单卡最多支持8个 2K 图层，4个DL 图层或 2个4K 图层。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高清动态滚动字幕。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支持滚动文字显示功能，用户可自定义滚动文字的内容、方向、速度和样式，可进行标语口</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号、通知消息发布。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字幕支持多语言多字体显示。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自定义用户场景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2000 个用户自定义场景，支持场景无缝切换；场景切换响应速度＜60ms。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场景自动定时轮巡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可以选择每个场景是否参与自动轮巡，方便监控、展览展示领域应用。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支持单屏独立设置 OSD。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输入源台标管理。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对输入源设置文字台标，方便图层输入源的识别。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支持输入源截取和截取源重命名。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对输入源画面进行任意截取，形成一个新的输入源，不影响原输入源的使用。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支持输入源 HDCP 自动解码和小数帧频。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输入源分组。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支持对输入源进行分组管理。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Web 控制，操作便捷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采用 Web 端控制，操作实时响应，采用 1000M/100M 自适应网络接口，支持多用户同时访问。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Web 控制界面可实现输入源预监和输出回显。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Web 端固件升级。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多重监测及备份设计，稳定可靠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支持双主控热备份，保证设备不掉线。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支持主控卡热备，遇故障自动切换，保障系统稳定运行，过程用户无感，运行状态实时上报。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支持设备自检。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 xml:space="preserve"> 系统自动监测和告警。 </w:t>
            </w:r>
            <w:r>
              <w:rPr>
                <w:rStyle w:val="11"/>
                <w:rFonts w:hint="eastAsia" w:ascii="仿宋" w:hAnsi="仿宋" w:eastAsia="仿宋" w:cs="仿宋"/>
                <w:sz w:val="21"/>
                <w:szCs w:val="21"/>
                <w:lang w:val="en-US" w:eastAsia="zh-CN" w:bidi="ar"/>
              </w:rPr>
              <w:br w:type="textWrapping"/>
            </w:r>
            <w:r>
              <w:rPr>
                <w:rStyle w:val="11"/>
                <w:rFonts w:hint="eastAsia" w:ascii="仿宋" w:hAnsi="仿宋" w:eastAsia="仿宋" w:cs="仿宋"/>
                <w:sz w:val="21"/>
                <w:szCs w:val="21"/>
                <w:lang w:val="en-US" w:eastAsia="zh-CN" w:bidi="ar"/>
              </w:rPr>
              <w:t>支持硬件监控，异常报警，包括风扇转速、各模块温度及电压、运行状态等设备监测。</w:t>
            </w:r>
            <w:r>
              <w:rPr>
                <w:rFonts w:hint="eastAsia" w:ascii="仿宋" w:hAnsi="仿宋" w:eastAsia="仿宋" w:cs="仿宋"/>
                <w:i w:val="0"/>
                <w:iCs w:val="0"/>
                <w:color w:val="000000"/>
                <w:kern w:val="0"/>
                <w:sz w:val="21"/>
                <w:szCs w:val="21"/>
                <w:u w:val="none"/>
                <w:lang w:val="en-US" w:eastAsia="zh-CN" w:bidi="ar"/>
              </w:rPr>
              <w:t>支持485或232协议。</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96288D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0842E6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990B7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0666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14ADB34">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4FEA412">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智能配电柜</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320D2D8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具备控制设备的供电开启和关闭；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单组回路输出，手动按钮一键开关；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具有电源状态指示、工作状态指示；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具有断路器，延时继电器，交流接触器，支持过流、过载，短路等保护功能；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内部线材均采用国标纯铜导线；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产品设计符合CCC认证标准，符合GB 7251.12-2013；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环境温度：-20°-60°；环境湿度&lt;90％；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海拔高度&lt;1000M，无剧烈震动，垂直倾角不大于5°；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无明显导电灰尘及对金属、绝缘物有害的腐性、易燃、易爆的危险物品。</w:t>
            </w:r>
          </w:p>
          <w:p w14:paraId="7316AEA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支持485或232协议。</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B55E3E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FD8F90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06F6921">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549A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2CFACB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DC8F476">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中央控制主机</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682FBA8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1.支持红外控制、RS-232、RS-422、RS-485、UDP、TCP、telnet、http、MQTT以及SNMP等多种协议，兼容性强，可对接第三方设备。</w:t>
            </w:r>
          </w:p>
          <w:p w14:paraId="4020A7E3">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2.主机具备≥4.3英寸触摸彩屏、≥8路独立可编程串口、≥8路独立可编程IR红外发射口、≥8路数字I/0控制口、≥8路弱电继电器控制接口、≥1个NET网络控制接口、≥1路TF卡接口。</w:t>
            </w:r>
          </w:p>
          <w:p w14:paraId="44AA97C1">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3.支持双机热备份。当中控主机出现故障时，备用中控主机自动承担服务，从而保证系统在不需要人工干预的情况下能正常运行。</w:t>
            </w:r>
          </w:p>
          <w:p w14:paraId="260D6DC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4.支持互联网控制。中控主机在连接互联网的情况下，用户可操作手机或平板等移动端通过互联网实现对中控主机远程控制。</w:t>
            </w:r>
          </w:p>
          <w:p w14:paraId="259164EE">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5.支持扫二维码控制。中控主机在连接互联网的情况下会在云平台自动生成二维码，通过微信或者浏览器扫一扫二维码，即可进入控制界面，实现对中控主机控制。支持密码权限设置。</w:t>
            </w:r>
          </w:p>
          <w:p w14:paraId="38D4451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6.支持视频矩阵可视化控制。用户可通过控制端实时预览、拖动并切换矩阵视频信号，支持设置触碰和投放触发切换方式。</w:t>
            </w:r>
          </w:p>
          <w:p w14:paraId="26AC7589">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7.支持拼接矩阵可视化控制。用户可通过控制端实时预览、放大、缩小、拖动并切换拼接矩阵视频信号，可对输入信号源进行置底、置顶以及一键清屏等操作，支持设置触碰和投放触发切换方式。</w:t>
            </w:r>
          </w:p>
          <w:p w14:paraId="69E293A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8.支持≥2种局域网远程桌面方式，无需连接外部网络或使用第三方软件，支持多用户远程协同控制，便于现场运维。</w:t>
            </w:r>
          </w:p>
          <w:p w14:paraId="68BE1DF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Style w:val="12"/>
                <w:rFonts w:hint="eastAsia" w:ascii="仿宋" w:hAnsi="仿宋" w:eastAsia="仿宋" w:cs="仿宋"/>
                <w:sz w:val="21"/>
                <w:szCs w:val="21"/>
                <w:lang w:val="en-US" w:eastAsia="zh-CN" w:bidi="ar"/>
              </w:rPr>
            </w:pPr>
            <w:r>
              <w:rPr>
                <w:rStyle w:val="12"/>
                <w:rFonts w:hint="eastAsia" w:ascii="仿宋" w:hAnsi="仿宋" w:eastAsia="仿宋" w:cs="仿宋"/>
                <w:sz w:val="21"/>
                <w:szCs w:val="21"/>
                <w:lang w:val="en-US" w:eastAsia="zh-CN" w:bidi="ar"/>
              </w:rPr>
              <w:t>9.对接云会务系统。用户通过手机APP或WEB端预约会议室时，可设置情景类型以及开始/结束时间。会议开始前，系统会自动调用场景，场景内所有设备联动启动或切换；会议结束后设备自动关闭。</w:t>
            </w:r>
          </w:p>
          <w:p w14:paraId="43194B7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10.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AFE3817">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B4771A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02CA3E6">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0317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9EA5CFD">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F96BA71">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控制平板</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67086A1B">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分辨率:</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2880×1920;</w:t>
            </w:r>
          </w:p>
          <w:p w14:paraId="12C19103">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内存:</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12GB;</w:t>
            </w:r>
          </w:p>
          <w:p w14:paraId="1E884A5B">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存储容量:</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512GB;</w:t>
            </w:r>
          </w:p>
          <w:p w14:paraId="34E91C9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屏幕尺寸：</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13.2英寸；</w:t>
            </w:r>
          </w:p>
          <w:p w14:paraId="2B83FD0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厚度：≤6.85mm；</w:t>
            </w:r>
          </w:p>
          <w:p w14:paraId="4E7E3E0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电池容量：</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10100mAh；</w:t>
            </w:r>
          </w:p>
          <w:p w14:paraId="3E6423ED">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蓝牙：5.2及以上；</w:t>
            </w:r>
          </w:p>
          <w:p w14:paraId="547EC8C8">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前置摄像：</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1600万；</w:t>
            </w:r>
          </w:p>
          <w:p w14:paraId="71721488">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后置摄像：</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5000万。</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D719FD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684E816">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99019E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389F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962D787">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8D319C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0F82800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rPr>
              <w:t>交换容量</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sz w:val="21"/>
                <w:szCs w:val="21"/>
                <w:u w:val="none"/>
              </w:rPr>
              <w:t>758Gbps/7.58Tbps，包转发率</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sz w:val="21"/>
                <w:szCs w:val="21"/>
                <w:u w:val="none"/>
              </w:rPr>
              <w:t>148Mpps/222Mpps，</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sz w:val="21"/>
                <w:szCs w:val="21"/>
                <w:u w:val="none"/>
              </w:rPr>
              <w:t>48个10/100/1000Mbps自适应电口交换机，固化</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sz w:val="21"/>
                <w:szCs w:val="21"/>
                <w:u w:val="none"/>
              </w:rPr>
              <w:t>4个SFP+万兆光口，支持静态路由、三层聚合口、ACL、端口镜像等功能</w:t>
            </w:r>
            <w:r>
              <w:rPr>
                <w:rFonts w:hint="eastAsia" w:ascii="仿宋" w:hAnsi="仿宋" w:eastAsia="仿宋" w:cs="仿宋"/>
                <w:i w:val="0"/>
                <w:iCs w:val="0"/>
                <w:color w:val="000000"/>
                <w:sz w:val="21"/>
                <w:szCs w:val="21"/>
                <w:u w:val="none"/>
                <w:lang w:eastAsia="zh-CN"/>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E7444E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CE67852">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029EE1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21DC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8EE15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05E44A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3CC111CD">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网络接口：</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 个千兆 WAN 口，</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 个千兆 WAN/LAN 切换网口，</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3 个千兆 LAN 口。</w:t>
            </w:r>
          </w:p>
          <w:p w14:paraId="6FC64DF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无线速率：2.4GHz 频段最高速率 </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574Mbps，5GHz 频段最高速率 </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2402Mbps，双频无线速率达</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 3000M。</w:t>
            </w:r>
          </w:p>
          <w:p w14:paraId="21774F1B">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天线：</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5 根外置全向天线。</w:t>
            </w:r>
          </w:p>
          <w:p w14:paraId="4930E888">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推荐带机量：推荐无线接入带机量</w:t>
            </w:r>
            <w:r>
              <w:rPr>
                <w:rStyle w:val="12"/>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 xml:space="preserve"> 60 台终端。</w:t>
            </w:r>
          </w:p>
          <w:p w14:paraId="0A7813E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电源规格：DC12V 1.0A，最大功率＜12W。</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47941B8">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F2B370A">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6ABCC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p>
        </w:tc>
      </w:tr>
      <w:tr w14:paraId="1D70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C21E3C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22F5C5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多媒体功放机</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036448AE">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1.音源具备光纤，同轴，USB，蓝牙，路线，麦克风等多路输入；</w:t>
            </w:r>
          </w:p>
          <w:p w14:paraId="5F6C4446">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2.内置DSP音效处理，具备延时、混响、混音、防啸叫（7级移频）、变调（10级），人声激励，消原唱等功能。</w:t>
            </w:r>
          </w:p>
          <w:p w14:paraId="75972366">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3.控制可以通过红外遥控、编码开关、按键实现其功能；</w:t>
            </w:r>
          </w:p>
          <w:p w14:paraId="75B8D506">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4.面板LCD显示屏,实现直观显示各种功能及工作状态；</w:t>
            </w:r>
          </w:p>
          <w:p w14:paraId="701C9703">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5.提供≥3路RCA线路输入，≥3路平衡麦带幻象电源输入；</w:t>
            </w:r>
          </w:p>
          <w:p w14:paraId="7C6F7C0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6.采用DSP处理器，预置多种场景模式；</w:t>
            </w:r>
          </w:p>
          <w:p w14:paraId="29A8F3E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7.每路话筒音量独立可调，效果可调，音乐音量独立可调，高中低音调节；</w:t>
            </w:r>
          </w:p>
          <w:p w14:paraId="7E09600C">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8.具备≥1路RS485接口，支持RS485通讯中控集成控制；</w:t>
            </w:r>
            <w:r>
              <w:rPr>
                <w:rFonts w:hint="eastAsia" w:ascii="仿宋" w:hAnsi="仿宋" w:eastAsia="仿宋" w:cs="仿宋"/>
                <w:b w:val="0"/>
                <w:bCs w:val="0"/>
                <w:i w:val="0"/>
                <w:iCs w:val="0"/>
                <w:color w:val="000000"/>
                <w:kern w:val="0"/>
                <w:sz w:val="21"/>
                <w:szCs w:val="21"/>
                <w:u w:val="none"/>
                <w:lang w:val="en-US" w:eastAsia="zh-CN" w:bidi="ar"/>
              </w:rPr>
              <w:t>（提供设备接口图佐证）</w:t>
            </w:r>
          </w:p>
          <w:p w14:paraId="04589F7B">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9.支持USB播放，支持MP3、WAV、APE、FLAC等主流音乐格式。</w:t>
            </w:r>
          </w:p>
          <w:p w14:paraId="3829430C">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10.具有开关机软启动保护功能，具有功放有压限、短路、过载、过热保护。</w:t>
            </w:r>
          </w:p>
          <w:p w14:paraId="475E3A49">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11.面板：铝合金材质；</w:t>
            </w:r>
          </w:p>
          <w:p w14:paraId="4A0E6F6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12.内置≥48V幻象开关控制功能。</w:t>
            </w:r>
          </w:p>
          <w:p w14:paraId="60DFB7E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13.支持蓝牙功能，可以手机，电脑等设备连接；</w:t>
            </w:r>
          </w:p>
          <w:p w14:paraId="2FBA34F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14.每个话筒输入有增益调节功能，话筒能最佳匹配功放输入状态。</w:t>
            </w:r>
          </w:p>
          <w:p w14:paraId="6D161F7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15.额定输出功率：≥2x500W@4R；≥2x350W@8R</w:t>
            </w:r>
          </w:p>
          <w:p w14:paraId="3805D7D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提供功放软件测试报告（全套）资料，提供证书官网截图和有效复印件，软件名称要求是“功放线路自动检测嵌入式集成控制软件”或相近的软件。</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14B05E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96769D2">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341D7A">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rPr>
            </w:pPr>
          </w:p>
        </w:tc>
      </w:tr>
      <w:tr w14:paraId="2E89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C0C6219">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75BA43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外放音响</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77683C5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1.采用≥6只3寸全频喇叭单元。</w:t>
            </w:r>
          </w:p>
          <w:p w14:paraId="36426D1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2.箱体采用≥12mm高密度板，CNC加工，耐磨喷漆处理。</w:t>
            </w:r>
          </w:p>
          <w:p w14:paraId="7DD3731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3.拼接排列扬声器设计。</w:t>
            </w:r>
          </w:p>
          <w:p w14:paraId="042511B9">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4.额定功率≥200W；峰值功率≥800W</w:t>
            </w:r>
          </w:p>
          <w:p w14:paraId="6E3E6A4C">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5.灵敏度≥95dB(1M/1W)</w:t>
            </w:r>
          </w:p>
          <w:p w14:paraId="5366607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6.最大声压级（额定/峰值）≥118dB/124dB</w:t>
            </w:r>
          </w:p>
          <w:p w14:paraId="654DE07D">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7.标称阻抗≤6Ω</w:t>
            </w:r>
          </w:p>
          <w:p w14:paraId="52B6494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8.频率范围等同或优于80Hz-20kHz</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190A5A4">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2DA9E63">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54D9F3">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rPr>
            </w:pPr>
          </w:p>
        </w:tc>
      </w:tr>
      <w:tr w14:paraId="3B9A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93EC50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C14820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麦克风</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52ADF86A">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1.基于数字U段的传输技术，pi/4-DQPSK调制方式，采用国产主控芯片，传输距离≥80米，接收机具有≥2路平衡输出、≥1路非平衡混音输出；具有混响、均衡、智能静音、音频加密、功率调节功能。</w:t>
            </w:r>
          </w:p>
          <w:p w14:paraId="2E98008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2.具有≥1台接收主机、≥2只手持发射机；频率范围等同或优于470MHz-510MHz、540MHz-590MHz、640MHz-690MHz、807MHz-830MHz四个频段使用。</w:t>
            </w:r>
          </w:p>
          <w:p w14:paraId="0A235FC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p>
          <w:p w14:paraId="2FE0AEF3">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4.具有自动静音功能，麦克风跌落、抛掷时，毫秒级自动静音，避免冲击声；实时监测设备姿态，静置≥5秒静音，≥8分钟关机，无需手动干预。</w:t>
            </w:r>
          </w:p>
          <w:p w14:paraId="2DCF54C2">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5.具有多档位混响调节功能，混响效果≥15625个，效果占比、回响延时、混响幅度调节，三种音效各具有≥25档调节方式。</w:t>
            </w:r>
          </w:p>
          <w:p w14:paraId="4B5D188D">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6.具有多频段均衡调节功能，均衡调节≥2197种，麦克风均衡器调节功能，具有高、中、低音三种调节档位，每种效果支持≥13档调节。</w:t>
            </w:r>
          </w:p>
          <w:p w14:paraId="3E1C997F">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7.具有长时间续航，发射机使用时长≥10小时。</w:t>
            </w:r>
          </w:p>
          <w:p w14:paraId="400FE0D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8.具有ID码防串扰功能，采用32位唯一ID码，用于接收和发射配对，收发ID码必须相同才能对码，能够有效防止相同频率的信号相互串台。</w:t>
            </w:r>
          </w:p>
          <w:p w14:paraId="46B8EB1B">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9.接收机具有≥2个2.2英寸的TFT-LCD显示屏；发射机具有≥0.96英寸OLED显示屏，能够显示频率信息、音频加密状态、功率挡位、静音状态、电量格数信息。</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28B157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A9802A1">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9A06D97">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rPr>
            </w:pPr>
          </w:p>
        </w:tc>
      </w:tr>
      <w:tr w14:paraId="17A9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46CF6CB">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C3DA42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HDMI</w:t>
            </w:r>
            <w:r>
              <w:rPr>
                <w:rStyle w:val="11"/>
                <w:rFonts w:hint="eastAsia" w:ascii="仿宋" w:hAnsi="仿宋" w:eastAsia="仿宋" w:cs="仿宋"/>
                <w:sz w:val="21"/>
                <w:szCs w:val="21"/>
                <w:lang w:val="en-US" w:eastAsia="zh-CN" w:bidi="ar"/>
              </w:rPr>
              <w:t>高清线缆</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126DEC18">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HDMI</w:t>
            </w:r>
            <w:r>
              <w:rPr>
                <w:rStyle w:val="11"/>
                <w:rFonts w:hint="eastAsia" w:ascii="仿宋" w:hAnsi="仿宋" w:eastAsia="仿宋" w:cs="仿宋"/>
                <w:sz w:val="21"/>
                <w:szCs w:val="21"/>
                <w:lang w:val="en-US" w:eastAsia="zh-CN" w:bidi="ar"/>
              </w:rPr>
              <w:t>高清线缆</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1813FF8">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4014C4F">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2F183E">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30米</w:t>
            </w:r>
          </w:p>
        </w:tc>
      </w:tr>
      <w:tr w14:paraId="5654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E77DEF8">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C5C1D39">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380V</w:t>
            </w:r>
            <w:r>
              <w:rPr>
                <w:rStyle w:val="11"/>
                <w:rFonts w:hint="eastAsia" w:ascii="仿宋" w:hAnsi="仿宋" w:eastAsia="仿宋" w:cs="仿宋"/>
                <w:sz w:val="21"/>
                <w:szCs w:val="21"/>
                <w:lang w:val="en-US" w:eastAsia="zh-CN" w:bidi="ar"/>
              </w:rPr>
              <w:t>主电缆</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1E0E0087">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380V</w:t>
            </w:r>
            <w:r>
              <w:rPr>
                <w:rStyle w:val="11"/>
                <w:rFonts w:hint="eastAsia" w:ascii="仿宋" w:hAnsi="仿宋" w:eastAsia="仿宋" w:cs="仿宋"/>
                <w:sz w:val="21"/>
                <w:szCs w:val="21"/>
                <w:lang w:val="en-US" w:eastAsia="zh-CN" w:bidi="ar"/>
              </w:rPr>
              <w:t>主电缆</w:t>
            </w:r>
            <w:r>
              <w:rPr>
                <w:rStyle w:val="12"/>
                <w:rFonts w:hint="eastAsia" w:ascii="仿宋" w:hAnsi="仿宋" w:eastAsia="仿宋" w:cs="仿宋"/>
                <w:sz w:val="21"/>
                <w:szCs w:val="21"/>
                <w:lang w:val="en-US" w:eastAsia="zh-CN" w:bidi="ar"/>
              </w:rPr>
              <w:t>YJV5*16mm²</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C045494">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29D2428">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1BBB9F9">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rPr>
            </w:pPr>
          </w:p>
        </w:tc>
      </w:tr>
      <w:tr w14:paraId="0923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7157973">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9D73585">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220V</w:t>
            </w:r>
            <w:r>
              <w:rPr>
                <w:rStyle w:val="11"/>
                <w:rFonts w:hint="eastAsia" w:ascii="仿宋" w:hAnsi="仿宋" w:eastAsia="仿宋" w:cs="仿宋"/>
                <w:sz w:val="21"/>
                <w:szCs w:val="21"/>
                <w:lang w:val="en-US" w:eastAsia="zh-CN" w:bidi="ar"/>
              </w:rPr>
              <w:t>主电缆</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4B014609">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220V</w:t>
            </w:r>
            <w:r>
              <w:rPr>
                <w:rStyle w:val="11"/>
                <w:rFonts w:hint="eastAsia" w:ascii="仿宋" w:hAnsi="仿宋" w:eastAsia="仿宋" w:cs="仿宋"/>
                <w:sz w:val="21"/>
                <w:szCs w:val="21"/>
                <w:lang w:val="en-US" w:eastAsia="zh-CN" w:bidi="ar"/>
              </w:rPr>
              <w:t>主电缆</w:t>
            </w:r>
            <w:r>
              <w:rPr>
                <w:rStyle w:val="12"/>
                <w:rFonts w:hint="eastAsia" w:ascii="仿宋" w:hAnsi="仿宋" w:eastAsia="仿宋" w:cs="仿宋"/>
                <w:sz w:val="21"/>
                <w:szCs w:val="21"/>
                <w:lang w:val="en-US" w:eastAsia="zh-CN" w:bidi="ar"/>
              </w:rPr>
              <w:t>RVV3*2.5mm²</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D8EC4AD">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F532608">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EBA07A">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rPr>
            </w:pPr>
          </w:p>
        </w:tc>
      </w:tr>
      <w:tr w14:paraId="4244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21053A0">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37B47E3">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控制信号线</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4D52F553">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Style w:val="12"/>
                <w:rFonts w:hint="eastAsia" w:ascii="仿宋" w:hAnsi="仿宋" w:eastAsia="仿宋" w:cs="仿宋"/>
                <w:sz w:val="21"/>
                <w:szCs w:val="21"/>
                <w:lang w:val="en-US" w:eastAsia="zh-CN" w:bidi="ar"/>
              </w:rPr>
              <w:t>CAT-6</w:t>
            </w:r>
            <w:r>
              <w:rPr>
                <w:rStyle w:val="11"/>
                <w:rFonts w:hint="eastAsia" w:ascii="仿宋" w:hAnsi="仿宋" w:eastAsia="仿宋" w:cs="仿宋"/>
                <w:sz w:val="21"/>
                <w:szCs w:val="21"/>
                <w:lang w:val="en-US" w:eastAsia="zh-CN" w:bidi="ar"/>
              </w:rPr>
              <w:t>控制信号线</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34DC294">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02FA786">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454685B">
            <w:pPr>
              <w:keepNext w:val="0"/>
              <w:keepLines w:val="0"/>
              <w:pageBreakBefore w:val="0"/>
              <w:widowControl/>
              <w:kinsoku/>
              <w:wordWrap/>
              <w:overflowPunct/>
              <w:topLinePunct w:val="0"/>
              <w:autoSpaceDE/>
              <w:autoSpaceDN/>
              <w:bidi w:val="0"/>
              <w:spacing w:line="240" w:lineRule="auto"/>
              <w:ind w:firstLine="0" w:firstLineChars="0"/>
              <w:jc w:val="both"/>
              <w:rPr>
                <w:rFonts w:hint="eastAsia" w:ascii="仿宋" w:hAnsi="仿宋" w:eastAsia="仿宋" w:cs="仿宋"/>
                <w:i w:val="0"/>
                <w:iCs w:val="0"/>
                <w:color w:val="000000"/>
                <w:sz w:val="21"/>
                <w:szCs w:val="21"/>
                <w:u w:val="none"/>
              </w:rPr>
            </w:pPr>
          </w:p>
        </w:tc>
      </w:tr>
      <w:tr w14:paraId="05BA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4FDA74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DAE919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钢结构及制作</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008AE880">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钢材材质：主承重构件用Q355B，次要构件选用 Q235B</w:t>
            </w:r>
          </w:p>
          <w:p w14:paraId="4FA79E94">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钢材规格：龙骨：H 型钢 H150×75×5×7 或方管 100×100×6- 次龙骨：方管 80×60×4 或 C 型钢 C100×50×20×3  主龙骨间距≤1200mm（单根主龙骨承重≤500kg） 次龙骨间距：次龙骨间距 安装面平整度 整体平面误差≤3mm/2m，局部误差≤1mm/m</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AADCE42">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平米</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6C35497">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9040875">
            <w:pPr>
              <w:keepNext w:val="0"/>
              <w:keepLines w:val="0"/>
              <w:pageBreakBefore w:val="0"/>
              <w:widowControl/>
              <w:kinsoku/>
              <w:wordWrap/>
              <w:overflowPunct/>
              <w:topLinePunct w:val="0"/>
              <w:autoSpaceDE/>
              <w:autoSpaceDN/>
              <w:bidi w:val="0"/>
              <w:spacing w:line="240" w:lineRule="auto"/>
              <w:ind w:firstLine="0" w:firstLineChars="0"/>
              <w:rPr>
                <w:rFonts w:hint="eastAsia" w:ascii="仿宋" w:hAnsi="仿宋" w:eastAsia="仿宋" w:cs="仿宋"/>
                <w:i w:val="0"/>
                <w:iCs w:val="0"/>
                <w:color w:val="000000"/>
                <w:sz w:val="21"/>
                <w:szCs w:val="21"/>
                <w:u w:val="none"/>
              </w:rPr>
            </w:pPr>
          </w:p>
        </w:tc>
      </w:tr>
      <w:tr w14:paraId="5A79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66F7DD5">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4793C8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安装调试</w:t>
            </w:r>
          </w:p>
        </w:tc>
        <w:tc>
          <w:tcPr>
            <w:tcW w:w="4617" w:type="dxa"/>
            <w:tcBorders>
              <w:top w:val="single" w:color="000000" w:sz="4" w:space="0"/>
              <w:left w:val="single" w:color="000000" w:sz="4" w:space="0"/>
              <w:bottom w:val="single" w:color="000000" w:sz="4" w:space="0"/>
              <w:right w:val="single" w:color="000000" w:sz="4" w:space="0"/>
            </w:tcBorders>
            <w:noWrap w:val="0"/>
            <w:vAlign w:val="center"/>
          </w:tcPr>
          <w:p w14:paraId="4689C778">
            <w:pPr>
              <w:keepNext w:val="0"/>
              <w:keepLines w:val="0"/>
              <w:pageBreakBefore w:val="0"/>
              <w:widowControl/>
              <w:numPr>
                <w:ilvl w:val="0"/>
                <w:numId w:val="2"/>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旧屏拆除、运输，三年免费库房保存。对原LED屏及相关配套设备进行拆除、清点、整理，并对所有旧设备进行安全运输、3年免费库房保管；</w:t>
            </w:r>
          </w:p>
          <w:p w14:paraId="2B790654">
            <w:pPr>
              <w:keepNext w:val="0"/>
              <w:keepLines w:val="0"/>
              <w:pageBreakBefore w:val="0"/>
              <w:widowControl/>
              <w:numPr>
                <w:ilvl w:val="0"/>
                <w:numId w:val="2"/>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电路改造。对现有电路进行升级改造，满足新大屏系统供电要求；</w:t>
            </w:r>
          </w:p>
          <w:p w14:paraId="6AEC12B3">
            <w:pPr>
              <w:keepNext w:val="0"/>
              <w:keepLines w:val="0"/>
              <w:pageBreakBefore w:val="0"/>
              <w:widowControl/>
              <w:numPr>
                <w:ilvl w:val="0"/>
                <w:numId w:val="2"/>
              </w:numPr>
              <w:suppressLineNumbers w:val="0"/>
              <w:kinsoku/>
              <w:wordWrap/>
              <w:overflowPunct/>
              <w:topLinePunct w:val="0"/>
              <w:autoSpaceDE/>
              <w:autoSpaceDN/>
              <w:bidi w:val="0"/>
              <w:spacing w:line="24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新LED大屏系统各设备安装、调试，达到正常使用标准。</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C40B843">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平米</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B3311FE">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8F328E">
            <w:pPr>
              <w:keepNext w:val="0"/>
              <w:keepLines w:val="0"/>
              <w:pageBreakBefore w:val="0"/>
              <w:widowControl/>
              <w:kinsoku/>
              <w:wordWrap/>
              <w:overflowPunct/>
              <w:topLinePunct w:val="0"/>
              <w:autoSpaceDE/>
              <w:autoSpaceDN/>
              <w:bidi w:val="0"/>
              <w:spacing w:line="240" w:lineRule="auto"/>
              <w:ind w:firstLine="0" w:firstLineChars="0"/>
              <w:rPr>
                <w:rFonts w:hint="eastAsia" w:ascii="仿宋" w:hAnsi="仿宋" w:eastAsia="仿宋" w:cs="仿宋"/>
                <w:i w:val="0"/>
                <w:iCs w:val="0"/>
                <w:color w:val="000000"/>
                <w:sz w:val="21"/>
                <w:szCs w:val="21"/>
                <w:u w:val="none"/>
              </w:rPr>
            </w:pPr>
          </w:p>
        </w:tc>
      </w:tr>
    </w:tbl>
    <w:p w14:paraId="76482CA8">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jc w:val="both"/>
        <w:textAlignment w:val="auto"/>
        <w:rPr>
          <w:rFonts w:hint="eastAsia" w:ascii="仿宋" w:hAnsi="仿宋" w:eastAsia="仿宋" w:cs="Times New Roman"/>
          <w:kern w:val="2"/>
          <w:sz w:val="28"/>
          <w:szCs w:val="28"/>
          <w:lang w:val="en-US" w:eastAsia="zh-CN" w:bidi="ar-SA"/>
        </w:rPr>
      </w:pPr>
    </w:p>
    <w:p w14:paraId="33F9EDA4">
      <w:pPr>
        <w:rPr>
          <w:rFonts w:hint="eastAsia" w:eastAsiaTheme="minorEastAsia"/>
          <w:lang w:eastAsia="zh-CN"/>
        </w:rPr>
      </w:pPr>
      <w:bookmarkStart w:id="7" w:name="_GoBack"/>
      <w:bookmarkEnd w:id="7"/>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0F4DB"/>
    <w:multiLevelType w:val="singleLevel"/>
    <w:tmpl w:val="E430F4DB"/>
    <w:lvl w:ilvl="0" w:tentative="0">
      <w:start w:val="1"/>
      <w:numFmt w:val="decimal"/>
      <w:lvlText w:val="%1."/>
      <w:lvlJc w:val="left"/>
      <w:pPr>
        <w:tabs>
          <w:tab w:val="left" w:pos="312"/>
        </w:tabs>
      </w:pPr>
    </w:lvl>
  </w:abstractNum>
  <w:abstractNum w:abstractNumId="1">
    <w:nsid w:val="3AD158C7"/>
    <w:multiLevelType w:val="singleLevel"/>
    <w:tmpl w:val="3AD158C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A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
    <w:pPr>
      <w:keepNext/>
      <w:keepLines/>
      <w:spacing w:line="240" w:lineRule="auto"/>
      <w:outlineLvl w:val="1"/>
    </w:pPr>
    <w:rPr>
      <w:rFonts w:ascii="Calibri" w:hAnsi="Calibri" w:cs="Times New Roman"/>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style>
  <w:style w:type="paragraph" w:styleId="4">
    <w:name w:val="Body Text"/>
    <w:basedOn w:val="1"/>
    <w:next w:val="5"/>
    <w:qFormat/>
    <w:uiPriority w:val="0"/>
    <w:pPr>
      <w:spacing w:afterLines="50" w:line="360" w:lineRule="auto"/>
    </w:pPr>
    <w:rPr>
      <w:rFonts w:ascii="宋体" w:hAnsi="宋体"/>
      <w:color w:val="000000"/>
      <w:sz w:val="24"/>
    </w:rPr>
  </w:style>
  <w:style w:type="paragraph" w:customStyle="1" w:styleId="5">
    <w:name w:val="RFI Heading 2nd Level Char"/>
    <w:next w:val="6"/>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6">
    <w:name w:val="Normal 0.51"/>
    <w:next w:val="1"/>
    <w:qFormat/>
    <w:uiPriority w:val="0"/>
    <w:pPr>
      <w:spacing w:before="180" w:after="120"/>
      <w:ind w:left="720"/>
      <w:jc w:val="both"/>
    </w:pPr>
    <w:rPr>
      <w:rFonts w:ascii="Calibri" w:hAnsi="Calibri" w:eastAsia="宋体" w:cs="Times New Roman"/>
      <w:kern w:val="2"/>
      <w:sz w:val="24"/>
      <w:lang w:val="en-US" w:eastAsia="zh-CN" w:bidi="ar-SA"/>
    </w:rPr>
  </w:style>
  <w:style w:type="paragraph" w:styleId="7">
    <w:name w:val="Body Text First Indent"/>
    <w:basedOn w:val="4"/>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10">
    <w:name w:val="正文（缩进 2 字符）"/>
    <w:basedOn w:val="1"/>
    <w:qFormat/>
    <w:uiPriority w:val="0"/>
    <w:pPr>
      <w:ind w:firstLine="200" w:firstLineChars="200"/>
    </w:pPr>
  </w:style>
  <w:style w:type="character" w:customStyle="1" w:styleId="11">
    <w:name w:val="font31"/>
    <w:basedOn w:val="9"/>
    <w:qFormat/>
    <w:uiPriority w:val="0"/>
    <w:rPr>
      <w:rFonts w:hint="eastAsia" w:ascii="黑体" w:hAnsi="宋体" w:eastAsia="黑体" w:cs="黑体"/>
      <w:color w:val="000000"/>
      <w:sz w:val="20"/>
      <w:szCs w:val="20"/>
      <w:u w:val="none"/>
    </w:rPr>
  </w:style>
  <w:style w:type="character" w:customStyle="1" w:styleId="12">
    <w:name w:val="font21"/>
    <w:basedOn w:val="9"/>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2025-09-22T08:40:05Z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782609999CBA4F698244CB7B7CCD8635_12</vt:lpwstr>
  </property>
</Properties>
</file>