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600" w:lineRule="exact"/>
        <w:jc w:val="center"/>
      </w:pPr>
      <w:r>
        <w:rPr>
          <w:rFonts w:hint="eastAsia"/>
        </w:rPr>
        <w:t>关于</w:t>
      </w:r>
      <w:r>
        <w:rPr>
          <w:rFonts w:hint="eastAsia"/>
          <w:lang w:eastAsia="zh-CN"/>
        </w:rPr>
        <w:t>西安市奉正塬殡仪馆业务车辆用汽油项目的成交结果公告</w:t>
      </w:r>
    </w:p>
    <w:p>
      <w:pPr>
        <w:widowControl w:val="0"/>
        <w:adjustRightInd/>
        <w:snapToGrid/>
        <w:spacing w:after="0" w:line="560" w:lineRule="exact"/>
        <w:jc w:val="both"/>
        <w:rPr>
          <w:rFonts w:ascii="黑体" w:hAnsi="黑体" w:eastAsia="黑体" w:cs="Times New Roman"/>
          <w:kern w:val="2"/>
          <w:sz w:val="28"/>
          <w:szCs w:val="28"/>
        </w:rPr>
      </w:pPr>
    </w:p>
    <w:p>
      <w:pPr>
        <w:widowControl w:val="0"/>
        <w:adjustRightInd/>
        <w:snapToGrid/>
        <w:spacing w:after="0" w:line="560" w:lineRule="exact"/>
        <w:jc w:val="both"/>
        <w:rPr>
          <w:rFonts w:hint="eastAsia" w:ascii="黑体" w:hAnsi="黑体" w:eastAsia="黑体" w:cs="Times New Roman"/>
          <w:kern w:val="2"/>
          <w:sz w:val="28"/>
          <w:szCs w:val="28"/>
          <w:lang w:eastAsia="zh-CN"/>
        </w:rPr>
      </w:pPr>
      <w:r>
        <w:rPr>
          <w:rFonts w:hint="eastAsia" w:ascii="黑体" w:hAnsi="黑体" w:eastAsia="黑体" w:cs="Times New Roman"/>
          <w:kern w:val="2"/>
          <w:sz w:val="28"/>
          <w:szCs w:val="28"/>
        </w:rPr>
        <w:t>一、项目编号：</w:t>
      </w:r>
      <w:r>
        <w:rPr>
          <w:rFonts w:hint="eastAsia" w:ascii="仿宋" w:hAnsi="仿宋" w:eastAsia="仿宋" w:cs="Times New Roman"/>
          <w:kern w:val="2"/>
          <w:sz w:val="28"/>
          <w:szCs w:val="28"/>
          <w:lang w:eastAsia="zh-CN"/>
        </w:rPr>
        <w:t>XCZX2025-0108-</w:t>
      </w:r>
      <w:r>
        <w:rPr>
          <w:rFonts w:hint="eastAsia" w:ascii="仿宋" w:hAnsi="仿宋" w:eastAsia="仿宋" w:cs="Times New Roman"/>
          <w:kern w:val="2"/>
          <w:sz w:val="28"/>
          <w:szCs w:val="28"/>
          <w:lang w:val="en-US" w:eastAsia="zh-CN"/>
        </w:rPr>
        <w:t>3</w:t>
      </w:r>
    </w:p>
    <w:p>
      <w:pPr>
        <w:widowControl w:val="0"/>
        <w:adjustRightInd/>
        <w:snapToGrid/>
        <w:spacing w:after="0" w:line="560" w:lineRule="exact"/>
        <w:ind w:left="585" w:leftChars="266"/>
        <w:jc w:val="both"/>
        <w:rPr>
          <w:rFonts w:hint="eastAsia" w:ascii="黑体" w:hAnsi="黑体" w:eastAsia="黑体" w:cs="黑体"/>
          <w:kern w:val="2"/>
          <w:sz w:val="28"/>
          <w:szCs w:val="28"/>
          <w:lang w:eastAsia="zh-CN"/>
        </w:rPr>
      </w:pPr>
      <w:r>
        <w:rPr>
          <w:rFonts w:hint="eastAsia" w:ascii="黑体" w:hAnsi="黑体" w:eastAsia="黑体" w:cs="Times New Roman"/>
          <w:kern w:val="2"/>
          <w:sz w:val="28"/>
          <w:szCs w:val="28"/>
          <w:lang w:eastAsia="zh-CN"/>
        </w:rPr>
        <w:t>备案编号：</w:t>
      </w:r>
      <w:r>
        <w:rPr>
          <w:rFonts w:hint="eastAsia" w:ascii="仿宋" w:hAnsi="仿宋" w:eastAsia="仿宋" w:cs="Times New Roman"/>
          <w:kern w:val="2"/>
          <w:sz w:val="28"/>
          <w:szCs w:val="28"/>
          <w:lang w:eastAsia="zh-CN"/>
        </w:rPr>
        <w:t>ZCBN-西安市-2025-03365</w:t>
      </w:r>
    </w:p>
    <w:p>
      <w:pPr>
        <w:widowControl w:val="0"/>
        <w:adjustRightInd/>
        <w:snapToGrid/>
        <w:spacing w:after="0" w:line="560" w:lineRule="exact"/>
        <w:ind w:left="560" w:hanging="560" w:hangingChars="200"/>
        <w:jc w:val="both"/>
        <w:rPr>
          <w:rFonts w:hint="eastAsia" w:ascii="仿宋" w:hAnsi="仿宋" w:eastAsia="黑体" w:cs="Times New Roman"/>
          <w:kern w:val="2"/>
          <w:sz w:val="28"/>
          <w:szCs w:val="28"/>
          <w:lang w:eastAsia="zh-CN"/>
        </w:rPr>
      </w:pPr>
      <w:r>
        <w:rPr>
          <w:rFonts w:hint="eastAsia" w:ascii="黑体" w:hAnsi="黑体" w:eastAsia="黑体" w:cs="Times New Roman"/>
          <w:kern w:val="2"/>
          <w:sz w:val="28"/>
          <w:szCs w:val="28"/>
        </w:rPr>
        <w:t>二</w:t>
      </w:r>
      <w:r>
        <w:rPr>
          <w:rFonts w:ascii="黑体" w:hAnsi="黑体" w:eastAsia="黑体" w:cs="Times New Roman"/>
          <w:kern w:val="2"/>
          <w:sz w:val="28"/>
          <w:szCs w:val="28"/>
        </w:rPr>
        <w:t>、</w:t>
      </w:r>
      <w:r>
        <w:rPr>
          <w:rFonts w:hint="eastAsia" w:ascii="黑体" w:hAnsi="黑体" w:eastAsia="黑体" w:cs="Times New Roman"/>
          <w:kern w:val="2"/>
          <w:sz w:val="28"/>
          <w:szCs w:val="28"/>
        </w:rPr>
        <w:t>项目名称：</w:t>
      </w:r>
      <w:r>
        <w:rPr>
          <w:rFonts w:hint="eastAsia" w:ascii="仿宋" w:hAnsi="仿宋" w:eastAsia="仿宋" w:cs="Times New Roman"/>
          <w:kern w:val="2"/>
          <w:sz w:val="28"/>
          <w:szCs w:val="28"/>
          <w:lang w:eastAsia="zh-CN"/>
        </w:rPr>
        <w:t>西安市奉正塬殡仪馆业务车辆用汽油</w:t>
      </w:r>
    </w:p>
    <w:p>
      <w:pPr>
        <w:widowControl w:val="0"/>
        <w:adjustRightInd/>
        <w:snapToGrid/>
        <w:spacing w:after="0" w:line="560" w:lineRule="exact"/>
        <w:jc w:val="both"/>
        <w:rPr>
          <w:rFonts w:ascii="黑体" w:hAnsi="黑体" w:eastAsia="黑体" w:cs="Times New Roman"/>
          <w:kern w:val="2"/>
          <w:sz w:val="28"/>
          <w:szCs w:val="28"/>
        </w:rPr>
      </w:pPr>
      <w:r>
        <w:rPr>
          <w:rFonts w:hint="eastAsia" w:ascii="黑体" w:hAnsi="黑体" w:eastAsia="黑体" w:cs="Times New Roman"/>
          <w:kern w:val="2"/>
          <w:sz w:val="28"/>
          <w:szCs w:val="28"/>
        </w:rPr>
        <w:t>三、</w:t>
      </w:r>
      <w:r>
        <w:rPr>
          <w:rFonts w:hint="eastAsia" w:ascii="黑体" w:hAnsi="黑体" w:eastAsia="黑体" w:cs="Times New Roman"/>
          <w:kern w:val="2"/>
          <w:sz w:val="28"/>
          <w:szCs w:val="28"/>
          <w:lang w:eastAsia="zh-CN"/>
        </w:rPr>
        <w:t>成交</w:t>
      </w:r>
      <w:r>
        <w:rPr>
          <w:rFonts w:hint="eastAsia" w:ascii="黑体" w:hAnsi="黑体" w:eastAsia="黑体" w:cs="Times New Roman"/>
          <w:kern w:val="2"/>
          <w:sz w:val="28"/>
          <w:szCs w:val="28"/>
        </w:rPr>
        <w:t>信息</w:t>
      </w:r>
    </w:p>
    <w:p>
      <w:pPr>
        <w:widowControl w:val="0"/>
        <w:adjustRightInd/>
        <w:snapToGrid/>
        <w:spacing w:after="0" w:line="560" w:lineRule="exact"/>
        <w:ind w:firstLine="560" w:firstLineChars="200"/>
        <w:jc w:val="both"/>
        <w:rPr>
          <w:rFonts w:hint="eastAsia" w:ascii="仿宋" w:hAnsi="仿宋" w:eastAsia="仿宋" w:cs="Times New Roman"/>
          <w:kern w:val="2"/>
          <w:sz w:val="28"/>
          <w:szCs w:val="28"/>
        </w:rPr>
      </w:pPr>
      <w:r>
        <w:rPr>
          <w:rFonts w:hint="eastAsia" w:ascii="仿宋" w:hAnsi="仿宋" w:eastAsia="仿宋" w:cs="Times New Roman"/>
          <w:kern w:val="2"/>
          <w:sz w:val="28"/>
          <w:szCs w:val="28"/>
          <w:lang w:eastAsia="zh-CN"/>
        </w:rPr>
        <w:t>服务商</w:t>
      </w:r>
      <w:r>
        <w:rPr>
          <w:rFonts w:hint="eastAsia" w:ascii="仿宋" w:hAnsi="仿宋" w:eastAsia="仿宋" w:cs="Times New Roman"/>
          <w:kern w:val="2"/>
          <w:sz w:val="28"/>
          <w:szCs w:val="28"/>
        </w:rPr>
        <w:t>名称：中国石油天然气股份有限公司陕西西安销售分公司</w:t>
      </w:r>
    </w:p>
    <w:p>
      <w:pPr>
        <w:widowControl w:val="0"/>
        <w:adjustRightInd/>
        <w:snapToGrid/>
        <w:spacing w:after="0" w:line="560" w:lineRule="exact"/>
        <w:ind w:firstLine="560" w:firstLineChars="200"/>
        <w:jc w:val="both"/>
        <w:rPr>
          <w:rFonts w:hint="default" w:ascii="仿宋" w:hAnsi="仿宋" w:eastAsia="仿宋" w:cs="Times New Roman"/>
          <w:kern w:val="2"/>
          <w:sz w:val="28"/>
          <w:szCs w:val="28"/>
          <w:lang w:val="en-US" w:eastAsia="zh-CN"/>
        </w:rPr>
      </w:pPr>
      <w:r>
        <w:rPr>
          <w:rFonts w:hint="eastAsia" w:ascii="仿宋" w:hAnsi="仿宋" w:eastAsia="仿宋" w:cs="Times New Roman"/>
          <w:kern w:val="2"/>
          <w:sz w:val="28"/>
          <w:szCs w:val="28"/>
          <w:lang w:eastAsia="zh-CN"/>
        </w:rPr>
        <w:t>服务商</w:t>
      </w:r>
      <w:r>
        <w:rPr>
          <w:rFonts w:hint="eastAsia" w:ascii="仿宋" w:hAnsi="仿宋" w:eastAsia="仿宋" w:cs="Times New Roman"/>
          <w:kern w:val="2"/>
          <w:sz w:val="28"/>
          <w:szCs w:val="28"/>
        </w:rPr>
        <w:t>地址：</w:t>
      </w:r>
      <w:r>
        <w:rPr>
          <w:rFonts w:hint="eastAsia" w:ascii="仿宋" w:hAnsi="仿宋" w:eastAsia="仿宋" w:cs="Times New Roman"/>
          <w:kern w:val="2"/>
          <w:sz w:val="28"/>
          <w:szCs w:val="28"/>
          <w:lang w:val="en-US" w:eastAsia="zh-CN"/>
        </w:rPr>
        <w:t>西安市莲湖区龙渠湾27号</w:t>
      </w:r>
    </w:p>
    <w:p>
      <w:pPr>
        <w:widowControl w:val="0"/>
        <w:adjustRightInd/>
        <w:snapToGrid/>
        <w:spacing w:after="0" w:line="560" w:lineRule="exact"/>
        <w:ind w:firstLine="560" w:firstLineChars="200"/>
        <w:jc w:val="both"/>
        <w:rPr>
          <w:rFonts w:hint="default" w:ascii="仿宋" w:hAnsi="仿宋" w:eastAsia="仿宋" w:cs="Times New Roman"/>
          <w:kern w:val="2"/>
          <w:sz w:val="28"/>
          <w:szCs w:val="28"/>
          <w:lang w:val="en-US" w:eastAsia="zh-CN"/>
        </w:rPr>
      </w:pPr>
      <w:r>
        <w:rPr>
          <w:rFonts w:hint="eastAsia" w:ascii="仿宋" w:hAnsi="仿宋" w:eastAsia="仿宋" w:cs="Times New Roman"/>
          <w:kern w:val="2"/>
          <w:sz w:val="28"/>
          <w:szCs w:val="28"/>
          <w:lang w:eastAsia="zh-CN"/>
        </w:rPr>
        <w:t>成交</w:t>
      </w:r>
      <w:r>
        <w:rPr>
          <w:rFonts w:hint="eastAsia" w:ascii="仿宋" w:hAnsi="仿宋" w:eastAsia="仿宋" w:cs="Times New Roman"/>
          <w:kern w:val="2"/>
          <w:sz w:val="28"/>
          <w:szCs w:val="28"/>
          <w:lang w:val="en-US" w:eastAsia="zh-CN"/>
        </w:rPr>
        <w:t>价格</w:t>
      </w:r>
      <w:r>
        <w:rPr>
          <w:rFonts w:hint="eastAsia" w:ascii="仿宋" w:hAnsi="仿宋" w:eastAsia="仿宋" w:cs="Times New Roman"/>
          <w:kern w:val="2"/>
          <w:sz w:val="28"/>
          <w:szCs w:val="28"/>
        </w:rPr>
        <w:t>：1170000元</w:t>
      </w:r>
    </w:p>
    <w:p>
      <w:pPr>
        <w:widowControl w:val="0"/>
        <w:adjustRightInd/>
        <w:snapToGrid/>
        <w:spacing w:after="0" w:line="560" w:lineRule="exact"/>
        <w:ind w:firstLine="560" w:firstLineChars="200"/>
        <w:jc w:val="both"/>
        <w:rPr>
          <w:rFonts w:hint="default" w:ascii="仿宋" w:hAnsi="仿宋" w:eastAsia="仿宋" w:cs="Times New Roman"/>
          <w:kern w:val="2"/>
          <w:sz w:val="28"/>
          <w:szCs w:val="28"/>
          <w:lang w:val="en-US" w:eastAsia="zh-CN"/>
        </w:rPr>
      </w:pPr>
      <w:r>
        <w:rPr>
          <w:rFonts w:hint="eastAsia" w:ascii="仿宋" w:hAnsi="仿宋" w:eastAsia="仿宋" w:cs="Times New Roman"/>
          <w:kern w:val="2"/>
          <w:sz w:val="28"/>
          <w:szCs w:val="28"/>
        </w:rPr>
        <w:t>联系人：</w:t>
      </w:r>
      <w:r>
        <w:rPr>
          <w:rFonts w:hint="eastAsia" w:ascii="仿宋" w:hAnsi="仿宋" w:eastAsia="仿宋" w:cs="Times New Roman"/>
          <w:kern w:val="2"/>
          <w:sz w:val="28"/>
          <w:szCs w:val="28"/>
          <w:lang w:val="en-US" w:eastAsia="zh-CN"/>
        </w:rPr>
        <w:t>钱永恒</w:t>
      </w:r>
    </w:p>
    <w:p>
      <w:pPr>
        <w:widowControl w:val="0"/>
        <w:adjustRightInd/>
        <w:snapToGrid/>
        <w:spacing w:after="0" w:line="560" w:lineRule="exact"/>
        <w:ind w:firstLine="560" w:firstLineChars="200"/>
        <w:jc w:val="both"/>
        <w:rPr>
          <w:rFonts w:hint="default" w:ascii="仿宋" w:hAnsi="仿宋" w:eastAsia="仿宋" w:cs="Times New Roman"/>
          <w:kern w:val="2"/>
          <w:sz w:val="28"/>
          <w:szCs w:val="28"/>
          <w:lang w:val="en-US" w:eastAsia="zh-CN"/>
        </w:rPr>
      </w:pPr>
      <w:r>
        <w:rPr>
          <w:rFonts w:hint="eastAsia" w:ascii="仿宋" w:hAnsi="仿宋" w:eastAsia="仿宋" w:cs="Times New Roman"/>
          <w:kern w:val="2"/>
          <w:sz w:val="28"/>
          <w:szCs w:val="28"/>
        </w:rPr>
        <w:t>联系电话：</w:t>
      </w:r>
      <w:r>
        <w:rPr>
          <w:rFonts w:hint="eastAsia" w:ascii="仿宋" w:hAnsi="仿宋" w:eastAsia="仿宋" w:cs="Times New Roman"/>
          <w:kern w:val="2"/>
          <w:sz w:val="28"/>
          <w:szCs w:val="28"/>
          <w:lang w:val="en-US" w:eastAsia="zh-CN"/>
        </w:rPr>
        <w:t>15029283109</w:t>
      </w:r>
    </w:p>
    <w:p>
      <w:pPr>
        <w:widowControl w:val="0"/>
        <w:adjustRightInd/>
        <w:snapToGrid/>
        <w:spacing w:after="0" w:line="560" w:lineRule="exact"/>
        <w:jc w:val="both"/>
        <w:rPr>
          <w:rFonts w:ascii="黑体" w:hAnsi="黑体" w:eastAsia="黑体" w:cs="Times New Roman"/>
          <w:kern w:val="2"/>
          <w:sz w:val="28"/>
          <w:szCs w:val="28"/>
        </w:rPr>
      </w:pPr>
      <w:r>
        <w:rPr>
          <w:rFonts w:hint="eastAsia" w:ascii="黑体" w:hAnsi="黑体" w:eastAsia="黑体" w:cs="Times New Roman"/>
          <w:kern w:val="2"/>
          <w:sz w:val="28"/>
          <w:szCs w:val="28"/>
        </w:rPr>
        <w:t>四、主要标的信息</w:t>
      </w:r>
    </w:p>
    <w:tbl>
      <w:tblPr>
        <w:tblStyle w:val="12"/>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trPr>
        <w:tc>
          <w:tcPr>
            <w:tcW w:w="8188" w:type="dxa"/>
          </w:tcPr>
          <w:p>
            <w:pPr>
              <w:widowControl w:val="0"/>
              <w:adjustRightInd/>
              <w:snapToGrid/>
              <w:spacing w:after="0" w:line="560" w:lineRule="exact"/>
              <w:jc w:val="center"/>
              <w:rPr>
                <w:rFonts w:ascii="黑体" w:hAnsi="黑体" w:eastAsia="黑体" w:cs="Times New Roman"/>
                <w:sz w:val="28"/>
                <w:szCs w:val="28"/>
              </w:rPr>
            </w:pPr>
            <w:r>
              <w:rPr>
                <w:rFonts w:hint="eastAsia" w:ascii="黑体" w:hAnsi="黑体" w:eastAsia="黑体" w:cs="Times New Roman"/>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widowControl w:val="0"/>
              <w:adjustRightInd/>
              <w:snapToGrid/>
              <w:spacing w:after="0" w:line="600" w:lineRule="exact"/>
              <w:jc w:val="both"/>
              <w:rPr>
                <w:rFonts w:hint="eastAsia" w:ascii="仿宋" w:hAnsi="仿宋" w:eastAsia="仿宋" w:cs="Times New Roman"/>
                <w:sz w:val="28"/>
                <w:szCs w:val="28"/>
                <w:lang w:eastAsia="zh-CN"/>
              </w:rPr>
            </w:pPr>
            <w:r>
              <w:rPr>
                <w:rFonts w:hint="eastAsia" w:ascii="仿宋" w:hAnsi="仿宋" w:eastAsia="仿宋" w:cs="Times New Roman"/>
                <w:b/>
                <w:bCs/>
                <w:sz w:val="28"/>
                <w:szCs w:val="28"/>
              </w:rPr>
              <w:t>名称：</w:t>
            </w:r>
            <w:r>
              <w:rPr>
                <w:rFonts w:hint="eastAsia" w:ascii="仿宋" w:hAnsi="仿宋" w:eastAsia="仿宋" w:cs="Times New Roman"/>
                <w:sz w:val="28"/>
                <w:szCs w:val="28"/>
                <w:lang w:eastAsia="zh-CN"/>
              </w:rPr>
              <w:t>西安市奉正塬殡仪馆业务车辆用汽油</w:t>
            </w:r>
          </w:p>
          <w:p>
            <w:pPr>
              <w:widowControl w:val="0"/>
              <w:adjustRightInd/>
              <w:snapToGrid/>
              <w:spacing w:after="0" w:line="600" w:lineRule="exact"/>
              <w:jc w:val="both"/>
              <w:rPr>
                <w:rFonts w:hint="eastAsia" w:ascii="仿宋" w:hAnsi="仿宋" w:eastAsia="仿宋" w:cs="Times New Roman"/>
                <w:sz w:val="28"/>
                <w:szCs w:val="28"/>
                <w:lang w:eastAsia="zh-CN"/>
              </w:rPr>
            </w:pPr>
            <w:r>
              <w:rPr>
                <w:rFonts w:hint="eastAsia" w:ascii="仿宋" w:hAnsi="仿宋" w:eastAsia="仿宋" w:cs="Times New Roman"/>
                <w:b/>
                <w:bCs/>
                <w:sz w:val="28"/>
                <w:szCs w:val="28"/>
              </w:rPr>
              <w:t>服务内容</w:t>
            </w:r>
            <w:r>
              <w:rPr>
                <w:rFonts w:hint="eastAsia" w:ascii="仿宋" w:hAnsi="仿宋" w:eastAsia="仿宋" w:cs="Times New Roman"/>
                <w:b/>
                <w:bCs/>
                <w:sz w:val="28"/>
                <w:szCs w:val="28"/>
                <w:lang w:eastAsia="zh-CN"/>
              </w:rPr>
              <w:t>及要求</w:t>
            </w:r>
            <w:r>
              <w:rPr>
                <w:rFonts w:hint="eastAsia" w:ascii="仿宋" w:hAnsi="仿宋" w:eastAsia="仿宋" w:cs="Times New Roman"/>
                <w:b/>
                <w:bCs/>
                <w:sz w:val="28"/>
                <w:szCs w:val="28"/>
              </w:rPr>
              <w:t>：</w:t>
            </w:r>
            <w:r>
              <w:rPr>
                <w:rFonts w:hint="eastAsia" w:ascii="仿宋" w:hAnsi="仿宋" w:eastAsia="仿宋" w:cs="Times New Roman"/>
                <w:sz w:val="28"/>
                <w:szCs w:val="28"/>
                <w:lang w:eastAsia="zh-CN"/>
              </w:rPr>
              <w:t>油品名称：92#汽油规格：车用汽油（VIA）</w:t>
            </w:r>
          </w:p>
          <w:p>
            <w:pPr>
              <w:widowControl w:val="0"/>
              <w:adjustRightInd/>
              <w:snapToGrid/>
              <w:spacing w:after="0" w:line="600" w:lineRule="exact"/>
              <w:jc w:val="both"/>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95#汽油规格：车用汽油（VIA）0#柴油规格：车用柴油（VI）</w:t>
            </w:r>
          </w:p>
          <w:p>
            <w:pPr>
              <w:widowControl w:val="0"/>
              <w:adjustRightInd/>
              <w:snapToGrid/>
              <w:spacing w:after="0" w:line="600" w:lineRule="exact"/>
              <w:jc w:val="both"/>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-10#柴油规格：车用柴油（VI）等详见磋商文件第三章。</w:t>
            </w:r>
          </w:p>
          <w:p>
            <w:pPr>
              <w:widowControl w:val="0"/>
              <w:adjustRightInd/>
              <w:snapToGrid/>
              <w:spacing w:after="0" w:line="600" w:lineRule="exact"/>
              <w:jc w:val="both"/>
              <w:rPr>
                <w:rFonts w:hint="eastAsia" w:ascii="仿宋" w:hAnsi="仿宋" w:eastAsia="仿宋" w:cs="Times New Roman"/>
                <w:kern w:val="2"/>
                <w:sz w:val="28"/>
                <w:szCs w:val="28"/>
                <w:lang w:eastAsia="zh-CN"/>
              </w:rPr>
            </w:pPr>
            <w:r>
              <w:rPr>
                <w:rFonts w:hint="eastAsia" w:ascii="仿宋" w:hAnsi="仿宋" w:eastAsia="仿宋" w:cs="Times New Roman"/>
                <w:b/>
                <w:bCs/>
                <w:sz w:val="28"/>
                <w:szCs w:val="28"/>
              </w:rPr>
              <w:t>服务时间：</w:t>
            </w:r>
            <w:r>
              <w:rPr>
                <w:rFonts w:hint="eastAsia" w:ascii="仿宋" w:hAnsi="仿宋" w:eastAsia="仿宋" w:cs="Times New Roman"/>
                <w:sz w:val="28"/>
                <w:szCs w:val="28"/>
                <w:lang w:eastAsia="zh-CN"/>
              </w:rPr>
              <w:t>自合同签订之日起3年。</w:t>
            </w:r>
          </w:p>
          <w:p>
            <w:pPr>
              <w:widowControl w:val="0"/>
              <w:adjustRightInd/>
              <w:snapToGrid/>
              <w:spacing w:after="0" w:line="600" w:lineRule="exact"/>
              <w:jc w:val="both"/>
              <w:rPr>
                <w:rFonts w:ascii="仿宋" w:hAnsi="仿宋" w:eastAsia="仿宋" w:cs="Times New Roman"/>
                <w:kern w:val="2"/>
                <w:sz w:val="28"/>
                <w:szCs w:val="28"/>
              </w:rPr>
            </w:pPr>
            <w:r>
              <w:rPr>
                <w:rFonts w:hint="eastAsia" w:ascii="仿宋" w:hAnsi="仿宋" w:eastAsia="仿宋" w:cs="Times New Roman"/>
                <w:b/>
                <w:bCs/>
                <w:sz w:val="28"/>
                <w:szCs w:val="28"/>
              </w:rPr>
              <w:t>服务标准：</w:t>
            </w:r>
            <w:r>
              <w:rPr>
                <w:rFonts w:hint="eastAsia" w:ascii="仿宋" w:hAnsi="仿宋" w:eastAsia="仿宋" w:cs="Times New Roman"/>
                <w:sz w:val="28"/>
                <w:szCs w:val="28"/>
                <w:lang w:eastAsia="zh-CN"/>
              </w:rPr>
              <w:t>详见磋商文件第三章。</w:t>
            </w:r>
          </w:p>
        </w:tc>
      </w:tr>
    </w:tbl>
    <w:p>
      <w:pPr>
        <w:widowControl w:val="0"/>
        <w:adjustRightInd/>
        <w:snapToGrid/>
        <w:spacing w:after="0" w:line="560" w:lineRule="exact"/>
        <w:jc w:val="both"/>
        <w:rPr>
          <w:rFonts w:hint="eastAsia" w:ascii="黑体" w:hAnsi="黑体" w:eastAsia="仿宋" w:cs="Times New Roman"/>
          <w:kern w:val="2"/>
          <w:sz w:val="28"/>
          <w:szCs w:val="28"/>
          <w:lang w:val="en-US" w:eastAsia="zh-CN"/>
        </w:rPr>
      </w:pPr>
      <w:r>
        <w:rPr>
          <w:rFonts w:hint="eastAsia" w:ascii="黑体" w:hAnsi="黑体" w:eastAsia="黑体" w:cs="Times New Roman"/>
          <w:kern w:val="2"/>
          <w:sz w:val="28"/>
          <w:szCs w:val="28"/>
        </w:rPr>
        <w:t>五、评审专家名单：</w:t>
      </w:r>
      <w:r>
        <w:rPr>
          <w:rFonts w:hint="eastAsia" w:ascii="仿宋" w:hAnsi="仿宋" w:eastAsia="仿宋" w:cs="宋体"/>
          <w:sz w:val="28"/>
          <w:szCs w:val="28"/>
        </w:rPr>
        <w:t>张晓利、方晓君、杜渭超</w:t>
      </w:r>
      <w:r>
        <w:rPr>
          <w:rFonts w:hint="eastAsia" w:ascii="仿宋" w:hAnsi="仿宋" w:eastAsia="仿宋" w:cs="宋体"/>
          <w:sz w:val="28"/>
          <w:szCs w:val="28"/>
          <w:lang w:eastAsia="zh-CN"/>
        </w:rPr>
        <w:t>。</w:t>
      </w:r>
    </w:p>
    <w:p>
      <w:pPr>
        <w:widowControl w:val="0"/>
        <w:adjustRightInd/>
        <w:snapToGrid/>
        <w:spacing w:after="0" w:line="560" w:lineRule="exact"/>
        <w:jc w:val="both"/>
        <w:rPr>
          <w:rFonts w:ascii="仿宋" w:hAnsi="仿宋" w:eastAsia="仿宋" w:cs="宋体"/>
          <w:sz w:val="28"/>
          <w:szCs w:val="28"/>
        </w:rPr>
      </w:pPr>
      <w:r>
        <w:rPr>
          <w:rFonts w:hint="eastAsia" w:ascii="黑体" w:hAnsi="黑体" w:eastAsia="黑体" w:cs="Times New Roman"/>
          <w:kern w:val="2"/>
          <w:sz w:val="28"/>
          <w:szCs w:val="28"/>
        </w:rPr>
        <w:t>六、公告期限：</w:t>
      </w:r>
      <w:r>
        <w:rPr>
          <w:rFonts w:hint="eastAsia" w:ascii="仿宋" w:hAnsi="仿宋" w:eastAsia="仿宋" w:cs="宋体"/>
          <w:sz w:val="28"/>
          <w:szCs w:val="28"/>
        </w:rPr>
        <w:t>自本公告发布之日起</w:t>
      </w:r>
      <w:r>
        <w:rPr>
          <w:rFonts w:ascii="仿宋" w:hAnsi="仿宋" w:eastAsia="仿宋" w:cs="宋体"/>
          <w:sz w:val="28"/>
          <w:szCs w:val="28"/>
        </w:rPr>
        <w:t>1</w:t>
      </w:r>
      <w:r>
        <w:rPr>
          <w:rFonts w:hint="eastAsia" w:ascii="仿宋" w:hAnsi="仿宋" w:eastAsia="仿宋" w:cs="宋体"/>
          <w:sz w:val="28"/>
          <w:szCs w:val="28"/>
        </w:rPr>
        <w:t>个工作日。</w:t>
      </w:r>
    </w:p>
    <w:p>
      <w:pPr>
        <w:widowControl w:val="0"/>
        <w:adjustRightInd/>
        <w:snapToGrid/>
        <w:spacing w:after="0" w:line="560" w:lineRule="exact"/>
        <w:jc w:val="both"/>
        <w:rPr>
          <w:rFonts w:ascii="黑体" w:hAnsi="黑体" w:eastAsia="黑体" w:cs="仿宋"/>
          <w:kern w:val="2"/>
          <w:sz w:val="28"/>
          <w:szCs w:val="28"/>
        </w:rPr>
      </w:pPr>
      <w:r>
        <w:rPr>
          <w:rFonts w:hint="eastAsia" w:ascii="黑体" w:hAnsi="黑体" w:eastAsia="黑体" w:cs="仿宋"/>
          <w:kern w:val="2"/>
          <w:sz w:val="28"/>
          <w:szCs w:val="28"/>
        </w:rPr>
        <w:t>七、其他补充事宜</w:t>
      </w:r>
    </w:p>
    <w:p>
      <w:pPr>
        <w:widowControl w:val="0"/>
        <w:adjustRightInd/>
        <w:snapToGrid/>
        <w:spacing w:after="0" w:line="560" w:lineRule="exact"/>
        <w:ind w:firstLine="560" w:firstLineChars="200"/>
        <w:jc w:val="both"/>
        <w:rPr>
          <w:rFonts w:hint="eastAsia" w:ascii="仿宋" w:hAnsi="仿宋" w:eastAsia="仿宋" w:cs="宋体"/>
          <w:bCs/>
          <w:sz w:val="28"/>
          <w:szCs w:val="28"/>
        </w:rPr>
      </w:pPr>
      <w:r>
        <w:rPr>
          <w:rFonts w:hint="eastAsia" w:ascii="仿宋" w:hAnsi="仿宋" w:eastAsia="仿宋" w:cs="宋体"/>
          <w:bCs/>
          <w:sz w:val="28"/>
          <w:szCs w:val="28"/>
        </w:rPr>
        <w:t>1、由于参与</w:t>
      </w:r>
      <w:r>
        <w:rPr>
          <w:rFonts w:hint="eastAsia" w:ascii="仿宋" w:hAnsi="仿宋" w:eastAsia="仿宋" w:cs="宋体"/>
          <w:bCs/>
          <w:sz w:val="28"/>
          <w:szCs w:val="28"/>
          <w:lang w:eastAsia="zh-CN"/>
        </w:rPr>
        <w:t>服务商</w:t>
      </w:r>
      <w:r>
        <w:rPr>
          <w:rFonts w:hint="eastAsia" w:ascii="仿宋" w:hAnsi="仿宋" w:eastAsia="仿宋" w:cs="宋体"/>
          <w:bCs/>
          <w:sz w:val="28"/>
          <w:szCs w:val="28"/>
        </w:rPr>
        <w:t>只有1家，根据财政局审批政府采购变更方式申请表，变更采购方式，</w:t>
      </w:r>
      <w:r>
        <w:rPr>
          <w:rFonts w:hint="eastAsia" w:ascii="仿宋" w:hAnsi="仿宋" w:eastAsia="仿宋" w:cs="宋体"/>
          <w:bCs/>
          <w:sz w:val="28"/>
          <w:szCs w:val="28"/>
          <w:lang w:eastAsia="zh-CN"/>
        </w:rPr>
        <w:t>竞争性磋商</w:t>
      </w:r>
      <w:r>
        <w:rPr>
          <w:rFonts w:hint="eastAsia" w:ascii="仿宋" w:hAnsi="仿宋" w:eastAsia="仿宋" w:cs="宋体"/>
          <w:bCs/>
          <w:sz w:val="28"/>
          <w:szCs w:val="28"/>
        </w:rPr>
        <w:t>转为单一来源谈判。</w:t>
      </w:r>
    </w:p>
    <w:p>
      <w:pPr>
        <w:widowControl w:val="0"/>
        <w:adjustRightInd/>
        <w:snapToGrid/>
        <w:spacing w:after="0" w:line="560" w:lineRule="exact"/>
        <w:ind w:firstLine="560" w:firstLineChars="200"/>
        <w:jc w:val="both"/>
        <w:rPr>
          <w:rFonts w:ascii="仿宋" w:hAnsi="仿宋" w:eastAsia="仿宋" w:cs="宋体"/>
          <w:bCs/>
          <w:kern w:val="2"/>
          <w:sz w:val="28"/>
          <w:szCs w:val="28"/>
        </w:rPr>
      </w:pPr>
      <w:r>
        <w:rPr>
          <w:rFonts w:hint="eastAsia" w:ascii="仿宋" w:hAnsi="仿宋" w:eastAsia="仿宋" w:cs="宋体"/>
          <w:bCs/>
          <w:sz w:val="28"/>
          <w:szCs w:val="28"/>
          <w:lang w:val="en-US" w:eastAsia="zh-CN"/>
        </w:rPr>
        <w:t>2、</w:t>
      </w:r>
      <w:r>
        <w:rPr>
          <w:rFonts w:hint="eastAsia" w:ascii="仿宋" w:hAnsi="仿宋" w:eastAsia="仿宋" w:cs="宋体"/>
          <w:bCs/>
          <w:sz w:val="28"/>
          <w:szCs w:val="28"/>
        </w:rPr>
        <w:t>请</w:t>
      </w:r>
      <w:r>
        <w:rPr>
          <w:rFonts w:hint="eastAsia" w:ascii="仿宋" w:hAnsi="仿宋" w:eastAsia="仿宋" w:cs="宋体"/>
          <w:bCs/>
          <w:sz w:val="28"/>
          <w:szCs w:val="28"/>
          <w:lang w:eastAsia="zh-CN"/>
        </w:rPr>
        <w:t>成交服务商</w:t>
      </w:r>
      <w:r>
        <w:rPr>
          <w:rFonts w:hint="eastAsia" w:ascii="仿宋" w:hAnsi="仿宋" w:eastAsia="仿宋" w:cs="宋体"/>
          <w:bCs/>
          <w:sz w:val="28"/>
          <w:szCs w:val="28"/>
        </w:rPr>
        <w:t>于本项目公告期届满之日起前往西安市公共资源交易中心八楼领取成交通知书，同时须提交密封好的纸质响应文件一正两副，内容与电子响应文件完全一致。</w:t>
      </w:r>
    </w:p>
    <w:p>
      <w:pPr>
        <w:widowControl w:val="0"/>
        <w:adjustRightInd/>
        <w:snapToGrid/>
        <w:spacing w:after="0" w:line="560" w:lineRule="exact"/>
        <w:jc w:val="both"/>
        <w:rPr>
          <w:rFonts w:ascii="黑体" w:hAnsi="黑体" w:eastAsia="黑体" w:cs="宋体"/>
          <w:sz w:val="28"/>
          <w:szCs w:val="28"/>
        </w:rPr>
      </w:pPr>
      <w:r>
        <w:rPr>
          <w:rFonts w:hint="eastAsia" w:ascii="黑体" w:hAnsi="黑体" w:eastAsia="黑体" w:cs="宋体"/>
          <w:sz w:val="28"/>
          <w:szCs w:val="28"/>
        </w:rPr>
        <w:t>八、凡对本次公告内容提出询问，请按以下方式联系。</w:t>
      </w:r>
    </w:p>
    <w:p>
      <w:pPr>
        <w:widowControl w:val="0"/>
        <w:adjustRightInd/>
        <w:snapToGrid/>
        <w:spacing w:after="0" w:line="560" w:lineRule="exact"/>
        <w:ind w:firstLine="840" w:firstLineChars="300"/>
        <w:jc w:val="both"/>
        <w:rPr>
          <w:rFonts w:ascii="仿宋" w:hAnsi="仿宋" w:eastAsia="仿宋" w:cs="Times New Roman"/>
          <w:kern w:val="2"/>
          <w:sz w:val="28"/>
          <w:szCs w:val="28"/>
        </w:rPr>
      </w:pPr>
      <w:r>
        <w:rPr>
          <w:rFonts w:hint="eastAsia" w:ascii="仿宋" w:hAnsi="仿宋" w:eastAsia="仿宋" w:cs="Times New Roman"/>
          <w:kern w:val="2"/>
          <w:sz w:val="28"/>
          <w:szCs w:val="28"/>
        </w:rPr>
        <w:t>1、采购人信息</w:t>
      </w:r>
    </w:p>
    <w:p>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rPr>
        <w:t>名    称：</w:t>
      </w:r>
      <w:r>
        <w:rPr>
          <w:rFonts w:hint="eastAsia" w:ascii="仿宋" w:hAnsi="仿宋" w:eastAsia="仿宋" w:cs="Times New Roman"/>
          <w:kern w:val="2"/>
          <w:sz w:val="28"/>
          <w:szCs w:val="28"/>
          <w:lang w:eastAsia="zh-CN"/>
        </w:rPr>
        <w:t>西安市奉正塬殡仪馆</w:t>
      </w:r>
    </w:p>
    <w:p>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rPr>
        <w:t>地    址：西安市高陵区渭河北岸210国道旁</w:t>
      </w:r>
    </w:p>
    <w:p>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rPr>
        <w:t>联系方式：17791209118</w:t>
      </w:r>
    </w:p>
    <w:p>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2.采购代理机构</w:t>
      </w:r>
      <w:bookmarkStart w:id="0" w:name="_GoBack"/>
      <w:bookmarkEnd w:id="0"/>
      <w:r>
        <w:rPr>
          <w:rFonts w:hint="eastAsia" w:ascii="仿宋" w:hAnsi="仿宋" w:eastAsia="仿宋" w:cs="Times New Roman"/>
          <w:kern w:val="2"/>
          <w:sz w:val="28"/>
          <w:szCs w:val="28"/>
          <w:lang w:eastAsia="zh-CN"/>
        </w:rPr>
        <w:t>信息</w:t>
      </w:r>
    </w:p>
    <w:p>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名    称：西安市市级单位政府采购中心</w:t>
      </w:r>
    </w:p>
    <w:p>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地　  址：西安市未央区文景北路16号白桦林国际B座</w:t>
      </w:r>
    </w:p>
    <w:p>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项目联系人：李老师</w:t>
      </w:r>
    </w:p>
    <w:p>
      <w:pPr>
        <w:widowControl w:val="0"/>
        <w:adjustRightInd/>
        <w:snapToGrid/>
        <w:spacing w:after="0" w:line="560" w:lineRule="exact"/>
        <w:ind w:firstLine="840" w:firstLineChars="300"/>
        <w:jc w:val="both"/>
        <w:rPr>
          <w:rFonts w:hint="default" w:ascii="仿宋" w:hAnsi="仿宋" w:eastAsia="仿宋" w:cs="Times New Roman"/>
          <w:kern w:val="2"/>
          <w:sz w:val="28"/>
          <w:szCs w:val="28"/>
          <w:lang w:val="en-US" w:eastAsia="zh-CN"/>
        </w:rPr>
      </w:pPr>
      <w:r>
        <w:rPr>
          <w:rFonts w:hint="eastAsia" w:ascii="仿宋" w:hAnsi="仿宋" w:eastAsia="仿宋" w:cs="Times New Roman"/>
          <w:kern w:val="2"/>
          <w:sz w:val="28"/>
          <w:szCs w:val="28"/>
          <w:lang w:eastAsia="zh-CN"/>
        </w:rPr>
        <w:t>电　    话：029-86510029  86510365转分机80</w:t>
      </w:r>
      <w:r>
        <w:rPr>
          <w:rFonts w:hint="eastAsia" w:ascii="仿宋" w:hAnsi="仿宋" w:eastAsia="仿宋" w:cs="Times New Roman"/>
          <w:kern w:val="2"/>
          <w:sz w:val="28"/>
          <w:szCs w:val="28"/>
          <w:lang w:val="en-US" w:eastAsia="zh-CN"/>
        </w:rPr>
        <w:t>758</w:t>
      </w:r>
    </w:p>
    <w:p>
      <w:pPr>
        <w:numPr>
          <w:ilvl w:val="0"/>
          <w:numId w:val="0"/>
        </w:numPr>
        <w:spacing w:line="560" w:lineRule="exact"/>
        <w:jc w:val="left"/>
        <w:rPr>
          <w:rFonts w:hint="eastAsia" w:ascii="仿宋" w:hAnsi="仿宋" w:eastAsia="仿宋" w:cs="Times New Roman"/>
          <w:kern w:val="2"/>
          <w:sz w:val="28"/>
          <w:szCs w:val="28"/>
          <w:lang w:val="en-US" w:eastAsia="zh-CN"/>
        </w:rPr>
      </w:pPr>
    </w:p>
    <w:p>
      <w:pPr>
        <w:widowControl w:val="0"/>
        <w:adjustRightInd/>
        <w:snapToGrid/>
        <w:spacing w:after="0" w:line="560" w:lineRule="exact"/>
        <w:ind w:firstLine="4480" w:firstLineChars="1600"/>
        <w:jc w:val="both"/>
        <w:rPr>
          <w:rFonts w:ascii="仿宋" w:hAnsi="仿宋" w:eastAsia="仿宋" w:cs="Times New Roman"/>
          <w:kern w:val="2"/>
          <w:sz w:val="28"/>
          <w:szCs w:val="28"/>
        </w:rPr>
      </w:pPr>
      <w:r>
        <w:rPr>
          <w:rFonts w:hint="eastAsia" w:ascii="仿宋" w:hAnsi="仿宋" w:eastAsia="仿宋" w:cs="Times New Roman"/>
          <w:kern w:val="2"/>
          <w:sz w:val="28"/>
          <w:szCs w:val="28"/>
        </w:rPr>
        <w:t>西安市市级单位政府采购中心</w:t>
      </w:r>
    </w:p>
    <w:p>
      <w:pPr>
        <w:widowControl w:val="0"/>
        <w:adjustRightInd/>
        <w:snapToGrid/>
        <w:spacing w:after="0" w:line="560" w:lineRule="exact"/>
        <w:ind w:firstLine="5320" w:firstLineChars="19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rPr>
        <w:t>202</w:t>
      </w:r>
      <w:r>
        <w:rPr>
          <w:rFonts w:hint="eastAsia" w:ascii="仿宋" w:hAnsi="仿宋" w:eastAsia="仿宋" w:cs="Times New Roman"/>
          <w:kern w:val="2"/>
          <w:sz w:val="28"/>
          <w:szCs w:val="28"/>
          <w:lang w:val="en-US" w:eastAsia="zh-CN"/>
        </w:rPr>
        <w:t>5</w:t>
      </w:r>
      <w:r>
        <w:rPr>
          <w:rFonts w:hint="eastAsia" w:ascii="仿宋" w:hAnsi="仿宋" w:eastAsia="仿宋" w:cs="Times New Roman"/>
          <w:kern w:val="2"/>
          <w:sz w:val="28"/>
          <w:szCs w:val="28"/>
        </w:rPr>
        <w:t>年</w:t>
      </w:r>
      <w:r>
        <w:rPr>
          <w:rFonts w:hint="eastAsia" w:ascii="仿宋" w:hAnsi="仿宋" w:eastAsia="仿宋" w:cs="Times New Roman"/>
          <w:kern w:val="2"/>
          <w:sz w:val="28"/>
          <w:szCs w:val="28"/>
          <w:lang w:val="en-US" w:eastAsia="zh-CN"/>
        </w:rPr>
        <w:t>9</w:t>
      </w:r>
      <w:r>
        <w:rPr>
          <w:rFonts w:hint="eastAsia" w:ascii="仿宋" w:hAnsi="仿宋" w:eastAsia="仿宋" w:cs="Times New Roman"/>
          <w:kern w:val="2"/>
          <w:sz w:val="28"/>
          <w:szCs w:val="28"/>
        </w:rPr>
        <w:t>月</w:t>
      </w:r>
      <w:r>
        <w:rPr>
          <w:rFonts w:hint="eastAsia" w:ascii="仿宋" w:hAnsi="仿宋" w:eastAsia="仿宋" w:cs="Times New Roman"/>
          <w:kern w:val="2"/>
          <w:sz w:val="28"/>
          <w:szCs w:val="28"/>
          <w:lang w:val="en-US" w:eastAsia="zh-CN"/>
        </w:rPr>
        <w:t>23</w:t>
      </w:r>
      <w:r>
        <w:rPr>
          <w:rFonts w:hint="eastAsia" w:ascii="仿宋" w:hAnsi="仿宋" w:eastAsia="仿宋" w:cs="Times New Roman"/>
          <w:kern w:val="2"/>
          <w:sz w:val="28"/>
          <w:szCs w:val="28"/>
        </w:rPr>
        <w:t>日</w:t>
      </w: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2"/>
  </w:compat>
  <w:docVars>
    <w:docVar w:name="commondata" w:val="eyJoZGlkIjoiNDBiNzY3ZGU5Yjk5MzUwMDA5MTY1ZDkxNWUyMzE1NzAifQ=="/>
  </w:docVars>
  <w:rsids>
    <w:rsidRoot w:val="0036448D"/>
    <w:rsid w:val="00007D1A"/>
    <w:rsid w:val="00007ED1"/>
    <w:rsid w:val="00016A47"/>
    <w:rsid w:val="000234C3"/>
    <w:rsid w:val="000411D2"/>
    <w:rsid w:val="00041D70"/>
    <w:rsid w:val="00056C42"/>
    <w:rsid w:val="00056F2A"/>
    <w:rsid w:val="00095242"/>
    <w:rsid w:val="000A6AAE"/>
    <w:rsid w:val="000B772D"/>
    <w:rsid w:val="000D479F"/>
    <w:rsid w:val="000E014C"/>
    <w:rsid w:val="00125A5C"/>
    <w:rsid w:val="00125BD3"/>
    <w:rsid w:val="001350BB"/>
    <w:rsid w:val="00136AF0"/>
    <w:rsid w:val="00140547"/>
    <w:rsid w:val="001963B1"/>
    <w:rsid w:val="001C220B"/>
    <w:rsid w:val="001E1F9E"/>
    <w:rsid w:val="00200BEF"/>
    <w:rsid w:val="0022216C"/>
    <w:rsid w:val="002758F2"/>
    <w:rsid w:val="002824D1"/>
    <w:rsid w:val="00290870"/>
    <w:rsid w:val="00292B21"/>
    <w:rsid w:val="002A558B"/>
    <w:rsid w:val="002B2C25"/>
    <w:rsid w:val="002C35FB"/>
    <w:rsid w:val="002C773E"/>
    <w:rsid w:val="0030689F"/>
    <w:rsid w:val="00323B43"/>
    <w:rsid w:val="00356EFC"/>
    <w:rsid w:val="00363B6C"/>
    <w:rsid w:val="0036448D"/>
    <w:rsid w:val="00372416"/>
    <w:rsid w:val="00373694"/>
    <w:rsid w:val="003736F1"/>
    <w:rsid w:val="003742D4"/>
    <w:rsid w:val="003758C1"/>
    <w:rsid w:val="00380381"/>
    <w:rsid w:val="00381210"/>
    <w:rsid w:val="00382618"/>
    <w:rsid w:val="003A426C"/>
    <w:rsid w:val="003A570F"/>
    <w:rsid w:val="003A5B16"/>
    <w:rsid w:val="003C1A0A"/>
    <w:rsid w:val="003C5D99"/>
    <w:rsid w:val="003C7414"/>
    <w:rsid w:val="003D37D8"/>
    <w:rsid w:val="003F3D76"/>
    <w:rsid w:val="003F5C31"/>
    <w:rsid w:val="00400AC7"/>
    <w:rsid w:val="00402BDD"/>
    <w:rsid w:val="00425914"/>
    <w:rsid w:val="004358AB"/>
    <w:rsid w:val="00460111"/>
    <w:rsid w:val="0046495C"/>
    <w:rsid w:val="00470BC8"/>
    <w:rsid w:val="004818F2"/>
    <w:rsid w:val="00482212"/>
    <w:rsid w:val="00494F06"/>
    <w:rsid w:val="004A33C4"/>
    <w:rsid w:val="004A683E"/>
    <w:rsid w:val="004B08BD"/>
    <w:rsid w:val="004B77ED"/>
    <w:rsid w:val="004D1EE9"/>
    <w:rsid w:val="004D2ADD"/>
    <w:rsid w:val="004F3653"/>
    <w:rsid w:val="004F691A"/>
    <w:rsid w:val="00512D29"/>
    <w:rsid w:val="005177AB"/>
    <w:rsid w:val="00525542"/>
    <w:rsid w:val="00540E62"/>
    <w:rsid w:val="005511F5"/>
    <w:rsid w:val="005512D6"/>
    <w:rsid w:val="00566C7A"/>
    <w:rsid w:val="005B61B7"/>
    <w:rsid w:val="005C17FE"/>
    <w:rsid w:val="005E6165"/>
    <w:rsid w:val="005F0597"/>
    <w:rsid w:val="005F3F80"/>
    <w:rsid w:val="005F5DFD"/>
    <w:rsid w:val="005F6068"/>
    <w:rsid w:val="0061484D"/>
    <w:rsid w:val="00643D94"/>
    <w:rsid w:val="006440AB"/>
    <w:rsid w:val="00655D77"/>
    <w:rsid w:val="00655FCC"/>
    <w:rsid w:val="00670715"/>
    <w:rsid w:val="00672702"/>
    <w:rsid w:val="0067647B"/>
    <w:rsid w:val="006B16C5"/>
    <w:rsid w:val="006B241F"/>
    <w:rsid w:val="006B5DAC"/>
    <w:rsid w:val="006E6414"/>
    <w:rsid w:val="006F23FA"/>
    <w:rsid w:val="00714D0D"/>
    <w:rsid w:val="00721EE2"/>
    <w:rsid w:val="00723063"/>
    <w:rsid w:val="00743819"/>
    <w:rsid w:val="007448BE"/>
    <w:rsid w:val="00745DD8"/>
    <w:rsid w:val="00754E95"/>
    <w:rsid w:val="0077676F"/>
    <w:rsid w:val="00782232"/>
    <w:rsid w:val="0079044A"/>
    <w:rsid w:val="007C2E9C"/>
    <w:rsid w:val="007D455F"/>
    <w:rsid w:val="007D49DD"/>
    <w:rsid w:val="007F1D37"/>
    <w:rsid w:val="008043EB"/>
    <w:rsid w:val="00821361"/>
    <w:rsid w:val="008459E2"/>
    <w:rsid w:val="00853D26"/>
    <w:rsid w:val="00881B09"/>
    <w:rsid w:val="008978A4"/>
    <w:rsid w:val="008A67DB"/>
    <w:rsid w:val="008B7726"/>
    <w:rsid w:val="008C0AF0"/>
    <w:rsid w:val="008C4CB7"/>
    <w:rsid w:val="008E64EB"/>
    <w:rsid w:val="008F2071"/>
    <w:rsid w:val="009005CC"/>
    <w:rsid w:val="0090466B"/>
    <w:rsid w:val="0090475B"/>
    <w:rsid w:val="0091666E"/>
    <w:rsid w:val="00932D2A"/>
    <w:rsid w:val="00936BDE"/>
    <w:rsid w:val="00957B9F"/>
    <w:rsid w:val="00962130"/>
    <w:rsid w:val="00967BAA"/>
    <w:rsid w:val="009714C1"/>
    <w:rsid w:val="0099478F"/>
    <w:rsid w:val="009B243F"/>
    <w:rsid w:val="009B6837"/>
    <w:rsid w:val="009D1864"/>
    <w:rsid w:val="009E26A3"/>
    <w:rsid w:val="00A24747"/>
    <w:rsid w:val="00A36E59"/>
    <w:rsid w:val="00A56C44"/>
    <w:rsid w:val="00A57053"/>
    <w:rsid w:val="00A61D2F"/>
    <w:rsid w:val="00A7152D"/>
    <w:rsid w:val="00A75700"/>
    <w:rsid w:val="00A76FA7"/>
    <w:rsid w:val="00A7786F"/>
    <w:rsid w:val="00A972A4"/>
    <w:rsid w:val="00AD7C16"/>
    <w:rsid w:val="00AE36AE"/>
    <w:rsid w:val="00AE7129"/>
    <w:rsid w:val="00AF20D3"/>
    <w:rsid w:val="00B16AAF"/>
    <w:rsid w:val="00B45286"/>
    <w:rsid w:val="00B504C8"/>
    <w:rsid w:val="00BE1663"/>
    <w:rsid w:val="00BF4A17"/>
    <w:rsid w:val="00C23666"/>
    <w:rsid w:val="00C37513"/>
    <w:rsid w:val="00C57D6C"/>
    <w:rsid w:val="00C75247"/>
    <w:rsid w:val="00C76196"/>
    <w:rsid w:val="00C84BE5"/>
    <w:rsid w:val="00C8700B"/>
    <w:rsid w:val="00C968A2"/>
    <w:rsid w:val="00CB35B8"/>
    <w:rsid w:val="00CB385C"/>
    <w:rsid w:val="00CB6A9B"/>
    <w:rsid w:val="00CC3534"/>
    <w:rsid w:val="00CC3E2C"/>
    <w:rsid w:val="00CD37D7"/>
    <w:rsid w:val="00CE64EA"/>
    <w:rsid w:val="00CF105B"/>
    <w:rsid w:val="00D145F3"/>
    <w:rsid w:val="00D17040"/>
    <w:rsid w:val="00D17051"/>
    <w:rsid w:val="00D20108"/>
    <w:rsid w:val="00D34A50"/>
    <w:rsid w:val="00D54564"/>
    <w:rsid w:val="00D60EB5"/>
    <w:rsid w:val="00D66A9D"/>
    <w:rsid w:val="00D85AE6"/>
    <w:rsid w:val="00DA46E2"/>
    <w:rsid w:val="00DB04AA"/>
    <w:rsid w:val="00DB728E"/>
    <w:rsid w:val="00DB732D"/>
    <w:rsid w:val="00DB7A48"/>
    <w:rsid w:val="00DC7084"/>
    <w:rsid w:val="00DE1244"/>
    <w:rsid w:val="00DE5C58"/>
    <w:rsid w:val="00E17FB8"/>
    <w:rsid w:val="00E4242E"/>
    <w:rsid w:val="00E4733C"/>
    <w:rsid w:val="00E51E7F"/>
    <w:rsid w:val="00E56B41"/>
    <w:rsid w:val="00E647E9"/>
    <w:rsid w:val="00E67FCA"/>
    <w:rsid w:val="00E751DE"/>
    <w:rsid w:val="00E7724F"/>
    <w:rsid w:val="00E774E7"/>
    <w:rsid w:val="00E800D2"/>
    <w:rsid w:val="00EB1D66"/>
    <w:rsid w:val="00EB2E6A"/>
    <w:rsid w:val="00EB4720"/>
    <w:rsid w:val="00EC5A22"/>
    <w:rsid w:val="00ED6126"/>
    <w:rsid w:val="00ED6857"/>
    <w:rsid w:val="00F0304F"/>
    <w:rsid w:val="00F0546B"/>
    <w:rsid w:val="00F11E7F"/>
    <w:rsid w:val="00F31717"/>
    <w:rsid w:val="00F371FF"/>
    <w:rsid w:val="00F4087A"/>
    <w:rsid w:val="00F4767D"/>
    <w:rsid w:val="00F90B6B"/>
    <w:rsid w:val="00FA3AE7"/>
    <w:rsid w:val="00FA44AB"/>
    <w:rsid w:val="00FB1571"/>
    <w:rsid w:val="00FD5922"/>
    <w:rsid w:val="00FE184F"/>
    <w:rsid w:val="00FE473E"/>
    <w:rsid w:val="00FF193D"/>
    <w:rsid w:val="00FF41E6"/>
    <w:rsid w:val="00FF771A"/>
    <w:rsid w:val="011D44F1"/>
    <w:rsid w:val="017746AE"/>
    <w:rsid w:val="019F69BD"/>
    <w:rsid w:val="04FA4B10"/>
    <w:rsid w:val="059903BE"/>
    <w:rsid w:val="067C4C7C"/>
    <w:rsid w:val="07066232"/>
    <w:rsid w:val="07B22550"/>
    <w:rsid w:val="08CE6D91"/>
    <w:rsid w:val="09560BA7"/>
    <w:rsid w:val="095B13CA"/>
    <w:rsid w:val="0A416E0B"/>
    <w:rsid w:val="0B3E2E4A"/>
    <w:rsid w:val="0C5C5140"/>
    <w:rsid w:val="0CD60A3D"/>
    <w:rsid w:val="0D126CF7"/>
    <w:rsid w:val="0ECA117D"/>
    <w:rsid w:val="0EE554C9"/>
    <w:rsid w:val="0FA06A80"/>
    <w:rsid w:val="1370501D"/>
    <w:rsid w:val="142246D1"/>
    <w:rsid w:val="16ED208D"/>
    <w:rsid w:val="177F3AF5"/>
    <w:rsid w:val="17E4407E"/>
    <w:rsid w:val="186873A0"/>
    <w:rsid w:val="186F2707"/>
    <w:rsid w:val="1BA93174"/>
    <w:rsid w:val="211F600E"/>
    <w:rsid w:val="22055EA4"/>
    <w:rsid w:val="22763DC6"/>
    <w:rsid w:val="2377429F"/>
    <w:rsid w:val="23DD729F"/>
    <w:rsid w:val="241C72F9"/>
    <w:rsid w:val="249C39F5"/>
    <w:rsid w:val="25C956E3"/>
    <w:rsid w:val="28C55CA5"/>
    <w:rsid w:val="29CF38EF"/>
    <w:rsid w:val="2B141854"/>
    <w:rsid w:val="2B6C7DE3"/>
    <w:rsid w:val="2BCE57B2"/>
    <w:rsid w:val="2E1F664B"/>
    <w:rsid w:val="322769F1"/>
    <w:rsid w:val="32801246"/>
    <w:rsid w:val="32931682"/>
    <w:rsid w:val="34E83A70"/>
    <w:rsid w:val="35303969"/>
    <w:rsid w:val="35DD318B"/>
    <w:rsid w:val="387102B7"/>
    <w:rsid w:val="3BE66E0F"/>
    <w:rsid w:val="3DEB58CC"/>
    <w:rsid w:val="40065EA7"/>
    <w:rsid w:val="42C07441"/>
    <w:rsid w:val="45EC4ABE"/>
    <w:rsid w:val="461850F0"/>
    <w:rsid w:val="46844065"/>
    <w:rsid w:val="492F4D30"/>
    <w:rsid w:val="49812AB5"/>
    <w:rsid w:val="49C675A5"/>
    <w:rsid w:val="4BDA592E"/>
    <w:rsid w:val="4EB856EA"/>
    <w:rsid w:val="4EE046D3"/>
    <w:rsid w:val="4F073DA1"/>
    <w:rsid w:val="4F594F37"/>
    <w:rsid w:val="53516BE1"/>
    <w:rsid w:val="542613B2"/>
    <w:rsid w:val="55D02326"/>
    <w:rsid w:val="56A9366E"/>
    <w:rsid w:val="581210BF"/>
    <w:rsid w:val="59CF07E6"/>
    <w:rsid w:val="5B5F2499"/>
    <w:rsid w:val="5BBF3AF7"/>
    <w:rsid w:val="5FCD31E5"/>
    <w:rsid w:val="62F6594F"/>
    <w:rsid w:val="64086331"/>
    <w:rsid w:val="64F042CB"/>
    <w:rsid w:val="67641810"/>
    <w:rsid w:val="67E32994"/>
    <w:rsid w:val="68130AE1"/>
    <w:rsid w:val="682B7BE2"/>
    <w:rsid w:val="68991375"/>
    <w:rsid w:val="68B201D9"/>
    <w:rsid w:val="69DE5100"/>
    <w:rsid w:val="6A535740"/>
    <w:rsid w:val="6A5945B0"/>
    <w:rsid w:val="6A82608E"/>
    <w:rsid w:val="6ABE5D52"/>
    <w:rsid w:val="6FD902CD"/>
    <w:rsid w:val="70273ED1"/>
    <w:rsid w:val="711C4DE6"/>
    <w:rsid w:val="71356E08"/>
    <w:rsid w:val="71717641"/>
    <w:rsid w:val="71865E79"/>
    <w:rsid w:val="729327CA"/>
    <w:rsid w:val="734760B4"/>
    <w:rsid w:val="75101DD1"/>
    <w:rsid w:val="76E5327E"/>
    <w:rsid w:val="773843EB"/>
    <w:rsid w:val="78E664FE"/>
    <w:rsid w:val="7A004C6A"/>
    <w:rsid w:val="7A396274"/>
    <w:rsid w:val="7CF56B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7"/>
    <w:semiHidden/>
    <w:unhideWhenUsed/>
    <w:qFormat/>
    <w:uiPriority w:val="99"/>
    <w:rPr>
      <w:rFonts w:ascii="宋体" w:eastAsia="宋体"/>
      <w:sz w:val="18"/>
      <w:szCs w:val="18"/>
    </w:rPr>
  </w:style>
  <w:style w:type="paragraph" w:styleId="6">
    <w:name w:val="Balloon Text"/>
    <w:basedOn w:val="1"/>
    <w:link w:val="33"/>
    <w:semiHidden/>
    <w:unhideWhenUsed/>
    <w:qFormat/>
    <w:uiPriority w:val="99"/>
    <w:pPr>
      <w:spacing w:after="0"/>
    </w:pPr>
    <w:rPr>
      <w:sz w:val="18"/>
      <w:szCs w:val="18"/>
    </w:rPr>
  </w:style>
  <w:style w:type="paragraph" w:styleId="7">
    <w:name w:val="footer"/>
    <w:basedOn w:val="1"/>
    <w:link w:val="32"/>
    <w:unhideWhenUsed/>
    <w:qFormat/>
    <w:uiPriority w:val="99"/>
    <w:pPr>
      <w:tabs>
        <w:tab w:val="center" w:pos="4153"/>
        <w:tab w:val="right" w:pos="8306"/>
      </w:tabs>
    </w:pPr>
    <w:rPr>
      <w:sz w:val="18"/>
      <w:szCs w:val="18"/>
    </w:rPr>
  </w:style>
  <w:style w:type="paragraph" w:styleId="8">
    <w:name w:val="header"/>
    <w:basedOn w:val="1"/>
    <w:link w:val="31"/>
    <w:unhideWhenUsed/>
    <w:qFormat/>
    <w:uiPriority w:val="99"/>
    <w:pPr>
      <w:pBdr>
        <w:bottom w:val="single" w:color="auto" w:sz="6" w:space="1"/>
      </w:pBdr>
      <w:tabs>
        <w:tab w:val="center" w:pos="4153"/>
        <w:tab w:val="right" w:pos="8306"/>
      </w:tabs>
      <w:jc w:val="center"/>
    </w:pPr>
    <w:rPr>
      <w:sz w:val="18"/>
      <w:szCs w:val="18"/>
    </w:rPr>
  </w:style>
  <w:style w:type="paragraph" w:styleId="9">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0">
    <w:name w:val="Title"/>
    <w:basedOn w:val="1"/>
    <w:next w:val="1"/>
    <w:link w:val="28"/>
    <w:qFormat/>
    <w:uiPriority w:val="10"/>
    <w:pPr>
      <w:spacing w:before="240" w:after="60"/>
      <w:jc w:val="center"/>
      <w:outlineLvl w:val="0"/>
    </w:pPr>
    <w:rPr>
      <w:rFonts w:eastAsia="宋体" w:asciiTheme="majorHAnsi" w:hAnsiTheme="majorHAnsi" w:cstheme="majorBidi"/>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FollowedHyperlink"/>
    <w:basedOn w:val="13"/>
    <w:semiHidden/>
    <w:unhideWhenUsed/>
    <w:qFormat/>
    <w:uiPriority w:val="99"/>
    <w:rPr>
      <w:color w:val="800080"/>
      <w:u w:val="none"/>
    </w:rPr>
  </w:style>
  <w:style w:type="character" w:styleId="16">
    <w:name w:val="Emphasis"/>
    <w:basedOn w:val="13"/>
    <w:qFormat/>
    <w:uiPriority w:val="20"/>
    <w:rPr>
      <w:b/>
      <w:bCs/>
    </w:rPr>
  </w:style>
  <w:style w:type="character" w:styleId="17">
    <w:name w:val="HTML Definition"/>
    <w:basedOn w:val="13"/>
    <w:semiHidden/>
    <w:unhideWhenUsed/>
    <w:qFormat/>
    <w:uiPriority w:val="99"/>
  </w:style>
  <w:style w:type="character" w:styleId="18">
    <w:name w:val="HTML Typewriter"/>
    <w:basedOn w:val="13"/>
    <w:semiHidden/>
    <w:unhideWhenUsed/>
    <w:qFormat/>
    <w:uiPriority w:val="99"/>
    <w:rPr>
      <w:rFonts w:ascii="monospace" w:hAnsi="monospace" w:eastAsia="monospace" w:cs="monospace"/>
      <w:sz w:val="20"/>
    </w:rPr>
  </w:style>
  <w:style w:type="character" w:styleId="19">
    <w:name w:val="HTML Acronym"/>
    <w:basedOn w:val="13"/>
    <w:semiHidden/>
    <w:unhideWhenUsed/>
    <w:qFormat/>
    <w:uiPriority w:val="99"/>
  </w:style>
  <w:style w:type="character" w:styleId="20">
    <w:name w:val="HTML Variable"/>
    <w:basedOn w:val="13"/>
    <w:semiHidden/>
    <w:unhideWhenUsed/>
    <w:qFormat/>
    <w:uiPriority w:val="99"/>
  </w:style>
  <w:style w:type="character" w:styleId="21">
    <w:name w:val="Hyperlink"/>
    <w:basedOn w:val="13"/>
    <w:semiHidden/>
    <w:unhideWhenUsed/>
    <w:qFormat/>
    <w:uiPriority w:val="99"/>
    <w:rPr>
      <w:color w:val="0000FF"/>
      <w:u w:val="none"/>
    </w:rPr>
  </w:style>
  <w:style w:type="character" w:styleId="22">
    <w:name w:val="HTML Code"/>
    <w:basedOn w:val="13"/>
    <w:semiHidden/>
    <w:unhideWhenUsed/>
    <w:qFormat/>
    <w:uiPriority w:val="99"/>
    <w:rPr>
      <w:rFonts w:hint="default" w:ascii="monospace" w:hAnsi="monospace" w:eastAsia="monospace" w:cs="monospace"/>
      <w:sz w:val="20"/>
    </w:rPr>
  </w:style>
  <w:style w:type="character" w:styleId="23">
    <w:name w:val="HTML Cite"/>
    <w:basedOn w:val="13"/>
    <w:semiHidden/>
    <w:unhideWhenUsed/>
    <w:qFormat/>
    <w:uiPriority w:val="99"/>
  </w:style>
  <w:style w:type="character" w:styleId="24">
    <w:name w:val="HTML Keyboard"/>
    <w:basedOn w:val="13"/>
    <w:semiHidden/>
    <w:unhideWhenUsed/>
    <w:qFormat/>
    <w:uiPriority w:val="99"/>
    <w:rPr>
      <w:rFonts w:hint="default" w:ascii="monospace" w:hAnsi="monospace" w:eastAsia="monospace" w:cs="monospace"/>
      <w:sz w:val="20"/>
    </w:rPr>
  </w:style>
  <w:style w:type="character" w:styleId="25">
    <w:name w:val="HTML Sample"/>
    <w:basedOn w:val="13"/>
    <w:semiHidden/>
    <w:unhideWhenUsed/>
    <w:qFormat/>
    <w:uiPriority w:val="99"/>
    <w:rPr>
      <w:rFonts w:hint="default" w:ascii="monospace" w:hAnsi="monospace" w:eastAsia="monospace" w:cs="monospace"/>
    </w:rPr>
  </w:style>
  <w:style w:type="character" w:customStyle="1" w:styleId="26">
    <w:name w:val="标题 1 Char"/>
    <w:basedOn w:val="13"/>
    <w:link w:val="2"/>
    <w:qFormat/>
    <w:uiPriority w:val="9"/>
    <w:rPr>
      <w:rFonts w:ascii="Tahoma" w:hAnsi="Tahoma"/>
      <w:b/>
      <w:bCs/>
      <w:kern w:val="44"/>
      <w:sz w:val="44"/>
      <w:szCs w:val="44"/>
    </w:rPr>
  </w:style>
  <w:style w:type="character" w:customStyle="1" w:styleId="27">
    <w:name w:val="标题 2 Char"/>
    <w:basedOn w:val="13"/>
    <w:link w:val="3"/>
    <w:qFormat/>
    <w:uiPriority w:val="9"/>
    <w:rPr>
      <w:rFonts w:asciiTheme="majorHAnsi" w:hAnsiTheme="majorHAnsi" w:eastAsiaTheme="majorEastAsia" w:cstheme="majorBidi"/>
      <w:b/>
      <w:bCs/>
      <w:sz w:val="32"/>
      <w:szCs w:val="32"/>
    </w:rPr>
  </w:style>
  <w:style w:type="character" w:customStyle="1" w:styleId="28">
    <w:name w:val="标题 Char"/>
    <w:basedOn w:val="13"/>
    <w:link w:val="10"/>
    <w:qFormat/>
    <w:uiPriority w:val="10"/>
    <w:rPr>
      <w:rFonts w:eastAsia="宋体" w:asciiTheme="majorHAnsi" w:hAnsiTheme="majorHAnsi" w:cstheme="majorBidi"/>
      <w:b/>
      <w:bCs/>
      <w:sz w:val="32"/>
      <w:szCs w:val="32"/>
    </w:rPr>
  </w:style>
  <w:style w:type="character" w:customStyle="1" w:styleId="29">
    <w:name w:val="标题 3 Char"/>
    <w:basedOn w:val="13"/>
    <w:link w:val="4"/>
    <w:qFormat/>
    <w:uiPriority w:val="9"/>
    <w:rPr>
      <w:rFonts w:ascii="Tahoma" w:hAnsi="Tahoma"/>
      <w:b/>
      <w:bCs/>
      <w:sz w:val="32"/>
      <w:szCs w:val="32"/>
    </w:rPr>
  </w:style>
  <w:style w:type="paragraph" w:styleId="30">
    <w:name w:val="List Paragraph"/>
    <w:basedOn w:val="1"/>
    <w:qFormat/>
    <w:uiPriority w:val="34"/>
    <w:pPr>
      <w:ind w:firstLine="420" w:firstLineChars="200"/>
    </w:pPr>
  </w:style>
  <w:style w:type="character" w:customStyle="1" w:styleId="31">
    <w:name w:val="页眉 Char"/>
    <w:basedOn w:val="13"/>
    <w:link w:val="8"/>
    <w:qFormat/>
    <w:uiPriority w:val="99"/>
    <w:rPr>
      <w:rFonts w:ascii="Tahoma" w:hAnsi="Tahoma"/>
      <w:sz w:val="18"/>
      <w:szCs w:val="18"/>
    </w:rPr>
  </w:style>
  <w:style w:type="character" w:customStyle="1" w:styleId="32">
    <w:name w:val="页脚 Char"/>
    <w:basedOn w:val="13"/>
    <w:link w:val="7"/>
    <w:qFormat/>
    <w:uiPriority w:val="99"/>
    <w:rPr>
      <w:rFonts w:ascii="Tahoma" w:hAnsi="Tahoma"/>
      <w:sz w:val="18"/>
      <w:szCs w:val="18"/>
    </w:rPr>
  </w:style>
  <w:style w:type="character" w:customStyle="1" w:styleId="33">
    <w:name w:val="批注框文本 Char"/>
    <w:basedOn w:val="13"/>
    <w:link w:val="6"/>
    <w:semiHidden/>
    <w:qFormat/>
    <w:uiPriority w:val="99"/>
    <w:rPr>
      <w:rFonts w:ascii="Tahoma" w:hAnsi="Tahoma"/>
      <w:sz w:val="18"/>
      <w:szCs w:val="18"/>
    </w:rPr>
  </w:style>
  <w:style w:type="paragraph" w:customStyle="1" w:styleId="34">
    <w:name w:val="Default"/>
    <w:qFormat/>
    <w:uiPriority w:val="0"/>
    <w:pPr>
      <w:widowControl w:val="0"/>
      <w:autoSpaceDE w:val="0"/>
      <w:autoSpaceDN w:val="0"/>
      <w:adjustRightInd w:val="0"/>
    </w:pPr>
    <w:rPr>
      <w:rFonts w:ascii="Arial" w:hAnsi="Arial" w:eastAsia="宋体" w:cs="Times New Roman"/>
      <w:color w:val="000000"/>
      <w:sz w:val="24"/>
      <w:szCs w:val="24"/>
      <w:lang w:val="en-US" w:eastAsia="zh-CN" w:bidi="ar-SA"/>
    </w:rPr>
  </w:style>
  <w:style w:type="paragraph" w:customStyle="1" w:styleId="35">
    <w:name w:val="※正文（缩进4）"/>
    <w:basedOn w:val="36"/>
    <w:qFormat/>
    <w:uiPriority w:val="0"/>
    <w:pPr>
      <w:ind w:firstLine="400" w:firstLineChars="400"/>
    </w:pPr>
  </w:style>
  <w:style w:type="paragraph" w:customStyle="1" w:styleId="36">
    <w:name w:val="※正文"/>
    <w:basedOn w:val="1"/>
    <w:next w:val="1"/>
    <w:qFormat/>
    <w:uiPriority w:val="0"/>
    <w:pPr>
      <w:wordWrap w:val="0"/>
    </w:pPr>
  </w:style>
  <w:style w:type="character" w:customStyle="1" w:styleId="37">
    <w:name w:val="文档结构图 Char"/>
    <w:basedOn w:val="13"/>
    <w:link w:val="5"/>
    <w:semiHidden/>
    <w:qFormat/>
    <w:uiPriority w:val="99"/>
    <w:rPr>
      <w:rFonts w:ascii="宋体" w:hAnsi="Tahoma" w:eastAsia="宋体"/>
      <w:sz w:val="18"/>
      <w:szCs w:val="18"/>
    </w:rPr>
  </w:style>
  <w:style w:type="character" w:customStyle="1" w:styleId="38">
    <w:name w:val="NormalCharacter"/>
    <w:semiHidden/>
    <w:qFormat/>
    <w:uiPriority w:val="0"/>
    <w:rPr>
      <w:rFonts w:ascii="Calibri Light" w:hAnsi="Calibri Light" w:eastAsia="华文仿宋" w:cstheme="minorBidi"/>
      <w:kern w:val="2"/>
      <w:sz w:val="28"/>
      <w:szCs w:val="28"/>
      <w:lang w:val="en-US" w:eastAsia="zh-CN" w:bidi="ar-SA"/>
    </w:rPr>
  </w:style>
  <w:style w:type="character" w:customStyle="1" w:styleId="39">
    <w:name w:val="layui-layer-tabnow"/>
    <w:basedOn w:val="13"/>
    <w:qFormat/>
    <w:uiPriority w:val="0"/>
    <w:rPr>
      <w:bdr w:val="single" w:color="CCCCCC" w:sz="4" w:space="0"/>
      <w:shd w:val="clear" w:fill="FFFFFF"/>
    </w:rPr>
  </w:style>
  <w:style w:type="character" w:customStyle="1" w:styleId="40">
    <w:name w:val="first-child"/>
    <w:basedOn w:val="1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12EF4DF-F146-41E2-8387-D7D3B01E6069}">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606</Words>
  <Characters>705</Characters>
  <Lines>1</Lines>
  <Paragraphs>2</Paragraphs>
  <TotalTime>2</TotalTime>
  <ScaleCrop>false</ScaleCrop>
  <LinksUpToDate>false</LinksUpToDate>
  <CharactersWithSpaces>727</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2014-03-06T02:21:00Z</dcterms:created>
  <dc:creator>XCZX-FengMingyue</dc:creator>
  <cp:lastModifiedBy>趋之若鹜</cp:lastModifiedBy>
  <cp:lastPrinted>2023-06-14T09:20:00Z</cp:lastPrinted>
  <dcterms:modified xsi:type="dcterms:W3CDTF">2025-09-22T08:21:30Z</dcterms:modified>
  <cp:revision>270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656D4D9D20114066AD70E0F09375592A</vt:lpwstr>
  </property>
  <property fmtid="{D5CDD505-2E9C-101B-9397-08002B2CF9AE}" pid="4" name="KSOTemplateDocerSaveRecord">
    <vt:lpwstr>eyJoZGlkIjoiMDdhNmY5MDRkNzMxM2U4NjhlOGNlZDI5NTQxZmEwZTciLCJ1c2VySWQiOiIyNTgyNjMyMzkifQ==</vt:lpwstr>
  </property>
</Properties>
</file>