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51352">
      <w:pPr>
        <w:widowControl/>
        <w:jc w:val="left"/>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eastAsia="zh-CN"/>
        </w:rPr>
        <w:t>附件</w:t>
      </w:r>
      <w:r>
        <w:rPr>
          <w:rFonts w:hint="eastAsia" w:ascii="宋体" w:hAnsi="宋体" w:eastAsia="宋体" w:cs="宋体"/>
          <w:b/>
          <w:color w:val="auto"/>
          <w:sz w:val="32"/>
          <w:szCs w:val="32"/>
          <w:lang w:val="en-US" w:eastAsia="zh-CN"/>
        </w:rPr>
        <w:t>1：政府采购需求书（</w:t>
      </w:r>
      <w:r>
        <w:rPr>
          <w:rFonts w:hint="eastAsia" w:ascii="宋体" w:hAnsi="宋体" w:eastAsia="宋体" w:cs="宋体"/>
          <w:b/>
          <w:sz w:val="32"/>
          <w:szCs w:val="32"/>
          <w:lang w:val="en-US" w:eastAsia="zh-CN"/>
        </w:rPr>
        <w:t>工程类</w:t>
      </w:r>
      <w:r>
        <w:rPr>
          <w:rFonts w:hint="eastAsia" w:ascii="宋体" w:hAnsi="宋体" w:eastAsia="宋体" w:cs="宋体"/>
          <w:b/>
          <w:color w:val="auto"/>
          <w:sz w:val="32"/>
          <w:szCs w:val="32"/>
          <w:lang w:val="en-US" w:eastAsia="zh-CN"/>
        </w:rPr>
        <w:t>）</w:t>
      </w:r>
    </w:p>
    <w:tbl>
      <w:tblPr>
        <w:tblStyle w:val="13"/>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3AB0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CCBA290">
            <w:pPr>
              <w:keepNext w:val="0"/>
              <w:keepLines w:val="0"/>
              <w:pageBreakBefore w:val="0"/>
              <w:kinsoku/>
              <w:wordWrap/>
              <w:overflowPunct/>
              <w:topLinePunct w:val="0"/>
              <w:bidi w:val="0"/>
              <w:snapToGrid w:val="0"/>
              <w:spacing w:line="288" w:lineRule="auto"/>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zh-CN"/>
              </w:rPr>
              <w:t>序号</w:t>
            </w:r>
          </w:p>
        </w:tc>
        <w:tc>
          <w:tcPr>
            <w:tcW w:w="1556" w:type="dxa"/>
            <w:vAlign w:val="center"/>
          </w:tcPr>
          <w:p w14:paraId="068D9C96">
            <w:pPr>
              <w:pStyle w:val="37"/>
              <w:keepNext w:val="0"/>
              <w:keepLines w:val="0"/>
              <w:pageBreakBefore w:val="0"/>
              <w:kinsoku/>
              <w:wordWrap/>
              <w:overflowPunct/>
              <w:topLinePunct w:val="0"/>
              <w:bidi w:val="0"/>
              <w:spacing w:line="288" w:lineRule="auto"/>
              <w:ind w:left="38"/>
              <w:jc w:val="center"/>
              <w:textAlignment w:val="auto"/>
              <w:rPr>
                <w:rFonts w:hint="eastAsia" w:ascii="宋体" w:hAnsi="宋体" w:eastAsia="宋体" w:cs="宋体"/>
                <w:b/>
                <w:bCs w:val="0"/>
                <w:color w:val="auto"/>
                <w:kern w:val="2"/>
                <w:sz w:val="24"/>
                <w:szCs w:val="24"/>
                <w:lang w:val="zh-CN"/>
              </w:rPr>
            </w:pPr>
            <w:r>
              <w:rPr>
                <w:rFonts w:hint="eastAsia" w:ascii="宋体" w:hAnsi="宋体" w:eastAsia="宋体" w:cs="宋体"/>
                <w:b/>
                <w:bCs w:val="0"/>
                <w:color w:val="auto"/>
                <w:kern w:val="2"/>
                <w:sz w:val="24"/>
                <w:szCs w:val="24"/>
                <w:lang w:val="zh-CN"/>
              </w:rPr>
              <w:t>关键事项</w:t>
            </w:r>
          </w:p>
        </w:tc>
        <w:tc>
          <w:tcPr>
            <w:tcW w:w="7067" w:type="dxa"/>
            <w:vAlign w:val="center"/>
          </w:tcPr>
          <w:p w14:paraId="0EE7D3E7">
            <w:pPr>
              <w:pStyle w:val="37"/>
              <w:keepNext w:val="0"/>
              <w:keepLines w:val="0"/>
              <w:pageBreakBefore w:val="0"/>
              <w:kinsoku/>
              <w:wordWrap/>
              <w:overflowPunct/>
              <w:topLinePunct w:val="0"/>
              <w:bidi w:val="0"/>
              <w:spacing w:line="288" w:lineRule="auto"/>
              <w:jc w:val="center"/>
              <w:textAlignment w:val="auto"/>
              <w:rPr>
                <w:rFonts w:hint="eastAsia" w:ascii="宋体" w:hAnsi="宋体" w:eastAsia="宋体" w:cs="宋体"/>
                <w:b/>
                <w:bCs w:val="0"/>
                <w:color w:val="auto"/>
                <w:kern w:val="2"/>
                <w:sz w:val="24"/>
                <w:szCs w:val="24"/>
                <w:lang w:val="zh-CN"/>
              </w:rPr>
            </w:pPr>
            <w:r>
              <w:rPr>
                <w:rFonts w:hint="eastAsia" w:ascii="宋体" w:hAnsi="宋体" w:eastAsia="宋体" w:cs="宋体"/>
                <w:b/>
                <w:bCs w:val="0"/>
                <w:color w:val="auto"/>
                <w:kern w:val="2"/>
                <w:sz w:val="24"/>
                <w:szCs w:val="24"/>
                <w:lang w:val="zh-CN"/>
              </w:rPr>
              <w:t>说明和要求</w:t>
            </w:r>
          </w:p>
        </w:tc>
      </w:tr>
      <w:tr w14:paraId="7CB9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E4DBFD3">
            <w:pPr>
              <w:keepNext w:val="0"/>
              <w:keepLines w:val="0"/>
              <w:pageBreakBefore w:val="0"/>
              <w:kinsoku/>
              <w:wordWrap/>
              <w:overflowPunct/>
              <w:topLinePunct w:val="0"/>
              <w:bidi w:val="0"/>
              <w:snapToGrid w:val="0"/>
              <w:spacing w:after="200" w:line="288" w:lineRule="auto"/>
              <w:jc w:val="center"/>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w:t>
            </w:r>
          </w:p>
        </w:tc>
        <w:tc>
          <w:tcPr>
            <w:tcW w:w="1556" w:type="dxa"/>
            <w:vAlign w:val="center"/>
          </w:tcPr>
          <w:p w14:paraId="15106640">
            <w:pPr>
              <w:pStyle w:val="37"/>
              <w:keepNext w:val="0"/>
              <w:keepLines w:val="0"/>
              <w:pageBreakBefore w:val="0"/>
              <w:kinsoku/>
              <w:wordWrap/>
              <w:overflowPunct/>
              <w:topLinePunct w:val="0"/>
              <w:bidi w:val="0"/>
              <w:spacing w:line="288" w:lineRule="auto"/>
              <w:ind w:left="38"/>
              <w:jc w:val="center"/>
              <w:textAlignment w:val="auto"/>
              <w:rPr>
                <w:rFonts w:hint="eastAsia" w:ascii="宋体" w:hAnsi="宋体" w:eastAsia="宋体" w:cs="宋体"/>
                <w:b w:val="0"/>
                <w:bCs/>
                <w:color w:val="auto"/>
                <w:kern w:val="2"/>
                <w:sz w:val="24"/>
                <w:szCs w:val="24"/>
                <w:lang w:val="zh-CN"/>
              </w:rPr>
            </w:pPr>
            <w:r>
              <w:rPr>
                <w:rFonts w:hint="eastAsia" w:ascii="宋体" w:hAnsi="宋体" w:eastAsia="宋体" w:cs="宋体"/>
                <w:b w:val="0"/>
                <w:bCs/>
                <w:color w:val="auto"/>
                <w:kern w:val="2"/>
                <w:sz w:val="24"/>
                <w:szCs w:val="24"/>
                <w:lang w:val="zh-CN"/>
              </w:rPr>
              <w:t>采购预算</w:t>
            </w:r>
          </w:p>
        </w:tc>
        <w:tc>
          <w:tcPr>
            <w:tcW w:w="7067" w:type="dxa"/>
            <w:vAlign w:val="center"/>
          </w:tcPr>
          <w:p w14:paraId="39E28AAC">
            <w:pPr>
              <w:pStyle w:val="37"/>
              <w:keepNext w:val="0"/>
              <w:keepLines w:val="0"/>
              <w:pageBreakBefore w:val="0"/>
              <w:kinsoku/>
              <w:wordWrap/>
              <w:overflowPunct/>
              <w:topLinePunct w:val="0"/>
              <w:bidi w:val="0"/>
              <w:spacing w:line="288" w:lineRule="auto"/>
              <w:jc w:val="both"/>
              <w:textAlignment w:val="auto"/>
              <w:rPr>
                <w:rFonts w:hint="eastAsia" w:ascii="宋体" w:hAnsi="宋体" w:eastAsia="宋体" w:cs="宋体"/>
                <w:b w:val="0"/>
                <w:bCs/>
                <w:color w:val="auto"/>
                <w:kern w:val="2"/>
                <w:sz w:val="24"/>
                <w:szCs w:val="24"/>
                <w:lang w:val="zh-CN"/>
              </w:rPr>
            </w:pPr>
            <w:r>
              <w:rPr>
                <w:rFonts w:hint="eastAsia" w:ascii="宋体" w:hAnsi="宋体" w:eastAsia="宋体" w:cs="宋体"/>
                <w:b/>
                <w:bCs w:val="0"/>
                <w:color w:val="auto"/>
                <w:kern w:val="2"/>
                <w:sz w:val="24"/>
                <w:szCs w:val="24"/>
                <w:lang w:val="zh-CN"/>
              </w:rPr>
              <w:t>人民币</w:t>
            </w:r>
            <w:r>
              <w:rPr>
                <w:rFonts w:ascii="仿宋_GB2312" w:hAnsi="仿宋_GB2312" w:eastAsia="仿宋_GB2312" w:cs="仿宋_GB2312"/>
              </w:rPr>
              <w:t xml:space="preserve"> </w:t>
            </w:r>
            <w:r>
              <w:rPr>
                <w:rFonts w:hint="eastAsia" w:ascii="宋体" w:hAnsi="宋体" w:eastAsia="宋体" w:cs="宋体"/>
                <w:b/>
                <w:bCs w:val="0"/>
                <w:color w:val="auto"/>
                <w:kern w:val="2"/>
                <w:sz w:val="24"/>
                <w:szCs w:val="24"/>
                <w:lang w:val="zh-CN"/>
              </w:rPr>
              <w:t>2590286.42</w:t>
            </w:r>
            <w:r>
              <w:rPr>
                <w:rFonts w:hint="eastAsia" w:ascii="宋体" w:hAnsi="宋体" w:eastAsia="宋体" w:cs="宋体"/>
                <w:b/>
                <w:bCs w:val="0"/>
                <w:color w:val="auto"/>
                <w:kern w:val="2"/>
                <w:sz w:val="24"/>
                <w:szCs w:val="24"/>
                <w:lang w:val="zh-CN" w:eastAsia="zh-CN"/>
              </w:rPr>
              <w:t>元</w:t>
            </w:r>
          </w:p>
        </w:tc>
      </w:tr>
      <w:tr w14:paraId="10CD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15" w:hRule="atLeast"/>
          <w:jc w:val="center"/>
        </w:trPr>
        <w:tc>
          <w:tcPr>
            <w:tcW w:w="689" w:type="dxa"/>
            <w:vMerge w:val="restart"/>
            <w:vAlign w:val="center"/>
          </w:tcPr>
          <w:p w14:paraId="4C635D2B">
            <w:pPr>
              <w:keepNext w:val="0"/>
              <w:keepLines w:val="0"/>
              <w:pageBreakBefore w:val="0"/>
              <w:kinsoku/>
              <w:wordWrap/>
              <w:overflowPunct/>
              <w:topLinePunct w:val="0"/>
              <w:bidi w:val="0"/>
              <w:snapToGrid w:val="0"/>
              <w:spacing w:after="200" w:line="288" w:lineRule="auto"/>
              <w:jc w:val="center"/>
              <w:textAlignment w:val="auto"/>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en-US" w:eastAsia="zh-CN" w:bidi="ar-SA"/>
              </w:rPr>
              <w:t>2</w:t>
            </w:r>
          </w:p>
        </w:tc>
        <w:tc>
          <w:tcPr>
            <w:tcW w:w="1556" w:type="dxa"/>
            <w:vMerge w:val="restart"/>
            <w:vAlign w:val="center"/>
          </w:tcPr>
          <w:p w14:paraId="44F861F4">
            <w:pPr>
              <w:pStyle w:val="37"/>
              <w:keepNext w:val="0"/>
              <w:keepLines w:val="0"/>
              <w:pageBreakBefore w:val="0"/>
              <w:kinsoku/>
              <w:wordWrap/>
              <w:overflowPunct/>
              <w:topLinePunct w:val="0"/>
              <w:bidi w:val="0"/>
              <w:spacing w:line="288" w:lineRule="auto"/>
              <w:ind w:left="38"/>
              <w:jc w:val="center"/>
              <w:textAlignment w:val="auto"/>
              <w:rPr>
                <w:rFonts w:hint="eastAsia" w:ascii="宋体" w:hAnsi="宋体" w:eastAsia="宋体" w:cs="宋体"/>
                <w:b w:val="0"/>
                <w:bCs/>
                <w:color w:val="auto"/>
                <w:kern w:val="2"/>
                <w:sz w:val="24"/>
                <w:szCs w:val="24"/>
                <w:lang w:val="zh-CN"/>
              </w:rPr>
            </w:pPr>
            <w:r>
              <w:rPr>
                <w:rFonts w:hint="eastAsia" w:ascii="宋体" w:hAnsi="宋体" w:eastAsia="宋体" w:cs="宋体"/>
                <w:b w:val="0"/>
                <w:bCs/>
                <w:color w:val="auto"/>
                <w:kern w:val="2"/>
                <w:sz w:val="24"/>
                <w:szCs w:val="24"/>
                <w:lang w:val="zh-CN"/>
              </w:rPr>
              <w:t>项目性质</w:t>
            </w:r>
          </w:p>
        </w:tc>
        <w:tc>
          <w:tcPr>
            <w:tcW w:w="7067" w:type="dxa"/>
            <w:vAlign w:val="center"/>
          </w:tcPr>
          <w:p w14:paraId="75D46125">
            <w:pPr>
              <w:pStyle w:val="37"/>
              <w:keepNext w:val="0"/>
              <w:keepLines w:val="0"/>
              <w:pageBreakBefore w:val="0"/>
              <w:kinsoku/>
              <w:wordWrap/>
              <w:overflowPunct/>
              <w:topLinePunct w:val="0"/>
              <w:bidi w:val="0"/>
              <w:spacing w:line="288" w:lineRule="auto"/>
              <w:jc w:val="both"/>
              <w:textAlignment w:val="auto"/>
              <w:rPr>
                <w:rFonts w:hint="eastAsia" w:ascii="宋体" w:hAnsi="宋体" w:eastAsia="宋体" w:cs="宋体"/>
                <w:b/>
                <w:bCs w:val="0"/>
                <w:color w:val="auto"/>
                <w:kern w:val="2"/>
                <w:sz w:val="24"/>
                <w:szCs w:val="24"/>
                <w:lang w:val="zh-CN"/>
              </w:rPr>
            </w:pPr>
            <w:r>
              <w:rPr>
                <w:rFonts w:hint="eastAsia" w:ascii="宋体" w:hAnsi="宋体" w:eastAsia="宋体" w:cs="宋体"/>
                <w:b/>
                <w:bCs w:val="0"/>
                <w:color w:val="auto"/>
                <w:kern w:val="2"/>
                <w:sz w:val="24"/>
                <w:szCs w:val="24"/>
                <w:lang w:val="zh-CN"/>
              </w:rPr>
              <w:sym w:font="Wingdings" w:char="00FE"/>
            </w:r>
            <w:r>
              <w:rPr>
                <w:rFonts w:hint="eastAsia" w:ascii="宋体" w:hAnsi="宋体" w:eastAsia="宋体" w:cs="宋体"/>
                <w:b/>
                <w:bCs w:val="0"/>
                <w:color w:val="auto"/>
                <w:kern w:val="2"/>
                <w:sz w:val="24"/>
                <w:szCs w:val="24"/>
                <w:lang w:val="zh-CN"/>
              </w:rPr>
              <w:t>专门面向中小企业采购</w:t>
            </w:r>
          </w:p>
          <w:p w14:paraId="552A2AC2">
            <w:pPr>
              <w:pStyle w:val="37"/>
              <w:keepNext w:val="0"/>
              <w:keepLines w:val="0"/>
              <w:pageBreakBefore w:val="0"/>
              <w:kinsoku/>
              <w:wordWrap/>
              <w:overflowPunct/>
              <w:topLinePunct w:val="0"/>
              <w:bidi w:val="0"/>
              <w:spacing w:line="288" w:lineRule="auto"/>
              <w:ind w:left="38"/>
              <w:jc w:val="both"/>
              <w:textAlignment w:val="auto"/>
              <w:rPr>
                <w:rFonts w:hint="eastAsia" w:ascii="宋体" w:hAnsi="宋体" w:eastAsia="宋体" w:cs="宋体"/>
                <w:b w:val="0"/>
                <w:bCs/>
                <w:color w:val="auto"/>
                <w:kern w:val="2"/>
                <w:sz w:val="24"/>
                <w:szCs w:val="24"/>
                <w:lang w:val="zh-CN"/>
              </w:rPr>
            </w:pPr>
            <w:r>
              <w:rPr>
                <w:rFonts w:hint="eastAsia" w:ascii="宋体" w:hAnsi="宋体" w:eastAsia="宋体" w:cs="宋体"/>
                <w:b w:val="0"/>
                <w:bCs/>
                <w:color w:val="auto"/>
                <w:kern w:val="2"/>
                <w:sz w:val="24"/>
                <w:szCs w:val="24"/>
                <w:lang w:val="zh-CN"/>
              </w:rPr>
              <w:t>仅允许中小企业或小型、微型企业参与投标。</w:t>
            </w:r>
          </w:p>
        </w:tc>
      </w:tr>
      <w:tr w14:paraId="75E5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83" w:hRule="atLeast"/>
          <w:jc w:val="center"/>
        </w:trPr>
        <w:tc>
          <w:tcPr>
            <w:tcW w:w="689" w:type="dxa"/>
            <w:vMerge w:val="continue"/>
            <w:vAlign w:val="center"/>
          </w:tcPr>
          <w:p w14:paraId="2AACC965">
            <w:pPr>
              <w:keepNext w:val="0"/>
              <w:keepLines w:val="0"/>
              <w:pageBreakBefore w:val="0"/>
              <w:kinsoku/>
              <w:wordWrap/>
              <w:overflowPunct/>
              <w:topLinePunct w:val="0"/>
              <w:bidi w:val="0"/>
              <w:snapToGrid w:val="0"/>
              <w:spacing w:after="200" w:line="288" w:lineRule="auto"/>
              <w:jc w:val="center"/>
              <w:textAlignment w:val="auto"/>
              <w:rPr>
                <w:rFonts w:hint="eastAsia" w:ascii="宋体" w:hAnsi="宋体" w:eastAsia="宋体" w:cs="宋体"/>
                <w:b w:val="0"/>
                <w:bCs/>
                <w:color w:val="auto"/>
                <w:kern w:val="2"/>
                <w:sz w:val="24"/>
                <w:szCs w:val="24"/>
                <w:lang w:val="zh-CN" w:eastAsia="zh-CN" w:bidi="ar-SA"/>
              </w:rPr>
            </w:pPr>
          </w:p>
        </w:tc>
        <w:tc>
          <w:tcPr>
            <w:tcW w:w="1556" w:type="dxa"/>
            <w:vMerge w:val="continue"/>
            <w:vAlign w:val="center"/>
          </w:tcPr>
          <w:p w14:paraId="02FFEBE5">
            <w:pPr>
              <w:pStyle w:val="37"/>
              <w:keepNext w:val="0"/>
              <w:keepLines w:val="0"/>
              <w:pageBreakBefore w:val="0"/>
              <w:kinsoku/>
              <w:wordWrap/>
              <w:overflowPunct/>
              <w:topLinePunct w:val="0"/>
              <w:bidi w:val="0"/>
              <w:spacing w:line="288" w:lineRule="auto"/>
              <w:ind w:left="96"/>
              <w:jc w:val="center"/>
              <w:textAlignment w:val="auto"/>
              <w:rPr>
                <w:rFonts w:hint="eastAsia" w:ascii="宋体" w:hAnsi="宋体" w:eastAsia="宋体" w:cs="宋体"/>
                <w:b w:val="0"/>
                <w:bCs/>
                <w:color w:val="auto"/>
                <w:kern w:val="2"/>
                <w:sz w:val="24"/>
                <w:szCs w:val="24"/>
                <w:lang w:val="zh-CN"/>
              </w:rPr>
            </w:pPr>
          </w:p>
        </w:tc>
        <w:tc>
          <w:tcPr>
            <w:tcW w:w="7067" w:type="dxa"/>
            <w:vAlign w:val="center"/>
          </w:tcPr>
          <w:p w14:paraId="115932D7">
            <w:pPr>
              <w:keepNext w:val="0"/>
              <w:keepLines w:val="0"/>
              <w:pageBreakBefore w:val="0"/>
              <w:kinsoku/>
              <w:wordWrap/>
              <w:overflowPunct/>
              <w:topLinePunct w:val="0"/>
              <w:bidi w:val="0"/>
              <w:spacing w:line="288" w:lineRule="auto"/>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kern w:val="2"/>
                <w:sz w:val="24"/>
                <w:szCs w:val="24"/>
                <w:lang w:val="zh-CN"/>
              </w:rPr>
              <w:sym w:font="Wingdings" w:char="00A8"/>
            </w:r>
            <w:r>
              <w:rPr>
                <w:rFonts w:hint="eastAsia" w:ascii="宋体" w:hAnsi="宋体" w:eastAsia="宋体" w:cs="宋体"/>
                <w:b/>
                <w:bCs w:val="0"/>
                <w:color w:val="auto"/>
                <w:sz w:val="24"/>
                <w:szCs w:val="24"/>
                <w:lang w:val="zh-CN"/>
              </w:rPr>
              <w:t>非专门面向中小企业采购</w:t>
            </w:r>
          </w:p>
          <w:p w14:paraId="7FFE301B">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lang w:val="zh-CN"/>
              </w:rPr>
              <w:t>对符合《政府采购促进中小企业发展管理办法》（财库〔2020〕46号）规定的小微企业（监狱企业视同小型、微型企业）的报价</w:t>
            </w:r>
            <w:r>
              <w:rPr>
                <w:rFonts w:hint="eastAsia" w:ascii="宋体" w:hAnsi="宋体" w:eastAsia="宋体" w:cs="宋体"/>
                <w:b/>
                <w:bCs w:val="0"/>
                <w:color w:val="auto"/>
                <w:kern w:val="0"/>
                <w:sz w:val="24"/>
                <w:szCs w:val="24"/>
                <w:lang w:val="zh-CN"/>
              </w:rPr>
              <w:t>给予</w:t>
            </w:r>
            <w:r>
              <w:rPr>
                <w:rFonts w:hint="eastAsia" w:ascii="宋体" w:hAnsi="宋体" w:eastAsia="宋体" w:cs="宋体"/>
                <w:b/>
                <w:bCs w:val="0"/>
                <w:color w:val="auto"/>
                <w:kern w:val="0"/>
                <w:sz w:val="24"/>
                <w:szCs w:val="24"/>
                <w:u w:val="single"/>
                <w:lang w:val="zh-CN"/>
              </w:rPr>
              <w:t>_</w:t>
            </w:r>
            <w:r>
              <w:rPr>
                <w:rFonts w:hint="eastAsia" w:ascii="宋体" w:hAnsi="宋体" w:eastAsia="宋体" w:cs="宋体"/>
                <w:b/>
                <w:bCs w:val="0"/>
                <w:color w:val="auto"/>
                <w:kern w:val="0"/>
                <w:sz w:val="24"/>
                <w:szCs w:val="24"/>
                <w:u w:val="single"/>
                <w:lang w:val="en-US" w:eastAsia="zh-CN"/>
              </w:rPr>
              <w:t>3</w:t>
            </w:r>
            <w:r>
              <w:rPr>
                <w:rFonts w:hint="eastAsia" w:ascii="宋体" w:hAnsi="宋体" w:eastAsia="宋体" w:cs="宋体"/>
                <w:b/>
                <w:bCs w:val="0"/>
                <w:color w:val="auto"/>
                <w:kern w:val="0"/>
                <w:sz w:val="24"/>
                <w:szCs w:val="24"/>
                <w:u w:val="single"/>
                <w:lang w:val="zh-CN"/>
              </w:rPr>
              <w:t>_</w:t>
            </w:r>
            <w:r>
              <w:rPr>
                <w:rFonts w:hint="eastAsia" w:ascii="宋体" w:hAnsi="宋体" w:eastAsia="宋体" w:cs="宋体"/>
                <w:b/>
                <w:bCs w:val="0"/>
                <w:color w:val="auto"/>
                <w:kern w:val="0"/>
                <w:sz w:val="24"/>
                <w:szCs w:val="24"/>
                <w:lang w:val="zh-CN"/>
              </w:rPr>
              <w:t>%（</w:t>
            </w:r>
            <w:r>
              <w:rPr>
                <w:rFonts w:hint="eastAsia" w:ascii="宋体" w:hAnsi="宋体" w:eastAsia="宋体" w:cs="宋体"/>
                <w:b/>
                <w:bCs w:val="0"/>
                <w:color w:val="auto"/>
                <w:kern w:val="0"/>
                <w:sz w:val="24"/>
                <w:szCs w:val="24"/>
                <w:lang w:val="en-US" w:eastAsia="zh-CN"/>
              </w:rPr>
              <w:t>3</w:t>
            </w:r>
            <w:r>
              <w:rPr>
                <w:rFonts w:hint="eastAsia" w:ascii="宋体" w:hAnsi="宋体" w:eastAsia="宋体" w:cs="宋体"/>
                <w:b/>
                <w:bCs w:val="0"/>
                <w:color w:val="auto"/>
                <w:kern w:val="0"/>
                <w:sz w:val="24"/>
                <w:szCs w:val="24"/>
                <w:lang w:val="zh-CN"/>
              </w:rPr>
              <w:t>%-</w:t>
            </w:r>
            <w:r>
              <w:rPr>
                <w:rFonts w:hint="eastAsia" w:ascii="宋体" w:hAnsi="宋体" w:eastAsia="宋体" w:cs="宋体"/>
                <w:b/>
                <w:bCs w:val="0"/>
                <w:color w:val="auto"/>
                <w:kern w:val="0"/>
                <w:sz w:val="24"/>
                <w:szCs w:val="24"/>
                <w:lang w:val="en-US" w:eastAsia="zh-CN"/>
              </w:rPr>
              <w:t>5</w:t>
            </w:r>
            <w:r>
              <w:rPr>
                <w:rFonts w:hint="eastAsia" w:ascii="宋体" w:hAnsi="宋体" w:eastAsia="宋体" w:cs="宋体"/>
                <w:b/>
                <w:bCs w:val="0"/>
                <w:color w:val="auto"/>
                <w:kern w:val="0"/>
                <w:sz w:val="24"/>
                <w:szCs w:val="24"/>
                <w:lang w:val="zh-CN"/>
              </w:rPr>
              <w:t>%）的扣除</w:t>
            </w:r>
            <w:r>
              <w:rPr>
                <w:rFonts w:hint="eastAsia" w:ascii="宋体" w:hAnsi="宋体" w:eastAsia="宋体" w:cs="宋体"/>
                <w:b w:val="0"/>
                <w:bCs/>
                <w:color w:val="auto"/>
                <w:kern w:val="0"/>
                <w:sz w:val="24"/>
                <w:szCs w:val="24"/>
                <w:lang w:val="zh-CN"/>
              </w:rPr>
              <w:t>，用扣除后的价格参加评审。</w:t>
            </w:r>
          </w:p>
        </w:tc>
      </w:tr>
      <w:tr w14:paraId="3102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F973A8F">
            <w:pPr>
              <w:keepNext w:val="0"/>
              <w:keepLines w:val="0"/>
              <w:pageBreakBefore w:val="0"/>
              <w:kinsoku/>
              <w:wordWrap/>
              <w:overflowPunct/>
              <w:topLinePunct w:val="0"/>
              <w:bidi w:val="0"/>
              <w:snapToGrid w:val="0"/>
              <w:spacing w:after="200" w:line="288" w:lineRule="auto"/>
              <w:jc w:val="center"/>
              <w:textAlignment w:val="auto"/>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en-US" w:eastAsia="zh-CN" w:bidi="ar-SA"/>
              </w:rPr>
              <w:t>3</w:t>
            </w:r>
          </w:p>
        </w:tc>
        <w:tc>
          <w:tcPr>
            <w:tcW w:w="1556" w:type="dxa"/>
            <w:vAlign w:val="center"/>
          </w:tcPr>
          <w:p w14:paraId="0D4B6198">
            <w:pPr>
              <w:pStyle w:val="37"/>
              <w:keepNext w:val="0"/>
              <w:keepLines w:val="0"/>
              <w:pageBreakBefore w:val="0"/>
              <w:kinsoku/>
              <w:wordWrap/>
              <w:overflowPunct/>
              <w:topLinePunct w:val="0"/>
              <w:bidi w:val="0"/>
              <w:spacing w:line="288" w:lineRule="auto"/>
              <w:ind w:left="96"/>
              <w:jc w:val="center"/>
              <w:textAlignment w:val="auto"/>
              <w:rPr>
                <w:rFonts w:hint="eastAsia" w:ascii="宋体" w:hAnsi="宋体" w:eastAsia="宋体" w:cs="宋体"/>
                <w:b w:val="0"/>
                <w:bCs/>
                <w:color w:val="auto"/>
                <w:kern w:val="2"/>
                <w:sz w:val="24"/>
                <w:szCs w:val="24"/>
                <w:lang w:val="zh-CN"/>
              </w:rPr>
            </w:pPr>
            <w:r>
              <w:rPr>
                <w:rFonts w:hint="eastAsia" w:ascii="宋体" w:hAnsi="宋体" w:eastAsia="宋体" w:cs="宋体"/>
                <w:b w:val="0"/>
                <w:bCs/>
                <w:color w:val="auto"/>
                <w:kern w:val="2"/>
                <w:sz w:val="24"/>
                <w:szCs w:val="24"/>
                <w:lang w:val="zh-CN"/>
              </w:rPr>
              <w:t>对供应商的</w:t>
            </w:r>
          </w:p>
          <w:p w14:paraId="109E364B">
            <w:pPr>
              <w:pStyle w:val="37"/>
              <w:keepNext w:val="0"/>
              <w:keepLines w:val="0"/>
              <w:pageBreakBefore w:val="0"/>
              <w:kinsoku/>
              <w:wordWrap/>
              <w:overflowPunct/>
              <w:topLinePunct w:val="0"/>
              <w:bidi w:val="0"/>
              <w:spacing w:line="288" w:lineRule="auto"/>
              <w:ind w:left="96"/>
              <w:jc w:val="center"/>
              <w:textAlignment w:val="auto"/>
              <w:rPr>
                <w:rFonts w:hint="eastAsia" w:ascii="宋体" w:hAnsi="宋体" w:eastAsia="宋体" w:cs="宋体"/>
                <w:b w:val="0"/>
                <w:bCs/>
                <w:color w:val="auto"/>
                <w:kern w:val="2"/>
                <w:sz w:val="24"/>
                <w:szCs w:val="24"/>
                <w:lang w:val="zh-CN"/>
              </w:rPr>
            </w:pPr>
            <w:r>
              <w:rPr>
                <w:rFonts w:hint="eastAsia" w:ascii="宋体" w:hAnsi="宋体" w:eastAsia="宋体" w:cs="宋体"/>
                <w:b w:val="0"/>
                <w:bCs/>
                <w:color w:val="auto"/>
                <w:kern w:val="2"/>
                <w:sz w:val="24"/>
                <w:szCs w:val="24"/>
                <w:lang w:val="zh-CN"/>
              </w:rPr>
              <w:t>资格要求</w:t>
            </w:r>
          </w:p>
        </w:tc>
        <w:tc>
          <w:tcPr>
            <w:tcW w:w="7067" w:type="dxa"/>
            <w:vAlign w:val="center"/>
          </w:tcPr>
          <w:p w14:paraId="27799FDC">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1、申请人合法有效的企事业法人、其他组织或自然人：供应商须具有独立承担民事责任能力的法人或其他组织，提供营业执照或事业单位法人证书，或自然人的身份证明</w:t>
            </w:r>
          </w:p>
          <w:p w14:paraId="4A4F9361">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2、申请人法定代表人授权书：法定代表人参加投标，只须提供法定代表人证明书及身份证原件；法定代表人授权他人参加投标的，须提供法定代表人授权委托书、被授权人身份证复印件及原件</w:t>
            </w:r>
          </w:p>
          <w:p w14:paraId="0CC920D5">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3、资质：供应商具备建设行政主管部门核发的水利水电工程施工总承包三级（含三级）以上资质</w:t>
            </w:r>
          </w:p>
          <w:p w14:paraId="77A8183D">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4、安全生产许可证：须具有建设行政主管部门核发有效的安全生产许可证</w:t>
            </w:r>
          </w:p>
          <w:p w14:paraId="550DEB08">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拟派项目负责人资质和专业要求。：供应商拟派项目经理具有水利水电工程专业注册建造师二级及以上执业资格，项目经理具有水行政主管部门颁发的安全生产考核合格证，且在本单位注册；须提供项目经理无在建工程的相关证明材料或承诺书</w:t>
            </w:r>
          </w:p>
          <w:p w14:paraId="062580FC">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6、省外企业：省外企业需提供在陕西省建筑市场监管与诚信信息一体化平台上登记备案且备案信息有效</w:t>
            </w:r>
          </w:p>
          <w:p w14:paraId="56696C69">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财务状况：提供2023或2024年度任意一年经审计的财务会计报告（包括审计报告、资产负债表、利润表、现金流量表、所有者权益变动表及其附注和财务状况说明书等资料，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14:paraId="7A0DAB6E">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8、税收缴纳证明：供应商需提供2024年10月1日之今任意一个月的完税凭证或税务机关开具的完税证明（任意税种）；依法免税的应提供相关文件证明</w:t>
            </w:r>
          </w:p>
          <w:p w14:paraId="4B0E74C7">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9、社会保障资金缴纳证明：供应商需提供投2024年10月1日之今任意一个月的社会保障资金缴存单据或社保机构开具的社会保险参保缴费情况证明；依法不需要缴纳社会保障资金的应提供相关文件证明</w:t>
            </w:r>
          </w:p>
          <w:p w14:paraId="773EB4C8">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10、申请人近三年内，在经营活动中没有重大违法记录：按磋商响应文件格式提供声明</w:t>
            </w:r>
          </w:p>
          <w:p w14:paraId="619B5399">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11、具备履行合同所必需的设备和专业技术能力的证明：按磋商响应文件格式提供声明</w:t>
            </w:r>
          </w:p>
          <w:p w14:paraId="6C3473EC">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12、供应商关联关系：单位负责人为同一人或者存在直接控股、管理关系的不同投标供应商，不得参加同一合同项下的政府采购活动</w:t>
            </w:r>
          </w:p>
          <w:p w14:paraId="22BBA7BF">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13、信誉要求：供应商应在投标截止日前未被列入失信被执行人、重大税收违法失信主体名单、政府采购严重违法失信行为记录名单（处罚期限届满的除外）（以“信用中国”网站 （www.creditchina.gov.cn）、中国政府采购网（www.ccgp.gov.cn）查询结果为准，提供网站截图并加盖投标供应商公章）</w:t>
            </w:r>
          </w:p>
          <w:p w14:paraId="18A88769">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kern w:val="2"/>
                <w:sz w:val="24"/>
                <w:szCs w:val="24"/>
                <w:lang w:val="zh-CN"/>
              </w:rPr>
            </w:pPr>
            <w:r>
              <w:rPr>
                <w:rFonts w:hint="eastAsia" w:ascii="宋体" w:hAnsi="宋体" w:eastAsia="宋体" w:cs="宋体"/>
                <w:b w:val="0"/>
                <w:bCs/>
                <w:color w:val="auto"/>
                <w:sz w:val="24"/>
                <w:szCs w:val="24"/>
              </w:rPr>
              <w:t>14、非联合体投标声明：按磋商响应文件格式提供声明</w:t>
            </w:r>
          </w:p>
        </w:tc>
      </w:tr>
      <w:tr w14:paraId="7F81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5FAD06F5">
            <w:pPr>
              <w:keepNext w:val="0"/>
              <w:keepLines w:val="0"/>
              <w:pageBreakBefore w:val="0"/>
              <w:kinsoku/>
              <w:wordWrap/>
              <w:overflowPunct/>
              <w:topLinePunct w:val="0"/>
              <w:bidi w:val="0"/>
              <w:snapToGrid w:val="0"/>
              <w:spacing w:after="200" w:line="288" w:lineRule="auto"/>
              <w:jc w:val="center"/>
              <w:textAlignment w:val="auto"/>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en-US" w:eastAsia="zh-CN" w:bidi="ar-SA"/>
              </w:rPr>
              <w:t>4</w:t>
            </w:r>
          </w:p>
        </w:tc>
        <w:tc>
          <w:tcPr>
            <w:tcW w:w="1556" w:type="dxa"/>
            <w:vMerge w:val="restart"/>
            <w:vAlign w:val="center"/>
          </w:tcPr>
          <w:p w14:paraId="6A40A4B1">
            <w:pPr>
              <w:pStyle w:val="37"/>
              <w:keepNext w:val="0"/>
              <w:keepLines w:val="0"/>
              <w:pageBreakBefore w:val="0"/>
              <w:kinsoku/>
              <w:wordWrap/>
              <w:overflowPunct/>
              <w:topLinePunct w:val="0"/>
              <w:bidi w:val="0"/>
              <w:spacing w:line="288" w:lineRule="auto"/>
              <w:ind w:left="96"/>
              <w:jc w:val="center"/>
              <w:textAlignment w:val="auto"/>
              <w:rPr>
                <w:rFonts w:hint="eastAsia" w:ascii="宋体" w:hAnsi="宋体" w:eastAsia="宋体" w:cs="宋体"/>
                <w:b w:val="0"/>
                <w:bCs/>
                <w:color w:val="auto"/>
                <w:kern w:val="2"/>
                <w:sz w:val="24"/>
                <w:szCs w:val="24"/>
                <w:lang w:val="zh-CN"/>
              </w:rPr>
            </w:pPr>
            <w:r>
              <w:rPr>
                <w:rFonts w:hint="eastAsia" w:ascii="宋体" w:hAnsi="宋体" w:eastAsia="宋体" w:cs="宋体"/>
                <w:b w:val="0"/>
                <w:bCs/>
                <w:color w:val="auto"/>
                <w:kern w:val="2"/>
                <w:sz w:val="24"/>
                <w:szCs w:val="24"/>
                <w:lang w:val="zh-CN"/>
              </w:rPr>
              <w:t>是否接受</w:t>
            </w:r>
          </w:p>
          <w:p w14:paraId="77D3028E">
            <w:pPr>
              <w:pStyle w:val="37"/>
              <w:keepNext w:val="0"/>
              <w:keepLines w:val="0"/>
              <w:pageBreakBefore w:val="0"/>
              <w:kinsoku/>
              <w:wordWrap/>
              <w:overflowPunct/>
              <w:topLinePunct w:val="0"/>
              <w:bidi w:val="0"/>
              <w:spacing w:line="288" w:lineRule="auto"/>
              <w:ind w:left="96"/>
              <w:jc w:val="center"/>
              <w:textAlignment w:val="auto"/>
              <w:rPr>
                <w:rFonts w:hint="eastAsia" w:ascii="宋体" w:hAnsi="宋体" w:eastAsia="宋体" w:cs="宋体"/>
                <w:b w:val="0"/>
                <w:bCs/>
                <w:color w:val="auto"/>
                <w:kern w:val="2"/>
                <w:sz w:val="24"/>
                <w:szCs w:val="24"/>
                <w:lang w:val="zh-CN"/>
              </w:rPr>
            </w:pPr>
            <w:r>
              <w:rPr>
                <w:rFonts w:hint="eastAsia" w:ascii="宋体" w:hAnsi="宋体" w:eastAsia="宋体" w:cs="宋体"/>
                <w:b w:val="0"/>
                <w:bCs/>
                <w:color w:val="auto"/>
                <w:kern w:val="2"/>
                <w:sz w:val="24"/>
                <w:szCs w:val="24"/>
                <w:lang w:val="zh-CN"/>
              </w:rPr>
              <w:t>联合体投标</w:t>
            </w:r>
          </w:p>
        </w:tc>
        <w:tc>
          <w:tcPr>
            <w:tcW w:w="7067" w:type="dxa"/>
            <w:vAlign w:val="center"/>
          </w:tcPr>
          <w:p w14:paraId="783FC6EC">
            <w:pPr>
              <w:pStyle w:val="37"/>
              <w:keepNext w:val="0"/>
              <w:keepLines w:val="0"/>
              <w:pageBreakBefore w:val="0"/>
              <w:kinsoku/>
              <w:wordWrap/>
              <w:overflowPunct/>
              <w:topLinePunct w:val="0"/>
              <w:bidi w:val="0"/>
              <w:spacing w:line="288" w:lineRule="auto"/>
              <w:jc w:val="both"/>
              <w:textAlignment w:val="auto"/>
              <w:rPr>
                <w:rFonts w:hint="eastAsia" w:ascii="宋体" w:hAnsi="宋体" w:eastAsia="宋体" w:cs="宋体"/>
                <w:b/>
                <w:bCs w:val="0"/>
                <w:color w:val="auto"/>
                <w:kern w:val="2"/>
                <w:sz w:val="24"/>
                <w:szCs w:val="24"/>
                <w:lang w:val="zh-CN"/>
              </w:rPr>
            </w:pPr>
            <w:r>
              <w:rPr>
                <w:rFonts w:hint="eastAsia" w:ascii="宋体" w:hAnsi="宋体" w:eastAsia="宋体" w:cs="宋体"/>
                <w:b/>
                <w:bCs w:val="0"/>
                <w:color w:val="auto"/>
                <w:kern w:val="2"/>
                <w:sz w:val="24"/>
                <w:szCs w:val="24"/>
                <w:lang w:val="zh-CN"/>
              </w:rPr>
              <w:sym w:font="Wingdings" w:char="00A8"/>
            </w:r>
            <w:r>
              <w:rPr>
                <w:rFonts w:hint="eastAsia" w:ascii="宋体" w:hAnsi="宋体" w:eastAsia="宋体" w:cs="宋体"/>
                <w:b/>
                <w:bCs w:val="0"/>
                <w:color w:val="auto"/>
                <w:kern w:val="2"/>
                <w:sz w:val="24"/>
                <w:szCs w:val="24"/>
                <w:lang w:val="zh-CN"/>
              </w:rPr>
              <w:t>接受</w:t>
            </w:r>
          </w:p>
          <w:p w14:paraId="5846B31A">
            <w:pPr>
              <w:pStyle w:val="37"/>
              <w:keepNext w:val="0"/>
              <w:keepLines w:val="0"/>
              <w:pageBreakBefore w:val="0"/>
              <w:kinsoku/>
              <w:wordWrap/>
              <w:overflowPunct/>
              <w:topLinePunct w:val="0"/>
              <w:bidi w:val="0"/>
              <w:spacing w:line="288" w:lineRule="auto"/>
              <w:jc w:val="both"/>
              <w:textAlignment w:val="auto"/>
              <w:rPr>
                <w:rFonts w:hint="eastAsia" w:ascii="宋体" w:hAnsi="宋体" w:eastAsia="宋体" w:cs="宋体"/>
                <w:b w:val="0"/>
                <w:bCs/>
                <w:color w:val="auto"/>
                <w:kern w:val="2"/>
                <w:sz w:val="24"/>
                <w:szCs w:val="24"/>
                <w:lang w:val="zh-CN"/>
              </w:rPr>
            </w:pPr>
            <w:r>
              <w:rPr>
                <w:rFonts w:hint="eastAsia" w:ascii="宋体" w:hAnsi="宋体" w:eastAsia="宋体" w:cs="宋体"/>
                <w:b w:val="0"/>
                <w:bCs/>
                <w:color w:val="auto"/>
                <w:kern w:val="2"/>
                <w:sz w:val="24"/>
                <w:szCs w:val="24"/>
                <w:lang w:val="zh-CN"/>
              </w:rPr>
              <w:t>对于联合体协议或者分包意向协议约定小微企业的合同份额占到合同总金额30%以上的，对联合体或者大中型企业的报价</w:t>
            </w:r>
            <w:r>
              <w:rPr>
                <w:rFonts w:hint="eastAsia" w:ascii="宋体" w:hAnsi="宋体" w:eastAsia="宋体" w:cs="宋体"/>
                <w:b/>
                <w:bCs w:val="0"/>
                <w:color w:val="auto"/>
                <w:kern w:val="2"/>
                <w:sz w:val="24"/>
                <w:szCs w:val="24"/>
                <w:lang w:val="zh-CN"/>
              </w:rPr>
              <w:t>给予___%（2%-3%）的扣除</w:t>
            </w:r>
            <w:r>
              <w:rPr>
                <w:rFonts w:hint="eastAsia" w:ascii="宋体" w:hAnsi="宋体" w:eastAsia="宋体" w:cs="宋体"/>
                <w:b w:val="0"/>
                <w:bCs/>
                <w:color w:val="auto"/>
                <w:kern w:val="2"/>
                <w:sz w:val="24"/>
                <w:szCs w:val="24"/>
                <w:lang w:val="zh-CN"/>
              </w:rPr>
              <w:t>，用扣除后的报价参加评审。</w:t>
            </w:r>
          </w:p>
        </w:tc>
      </w:tr>
      <w:tr w14:paraId="5D86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5FDEF518">
            <w:pPr>
              <w:keepNext w:val="0"/>
              <w:keepLines w:val="0"/>
              <w:pageBreakBefore w:val="0"/>
              <w:kinsoku/>
              <w:wordWrap/>
              <w:overflowPunct/>
              <w:topLinePunct w:val="0"/>
              <w:bidi w:val="0"/>
              <w:snapToGrid w:val="0"/>
              <w:spacing w:after="200" w:line="288" w:lineRule="auto"/>
              <w:jc w:val="center"/>
              <w:textAlignment w:val="auto"/>
              <w:rPr>
                <w:rFonts w:hint="eastAsia" w:ascii="宋体" w:hAnsi="宋体" w:eastAsia="宋体" w:cs="宋体"/>
                <w:b w:val="0"/>
                <w:bCs/>
                <w:color w:val="auto"/>
                <w:kern w:val="2"/>
                <w:sz w:val="24"/>
                <w:szCs w:val="24"/>
                <w:lang w:val="zh-CN" w:eastAsia="zh-CN" w:bidi="ar-SA"/>
              </w:rPr>
            </w:pPr>
          </w:p>
        </w:tc>
        <w:tc>
          <w:tcPr>
            <w:tcW w:w="1556" w:type="dxa"/>
            <w:vMerge w:val="continue"/>
            <w:vAlign w:val="center"/>
          </w:tcPr>
          <w:p w14:paraId="31F645FF">
            <w:pPr>
              <w:pStyle w:val="37"/>
              <w:keepNext w:val="0"/>
              <w:keepLines w:val="0"/>
              <w:pageBreakBefore w:val="0"/>
              <w:kinsoku/>
              <w:wordWrap/>
              <w:overflowPunct/>
              <w:topLinePunct w:val="0"/>
              <w:bidi w:val="0"/>
              <w:spacing w:line="288" w:lineRule="auto"/>
              <w:ind w:left="96"/>
              <w:jc w:val="center"/>
              <w:textAlignment w:val="auto"/>
              <w:rPr>
                <w:rFonts w:hint="eastAsia" w:ascii="宋体" w:hAnsi="宋体" w:eastAsia="宋体" w:cs="宋体"/>
                <w:b w:val="0"/>
                <w:bCs/>
                <w:color w:val="auto"/>
                <w:kern w:val="2"/>
                <w:sz w:val="24"/>
                <w:szCs w:val="24"/>
                <w:lang w:val="zh-CN"/>
              </w:rPr>
            </w:pPr>
          </w:p>
        </w:tc>
        <w:tc>
          <w:tcPr>
            <w:tcW w:w="7067" w:type="dxa"/>
            <w:vAlign w:val="center"/>
          </w:tcPr>
          <w:p w14:paraId="0D830D87">
            <w:pPr>
              <w:pStyle w:val="37"/>
              <w:keepNext w:val="0"/>
              <w:keepLines w:val="0"/>
              <w:pageBreakBefore w:val="0"/>
              <w:kinsoku/>
              <w:wordWrap/>
              <w:overflowPunct/>
              <w:topLinePunct w:val="0"/>
              <w:bidi w:val="0"/>
              <w:spacing w:line="288" w:lineRule="auto"/>
              <w:jc w:val="both"/>
              <w:textAlignment w:val="auto"/>
              <w:rPr>
                <w:rFonts w:hint="eastAsia" w:ascii="宋体" w:hAnsi="宋体" w:eastAsia="宋体" w:cs="宋体"/>
                <w:b w:val="0"/>
                <w:bCs/>
                <w:color w:val="auto"/>
                <w:kern w:val="2"/>
                <w:sz w:val="24"/>
                <w:szCs w:val="24"/>
                <w:lang w:val="zh-CN"/>
              </w:rPr>
            </w:pPr>
            <w:r>
              <w:rPr>
                <w:rFonts w:hint="eastAsia" w:ascii="宋体" w:hAnsi="宋体" w:eastAsia="宋体" w:cs="宋体"/>
                <w:b/>
                <w:bCs w:val="0"/>
                <w:color w:val="auto"/>
                <w:kern w:val="2"/>
                <w:sz w:val="24"/>
                <w:szCs w:val="24"/>
                <w:lang w:val="zh-CN"/>
              </w:rPr>
              <w:sym w:font="Wingdings" w:char="00FE"/>
            </w:r>
            <w:r>
              <w:rPr>
                <w:rFonts w:hint="eastAsia" w:ascii="宋体" w:hAnsi="宋体" w:eastAsia="宋体" w:cs="宋体"/>
                <w:b/>
                <w:bCs w:val="0"/>
                <w:color w:val="auto"/>
                <w:kern w:val="2"/>
                <w:sz w:val="24"/>
                <w:szCs w:val="24"/>
                <w:lang w:val="zh-CN"/>
              </w:rPr>
              <w:t>不接受</w:t>
            </w:r>
          </w:p>
        </w:tc>
      </w:tr>
      <w:tr w14:paraId="5BCE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2B8D1512">
            <w:pPr>
              <w:keepNext w:val="0"/>
              <w:keepLines w:val="0"/>
              <w:pageBreakBefore w:val="0"/>
              <w:kinsoku/>
              <w:wordWrap/>
              <w:overflowPunct/>
              <w:topLinePunct w:val="0"/>
              <w:bidi w:val="0"/>
              <w:snapToGrid w:val="0"/>
              <w:spacing w:after="200" w:line="288" w:lineRule="auto"/>
              <w:jc w:val="center"/>
              <w:textAlignment w:val="auto"/>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en-US" w:eastAsia="zh-CN" w:bidi="ar-SA"/>
              </w:rPr>
              <w:t>5</w:t>
            </w:r>
          </w:p>
        </w:tc>
        <w:tc>
          <w:tcPr>
            <w:tcW w:w="1556" w:type="dxa"/>
            <w:vMerge w:val="restart"/>
            <w:vAlign w:val="center"/>
          </w:tcPr>
          <w:p w14:paraId="70F382BB">
            <w:pPr>
              <w:pStyle w:val="37"/>
              <w:keepNext w:val="0"/>
              <w:keepLines w:val="0"/>
              <w:pageBreakBefore w:val="0"/>
              <w:kinsoku/>
              <w:wordWrap/>
              <w:overflowPunct/>
              <w:topLinePunct w:val="0"/>
              <w:bidi w:val="0"/>
              <w:spacing w:line="288" w:lineRule="auto"/>
              <w:ind w:left="96"/>
              <w:jc w:val="center"/>
              <w:textAlignment w:val="auto"/>
              <w:rPr>
                <w:rFonts w:hint="eastAsia" w:ascii="宋体" w:hAnsi="宋体" w:eastAsia="宋体" w:cs="宋体"/>
                <w:b w:val="0"/>
                <w:bCs/>
                <w:color w:val="auto"/>
                <w:kern w:val="2"/>
                <w:sz w:val="24"/>
                <w:szCs w:val="24"/>
                <w:lang w:val="zh-CN"/>
              </w:rPr>
            </w:pPr>
            <w:r>
              <w:rPr>
                <w:rFonts w:hint="eastAsia" w:ascii="宋体" w:hAnsi="宋体" w:eastAsia="宋体" w:cs="宋体"/>
                <w:b w:val="0"/>
                <w:bCs/>
                <w:color w:val="auto"/>
                <w:kern w:val="2"/>
                <w:sz w:val="24"/>
                <w:szCs w:val="24"/>
                <w:lang w:val="zh-CN"/>
              </w:rPr>
              <w:t>履约保证金</w:t>
            </w:r>
          </w:p>
        </w:tc>
        <w:tc>
          <w:tcPr>
            <w:tcW w:w="7067" w:type="dxa"/>
            <w:vAlign w:val="center"/>
          </w:tcPr>
          <w:p w14:paraId="7B40EDA9">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占政府采购合同金额的</w:t>
            </w:r>
            <w:r>
              <w:rPr>
                <w:rFonts w:hint="eastAsia" w:ascii="宋体" w:hAnsi="宋体" w:eastAsia="宋体" w:cs="宋体"/>
                <w:b/>
                <w:bCs w:val="0"/>
                <w:color w:val="auto"/>
                <w:sz w:val="24"/>
                <w:szCs w:val="24"/>
                <w:u w:val="single"/>
                <w:lang w:val="en-US" w:eastAsia="zh-CN"/>
              </w:rPr>
              <w:t xml:space="preserve"> / </w:t>
            </w:r>
            <w:r>
              <w:rPr>
                <w:rFonts w:hint="eastAsia" w:ascii="宋体" w:hAnsi="宋体" w:eastAsia="宋体" w:cs="宋体"/>
                <w:b/>
                <w:bCs w:val="0"/>
                <w:color w:val="auto"/>
                <w:sz w:val="24"/>
                <w:szCs w:val="24"/>
              </w:rPr>
              <w:t>%</w:t>
            </w:r>
          </w:p>
          <w:p w14:paraId="5B1D7BC0">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履约保证金的数额不得超过政府采购合同金额的10%；对于单价合同，其数额不得超过采购预算的10%</w:t>
            </w:r>
          </w:p>
        </w:tc>
      </w:tr>
      <w:tr w14:paraId="5012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02157E91">
            <w:pPr>
              <w:keepNext w:val="0"/>
              <w:keepLines w:val="0"/>
              <w:pageBreakBefore w:val="0"/>
              <w:kinsoku/>
              <w:wordWrap/>
              <w:overflowPunct/>
              <w:topLinePunct w:val="0"/>
              <w:bidi w:val="0"/>
              <w:snapToGrid w:val="0"/>
              <w:spacing w:after="200" w:line="288" w:lineRule="auto"/>
              <w:jc w:val="center"/>
              <w:textAlignment w:val="auto"/>
              <w:rPr>
                <w:rFonts w:hint="eastAsia" w:ascii="宋体" w:hAnsi="宋体" w:eastAsia="宋体" w:cs="宋体"/>
                <w:b w:val="0"/>
                <w:bCs/>
                <w:color w:val="auto"/>
                <w:kern w:val="2"/>
                <w:sz w:val="24"/>
                <w:szCs w:val="24"/>
                <w:lang w:val="zh-CN" w:eastAsia="zh-CN" w:bidi="ar-SA"/>
              </w:rPr>
            </w:pPr>
          </w:p>
        </w:tc>
        <w:tc>
          <w:tcPr>
            <w:tcW w:w="1556" w:type="dxa"/>
            <w:vMerge w:val="continue"/>
            <w:vAlign w:val="center"/>
          </w:tcPr>
          <w:p w14:paraId="57B0107D">
            <w:pPr>
              <w:pStyle w:val="37"/>
              <w:keepNext w:val="0"/>
              <w:keepLines w:val="0"/>
              <w:pageBreakBefore w:val="0"/>
              <w:kinsoku/>
              <w:wordWrap/>
              <w:overflowPunct/>
              <w:topLinePunct w:val="0"/>
              <w:bidi w:val="0"/>
              <w:spacing w:line="288" w:lineRule="auto"/>
              <w:ind w:left="96"/>
              <w:jc w:val="center"/>
              <w:textAlignment w:val="auto"/>
              <w:rPr>
                <w:rFonts w:hint="eastAsia" w:ascii="宋体" w:hAnsi="宋体" w:eastAsia="宋体" w:cs="宋体"/>
                <w:b w:val="0"/>
                <w:bCs/>
                <w:color w:val="auto"/>
                <w:kern w:val="2"/>
                <w:sz w:val="24"/>
                <w:szCs w:val="24"/>
                <w:lang w:val="zh-CN"/>
              </w:rPr>
            </w:pPr>
          </w:p>
        </w:tc>
        <w:tc>
          <w:tcPr>
            <w:tcW w:w="7067" w:type="dxa"/>
            <w:vAlign w:val="center"/>
          </w:tcPr>
          <w:p w14:paraId="22CE1254">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kern w:val="2"/>
                <w:sz w:val="24"/>
                <w:szCs w:val="24"/>
                <w:lang w:val="zh-CN"/>
              </w:rPr>
              <w:sym w:font="Wingdings" w:char="00A8"/>
            </w:r>
            <w:r>
              <w:rPr>
                <w:rFonts w:hint="eastAsia" w:ascii="宋体" w:hAnsi="宋体" w:eastAsia="宋体" w:cs="宋体"/>
                <w:b/>
                <w:bCs w:val="0"/>
                <w:color w:val="auto"/>
                <w:sz w:val="24"/>
                <w:szCs w:val="24"/>
              </w:rPr>
              <w:t>由采购单位自行收退</w:t>
            </w:r>
          </w:p>
          <w:p w14:paraId="419C3A9B">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bCs w:val="0"/>
                <w:color w:val="auto"/>
                <w:kern w:val="2"/>
                <w:sz w:val="24"/>
                <w:szCs w:val="24"/>
                <w:lang w:val="zh-CN"/>
              </w:rPr>
              <w:sym w:font="Wingdings" w:char="00A8"/>
            </w:r>
            <w:r>
              <w:rPr>
                <w:rFonts w:hint="eastAsia" w:ascii="宋体" w:hAnsi="宋体" w:eastAsia="宋体" w:cs="宋体"/>
                <w:b/>
                <w:bCs w:val="0"/>
                <w:color w:val="auto"/>
                <w:sz w:val="24"/>
                <w:szCs w:val="24"/>
              </w:rPr>
              <w:t>由代理机构负责收退</w:t>
            </w:r>
          </w:p>
        </w:tc>
      </w:tr>
      <w:tr w14:paraId="0633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DF4B16F">
            <w:pPr>
              <w:keepNext w:val="0"/>
              <w:keepLines w:val="0"/>
              <w:pageBreakBefore w:val="0"/>
              <w:kinsoku/>
              <w:wordWrap/>
              <w:overflowPunct/>
              <w:topLinePunct w:val="0"/>
              <w:bidi w:val="0"/>
              <w:snapToGrid w:val="0"/>
              <w:spacing w:after="200" w:line="288" w:lineRule="auto"/>
              <w:jc w:val="center"/>
              <w:textAlignment w:val="auto"/>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en-US" w:eastAsia="zh-CN" w:bidi="ar-SA"/>
              </w:rPr>
              <w:t>6</w:t>
            </w:r>
          </w:p>
        </w:tc>
        <w:tc>
          <w:tcPr>
            <w:tcW w:w="1556" w:type="dxa"/>
            <w:vAlign w:val="center"/>
          </w:tcPr>
          <w:p w14:paraId="53D4F3DD">
            <w:pPr>
              <w:pStyle w:val="37"/>
              <w:keepNext w:val="0"/>
              <w:keepLines w:val="0"/>
              <w:pageBreakBefore w:val="0"/>
              <w:kinsoku/>
              <w:wordWrap/>
              <w:overflowPunct/>
              <w:topLinePunct w:val="0"/>
              <w:bidi w:val="0"/>
              <w:spacing w:line="288" w:lineRule="auto"/>
              <w:ind w:left="96"/>
              <w:jc w:val="center"/>
              <w:textAlignment w:val="auto"/>
              <w:rPr>
                <w:rFonts w:hint="eastAsia" w:ascii="宋体" w:hAnsi="宋体" w:eastAsia="宋体" w:cs="宋体"/>
                <w:b w:val="0"/>
                <w:bCs/>
                <w:color w:val="auto"/>
                <w:kern w:val="2"/>
                <w:sz w:val="24"/>
                <w:szCs w:val="24"/>
                <w:lang w:val="zh-CN"/>
              </w:rPr>
            </w:pPr>
            <w:r>
              <w:rPr>
                <w:rFonts w:hint="eastAsia" w:ascii="宋体" w:hAnsi="宋体" w:eastAsia="宋体" w:cs="宋体"/>
                <w:b w:val="0"/>
                <w:bCs/>
                <w:color w:val="auto"/>
                <w:kern w:val="2"/>
                <w:sz w:val="24"/>
                <w:szCs w:val="24"/>
                <w:lang w:val="zh-CN"/>
              </w:rPr>
              <w:t>现场踏勘和集中答疑</w:t>
            </w:r>
          </w:p>
        </w:tc>
        <w:tc>
          <w:tcPr>
            <w:tcW w:w="7067" w:type="dxa"/>
            <w:vAlign w:val="center"/>
          </w:tcPr>
          <w:p w14:paraId="5A13E3AF">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○组织，集结地点为：_______________________</w:t>
            </w:r>
          </w:p>
          <w:p w14:paraId="41E0D7CE">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bCs w:val="0"/>
                <w:color w:val="auto"/>
                <w:kern w:val="2"/>
                <w:sz w:val="24"/>
                <w:szCs w:val="24"/>
                <w:lang w:val="zh-CN"/>
              </w:rPr>
              <w:sym w:font="Wingdings" w:char="00FE"/>
            </w:r>
            <w:r>
              <w:rPr>
                <w:rFonts w:hint="eastAsia" w:ascii="宋体" w:hAnsi="宋体" w:eastAsia="宋体" w:cs="宋体"/>
                <w:b/>
                <w:bCs w:val="0"/>
                <w:color w:val="auto"/>
                <w:sz w:val="24"/>
                <w:szCs w:val="24"/>
              </w:rPr>
              <w:t>不组织</w:t>
            </w:r>
          </w:p>
        </w:tc>
      </w:tr>
      <w:tr w14:paraId="4201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7D441F8">
            <w:pPr>
              <w:keepNext w:val="0"/>
              <w:keepLines w:val="0"/>
              <w:pageBreakBefore w:val="0"/>
              <w:kinsoku/>
              <w:wordWrap/>
              <w:overflowPunct/>
              <w:topLinePunct w:val="0"/>
              <w:bidi w:val="0"/>
              <w:snapToGrid w:val="0"/>
              <w:spacing w:after="200" w:line="288" w:lineRule="auto"/>
              <w:jc w:val="center"/>
              <w:textAlignment w:val="auto"/>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en-US" w:eastAsia="zh-CN" w:bidi="ar-SA"/>
              </w:rPr>
              <w:t>7</w:t>
            </w:r>
          </w:p>
        </w:tc>
        <w:tc>
          <w:tcPr>
            <w:tcW w:w="1556" w:type="dxa"/>
            <w:vAlign w:val="center"/>
          </w:tcPr>
          <w:p w14:paraId="4FC2BD15">
            <w:pPr>
              <w:pStyle w:val="37"/>
              <w:keepNext w:val="0"/>
              <w:keepLines w:val="0"/>
              <w:pageBreakBefore w:val="0"/>
              <w:kinsoku/>
              <w:wordWrap/>
              <w:overflowPunct/>
              <w:topLinePunct w:val="0"/>
              <w:bidi w:val="0"/>
              <w:spacing w:line="288" w:lineRule="auto"/>
              <w:ind w:left="96"/>
              <w:jc w:val="center"/>
              <w:textAlignment w:val="auto"/>
              <w:rPr>
                <w:rFonts w:hint="eastAsia" w:ascii="宋体" w:hAnsi="宋体" w:eastAsia="宋体" w:cs="宋体"/>
                <w:b w:val="0"/>
                <w:bCs/>
                <w:color w:val="auto"/>
                <w:kern w:val="2"/>
                <w:sz w:val="24"/>
                <w:szCs w:val="24"/>
                <w:lang w:val="zh-CN"/>
              </w:rPr>
            </w:pPr>
            <w:r>
              <w:rPr>
                <w:rFonts w:hint="eastAsia" w:ascii="宋体" w:hAnsi="宋体" w:eastAsia="宋体" w:cs="宋体"/>
                <w:b w:val="0"/>
                <w:bCs/>
                <w:color w:val="auto"/>
                <w:kern w:val="2"/>
                <w:sz w:val="24"/>
                <w:szCs w:val="24"/>
                <w:lang w:val="zh-CN"/>
              </w:rPr>
              <w:t>价格分比重</w:t>
            </w:r>
          </w:p>
        </w:tc>
        <w:tc>
          <w:tcPr>
            <w:tcW w:w="7067" w:type="dxa"/>
            <w:vAlign w:val="center"/>
          </w:tcPr>
          <w:p w14:paraId="0D256049">
            <w:pPr>
              <w:keepNext w:val="0"/>
              <w:keepLines w:val="0"/>
              <w:pageBreakBefore w:val="0"/>
              <w:widowControl/>
              <w:kinsoku/>
              <w:wordWrap/>
              <w:overflowPunct/>
              <w:topLinePunct w:val="0"/>
              <w:bidi w:val="0"/>
              <w:spacing w:line="288" w:lineRule="auto"/>
              <w:textAlignment w:val="auto"/>
              <w:rPr>
                <w:rFonts w:hint="eastAsia" w:ascii="宋体" w:hAnsi="宋体" w:eastAsia="宋体" w:cs="宋体"/>
                <w:b/>
                <w:bCs w:val="0"/>
                <w:color w:val="auto"/>
                <w:kern w:val="0"/>
                <w:sz w:val="24"/>
                <w:szCs w:val="24"/>
                <w:u w:val="single"/>
                <w:lang w:val="zh-CN"/>
              </w:rPr>
            </w:pPr>
            <w:r>
              <w:rPr>
                <w:rFonts w:hint="eastAsia" w:ascii="宋体" w:hAnsi="宋体" w:eastAsia="宋体" w:cs="宋体"/>
                <w:b/>
                <w:bCs w:val="0"/>
                <w:color w:val="auto"/>
                <w:kern w:val="0"/>
                <w:sz w:val="24"/>
                <w:szCs w:val="24"/>
                <w:lang w:val="zh-CN"/>
              </w:rPr>
              <w:t>占总分值的</w:t>
            </w:r>
            <w:r>
              <w:rPr>
                <w:rFonts w:hint="eastAsia" w:ascii="宋体" w:hAnsi="宋体" w:eastAsia="宋体" w:cs="宋体"/>
                <w:b/>
                <w:bCs w:val="0"/>
                <w:color w:val="auto"/>
                <w:kern w:val="0"/>
                <w:sz w:val="24"/>
                <w:szCs w:val="24"/>
                <w:u w:val="single"/>
                <w:lang w:val="en-US" w:eastAsia="zh-CN"/>
              </w:rPr>
              <w:t>30</w:t>
            </w:r>
            <w:r>
              <w:rPr>
                <w:rFonts w:hint="eastAsia" w:ascii="宋体" w:hAnsi="宋体" w:eastAsia="宋体" w:cs="宋体"/>
                <w:b/>
                <w:bCs w:val="0"/>
                <w:color w:val="auto"/>
                <w:kern w:val="0"/>
                <w:sz w:val="24"/>
                <w:szCs w:val="24"/>
                <w:u w:val="single"/>
                <w:lang w:val="zh-CN"/>
              </w:rPr>
              <w:t>%</w:t>
            </w:r>
          </w:p>
          <w:p w14:paraId="7E8546CF">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磋商基准价等于满足磋商文件要求且最终报价最低供应商的价格为磋商基准价。其价格分为满分。其余供应商响应报价得分统一按照以下公式计算：</w:t>
            </w:r>
          </w:p>
          <w:p w14:paraId="6B86F99C">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磋商报价得分=(磋商基准价／最后磋商报价)×价格权值（30%）*100% </w:t>
            </w:r>
          </w:p>
          <w:p w14:paraId="4DB5F2B6">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政策性加分执行磋商文件中的标准（本项目专门面向中小企业采购，供应商为中小企业价格不做调整）</w:t>
            </w:r>
          </w:p>
          <w:p w14:paraId="1D5B0A76">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（若响应人投标价格超出预算或明显低于其他响应人报价与市场成本价,响应人不能提供合理证明的，将导致投标文件被否决。）</w:t>
            </w:r>
          </w:p>
          <w:p w14:paraId="42E96A2B">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kern w:val="0"/>
                <w:sz w:val="24"/>
                <w:szCs w:val="24"/>
                <w:lang w:val="zh-CN"/>
              </w:rPr>
            </w:pPr>
            <w:r>
              <w:rPr>
                <w:rFonts w:hint="eastAsia" w:ascii="宋体" w:hAnsi="宋体" w:eastAsia="宋体" w:cs="宋体"/>
                <w:b w:val="0"/>
                <w:bCs/>
                <w:color w:val="auto"/>
                <w:sz w:val="24"/>
                <w:szCs w:val="24"/>
              </w:rPr>
              <w:t>注：计算分数时四舍五入取小数点后两位；</w:t>
            </w:r>
          </w:p>
        </w:tc>
      </w:tr>
      <w:tr w14:paraId="123B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7DC1969">
            <w:pPr>
              <w:keepNext w:val="0"/>
              <w:keepLines w:val="0"/>
              <w:pageBreakBefore w:val="0"/>
              <w:kinsoku/>
              <w:wordWrap/>
              <w:overflowPunct/>
              <w:topLinePunct w:val="0"/>
              <w:bidi w:val="0"/>
              <w:snapToGrid w:val="0"/>
              <w:spacing w:after="200" w:line="288" w:lineRule="auto"/>
              <w:jc w:val="center"/>
              <w:textAlignment w:val="auto"/>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en-US" w:eastAsia="zh-CN" w:bidi="ar-SA"/>
              </w:rPr>
              <w:t>8</w:t>
            </w:r>
          </w:p>
        </w:tc>
        <w:tc>
          <w:tcPr>
            <w:tcW w:w="1556" w:type="dxa"/>
            <w:vAlign w:val="center"/>
          </w:tcPr>
          <w:p w14:paraId="1353C18F">
            <w:pPr>
              <w:pStyle w:val="37"/>
              <w:keepNext w:val="0"/>
              <w:keepLines w:val="0"/>
              <w:pageBreakBefore w:val="0"/>
              <w:kinsoku/>
              <w:wordWrap/>
              <w:overflowPunct/>
              <w:topLinePunct w:val="0"/>
              <w:bidi w:val="0"/>
              <w:spacing w:line="288" w:lineRule="auto"/>
              <w:ind w:left="96"/>
              <w:jc w:val="center"/>
              <w:textAlignment w:val="auto"/>
              <w:rPr>
                <w:rFonts w:hint="eastAsia" w:ascii="宋体" w:hAnsi="宋体" w:eastAsia="宋体" w:cs="宋体"/>
                <w:b w:val="0"/>
                <w:bCs/>
                <w:color w:val="auto"/>
                <w:kern w:val="2"/>
                <w:sz w:val="24"/>
                <w:szCs w:val="24"/>
                <w:lang w:val="zh-CN"/>
              </w:rPr>
            </w:pPr>
            <w:r>
              <w:rPr>
                <w:rFonts w:hint="eastAsia" w:ascii="宋体" w:hAnsi="宋体" w:eastAsia="宋体" w:cs="宋体"/>
                <w:b w:val="0"/>
                <w:bCs/>
                <w:color w:val="auto"/>
                <w:kern w:val="2"/>
                <w:sz w:val="24"/>
                <w:szCs w:val="24"/>
                <w:lang w:val="zh-CN"/>
              </w:rPr>
              <w:t>合同类型</w:t>
            </w:r>
          </w:p>
        </w:tc>
        <w:tc>
          <w:tcPr>
            <w:tcW w:w="7067" w:type="dxa"/>
            <w:vAlign w:val="center"/>
          </w:tcPr>
          <w:p w14:paraId="7450890C">
            <w:pPr>
              <w:keepNext w:val="0"/>
              <w:keepLines w:val="0"/>
              <w:pageBreakBefore w:val="0"/>
              <w:kinsoku/>
              <w:wordWrap/>
              <w:overflowPunct/>
              <w:topLinePunct w:val="0"/>
              <w:bidi w:val="0"/>
              <w:spacing w:line="288" w:lineRule="auto"/>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kern w:val="2"/>
                <w:sz w:val="24"/>
                <w:szCs w:val="24"/>
                <w:lang w:val="zh-CN"/>
              </w:rPr>
              <w:sym w:font="Wingdings" w:char="00A8"/>
            </w:r>
            <w:r>
              <w:rPr>
                <w:rFonts w:hint="eastAsia" w:ascii="宋体" w:hAnsi="宋体" w:eastAsia="宋体" w:cs="宋体"/>
                <w:b/>
                <w:bCs w:val="0"/>
                <w:color w:val="auto"/>
                <w:sz w:val="24"/>
                <w:szCs w:val="24"/>
                <w:lang w:val="zh-CN"/>
              </w:rPr>
              <w:t>固定总价</w:t>
            </w:r>
          </w:p>
          <w:p w14:paraId="2B6D564A">
            <w:pPr>
              <w:keepNext w:val="0"/>
              <w:keepLines w:val="0"/>
              <w:pageBreakBefore w:val="0"/>
              <w:kinsoku/>
              <w:wordWrap/>
              <w:overflowPunct/>
              <w:topLinePunct w:val="0"/>
              <w:bidi w:val="0"/>
              <w:spacing w:line="288" w:lineRule="auto"/>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kern w:val="2"/>
                <w:sz w:val="24"/>
                <w:szCs w:val="24"/>
                <w:lang w:val="zh-CN"/>
              </w:rPr>
              <w:sym w:font="Wingdings" w:char="00FE"/>
            </w:r>
            <w:r>
              <w:rPr>
                <w:rFonts w:hint="eastAsia" w:ascii="宋体" w:hAnsi="宋体" w:eastAsia="宋体" w:cs="宋体"/>
                <w:b/>
                <w:bCs w:val="0"/>
                <w:color w:val="auto"/>
                <w:sz w:val="24"/>
                <w:szCs w:val="24"/>
                <w:lang w:val="zh-CN"/>
              </w:rPr>
              <w:t>固定单价（适用于采购数量不定的情形）</w:t>
            </w:r>
          </w:p>
          <w:p w14:paraId="39DB09B5">
            <w:pPr>
              <w:keepNext w:val="0"/>
              <w:keepLines w:val="0"/>
              <w:pageBreakBefore w:val="0"/>
              <w:kinsoku/>
              <w:wordWrap/>
              <w:overflowPunct/>
              <w:topLinePunct w:val="0"/>
              <w:bidi w:val="0"/>
              <w:spacing w:line="288" w:lineRule="auto"/>
              <w:textAlignment w:val="auto"/>
              <w:rPr>
                <w:rFonts w:hint="eastAsia" w:ascii="宋体" w:hAnsi="宋体" w:eastAsia="宋体" w:cs="宋体"/>
                <w:b w:val="0"/>
                <w:bCs/>
                <w:color w:val="auto"/>
                <w:sz w:val="24"/>
                <w:szCs w:val="24"/>
                <w:lang w:val="zh-CN"/>
              </w:rPr>
            </w:pPr>
            <w:r>
              <w:rPr>
                <w:rFonts w:hint="eastAsia" w:ascii="宋体" w:hAnsi="宋体" w:eastAsia="宋体" w:cs="宋体"/>
                <w:b/>
                <w:bCs w:val="0"/>
                <w:color w:val="auto"/>
                <w:kern w:val="2"/>
                <w:sz w:val="24"/>
                <w:szCs w:val="24"/>
                <w:lang w:val="zh-CN"/>
              </w:rPr>
              <w:sym w:font="Wingdings" w:char="00A8"/>
            </w:r>
            <w:r>
              <w:rPr>
                <w:rFonts w:hint="eastAsia" w:ascii="宋体" w:hAnsi="宋体" w:eastAsia="宋体" w:cs="宋体"/>
                <w:b/>
                <w:bCs w:val="0"/>
                <w:color w:val="auto"/>
                <w:sz w:val="24"/>
                <w:szCs w:val="24"/>
                <w:lang w:val="zh-CN"/>
              </w:rPr>
              <w:t>其他：</w:t>
            </w:r>
            <w:r>
              <w:rPr>
                <w:rFonts w:hint="eastAsia" w:ascii="宋体" w:hAnsi="宋体" w:eastAsia="宋体" w:cs="宋体"/>
                <w:b w:val="0"/>
                <w:bCs/>
                <w:color w:val="auto"/>
                <w:sz w:val="24"/>
                <w:szCs w:val="24"/>
                <w:lang w:val="zh-CN"/>
              </w:rPr>
              <w:t>________________________</w:t>
            </w:r>
          </w:p>
        </w:tc>
      </w:tr>
      <w:tr w14:paraId="6C4C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07A1060">
            <w:pPr>
              <w:keepNext w:val="0"/>
              <w:keepLines w:val="0"/>
              <w:pageBreakBefore w:val="0"/>
              <w:kinsoku/>
              <w:wordWrap/>
              <w:overflowPunct/>
              <w:topLinePunct w:val="0"/>
              <w:bidi w:val="0"/>
              <w:snapToGrid w:val="0"/>
              <w:spacing w:after="200" w:line="288" w:lineRule="auto"/>
              <w:jc w:val="center"/>
              <w:textAlignment w:val="auto"/>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en-US" w:eastAsia="zh-CN" w:bidi="ar-SA"/>
              </w:rPr>
              <w:t>9</w:t>
            </w:r>
          </w:p>
        </w:tc>
        <w:tc>
          <w:tcPr>
            <w:tcW w:w="1556" w:type="dxa"/>
            <w:vAlign w:val="center"/>
          </w:tcPr>
          <w:p w14:paraId="3C80FBA1">
            <w:pPr>
              <w:keepNext w:val="0"/>
              <w:keepLines w:val="0"/>
              <w:pageBreakBefore w:val="0"/>
              <w:tabs>
                <w:tab w:val="left" w:pos="7665"/>
              </w:tabs>
              <w:kinsoku/>
              <w:wordWrap/>
              <w:overflowPunct/>
              <w:topLinePunct w:val="0"/>
              <w:bidi w:val="0"/>
              <w:snapToGrid w:val="0"/>
              <w:spacing w:line="288"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争议解决途径</w:t>
            </w:r>
          </w:p>
        </w:tc>
        <w:tc>
          <w:tcPr>
            <w:tcW w:w="7067" w:type="dxa"/>
            <w:vAlign w:val="center"/>
          </w:tcPr>
          <w:p w14:paraId="19E087DA">
            <w:pPr>
              <w:keepNext w:val="0"/>
              <w:keepLines w:val="0"/>
              <w:pageBreakBefore w:val="0"/>
              <w:tabs>
                <w:tab w:val="left" w:pos="7665"/>
              </w:tabs>
              <w:kinsoku/>
              <w:wordWrap/>
              <w:overflowPunct/>
              <w:topLinePunct w:val="0"/>
              <w:bidi w:val="0"/>
              <w:snapToGrid w:val="0"/>
              <w:spacing w:line="288" w:lineRule="auto"/>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kern w:val="2"/>
                <w:sz w:val="24"/>
                <w:szCs w:val="24"/>
                <w:lang w:val="zh-CN"/>
              </w:rPr>
              <w:sym w:font="Wingdings" w:char="00FE"/>
            </w:r>
            <w:r>
              <w:rPr>
                <w:rFonts w:hint="eastAsia" w:ascii="宋体" w:hAnsi="宋体" w:eastAsia="宋体" w:cs="宋体"/>
                <w:b/>
                <w:bCs w:val="0"/>
                <w:color w:val="auto"/>
                <w:sz w:val="24"/>
                <w:szCs w:val="24"/>
              </w:rPr>
              <w:t>向有管辖权的人民法院提起诉讼</w:t>
            </w:r>
          </w:p>
          <w:p w14:paraId="40F23933">
            <w:pPr>
              <w:keepNext w:val="0"/>
              <w:keepLines w:val="0"/>
              <w:pageBreakBefore w:val="0"/>
              <w:tabs>
                <w:tab w:val="left" w:pos="7665"/>
              </w:tabs>
              <w:kinsoku/>
              <w:wordWrap/>
              <w:overflowPunct/>
              <w:topLinePunct w:val="0"/>
              <w:bidi w:val="0"/>
              <w:snapToGrid w:val="0"/>
              <w:spacing w:line="288" w:lineRule="auto"/>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kern w:val="2"/>
                <w:sz w:val="24"/>
                <w:szCs w:val="24"/>
                <w:lang w:val="zh-CN"/>
              </w:rPr>
              <w:sym w:font="Wingdings" w:char="00A8"/>
            </w:r>
            <w:r>
              <w:rPr>
                <w:rFonts w:hint="eastAsia" w:ascii="宋体" w:hAnsi="宋体" w:eastAsia="宋体" w:cs="宋体"/>
                <w:b/>
                <w:bCs w:val="0"/>
                <w:color w:val="auto"/>
                <w:sz w:val="24"/>
                <w:szCs w:val="24"/>
              </w:rPr>
              <w:t>向西安仲裁委员会提请仲裁</w:t>
            </w:r>
          </w:p>
          <w:p w14:paraId="3C14BE3A">
            <w:pPr>
              <w:keepNext w:val="0"/>
              <w:keepLines w:val="0"/>
              <w:pageBreakBefore w:val="0"/>
              <w:tabs>
                <w:tab w:val="left" w:pos="7665"/>
              </w:tabs>
              <w:kinsoku/>
              <w:wordWrap/>
              <w:overflowPunct/>
              <w:topLinePunct w:val="0"/>
              <w:bidi w:val="0"/>
              <w:snapToGrid w:val="0"/>
              <w:spacing w:line="288" w:lineRule="auto"/>
              <w:textAlignment w:val="auto"/>
              <w:rPr>
                <w:rFonts w:hint="eastAsia" w:ascii="宋体" w:hAnsi="宋体" w:eastAsia="宋体" w:cs="宋体"/>
                <w:b w:val="0"/>
                <w:bCs/>
                <w:color w:val="auto"/>
                <w:sz w:val="24"/>
                <w:szCs w:val="24"/>
              </w:rPr>
            </w:pPr>
            <w:r>
              <w:rPr>
                <w:rFonts w:hint="eastAsia" w:ascii="宋体" w:hAnsi="宋体" w:eastAsia="宋体" w:cs="宋体"/>
                <w:b/>
                <w:bCs w:val="0"/>
                <w:color w:val="auto"/>
                <w:kern w:val="2"/>
                <w:sz w:val="24"/>
                <w:szCs w:val="24"/>
                <w:lang w:val="zh-CN"/>
              </w:rPr>
              <w:sym w:font="Wingdings" w:char="00A8"/>
            </w:r>
            <w:r>
              <w:rPr>
                <w:rFonts w:hint="eastAsia" w:ascii="宋体" w:hAnsi="宋体" w:eastAsia="宋体" w:cs="宋体"/>
                <w:b/>
                <w:bCs w:val="0"/>
                <w:color w:val="auto"/>
                <w:sz w:val="24"/>
                <w:szCs w:val="24"/>
              </w:rPr>
              <w:t>由供应商做出选择</w:t>
            </w:r>
          </w:p>
        </w:tc>
      </w:tr>
      <w:tr w14:paraId="1B50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1D92B9C">
            <w:pPr>
              <w:keepNext w:val="0"/>
              <w:keepLines w:val="0"/>
              <w:pageBreakBefore w:val="0"/>
              <w:kinsoku/>
              <w:wordWrap/>
              <w:overflowPunct/>
              <w:topLinePunct w:val="0"/>
              <w:bidi w:val="0"/>
              <w:snapToGrid w:val="0"/>
              <w:spacing w:after="200" w:line="288" w:lineRule="auto"/>
              <w:jc w:val="center"/>
              <w:textAlignment w:val="auto"/>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zh-CN" w:eastAsia="zh-CN" w:bidi="ar-SA"/>
              </w:rPr>
              <w:t>1</w:t>
            </w:r>
            <w:r>
              <w:rPr>
                <w:rFonts w:hint="eastAsia" w:ascii="宋体" w:hAnsi="宋体" w:eastAsia="宋体" w:cs="宋体"/>
                <w:b w:val="0"/>
                <w:bCs/>
                <w:color w:val="auto"/>
                <w:kern w:val="2"/>
                <w:sz w:val="24"/>
                <w:szCs w:val="24"/>
                <w:lang w:val="en-US" w:eastAsia="zh-CN" w:bidi="ar-SA"/>
              </w:rPr>
              <w:t>0</w:t>
            </w:r>
          </w:p>
        </w:tc>
        <w:tc>
          <w:tcPr>
            <w:tcW w:w="1556" w:type="dxa"/>
            <w:vAlign w:val="center"/>
          </w:tcPr>
          <w:p w14:paraId="23E3E6B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联系方式</w:t>
            </w:r>
          </w:p>
        </w:tc>
        <w:tc>
          <w:tcPr>
            <w:tcW w:w="7067" w:type="dxa"/>
            <w:vAlign w:val="center"/>
          </w:tcPr>
          <w:p w14:paraId="3AB213E2">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采购人</w:t>
            </w:r>
            <w:r>
              <w:rPr>
                <w:rFonts w:hint="eastAsia" w:ascii="宋体" w:hAnsi="宋体" w:eastAsia="宋体" w:cs="宋体"/>
                <w:b w:val="0"/>
                <w:bCs/>
                <w:color w:val="auto"/>
                <w:sz w:val="24"/>
                <w:szCs w:val="24"/>
                <w:lang w:val="en-US" w:eastAsia="zh-CN"/>
              </w:rPr>
              <w:t>名称：西安市长安区子午街道办事处</w:t>
            </w:r>
          </w:p>
          <w:p w14:paraId="462664F9">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地址：西安市长安区子午镇南街3号</w:t>
            </w:r>
          </w:p>
          <w:p w14:paraId="4B516B6B">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联系人：周工</w:t>
            </w:r>
          </w:p>
          <w:p w14:paraId="2AA835E0">
            <w:pPr>
              <w:keepNext w:val="0"/>
              <w:keepLines w:val="0"/>
              <w:pageBreakBefore w:val="0"/>
              <w:kinsoku/>
              <w:wordWrap/>
              <w:overflowPunct/>
              <w:topLinePunct w:val="0"/>
              <w:bidi w:val="0"/>
              <w:spacing w:line="288" w:lineRule="auto"/>
              <w:ind w:right="94" w:rightChars="45"/>
              <w:textAlignment w:val="auto"/>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eastAsia="zh-CN"/>
              </w:rPr>
              <w:t>联系电话：029-85954301</w:t>
            </w:r>
          </w:p>
        </w:tc>
      </w:tr>
    </w:tbl>
    <w:p w14:paraId="67814599">
      <w:pPr>
        <w:widowControl/>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需求框架（</w:t>
      </w:r>
      <w:r>
        <w:rPr>
          <w:rFonts w:hint="eastAsia" w:ascii="宋体" w:hAnsi="宋体" w:eastAsia="宋体" w:cs="宋体"/>
          <w:b/>
          <w:sz w:val="24"/>
          <w:szCs w:val="24"/>
          <w:lang w:val="en-US" w:eastAsia="zh-CN"/>
        </w:rPr>
        <w:t>工程</w:t>
      </w:r>
      <w:r>
        <w:rPr>
          <w:rFonts w:hint="eastAsia" w:ascii="宋体" w:hAnsi="宋体" w:eastAsia="宋体" w:cs="宋体"/>
          <w:b/>
          <w:sz w:val="24"/>
          <w:szCs w:val="24"/>
          <w:lang w:eastAsia="zh-CN"/>
        </w:rPr>
        <w:t>类）</w:t>
      </w:r>
    </w:p>
    <w:p w14:paraId="297D8029">
      <w:pPr>
        <w:numPr>
          <w:ilvl w:val="0"/>
          <w:numId w:val="1"/>
        </w:numPr>
        <w:pBdr>
          <w:bottom w:val="single" w:color="auto" w:sz="4" w:space="1"/>
        </w:pBdr>
        <w:spacing w:before="312" w:beforeLines="100"/>
        <w:ind w:left="420" w:hanging="420"/>
        <w:rPr>
          <w:rFonts w:hint="eastAsia" w:ascii="宋体" w:hAnsi="宋体" w:eastAsia="宋体" w:cs="宋体"/>
          <w:b/>
          <w:sz w:val="24"/>
          <w:szCs w:val="24"/>
        </w:rPr>
      </w:pPr>
      <w:r>
        <w:rPr>
          <w:rFonts w:hint="eastAsia" w:ascii="宋体" w:hAnsi="宋体" w:eastAsia="宋体" w:cs="宋体"/>
          <w:b/>
          <w:sz w:val="24"/>
          <w:szCs w:val="24"/>
        </w:rPr>
        <w:t>项目概况</w:t>
      </w:r>
    </w:p>
    <w:p w14:paraId="3D4B2B85">
      <w:pPr>
        <w:pStyle w:val="48"/>
        <w:spacing w:line="360" w:lineRule="auto"/>
        <w:ind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本项目区位于西安市长安区子午街道办子午镇村，主要包含的建设内容有：（1）配水管道及其管道附属建筑物：铺设 PE100 级 dn110（1.0MPa）主管道长 570m，铺设 PE100 级 dn90（1.0MPa）主管道长 314m，铺设 PE100 级 dn75（1.0MPa）主管道长1017m，村内街道支线 PE100 级 dn65（1.0MPa）641m，PE100 级 dn50（1.0MPa）13611m。新建闸阀井 70 座，排气阀井 1 座，排泥阀井 3 座，湿井 3 座。（2）入户工程：入户管道统一用 PE100 级 dn25（1.0MPa）（按每户4m 计，长度5956m），水表井及水表则利用原有设施。总工期：180日历天。</w:t>
      </w:r>
    </w:p>
    <w:p w14:paraId="22185E0D">
      <w:pPr>
        <w:pBdr>
          <w:bottom w:val="single" w:color="auto" w:sz="4" w:space="1"/>
        </w:pBdr>
        <w:spacing w:before="312" w:beforeLines="100" w:line="240" w:lineRule="auto"/>
        <w:rPr>
          <w:rFonts w:hint="eastAsia" w:ascii="宋体" w:hAnsi="宋体" w:eastAsia="宋体" w:cs="宋体"/>
          <w:b/>
          <w:sz w:val="24"/>
          <w:szCs w:val="24"/>
          <w:lang w:val="en-US" w:eastAsia="zh-CN"/>
        </w:rPr>
      </w:pPr>
      <w:r>
        <w:rPr>
          <w:rFonts w:hint="eastAsia" w:ascii="宋体" w:hAnsi="宋体" w:eastAsia="宋体" w:cs="宋体"/>
          <w:b/>
          <w:sz w:val="24"/>
          <w:szCs w:val="24"/>
        </w:rPr>
        <w:t>二、</w:t>
      </w:r>
      <w:r>
        <w:rPr>
          <w:rFonts w:hint="eastAsia" w:ascii="宋体" w:hAnsi="宋体" w:eastAsia="宋体" w:cs="宋体"/>
          <w:b/>
          <w:sz w:val="24"/>
          <w:szCs w:val="24"/>
          <w:lang w:val="en-US" w:eastAsia="zh-CN"/>
        </w:rPr>
        <w:t>工程</w:t>
      </w:r>
      <w:r>
        <w:rPr>
          <w:rFonts w:hint="eastAsia" w:ascii="宋体" w:hAnsi="宋体" w:eastAsia="宋体" w:cs="宋体"/>
          <w:b/>
          <w:sz w:val="24"/>
          <w:szCs w:val="24"/>
        </w:rPr>
        <w:t>内容</w:t>
      </w:r>
      <w:r>
        <w:rPr>
          <w:rFonts w:hint="eastAsia" w:ascii="宋体" w:hAnsi="宋体" w:eastAsia="宋体" w:cs="宋体"/>
          <w:b/>
          <w:sz w:val="24"/>
          <w:szCs w:val="24"/>
          <w:lang w:val="en-US" w:eastAsia="zh-CN"/>
        </w:rPr>
        <w:t>和施工地点、计划工期、缺陷责任期、质量保修期</w:t>
      </w:r>
    </w:p>
    <w:p w14:paraId="3990B0CE">
      <w:pPr>
        <w:bidi w:val="0"/>
        <w:spacing w:line="360" w:lineRule="auto"/>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 w:val="0"/>
          <w:bCs w:val="0"/>
          <w:color w:val="auto"/>
          <w:sz w:val="24"/>
          <w:szCs w:val="24"/>
          <w:highlight w:val="none"/>
          <w:lang w:val="en-US" w:eastAsia="zh-CN"/>
        </w:rPr>
        <w:t>（一）工程内容：</w:t>
      </w:r>
      <w:r>
        <w:rPr>
          <w:rFonts w:hint="eastAsia" w:ascii="宋体" w:hAnsi="宋体" w:eastAsia="宋体" w:cs="宋体"/>
          <w:b w:val="0"/>
          <w:bCs w:val="0"/>
          <w:color w:val="auto"/>
          <w:kern w:val="2"/>
          <w:sz w:val="24"/>
          <w:szCs w:val="24"/>
          <w:highlight w:val="none"/>
          <w:lang w:val="en-US" w:eastAsia="zh-CN" w:bidi="ar-SA"/>
        </w:rPr>
        <w:t>（1）配水管道及其管道附属建筑物：铺设 PE100 级 dn110（1.0MPa）主管道长 570m，铺设 PE100 级 dn90（1.0MPa）主管道长 314m，铺设 PE100 级 dn75（1.0MPa）主管道长1017m，村内街道支线 PE100 级 dn65（1.0MPa）641m，PE100 级 dn50（1.0MPa）13611m。新建闸阀井 70 座，排气阀井 1 座，排泥阀井 3 座，湿井 3 座。（2）入户工程：入户管道统一用 PE100 级 dn25（1.0MPa）（按每户4m 计，长度5956m），水表井及水表则利用原有设施。</w:t>
      </w:r>
      <w:r>
        <w:rPr>
          <w:rFonts w:hint="eastAsia" w:ascii="宋体" w:hAnsi="宋体" w:eastAsia="宋体" w:cs="宋体"/>
          <w:bCs/>
          <w:color w:val="auto"/>
          <w:kern w:val="2"/>
          <w:sz w:val="24"/>
          <w:szCs w:val="24"/>
          <w:lang w:val="en-US" w:eastAsia="zh-CN" w:bidi="ar-SA"/>
        </w:rPr>
        <w:t>（具体详见工程量清单及图纸所含全部内容）。</w:t>
      </w:r>
    </w:p>
    <w:p w14:paraId="3C27BAD2">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（二）施工地点：西安市长安区子午</w:t>
      </w:r>
      <w:r>
        <w:rPr>
          <w:rFonts w:hint="eastAsia" w:ascii="宋体" w:hAnsi="宋体" w:cs="宋体"/>
          <w:b w:val="0"/>
          <w:bCs w:val="0"/>
          <w:color w:val="auto"/>
          <w:sz w:val="24"/>
          <w:szCs w:val="24"/>
          <w:highlight w:val="none"/>
          <w:lang w:val="en-US" w:eastAsia="zh-CN"/>
        </w:rPr>
        <w:t>镇村</w:t>
      </w:r>
    </w:p>
    <w:p w14:paraId="64980BBE">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（三）工期：合同签订之日起</w:t>
      </w:r>
      <w:r>
        <w:rPr>
          <w:rFonts w:hint="eastAsia" w:ascii="宋体" w:hAnsi="宋体" w:cs="宋体"/>
          <w:b w:val="0"/>
          <w:bCs w:val="0"/>
          <w:color w:val="auto"/>
          <w:sz w:val="24"/>
          <w:szCs w:val="24"/>
          <w:highlight w:val="none"/>
          <w:lang w:val="en-US" w:eastAsia="zh-CN"/>
        </w:rPr>
        <w:t>180</w:t>
      </w:r>
      <w:r>
        <w:rPr>
          <w:rFonts w:hint="eastAsia" w:ascii="宋体" w:hAnsi="宋体" w:eastAsia="宋体" w:cs="宋体"/>
          <w:b w:val="0"/>
          <w:bCs w:val="0"/>
          <w:color w:val="auto"/>
          <w:sz w:val="24"/>
          <w:szCs w:val="24"/>
          <w:highlight w:val="none"/>
          <w:lang w:val="en-US" w:eastAsia="zh-CN"/>
        </w:rPr>
        <w:t>日历天</w:t>
      </w:r>
    </w:p>
    <w:p w14:paraId="3A46DEBC">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（四）缺陷责任期（工程质量保修期）：工程竣工验收合格后1年 </w:t>
      </w:r>
    </w:p>
    <w:p w14:paraId="5E3132A9">
      <w:pPr>
        <w:pBdr>
          <w:bottom w:val="single" w:color="auto" w:sz="4" w:space="1"/>
        </w:pBdr>
        <w:shd w:val="clear"/>
        <w:spacing w:before="312" w:beforeLines="1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val="en-US" w:eastAsia="zh-CN"/>
        </w:rPr>
        <w:t>工程量清单和计价依据</w:t>
      </w:r>
    </w:p>
    <w:p w14:paraId="750074B6">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1、设计施工图纸及图纸答疑；</w:t>
      </w:r>
    </w:p>
    <w:p w14:paraId="0FD587BB">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2、陕发改项目</w:t>
      </w:r>
      <w:r>
        <w:rPr>
          <w:rFonts w:hint="default" w:ascii="宋体" w:hAnsi="宋体" w:eastAsia="宋体" w:cs="宋体"/>
          <w:b w:val="0"/>
          <w:bCs w:val="0"/>
          <w:color w:val="auto"/>
          <w:sz w:val="24"/>
          <w:szCs w:val="24"/>
          <w:highlight w:val="none"/>
          <w:lang w:val="en-US" w:eastAsia="zh-CN"/>
        </w:rPr>
        <w:t xml:space="preserve">[2017]1606 </w:t>
      </w:r>
      <w:r>
        <w:rPr>
          <w:rFonts w:hint="eastAsia" w:ascii="宋体" w:hAnsi="宋体" w:eastAsia="宋体" w:cs="宋体"/>
          <w:b w:val="0"/>
          <w:bCs w:val="0"/>
          <w:color w:val="auto"/>
          <w:sz w:val="24"/>
          <w:szCs w:val="24"/>
          <w:highlight w:val="none"/>
          <w:lang w:val="en-US" w:eastAsia="zh-CN"/>
        </w:rPr>
        <w:t xml:space="preserve">号颁发的《陕西省水利水电工程施工机械台班费定额》； </w:t>
      </w:r>
    </w:p>
    <w:p w14:paraId="5A369957">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3、按照国家发展改革委、建设部《关于印发〈建设工程监理与相关服务收费管理规定〉的通知》（发改价格</w:t>
      </w:r>
      <w:r>
        <w:rPr>
          <w:rFonts w:hint="default" w:ascii="宋体" w:hAnsi="宋体" w:eastAsia="宋体" w:cs="宋体"/>
          <w:b w:val="0"/>
          <w:bCs w:val="0"/>
          <w:color w:val="auto"/>
          <w:sz w:val="24"/>
          <w:szCs w:val="24"/>
          <w:highlight w:val="none"/>
          <w:lang w:val="en-US" w:eastAsia="zh-CN"/>
        </w:rPr>
        <w:t xml:space="preserve">[2007]670 </w:t>
      </w:r>
      <w:r>
        <w:rPr>
          <w:rFonts w:hint="eastAsia" w:ascii="宋体" w:hAnsi="宋体" w:eastAsia="宋体" w:cs="宋体"/>
          <w:b w:val="0"/>
          <w:bCs w:val="0"/>
          <w:color w:val="auto"/>
          <w:sz w:val="24"/>
          <w:szCs w:val="24"/>
          <w:highlight w:val="none"/>
          <w:lang w:val="en-US" w:eastAsia="zh-CN"/>
        </w:rPr>
        <w:t xml:space="preserve">号）； </w:t>
      </w:r>
    </w:p>
    <w:p w14:paraId="7012BF2A">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4、国家计委计价格</w:t>
      </w:r>
      <w:r>
        <w:rPr>
          <w:rFonts w:hint="default" w:ascii="宋体" w:hAnsi="宋体" w:eastAsia="宋体" w:cs="宋体"/>
          <w:b w:val="0"/>
          <w:bCs w:val="0"/>
          <w:color w:val="auto"/>
          <w:sz w:val="24"/>
          <w:szCs w:val="24"/>
          <w:highlight w:val="none"/>
          <w:lang w:val="en-US" w:eastAsia="zh-CN"/>
        </w:rPr>
        <w:t xml:space="preserve">[2002]1980 </w:t>
      </w:r>
      <w:r>
        <w:rPr>
          <w:rFonts w:hint="eastAsia" w:ascii="宋体" w:hAnsi="宋体" w:eastAsia="宋体" w:cs="宋体"/>
          <w:b w:val="0"/>
          <w:bCs w:val="0"/>
          <w:color w:val="auto"/>
          <w:sz w:val="24"/>
          <w:szCs w:val="24"/>
          <w:highlight w:val="none"/>
          <w:lang w:val="en-US" w:eastAsia="zh-CN"/>
        </w:rPr>
        <w:t xml:space="preserve">号文关于印发《招标代理业务收费管理暂行办法》的通知； </w:t>
      </w:r>
    </w:p>
    <w:p w14:paraId="72734385">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5、办财务函</w:t>
      </w:r>
      <w:r>
        <w:rPr>
          <w:rFonts w:hint="default" w:ascii="宋体" w:hAnsi="宋体" w:eastAsia="宋体" w:cs="宋体"/>
          <w:b w:val="0"/>
          <w:bCs w:val="0"/>
          <w:color w:val="auto"/>
          <w:sz w:val="24"/>
          <w:szCs w:val="24"/>
          <w:highlight w:val="none"/>
          <w:lang w:val="en-US" w:eastAsia="zh-CN"/>
        </w:rPr>
        <w:t xml:space="preserve">[2019]448 </w:t>
      </w:r>
      <w:r>
        <w:rPr>
          <w:rFonts w:hint="eastAsia" w:ascii="宋体" w:hAnsi="宋体" w:eastAsia="宋体" w:cs="宋体"/>
          <w:b w:val="0"/>
          <w:bCs w:val="0"/>
          <w:color w:val="auto"/>
          <w:sz w:val="24"/>
          <w:szCs w:val="24"/>
          <w:highlight w:val="none"/>
          <w:lang w:val="en-US" w:eastAsia="zh-CN"/>
        </w:rPr>
        <w:t xml:space="preserve">号文《水利部办公厅关于调整水利工程计价依据增值税计算标准的通知》； </w:t>
      </w:r>
    </w:p>
    <w:p w14:paraId="471E64E8">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6、国家发展计划委员会、建设部发改价格［</w:t>
      </w:r>
      <w:r>
        <w:rPr>
          <w:rFonts w:hint="default" w:ascii="宋体" w:hAnsi="宋体" w:eastAsia="宋体" w:cs="宋体"/>
          <w:b w:val="0"/>
          <w:bCs w:val="0"/>
          <w:color w:val="auto"/>
          <w:sz w:val="24"/>
          <w:szCs w:val="24"/>
          <w:highlight w:val="none"/>
          <w:lang w:val="en-US" w:eastAsia="zh-CN"/>
        </w:rPr>
        <w:t>2006</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 xml:space="preserve">1352 </w:t>
      </w:r>
      <w:r>
        <w:rPr>
          <w:rFonts w:hint="eastAsia" w:ascii="宋体" w:hAnsi="宋体" w:eastAsia="宋体" w:cs="宋体"/>
          <w:b w:val="0"/>
          <w:bCs w:val="0"/>
          <w:color w:val="auto"/>
          <w:sz w:val="24"/>
          <w:szCs w:val="24"/>
          <w:highlight w:val="none"/>
          <w:lang w:val="en-US" w:eastAsia="zh-CN"/>
        </w:rPr>
        <w:t>号文颁发 的《关于印发</w:t>
      </w:r>
      <w:r>
        <w:rPr>
          <w:rFonts w:hint="default" w:ascii="宋体" w:hAnsi="宋体" w:eastAsia="宋体" w:cs="宋体"/>
          <w:b w:val="0"/>
          <w:bCs w:val="0"/>
          <w:color w:val="auto"/>
          <w:sz w:val="24"/>
          <w:szCs w:val="24"/>
          <w:highlight w:val="none"/>
          <w:lang w:val="en-US" w:eastAsia="zh-CN"/>
        </w:rPr>
        <w:t>&lt;</w:t>
      </w:r>
      <w:r>
        <w:rPr>
          <w:rFonts w:hint="eastAsia" w:ascii="宋体" w:hAnsi="宋体" w:eastAsia="宋体" w:cs="宋体"/>
          <w:b w:val="0"/>
          <w:bCs w:val="0"/>
          <w:color w:val="auto"/>
          <w:sz w:val="24"/>
          <w:szCs w:val="24"/>
          <w:highlight w:val="none"/>
          <w:lang w:val="en-US" w:eastAsia="zh-CN"/>
        </w:rPr>
        <w:t>水利、水电、电力建设项目前期工作工程勘察收费暂行规定的通知》； 《财政部、农业农村部关于印发</w:t>
      </w:r>
      <w:r>
        <w:rPr>
          <w:rFonts w:hint="default" w:ascii="宋体" w:hAnsi="宋体" w:eastAsia="宋体" w:cs="宋体"/>
          <w:b w:val="0"/>
          <w:bCs w:val="0"/>
          <w:color w:val="auto"/>
          <w:sz w:val="24"/>
          <w:szCs w:val="24"/>
          <w:highlight w:val="none"/>
          <w:lang w:val="en-US" w:eastAsia="zh-CN"/>
        </w:rPr>
        <w:t>&lt;</w:t>
      </w:r>
      <w:r>
        <w:rPr>
          <w:rFonts w:hint="eastAsia" w:ascii="宋体" w:hAnsi="宋体" w:eastAsia="宋体" w:cs="宋体"/>
          <w:b w:val="0"/>
          <w:bCs w:val="0"/>
          <w:color w:val="auto"/>
          <w:sz w:val="24"/>
          <w:szCs w:val="24"/>
          <w:highlight w:val="none"/>
          <w:lang w:val="en-US" w:eastAsia="zh-CN"/>
        </w:rPr>
        <w:t>农田建设补助资金管理办法</w:t>
      </w:r>
      <w:r>
        <w:rPr>
          <w:rFonts w:hint="default" w:ascii="宋体" w:hAnsi="宋体" w:eastAsia="宋体" w:cs="宋体"/>
          <w:b w:val="0"/>
          <w:bCs w:val="0"/>
          <w:color w:val="auto"/>
          <w:sz w:val="24"/>
          <w:szCs w:val="24"/>
          <w:highlight w:val="none"/>
          <w:lang w:val="en-US" w:eastAsia="zh-CN"/>
        </w:rPr>
        <w:t>&gt;</w:t>
      </w:r>
      <w:r>
        <w:rPr>
          <w:rFonts w:hint="eastAsia" w:ascii="宋体" w:hAnsi="宋体" w:eastAsia="宋体" w:cs="宋体"/>
          <w:b w:val="0"/>
          <w:bCs w:val="0"/>
          <w:color w:val="auto"/>
          <w:sz w:val="24"/>
          <w:szCs w:val="24"/>
          <w:highlight w:val="none"/>
          <w:lang w:val="en-US" w:eastAsia="zh-CN"/>
        </w:rPr>
        <w:t>的通知》（财农【</w:t>
      </w:r>
      <w:r>
        <w:rPr>
          <w:rFonts w:hint="default" w:ascii="宋体" w:hAnsi="宋体" w:eastAsia="宋体" w:cs="宋体"/>
          <w:b w:val="0"/>
          <w:bCs w:val="0"/>
          <w:color w:val="auto"/>
          <w:sz w:val="24"/>
          <w:szCs w:val="24"/>
          <w:highlight w:val="none"/>
          <w:lang w:val="en-US" w:eastAsia="zh-CN"/>
        </w:rPr>
        <w:t>2019</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 xml:space="preserve">46 </w:t>
      </w:r>
      <w:r>
        <w:rPr>
          <w:rFonts w:hint="eastAsia" w:ascii="宋体" w:hAnsi="宋体" w:eastAsia="宋体" w:cs="宋体"/>
          <w:b w:val="0"/>
          <w:bCs w:val="0"/>
          <w:color w:val="auto"/>
          <w:sz w:val="24"/>
          <w:szCs w:val="24"/>
          <w:highlight w:val="none"/>
          <w:lang w:val="en-US" w:eastAsia="zh-CN"/>
        </w:rPr>
        <w:t xml:space="preserve">号）。 </w:t>
      </w:r>
    </w:p>
    <w:p w14:paraId="7196FEC3">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7、人工概算单价的编制：省水利厅颁发的《陕西省水利工程预算编制规定》陕水规计发【</w:t>
      </w:r>
      <w:r>
        <w:rPr>
          <w:rFonts w:hint="default" w:ascii="宋体" w:hAnsi="宋体" w:eastAsia="宋体" w:cs="宋体"/>
          <w:b w:val="0"/>
          <w:bCs w:val="0"/>
          <w:color w:val="auto"/>
          <w:sz w:val="24"/>
          <w:szCs w:val="24"/>
          <w:highlight w:val="none"/>
          <w:lang w:val="en-US" w:eastAsia="zh-CN"/>
        </w:rPr>
        <w:t>2019</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 xml:space="preserve">66 </w:t>
      </w:r>
      <w:r>
        <w:rPr>
          <w:rFonts w:hint="eastAsia" w:ascii="宋体" w:hAnsi="宋体" w:eastAsia="宋体" w:cs="宋体"/>
          <w:b w:val="0"/>
          <w:bCs w:val="0"/>
          <w:color w:val="auto"/>
          <w:sz w:val="24"/>
          <w:szCs w:val="24"/>
          <w:highlight w:val="none"/>
          <w:lang w:val="en-US" w:eastAsia="zh-CN"/>
        </w:rPr>
        <w:t>号，人工概算单价调整为：技工</w:t>
      </w:r>
      <w:r>
        <w:rPr>
          <w:rFonts w:hint="default" w:ascii="宋体" w:hAnsi="宋体" w:eastAsia="宋体" w:cs="宋体"/>
          <w:b w:val="0"/>
          <w:bCs w:val="0"/>
          <w:color w:val="auto"/>
          <w:sz w:val="24"/>
          <w:szCs w:val="24"/>
          <w:highlight w:val="none"/>
          <w:lang w:val="en-US" w:eastAsia="zh-CN"/>
        </w:rPr>
        <w:t>75</w:t>
      </w:r>
      <w:r>
        <w:rPr>
          <w:rFonts w:hint="eastAsia" w:ascii="宋体" w:hAnsi="宋体" w:eastAsia="宋体" w:cs="宋体"/>
          <w:b w:val="0"/>
          <w:bCs w:val="0"/>
          <w:color w:val="auto"/>
          <w:sz w:val="24"/>
          <w:szCs w:val="24"/>
          <w:highlight w:val="none"/>
          <w:lang w:val="en-US" w:eastAsia="zh-CN"/>
        </w:rPr>
        <w:t>元</w:t>
      </w:r>
      <w:r>
        <w:rPr>
          <w:rFonts w:hint="default"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工日，普工</w:t>
      </w:r>
      <w:r>
        <w:rPr>
          <w:rFonts w:hint="default" w:ascii="宋体" w:hAnsi="宋体" w:eastAsia="宋体" w:cs="宋体"/>
          <w:b w:val="0"/>
          <w:bCs w:val="0"/>
          <w:color w:val="auto"/>
          <w:sz w:val="24"/>
          <w:szCs w:val="24"/>
          <w:highlight w:val="none"/>
          <w:lang w:val="en-US" w:eastAsia="zh-CN"/>
        </w:rPr>
        <w:t>50</w:t>
      </w:r>
      <w:r>
        <w:rPr>
          <w:rFonts w:hint="eastAsia" w:ascii="宋体" w:hAnsi="宋体" w:eastAsia="宋体" w:cs="宋体"/>
          <w:b w:val="0"/>
          <w:bCs w:val="0"/>
          <w:color w:val="auto"/>
          <w:sz w:val="24"/>
          <w:szCs w:val="24"/>
          <w:highlight w:val="none"/>
          <w:lang w:val="en-US" w:eastAsia="zh-CN"/>
        </w:rPr>
        <w:t>元</w:t>
      </w:r>
      <w:r>
        <w:rPr>
          <w:rFonts w:hint="default"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工日。</w:t>
      </w:r>
    </w:p>
    <w:p w14:paraId="0C5FABD7">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、计价软件版本采用易投造价软件。</w:t>
      </w:r>
    </w:p>
    <w:p w14:paraId="04DA1C97">
      <w:pPr>
        <w:pBdr>
          <w:bottom w:val="single" w:color="auto" w:sz="4" w:space="1"/>
        </w:pBdr>
        <w:spacing w:before="312" w:beforeLines="100"/>
        <w:ind w:left="420" w:hanging="420"/>
        <w:rPr>
          <w:rFonts w:hint="eastAsia" w:ascii="宋体" w:hAnsi="宋体" w:eastAsia="宋体" w:cs="宋体"/>
          <w:b/>
          <w:color w:val="auto"/>
          <w:sz w:val="24"/>
          <w:szCs w:val="24"/>
        </w:rPr>
      </w:pPr>
      <w:r>
        <w:rPr>
          <w:rFonts w:hint="eastAsia" w:ascii="宋体" w:hAnsi="宋体" w:eastAsia="宋体" w:cs="宋体"/>
          <w:b/>
          <w:color w:val="auto"/>
          <w:sz w:val="24"/>
          <w:szCs w:val="24"/>
        </w:rPr>
        <w:t>四、</w:t>
      </w:r>
      <w:r>
        <w:rPr>
          <w:rFonts w:hint="eastAsia" w:ascii="宋体" w:hAnsi="宋体" w:eastAsia="宋体" w:cs="宋体"/>
          <w:b/>
          <w:color w:val="auto"/>
          <w:sz w:val="24"/>
          <w:szCs w:val="24"/>
          <w:lang w:val="en-US" w:eastAsia="zh-CN"/>
        </w:rPr>
        <w:t>施工</w:t>
      </w:r>
      <w:r>
        <w:rPr>
          <w:rFonts w:hint="eastAsia" w:ascii="宋体" w:hAnsi="宋体" w:eastAsia="宋体" w:cs="宋体"/>
          <w:b/>
          <w:color w:val="auto"/>
          <w:sz w:val="24"/>
          <w:szCs w:val="24"/>
        </w:rPr>
        <w:t>要求</w:t>
      </w:r>
    </w:p>
    <w:p w14:paraId="302C5D50">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在施工期间，中标供应商必须保证人员安全，加强安全措施，并对施工人员进行安全教育。施工人员必须持证上岗。</w:t>
      </w:r>
    </w:p>
    <w:p w14:paraId="633EEC5E">
      <w:pPr>
        <w:pBdr>
          <w:bottom w:val="single" w:color="auto" w:sz="4" w:space="1"/>
        </w:pBdr>
        <w:spacing w:before="312" w:beforeLines="100"/>
        <w:ind w:left="420" w:hanging="420"/>
        <w:rPr>
          <w:rFonts w:hint="eastAsia" w:ascii="宋体" w:hAnsi="宋体" w:eastAsia="宋体" w:cs="宋体"/>
          <w:b/>
          <w:color w:val="auto"/>
          <w:sz w:val="24"/>
          <w:szCs w:val="24"/>
        </w:rPr>
      </w:pPr>
      <w:r>
        <w:rPr>
          <w:rFonts w:hint="eastAsia" w:ascii="宋体" w:hAnsi="宋体" w:eastAsia="宋体" w:cs="宋体"/>
          <w:b/>
          <w:color w:val="auto"/>
          <w:sz w:val="24"/>
          <w:szCs w:val="24"/>
        </w:rPr>
        <w:t>五、商务要求</w:t>
      </w:r>
    </w:p>
    <w:p w14:paraId="2CFD7FAA">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一、项目工期、施工地点及工程质量</w:t>
      </w:r>
    </w:p>
    <w:p w14:paraId="3EDA53F9">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bookmarkStart w:id="0" w:name="_Toc167714037"/>
      <w:bookmarkStart w:id="1" w:name="_Toc167715234"/>
      <w:bookmarkStart w:id="2" w:name="_Toc167712839"/>
      <w:r>
        <w:rPr>
          <w:rFonts w:hint="eastAsia" w:ascii="宋体" w:hAnsi="宋体" w:eastAsia="宋体" w:cs="宋体"/>
          <w:b w:val="0"/>
          <w:bCs w:val="0"/>
          <w:color w:val="auto"/>
          <w:sz w:val="24"/>
          <w:szCs w:val="24"/>
          <w:highlight w:val="none"/>
          <w:lang w:val="en-US" w:eastAsia="zh-CN"/>
        </w:rPr>
        <w:t>1、</w:t>
      </w:r>
      <w:bookmarkEnd w:id="0"/>
      <w:bookmarkEnd w:id="1"/>
      <w:bookmarkEnd w:id="2"/>
      <w:r>
        <w:rPr>
          <w:rFonts w:hint="eastAsia" w:ascii="宋体" w:hAnsi="宋体" w:eastAsia="宋体" w:cs="宋体"/>
          <w:b w:val="0"/>
          <w:bCs w:val="0"/>
          <w:color w:val="auto"/>
          <w:sz w:val="24"/>
          <w:szCs w:val="24"/>
          <w:highlight w:val="none"/>
          <w:lang w:val="en-US" w:eastAsia="zh-CN"/>
        </w:rPr>
        <w:t>工期：合同签订之日起</w:t>
      </w:r>
      <w:r>
        <w:rPr>
          <w:rFonts w:hint="eastAsia" w:ascii="宋体" w:hAnsi="宋体" w:cs="宋体"/>
          <w:b w:val="0"/>
          <w:bCs w:val="0"/>
          <w:color w:val="auto"/>
          <w:sz w:val="24"/>
          <w:szCs w:val="24"/>
          <w:highlight w:val="none"/>
          <w:lang w:val="en-US" w:eastAsia="zh-CN"/>
        </w:rPr>
        <w:t>180</w:t>
      </w:r>
      <w:r>
        <w:rPr>
          <w:rFonts w:hint="eastAsia" w:ascii="宋体" w:hAnsi="宋体" w:eastAsia="宋体" w:cs="宋体"/>
          <w:b w:val="0"/>
          <w:bCs w:val="0"/>
          <w:color w:val="auto"/>
          <w:sz w:val="24"/>
          <w:szCs w:val="24"/>
          <w:highlight w:val="none"/>
          <w:lang w:val="en-US" w:eastAsia="zh-CN"/>
        </w:rPr>
        <w:t>日历天内</w:t>
      </w:r>
    </w:p>
    <w:p w14:paraId="70823A69">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2、施工地点：西安市长安区子午</w:t>
      </w:r>
      <w:r>
        <w:rPr>
          <w:rFonts w:hint="eastAsia" w:ascii="宋体" w:hAnsi="宋体" w:cs="宋体"/>
          <w:b w:val="0"/>
          <w:bCs w:val="0"/>
          <w:color w:val="auto"/>
          <w:sz w:val="24"/>
          <w:szCs w:val="24"/>
          <w:highlight w:val="none"/>
          <w:lang w:val="en-US" w:eastAsia="zh-CN"/>
        </w:rPr>
        <w:t>镇村</w:t>
      </w:r>
    </w:p>
    <w:p w14:paraId="392A075C">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3、工程质量：达到国家现行施工验收规范“合格”标准</w:t>
      </w:r>
    </w:p>
    <w:p w14:paraId="20F64BCF">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bookmarkStart w:id="3" w:name="_Toc167714038"/>
      <w:bookmarkStart w:id="4" w:name="_Toc167715235"/>
      <w:bookmarkStart w:id="5" w:name="_Toc167712840"/>
      <w:r>
        <w:rPr>
          <w:rFonts w:hint="eastAsia" w:ascii="宋体" w:hAnsi="宋体" w:eastAsia="宋体" w:cs="宋体"/>
          <w:b w:val="0"/>
          <w:bCs w:val="0"/>
          <w:color w:val="auto"/>
          <w:sz w:val="24"/>
          <w:szCs w:val="24"/>
          <w:highlight w:val="none"/>
          <w:lang w:val="en-US" w:eastAsia="zh-CN"/>
        </w:rPr>
        <w:t>二、运输、进度：</w:t>
      </w:r>
      <w:bookmarkStart w:id="6" w:name="_Toc167715236"/>
      <w:bookmarkStart w:id="7" w:name="_Toc167712841"/>
      <w:bookmarkStart w:id="8" w:name="_Toc167714039"/>
      <w:r>
        <w:rPr>
          <w:rFonts w:hint="eastAsia" w:ascii="宋体" w:hAnsi="宋体" w:eastAsia="宋体" w:cs="宋体"/>
          <w:b w:val="0"/>
          <w:bCs w:val="0"/>
          <w:color w:val="auto"/>
          <w:sz w:val="24"/>
          <w:szCs w:val="24"/>
          <w:highlight w:val="none"/>
          <w:lang w:val="en-US" w:eastAsia="zh-CN"/>
        </w:rPr>
        <w:t>成交单位负责施工过程中的材料的运输等。</w:t>
      </w:r>
      <w:bookmarkEnd w:id="6"/>
      <w:bookmarkEnd w:id="7"/>
      <w:bookmarkEnd w:id="8"/>
    </w:p>
    <w:bookmarkEnd w:id="3"/>
    <w:bookmarkEnd w:id="4"/>
    <w:bookmarkEnd w:id="5"/>
    <w:p w14:paraId="42BDFDDA">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三、付款方式</w:t>
      </w:r>
      <w:bookmarkStart w:id="9" w:name="_Toc167712842"/>
      <w:bookmarkEnd w:id="9"/>
      <w:bookmarkStart w:id="10" w:name="_Toc167714040"/>
      <w:bookmarkEnd w:id="10"/>
      <w:bookmarkStart w:id="11" w:name="_Toc167715237"/>
      <w:bookmarkEnd w:id="11"/>
      <w:bookmarkStart w:id="12" w:name="_Toc167715238"/>
      <w:bookmarkStart w:id="13" w:name="_Toc167714041"/>
      <w:bookmarkStart w:id="14" w:name="_Toc167712843"/>
      <w:r>
        <w:rPr>
          <w:rFonts w:hint="eastAsia" w:ascii="宋体" w:hAnsi="宋体" w:eastAsia="宋体" w:cs="宋体"/>
          <w:b w:val="0"/>
          <w:bCs w:val="0"/>
          <w:color w:val="auto"/>
          <w:sz w:val="24"/>
          <w:szCs w:val="24"/>
          <w:highlight w:val="none"/>
          <w:lang w:val="en-US" w:eastAsia="zh-CN"/>
        </w:rPr>
        <w:t>：</w:t>
      </w:r>
    </w:p>
    <w:bookmarkEnd w:id="12"/>
    <w:bookmarkEnd w:id="13"/>
    <w:bookmarkEnd w:id="14"/>
    <w:p w14:paraId="130523A9">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bookmarkStart w:id="15" w:name="_Toc167715241"/>
      <w:bookmarkStart w:id="16" w:name="_Toc167714044"/>
      <w:bookmarkStart w:id="17" w:name="_Toc167712846"/>
      <w:r>
        <w:rPr>
          <w:rFonts w:hint="eastAsia" w:ascii="宋体" w:hAnsi="宋体" w:eastAsia="宋体" w:cs="宋体"/>
          <w:b w:val="0"/>
          <w:bCs w:val="0"/>
          <w:color w:val="auto"/>
          <w:sz w:val="24"/>
          <w:szCs w:val="24"/>
          <w:highlight w:val="none"/>
          <w:lang w:val="en-US" w:eastAsia="zh-CN"/>
        </w:rPr>
        <w:t>1、在合同签订后，待人员、设备进场施工后预付合同价的30%预付款；</w:t>
      </w:r>
    </w:p>
    <w:p w14:paraId="4DF8668E">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工程进度款根据形象进度拨付，乙方每月向监理人报送上月已完成的工程量报告，监理人应在收到乙方提交的工程量报告后7天内完成对承包人提交的工程量报表的审核并报送甲方，以确定当月实际完成的工程量。甲方审核后，按完成工作量的70%支付进度款（不含暂列金额）；</w:t>
      </w:r>
    </w:p>
    <w:p w14:paraId="33B543ED">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3、待完成承包范围内全部工作且工程结算审计完成后，支付至审定建筑安装工程结算价的90%；</w:t>
      </w:r>
    </w:p>
    <w:p w14:paraId="3A645850">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4、待工程竣工决算审计完成后，支付至最终审定建筑安装工程竣工决算价的97%；（具体工程进度款结算与支付以实际情况为准）；</w:t>
      </w:r>
    </w:p>
    <w:p w14:paraId="53482E21">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5、预留最终审定建筑安装工程竣工决算价的3%作为工程质量保修金，质保期满后无息退还（扣除相关应扣费用）工程质量保修金。</w:t>
      </w:r>
    </w:p>
    <w:p w14:paraId="619E3E67">
      <w:pPr>
        <w:spacing w:line="500" w:lineRule="exact"/>
        <w:ind w:right="-197" w:rightChars="-94"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四、竣工验收</w:t>
      </w:r>
    </w:p>
    <w:p w14:paraId="21780A0C">
      <w:pPr>
        <w:spacing w:line="500" w:lineRule="exact"/>
        <w:ind w:right="-197" w:rightChars="-94"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（1）竣工须达到的标准和具备工程验收的条件。</w:t>
      </w:r>
    </w:p>
    <w:p w14:paraId="3E783582">
      <w:pPr>
        <w:spacing w:line="500" w:lineRule="exact"/>
        <w:ind w:right="-197" w:rightChars="-94"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（2）工程验收规范、标准，验收的组织实施。</w:t>
      </w:r>
    </w:p>
    <w:p w14:paraId="13419262">
      <w:pPr>
        <w:spacing w:line="500" w:lineRule="exact"/>
        <w:ind w:right="-197" w:rightChars="-94"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（3）工程验收合格须移交的工程资料和竣工图纸等。</w:t>
      </w:r>
    </w:p>
    <w:p w14:paraId="406D9EE5">
      <w:pPr>
        <w:spacing w:line="500" w:lineRule="exact"/>
        <w:ind w:right="-197" w:rightChars="-94"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（4）工程质保期：</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年</w:t>
      </w:r>
    </w:p>
    <w:p w14:paraId="2AAC1C2B">
      <w:pPr>
        <w:spacing w:line="500" w:lineRule="exact"/>
        <w:ind w:right="-197" w:rightChars="-94"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五、验收依据</w:t>
      </w:r>
      <w:bookmarkEnd w:id="15"/>
      <w:bookmarkEnd w:id="16"/>
      <w:bookmarkEnd w:id="17"/>
      <w:bookmarkStart w:id="18" w:name="_Toc167712849"/>
      <w:bookmarkStart w:id="19" w:name="_Toc167715244"/>
      <w:bookmarkStart w:id="20" w:name="_Toc167714047"/>
    </w:p>
    <w:p w14:paraId="2BB4FE22">
      <w:pPr>
        <w:spacing w:line="500" w:lineRule="exact"/>
        <w:ind w:right="-197" w:rightChars="-94"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（1）合同文本及合同补充文件（条款）。</w:t>
      </w:r>
    </w:p>
    <w:p w14:paraId="169471FD">
      <w:pPr>
        <w:spacing w:line="500" w:lineRule="exact"/>
        <w:ind w:right="-197" w:rightChars="-94"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（2）磋商文件。</w:t>
      </w:r>
    </w:p>
    <w:p w14:paraId="68384ED8">
      <w:pPr>
        <w:spacing w:line="500" w:lineRule="exact"/>
        <w:ind w:right="-197" w:rightChars="-94"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（3）成交单位的磋商响应文件。</w:t>
      </w:r>
    </w:p>
    <w:p w14:paraId="758AB6B0">
      <w:pPr>
        <w:spacing w:line="500" w:lineRule="exact"/>
        <w:ind w:right="-197" w:rightChars="-94"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（4）国家相关法律法规。</w:t>
      </w:r>
    </w:p>
    <w:p w14:paraId="54C723EC">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六、本工程招标限价由中标单位支付。</w:t>
      </w:r>
    </w:p>
    <w:bookmarkEnd w:id="18"/>
    <w:bookmarkEnd w:id="19"/>
    <w:bookmarkEnd w:id="20"/>
    <w:p w14:paraId="623EA9B3">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造价服务费依据《陕西省物价局陕西省住房和城乡建设厅关于我省工程造价咨询服务收费标准有关问题的通知》（陕价行发〔2014〕88号）文件规定计取。造价服务费按照审定价计取。</w:t>
      </w:r>
    </w:p>
    <w:p w14:paraId="3B61EEF9">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公司名称：陕西龙辰全过程工程咨询有限公司</w:t>
      </w:r>
    </w:p>
    <w:p w14:paraId="45984AA3">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开户银行：西安银行股份有限公司星火路支行</w:t>
      </w:r>
    </w:p>
    <w:p w14:paraId="4A49A407">
      <w:pPr>
        <w:spacing w:line="500" w:lineRule="exact"/>
        <w:ind w:right="-197" w:rightChars="-94"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账    号：708011580000269481</w:t>
      </w:r>
    </w:p>
    <w:p w14:paraId="46FCFA92">
      <w:pPr>
        <w:pBdr>
          <w:bottom w:val="single" w:color="auto" w:sz="4" w:space="1"/>
        </w:pBdr>
        <w:spacing w:before="312" w:beforeLines="100"/>
        <w:rPr>
          <w:rFonts w:hint="eastAsia" w:ascii="宋体" w:hAnsi="宋体" w:eastAsia="宋体" w:cs="宋体"/>
          <w:b/>
          <w:color w:val="auto"/>
          <w:sz w:val="24"/>
          <w:szCs w:val="24"/>
        </w:rPr>
      </w:pPr>
      <w:r>
        <w:rPr>
          <w:rFonts w:hint="eastAsia" w:ascii="宋体" w:hAnsi="宋体" w:eastAsia="宋体" w:cs="宋体"/>
          <w:b/>
          <w:color w:val="auto"/>
          <w:sz w:val="24"/>
          <w:szCs w:val="24"/>
        </w:rPr>
        <w:t>六、其他</w:t>
      </w:r>
    </w:p>
    <w:p w14:paraId="2326A417">
      <w:pPr>
        <w:spacing w:line="500" w:lineRule="exact"/>
        <w:ind w:right="-197" w:rightChars="-94" w:firstLine="480" w:firstLineChars="200"/>
        <w:rPr>
          <w:rFonts w:hint="eastAsia" w:ascii="宋体" w:hAnsi="宋体" w:eastAsia="宋体" w:cs="宋体"/>
          <w:b w:val="0"/>
          <w:bCs w:val="0"/>
          <w:color w:val="auto"/>
          <w:sz w:val="24"/>
          <w:szCs w:val="24"/>
          <w:highlight w:val="none"/>
        </w:rPr>
      </w:pPr>
      <w:bookmarkStart w:id="21" w:name="_GoBack"/>
      <w:r>
        <w:rPr>
          <w:rFonts w:hint="eastAsia" w:ascii="宋体" w:hAnsi="宋体" w:eastAsia="宋体" w:cs="宋体"/>
          <w:b w:val="0"/>
          <w:bCs w:val="0"/>
          <w:color w:val="auto"/>
          <w:sz w:val="24"/>
          <w:szCs w:val="24"/>
          <w:highlight w:val="none"/>
        </w:rPr>
        <w:t>1、按《中华人民共和国民法典》中的相关条款执行。</w:t>
      </w:r>
    </w:p>
    <w:p w14:paraId="48C1F83F">
      <w:pPr>
        <w:spacing w:line="500" w:lineRule="exact"/>
        <w:ind w:right="-197" w:rightChars="-94"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rPr>
        <w:t>2、未按合同要求工程质量不能满足技术要求，采购方有权终止合同，并对供方违约行为进行追究，同时按《中华人民共和国政府采购法》的有关规定进行处罚。</w:t>
      </w:r>
    </w:p>
    <w:bookmarkEnd w:id="21"/>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roman"/>
    <w:pitch w:val="default"/>
    <w:sig w:usb0="00000000" w:usb1="00000000" w:usb2="00000010" w:usb3="00000000" w:csb0="00080000"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E761B"/>
    <w:multiLevelType w:val="singleLevel"/>
    <w:tmpl w:val="D3FE76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g1ODI4MjdhM2Y4OGNiODU3YjJjMmE5MTAzNGI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2633"/>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66E90"/>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08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286E"/>
    <w:rsid w:val="00A96F13"/>
    <w:rsid w:val="00AA1080"/>
    <w:rsid w:val="00AA16D3"/>
    <w:rsid w:val="00AA18CA"/>
    <w:rsid w:val="00AA3BFA"/>
    <w:rsid w:val="00AA5A0A"/>
    <w:rsid w:val="00AA5E84"/>
    <w:rsid w:val="00AA725C"/>
    <w:rsid w:val="00AB3274"/>
    <w:rsid w:val="00AB7A0E"/>
    <w:rsid w:val="00AC0409"/>
    <w:rsid w:val="00AC0C60"/>
    <w:rsid w:val="00AC15C6"/>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1AFF"/>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3FB3"/>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327187E"/>
    <w:rsid w:val="03BC4D98"/>
    <w:rsid w:val="03DC31A4"/>
    <w:rsid w:val="03EB19A3"/>
    <w:rsid w:val="04D92534"/>
    <w:rsid w:val="05C9267D"/>
    <w:rsid w:val="05DA7D29"/>
    <w:rsid w:val="0B557E7B"/>
    <w:rsid w:val="0CA210EF"/>
    <w:rsid w:val="0D1576D5"/>
    <w:rsid w:val="11A25AC2"/>
    <w:rsid w:val="11B414D3"/>
    <w:rsid w:val="122C0146"/>
    <w:rsid w:val="1235758F"/>
    <w:rsid w:val="147412D4"/>
    <w:rsid w:val="14D8043E"/>
    <w:rsid w:val="17A31F33"/>
    <w:rsid w:val="1B3F3277"/>
    <w:rsid w:val="1BBE01F3"/>
    <w:rsid w:val="1E9F4DD2"/>
    <w:rsid w:val="206312F6"/>
    <w:rsid w:val="21062BBC"/>
    <w:rsid w:val="22517109"/>
    <w:rsid w:val="22E104A5"/>
    <w:rsid w:val="243B61D3"/>
    <w:rsid w:val="247943DC"/>
    <w:rsid w:val="24A541B4"/>
    <w:rsid w:val="298C4988"/>
    <w:rsid w:val="2BAF4BD3"/>
    <w:rsid w:val="2BE31EF4"/>
    <w:rsid w:val="2D0A13DA"/>
    <w:rsid w:val="2ECB2EFB"/>
    <w:rsid w:val="2F532F05"/>
    <w:rsid w:val="31486E15"/>
    <w:rsid w:val="3189283E"/>
    <w:rsid w:val="325076CE"/>
    <w:rsid w:val="3394396C"/>
    <w:rsid w:val="33A85267"/>
    <w:rsid w:val="3C755A32"/>
    <w:rsid w:val="3CF616F8"/>
    <w:rsid w:val="3E09067C"/>
    <w:rsid w:val="438C469A"/>
    <w:rsid w:val="44A17C0E"/>
    <w:rsid w:val="47E0012B"/>
    <w:rsid w:val="49C348F7"/>
    <w:rsid w:val="4A3A216F"/>
    <w:rsid w:val="4CC0176E"/>
    <w:rsid w:val="4ECA56F0"/>
    <w:rsid w:val="4F244CCE"/>
    <w:rsid w:val="4F8940CC"/>
    <w:rsid w:val="5039469B"/>
    <w:rsid w:val="513C1C0A"/>
    <w:rsid w:val="52ED3B00"/>
    <w:rsid w:val="55AA2FBB"/>
    <w:rsid w:val="573053BE"/>
    <w:rsid w:val="57AA1C43"/>
    <w:rsid w:val="587C4D13"/>
    <w:rsid w:val="58A81A34"/>
    <w:rsid w:val="58EB171A"/>
    <w:rsid w:val="5ACA724D"/>
    <w:rsid w:val="5C827966"/>
    <w:rsid w:val="5D0A77A6"/>
    <w:rsid w:val="5DA12EF6"/>
    <w:rsid w:val="5F8E71FF"/>
    <w:rsid w:val="617E035E"/>
    <w:rsid w:val="620D1730"/>
    <w:rsid w:val="659932D8"/>
    <w:rsid w:val="65B06642"/>
    <w:rsid w:val="65D37E3D"/>
    <w:rsid w:val="68BB6662"/>
    <w:rsid w:val="6AD71649"/>
    <w:rsid w:val="6BB90476"/>
    <w:rsid w:val="6BE54A9D"/>
    <w:rsid w:val="6E08668E"/>
    <w:rsid w:val="6E0E50AA"/>
    <w:rsid w:val="6E876F2B"/>
    <w:rsid w:val="6F4A1B21"/>
    <w:rsid w:val="70C664FC"/>
    <w:rsid w:val="71EC6ED7"/>
    <w:rsid w:val="731004AA"/>
    <w:rsid w:val="74F2382F"/>
    <w:rsid w:val="750E3FF0"/>
    <w:rsid w:val="754E66B7"/>
    <w:rsid w:val="76D4111E"/>
    <w:rsid w:val="782F13D2"/>
    <w:rsid w:val="79755659"/>
    <w:rsid w:val="7B32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annotation text"/>
    <w:basedOn w:val="1"/>
    <w:link w:val="41"/>
    <w:autoRedefine/>
    <w:semiHidden/>
    <w:unhideWhenUsed/>
    <w:qFormat/>
    <w:uiPriority w:val="99"/>
    <w:pPr>
      <w:jc w:val="left"/>
    </w:pPr>
  </w:style>
  <w:style w:type="paragraph" w:styleId="4">
    <w:name w:val="Body Text"/>
    <w:basedOn w:val="1"/>
    <w:next w:val="1"/>
    <w:autoRedefine/>
    <w:qFormat/>
    <w:uiPriority w:val="0"/>
    <w:rPr>
      <w:sz w:val="24"/>
    </w:rPr>
  </w:style>
  <w:style w:type="paragraph" w:styleId="5">
    <w:name w:val="Body Text Indent"/>
    <w:basedOn w:val="1"/>
    <w:next w:val="6"/>
    <w:autoRedefine/>
    <w:semiHidden/>
    <w:unhideWhenUsed/>
    <w:qFormat/>
    <w:uiPriority w:val="99"/>
    <w:pPr>
      <w:spacing w:line="360" w:lineRule="auto"/>
      <w:ind w:firstLine="570"/>
    </w:pPr>
    <w:rPr>
      <w:sz w:val="24"/>
    </w:rPr>
  </w:style>
  <w:style w:type="paragraph" w:styleId="6">
    <w:name w:val="Body Text First Indent 2"/>
    <w:basedOn w:val="5"/>
    <w:autoRedefine/>
    <w:semiHidden/>
    <w:unhideWhenUsed/>
    <w:qFormat/>
    <w:uiPriority w:val="99"/>
    <w:pPr>
      <w:ind w:firstLine="420" w:firstLineChars="200"/>
    </w:pPr>
    <w:rPr>
      <w:rFonts w:eastAsia="宋?"/>
    </w:rPr>
  </w:style>
  <w:style w:type="paragraph" w:styleId="7">
    <w:name w:val="Balloon Text"/>
    <w:basedOn w:val="1"/>
    <w:link w:val="43"/>
    <w:autoRedefine/>
    <w:semiHidden/>
    <w:unhideWhenUsed/>
    <w:qFormat/>
    <w:uiPriority w:val="99"/>
    <w:rPr>
      <w:sz w:val="18"/>
      <w:szCs w:val="18"/>
    </w:rPr>
  </w:style>
  <w:style w:type="paragraph" w:styleId="8">
    <w:name w:val="footer"/>
    <w:basedOn w:val="1"/>
    <w:link w:val="40"/>
    <w:autoRedefine/>
    <w:unhideWhenUsed/>
    <w:qFormat/>
    <w:uiPriority w:val="99"/>
    <w:pPr>
      <w:tabs>
        <w:tab w:val="center" w:pos="4153"/>
        <w:tab w:val="right" w:pos="8306"/>
      </w:tabs>
      <w:snapToGrid w:val="0"/>
      <w:jc w:val="left"/>
    </w:pPr>
    <w:rPr>
      <w:sz w:val="18"/>
      <w:szCs w:val="18"/>
    </w:rPr>
  </w:style>
  <w:style w:type="paragraph" w:styleId="9">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Autospacing="1" w:afterAutospacing="1"/>
      <w:jc w:val="left"/>
    </w:pPr>
    <w:rPr>
      <w:rFonts w:ascii="宋体" w:hAnsi="宋体"/>
      <w:sz w:val="24"/>
    </w:rPr>
  </w:style>
  <w:style w:type="paragraph" w:styleId="11">
    <w:name w:val="annotation subject"/>
    <w:basedOn w:val="3"/>
    <w:next w:val="3"/>
    <w:link w:val="42"/>
    <w:autoRedefine/>
    <w:semiHidden/>
    <w:unhideWhenUsed/>
    <w:qFormat/>
    <w:uiPriority w:val="99"/>
    <w:rPr>
      <w:b/>
      <w:bCs/>
    </w:rPr>
  </w:style>
  <w:style w:type="paragraph" w:styleId="12">
    <w:name w:val="Body Text First Indent"/>
    <w:basedOn w:val="4"/>
    <w:next w:val="1"/>
    <w:autoRedefine/>
    <w:semiHidden/>
    <w:unhideWhenUsed/>
    <w:qFormat/>
    <w:uiPriority w:val="99"/>
    <w:pPr>
      <w:tabs>
        <w:tab w:val="left" w:pos="567"/>
      </w:tabs>
      <w:spacing w:before="0" w:line="312" w:lineRule="auto"/>
      <w:ind w:firstLine="420"/>
      <w:jc w:val="center"/>
    </w:pPr>
    <w:rPr>
      <w:rFonts w:ascii="Times New Roman" w:hAnsi="Times New Roman"/>
      <w:sz w:val="21"/>
      <w:szCs w:val="21"/>
      <w:lang w:val="en-US" w:eastAsia="zh-C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autoRedefine/>
    <w:semiHidden/>
    <w:unhideWhenUsed/>
    <w:qFormat/>
    <w:uiPriority w:val="99"/>
    <w:rPr>
      <w:sz w:val="21"/>
      <w:szCs w:val="21"/>
    </w:rPr>
  </w:style>
  <w:style w:type="paragraph" w:customStyle="1" w:styleId="17">
    <w:name w:val="※封面大标题"/>
    <w:basedOn w:val="1"/>
    <w:next w:val="1"/>
    <w:autoRedefine/>
    <w:qFormat/>
    <w:uiPriority w:val="0"/>
    <w:pPr>
      <w:widowControl/>
      <w:jc w:val="center"/>
    </w:pPr>
    <w:rPr>
      <w:rFonts w:ascii="华文中宋" w:hAnsi="华文中宋" w:eastAsia="华文中宋"/>
      <w:sz w:val="96"/>
      <w:szCs w:val="96"/>
    </w:rPr>
  </w:style>
  <w:style w:type="paragraph" w:customStyle="1" w:styleId="18">
    <w:name w:val="※封面题颌"/>
    <w:basedOn w:val="1"/>
    <w:next w:val="1"/>
    <w:autoRedefine/>
    <w:qFormat/>
    <w:uiPriority w:val="0"/>
    <w:pPr>
      <w:widowControl/>
      <w:jc w:val="center"/>
    </w:pPr>
    <w:rPr>
      <w:rFonts w:ascii="Calibri Light" w:hAnsi="Calibri Light" w:eastAsia="华文仿宋"/>
      <w:sz w:val="36"/>
      <w:szCs w:val="36"/>
    </w:rPr>
  </w:style>
  <w:style w:type="paragraph" w:customStyle="1" w:styleId="19">
    <w:name w:val="※封面题眉"/>
    <w:basedOn w:val="1"/>
    <w:next w:val="17"/>
    <w:autoRedefine/>
    <w:qFormat/>
    <w:uiPriority w:val="0"/>
    <w:pPr>
      <w:widowControl/>
      <w:jc w:val="center"/>
    </w:pPr>
    <w:rPr>
      <w:rFonts w:ascii="华文仿宋" w:hAnsi="华文仿宋" w:eastAsia="华文仿宋"/>
      <w:sz w:val="52"/>
      <w:szCs w:val="28"/>
    </w:rPr>
  </w:style>
  <w:style w:type="paragraph" w:customStyle="1" w:styleId="20">
    <w:name w:val="※封面题须"/>
    <w:basedOn w:val="1"/>
    <w:autoRedefine/>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21">
    <w:name w:val="※目录（次）"/>
    <w:basedOn w:val="1"/>
    <w:autoRedefine/>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2">
    <w:name w:val="※目录（主）"/>
    <w:basedOn w:val="1"/>
    <w:autoRedefine/>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3">
    <w:name w:val="※小标题 1"/>
    <w:basedOn w:val="1"/>
    <w:next w:val="1"/>
    <w:autoRedefine/>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4">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25">
    <w:name w:val="※小标题 一"/>
    <w:basedOn w:val="24"/>
    <w:next w:val="24"/>
    <w:autoRedefine/>
    <w:qFormat/>
    <w:uiPriority w:val="0"/>
    <w:pPr>
      <w:spacing w:before="120" w:line="240" w:lineRule="auto"/>
      <w:outlineLvl w:val="2"/>
    </w:pPr>
    <w:rPr>
      <w:b/>
      <w:color w:val="203864" w:themeColor="accent5" w:themeShade="80"/>
      <w:sz w:val="32"/>
    </w:rPr>
  </w:style>
  <w:style w:type="paragraph" w:customStyle="1" w:styleId="26">
    <w:name w:val="※小标题（1）"/>
    <w:basedOn w:val="1"/>
    <w:next w:val="24"/>
    <w:autoRedefine/>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7">
    <w:name w:val="※小标题（一）"/>
    <w:basedOn w:val="1"/>
    <w:next w:val="24"/>
    <w:autoRedefine/>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8">
    <w:name w:val="※页脚（横屏）"/>
    <w:basedOn w:val="1"/>
    <w:autoRedefine/>
    <w:qFormat/>
    <w:uiPriority w:val="0"/>
    <w:pPr>
      <w:widowControl/>
      <w:tabs>
        <w:tab w:val="center" w:pos="7000"/>
      </w:tabs>
      <w:wordWrap w:val="0"/>
      <w:spacing w:line="240" w:lineRule="atLeast"/>
      <w:jc w:val="left"/>
    </w:pPr>
    <w:rPr>
      <w:rFonts w:ascii="宋体" w:hAnsi="宋体"/>
      <w:sz w:val="18"/>
      <w:szCs w:val="18"/>
    </w:rPr>
  </w:style>
  <w:style w:type="paragraph" w:customStyle="1" w:styleId="29">
    <w:name w:val="※页脚（竖屏）"/>
    <w:basedOn w:val="1"/>
    <w:autoRedefine/>
    <w:qFormat/>
    <w:uiPriority w:val="0"/>
    <w:pPr>
      <w:widowControl/>
      <w:tabs>
        <w:tab w:val="center" w:pos="4536"/>
      </w:tabs>
      <w:wordWrap w:val="0"/>
      <w:spacing w:line="240" w:lineRule="atLeast"/>
      <w:jc w:val="left"/>
    </w:pPr>
    <w:rPr>
      <w:rFonts w:ascii="宋体" w:hAnsi="宋体"/>
      <w:sz w:val="18"/>
      <w:szCs w:val="18"/>
    </w:rPr>
  </w:style>
  <w:style w:type="paragraph" w:customStyle="1" w:styleId="30">
    <w:name w:val="※页眉"/>
    <w:basedOn w:val="24"/>
    <w:autoRedefine/>
    <w:qFormat/>
    <w:uiPriority w:val="0"/>
    <w:pPr>
      <w:pBdr>
        <w:bottom w:val="single" w:color="auto" w:sz="4" w:space="1"/>
      </w:pBdr>
      <w:spacing w:line="240" w:lineRule="atLeast"/>
      <w:jc w:val="right"/>
    </w:pPr>
    <w:rPr>
      <w:rFonts w:ascii="宋体" w:hAnsi="宋体" w:eastAsia="宋体"/>
      <w:sz w:val="18"/>
    </w:rPr>
  </w:style>
  <w:style w:type="paragraph" w:customStyle="1" w:styleId="31">
    <w:name w:val="※章节标题（第X章）"/>
    <w:basedOn w:val="1"/>
    <w:autoRedefine/>
    <w:qFormat/>
    <w:uiPriority w:val="0"/>
    <w:pPr>
      <w:widowControl/>
      <w:jc w:val="center"/>
      <w:outlineLvl w:val="0"/>
    </w:pPr>
    <w:rPr>
      <w:rFonts w:ascii="Calibri Light" w:hAnsi="Calibri Light" w:eastAsia="黑体"/>
      <w:sz w:val="36"/>
      <w:szCs w:val="28"/>
    </w:rPr>
  </w:style>
  <w:style w:type="paragraph" w:customStyle="1" w:styleId="32">
    <w:name w:val="※章节标题（第Y部分）"/>
    <w:basedOn w:val="1"/>
    <w:next w:val="1"/>
    <w:autoRedefine/>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3">
    <w:name w:val="※章节标题（第Z部分分项）"/>
    <w:basedOn w:val="32"/>
    <w:autoRedefine/>
    <w:qFormat/>
    <w:uiPriority w:val="0"/>
    <w:pPr>
      <w:outlineLvl w:val="2"/>
    </w:pPr>
  </w:style>
  <w:style w:type="paragraph" w:customStyle="1" w:styleId="34">
    <w:name w:val="※正文（落款）"/>
    <w:basedOn w:val="1"/>
    <w:autoRedefine/>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5">
    <w:name w:val="※正文（缩进2）"/>
    <w:basedOn w:val="24"/>
    <w:autoRedefine/>
    <w:qFormat/>
    <w:uiPriority w:val="0"/>
    <w:pPr>
      <w:ind w:firstLine="200" w:firstLineChars="200"/>
    </w:pPr>
  </w:style>
  <w:style w:type="paragraph" w:customStyle="1" w:styleId="36">
    <w:name w:val="※正文（缩进4）"/>
    <w:basedOn w:val="24"/>
    <w:autoRedefine/>
    <w:qFormat/>
    <w:uiPriority w:val="0"/>
    <w:pPr>
      <w:ind w:firstLine="400" w:firstLineChars="400"/>
    </w:pPr>
  </w:style>
  <w:style w:type="paragraph" w:customStyle="1" w:styleId="37">
    <w:name w:val="样式"/>
    <w:link w:val="38"/>
    <w:autoRedefine/>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8">
    <w:name w:val="样式 Char Char"/>
    <w:link w:val="37"/>
    <w:autoRedefine/>
    <w:qFormat/>
    <w:locked/>
    <w:uiPriority w:val="0"/>
    <w:rPr>
      <w:rFonts w:ascii="宋体" w:hAnsi="宋体" w:eastAsia="宋体" w:cs="宋体"/>
      <w:kern w:val="0"/>
      <w:sz w:val="24"/>
      <w:szCs w:val="24"/>
    </w:rPr>
  </w:style>
  <w:style w:type="character" w:customStyle="1" w:styleId="39">
    <w:name w:val="页眉 Char"/>
    <w:basedOn w:val="15"/>
    <w:link w:val="9"/>
    <w:autoRedefine/>
    <w:qFormat/>
    <w:uiPriority w:val="99"/>
    <w:rPr>
      <w:rFonts w:ascii="Calibri" w:hAnsi="Calibri" w:eastAsia="宋体" w:cs="Times New Roman"/>
      <w:sz w:val="18"/>
      <w:szCs w:val="18"/>
    </w:rPr>
  </w:style>
  <w:style w:type="character" w:customStyle="1" w:styleId="40">
    <w:name w:val="页脚 Char"/>
    <w:basedOn w:val="15"/>
    <w:link w:val="8"/>
    <w:autoRedefine/>
    <w:qFormat/>
    <w:uiPriority w:val="99"/>
    <w:rPr>
      <w:rFonts w:ascii="Calibri" w:hAnsi="Calibri" w:eastAsia="宋体" w:cs="Times New Roman"/>
      <w:sz w:val="18"/>
      <w:szCs w:val="18"/>
    </w:rPr>
  </w:style>
  <w:style w:type="character" w:customStyle="1" w:styleId="41">
    <w:name w:val="批注文字 Char"/>
    <w:basedOn w:val="15"/>
    <w:link w:val="3"/>
    <w:autoRedefine/>
    <w:semiHidden/>
    <w:qFormat/>
    <w:uiPriority w:val="99"/>
    <w:rPr>
      <w:rFonts w:ascii="Calibri" w:hAnsi="Calibri" w:eastAsia="宋体" w:cs="Times New Roman"/>
    </w:rPr>
  </w:style>
  <w:style w:type="character" w:customStyle="1" w:styleId="42">
    <w:name w:val="批注主题 Char"/>
    <w:basedOn w:val="41"/>
    <w:link w:val="11"/>
    <w:autoRedefine/>
    <w:semiHidden/>
    <w:qFormat/>
    <w:uiPriority w:val="99"/>
    <w:rPr>
      <w:rFonts w:ascii="Calibri" w:hAnsi="Calibri" w:eastAsia="宋体" w:cs="Times New Roman"/>
      <w:b/>
      <w:bCs/>
    </w:rPr>
  </w:style>
  <w:style w:type="character" w:customStyle="1" w:styleId="43">
    <w:name w:val="批注框文本 Char"/>
    <w:basedOn w:val="15"/>
    <w:link w:val="7"/>
    <w:autoRedefine/>
    <w:semiHidden/>
    <w:qFormat/>
    <w:uiPriority w:val="99"/>
    <w:rPr>
      <w:rFonts w:ascii="Calibri" w:hAnsi="Calibri" w:eastAsia="宋体" w:cs="Times New Roman"/>
      <w:sz w:val="18"/>
      <w:szCs w:val="18"/>
    </w:rPr>
  </w:style>
  <w:style w:type="paragraph" w:styleId="44">
    <w:name w:val="List Paragraph"/>
    <w:basedOn w:val="1"/>
    <w:autoRedefine/>
    <w:qFormat/>
    <w:uiPriority w:val="34"/>
    <w:pPr>
      <w:ind w:firstLine="420" w:firstLineChars="200"/>
    </w:pPr>
    <w:rPr>
      <w:rFonts w:asciiTheme="minorHAnsi" w:hAnsiTheme="minorHAnsi" w:eastAsiaTheme="minorEastAsia" w:cstheme="minorBidi"/>
    </w:rPr>
  </w:style>
  <w:style w:type="table" w:customStyle="1" w:styleId="45">
    <w:name w:val="Grid Table 4 Accent 3"/>
    <w:basedOn w:val="13"/>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46">
    <w:name w:val="Table Paragraph"/>
    <w:basedOn w:val="1"/>
    <w:autoRedefine/>
    <w:qFormat/>
    <w:uiPriority w:val="1"/>
    <w:rPr>
      <w:rFonts w:ascii="宋体" w:hAnsi="宋体" w:eastAsia="宋体" w:cs="宋体"/>
      <w:lang w:val="zh-CN" w:eastAsia="zh-CN" w:bidi="zh-CN"/>
    </w:rPr>
  </w:style>
  <w:style w:type="character" w:customStyle="1" w:styleId="47">
    <w:name w:val="underline1"/>
    <w:basedOn w:val="15"/>
    <w:autoRedefine/>
    <w:qFormat/>
    <w:uiPriority w:val="0"/>
    <w:rPr>
      <w:u w:val="single"/>
    </w:rPr>
  </w:style>
  <w:style w:type="paragraph" w:customStyle="1" w:styleId="48">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3955</Words>
  <Characters>4366</Characters>
  <Lines>22</Lines>
  <Paragraphs>6</Paragraphs>
  <TotalTime>0</TotalTime>
  <ScaleCrop>false</ScaleCrop>
  <LinksUpToDate>false</LinksUpToDate>
  <CharactersWithSpaces>4523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2021-03-19T00:37:00Z</dcterms:created>
  <dc:creator>lenovo</dc:creator>
  <cp:lastModifiedBy>云淇</cp:lastModifiedBy>
  <cp:lastPrinted>2023-03-24T03:50:00Z</cp:lastPrinted>
  <dcterms:modified xsi:type="dcterms:W3CDTF">2025-09-23T10:31:53Z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7C79F3A860774D98A098C96AAE480458</vt:lpwstr>
  </property>
  <property fmtid="{D5CDD505-2E9C-101B-9397-08002B2CF9AE}" pid="4" name="KSOTemplateDocerSaveRecord">
    <vt:lpwstr>eyJoZGlkIjoiMmMzOWI3ODU4NzNhY2Y3MzAwMTRkMmQxYzk0ODMyMzciLCJ1c2VySWQiOiI0NjI1MDU0NzAifQ==</vt:lpwstr>
  </property>
</Properties>
</file>