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F055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36" w:lineRule="auto"/>
        <w:jc w:val="center"/>
        <w:textAlignment w:val="auto"/>
        <w:outlineLvl w:val="0"/>
        <w:rPr>
          <w:rFonts w:hint="eastAsia" w:ascii="楷体" w:hAnsi="楷体" w:eastAsia="楷体" w:cs="楷体"/>
          <w:b/>
          <w:color w:val="auto"/>
          <w:sz w:val="36"/>
          <w:szCs w:val="36"/>
        </w:rPr>
      </w:pPr>
      <w:bookmarkStart w:id="0" w:name="_Toc31793"/>
      <w:bookmarkStart w:id="1" w:name="_Toc6817"/>
      <w:bookmarkStart w:id="2" w:name="_Toc24210"/>
      <w:bookmarkStart w:id="3" w:name="_Toc16267"/>
      <w:bookmarkStart w:id="4" w:name="_Toc8406"/>
      <w:bookmarkStart w:id="5" w:name="_Toc7345"/>
      <w:bookmarkStart w:id="6" w:name="_Toc28117"/>
      <w:bookmarkStart w:id="7" w:name="_Toc29387"/>
      <w:bookmarkStart w:id="8" w:name="_Toc8259"/>
      <w:bookmarkStart w:id="9" w:name="_Toc4168"/>
      <w:bookmarkStart w:id="10" w:name="_Toc11601"/>
      <w:bookmarkStart w:id="11" w:name="_Toc28790"/>
      <w:bookmarkStart w:id="12" w:name="_Toc16849"/>
      <w:bookmarkStart w:id="13" w:name="_Toc27394"/>
      <w:r>
        <w:rPr>
          <w:rFonts w:hint="eastAsia" w:ascii="楷体" w:hAnsi="楷体" w:eastAsia="楷体" w:cs="楷体"/>
          <w:b/>
          <w:color w:val="auto"/>
          <w:sz w:val="36"/>
          <w:szCs w:val="36"/>
        </w:rPr>
        <w:t>磋商内容及技术要求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013D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10" w:leftChars="0" w:firstLine="482" w:firstLineChars="200"/>
        <w:textAlignment w:val="auto"/>
        <w:rPr>
          <w:rFonts w:hint="eastAsia" w:ascii="楷体" w:hAnsi="楷体" w:eastAsia="楷体" w:cs="楷体"/>
          <w:color w:val="auto"/>
          <w:szCs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Cs w:val="24"/>
          <w:highlight w:val="none"/>
          <w:lang w:val="en-US" w:eastAsia="zh-CN"/>
        </w:rPr>
        <w:t>一、</w:t>
      </w:r>
      <w:r>
        <w:rPr>
          <w:rFonts w:hint="eastAsia" w:ascii="楷体" w:hAnsi="楷体" w:eastAsia="楷体" w:cs="楷体"/>
          <w:b/>
          <w:color w:val="auto"/>
          <w:szCs w:val="24"/>
          <w:highlight w:val="none"/>
        </w:rPr>
        <w:t>项目名称：</w:t>
      </w:r>
      <w:r>
        <w:rPr>
          <w:rFonts w:hint="eastAsia" w:ascii="楷体" w:hAnsi="楷体" w:eastAsia="楷体" w:cs="楷体"/>
          <w:color w:val="auto"/>
          <w:szCs w:val="24"/>
          <w:highlight w:val="none"/>
          <w:lang w:eastAsia="zh-CN"/>
        </w:rPr>
        <w:t>石泉县农村生活污水治理整县推进项目（设计与地勘）</w:t>
      </w:r>
    </w:p>
    <w:p w14:paraId="4EF4C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10" w:leftChars="0" w:firstLine="482" w:firstLineChars="200"/>
        <w:textAlignment w:val="auto"/>
        <w:rPr>
          <w:rFonts w:hint="eastAsia" w:ascii="楷体" w:hAnsi="楷体" w:eastAsia="楷体" w:cs="楷体"/>
          <w:b/>
          <w:bCs/>
          <w:color w:val="auto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Cs w:val="24"/>
          <w:highlight w:val="none"/>
          <w:lang w:val="en-US" w:eastAsia="zh-CN"/>
        </w:rPr>
        <w:t>二、项目概况：</w:t>
      </w:r>
    </w:p>
    <w:p w14:paraId="454F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该项目涉及 4 个镇、11 个行政村（集中点或安置点）， 惠及 2505 户、7980 人。建设内容：包含 5 座集中式污水处理站 （处理规模 160m3/d）、DN300 污水收集管道 33.539km、</w:t>
      </w:r>
      <w:bookmarkStart w:id="14" w:name="_GoBack"/>
      <w:bookmarkEnd w:id="14"/>
    </w:p>
    <w:p w14:paraId="279C9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DN100PE100 压力管道 0.382km 、DN100UPVC 接户管 9. 144km、 入户接收井 2286 座， 以及 25154.34 ㎡道路破修工程。</w:t>
      </w:r>
    </w:p>
    <w:p w14:paraId="730A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u w:val="none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000000"/>
          <w:sz w:val="24"/>
          <w:szCs w:val="24"/>
          <w:u w:val="none"/>
          <w:lang w:val="en-US" w:eastAsia="zh-CN"/>
        </w:rPr>
        <w:t>服务内容及要求</w:t>
      </w:r>
      <w:r>
        <w:rPr>
          <w:rFonts w:hint="eastAsia" w:ascii="楷体" w:hAnsi="楷体" w:eastAsia="楷体" w:cs="楷体"/>
          <w:color w:val="000000"/>
          <w:sz w:val="24"/>
          <w:szCs w:val="24"/>
          <w:u w:val="none"/>
          <w:lang w:val="en-US" w:eastAsia="zh-CN"/>
        </w:rPr>
        <w:t>：</w:t>
      </w:r>
    </w:p>
    <w:p w14:paraId="7AF6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本项目所需的设计服务（含方案设计、初步设计、施工图设计等）与地勘服务（含地质勘察、测绘等）。 1.质量标准：设计成果需通过招标人及市生态环境局审核，地勘成果需符合国家地质勘察与测绘规范，确保无质量问题。2.服务时间：需在合同签订后[60]日内完成设计与地勘工作，并提交完整成果文件，配合项目后续实施过程中的相关技术服务。</w:t>
      </w:r>
    </w:p>
    <w:p w14:paraId="329DB3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楷体" w:hAnsi="楷体" w:eastAsia="楷体" w:cs="楷体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24"/>
          <w:szCs w:val="24"/>
          <w:u w:val="none"/>
          <w:lang w:val="en-US" w:eastAsia="zh-CN"/>
        </w:rPr>
        <w:t>四、提交成果资料</w:t>
      </w:r>
    </w:p>
    <w:p w14:paraId="3785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中标供应商应根据招标要求及国家、行业有关规范，按阶段向发包人提交以下成果文件：</w:t>
      </w:r>
    </w:p>
    <w:p w14:paraId="15F2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（1）方案设计、初步设计报告送审稿（纸质版 8 份，电子版 1 份）；</w:t>
      </w:r>
    </w:p>
    <w:p w14:paraId="3466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（2）地质勘察报告（纸质版 2 份，电子版 1 份）；</w:t>
      </w:r>
    </w:p>
    <w:p w14:paraId="41A9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（3）施工图设计文件（纸质版 8 份，电子版 1 份）；</w:t>
      </w:r>
    </w:p>
    <w:p w14:paraId="6C83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（4）设计概算书（纸质版 8 份，电子版 1 份）；</w:t>
      </w:r>
    </w:p>
    <w:p w14:paraId="530D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（5）其它为完成审批所需的支持性技术文件（如有）。</w:t>
      </w:r>
    </w:p>
    <w:p w14:paraId="4D9C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所有电子文件应为可编辑格式（如 CAD、Word、Excel 等）。</w:t>
      </w:r>
    </w:p>
    <w:p w14:paraId="2F5621F4">
      <w:pPr>
        <w:numPr>
          <w:ilvl w:val="0"/>
          <w:numId w:val="0"/>
        </w:numPr>
        <w:spacing w:line="336" w:lineRule="auto"/>
        <w:ind w:leftChars="0"/>
        <w:rPr>
          <w:rFonts w:hint="eastAsia" w:ascii="楷体" w:hAnsi="楷体" w:eastAsia="楷体" w:cs="楷体"/>
          <w:b/>
          <w:bCs/>
          <w:color w:val="auto"/>
          <w:szCs w:val="24"/>
          <w:highlight w:val="none"/>
        </w:rPr>
      </w:pPr>
    </w:p>
    <w:p w14:paraId="24549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2" w:firstLineChars="200"/>
        <w:textAlignment w:val="auto"/>
        <w:outlineLvl w:val="1"/>
        <w:rPr>
          <w:rFonts w:hint="eastAsia" w:ascii="楷体" w:hAnsi="楷体" w:eastAsia="楷体" w:cs="楷体"/>
          <w:b/>
          <w:color w:val="auto"/>
          <w:sz w:val="24"/>
          <w:szCs w:val="24"/>
          <w:lang w:val="en-US" w:eastAsia="zh-CN"/>
        </w:rPr>
      </w:pPr>
    </w:p>
    <w:p w14:paraId="5D752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22AF"/>
    <w:rsid w:val="417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3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2025-09-24T01:42:00Z</dcterms:created>
  <dc:creator>云</dc:creator>
  <cp:lastModifiedBy>云</cp:lastModifiedBy>
  <dcterms:modified xsi:type="dcterms:W3CDTF">2025-09-24T01:42:43Z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0F5399BC093147BA8E51499B945BF4F7_11</vt:lpwstr>
  </property>
  <property fmtid="{D5CDD505-2E9C-101B-9397-08002B2CF9AE}" pid="4" name="KSOTemplateDocerSaveRecord">
    <vt:lpwstr>eyJoZGlkIjoiNDdhODI4ZTMwYjViYzk2Yjg0MmVhYjA2ZDA3OWM5NDQiLCJ1c2VySWQiOiIzODEyMDM3MjUifQ==</vt:lpwstr>
  </property>
</Properties>
</file>