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0"/>
        <w:jc w:val="center"/>
        <w:rPr>
          <w:rFonts w:hint="eastAsia" w:ascii="仿宋" w:hAnsi="仿宋" w:eastAsia="仿宋" w:cs="仿宋"/>
          <w:b/>
          <w:bCs/>
          <w:color w:val="auto"/>
          <w:sz w:val="52"/>
          <w:szCs w:val="52"/>
          <w:highlight w:val="none"/>
          <w:lang w:eastAsia="zh-CN"/>
        </w:rPr>
      </w:pPr>
      <w:bookmarkStart w:id="0" w:name="_Toc21955"/>
      <w:bookmarkStart w:id="1" w:name="_Toc268"/>
      <w:bookmarkStart w:id="2" w:name="_Toc495908398"/>
      <w:bookmarkStart w:id="3" w:name="_Toc519156735"/>
    </w:p>
    <w:p w14:paraId="6CA8B685">
      <w:pPr>
        <w:pStyle w:val="1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52"/>
          <w:szCs w:val="52"/>
          <w:highlight w:val="none"/>
          <w:lang w:eastAsia="zh-CN"/>
        </w:rPr>
        <w:t>陕西省公众移动通信无线电频率使用率评价技术服务</w:t>
      </w:r>
    </w:p>
    <w:p w14:paraId="3644BB51">
      <w:pPr>
        <w:rPr>
          <w:rFonts w:ascii="仿宋" w:hAnsi="仿宋" w:eastAsia="仿宋" w:cs="仿宋"/>
          <w:sz w:val="22"/>
          <w:szCs w:val="28"/>
          <w:highlight w:val="none"/>
        </w:rPr>
      </w:pPr>
    </w:p>
    <w:p w14:paraId="307177F4"/>
    <w:p w14:paraId="52AAE24E"/>
    <w:p w14:paraId="417C8EDA"/>
    <w:p w14:paraId="539809C3"/>
    <w:p w14:paraId="2A7811ED"/>
    <w:p w14:paraId="79838BD5">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3C9BC025">
      <w:pPr>
        <w:tabs>
          <w:tab w:val="left" w:pos="5145"/>
        </w:tabs>
        <w:spacing w:line="360" w:lineRule="auto"/>
        <w:jc w:val="center"/>
        <w:rPr>
          <w:rFonts w:ascii="仿宋" w:hAnsi="仿宋" w:eastAsia="仿宋" w:cs="仿宋"/>
          <w:sz w:val="28"/>
          <w:szCs w:val="28"/>
          <w:highlight w:val="none"/>
        </w:rPr>
      </w:pPr>
    </w:p>
    <w:p w14:paraId="42E957EF">
      <w:pPr>
        <w:pStyle w:val="10"/>
      </w:pPr>
    </w:p>
    <w:p w14:paraId="49C558E6">
      <w:pPr>
        <w:pStyle w:val="10"/>
        <w:rPr>
          <w:rFonts w:ascii="仿宋" w:hAnsi="仿宋" w:eastAsia="仿宋" w:cs="仿宋"/>
          <w:sz w:val="28"/>
          <w:szCs w:val="28"/>
          <w:highlight w:val="none"/>
        </w:rPr>
      </w:pPr>
    </w:p>
    <w:p w14:paraId="5798C5D1">
      <w:pPr>
        <w:pStyle w:val="25"/>
      </w:pPr>
    </w:p>
    <w:p w14:paraId="42B5FCE2">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DRZB2025-ZC-178      </w:t>
      </w:r>
    </w:p>
    <w:p w14:paraId="32CCF603">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陕西省无线电管理委员会办公室 </w:t>
      </w:r>
    </w:p>
    <w:p w14:paraId="6E3C2294">
      <w:pPr>
        <w:pStyle w:val="4"/>
        <w:rPr>
          <w:rFonts w:ascii="仿宋" w:hAnsi="仿宋" w:eastAsia="仿宋" w:cs="仿宋"/>
          <w:sz w:val="32"/>
          <w:szCs w:val="36"/>
          <w:highlight w:val="none"/>
        </w:rPr>
      </w:pPr>
    </w:p>
    <w:p w14:paraId="77E109A2">
      <w:pPr>
        <w:pStyle w:val="10"/>
      </w:pPr>
    </w:p>
    <w:p w14:paraId="728EF819">
      <w:pPr>
        <w:pStyle w:val="10"/>
        <w:rPr>
          <w:rFonts w:ascii="仿宋" w:hAnsi="仿宋" w:eastAsia="仿宋" w:cs="仿宋"/>
          <w:sz w:val="28"/>
          <w:szCs w:val="28"/>
          <w:highlight w:val="none"/>
        </w:rPr>
      </w:pPr>
    </w:p>
    <w:p w14:paraId="3F57071C">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7D083A">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八</w:t>
      </w:r>
      <w:r>
        <w:rPr>
          <w:rFonts w:hint="eastAsia" w:ascii="仿宋" w:hAnsi="仿宋" w:eastAsia="仿宋" w:cs="仿宋"/>
          <w:b/>
          <w:bCs/>
          <w:sz w:val="36"/>
          <w:szCs w:val="36"/>
          <w:highlight w:val="none"/>
        </w:rPr>
        <w:t>月</w:t>
      </w:r>
    </w:p>
    <w:p w14:paraId="70ED40A7">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12AA3C6C">
      <w:pPr>
        <w:pStyle w:val="20"/>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_Toc19638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_Toc19638 \h </w:instrText>
      </w:r>
      <w:r>
        <w:fldChar w:fldCharType="separate"/>
      </w:r>
      <w:r>
        <w:t>- 2 -</w:t>
      </w:r>
      <w:r>
        <w:fldChar w:fldCharType="end"/>
      </w:r>
      <w:r>
        <w:rPr>
          <w:rFonts w:hint="eastAsia" w:ascii="仿宋" w:hAnsi="仿宋" w:eastAsia="仿宋" w:cs="仿宋"/>
          <w:szCs w:val="32"/>
          <w:highlight w:val="none"/>
        </w:rPr>
        <w:fldChar w:fldCharType="end"/>
      </w:r>
    </w:p>
    <w:p w14:paraId="254617A6">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_Toc24559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_Toc24559 \h </w:instrText>
      </w:r>
      <w:r>
        <w:fldChar w:fldCharType="separate"/>
      </w:r>
      <w:r>
        <w:t>- 6 -</w:t>
      </w:r>
      <w:r>
        <w:fldChar w:fldCharType="end"/>
      </w:r>
      <w:r>
        <w:rPr>
          <w:rFonts w:hint="eastAsia" w:ascii="仿宋" w:hAnsi="仿宋" w:eastAsia="仿宋" w:cs="仿宋"/>
          <w:szCs w:val="32"/>
          <w:highlight w:val="none"/>
        </w:rPr>
        <w:fldChar w:fldCharType="end"/>
      </w:r>
    </w:p>
    <w:p w14:paraId="7FEE9B9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_Toc28710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_Toc28710 \h </w:instrText>
      </w:r>
      <w:r>
        <w:fldChar w:fldCharType="separate"/>
      </w:r>
      <w:r>
        <w:t>- 13 -</w:t>
      </w:r>
      <w:r>
        <w:fldChar w:fldCharType="end"/>
      </w:r>
      <w:r>
        <w:rPr>
          <w:rFonts w:hint="eastAsia" w:ascii="仿宋" w:hAnsi="仿宋" w:eastAsia="仿宋" w:cs="仿宋"/>
          <w:szCs w:val="32"/>
          <w:highlight w:val="none"/>
        </w:rPr>
        <w:fldChar w:fldCharType="end"/>
      </w:r>
    </w:p>
    <w:p w14:paraId="76B3BD8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_Toc14202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_Toc14202 \h </w:instrText>
      </w:r>
      <w:r>
        <w:fldChar w:fldCharType="separate"/>
      </w:r>
      <w:r>
        <w:t>- 13 -</w:t>
      </w:r>
      <w:r>
        <w:fldChar w:fldCharType="end"/>
      </w:r>
      <w:r>
        <w:rPr>
          <w:rFonts w:hint="eastAsia" w:ascii="仿宋" w:hAnsi="仿宋" w:eastAsia="仿宋" w:cs="仿宋"/>
          <w:szCs w:val="32"/>
          <w:highlight w:val="none"/>
        </w:rPr>
        <w:fldChar w:fldCharType="end"/>
      </w:r>
    </w:p>
    <w:p w14:paraId="6E1655AB">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_Toc198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_Toc198 \h </w:instrText>
      </w:r>
      <w:r>
        <w:fldChar w:fldCharType="separate"/>
      </w:r>
      <w:r>
        <w:t>- 15 -</w:t>
      </w:r>
      <w:r>
        <w:fldChar w:fldCharType="end"/>
      </w:r>
      <w:r>
        <w:rPr>
          <w:rFonts w:hint="eastAsia" w:ascii="仿宋" w:hAnsi="仿宋" w:eastAsia="仿宋" w:cs="仿宋"/>
          <w:szCs w:val="32"/>
          <w:highlight w:val="none"/>
        </w:rPr>
        <w:fldChar w:fldCharType="end"/>
      </w:r>
    </w:p>
    <w:p w14:paraId="19B5FBBB">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_Toc29051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r>
        <w:tab/>
      </w:r>
      <w:r>
        <w:fldChar w:fldCharType="begin"/>
      </w:r>
      <w:r>
        <w:instrText xml:space="preserve"> PAGEREF _Toc29051 \h </w:instrText>
      </w:r>
      <w:r>
        <w:fldChar w:fldCharType="separate"/>
      </w:r>
      <w:r>
        <w:t>- 16 -</w:t>
      </w:r>
      <w:r>
        <w:fldChar w:fldCharType="end"/>
      </w:r>
      <w:r>
        <w:rPr>
          <w:rFonts w:hint="eastAsia" w:ascii="仿宋" w:hAnsi="仿宋" w:eastAsia="仿宋" w:cs="仿宋"/>
          <w:szCs w:val="32"/>
          <w:highlight w:val="none"/>
        </w:rPr>
        <w:fldChar w:fldCharType="end"/>
      </w:r>
    </w:p>
    <w:p w14:paraId="167A76B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_Toc31297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_Toc31297 \h </w:instrText>
      </w:r>
      <w:r>
        <w:fldChar w:fldCharType="separate"/>
      </w:r>
      <w:r>
        <w:t>- 19 -</w:t>
      </w:r>
      <w:r>
        <w:fldChar w:fldCharType="end"/>
      </w:r>
      <w:r>
        <w:rPr>
          <w:rFonts w:hint="eastAsia" w:ascii="仿宋" w:hAnsi="仿宋" w:eastAsia="仿宋" w:cs="仿宋"/>
          <w:szCs w:val="32"/>
          <w:highlight w:val="none"/>
        </w:rPr>
        <w:fldChar w:fldCharType="end"/>
      </w:r>
    </w:p>
    <w:p w14:paraId="5466EE81">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_Toc19756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_Toc19756 \h </w:instrText>
      </w:r>
      <w:r>
        <w:fldChar w:fldCharType="separate"/>
      </w:r>
      <w:r>
        <w:t>- 21 -</w:t>
      </w:r>
      <w:r>
        <w:fldChar w:fldCharType="end"/>
      </w:r>
      <w:r>
        <w:rPr>
          <w:rFonts w:hint="eastAsia" w:ascii="仿宋" w:hAnsi="仿宋" w:eastAsia="仿宋" w:cs="仿宋"/>
          <w:szCs w:val="32"/>
          <w:highlight w:val="none"/>
        </w:rPr>
        <w:fldChar w:fldCharType="end"/>
      </w:r>
    </w:p>
    <w:p w14:paraId="2587993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_Toc21224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_Toc21224 \h </w:instrText>
      </w:r>
      <w:r>
        <w:fldChar w:fldCharType="separate"/>
      </w:r>
      <w:r>
        <w:t>- 22 -</w:t>
      </w:r>
      <w:r>
        <w:fldChar w:fldCharType="end"/>
      </w:r>
      <w:r>
        <w:rPr>
          <w:rFonts w:hint="eastAsia" w:ascii="仿宋" w:hAnsi="仿宋" w:eastAsia="仿宋" w:cs="仿宋"/>
          <w:szCs w:val="32"/>
          <w:highlight w:val="none"/>
        </w:rPr>
        <w:fldChar w:fldCharType="end"/>
      </w:r>
    </w:p>
    <w:p w14:paraId="208FB857">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_Toc13230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_Toc13230 \h </w:instrText>
      </w:r>
      <w:r>
        <w:fldChar w:fldCharType="separate"/>
      </w:r>
      <w:r>
        <w:t>- 23 -</w:t>
      </w:r>
      <w:r>
        <w:fldChar w:fldCharType="end"/>
      </w:r>
      <w:r>
        <w:rPr>
          <w:rFonts w:hint="eastAsia" w:ascii="仿宋" w:hAnsi="仿宋" w:eastAsia="仿宋" w:cs="仿宋"/>
          <w:szCs w:val="32"/>
          <w:highlight w:val="none"/>
        </w:rPr>
        <w:fldChar w:fldCharType="end"/>
      </w:r>
    </w:p>
    <w:p w14:paraId="7C191C52">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_Toc13085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_Toc13085 \h </w:instrText>
      </w:r>
      <w:r>
        <w:fldChar w:fldCharType="separate"/>
      </w:r>
      <w:r>
        <w:t>- 24 -</w:t>
      </w:r>
      <w:r>
        <w:fldChar w:fldCharType="end"/>
      </w:r>
      <w:r>
        <w:rPr>
          <w:rFonts w:hint="eastAsia" w:ascii="仿宋" w:hAnsi="仿宋" w:eastAsia="仿宋" w:cs="仿宋"/>
          <w:szCs w:val="32"/>
          <w:highlight w:val="none"/>
        </w:rPr>
        <w:fldChar w:fldCharType="end"/>
      </w:r>
    </w:p>
    <w:p w14:paraId="34386D7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_Toc10364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_Toc10364 \h </w:instrText>
      </w:r>
      <w:r>
        <w:fldChar w:fldCharType="separate"/>
      </w:r>
      <w:r>
        <w:t>- 24 -</w:t>
      </w:r>
      <w:r>
        <w:fldChar w:fldCharType="end"/>
      </w:r>
      <w:r>
        <w:rPr>
          <w:rFonts w:hint="eastAsia" w:ascii="仿宋" w:hAnsi="仿宋" w:eastAsia="仿宋" w:cs="仿宋"/>
          <w:szCs w:val="32"/>
          <w:highlight w:val="none"/>
        </w:rPr>
        <w:fldChar w:fldCharType="end"/>
      </w:r>
    </w:p>
    <w:p w14:paraId="23A555FF">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_Toc8845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_Toc8845 \h </w:instrText>
      </w:r>
      <w:r>
        <w:fldChar w:fldCharType="separate"/>
      </w:r>
      <w:r>
        <w:t>- 27 -</w:t>
      </w:r>
      <w:r>
        <w:fldChar w:fldCharType="end"/>
      </w:r>
      <w:r>
        <w:rPr>
          <w:rFonts w:hint="eastAsia" w:ascii="仿宋" w:hAnsi="仿宋" w:eastAsia="仿宋" w:cs="仿宋"/>
          <w:szCs w:val="32"/>
          <w:highlight w:val="none"/>
        </w:rPr>
        <w:fldChar w:fldCharType="end"/>
      </w:r>
    </w:p>
    <w:p w14:paraId="33789BA3">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_Toc17984 </w:instrText>
      </w:r>
      <w:r>
        <w:rPr>
          <w:rFonts w:hint="eastAsia" w:ascii="仿宋" w:hAnsi="仿宋" w:eastAsia="仿宋" w:cs="仿宋"/>
          <w:szCs w:val="32"/>
          <w:highlight w:val="none"/>
        </w:rPr>
        <w:fldChar w:fldCharType="separate"/>
      </w:r>
      <w:r>
        <w:rPr>
          <w:rFonts w:hint="eastAsia" w:ascii="仿宋" w:hAnsi="仿宋" w:eastAsia="仿宋" w:cs="仿宋"/>
          <w:bCs/>
          <w:szCs w:val="36"/>
        </w:rPr>
        <w:t xml:space="preserve">第四章 </w:t>
      </w:r>
      <w:r>
        <w:rPr>
          <w:rFonts w:hint="eastAsia" w:ascii="仿宋" w:hAnsi="仿宋" w:eastAsia="仿宋" w:cs="仿宋"/>
          <w:bCs/>
          <w:szCs w:val="36"/>
          <w:highlight w:val="none"/>
        </w:rPr>
        <w:t>磋商要求及说明</w:t>
      </w:r>
      <w:r>
        <w:tab/>
      </w:r>
      <w:r>
        <w:fldChar w:fldCharType="begin"/>
      </w:r>
      <w:r>
        <w:instrText xml:space="preserve"> PAGEREF _Toc17984 \h </w:instrText>
      </w:r>
      <w:r>
        <w:fldChar w:fldCharType="separate"/>
      </w:r>
      <w:r>
        <w:t>- 38 -</w:t>
      </w:r>
      <w:r>
        <w:fldChar w:fldCharType="end"/>
      </w:r>
      <w:r>
        <w:rPr>
          <w:rFonts w:hint="eastAsia" w:ascii="仿宋" w:hAnsi="仿宋" w:eastAsia="仿宋" w:cs="仿宋"/>
          <w:szCs w:val="32"/>
          <w:highlight w:val="none"/>
        </w:rPr>
        <w:fldChar w:fldCharType="end"/>
      </w:r>
    </w:p>
    <w:p w14:paraId="5252152E">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_Toc1055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_Toc1055 \h </w:instrText>
      </w:r>
      <w:r>
        <w:fldChar w:fldCharType="separate"/>
      </w:r>
      <w:r>
        <w:t>- 40 -</w:t>
      </w:r>
      <w:r>
        <w:fldChar w:fldCharType="end"/>
      </w:r>
      <w:r>
        <w:rPr>
          <w:rFonts w:hint="eastAsia" w:ascii="仿宋" w:hAnsi="仿宋" w:eastAsia="仿宋" w:cs="仿宋"/>
          <w:szCs w:val="32"/>
          <w:highlight w:val="none"/>
        </w:rPr>
        <w:fldChar w:fldCharType="end"/>
      </w:r>
    </w:p>
    <w:p w14:paraId="46F1CBE4">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_Toc29577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_Toc29577 \h </w:instrText>
      </w:r>
      <w:r>
        <w:fldChar w:fldCharType="separate"/>
      </w:r>
      <w:r>
        <w:t>- 46 -</w:t>
      </w:r>
      <w:r>
        <w:fldChar w:fldCharType="end"/>
      </w:r>
      <w:r>
        <w:rPr>
          <w:rFonts w:hint="eastAsia" w:ascii="仿宋" w:hAnsi="仿宋" w:eastAsia="仿宋" w:cs="仿宋"/>
          <w:szCs w:val="32"/>
          <w:highlight w:val="none"/>
        </w:rPr>
        <w:fldChar w:fldCharType="end"/>
      </w:r>
    </w:p>
    <w:p w14:paraId="530B3DD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_Toc32358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lang w:val="en-US" w:eastAsia="zh-CN"/>
        </w:rPr>
        <w:t>一、</w:t>
      </w:r>
      <w:r>
        <w:rPr>
          <w:rFonts w:hint="eastAsia" w:ascii="仿宋" w:hAnsi="仿宋" w:eastAsia="仿宋" w:cs="仿宋"/>
          <w:szCs w:val="32"/>
        </w:rPr>
        <w:t>磋商函</w:t>
      </w:r>
      <w:r>
        <w:tab/>
      </w:r>
      <w:r>
        <w:fldChar w:fldCharType="begin"/>
      </w:r>
      <w:r>
        <w:instrText xml:space="preserve"> PAGEREF _Toc32358 \h </w:instrText>
      </w:r>
      <w:r>
        <w:fldChar w:fldCharType="separate"/>
      </w:r>
      <w:r>
        <w:t>- 47 -</w:t>
      </w:r>
      <w:r>
        <w:fldChar w:fldCharType="end"/>
      </w:r>
      <w:r>
        <w:rPr>
          <w:rFonts w:hint="eastAsia" w:ascii="仿宋" w:hAnsi="仿宋" w:eastAsia="仿宋" w:cs="仿宋"/>
          <w:szCs w:val="32"/>
          <w:highlight w:val="none"/>
        </w:rPr>
        <w:fldChar w:fldCharType="end"/>
      </w:r>
    </w:p>
    <w:p w14:paraId="178914EC">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_Toc5618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_Toc5618 \h </w:instrText>
      </w:r>
      <w:r>
        <w:fldChar w:fldCharType="separate"/>
      </w:r>
      <w:r>
        <w:t>- 49 -</w:t>
      </w:r>
      <w:r>
        <w:fldChar w:fldCharType="end"/>
      </w:r>
      <w:r>
        <w:rPr>
          <w:rFonts w:hint="eastAsia" w:ascii="仿宋" w:hAnsi="仿宋" w:eastAsia="仿宋" w:cs="仿宋"/>
          <w:szCs w:val="32"/>
          <w:highlight w:val="none"/>
        </w:rPr>
        <w:fldChar w:fldCharType="end"/>
      </w:r>
    </w:p>
    <w:p w14:paraId="40B77F60">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_Toc7320 </w:instrText>
      </w:r>
      <w:r>
        <w:rPr>
          <w:rFonts w:hint="eastAsia" w:ascii="仿宋" w:hAnsi="仿宋" w:eastAsia="仿宋" w:cs="仿宋"/>
          <w:szCs w:val="32"/>
          <w:highlight w:val="none"/>
        </w:rPr>
        <w:fldChar w:fldCharType="separate"/>
      </w:r>
      <w:r>
        <w:rPr>
          <w:rFonts w:hint="eastAsia" w:ascii="仿宋" w:hAnsi="仿宋" w:eastAsia="仿宋" w:cs="仿宋"/>
          <w:szCs w:val="32"/>
        </w:rPr>
        <w:t>三、</w:t>
      </w:r>
      <w:r>
        <w:rPr>
          <w:rFonts w:hint="eastAsia" w:ascii="仿宋" w:hAnsi="仿宋" w:eastAsia="仿宋" w:cs="仿宋"/>
          <w:szCs w:val="32"/>
          <w:lang w:val="en-US" w:eastAsia="zh-CN"/>
        </w:rPr>
        <w:t>法定代表人</w:t>
      </w:r>
      <w:r>
        <w:rPr>
          <w:rFonts w:hint="eastAsia" w:ascii="仿宋" w:hAnsi="仿宋" w:eastAsia="仿宋" w:cs="仿宋"/>
          <w:szCs w:val="32"/>
        </w:rPr>
        <w:t>授权委托书</w:t>
      </w:r>
      <w:r>
        <w:tab/>
      </w:r>
      <w:r>
        <w:fldChar w:fldCharType="begin"/>
      </w:r>
      <w:r>
        <w:instrText xml:space="preserve"> PAGEREF _Toc7320 \h </w:instrText>
      </w:r>
      <w:r>
        <w:fldChar w:fldCharType="separate"/>
      </w:r>
      <w:r>
        <w:t>- 50 -</w:t>
      </w:r>
      <w:r>
        <w:fldChar w:fldCharType="end"/>
      </w:r>
      <w:r>
        <w:rPr>
          <w:rFonts w:hint="eastAsia" w:ascii="仿宋" w:hAnsi="仿宋" w:eastAsia="仿宋" w:cs="仿宋"/>
          <w:szCs w:val="32"/>
          <w:highlight w:val="none"/>
        </w:rPr>
        <w:fldChar w:fldCharType="end"/>
      </w:r>
    </w:p>
    <w:p w14:paraId="2635554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_Toc32694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_Toc32694 \h </w:instrText>
      </w:r>
      <w:r>
        <w:fldChar w:fldCharType="separate"/>
      </w:r>
      <w:r>
        <w:t>- 51 -</w:t>
      </w:r>
      <w:r>
        <w:fldChar w:fldCharType="end"/>
      </w:r>
      <w:r>
        <w:rPr>
          <w:rFonts w:hint="eastAsia" w:ascii="仿宋" w:hAnsi="仿宋" w:eastAsia="仿宋" w:cs="仿宋"/>
          <w:szCs w:val="32"/>
          <w:highlight w:val="none"/>
        </w:rPr>
        <w:fldChar w:fldCharType="end"/>
      </w:r>
    </w:p>
    <w:p w14:paraId="2369DC2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_Toc5213 </w:instrText>
      </w:r>
      <w:r>
        <w:rPr>
          <w:rFonts w:hint="eastAsia" w:ascii="仿宋" w:hAnsi="仿宋" w:eastAsia="仿宋" w:cs="仿宋"/>
          <w:szCs w:val="32"/>
          <w:highlight w:val="none"/>
        </w:rPr>
        <w:fldChar w:fldCharType="separate"/>
      </w:r>
      <w:r>
        <w:rPr>
          <w:rFonts w:hint="eastAsia" w:ascii="仿宋" w:hAnsi="仿宋" w:eastAsia="仿宋" w:cs="仿宋"/>
          <w:bCs/>
          <w:szCs w:val="32"/>
        </w:rPr>
        <w:t>分项报价表（第一次）</w:t>
      </w:r>
      <w:r>
        <w:tab/>
      </w:r>
      <w:r>
        <w:fldChar w:fldCharType="begin"/>
      </w:r>
      <w:r>
        <w:instrText xml:space="preserve"> PAGEREF _Toc5213 \h </w:instrText>
      </w:r>
      <w:r>
        <w:fldChar w:fldCharType="separate"/>
      </w:r>
      <w:r>
        <w:t>- 52 -</w:t>
      </w:r>
      <w:r>
        <w:fldChar w:fldCharType="end"/>
      </w:r>
      <w:r>
        <w:rPr>
          <w:rFonts w:hint="eastAsia" w:ascii="仿宋" w:hAnsi="仿宋" w:eastAsia="仿宋" w:cs="仿宋"/>
          <w:szCs w:val="32"/>
          <w:highlight w:val="none"/>
        </w:rPr>
        <w:fldChar w:fldCharType="end"/>
      </w:r>
    </w:p>
    <w:p w14:paraId="2B98D7B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_Toc29391 </w:instrText>
      </w:r>
      <w:r>
        <w:rPr>
          <w:rFonts w:hint="eastAsia" w:ascii="仿宋" w:hAnsi="仿宋" w:eastAsia="仿宋" w:cs="仿宋"/>
          <w:szCs w:val="32"/>
          <w:highlight w:val="none"/>
        </w:rPr>
        <w:fldChar w:fldCharType="separate"/>
      </w:r>
      <w:r>
        <w:rPr>
          <w:rFonts w:hint="eastAsia" w:ascii="仿宋" w:hAnsi="仿宋" w:eastAsia="仿宋" w:cs="仿宋"/>
        </w:rPr>
        <w:t>五、</w:t>
      </w:r>
      <w:r>
        <w:rPr>
          <w:rFonts w:hint="eastAsia" w:ascii="仿宋" w:hAnsi="仿宋" w:eastAsia="仿宋" w:cs="仿宋"/>
          <w:bCs/>
          <w:szCs w:val="32"/>
        </w:rPr>
        <w:t>承接的类似项目情况表</w:t>
      </w:r>
      <w:r>
        <w:tab/>
      </w:r>
      <w:r>
        <w:fldChar w:fldCharType="begin"/>
      </w:r>
      <w:r>
        <w:instrText xml:space="preserve"> PAGEREF _Toc29391 \h </w:instrText>
      </w:r>
      <w:r>
        <w:fldChar w:fldCharType="separate"/>
      </w:r>
      <w:r>
        <w:t>- 53 -</w:t>
      </w:r>
      <w:r>
        <w:fldChar w:fldCharType="end"/>
      </w:r>
      <w:r>
        <w:rPr>
          <w:rFonts w:hint="eastAsia" w:ascii="仿宋" w:hAnsi="仿宋" w:eastAsia="仿宋" w:cs="仿宋"/>
          <w:szCs w:val="32"/>
          <w:highlight w:val="none"/>
        </w:rPr>
        <w:fldChar w:fldCharType="end"/>
      </w:r>
    </w:p>
    <w:p w14:paraId="3DEC609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_Toc16116 </w:instrText>
      </w:r>
      <w:r>
        <w:rPr>
          <w:rFonts w:hint="eastAsia" w:ascii="仿宋" w:hAnsi="仿宋" w:eastAsia="仿宋" w:cs="仿宋"/>
          <w:szCs w:val="32"/>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_Toc16116 \h </w:instrText>
      </w:r>
      <w:r>
        <w:fldChar w:fldCharType="separate"/>
      </w:r>
      <w:r>
        <w:t>- 54 -</w:t>
      </w:r>
      <w:r>
        <w:fldChar w:fldCharType="end"/>
      </w:r>
      <w:r>
        <w:rPr>
          <w:rFonts w:hint="eastAsia" w:ascii="仿宋" w:hAnsi="仿宋" w:eastAsia="仿宋" w:cs="仿宋"/>
          <w:szCs w:val="32"/>
          <w:highlight w:val="none"/>
        </w:rPr>
        <w:fldChar w:fldCharType="end"/>
      </w:r>
    </w:p>
    <w:p w14:paraId="55406B87">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_Toc11785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_Toc11785 \h </w:instrText>
      </w:r>
      <w:r>
        <w:fldChar w:fldCharType="separate"/>
      </w:r>
      <w:r>
        <w:t>- 57 -</w:t>
      </w:r>
      <w:r>
        <w:fldChar w:fldCharType="end"/>
      </w:r>
      <w:r>
        <w:rPr>
          <w:rFonts w:hint="eastAsia" w:ascii="仿宋" w:hAnsi="仿宋" w:eastAsia="仿宋" w:cs="仿宋"/>
          <w:szCs w:val="32"/>
          <w:highlight w:val="none"/>
        </w:rPr>
        <w:fldChar w:fldCharType="end"/>
      </w:r>
    </w:p>
    <w:p w14:paraId="0B251801">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_Toc2161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、资格证明文件</w:t>
      </w:r>
      <w:r>
        <w:tab/>
      </w:r>
      <w:r>
        <w:fldChar w:fldCharType="begin"/>
      </w:r>
      <w:r>
        <w:instrText xml:space="preserve"> PAGEREF _Toc2161 \h </w:instrText>
      </w:r>
      <w:r>
        <w:fldChar w:fldCharType="separate"/>
      </w:r>
      <w:r>
        <w:t>- 59 -</w:t>
      </w:r>
      <w:r>
        <w:fldChar w:fldCharType="end"/>
      </w:r>
      <w:r>
        <w:rPr>
          <w:rFonts w:hint="eastAsia" w:ascii="仿宋" w:hAnsi="仿宋" w:eastAsia="仿宋" w:cs="仿宋"/>
          <w:szCs w:val="32"/>
          <w:highlight w:val="none"/>
        </w:rPr>
        <w:fldChar w:fldCharType="end"/>
      </w:r>
    </w:p>
    <w:p w14:paraId="37A491B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_Toc23474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九、其他材料</w:t>
      </w:r>
      <w:r>
        <w:tab/>
      </w:r>
      <w:r>
        <w:fldChar w:fldCharType="begin"/>
      </w:r>
      <w:r>
        <w:instrText xml:space="preserve"> PAGEREF _Toc23474 \h </w:instrText>
      </w:r>
      <w:r>
        <w:fldChar w:fldCharType="separate"/>
      </w:r>
      <w:r>
        <w:t>- 72 -</w:t>
      </w:r>
      <w:r>
        <w:fldChar w:fldCharType="end"/>
      </w:r>
      <w:r>
        <w:rPr>
          <w:rFonts w:hint="eastAsia" w:ascii="仿宋" w:hAnsi="仿宋" w:eastAsia="仿宋" w:cs="仿宋"/>
          <w:szCs w:val="32"/>
          <w:highlight w:val="none"/>
        </w:rPr>
        <w:fldChar w:fldCharType="end"/>
      </w:r>
    </w:p>
    <w:p w14:paraId="607AC2EC">
      <w:pPr>
        <w:pStyle w:val="24"/>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Cs w:val="32"/>
          <w:highlight w:val="none"/>
        </w:rPr>
        <w:fldChar w:fldCharType="end"/>
      </w:r>
    </w:p>
    <w:p w14:paraId="36137187">
      <w:pPr>
        <w:rPr>
          <w:rFonts w:ascii="仿宋" w:hAnsi="仿宋" w:eastAsia="仿宋" w:cs="仿宋"/>
          <w:sz w:val="22"/>
          <w:szCs w:val="28"/>
          <w:highlight w:val="none"/>
        </w:rPr>
      </w:pPr>
    </w:p>
    <w:p w14:paraId="237BE296">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5FD9FE99">
      <w:pPr>
        <w:jc w:val="center"/>
        <w:outlineLvl w:val="0"/>
        <w:rPr>
          <w:rFonts w:ascii="仿宋" w:hAnsi="仿宋" w:eastAsia="仿宋" w:cs="仿宋"/>
          <w:b/>
          <w:bCs/>
          <w:sz w:val="36"/>
          <w:szCs w:val="36"/>
          <w:highlight w:val="none"/>
        </w:rPr>
      </w:pPr>
      <w:bookmarkStart w:id="4" w:name="_Toc19638"/>
      <w:bookmarkStart w:id="5" w:name="_Toc495908399"/>
      <w:bookmarkStart w:id="6" w:name="_Toc2990"/>
      <w:bookmarkStart w:id="7" w:name="_Toc28842"/>
      <w:bookmarkStart w:id="8" w:name="_Toc8474"/>
      <w:bookmarkStart w:id="9" w:name="_Toc519156736"/>
      <w:bookmarkStart w:id="10" w:name="_Toc26933"/>
      <w:r>
        <w:rPr>
          <w:rFonts w:hint="eastAsia" w:ascii="仿宋" w:hAnsi="仿宋" w:eastAsia="仿宋" w:cs="仿宋"/>
          <w:b/>
          <w:bCs/>
          <w:sz w:val="36"/>
          <w:szCs w:val="36"/>
          <w:highlight w:val="none"/>
        </w:rPr>
        <w:t>第一章  竞争性磋商公告</w:t>
      </w:r>
      <w:bookmarkEnd w:id="4"/>
    </w:p>
    <w:p w14:paraId="71DA7953">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color w:val="auto"/>
          <w:highlight w:val="none"/>
        </w:rPr>
      </w:pPr>
      <w:r>
        <w:rPr>
          <w:rStyle w:val="34"/>
          <w:rFonts w:hint="eastAsia" w:ascii="仿宋" w:hAnsi="仿宋" w:eastAsia="仿宋" w:cs="仿宋"/>
          <w:b/>
          <w:bCs/>
          <w:color w:val="auto"/>
          <w:highlight w:val="none"/>
        </w:rPr>
        <w:t>项目概况</w:t>
      </w:r>
    </w:p>
    <w:p w14:paraId="25753298">
      <w:pPr>
        <w:pStyle w:val="27"/>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lang w:eastAsia="zh-CN"/>
        </w:rPr>
        <w:t>陕西省公众移动通信无线电频率使用率评价技术服务</w:t>
      </w:r>
      <w:r>
        <w:rPr>
          <w:rFonts w:hint="eastAsia" w:ascii="仿宋" w:hAnsi="仿宋" w:eastAsia="仿宋" w:cs="仿宋"/>
          <w:color w:val="auto"/>
          <w:highlight w:val="none"/>
        </w:rPr>
        <w:t>的潜在供应商应在西安市唐延路37号class公馆B栋1103室获取采购文件，并于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0分（北京时间）前提交响应文件。</w:t>
      </w:r>
    </w:p>
    <w:p w14:paraId="6E8858EF">
      <w:pPr>
        <w:pStyle w:val="4"/>
        <w:bidi w:val="0"/>
        <w:jc w:val="left"/>
        <w:rPr>
          <w:rFonts w:ascii="仿宋" w:hAnsi="仿宋" w:eastAsia="仿宋" w:cs="仿宋"/>
          <w:b w:val="0"/>
          <w:color w:val="auto"/>
          <w:sz w:val="24"/>
          <w:highlight w:val="none"/>
        </w:rPr>
      </w:pPr>
      <w:bookmarkStart w:id="11" w:name="_Toc5615"/>
      <w:bookmarkStart w:id="12" w:name="_Toc24628"/>
      <w:bookmarkStart w:id="13" w:name="_Toc1435"/>
      <w:r>
        <w:rPr>
          <w:rStyle w:val="34"/>
          <w:rFonts w:hint="eastAsia" w:ascii="仿宋" w:hAnsi="仿宋" w:eastAsia="仿宋" w:cs="仿宋"/>
          <w:b/>
          <w:bCs/>
          <w:color w:val="auto"/>
          <w:spacing w:val="0"/>
          <w:sz w:val="24"/>
          <w:highlight w:val="none"/>
        </w:rPr>
        <w:t>一、项目基本情况</w:t>
      </w:r>
      <w:bookmarkEnd w:id="11"/>
      <w:bookmarkEnd w:id="12"/>
      <w:bookmarkEnd w:id="13"/>
    </w:p>
    <w:p w14:paraId="6A853D0F">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：DRZB2025-ZC-178</w:t>
      </w:r>
    </w:p>
    <w:p w14:paraId="35361FE7">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陕西省公众移动通信无线电频率使用率评价技术服务</w:t>
      </w:r>
    </w:p>
    <w:p w14:paraId="54DAFEB2">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p>
    <w:p w14:paraId="3C6A25B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spacing w:val="-4"/>
          <w:sz w:val="24"/>
          <w:szCs w:val="24"/>
          <w:highlight w:val="none"/>
          <w:lang w:val="en-US" w:eastAsia="zh-CN"/>
        </w:rPr>
        <w:t>350000.00</w:t>
      </w:r>
      <w:r>
        <w:rPr>
          <w:rFonts w:hint="eastAsia" w:ascii="仿宋" w:hAnsi="仿宋" w:eastAsia="仿宋" w:cs="仿宋"/>
          <w:color w:val="auto"/>
          <w:highlight w:val="none"/>
        </w:rPr>
        <w:t>元</w:t>
      </w:r>
    </w:p>
    <w:p w14:paraId="521FC50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544D0CE9">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陕西省公众移动通信无线电频率使用率评价技术服务</w:t>
      </w:r>
      <w:r>
        <w:rPr>
          <w:rFonts w:hint="eastAsia" w:ascii="仿宋" w:hAnsi="仿宋" w:eastAsia="仿宋" w:cs="仿宋"/>
          <w:color w:val="auto"/>
          <w:highlight w:val="none"/>
        </w:rPr>
        <w:t>):</w:t>
      </w:r>
    </w:p>
    <w:p w14:paraId="56296AE3">
      <w:pPr>
        <w:pStyle w:val="27"/>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spacing w:val="-4"/>
          <w:sz w:val="24"/>
          <w:szCs w:val="24"/>
          <w:highlight w:val="none"/>
          <w:lang w:val="en-US" w:eastAsia="zh-CN"/>
        </w:rPr>
        <w:t>350000.00</w:t>
      </w:r>
      <w:r>
        <w:rPr>
          <w:rFonts w:hint="eastAsia" w:ascii="仿宋" w:hAnsi="仿宋" w:eastAsia="仿宋" w:cs="仿宋"/>
          <w:color w:val="auto"/>
          <w:highlight w:val="none"/>
        </w:rPr>
        <w:t>元</w:t>
      </w:r>
    </w:p>
    <w:p w14:paraId="046DEEC3">
      <w:pPr>
        <w:pStyle w:val="27"/>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spacing w:val="-4"/>
          <w:sz w:val="24"/>
          <w:szCs w:val="24"/>
          <w:highlight w:val="none"/>
          <w:lang w:val="en-US" w:eastAsia="zh-CN"/>
        </w:rPr>
        <w:t>350000.00</w:t>
      </w:r>
      <w:r>
        <w:rPr>
          <w:rFonts w:hint="eastAsia" w:ascii="仿宋" w:hAnsi="仿宋" w:eastAsia="仿宋" w:cs="仿宋"/>
          <w:color w:val="auto"/>
          <w:highlight w:val="none"/>
        </w:rPr>
        <w:t>元</w:t>
      </w:r>
    </w:p>
    <w:tbl>
      <w:tblPr>
        <w:tblStyle w:val="31"/>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4"/>
        <w:gridCol w:w="989"/>
        <w:gridCol w:w="1739"/>
        <w:gridCol w:w="1234"/>
        <w:gridCol w:w="1705"/>
        <w:gridCol w:w="1504"/>
        <w:gridCol w:w="1519"/>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品目号</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033196">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品目</w:t>
            </w:r>
          </w:p>
          <w:p w14:paraId="4D3804D0">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名称</w:t>
            </w:r>
          </w:p>
        </w:tc>
        <w:tc>
          <w:tcPr>
            <w:tcW w:w="9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采购标的</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40C8A">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数量</w:t>
            </w:r>
          </w:p>
          <w:p w14:paraId="13CDDC22">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品目预算(元)</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3" w:hRule="atLeast"/>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szCs w:val="24"/>
                <w:highlight w:val="none"/>
                <w:lang w:val="en-US" w:eastAsia="zh-CN" w:bidi="ar"/>
              </w:rPr>
              <w:t>服务</w:t>
            </w:r>
          </w:p>
        </w:tc>
        <w:tc>
          <w:tcPr>
            <w:tcW w:w="9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陕西省公众移动通信无线电频率使用率评价技术服务</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陕西省公众移动通信无线电频率使用率评价技术服务，</w:t>
            </w:r>
            <w:r>
              <w:rPr>
                <w:rFonts w:hint="eastAsia" w:ascii="仿宋" w:hAnsi="仿宋" w:eastAsia="仿宋" w:cs="仿宋"/>
                <w:color w:val="auto"/>
                <w:kern w:val="0"/>
                <w:sz w:val="24"/>
                <w:highlight w:val="none"/>
                <w:lang w:bidi="ar"/>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350000.00</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350000.00</w:t>
            </w:r>
          </w:p>
        </w:tc>
      </w:tr>
    </w:tbl>
    <w:p w14:paraId="732CDB64">
      <w:pPr>
        <w:pStyle w:val="27"/>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1FC075BF">
      <w:pPr>
        <w:pStyle w:val="27"/>
        <w:wordWrap w:val="0"/>
        <w:spacing w:beforeAutospacing="0" w:afterAutospacing="0" w:line="360" w:lineRule="auto"/>
        <w:ind w:firstLine="63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w:t>
      </w:r>
      <w:r>
        <w:rPr>
          <w:rFonts w:hint="eastAsia" w:ascii="仿宋" w:hAnsi="仿宋" w:eastAsia="仿宋" w:cs="仿宋"/>
          <w:color w:val="000000" w:themeColor="text1"/>
          <w:sz w:val="24"/>
          <w:lang w:val="en-US" w:eastAsia="zh-CN"/>
          <w14:textFill>
            <w14:solidFill>
              <w14:schemeClr w14:val="tx1"/>
            </w14:solidFill>
          </w14:textFill>
        </w:rPr>
        <w:t>2025年12月10日前</w:t>
      </w:r>
      <w:r>
        <w:rPr>
          <w:rFonts w:hint="eastAsia" w:ascii="仿宋" w:hAnsi="仿宋" w:eastAsia="仿宋" w:cs="仿宋"/>
          <w:color w:val="000000" w:themeColor="text1"/>
          <w:sz w:val="24"/>
          <w14:textFill>
            <w14:solidFill>
              <w14:schemeClr w14:val="tx1"/>
            </w14:solidFill>
          </w14:textFill>
        </w:rPr>
        <w:t>向采购人提交项目工作成果，并根据采购人安排</w:t>
      </w:r>
      <w:r>
        <w:rPr>
          <w:rFonts w:hint="eastAsia" w:ascii="仿宋" w:hAnsi="仿宋" w:eastAsia="仿宋" w:cs="仿宋"/>
          <w:color w:val="000000" w:themeColor="text1"/>
          <w:sz w:val="24"/>
          <w:shd w:val="clear"/>
          <w14:textFill>
            <w14:solidFill>
              <w14:schemeClr w14:val="tx1"/>
            </w14:solidFill>
          </w14:textFill>
        </w:rPr>
        <w:t>参与后续项目验收等工作</w:t>
      </w:r>
      <w:r>
        <w:rPr>
          <w:rFonts w:hint="eastAsia" w:ascii="仿宋" w:hAnsi="仿宋" w:eastAsia="仿宋" w:cs="仿宋"/>
          <w:color w:val="000000" w:themeColor="text1"/>
          <w:sz w:val="24"/>
          <w:shd w:val="clear"/>
          <w:lang w:eastAsia="zh-CN"/>
          <w14:textFill>
            <w14:solidFill>
              <w14:schemeClr w14:val="tx1"/>
            </w14:solidFill>
          </w14:textFill>
        </w:rPr>
        <w:t>。</w:t>
      </w:r>
    </w:p>
    <w:p w14:paraId="3903B2CC">
      <w:pPr>
        <w:pStyle w:val="4"/>
        <w:bidi w:val="0"/>
        <w:ind w:firstLine="482" w:firstLineChars="200"/>
        <w:jc w:val="left"/>
        <w:rPr>
          <w:rStyle w:val="34"/>
          <w:rFonts w:hint="eastAsia" w:ascii="仿宋" w:hAnsi="仿宋" w:eastAsia="仿宋" w:cs="仿宋"/>
          <w:b/>
          <w:bCs/>
          <w:color w:val="auto"/>
          <w:spacing w:val="0"/>
          <w:sz w:val="24"/>
          <w:highlight w:val="none"/>
        </w:rPr>
      </w:pPr>
      <w:bookmarkStart w:id="14" w:name="_Toc12985"/>
      <w:bookmarkStart w:id="15" w:name="_Toc4793"/>
      <w:bookmarkStart w:id="16" w:name="_Toc7475"/>
      <w:r>
        <w:rPr>
          <w:rStyle w:val="34"/>
          <w:rFonts w:hint="eastAsia" w:ascii="仿宋" w:hAnsi="仿宋" w:eastAsia="仿宋" w:cs="仿宋"/>
          <w:b/>
          <w:bCs/>
          <w:color w:val="auto"/>
          <w:spacing w:val="0"/>
          <w:sz w:val="24"/>
          <w:highlight w:val="none"/>
        </w:rPr>
        <w:t>二、申请人的资格要求：</w:t>
      </w:r>
      <w:bookmarkEnd w:id="14"/>
      <w:bookmarkEnd w:id="15"/>
      <w:bookmarkEnd w:id="16"/>
    </w:p>
    <w:p w14:paraId="36FF775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1.满足《中华人民共和国政府釆购法》第二十二条规定;</w:t>
      </w:r>
    </w:p>
    <w:p w14:paraId="7D0CBBA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yellow"/>
          <w:lang w:eastAsia="zh-CN"/>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陕西省公众移动通信无线电频率使用率评价技术服务</w:t>
      </w:r>
      <w:r>
        <w:rPr>
          <w:rFonts w:hint="eastAsia" w:ascii="仿宋" w:hAnsi="仿宋" w:eastAsia="仿宋" w:cs="仿宋"/>
          <w:color w:val="auto"/>
          <w:sz w:val="24"/>
          <w:highlight w:val="none"/>
        </w:rPr>
        <w:t>)落实政府采购政策需满足的资格要求如下:</w:t>
      </w:r>
      <w:r>
        <w:rPr>
          <w:rFonts w:hint="eastAsia" w:ascii="仿宋" w:hAnsi="仿宋" w:eastAsia="仿宋" w:cs="仿宋"/>
          <w:i w:val="0"/>
          <w:iCs w:val="0"/>
          <w:caps w:val="0"/>
          <w:color w:val="auto"/>
          <w:spacing w:val="0"/>
          <w:sz w:val="24"/>
          <w:szCs w:val="24"/>
          <w:highlight w:val="none"/>
          <w:lang w:eastAsia="zh-CN"/>
        </w:rPr>
        <w:t>本项目</w:t>
      </w:r>
      <w:r>
        <w:rPr>
          <w:rFonts w:hint="eastAsia" w:ascii="仿宋" w:hAnsi="仿宋" w:eastAsia="仿宋" w:cs="仿宋"/>
          <w:i w:val="0"/>
          <w:iCs w:val="0"/>
          <w:caps w:val="0"/>
          <w:color w:val="auto"/>
          <w:spacing w:val="0"/>
          <w:sz w:val="24"/>
          <w:szCs w:val="24"/>
          <w:highlight w:val="none"/>
          <w:lang w:val="en-US" w:eastAsia="zh-CN"/>
        </w:rPr>
        <w:t>非</w:t>
      </w:r>
      <w:r>
        <w:rPr>
          <w:rFonts w:hint="eastAsia" w:ascii="仿宋" w:hAnsi="仿宋" w:eastAsia="仿宋" w:cs="仿宋"/>
          <w:i w:val="0"/>
          <w:iCs w:val="0"/>
          <w:caps w:val="0"/>
          <w:color w:val="auto"/>
          <w:spacing w:val="0"/>
          <w:sz w:val="24"/>
          <w:szCs w:val="24"/>
          <w:highlight w:val="none"/>
          <w:lang w:eastAsia="zh-CN"/>
        </w:rPr>
        <w:t>专门面向中小企业采购</w:t>
      </w:r>
      <w:r>
        <w:rPr>
          <w:rFonts w:hint="eastAsia" w:ascii="仿宋" w:hAnsi="仿宋" w:eastAsia="仿宋" w:cs="仿宋"/>
          <w:color w:val="auto"/>
          <w:sz w:val="24"/>
          <w:highlight w:val="none"/>
          <w:lang w:val="en-US" w:eastAsia="zh-CN"/>
        </w:rPr>
        <w:t>。</w:t>
      </w:r>
    </w:p>
    <w:p w14:paraId="63B4D57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B72956E">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陕西省公众移动通信无线电频率使用率评价技术服务</w:t>
      </w:r>
      <w:r>
        <w:rPr>
          <w:rFonts w:hint="eastAsia" w:ascii="仿宋" w:hAnsi="仿宋" w:eastAsia="仿宋" w:cs="仿宋"/>
          <w:color w:val="auto"/>
          <w:highlight w:val="none"/>
        </w:rPr>
        <w:t>)特定资格要求如下:</w:t>
      </w:r>
    </w:p>
    <w:p w14:paraId="4FD18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1B14B0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2、财务状况报告：提供</w:t>
      </w:r>
      <w:r>
        <w:rPr>
          <w:rFonts w:hint="eastAsia" w:ascii="仿宋" w:hAnsi="仿宋" w:eastAsia="仿宋" w:cs="仿宋"/>
          <w:i w:val="0"/>
          <w:iCs w:val="0"/>
          <w:caps w:val="0"/>
          <w:color w:val="auto"/>
          <w:spacing w:val="0"/>
          <w:sz w:val="24"/>
          <w:szCs w:val="24"/>
          <w:highlight w:val="none"/>
          <w:lang w:val="en-US" w:eastAsia="zh-CN"/>
        </w:rPr>
        <w:t>2024</w:t>
      </w:r>
      <w:r>
        <w:rPr>
          <w:rFonts w:hint="eastAsia" w:ascii="仿宋" w:hAnsi="仿宋" w:eastAsia="仿宋" w:cs="仿宋"/>
          <w:i w:val="0"/>
          <w:iCs w:val="0"/>
          <w:caps w:val="0"/>
          <w:color w:val="auto"/>
          <w:spacing w:val="0"/>
          <w:sz w:val="24"/>
          <w:szCs w:val="24"/>
          <w:highlight w:val="none"/>
        </w:rPr>
        <w:t>年度经审计的财务报告（成立时间至提交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仿宋" w:hAnsi="仿宋" w:eastAsia="仿宋" w:cs="仿宋"/>
          <w:i w:val="0"/>
          <w:iCs w:val="0"/>
          <w:caps w:val="0"/>
          <w:color w:val="auto"/>
          <w:spacing w:val="0"/>
          <w:sz w:val="24"/>
          <w:szCs w:val="24"/>
          <w:highlight w:val="none"/>
          <w:lang w:eastAsia="zh-CN"/>
        </w:rPr>
        <w:t>；</w:t>
      </w:r>
    </w:p>
    <w:p w14:paraId="31F1040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auto"/>
          <w:spacing w:val="0"/>
          <w:sz w:val="24"/>
          <w:szCs w:val="24"/>
          <w:highlight w:val="none"/>
          <w:lang w:eastAsia="zh-CN"/>
        </w:rPr>
        <w:t>；</w:t>
      </w:r>
    </w:p>
    <w:p w14:paraId="404C08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i w:val="0"/>
          <w:iCs w:val="0"/>
          <w:caps w:val="0"/>
          <w:color w:val="auto"/>
          <w:spacing w:val="0"/>
          <w:sz w:val="24"/>
          <w:szCs w:val="24"/>
          <w:highlight w:val="none"/>
          <w:lang w:eastAsia="zh-CN"/>
        </w:rPr>
        <w:t>；</w:t>
      </w:r>
    </w:p>
    <w:p w14:paraId="66EF50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5、提供具有履行本合同所必需的专业技术能力的书面声明</w:t>
      </w:r>
      <w:r>
        <w:rPr>
          <w:rFonts w:hint="eastAsia" w:ascii="仿宋" w:hAnsi="仿宋" w:eastAsia="仿宋" w:cs="仿宋"/>
          <w:i w:val="0"/>
          <w:iCs w:val="0"/>
          <w:caps w:val="0"/>
          <w:color w:val="auto"/>
          <w:spacing w:val="0"/>
          <w:sz w:val="24"/>
          <w:szCs w:val="24"/>
          <w:highlight w:val="none"/>
          <w:lang w:eastAsia="zh-CN"/>
        </w:rPr>
        <w:t>；</w:t>
      </w:r>
    </w:p>
    <w:p w14:paraId="001D58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6、参加本次政府采购活动前3年内在经营活动中没有重大违纪，以及未被列入失信被执行人、重大税收违法失信主体、政府采购严重违法失信行为记录名单的书面声明；</w:t>
      </w:r>
    </w:p>
    <w:p w14:paraId="549A7F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7、法定代表人直接参加磋商的，须出具法定代表人身份证明书及身份证；授权代表参加磋商的，须出具法定代表人授权书及授权代表身份证；</w:t>
      </w:r>
    </w:p>
    <w:p w14:paraId="410F64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115963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9、供应商关联关系声明，包括：①控股管理关系（不得与参加本项目的其他供应商单位负责人为同一人或者存在直接控股、管理关系），②未为本项目提供整体设计、规范编制或者项目管理、监理、检测等服务；</w:t>
      </w:r>
    </w:p>
    <w:p w14:paraId="2F27EEF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10、</w:t>
      </w:r>
      <w:r>
        <w:rPr>
          <w:rFonts w:hint="eastAsia" w:ascii="仿宋" w:hAnsi="仿宋" w:eastAsia="仿宋" w:cs="仿宋"/>
          <w:i w:val="0"/>
          <w:iCs w:val="0"/>
          <w:caps w:val="0"/>
          <w:color w:val="auto"/>
          <w:spacing w:val="0"/>
          <w:sz w:val="24"/>
          <w:szCs w:val="24"/>
          <w:highlight w:val="none"/>
        </w:rPr>
        <w:t>本项目不接受联合体响应</w:t>
      </w:r>
      <w:r>
        <w:rPr>
          <w:rFonts w:hint="eastAsia" w:ascii="仿宋" w:hAnsi="仿宋" w:eastAsia="仿宋" w:cs="仿宋"/>
          <w:i w:val="0"/>
          <w:iCs w:val="0"/>
          <w:caps w:val="0"/>
          <w:color w:val="auto"/>
          <w:spacing w:val="0"/>
          <w:sz w:val="24"/>
          <w:szCs w:val="24"/>
          <w:highlight w:val="none"/>
          <w:lang w:eastAsia="zh-CN"/>
        </w:rPr>
        <w:t>。</w:t>
      </w:r>
    </w:p>
    <w:p w14:paraId="2D244505">
      <w:pPr>
        <w:pStyle w:val="4"/>
        <w:bidi w:val="0"/>
        <w:jc w:val="left"/>
        <w:rPr>
          <w:rStyle w:val="34"/>
          <w:rFonts w:hint="eastAsia" w:ascii="仿宋" w:hAnsi="仿宋" w:eastAsia="仿宋" w:cs="仿宋"/>
          <w:b/>
          <w:bCs/>
          <w:color w:val="auto"/>
          <w:spacing w:val="0"/>
          <w:sz w:val="24"/>
          <w:highlight w:val="none"/>
        </w:rPr>
      </w:pPr>
      <w:bookmarkStart w:id="17" w:name="_Toc30844"/>
      <w:bookmarkStart w:id="18" w:name="_Toc16671"/>
      <w:bookmarkStart w:id="19" w:name="_Toc22895"/>
      <w:r>
        <w:rPr>
          <w:rStyle w:val="34"/>
          <w:rFonts w:hint="eastAsia" w:ascii="仿宋" w:hAnsi="仿宋" w:eastAsia="仿宋" w:cs="仿宋"/>
          <w:b/>
          <w:bCs/>
          <w:color w:val="auto"/>
          <w:spacing w:val="0"/>
          <w:sz w:val="24"/>
          <w:highlight w:val="none"/>
        </w:rPr>
        <w:t>三、获取采购文件</w:t>
      </w:r>
      <w:bookmarkEnd w:id="17"/>
      <w:bookmarkEnd w:id="18"/>
      <w:bookmarkEnd w:id="19"/>
    </w:p>
    <w:p w14:paraId="450B3C68">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01</w:t>
      </w:r>
      <w:r>
        <w:rPr>
          <w:rFonts w:hint="eastAsia" w:ascii="仿宋" w:hAnsi="仿宋" w:eastAsia="仿宋" w:cs="仿宋"/>
          <w:color w:val="auto"/>
          <w:highlight w:val="none"/>
        </w:rPr>
        <w:t>日 至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rPr>
        <w:t>日 ，每天上午 09:00:00 至 12:00:00 ，下午 14:00:00 至 17:00:00 （北京时间,法定节假日除外）</w:t>
      </w:r>
    </w:p>
    <w:p w14:paraId="6C1C80E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6CCA608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CD783D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售价： 500元</w:t>
      </w:r>
    </w:p>
    <w:p w14:paraId="0FB38E40">
      <w:pPr>
        <w:pStyle w:val="4"/>
        <w:bidi w:val="0"/>
        <w:jc w:val="left"/>
        <w:rPr>
          <w:rStyle w:val="34"/>
          <w:rFonts w:hint="eastAsia" w:ascii="仿宋" w:hAnsi="仿宋" w:eastAsia="仿宋" w:cs="仿宋"/>
          <w:b/>
          <w:bCs/>
          <w:color w:val="auto"/>
          <w:spacing w:val="0"/>
          <w:sz w:val="24"/>
          <w:highlight w:val="none"/>
        </w:rPr>
      </w:pPr>
      <w:bookmarkStart w:id="20" w:name="_Toc4241"/>
      <w:bookmarkStart w:id="21" w:name="_Toc32064"/>
      <w:bookmarkStart w:id="22" w:name="_Toc1364"/>
      <w:r>
        <w:rPr>
          <w:rStyle w:val="34"/>
          <w:rFonts w:hint="eastAsia" w:ascii="仿宋" w:hAnsi="仿宋" w:eastAsia="仿宋" w:cs="仿宋"/>
          <w:b/>
          <w:bCs/>
          <w:color w:val="auto"/>
          <w:spacing w:val="0"/>
          <w:sz w:val="24"/>
          <w:highlight w:val="none"/>
        </w:rPr>
        <w:t>四、响应文件提交</w:t>
      </w:r>
      <w:bookmarkEnd w:id="20"/>
      <w:bookmarkEnd w:id="21"/>
      <w:bookmarkEnd w:id="22"/>
    </w:p>
    <w:p w14:paraId="70501ED6">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w:t>
      </w:r>
    </w:p>
    <w:p w14:paraId="1E3E862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2465D0AA">
      <w:pPr>
        <w:pStyle w:val="4"/>
        <w:bidi w:val="0"/>
        <w:jc w:val="left"/>
        <w:rPr>
          <w:rStyle w:val="34"/>
          <w:rFonts w:hint="eastAsia" w:ascii="仿宋" w:hAnsi="仿宋" w:eastAsia="仿宋" w:cs="仿宋"/>
          <w:b/>
          <w:bCs/>
          <w:color w:val="auto"/>
          <w:spacing w:val="0"/>
          <w:sz w:val="24"/>
          <w:highlight w:val="none"/>
        </w:rPr>
      </w:pPr>
      <w:bookmarkStart w:id="23" w:name="_Toc2316"/>
      <w:bookmarkStart w:id="24" w:name="_Toc27871"/>
      <w:bookmarkStart w:id="25" w:name="_Toc26452"/>
      <w:r>
        <w:rPr>
          <w:rStyle w:val="34"/>
          <w:rFonts w:hint="eastAsia" w:ascii="仿宋" w:hAnsi="仿宋" w:eastAsia="仿宋" w:cs="仿宋"/>
          <w:b/>
          <w:bCs/>
          <w:color w:val="auto"/>
          <w:spacing w:val="0"/>
          <w:sz w:val="24"/>
          <w:highlight w:val="none"/>
        </w:rPr>
        <w:t>五、开启</w:t>
      </w:r>
      <w:bookmarkEnd w:id="23"/>
      <w:bookmarkEnd w:id="24"/>
      <w:bookmarkEnd w:id="25"/>
    </w:p>
    <w:p w14:paraId="194D0CF9">
      <w:pPr>
        <w:pStyle w:val="27"/>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w:t>
      </w:r>
    </w:p>
    <w:p w14:paraId="377BEDD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7F167947">
      <w:pPr>
        <w:pStyle w:val="4"/>
        <w:bidi w:val="0"/>
        <w:jc w:val="left"/>
        <w:rPr>
          <w:rStyle w:val="34"/>
          <w:rFonts w:hint="eastAsia" w:ascii="仿宋" w:hAnsi="仿宋" w:eastAsia="仿宋" w:cs="仿宋"/>
          <w:b/>
          <w:bCs/>
          <w:color w:val="auto"/>
          <w:spacing w:val="0"/>
          <w:sz w:val="24"/>
          <w:highlight w:val="none"/>
        </w:rPr>
      </w:pPr>
      <w:bookmarkStart w:id="26" w:name="_Toc3451"/>
      <w:bookmarkStart w:id="27" w:name="_Toc9953"/>
      <w:bookmarkStart w:id="28" w:name="_Toc12381"/>
      <w:r>
        <w:rPr>
          <w:rStyle w:val="34"/>
          <w:rFonts w:hint="eastAsia" w:ascii="仿宋" w:hAnsi="仿宋" w:eastAsia="仿宋" w:cs="仿宋"/>
          <w:b/>
          <w:bCs/>
          <w:color w:val="auto"/>
          <w:spacing w:val="0"/>
          <w:sz w:val="24"/>
          <w:highlight w:val="none"/>
        </w:rPr>
        <w:t>六、公告期限</w:t>
      </w:r>
      <w:bookmarkEnd w:id="26"/>
      <w:bookmarkEnd w:id="27"/>
      <w:bookmarkEnd w:id="28"/>
    </w:p>
    <w:p w14:paraId="0AB255A7">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自本公告发布之日起3个工作日。</w:t>
      </w:r>
    </w:p>
    <w:p w14:paraId="7C054AD0">
      <w:pPr>
        <w:pStyle w:val="4"/>
        <w:bidi w:val="0"/>
        <w:jc w:val="left"/>
        <w:rPr>
          <w:rStyle w:val="34"/>
          <w:rFonts w:hint="eastAsia" w:ascii="仿宋" w:hAnsi="仿宋" w:eastAsia="仿宋" w:cs="仿宋"/>
          <w:b/>
          <w:bCs/>
          <w:color w:val="auto"/>
          <w:spacing w:val="0"/>
          <w:sz w:val="24"/>
          <w:highlight w:val="none"/>
        </w:rPr>
      </w:pPr>
      <w:bookmarkStart w:id="29" w:name="_Toc21699"/>
      <w:bookmarkStart w:id="30" w:name="_Toc22371"/>
      <w:bookmarkStart w:id="31" w:name="_Toc24997"/>
      <w:r>
        <w:rPr>
          <w:rStyle w:val="34"/>
          <w:rFonts w:hint="eastAsia" w:ascii="仿宋" w:hAnsi="仿宋" w:eastAsia="仿宋" w:cs="仿宋"/>
          <w:b/>
          <w:bCs/>
          <w:color w:val="auto"/>
          <w:spacing w:val="0"/>
          <w:sz w:val="24"/>
          <w:highlight w:val="none"/>
        </w:rPr>
        <w:t>七、其他补充事宜</w:t>
      </w:r>
      <w:bookmarkEnd w:id="29"/>
      <w:bookmarkEnd w:id="30"/>
      <w:bookmarkEnd w:id="31"/>
    </w:p>
    <w:p w14:paraId="27108CD9">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1、购买采购文件时需携带经办人单位介绍信或授权委托书、身份证原件及复印件加盖公章，采购文件售后不退；</w:t>
      </w:r>
    </w:p>
    <w:p w14:paraId="4C1F8AFD">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2、开户名称：陕西德仁招标有限公司； 开户银行：招商银行股份有限公司西安城南支行； 账 号：1299 0904 6810 901；</w:t>
      </w:r>
    </w:p>
    <w:p w14:paraId="0A5BB6C8">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3、</w:t>
      </w:r>
      <w:r>
        <w:rPr>
          <w:rFonts w:hint="eastAsia" w:ascii="仿宋" w:hAnsi="仿宋" w:eastAsia="仿宋" w:cs="仿宋"/>
          <w:b w:val="0"/>
          <w:bCs w:val="0"/>
          <w:color w:val="auto"/>
          <w:highlight w:val="none"/>
          <w:shd w:val="clear" w:color="auto" w:fill="FFFFFF"/>
        </w:rPr>
        <w:t>请供应商按照陕西省财政厅关于政府采购供应商注册登记有关事项的通知中的要求，通过陕西省政府采购网注册登记入库。</w:t>
      </w:r>
    </w:p>
    <w:p w14:paraId="7C579027">
      <w:pPr>
        <w:pStyle w:val="27"/>
        <w:wordWrap w:val="0"/>
        <w:spacing w:before="0" w:beforeAutospacing="0" w:after="0" w:afterAutospacing="0" w:line="360" w:lineRule="auto"/>
        <w:ind w:firstLine="420"/>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1AA3AAB">
      <w:pPr>
        <w:pStyle w:val="27"/>
        <w:wordWrap w:val="0"/>
        <w:spacing w:before="0" w:beforeAutospacing="0" w:after="0" w:afterAutospacing="0" w:line="360" w:lineRule="auto"/>
        <w:ind w:firstLine="420"/>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5、采购人名称：陕西省无线电管理委员会办公室</w:t>
      </w:r>
    </w:p>
    <w:p w14:paraId="7E3F5722">
      <w:pPr>
        <w:pStyle w:val="4"/>
        <w:bidi w:val="0"/>
        <w:jc w:val="left"/>
        <w:rPr>
          <w:rStyle w:val="34"/>
          <w:rFonts w:hint="eastAsia" w:ascii="仿宋" w:hAnsi="仿宋" w:eastAsia="仿宋" w:cs="仿宋"/>
          <w:b/>
          <w:bCs/>
          <w:color w:val="auto"/>
          <w:spacing w:val="0"/>
          <w:sz w:val="24"/>
          <w:highlight w:val="none"/>
        </w:rPr>
      </w:pPr>
      <w:bookmarkStart w:id="32" w:name="_Toc20507"/>
      <w:bookmarkStart w:id="33" w:name="_Toc7533"/>
      <w:bookmarkStart w:id="34" w:name="_Toc21535"/>
      <w:r>
        <w:rPr>
          <w:rStyle w:val="34"/>
          <w:rFonts w:hint="eastAsia" w:ascii="仿宋" w:hAnsi="仿宋" w:eastAsia="仿宋" w:cs="仿宋"/>
          <w:b/>
          <w:bCs/>
          <w:color w:val="auto"/>
          <w:spacing w:val="0"/>
          <w:sz w:val="24"/>
          <w:highlight w:val="none"/>
        </w:rPr>
        <w:t>八、凡对本次采购提出询问，请按以下方式联系。</w:t>
      </w:r>
      <w:bookmarkEnd w:id="32"/>
      <w:bookmarkEnd w:id="33"/>
      <w:bookmarkEnd w:id="34"/>
    </w:p>
    <w:p w14:paraId="2996510C">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1.釆购人信息</w:t>
      </w:r>
    </w:p>
    <w:p w14:paraId="4C96DED4">
      <w:pPr>
        <w:pStyle w:val="27"/>
        <w:wordWrap w:val="0"/>
        <w:spacing w:beforeAutospacing="0" w:afterAutospacing="0" w:line="360" w:lineRule="auto"/>
        <w:ind w:firstLine="480"/>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陕西省无线电管理委员会办公室</w:t>
      </w:r>
    </w:p>
    <w:p w14:paraId="61E63C5E">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省政府新城大院四号楼</w:t>
      </w:r>
    </w:p>
    <w:p w14:paraId="5F167AA4">
      <w:pPr>
        <w:pStyle w:val="27"/>
        <w:wordWrap w:val="0"/>
        <w:spacing w:beforeAutospacing="0" w:afterAutospacing="0" w:line="360" w:lineRule="auto"/>
        <w:ind w:firstLine="48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联系方式：029-63915691</w:t>
      </w:r>
    </w:p>
    <w:p w14:paraId="1956C26B">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2.釆购代理机构信息</w:t>
      </w:r>
    </w:p>
    <w:p w14:paraId="0EEC262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名称：陕西德仁招标有限公司</w:t>
      </w:r>
    </w:p>
    <w:p w14:paraId="62709A6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地址：西安市唐延路37号class公馆B栋1103室</w:t>
      </w:r>
    </w:p>
    <w:p w14:paraId="6DA61B8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shd w:val="clear" w:color="auto" w:fill="FFFFFF"/>
        </w:rPr>
        <w:t>029-85565073</w:t>
      </w:r>
    </w:p>
    <w:p w14:paraId="247BEF40">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3.项目联系方式</w:t>
      </w:r>
    </w:p>
    <w:p w14:paraId="564121D0">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w:t>
      </w:r>
      <w:r>
        <w:rPr>
          <w:rFonts w:hint="eastAsia" w:ascii="仿宋" w:hAnsi="仿宋" w:eastAsia="仿宋" w:cs="仿宋"/>
          <w:color w:val="auto"/>
          <w:highlight w:val="none"/>
          <w:lang w:eastAsia="zh-CN"/>
        </w:rPr>
        <w:t>贺培文、赵璐</w:t>
      </w:r>
    </w:p>
    <w:p w14:paraId="51A05F2F">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shd w:val="clear" w:color="auto" w:fill="FFFFFF"/>
        </w:rPr>
        <w:t>029-85565073</w:t>
      </w:r>
    </w:p>
    <w:p w14:paraId="34E758C3">
      <w:pPr>
        <w:pStyle w:val="27"/>
        <w:wordWrap w:val="0"/>
        <w:spacing w:beforeAutospacing="0" w:afterAutospacing="0" w:line="360" w:lineRule="auto"/>
        <w:ind w:firstLine="480"/>
        <w:jc w:val="both"/>
        <w:rPr>
          <w:rFonts w:ascii="仿宋" w:hAnsi="仿宋" w:eastAsia="仿宋" w:cs="仿宋"/>
          <w:highlight w:val="none"/>
        </w:rPr>
      </w:pPr>
    </w:p>
    <w:p w14:paraId="53F6B54E">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D1E42EE">
      <w:pPr>
        <w:jc w:val="center"/>
        <w:outlineLvl w:val="0"/>
        <w:rPr>
          <w:rFonts w:ascii="仿宋" w:hAnsi="仿宋" w:eastAsia="仿宋" w:cs="仿宋"/>
          <w:b/>
          <w:bCs/>
          <w:sz w:val="36"/>
          <w:szCs w:val="36"/>
          <w:highlight w:val="none"/>
        </w:rPr>
      </w:pPr>
      <w:bookmarkStart w:id="35" w:name="_Toc24559"/>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35"/>
    </w:p>
    <w:p w14:paraId="5E477E95">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173" w:type="dxa"/>
            <w:vAlign w:val="center"/>
          </w:tcPr>
          <w:p w14:paraId="5BD061C8">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F77774C">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647F1882">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101B64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color w:val="auto"/>
                <w:highlight w:val="none"/>
                <w:lang w:eastAsia="zh-CN"/>
              </w:rPr>
              <w:t>陕西省无线电管理委员会办公室</w:t>
            </w:r>
          </w:p>
          <w:p w14:paraId="48D8846A">
            <w:pPr>
              <w:pStyle w:val="27"/>
              <w:wordWrap w:val="0"/>
              <w:spacing w:beforeAutospacing="0" w:afterAutospacing="0" w:line="360" w:lineRule="auto"/>
              <w:jc w:val="both"/>
              <w:rPr>
                <w:rFonts w:hint="eastAsia" w:ascii="仿宋" w:hAnsi="仿宋" w:eastAsia="仿宋" w:cs="仿宋"/>
                <w:color w:val="auto"/>
                <w:highlight w:val="none"/>
                <w:lang w:eastAsia="zh-CN"/>
              </w:rPr>
            </w:pPr>
            <w:r>
              <w:rPr>
                <w:rFonts w:hint="eastAsia" w:ascii="仿宋" w:hAnsi="仿宋" w:eastAsia="仿宋" w:cs="仿宋"/>
                <w:highlight w:val="none"/>
              </w:rPr>
              <w:t>地  址：</w:t>
            </w:r>
            <w:r>
              <w:rPr>
                <w:rFonts w:hint="eastAsia" w:ascii="仿宋" w:hAnsi="仿宋" w:eastAsia="仿宋" w:cs="仿宋"/>
                <w:color w:val="auto"/>
                <w:highlight w:val="none"/>
                <w:lang w:eastAsia="zh-CN"/>
              </w:rPr>
              <w:t xml:space="preserve">省政府新城大院四号楼 </w:t>
            </w:r>
          </w:p>
          <w:p w14:paraId="0C01AD0F">
            <w:pPr>
              <w:pStyle w:val="27"/>
              <w:wordWrap w:val="0"/>
              <w:spacing w:beforeAutospacing="0" w:afterAutospacing="0" w:line="360" w:lineRule="auto"/>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lang w:val="en-US" w:eastAsia="zh-CN"/>
              </w:rPr>
              <w:t>高老师</w:t>
            </w:r>
          </w:p>
          <w:p w14:paraId="14DC72AC">
            <w:pPr>
              <w:spacing w:line="396" w:lineRule="exact"/>
              <w:rPr>
                <w:rFonts w:ascii="仿宋" w:hAnsi="仿宋" w:eastAsia="仿宋" w:cs="仿宋"/>
                <w:highlight w:val="none"/>
              </w:rPr>
            </w:pPr>
            <w:r>
              <w:rPr>
                <w:rFonts w:hint="eastAsia" w:ascii="仿宋" w:hAnsi="仿宋" w:eastAsia="仿宋" w:cs="仿宋"/>
                <w:color w:val="auto"/>
                <w:sz w:val="24"/>
                <w:szCs w:val="24"/>
                <w:highlight w:val="none"/>
                <w:lang w:eastAsia="zh-CN"/>
              </w:rPr>
              <w:t>电  话：029-63915691</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2A7D758">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04E90838">
            <w:pPr>
              <w:spacing w:line="360" w:lineRule="auto"/>
              <w:rPr>
                <w:rFonts w:ascii="仿宋" w:hAnsi="仿宋" w:eastAsia="仿宋" w:cs="仿宋"/>
                <w:kern w:val="0"/>
                <w:highlight w:val="none"/>
              </w:rPr>
            </w:pPr>
            <w:r>
              <w:rPr>
                <w:rFonts w:hint="eastAsia" w:ascii="仿宋" w:hAnsi="仿宋" w:eastAsia="仿宋" w:cs="仿宋"/>
                <w:kern w:val="0"/>
                <w:highlight w:val="none"/>
              </w:rPr>
              <w:t>名  称：陕西德仁招标有限公司</w:t>
            </w:r>
          </w:p>
          <w:p w14:paraId="1B6BA10E">
            <w:pPr>
              <w:spacing w:line="360" w:lineRule="auto"/>
              <w:rPr>
                <w:rFonts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14:paraId="5FA675F3">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贺培文、赵璐</w:t>
            </w:r>
          </w:p>
          <w:p w14:paraId="04CF1C91">
            <w:pPr>
              <w:spacing w:line="360" w:lineRule="auto"/>
              <w:rPr>
                <w:rFonts w:hint="eastAsia" w:eastAsia="仿宋"/>
                <w:highlight w:val="none"/>
                <w:lang w:eastAsia="zh-CN"/>
              </w:rPr>
            </w:pPr>
            <w:r>
              <w:rPr>
                <w:rFonts w:hint="eastAsia" w:ascii="仿宋" w:hAnsi="仿宋" w:eastAsia="仿宋" w:cs="仿宋"/>
                <w:kern w:val="0"/>
                <w:highlight w:val="none"/>
              </w:rPr>
              <w:t>电  话：029-85565073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3A3EC4A4">
            <w:pPr>
              <w:spacing w:line="396"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4EAAF4EE">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采购预算：35万元</w:t>
            </w:r>
          </w:p>
          <w:p w14:paraId="31F07EFD">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最高限价：35万元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kern w:val="0"/>
                <w:highlight w:val="none"/>
                <w:lang w:val="en-US" w:eastAsia="zh-CN"/>
              </w:rPr>
            </w:pPr>
            <w:r>
              <w:rPr>
                <w:rFonts w:hint="eastAsia" w:ascii="仿宋" w:hAnsi="仿宋" w:eastAsia="仿宋" w:cs="仿宋"/>
                <w:kern w:val="0"/>
                <w:highlight w:val="none"/>
              </w:rPr>
              <w:t>详见竞争性磋商文件</w:t>
            </w:r>
            <w:r>
              <w:rPr>
                <w:rFonts w:hint="eastAsia" w:ascii="仿宋" w:hAnsi="仿宋" w:eastAsia="仿宋" w:cs="仿宋"/>
                <w:kern w:val="0"/>
                <w:highlight w:val="none"/>
                <w:lang w:val="en-US" w:eastAsia="zh-CN"/>
              </w:rPr>
              <w:t>第四章</w:t>
            </w:r>
            <w:r>
              <w:rPr>
                <w:rFonts w:hint="eastAsia" w:ascii="仿宋" w:hAnsi="仿宋" w:eastAsia="仿宋" w:cs="仿宋"/>
                <w:kern w:val="0"/>
                <w:highlight w:val="none"/>
              </w:rPr>
              <w:t>磋商要求及说明。</w:t>
            </w:r>
          </w:p>
        </w:tc>
      </w:tr>
      <w:tr w14:paraId="727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A1A881">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29EE8FF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1ED9B8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shd w:val="clear" w:color="auto" w:fill="auto"/>
            <w:vAlign w:val="center"/>
          </w:tcPr>
          <w:p w14:paraId="24F42CC3">
            <w:pPr>
              <w:spacing w:line="500" w:lineRule="exact"/>
              <w:jc w:val="center"/>
              <w:rPr>
                <w:rFonts w:ascii="仿宋" w:hAnsi="仿宋" w:eastAsia="仿宋" w:cs="仿宋"/>
                <w:highlight w:val="none"/>
              </w:rPr>
            </w:pPr>
            <w:r>
              <w:rPr>
                <w:rFonts w:hint="eastAsia" w:ascii="仿宋" w:hAnsi="仿宋" w:eastAsia="仿宋" w:cs="仿宋"/>
                <w:highlight w:val="none"/>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服务类</w:t>
            </w:r>
          </w:p>
        </w:tc>
      </w:tr>
      <w:tr w14:paraId="0AB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F3B5D2">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shd w:val="clear" w:color="auto" w:fill="auto"/>
            <w:vAlign w:val="center"/>
          </w:tcPr>
          <w:p w14:paraId="22680E63">
            <w:pPr>
              <w:pStyle w:val="13"/>
              <w:jc w:val="left"/>
              <w:rPr>
                <w:rFonts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shd w:val="clear" w:color="auto" w:fill="auto"/>
            <w:vAlign w:val="center"/>
          </w:tcPr>
          <w:p w14:paraId="7C8D6BF7">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6E0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152BE9">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shd w:val="clear" w:color="auto" w:fill="auto"/>
            <w:vAlign w:val="center"/>
          </w:tcPr>
          <w:p w14:paraId="0E1182F2">
            <w:pPr>
              <w:pStyle w:val="13"/>
              <w:spacing w:line="500" w:lineRule="exact"/>
              <w:jc w:val="center"/>
              <w:rPr>
                <w:rFonts w:ascii="仿宋" w:hAnsi="仿宋" w:eastAsia="仿宋" w:cs="仿宋"/>
                <w:szCs w:val="24"/>
                <w:highlight w:val="none"/>
              </w:rPr>
            </w:pPr>
            <w:r>
              <w:rPr>
                <w:rFonts w:hint="eastAsia" w:ascii="仿宋" w:hAnsi="仿宋" w:eastAsia="仿宋" w:cs="仿宋"/>
                <w:szCs w:val="24"/>
                <w:highlight w:val="none"/>
              </w:rPr>
              <w:t>是否为专门面向中小企业采购</w:t>
            </w:r>
          </w:p>
        </w:tc>
        <w:tc>
          <w:tcPr>
            <w:tcW w:w="6981" w:type="dxa"/>
            <w:shd w:val="clear" w:color="auto" w:fill="auto"/>
            <w:vAlign w:val="center"/>
          </w:tcPr>
          <w:p w14:paraId="2B6ED058">
            <w:pPr>
              <w:pStyle w:val="13"/>
              <w:spacing w:line="500" w:lineRule="exact"/>
              <w:jc w:val="left"/>
              <w:rPr>
                <w:rFonts w:hint="eastAsia" w:ascii="仿宋" w:hAnsi="仿宋" w:eastAsia="仿宋" w:cs="仿宋"/>
                <w:szCs w:val="24"/>
                <w:highlight w:val="none"/>
                <w:lang w:eastAsia="zh-CN"/>
              </w:rPr>
            </w:pPr>
            <w:r>
              <w:rPr>
                <w:rFonts w:hint="eastAsia" w:ascii="仿宋" w:hAnsi="仿宋" w:eastAsia="仿宋" w:cs="仿宋"/>
                <w:kern w:val="0"/>
                <w:szCs w:val="24"/>
                <w:highlight w:val="none"/>
                <w:lang w:val="en-US" w:eastAsia="zh-CN"/>
              </w:rPr>
              <w:t>否</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shd w:val="clear" w:color="auto" w:fill="auto"/>
            <w:vAlign w:val="center"/>
          </w:tcPr>
          <w:p w14:paraId="7208ABCC">
            <w:pPr>
              <w:spacing w:line="500" w:lineRule="exact"/>
              <w:jc w:val="center"/>
              <w:rPr>
                <w:rFonts w:ascii="仿宋" w:hAnsi="仿宋" w:eastAsia="仿宋" w:cs="仿宋"/>
                <w:highlight w:val="none"/>
              </w:rPr>
            </w:pPr>
            <w:r>
              <w:rPr>
                <w:rFonts w:hint="eastAsia" w:ascii="仿宋" w:hAnsi="仿宋" w:eastAsia="仿宋" w:cs="仿宋"/>
                <w:highlight w:val="none"/>
              </w:rPr>
              <w:t>资金来源</w:t>
            </w:r>
            <w:r>
              <w:rPr>
                <w:rFonts w:hint="eastAsia" w:ascii="仿宋" w:hAnsi="仿宋" w:eastAsia="仿宋" w:cs="仿宋"/>
                <w:highlight w:val="none"/>
                <w:lang w:val="en-US" w:eastAsia="zh-CN"/>
              </w:rPr>
              <w:t>及</w:t>
            </w:r>
            <w:r>
              <w:rPr>
                <w:rFonts w:hint="eastAsia" w:ascii="仿宋" w:hAnsi="仿宋" w:eastAsia="仿宋" w:cs="仿宋"/>
                <w:highlight w:val="none"/>
              </w:rPr>
              <w:t>资金落实情况</w:t>
            </w:r>
          </w:p>
        </w:tc>
        <w:tc>
          <w:tcPr>
            <w:tcW w:w="6981" w:type="dxa"/>
            <w:shd w:val="clear" w:color="auto" w:fill="auto"/>
            <w:vAlign w:val="center"/>
          </w:tcPr>
          <w:p w14:paraId="177E3445">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财政</w:t>
            </w: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0B0C1ADC">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3803FE80">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6B33072D">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5C7EFDA">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12</w:t>
            </w:r>
          </w:p>
        </w:tc>
        <w:tc>
          <w:tcPr>
            <w:tcW w:w="2173" w:type="dxa"/>
            <w:vAlign w:val="center"/>
          </w:tcPr>
          <w:p w14:paraId="780BE1B6">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7E60AC0D">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65B524F6">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服务期限</w:t>
            </w:r>
          </w:p>
        </w:tc>
        <w:tc>
          <w:tcPr>
            <w:tcW w:w="6981" w:type="dxa"/>
            <w:shd w:val="clear" w:color="auto" w:fill="auto"/>
            <w:vAlign w:val="center"/>
          </w:tcPr>
          <w:p w14:paraId="15E59CC9">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2025年12月10日前</w:t>
            </w:r>
            <w:r>
              <w:rPr>
                <w:rFonts w:hint="eastAsia" w:ascii="仿宋" w:hAnsi="仿宋" w:eastAsia="仿宋" w:cs="仿宋"/>
                <w:highlight w:val="none"/>
              </w:rPr>
              <w:t>向采购人提交项目工作成果，并根据采购人安排参与后续项目验收等工作</w:t>
            </w:r>
            <w:r>
              <w:rPr>
                <w:rFonts w:hint="eastAsia" w:ascii="仿宋" w:hAnsi="仿宋" w:eastAsia="仿宋" w:cs="仿宋"/>
                <w:highlight w:val="none"/>
                <w:lang w:eastAsia="zh-CN"/>
              </w:rPr>
              <w:t>。</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642DB937">
            <w:pPr>
              <w:spacing w:line="360" w:lineRule="auto"/>
              <w:jc w:val="center"/>
              <w:rPr>
                <w:rFonts w:ascii="仿宋" w:hAnsi="仿宋" w:eastAsia="仿宋" w:cs="仿宋"/>
                <w:highlight w:val="none"/>
              </w:rPr>
            </w:pPr>
            <w:r>
              <w:rPr>
                <w:rFonts w:hint="eastAsia" w:ascii="仿宋" w:hAnsi="仿宋" w:eastAsia="仿宋" w:cs="仿宋"/>
                <w:color w:val="auto"/>
                <w:highlight w:val="none"/>
              </w:rPr>
              <w:t>采购资金的支付方式和时间</w:t>
            </w:r>
          </w:p>
        </w:tc>
        <w:tc>
          <w:tcPr>
            <w:tcW w:w="6981" w:type="dxa"/>
            <w:vAlign w:val="center"/>
          </w:tcPr>
          <w:p w14:paraId="7F066663">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B7F08CE">
            <w:pPr>
              <w:pStyle w:val="9"/>
              <w:rPr>
                <w:rFonts w:ascii="仿宋" w:hAnsi="仿宋" w:eastAsia="仿宋" w:cs="仿宋"/>
                <w:highlight w:val="none"/>
              </w:rPr>
            </w:pPr>
            <w:r>
              <w:rPr>
                <w:rFonts w:hint="eastAsia" w:ascii="仿宋" w:hAnsi="仿宋" w:eastAsia="仿宋" w:cs="仿宋"/>
                <w:highlight w:val="none"/>
              </w:rPr>
              <w:t>2)付款方式:</w:t>
            </w:r>
          </w:p>
          <w:p w14:paraId="660B2A4E">
            <w:pPr>
              <w:spacing w:line="360" w:lineRule="auto"/>
              <w:rPr>
                <w:rFonts w:hint="eastAsia" w:ascii="仿宋" w:hAnsi="仿宋" w:eastAsia="仿宋" w:cs="仿宋"/>
                <w:highlight w:val="none"/>
                <w:lang w:eastAsia="zh-CN"/>
              </w:rPr>
            </w:pPr>
            <w:r>
              <w:rPr>
                <w:rFonts w:hint="eastAsia" w:ascii="仿宋" w:hAnsi="仿宋" w:eastAsia="仿宋" w:cs="仿宋"/>
                <w:highlight w:val="none"/>
                <w:lang w:eastAsia="zh-CN"/>
              </w:rPr>
              <w:t>（1）合同签订后五个工作日内，乙方向甲方出具合同总价款5%金额的银行保函（保函有效期截止时间为本项目验收合格后满六个月）；</w:t>
            </w:r>
          </w:p>
          <w:p w14:paraId="33287DF3">
            <w:pPr>
              <w:spacing w:line="360" w:lineRule="auto"/>
              <w:rPr>
                <w:rFonts w:hint="eastAsia" w:ascii="仿宋" w:hAnsi="仿宋" w:eastAsia="仿宋" w:cs="仿宋"/>
                <w:highlight w:val="none"/>
                <w:lang w:eastAsia="zh-CN"/>
              </w:rPr>
            </w:pPr>
            <w:r>
              <w:rPr>
                <w:rFonts w:hint="eastAsia" w:ascii="仿宋" w:hAnsi="仿宋" w:eastAsia="仿宋" w:cs="仿宋"/>
                <w:highlight w:val="none"/>
                <w:lang w:eastAsia="zh-CN"/>
              </w:rPr>
              <w:t>（2）甲方收到乙方合格银行保函后支付全部合同总价款；</w:t>
            </w:r>
          </w:p>
          <w:p w14:paraId="08C8C857">
            <w:pPr>
              <w:spacing w:line="360" w:lineRule="auto"/>
              <w:rPr>
                <w:rFonts w:hint="eastAsia" w:ascii="仿宋" w:hAnsi="仿宋" w:eastAsia="仿宋" w:cs="仿宋"/>
                <w:highlight w:val="none"/>
                <w:lang w:eastAsia="zh-CN"/>
              </w:rPr>
            </w:pPr>
            <w:r>
              <w:rPr>
                <w:rFonts w:hint="eastAsia" w:ascii="仿宋" w:hAnsi="仿宋" w:eastAsia="仿宋" w:cs="仿宋"/>
                <w:highlight w:val="none"/>
                <w:lang w:eastAsia="zh-CN"/>
              </w:rPr>
              <w:t>（3）乙方承诺在甲方办理支付手续前，为甲方出具等额的符合国家规定的发票；</w:t>
            </w:r>
          </w:p>
          <w:p w14:paraId="28717980">
            <w:pPr>
              <w:spacing w:line="360" w:lineRule="auto"/>
              <w:rPr>
                <w:rFonts w:hint="eastAsia" w:ascii="仿宋" w:hAnsi="仿宋" w:eastAsia="仿宋" w:cs="仿宋"/>
                <w:highlight w:val="none"/>
                <w:lang w:eastAsia="zh-CN"/>
              </w:rPr>
            </w:pPr>
            <w:r>
              <w:rPr>
                <w:rFonts w:hint="eastAsia" w:ascii="仿宋" w:hAnsi="仿宋" w:eastAsia="仿宋" w:cs="仿宋"/>
                <w:highlight w:val="none"/>
                <w:lang w:eastAsia="zh-CN"/>
              </w:rPr>
              <w:t>（4）上述时间不包括甲方正常办理支付报批手续的时间。</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FF0DCAE">
            <w:pPr>
              <w:spacing w:line="360" w:lineRule="auto"/>
              <w:jc w:val="center"/>
              <w:rPr>
                <w:rFonts w:ascii="仿宋" w:hAnsi="仿宋" w:eastAsia="仿宋" w:cs="仿宋"/>
                <w:highlight w:val="none"/>
              </w:rPr>
            </w:pPr>
            <w:r>
              <w:rPr>
                <w:rFonts w:hint="eastAsia" w:ascii="仿宋" w:hAnsi="仿宋" w:eastAsia="仿宋" w:cs="仿宋"/>
                <w:highlight w:val="none"/>
              </w:rPr>
              <w:t>供应商</w:t>
            </w:r>
          </w:p>
          <w:p w14:paraId="1D955DA9">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4DC04E7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07BEF04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2024年度经审计的财务报告（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5788865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DF291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FC1E86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243600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9B063F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p>
          <w:p w14:paraId="621CFC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E32E4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4383B8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sz w:val="24"/>
                <w:highlight w:val="none"/>
                <w:lang w:val="en-US"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1BFC03C6">
            <w:pPr>
              <w:spacing w:line="360" w:lineRule="auto"/>
              <w:jc w:val="center"/>
              <w:rPr>
                <w:rFonts w:ascii="仿宋" w:hAnsi="仿宋" w:eastAsia="仿宋" w:cs="仿宋"/>
                <w:highlight w:val="none"/>
              </w:rPr>
            </w:pPr>
            <w:r>
              <w:rPr>
                <w:rFonts w:hint="eastAsia" w:ascii="仿宋" w:hAnsi="仿宋" w:eastAsia="仿宋" w:cs="仿宋"/>
                <w:highlight w:val="none"/>
              </w:rPr>
              <w:t>联合体竞争性</w:t>
            </w:r>
          </w:p>
          <w:p w14:paraId="4FBE5602">
            <w:pPr>
              <w:spacing w:line="360" w:lineRule="auto"/>
              <w:jc w:val="center"/>
              <w:rPr>
                <w:rFonts w:ascii="仿宋" w:hAnsi="仿宋" w:eastAsia="仿宋" w:cs="仿宋"/>
                <w:highlight w:val="none"/>
              </w:rPr>
            </w:pPr>
            <w:r>
              <w:rPr>
                <w:rFonts w:hint="eastAsia" w:ascii="仿宋" w:hAnsi="仿宋" w:eastAsia="仿宋" w:cs="仿宋"/>
                <w:highlight w:val="none"/>
              </w:rPr>
              <w:t>磋商</w:t>
            </w:r>
          </w:p>
        </w:tc>
        <w:tc>
          <w:tcPr>
            <w:tcW w:w="6981" w:type="dxa"/>
            <w:vAlign w:val="center"/>
          </w:tcPr>
          <w:p w14:paraId="2EA21EBA">
            <w:pPr>
              <w:spacing w:line="360" w:lineRule="auto"/>
              <w:jc w:val="left"/>
              <w:rPr>
                <w:rFonts w:ascii="仿宋" w:hAnsi="仿宋" w:eastAsia="仿宋" w:cs="仿宋"/>
                <w:highlight w:val="none"/>
              </w:rPr>
            </w:pPr>
            <w:r>
              <w:rPr>
                <w:rFonts w:hint="eastAsia" w:ascii="仿宋" w:hAnsi="仿宋" w:eastAsia="仿宋" w:cs="仿宋"/>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7B030980">
            <w:pPr>
              <w:spacing w:line="500" w:lineRule="exact"/>
              <w:jc w:val="center"/>
              <w:rPr>
                <w:rFonts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77AEE2D5">
            <w:pPr>
              <w:spacing w:line="500" w:lineRule="exact"/>
              <w:jc w:val="left"/>
              <w:rPr>
                <w:rFonts w:ascii="仿宋" w:hAnsi="仿宋" w:eastAsia="仿宋" w:cs="仿宋"/>
                <w:highlight w:val="none"/>
              </w:rPr>
            </w:pPr>
            <w:r>
              <w:rPr>
                <w:rFonts w:hint="eastAsia" w:ascii="仿宋" w:hAnsi="仿宋" w:eastAsia="仿宋" w:cs="仿宋"/>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22721AC2">
            <w:pPr>
              <w:spacing w:line="500" w:lineRule="exact"/>
              <w:jc w:val="center"/>
              <w:rPr>
                <w:rFonts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6AB159A3">
            <w:pPr>
              <w:spacing w:line="500" w:lineRule="exact"/>
              <w:rPr>
                <w:rFonts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8059F1B">
            <w:pPr>
              <w:spacing w:line="360" w:lineRule="auto"/>
              <w:jc w:val="center"/>
              <w:rPr>
                <w:rFonts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5A7BDFC1">
            <w:pPr>
              <w:spacing w:line="360" w:lineRule="auto"/>
              <w:rPr>
                <w:rFonts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6546CA06">
            <w:pPr>
              <w:spacing w:line="360" w:lineRule="auto"/>
              <w:jc w:val="center"/>
              <w:rPr>
                <w:rFonts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0A8C07EF">
            <w:pPr>
              <w:spacing w:line="360" w:lineRule="auto"/>
              <w:jc w:val="left"/>
              <w:rPr>
                <w:rFonts w:ascii="仿宋" w:hAnsi="仿宋" w:eastAsia="仿宋" w:cs="仿宋"/>
                <w:highlight w:val="none"/>
              </w:rPr>
            </w:pPr>
            <w:r>
              <w:rPr>
                <w:rFonts w:hint="eastAsia" w:ascii="仿宋" w:hAnsi="仿宋" w:eastAsia="仿宋" w:cs="仿宋"/>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4D77D67">
            <w:pPr>
              <w:spacing w:line="500" w:lineRule="exact"/>
              <w:jc w:val="center"/>
              <w:rPr>
                <w:rFonts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17F4B1B8">
            <w:pPr>
              <w:spacing w:line="500" w:lineRule="exact"/>
              <w:rPr>
                <w:rFonts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886ABD2">
            <w:pPr>
              <w:spacing w:line="500" w:lineRule="exact"/>
              <w:rPr>
                <w:rFonts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6DE03CFD">
            <w:pPr>
              <w:spacing w:line="500" w:lineRule="exact"/>
              <w:rPr>
                <w:rFonts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C16FEA5">
            <w:pPr>
              <w:spacing w:line="500" w:lineRule="exact"/>
              <w:jc w:val="center"/>
              <w:rPr>
                <w:rFonts w:ascii="仿宋" w:hAnsi="仿宋" w:eastAsia="仿宋" w:cs="仿宋"/>
                <w:highlight w:val="none"/>
              </w:rPr>
            </w:pPr>
            <w:r>
              <w:rPr>
                <w:rFonts w:hint="eastAsia" w:ascii="仿宋" w:hAnsi="仿宋" w:eastAsia="仿宋" w:cs="仿宋"/>
                <w:highlight w:val="none"/>
              </w:rPr>
              <w:t>是否允许</w:t>
            </w:r>
          </w:p>
          <w:p w14:paraId="74A89891">
            <w:pPr>
              <w:spacing w:line="500" w:lineRule="exact"/>
              <w:jc w:val="center"/>
              <w:rPr>
                <w:rFonts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08D9CE39">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B72767A">
            <w:pPr>
              <w:spacing w:line="500" w:lineRule="exact"/>
              <w:jc w:val="center"/>
              <w:rPr>
                <w:rFonts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04467090">
            <w:pPr>
              <w:spacing w:line="500" w:lineRule="exact"/>
              <w:jc w:val="left"/>
              <w:rPr>
                <w:rFonts w:ascii="仿宋" w:hAnsi="仿宋" w:eastAsia="仿宋" w:cs="仿宋"/>
                <w:highlight w:val="none"/>
              </w:rPr>
            </w:pPr>
            <w:r>
              <w:rPr>
                <w:rFonts w:hint="eastAsia" w:ascii="仿宋" w:hAnsi="仿宋" w:eastAsia="仿宋" w:cs="仿宋"/>
                <w:highlight w:val="none"/>
              </w:rPr>
              <w:t>无</w:t>
            </w:r>
          </w:p>
        </w:tc>
      </w:tr>
      <w:tr w14:paraId="27D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213267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B88EB7E">
            <w:pPr>
              <w:spacing w:line="360" w:lineRule="auto"/>
              <w:jc w:val="center"/>
              <w:rPr>
                <w:rFonts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47A6C555">
            <w:pPr>
              <w:spacing w:line="500" w:lineRule="exact"/>
              <w:rPr>
                <w:rFonts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柒仟元整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7000</w:t>
            </w:r>
            <w:r>
              <w:rPr>
                <w:rFonts w:hint="eastAsia" w:ascii="仿宋" w:hAnsi="仿宋" w:eastAsia="仿宋" w:cs="仿宋"/>
                <w:highlight w:val="none"/>
                <w:u w:val="single"/>
              </w:rPr>
              <w:t>.00</w:t>
            </w:r>
            <w:r>
              <w:rPr>
                <w:rFonts w:hint="eastAsia" w:ascii="仿宋" w:hAnsi="仿宋" w:eastAsia="仿宋" w:cs="仿宋"/>
                <w:highlight w:val="none"/>
              </w:rPr>
              <w:t>）；</w:t>
            </w:r>
          </w:p>
          <w:p w14:paraId="2AB524F2">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157C4378">
            <w:pPr>
              <w:spacing w:line="500" w:lineRule="exact"/>
              <w:rPr>
                <w:rFonts w:ascii="仿宋" w:hAnsi="仿宋" w:eastAsia="仿宋" w:cs="仿宋"/>
                <w:highlight w:val="none"/>
              </w:rPr>
            </w:pPr>
            <w:r>
              <w:rPr>
                <w:rFonts w:hint="eastAsia" w:ascii="仿宋" w:hAnsi="仿宋" w:eastAsia="仿宋" w:cs="仿宋"/>
                <w:highlight w:val="none"/>
              </w:rPr>
              <w:t>3、交纳截止时间：磋商截止时间前到达指定账户。</w:t>
            </w:r>
          </w:p>
          <w:p w14:paraId="38423207">
            <w:pPr>
              <w:spacing w:line="500" w:lineRule="exact"/>
              <w:rPr>
                <w:rFonts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13194FCE">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14:paraId="791FCCC8">
            <w:pPr>
              <w:spacing w:line="500" w:lineRule="exact"/>
              <w:rPr>
                <w:rFonts w:ascii="仿宋" w:hAnsi="仿宋" w:eastAsia="仿宋" w:cs="仿宋"/>
                <w:highlight w:val="none"/>
              </w:rPr>
            </w:pPr>
            <w:r>
              <w:rPr>
                <w:rFonts w:hint="eastAsia" w:ascii="仿宋" w:hAnsi="仿宋" w:eastAsia="仿宋" w:cs="仿宋"/>
                <w:highlight w:val="none"/>
              </w:rPr>
              <w:t>开户银行：</w:t>
            </w:r>
            <w:r>
              <w:rPr>
                <w:rFonts w:ascii="仿宋_GB2312" w:hAnsi="仿宋_GB2312" w:eastAsia="仿宋_GB2312" w:cs="仿宋_GB2312"/>
              </w:rPr>
              <w:t>中国建设银行股份有限公司西安吉祥路支行</w:t>
            </w:r>
            <w:r>
              <w:rPr>
                <w:rFonts w:hint="eastAsia" w:ascii="仿宋" w:hAnsi="仿宋" w:eastAsia="仿宋" w:cs="仿宋"/>
                <w:highlight w:val="none"/>
              </w:rPr>
              <w:t xml:space="preserve"> </w:t>
            </w:r>
          </w:p>
          <w:p w14:paraId="10636FB1">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14:paraId="3DECC30B">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14:paraId="49EE4FB4">
            <w:pPr>
              <w:pStyle w:val="89"/>
              <w:ind w:firstLine="0" w:firstLineChars="0"/>
              <w:rPr>
                <w:rFonts w:ascii="仿宋" w:hAnsi="仿宋" w:cs="仿宋"/>
                <w:sz w:val="24"/>
                <w:highlight w:val="none"/>
              </w:rPr>
            </w:pPr>
            <w:r>
              <w:rPr>
                <w:rFonts w:ascii="仿宋" w:hAnsi="仿宋" w:cs="仿宋"/>
                <w:sz w:val="24"/>
                <w:highlight w:val="none"/>
              </w:rPr>
              <w:t>重要提示：</w:t>
            </w:r>
          </w:p>
          <w:p w14:paraId="083040B7">
            <w:pPr>
              <w:pStyle w:val="89"/>
              <w:numPr>
                <w:ilvl w:val="0"/>
                <w:numId w:val="0"/>
              </w:numPr>
              <w:rPr>
                <w:rFonts w:ascii="仿宋" w:hAnsi="仿宋" w:cs="仿宋"/>
                <w:sz w:val="24"/>
                <w:highlight w:val="none"/>
              </w:rPr>
            </w:pPr>
            <w:r>
              <w:rPr>
                <w:rFonts w:hint="eastAsia" w:ascii="仿宋" w:hAnsi="仿宋" w:cs="仿宋"/>
                <w:sz w:val="24"/>
                <w:highlight w:val="none"/>
                <w:lang w:val="en-US" w:eastAsia="zh-CN"/>
              </w:rPr>
              <w:t>1.</w:t>
            </w:r>
            <w:r>
              <w:rPr>
                <w:rFonts w:ascii="仿宋" w:hAnsi="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6DC3A95">
            <w:pPr>
              <w:pStyle w:val="89"/>
              <w:numPr>
                <w:ilvl w:val="0"/>
                <w:numId w:val="0"/>
              </w:numPr>
              <w:rPr>
                <w:rFonts w:hint="default" w:ascii="仿宋" w:hAnsi="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B6995E2">
            <w:pPr>
              <w:spacing w:line="500" w:lineRule="exact"/>
              <w:jc w:val="center"/>
              <w:rPr>
                <w:rFonts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0505816">
            <w:pPr>
              <w:spacing w:line="500" w:lineRule="exact"/>
              <w:jc w:val="left"/>
              <w:rPr>
                <w:rFonts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ascii="仿宋" w:hAnsi="仿宋" w:eastAsia="仿宋" w:cs="仿宋"/>
                <w:highlight w:val="none"/>
              </w:rPr>
            </w:pPr>
            <w:r>
              <w:rPr>
                <w:rFonts w:hint="eastAsia" w:ascii="仿宋" w:hAnsi="仿宋" w:eastAsia="仿宋" w:cs="仿宋"/>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1A669E2C">
            <w:pPr>
              <w:spacing w:line="360" w:lineRule="auto"/>
              <w:jc w:val="left"/>
              <w:rPr>
                <w:rFonts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37348A45">
            <w:pPr>
              <w:spacing w:line="500" w:lineRule="exact"/>
              <w:jc w:val="left"/>
              <w:rPr>
                <w:rFonts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0C3E5650">
            <w:pPr>
              <w:spacing w:line="360" w:lineRule="auto"/>
              <w:rPr>
                <w:rFonts w:ascii="仿宋" w:hAnsi="仿宋" w:eastAsia="仿宋" w:cs="仿宋"/>
                <w:sz w:val="24"/>
                <w:highlight w:val="none"/>
              </w:rPr>
            </w:pPr>
            <w:r>
              <w:rPr>
                <w:rFonts w:hint="eastAsia" w:ascii="仿宋" w:hAnsi="仿宋" w:eastAsia="仿宋" w:cs="仿宋"/>
                <w:sz w:val="24"/>
                <w:highlight w:val="none"/>
              </w:rPr>
              <w:t>2．密封包装方式：</w:t>
            </w:r>
          </w:p>
          <w:p w14:paraId="5BB6A798">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（1）磋商响应文件正本一包密封；</w:t>
            </w:r>
          </w:p>
          <w:p w14:paraId="5B345CE1">
            <w:pPr>
              <w:spacing w:line="360" w:lineRule="auto"/>
              <w:rPr>
                <w:rFonts w:ascii="仿宋" w:hAnsi="仿宋" w:eastAsia="仿宋" w:cs="仿宋"/>
                <w:sz w:val="24"/>
                <w:highlight w:val="none"/>
              </w:rPr>
            </w:pPr>
            <w:r>
              <w:rPr>
                <w:rFonts w:hint="eastAsia" w:ascii="仿宋" w:hAnsi="仿宋" w:eastAsia="仿宋" w:cs="仿宋"/>
                <w:sz w:val="24"/>
                <w:highlight w:val="none"/>
              </w:rPr>
              <w:t>（2）磋商响应文件副本一包密封。</w:t>
            </w:r>
          </w:p>
          <w:p w14:paraId="24F9A0B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02B4BD0C">
            <w:pPr>
              <w:spacing w:line="500" w:lineRule="exact"/>
              <w:rPr>
                <w:rFonts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09BE29A1">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项目编号                       正本/副本/电子版</w:t>
            </w:r>
          </w:p>
          <w:p w14:paraId="329894E8">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项目名称</w:t>
            </w:r>
          </w:p>
          <w:p w14:paraId="423E90C3">
            <w:pPr>
              <w:spacing w:line="500" w:lineRule="exact"/>
              <w:ind w:firstLine="2160" w:firstLineChars="900"/>
              <w:rPr>
                <w:rFonts w:ascii="仿宋" w:hAnsi="仿宋" w:eastAsia="仿宋" w:cs="仿宋"/>
                <w:highlight w:val="none"/>
              </w:rPr>
            </w:pPr>
            <w:r>
              <w:rPr>
                <w:rFonts w:hint="eastAsia" w:ascii="仿宋" w:hAnsi="仿宋" w:eastAsia="仿宋" w:cs="仿宋"/>
                <w:highlight w:val="none"/>
              </w:rPr>
              <w:t>磋商响应文件</w:t>
            </w:r>
          </w:p>
          <w:p w14:paraId="3466C111">
            <w:pPr>
              <w:spacing w:line="500" w:lineRule="exact"/>
              <w:ind w:firstLine="720" w:firstLineChars="300"/>
              <w:rPr>
                <w:rFonts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1A34DD8">
            <w:pPr>
              <w:spacing w:line="500" w:lineRule="exact"/>
              <w:ind w:firstLine="720" w:firstLineChars="3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1986A683">
            <w:pPr>
              <w:spacing w:line="500" w:lineRule="exact"/>
              <w:ind w:left="511" w:leftChars="213" w:firstLine="268" w:firstLineChars="112"/>
              <w:rPr>
                <w:rFonts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w:t>
            </w:r>
          </w:p>
          <w:p w14:paraId="4284DCC5">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500" w:lineRule="exact"/>
              <w:jc w:val="center"/>
              <w:rPr>
                <w:rFonts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w:t>
            </w:r>
            <w:bookmarkStart w:id="148" w:name="_GoBack"/>
            <w:bookmarkEnd w:id="148"/>
            <w:r>
              <w:rPr>
                <w:rFonts w:hint="eastAsia" w:ascii="仿宋" w:hAnsi="仿宋" w:eastAsia="仿宋" w:cs="仿宋"/>
                <w:color w:val="auto"/>
                <w:highlight w:val="none"/>
              </w:rPr>
              <w:t>分</w:t>
            </w:r>
            <w:r>
              <w:rPr>
                <w:rFonts w:hint="eastAsia" w:ascii="仿宋" w:hAnsi="仿宋" w:eastAsia="仿宋" w:cs="仿宋"/>
                <w:highlight w:val="none"/>
              </w:rPr>
              <w:t> </w:t>
            </w:r>
          </w:p>
          <w:p w14:paraId="73CFB0C7">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ascii="仿宋" w:hAnsi="仿宋" w:eastAsia="仿宋" w:cs="仿宋"/>
                <w:highlight w:val="none"/>
              </w:rPr>
            </w:pPr>
            <w:r>
              <w:rPr>
                <w:rFonts w:hint="eastAsia" w:ascii="仿宋" w:hAnsi="仿宋" w:eastAsia="仿宋" w:cs="仿宋"/>
                <w:highlight w:val="none"/>
              </w:rPr>
              <w:t>是否退还磋商响应</w:t>
            </w:r>
          </w:p>
          <w:p w14:paraId="271D5CCC">
            <w:pPr>
              <w:spacing w:line="500" w:lineRule="exact"/>
              <w:jc w:val="center"/>
              <w:rPr>
                <w:rFonts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ascii="仿宋" w:hAnsi="仿宋" w:eastAsia="仿宋" w:cs="仿宋"/>
                <w:highlight w:val="none"/>
              </w:rPr>
            </w:pPr>
            <w:r>
              <w:rPr>
                <w:rFonts w:hint="eastAsia" w:ascii="仿宋" w:hAnsi="仿宋" w:eastAsia="仿宋" w:cs="仿宋"/>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ascii="仿宋" w:hAnsi="仿宋" w:eastAsia="仿宋" w:cs="仿宋"/>
                <w:highlight w:val="none"/>
              </w:rPr>
            </w:pPr>
            <w:r>
              <w:rPr>
                <w:rFonts w:hint="eastAsia" w:ascii="仿宋" w:hAnsi="仿宋" w:eastAsia="仿宋" w:cs="仿宋"/>
                <w:highlight w:val="none"/>
              </w:rPr>
              <w:t>磋商小组构成：3人，其中项目采购人代表1人，专家2人；</w:t>
            </w:r>
          </w:p>
          <w:p w14:paraId="7B23E10B">
            <w:pPr>
              <w:spacing w:line="500" w:lineRule="exact"/>
              <w:jc w:val="left"/>
              <w:rPr>
                <w:rFonts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ascii="仿宋" w:hAnsi="仿宋" w:eastAsia="仿宋" w:cs="仿宋"/>
                <w:highlight w:val="none"/>
              </w:rPr>
            </w:pPr>
            <w:r>
              <w:rPr>
                <w:rFonts w:hint="eastAsia" w:ascii="仿宋" w:hAnsi="仿宋" w:eastAsia="仿宋" w:cs="仿宋"/>
                <w:highlight w:val="none"/>
              </w:rPr>
              <w:t>否，推荐1-3名成交候选人；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highlight w:val="none"/>
              </w:rPr>
            </w:pPr>
            <w:r>
              <w:rPr>
                <w:rFonts w:hint="eastAsia" w:ascii="仿宋" w:hAnsi="仿宋" w:eastAsia="仿宋" w:cs="仿宋"/>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highlight w:val="none"/>
              </w:rPr>
            </w:pPr>
            <w:r>
              <w:rPr>
                <w:rFonts w:hint="eastAsia" w:ascii="仿宋" w:hAnsi="仿宋" w:eastAsia="仿宋" w:cs="仿宋"/>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ascii="仿宋" w:hAnsi="仿宋" w:eastAsia="仿宋" w:cs="仿宋"/>
                <w:highlight w:val="none"/>
              </w:rPr>
            </w:pPr>
            <w:r>
              <w:rPr>
                <w:rFonts w:hint="eastAsia" w:ascii="仿宋" w:hAnsi="仿宋" w:eastAsia="仿宋" w:cs="仿宋"/>
                <w:highlight w:val="none"/>
              </w:rPr>
              <w:t>本次磋商采用二次报价。</w:t>
            </w:r>
          </w:p>
          <w:p w14:paraId="4B537704">
            <w:pPr>
              <w:spacing w:line="500" w:lineRule="exact"/>
              <w:jc w:val="left"/>
              <w:rPr>
                <w:rFonts w:ascii="仿宋" w:hAnsi="仿宋" w:eastAsia="仿宋" w:cs="仿宋"/>
                <w:highlight w:val="none"/>
              </w:rPr>
            </w:pPr>
            <w:r>
              <w:rPr>
                <w:rFonts w:hint="eastAsia" w:ascii="仿宋" w:hAnsi="仿宋" w:eastAsia="仿宋" w:cs="仿宋"/>
                <w:highlight w:val="none"/>
              </w:rPr>
              <w:t>磋商程序为：</w:t>
            </w:r>
          </w:p>
          <w:p w14:paraId="63029308">
            <w:pPr>
              <w:spacing w:line="500" w:lineRule="exact"/>
              <w:jc w:val="left"/>
              <w:rPr>
                <w:rFonts w:ascii="仿宋" w:hAnsi="仿宋" w:eastAsia="仿宋" w:cs="仿宋"/>
                <w:highlight w:val="none"/>
              </w:rPr>
            </w:pPr>
            <w:r>
              <w:rPr>
                <w:rFonts w:hint="eastAsia" w:ascii="仿宋" w:hAnsi="仿宋" w:eastAsia="仿宋" w:cs="仿宋"/>
                <w:highlight w:val="none"/>
              </w:rPr>
              <w:t>1.磋商小组对所有提交的响应文件进行评审；</w:t>
            </w:r>
          </w:p>
          <w:p w14:paraId="30111D8C">
            <w:pPr>
              <w:spacing w:line="500" w:lineRule="exact"/>
              <w:jc w:val="left"/>
              <w:rPr>
                <w:rFonts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9B02D3E">
            <w:pPr>
              <w:spacing w:line="500" w:lineRule="exact"/>
              <w:jc w:val="left"/>
              <w:rPr>
                <w:rFonts w:ascii="仿宋" w:hAnsi="仿宋" w:eastAsia="仿宋" w:cs="仿宋"/>
                <w:highlight w:val="none"/>
              </w:rPr>
            </w:pPr>
            <w:r>
              <w:rPr>
                <w:rFonts w:hint="eastAsia" w:ascii="仿宋" w:hAnsi="仿宋" w:eastAsia="仿宋" w:cs="仿宋"/>
                <w:highlight w:val="none"/>
              </w:rPr>
              <w:t>3.供应商按照要求提交二次报价；</w:t>
            </w:r>
          </w:p>
          <w:p w14:paraId="4CF10BC7">
            <w:pPr>
              <w:spacing w:line="500" w:lineRule="exact"/>
              <w:jc w:val="left"/>
              <w:rPr>
                <w:rFonts w:ascii="仿宋" w:hAnsi="仿宋" w:eastAsia="仿宋" w:cs="仿宋"/>
                <w:highlight w:val="none"/>
              </w:rPr>
            </w:pPr>
            <w:r>
              <w:rPr>
                <w:rFonts w:hint="eastAsia" w:ascii="仿宋" w:hAnsi="仿宋" w:eastAsia="仿宋" w:cs="仿宋"/>
                <w:highlight w:val="none"/>
              </w:rPr>
              <w:t>4.磋商小组评审、推荐成交候选人。</w:t>
            </w:r>
          </w:p>
          <w:p w14:paraId="4C637373">
            <w:pPr>
              <w:spacing w:line="500" w:lineRule="exact"/>
              <w:jc w:val="left"/>
              <w:rPr>
                <w:rFonts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CF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FA11A8">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113C6">
            <w:pPr>
              <w:spacing w:line="360" w:lineRule="auto"/>
              <w:jc w:val="center"/>
              <w:rPr>
                <w:rFonts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EB68101">
            <w:pPr>
              <w:spacing w:line="44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6CCE6180">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04EEBED0">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银行户名：陕西德仁招标有限公司</w:t>
            </w:r>
          </w:p>
          <w:p w14:paraId="00ED0E08">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开户银行：招商银行股份有限公司西安城南支行</w:t>
            </w:r>
          </w:p>
          <w:p w14:paraId="21129A0D">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账    号：1299 0904 6810 901</w:t>
            </w:r>
          </w:p>
          <w:p w14:paraId="71F04041">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 xml:space="preserve">联 系 人：苏会计  </w:t>
            </w:r>
          </w:p>
          <w:p w14:paraId="66E70BE2">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联系电话：029-89185132</w:t>
            </w:r>
          </w:p>
          <w:p w14:paraId="7C5AB8E3">
            <w:pPr>
              <w:pStyle w:val="82"/>
              <w:rPr>
                <w:rFonts w:ascii="仿宋" w:hAnsi="仿宋" w:eastAsia="仿宋" w:cs="仿宋"/>
                <w:highlight w:val="none"/>
              </w:rPr>
            </w:pPr>
            <w:r>
              <w:rPr>
                <w:rFonts w:hint="default" w:ascii="仿宋" w:hAnsi="仿宋" w:eastAsia="仿宋" w:cs="仿宋"/>
                <w:sz w:val="24"/>
                <w:highlight w:val="none"/>
                <w:lang w:val="en-US" w:eastAsia="zh-CN"/>
              </w:rPr>
              <w:t>邮    箱：sxdrzb@qq.com</w:t>
            </w:r>
          </w:p>
        </w:tc>
      </w:tr>
    </w:tbl>
    <w:p w14:paraId="7367D53D">
      <w:pPr>
        <w:spacing w:line="400" w:lineRule="exact"/>
        <w:rPr>
          <w:rFonts w:ascii="仿宋" w:hAnsi="仿宋" w:eastAsia="仿宋" w:cs="仿宋"/>
          <w:b/>
          <w:sz w:val="32"/>
          <w:szCs w:val="32"/>
          <w:highlight w:val="none"/>
        </w:rPr>
      </w:pPr>
      <w:bookmarkStart w:id="36" w:name="_Toc519156737"/>
      <w:bookmarkStart w:id="37" w:name="_Toc32045"/>
      <w:bookmarkStart w:id="38"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7A1A20AE">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36"/>
    <w:bookmarkEnd w:id="37"/>
    <w:bookmarkEnd w:id="38"/>
    <w:p w14:paraId="06107A0E">
      <w:pPr>
        <w:pStyle w:val="4"/>
        <w:rPr>
          <w:rFonts w:ascii="仿宋" w:hAnsi="仿宋" w:eastAsia="仿宋" w:cs="仿宋"/>
          <w:sz w:val="28"/>
          <w:szCs w:val="28"/>
          <w:highlight w:val="none"/>
        </w:rPr>
      </w:pPr>
      <w:bookmarkStart w:id="39" w:name="_Toc28710"/>
      <w:bookmarkStart w:id="40" w:name="_Toc10488"/>
      <w:bookmarkStart w:id="41" w:name="_Toc519156746"/>
      <w:bookmarkStart w:id="42" w:name="_Toc26143"/>
      <w:bookmarkStart w:id="43" w:name="_Toc29597"/>
      <w:r>
        <w:rPr>
          <w:rFonts w:hint="eastAsia" w:ascii="仿宋" w:hAnsi="仿宋" w:eastAsia="仿宋" w:cs="仿宋"/>
          <w:sz w:val="28"/>
          <w:szCs w:val="28"/>
          <w:highlight w:val="none"/>
        </w:rPr>
        <w:t>一、名词解释</w:t>
      </w:r>
      <w:bookmarkEnd w:id="39"/>
      <w:bookmarkEnd w:id="40"/>
    </w:p>
    <w:p w14:paraId="05D0475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陕西省无线电管理委员会办公室</w:t>
      </w:r>
    </w:p>
    <w:p w14:paraId="25F5EB3F">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8EEC5EC">
      <w:pPr>
        <w:pStyle w:val="4"/>
        <w:rPr>
          <w:rFonts w:ascii="仿宋" w:hAnsi="仿宋" w:eastAsia="仿宋" w:cs="仿宋"/>
          <w:sz w:val="28"/>
          <w:szCs w:val="28"/>
          <w:highlight w:val="none"/>
        </w:rPr>
      </w:pPr>
      <w:bookmarkStart w:id="44" w:name="_Toc7253"/>
      <w:bookmarkStart w:id="45" w:name="_Toc14202"/>
      <w:bookmarkStart w:id="46" w:name="_Toc12298"/>
      <w:bookmarkStart w:id="47" w:name="_Toc519156738"/>
      <w:bookmarkStart w:id="48" w:name="_Toc12414"/>
      <w:bookmarkStart w:id="49" w:name="_Toc13421"/>
      <w:r>
        <w:rPr>
          <w:rFonts w:hint="eastAsia" w:ascii="仿宋" w:hAnsi="仿宋" w:eastAsia="仿宋" w:cs="仿宋"/>
          <w:sz w:val="28"/>
          <w:szCs w:val="28"/>
          <w:highlight w:val="none"/>
        </w:rPr>
        <w:t>二、磋商供应商</w:t>
      </w:r>
      <w:bookmarkEnd w:id="44"/>
      <w:bookmarkEnd w:id="45"/>
      <w:bookmarkEnd w:id="46"/>
      <w:bookmarkEnd w:id="47"/>
      <w:bookmarkEnd w:id="48"/>
      <w:bookmarkEnd w:id="49"/>
    </w:p>
    <w:p w14:paraId="712FA20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14:paraId="3CE6C605">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14:paraId="42D1C9F3">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14:paraId="38390CC1">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14:paraId="43AF55AE">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14:paraId="2C3E1489">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2AD038DF">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14:paraId="461644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08C5A7E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14:paraId="33941F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14:paraId="5E41F1E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14:paraId="7C379CC8">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14:paraId="66C861A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1538386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14:paraId="08583213">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24E1FF2A">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4FA1D876">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2ABAE8F2">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5F902438">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1A5D3991">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6369D2D8">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14:paraId="0D2912F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4C5536DD">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EAFDE46">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36E34F3E">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14:paraId="60F5CC63">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4ABCDC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14:paraId="5763C2BE">
      <w:pPr>
        <w:pStyle w:val="13"/>
        <w:spacing w:line="460" w:lineRule="exact"/>
        <w:ind w:firstLine="480" w:firstLineChars="200"/>
        <w:rPr>
          <w:rFonts w:ascii="仿宋" w:hAnsi="仿宋" w:eastAsia="仿宋" w:cs="仿宋"/>
          <w:szCs w:val="24"/>
          <w:highlight w:val="none"/>
        </w:rPr>
      </w:pPr>
      <w:bookmarkStart w:id="50" w:name="_Toc4528"/>
      <w:bookmarkStart w:id="51" w:name="_Toc27408"/>
      <w:bookmarkStart w:id="52"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6DC6376E">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0BCBAF62">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4CE5C20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43066F16">
      <w:pPr>
        <w:pStyle w:val="4"/>
        <w:rPr>
          <w:rFonts w:ascii="仿宋" w:hAnsi="仿宋" w:eastAsia="仿宋" w:cs="仿宋"/>
          <w:sz w:val="32"/>
          <w:szCs w:val="36"/>
          <w:highlight w:val="none"/>
        </w:rPr>
      </w:pPr>
      <w:bookmarkStart w:id="53" w:name="_Toc25030"/>
      <w:bookmarkStart w:id="54" w:name="_Toc198"/>
      <w:bookmarkStart w:id="55" w:name="_Toc2653"/>
      <w:r>
        <w:rPr>
          <w:rFonts w:hint="eastAsia" w:ascii="仿宋" w:hAnsi="仿宋" w:eastAsia="仿宋" w:cs="仿宋"/>
          <w:sz w:val="32"/>
          <w:szCs w:val="36"/>
          <w:highlight w:val="none"/>
        </w:rPr>
        <w:t>三、磋商文件</w:t>
      </w:r>
      <w:bookmarkEnd w:id="50"/>
      <w:bookmarkEnd w:id="51"/>
      <w:bookmarkEnd w:id="52"/>
      <w:bookmarkEnd w:id="53"/>
      <w:bookmarkEnd w:id="54"/>
      <w:bookmarkEnd w:id="55"/>
    </w:p>
    <w:p w14:paraId="634DAC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14:paraId="39BC8A7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14:paraId="3FE965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14:paraId="71B1A8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297E8EB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磋商要求及说明</w:t>
      </w:r>
    </w:p>
    <w:p w14:paraId="0CB590D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商务及合同主要条款</w:t>
      </w:r>
    </w:p>
    <w:p w14:paraId="46BD964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14:paraId="42CA963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14:paraId="33AC377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14:paraId="574E71A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14:paraId="5187BD1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14:paraId="436B939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14:paraId="06B938A5">
      <w:pPr>
        <w:pStyle w:val="4"/>
        <w:rPr>
          <w:rFonts w:ascii="仿宋" w:hAnsi="仿宋" w:eastAsia="仿宋" w:cs="仿宋"/>
          <w:sz w:val="32"/>
          <w:szCs w:val="36"/>
          <w:highlight w:val="none"/>
        </w:rPr>
      </w:pPr>
      <w:bookmarkStart w:id="56" w:name="_Toc16846"/>
      <w:bookmarkStart w:id="57" w:name="_Toc1168"/>
      <w:bookmarkStart w:id="58" w:name="_Toc18132"/>
      <w:bookmarkStart w:id="59" w:name="_Toc8808"/>
      <w:bookmarkStart w:id="60" w:name="_Toc29051"/>
      <w:r>
        <w:rPr>
          <w:rFonts w:hint="eastAsia" w:ascii="仿宋" w:hAnsi="仿宋" w:eastAsia="仿宋" w:cs="仿宋"/>
          <w:sz w:val="32"/>
          <w:szCs w:val="36"/>
          <w:highlight w:val="none"/>
        </w:rPr>
        <w:t>四、磋商要求</w:t>
      </w:r>
      <w:bookmarkEnd w:id="56"/>
      <w:bookmarkEnd w:id="57"/>
      <w:bookmarkEnd w:id="58"/>
      <w:bookmarkEnd w:id="59"/>
      <w:bookmarkEnd w:id="60"/>
    </w:p>
    <w:p w14:paraId="2120770C">
      <w:pPr>
        <w:spacing w:line="460" w:lineRule="exact"/>
        <w:rPr>
          <w:rFonts w:hint="default" w:ascii="仿宋" w:hAnsi="仿宋" w:eastAsia="仿宋" w:cs="仿宋"/>
          <w:b/>
          <w:highlight w:val="none"/>
          <w:lang w:val="en-US" w:eastAsia="zh-CN"/>
        </w:rPr>
      </w:pPr>
      <w:bookmarkStart w:id="61" w:name="_Toc24973"/>
      <w:bookmarkStart w:id="6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0833403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14:paraId="2AF584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7FAA23D3">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14:paraId="7CDD9001">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14:paraId="09040264">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p>
    <w:p w14:paraId="2B7AA03B">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四、报价表</w:t>
      </w:r>
    </w:p>
    <w:p w14:paraId="7C0C601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五、承接的类似项目情况表</w:t>
      </w:r>
    </w:p>
    <w:p w14:paraId="200C6CE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六、项目</w:t>
      </w:r>
      <w:r>
        <w:rPr>
          <w:rFonts w:hint="eastAsia" w:ascii="仿宋" w:hAnsi="仿宋" w:eastAsia="仿宋" w:cs="仿宋"/>
          <w:highlight w:val="none"/>
          <w:lang w:val="en-US" w:eastAsia="zh-CN"/>
        </w:rPr>
        <w:t>服务</w:t>
      </w:r>
      <w:r>
        <w:rPr>
          <w:rFonts w:hint="eastAsia" w:ascii="仿宋" w:hAnsi="仿宋" w:eastAsia="仿宋" w:cs="仿宋"/>
          <w:highlight w:val="none"/>
        </w:rPr>
        <w:t>方案</w:t>
      </w:r>
    </w:p>
    <w:p w14:paraId="2EDB190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七、</w:t>
      </w:r>
      <w:r>
        <w:rPr>
          <w:rFonts w:hint="eastAsia" w:ascii="仿宋" w:hAnsi="仿宋" w:eastAsia="仿宋" w:cs="仿宋"/>
          <w:highlight w:val="none"/>
          <w:lang w:val="en-US" w:eastAsia="zh-CN"/>
        </w:rPr>
        <w:t>商务和服务</w:t>
      </w:r>
      <w:r>
        <w:rPr>
          <w:rFonts w:hint="eastAsia" w:ascii="仿宋" w:hAnsi="仿宋" w:eastAsia="仿宋" w:cs="仿宋"/>
          <w:highlight w:val="none"/>
        </w:rPr>
        <w:t>响应说明</w:t>
      </w:r>
    </w:p>
    <w:p w14:paraId="2A6D14D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八、资格证明文件</w:t>
      </w:r>
    </w:p>
    <w:p w14:paraId="1D715C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九、其他资料</w:t>
      </w:r>
    </w:p>
    <w:p w14:paraId="53E58D28">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6FFCFEBB">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14:paraId="0D2E574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16.1磋商报价是指项目达到正常使用条件下的所有费用，以磋商文件的内容和要求作为依据；</w:t>
      </w:r>
    </w:p>
    <w:p w14:paraId="67ED73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14:paraId="645826C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14:paraId="55CC93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65BBFFB7">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14:paraId="4CBDC1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6A891F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1D6DAAB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服务期/建设周期/质保期</w:t>
      </w:r>
      <w:r>
        <w:rPr>
          <w:rFonts w:hint="eastAsia" w:ascii="仿宋" w:hAnsi="仿宋" w:eastAsia="仿宋" w:cs="仿宋"/>
          <w:highlight w:val="none"/>
        </w:rPr>
        <w:t>、付款方式等方面的详细说明；</w:t>
      </w:r>
    </w:p>
    <w:p w14:paraId="42DFA0A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p>
    <w:p w14:paraId="1DDC265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2BA0B5F5">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30958AE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14:paraId="06F43DF8">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2B311485">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14:paraId="7DED3A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14:paraId="56028AF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2C8520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14:paraId="4DE8E25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14:paraId="7507DF7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14:paraId="69F76E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14:paraId="3DECE1B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14:paraId="216B05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3ACA1B25">
      <w:pPr>
        <w:pStyle w:val="1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ascii="仿宋" w:hAnsi="仿宋" w:eastAsia="仿宋" w:cs="仿宋"/>
          <w:b/>
          <w:highlight w:val="none"/>
        </w:rPr>
      </w:pPr>
      <w:r>
        <w:rPr>
          <w:rFonts w:hint="eastAsia" w:ascii="仿宋" w:hAnsi="仿宋" w:eastAsia="仿宋" w:cs="仿宋"/>
          <w:b/>
          <w:highlight w:val="none"/>
        </w:rPr>
        <w:t>22.文字要求</w:t>
      </w:r>
    </w:p>
    <w:p w14:paraId="322D989B">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14:paraId="1915D0C8">
      <w:pPr>
        <w:pStyle w:val="4"/>
        <w:rPr>
          <w:rFonts w:ascii="仿宋" w:hAnsi="仿宋" w:eastAsia="仿宋" w:cs="仿宋"/>
          <w:sz w:val="32"/>
          <w:szCs w:val="36"/>
          <w:highlight w:val="none"/>
        </w:rPr>
      </w:pPr>
      <w:bookmarkStart w:id="63" w:name="_Toc31661"/>
      <w:bookmarkStart w:id="64" w:name="_Toc31297"/>
      <w:bookmarkStart w:id="65" w:name="_Toc16723"/>
      <w:r>
        <w:rPr>
          <w:rFonts w:hint="eastAsia" w:ascii="仿宋" w:hAnsi="仿宋" w:eastAsia="仿宋" w:cs="仿宋"/>
          <w:sz w:val="32"/>
          <w:szCs w:val="36"/>
          <w:highlight w:val="none"/>
        </w:rPr>
        <w:t>五、磋商响应文件封装、递交</w:t>
      </w:r>
      <w:bookmarkEnd w:id="61"/>
      <w:bookmarkEnd w:id="62"/>
      <w:bookmarkEnd w:id="63"/>
      <w:bookmarkEnd w:id="64"/>
      <w:bookmarkEnd w:id="65"/>
    </w:p>
    <w:p w14:paraId="72FB54BA">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14:paraId="566FD4D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7DF7E5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6B4398D4">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14:paraId="6FD5613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4406CE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56DC3D83">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6796E9A8">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52BEDC8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459C505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14:paraId="2BD3EFD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78AEF114">
      <w:pPr>
        <w:pStyle w:val="4"/>
        <w:rPr>
          <w:rFonts w:ascii="仿宋" w:hAnsi="仿宋" w:eastAsia="仿宋" w:cs="仿宋"/>
          <w:sz w:val="32"/>
          <w:szCs w:val="36"/>
          <w:highlight w:val="none"/>
        </w:rPr>
      </w:pPr>
      <w:bookmarkStart w:id="66" w:name="_Toc519156742"/>
      <w:bookmarkStart w:id="67" w:name="_Toc29321"/>
      <w:bookmarkStart w:id="68" w:name="_Toc32447"/>
      <w:bookmarkStart w:id="69" w:name="_Toc4585"/>
      <w:bookmarkStart w:id="70" w:name="_Toc1285"/>
      <w:bookmarkStart w:id="71" w:name="_Toc19756"/>
      <w:r>
        <w:rPr>
          <w:rFonts w:hint="eastAsia" w:ascii="仿宋" w:hAnsi="仿宋" w:eastAsia="仿宋" w:cs="仿宋"/>
          <w:sz w:val="32"/>
          <w:szCs w:val="36"/>
          <w:highlight w:val="none"/>
        </w:rPr>
        <w:t>六、磋商</w:t>
      </w:r>
      <w:bookmarkEnd w:id="66"/>
      <w:bookmarkEnd w:id="67"/>
      <w:bookmarkEnd w:id="68"/>
      <w:r>
        <w:rPr>
          <w:rFonts w:hint="eastAsia" w:ascii="仿宋" w:hAnsi="仿宋" w:eastAsia="仿宋" w:cs="仿宋"/>
          <w:sz w:val="32"/>
          <w:szCs w:val="36"/>
          <w:highlight w:val="none"/>
        </w:rPr>
        <w:t>与评审</w:t>
      </w:r>
      <w:bookmarkEnd w:id="69"/>
      <w:bookmarkEnd w:id="70"/>
      <w:bookmarkEnd w:id="71"/>
    </w:p>
    <w:p w14:paraId="57FB98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10626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1CF01D3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7539EB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14:paraId="01263107">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14:paraId="0F417972">
      <w:pPr>
        <w:spacing w:line="460" w:lineRule="exact"/>
        <w:ind w:firstLine="480" w:firstLineChars="200"/>
        <w:rPr>
          <w:rFonts w:hint="default"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6018C053">
      <w:pPr>
        <w:pStyle w:val="4"/>
        <w:rPr>
          <w:rFonts w:ascii="仿宋" w:hAnsi="仿宋" w:eastAsia="仿宋" w:cs="仿宋"/>
          <w:sz w:val="32"/>
          <w:szCs w:val="36"/>
          <w:highlight w:val="none"/>
        </w:rPr>
      </w:pPr>
      <w:bookmarkStart w:id="72" w:name="_Toc12452"/>
      <w:bookmarkStart w:id="73" w:name="_Toc21838"/>
      <w:bookmarkStart w:id="74" w:name="_Toc13700"/>
      <w:bookmarkStart w:id="75" w:name="_Toc21224"/>
      <w:bookmarkStart w:id="76" w:name="_Toc519156743"/>
      <w:bookmarkStart w:id="77" w:name="_Toc6759"/>
      <w:r>
        <w:rPr>
          <w:rFonts w:hint="eastAsia" w:ascii="仿宋" w:hAnsi="仿宋" w:eastAsia="仿宋" w:cs="仿宋"/>
          <w:sz w:val="32"/>
          <w:szCs w:val="36"/>
          <w:highlight w:val="none"/>
        </w:rPr>
        <w:t>七、确定成交人、成交通知与签约</w:t>
      </w:r>
      <w:bookmarkEnd w:id="72"/>
      <w:bookmarkEnd w:id="73"/>
      <w:bookmarkEnd w:id="74"/>
      <w:bookmarkEnd w:id="75"/>
      <w:bookmarkEnd w:id="76"/>
      <w:bookmarkEnd w:id="77"/>
    </w:p>
    <w:p w14:paraId="7BEDE9A8">
      <w:pPr>
        <w:spacing w:line="460" w:lineRule="exact"/>
        <w:rPr>
          <w:rFonts w:ascii="仿宋" w:hAnsi="仿宋" w:eastAsia="仿宋" w:cs="仿宋"/>
          <w:b/>
          <w:highlight w:val="none"/>
        </w:rPr>
      </w:pPr>
      <w:bookmarkStart w:id="78" w:name="_Toc519156744"/>
      <w:bookmarkStart w:id="79" w:name="_Toc19721"/>
      <w:bookmarkStart w:id="80" w:name="_Toc23113"/>
      <w:r>
        <w:rPr>
          <w:rFonts w:hint="eastAsia" w:ascii="仿宋" w:hAnsi="仿宋" w:eastAsia="仿宋" w:cs="仿宋"/>
          <w:b/>
          <w:highlight w:val="none"/>
        </w:rPr>
        <w:t>31．确定成交人</w:t>
      </w:r>
    </w:p>
    <w:p w14:paraId="4F5D0D0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8F5A07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797E772F">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highlight w:val="none"/>
        </w:rPr>
      </w:pPr>
      <w:r>
        <w:rPr>
          <w:rFonts w:hint="eastAsia" w:ascii="仿宋" w:hAnsi="仿宋" w:eastAsia="仿宋" w:cs="仿宋"/>
          <w:b/>
          <w:highlight w:val="none"/>
        </w:rPr>
        <w:t>32．成交通知</w:t>
      </w:r>
    </w:p>
    <w:p w14:paraId="27E6DB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D0B84E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highlight w:val="none"/>
        </w:rPr>
      </w:pPr>
      <w:r>
        <w:rPr>
          <w:rFonts w:hint="eastAsia" w:ascii="仿宋" w:hAnsi="仿宋" w:eastAsia="仿宋" w:cs="仿宋"/>
          <w:b/>
          <w:highlight w:val="none"/>
        </w:rPr>
        <w:t>33．签订合同</w:t>
      </w:r>
    </w:p>
    <w:p w14:paraId="50377E9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14:paraId="19A39A1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0E13FF8F">
      <w:pPr>
        <w:pStyle w:val="4"/>
        <w:rPr>
          <w:rFonts w:ascii="仿宋" w:hAnsi="仿宋" w:eastAsia="仿宋" w:cs="仿宋"/>
          <w:sz w:val="32"/>
          <w:szCs w:val="36"/>
          <w:highlight w:val="none"/>
        </w:rPr>
      </w:pPr>
      <w:bookmarkStart w:id="81" w:name="_Toc12773"/>
      <w:bookmarkStart w:id="82" w:name="_Toc26927"/>
      <w:bookmarkStart w:id="83" w:name="_Toc13230"/>
      <w:r>
        <w:rPr>
          <w:rFonts w:hint="eastAsia" w:ascii="仿宋" w:hAnsi="仿宋" w:eastAsia="仿宋" w:cs="仿宋"/>
          <w:sz w:val="32"/>
          <w:szCs w:val="36"/>
          <w:highlight w:val="none"/>
        </w:rPr>
        <w:t>八、其他事项</w:t>
      </w:r>
      <w:bookmarkEnd w:id="78"/>
      <w:bookmarkEnd w:id="79"/>
      <w:bookmarkEnd w:id="80"/>
      <w:bookmarkEnd w:id="81"/>
      <w:bookmarkEnd w:id="82"/>
      <w:bookmarkEnd w:id="83"/>
    </w:p>
    <w:p w14:paraId="1514C8F4">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780728BB">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2471366E">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14:paraId="0AAE7676">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281A357C">
      <w:pPr>
        <w:spacing w:line="460" w:lineRule="exact"/>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AE73108">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65AF5945">
      <w:pPr>
        <w:spacing w:line="460" w:lineRule="exact"/>
        <w:rPr>
          <w:rFonts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23645D3F">
      <w:pPr>
        <w:spacing w:line="460" w:lineRule="exact"/>
        <w:rPr>
          <w:rFonts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9FA087B">
      <w:pPr>
        <w:pStyle w:val="4"/>
        <w:rPr>
          <w:rFonts w:ascii="仿宋" w:hAnsi="仿宋" w:eastAsia="仿宋" w:cs="仿宋"/>
          <w:sz w:val="32"/>
          <w:szCs w:val="36"/>
          <w:highlight w:val="none"/>
        </w:rPr>
      </w:pPr>
      <w:bookmarkStart w:id="84" w:name="_Toc30935"/>
      <w:bookmarkStart w:id="85" w:name="_Toc13085"/>
      <w:bookmarkStart w:id="86" w:name="_Toc23647"/>
      <w:bookmarkStart w:id="87" w:name="_Toc23884"/>
      <w:bookmarkStart w:id="88" w:name="_Toc23716"/>
      <w:bookmarkStart w:id="89" w:name="_Toc519156745"/>
      <w:bookmarkStart w:id="90" w:name="_Toc5011"/>
      <w:r>
        <w:rPr>
          <w:rFonts w:hint="eastAsia" w:ascii="仿宋" w:hAnsi="仿宋" w:eastAsia="仿宋" w:cs="仿宋"/>
          <w:sz w:val="32"/>
          <w:szCs w:val="36"/>
          <w:highlight w:val="none"/>
        </w:rPr>
        <w:t>九、成交服务费</w:t>
      </w:r>
      <w:bookmarkEnd w:id="84"/>
      <w:bookmarkEnd w:id="85"/>
      <w:bookmarkEnd w:id="86"/>
      <w:bookmarkEnd w:id="87"/>
      <w:bookmarkEnd w:id="88"/>
      <w:bookmarkEnd w:id="89"/>
      <w:bookmarkEnd w:id="90"/>
    </w:p>
    <w:p w14:paraId="77D89914">
      <w:pPr>
        <w:snapToGrid w:val="0"/>
        <w:spacing w:line="420" w:lineRule="exact"/>
        <w:rPr>
          <w:rFonts w:ascii="仿宋" w:hAnsi="仿宋" w:eastAsia="仿宋" w:cs="仿宋"/>
          <w:highlight w:val="none"/>
        </w:rPr>
      </w:pPr>
      <w:r>
        <w:rPr>
          <w:rFonts w:hint="eastAsia" w:ascii="仿宋" w:hAnsi="仿宋" w:eastAsia="仿宋" w:cs="仿宋"/>
          <w:b/>
          <w:bCs/>
          <w:highlight w:val="none"/>
        </w:rPr>
        <w:t>39.招标代理服务费</w:t>
      </w:r>
    </w:p>
    <w:p w14:paraId="7FEBF775">
      <w:pPr>
        <w:spacing w:line="440" w:lineRule="exact"/>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7C69759F">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银行户名：陕西德仁招标有限公司</w:t>
      </w:r>
    </w:p>
    <w:p w14:paraId="235299BB">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开户银行：</w:t>
      </w:r>
      <w:r>
        <w:rPr>
          <w:rFonts w:hint="eastAsia" w:ascii="仿宋" w:hAnsi="仿宋" w:eastAsia="仿宋" w:cs="仿宋"/>
          <w:b/>
          <w:bCs/>
          <w:kern w:val="0"/>
          <w:sz w:val="24"/>
          <w:szCs w:val="24"/>
          <w:highlight w:val="none"/>
        </w:rPr>
        <w:t>招商银行股份有限公司西安城南支行</w:t>
      </w:r>
    </w:p>
    <w:p w14:paraId="41088056">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账    号：1299 0904 6810 901</w:t>
      </w:r>
    </w:p>
    <w:p w14:paraId="66134D6E">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联系人：苏会计  联系电话：029-89185132</w:t>
      </w:r>
    </w:p>
    <w:p w14:paraId="52109CFB">
      <w:pPr>
        <w:spacing w:line="420" w:lineRule="exact"/>
        <w:jc w:val="left"/>
        <w:rPr>
          <w:rFonts w:ascii="仿宋" w:hAnsi="仿宋" w:eastAsia="仿宋" w:cs="仿宋"/>
          <w:sz w:val="24"/>
          <w:szCs w:val="24"/>
          <w:highlight w:val="none"/>
        </w:rPr>
      </w:pPr>
      <w:r>
        <w:rPr>
          <w:rFonts w:hint="eastAsia" w:ascii="仿宋" w:hAnsi="仿宋" w:eastAsia="仿宋" w:cs="仿宋"/>
          <w:b/>
          <w:bCs/>
          <w:sz w:val="24"/>
          <w:szCs w:val="24"/>
          <w:highlight w:val="none"/>
        </w:rPr>
        <w:t>邮箱：sxdrzb@qq.com</w:t>
      </w:r>
    </w:p>
    <w:p w14:paraId="3E98BDCB">
      <w:pPr>
        <w:pStyle w:val="4"/>
        <w:rPr>
          <w:rFonts w:ascii="仿宋" w:hAnsi="仿宋" w:eastAsia="仿宋" w:cs="仿宋"/>
          <w:sz w:val="32"/>
          <w:szCs w:val="36"/>
          <w:highlight w:val="none"/>
        </w:rPr>
      </w:pPr>
      <w:bookmarkStart w:id="91" w:name="_Toc10364"/>
      <w:bookmarkStart w:id="92" w:name="_Toc10336"/>
      <w:bookmarkStart w:id="93" w:name="_Toc32429"/>
      <w:bookmarkStart w:id="94" w:name="_Toc5878"/>
      <w:r>
        <w:rPr>
          <w:rFonts w:hint="eastAsia" w:ascii="仿宋" w:hAnsi="仿宋" w:eastAsia="仿宋" w:cs="仿宋"/>
          <w:sz w:val="32"/>
          <w:szCs w:val="36"/>
          <w:highlight w:val="none"/>
        </w:rPr>
        <w:t>十、质疑</w:t>
      </w:r>
      <w:bookmarkEnd w:id="91"/>
      <w:bookmarkEnd w:id="92"/>
      <w:bookmarkEnd w:id="93"/>
      <w:bookmarkEnd w:id="94"/>
    </w:p>
    <w:p w14:paraId="2D1B567D">
      <w:pPr>
        <w:pStyle w:val="10"/>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不是参与本次政府采购项目的投标人或潜在投标人；</w:t>
      </w:r>
    </w:p>
    <w:p w14:paraId="108E2BD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3BB0E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3822225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066AF4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3DC61F6D">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贺培文、赵璐</w:t>
      </w:r>
    </w:p>
    <w:p w14:paraId="72727EC4">
      <w:pPr>
        <w:pStyle w:val="13"/>
        <w:spacing w:line="4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618C70D0">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1D08EEB9">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6E5E28A">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1CE37AEF">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087A38F5">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03E84178">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3"/>
        <w:rPr>
          <w:rFonts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2131D7E8">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3"/>
        <w:rPr>
          <w:rFonts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773DA943">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3"/>
        <w:rPr>
          <w:rFonts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093B3B40">
      <w:pPr>
        <w:rPr>
          <w:rFonts w:hint="eastAsia" w:ascii="仿宋" w:hAnsi="仿宋" w:eastAsia="仿宋" w:cs="仿宋"/>
          <w:sz w:val="36"/>
          <w:szCs w:val="36"/>
          <w:lang w:val="en-US" w:eastAsia="zh-CN"/>
        </w:rPr>
      </w:pPr>
      <w:bookmarkStart w:id="95" w:name="_Toc18360"/>
      <w:bookmarkStart w:id="96" w:name="_Toc21558"/>
      <w:bookmarkStart w:id="97" w:name="_Toc8845"/>
      <w:r>
        <w:rPr>
          <w:rFonts w:hint="eastAsia" w:ascii="仿宋" w:hAnsi="仿宋" w:eastAsia="仿宋" w:cs="仿宋"/>
          <w:sz w:val="36"/>
          <w:szCs w:val="36"/>
          <w:lang w:val="en-US" w:eastAsia="zh-CN"/>
        </w:rPr>
        <w:br w:type="page"/>
      </w:r>
    </w:p>
    <w:p w14:paraId="6F508111">
      <w:pPr>
        <w:pStyle w:val="3"/>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95"/>
      <w:bookmarkEnd w:id="96"/>
      <w:r>
        <w:rPr>
          <w:rFonts w:hint="eastAsia" w:ascii="仿宋" w:hAnsi="仿宋" w:eastAsia="仿宋" w:cs="仿宋"/>
          <w:sz w:val="36"/>
          <w:szCs w:val="36"/>
          <w:lang w:val="en-US" w:eastAsia="zh-CN"/>
        </w:rPr>
        <w:t>评审办法及标准</w:t>
      </w:r>
      <w:bookmarkEnd w:id="97"/>
    </w:p>
    <w:p w14:paraId="573C1BA6">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14:paraId="253A7825">
      <w:pPr>
        <w:spacing w:line="460" w:lineRule="exact"/>
        <w:ind w:firstLine="480" w:firstLineChars="200"/>
        <w:rPr>
          <w:rFonts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F608E74">
      <w:pPr>
        <w:spacing w:line="460" w:lineRule="exact"/>
        <w:rPr>
          <w:rFonts w:ascii="仿宋" w:hAnsi="仿宋" w:eastAsia="仿宋" w:cs="仿宋"/>
          <w:b/>
          <w:bCs/>
          <w:highlight w:val="none"/>
        </w:rPr>
      </w:pPr>
      <w:r>
        <w:rPr>
          <w:rFonts w:hint="eastAsia" w:ascii="仿宋" w:hAnsi="仿宋" w:eastAsia="仿宋" w:cs="仿宋"/>
          <w:b/>
          <w:bCs/>
          <w:highlight w:val="none"/>
        </w:rPr>
        <w:t>2.磋商</w:t>
      </w:r>
    </w:p>
    <w:p w14:paraId="3DCDE17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76A088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63718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0757614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431678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FC55592">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69C3CB68">
      <w:pPr>
        <w:spacing w:line="460" w:lineRule="exact"/>
        <w:rPr>
          <w:rFonts w:ascii="仿宋" w:hAnsi="仿宋" w:eastAsia="仿宋" w:cs="仿宋"/>
          <w:b/>
          <w:bCs/>
          <w:highlight w:val="none"/>
        </w:rPr>
      </w:pPr>
      <w:r>
        <w:rPr>
          <w:rFonts w:hint="eastAsia" w:ascii="仿宋" w:hAnsi="仿宋" w:eastAsia="仿宋" w:cs="仿宋"/>
          <w:b/>
          <w:bCs/>
          <w:highlight w:val="none"/>
        </w:rPr>
        <w:t>3.磋商响应文件的初审</w:t>
      </w:r>
    </w:p>
    <w:p w14:paraId="52D46BE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4C7B0D8F">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14:paraId="37227EC9">
      <w:pPr>
        <w:spacing w:line="420" w:lineRule="exact"/>
        <w:ind w:firstLine="496" w:firstLineChars="200"/>
        <w:rPr>
          <w:rFonts w:hint="default"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14:paraId="6B1956FB">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ascii="仿宋" w:hAnsi="仿宋" w:eastAsia="仿宋" w:cs="仿宋"/>
                <w:highlight w:val="none"/>
              </w:rPr>
            </w:pPr>
            <w:r>
              <w:rPr>
                <w:rFonts w:hint="eastAsia" w:ascii="仿宋" w:hAnsi="仿宋" w:eastAsia="仿宋" w:cs="仿宋"/>
                <w:highlight w:val="none"/>
              </w:rPr>
              <w:t>供应商名称和公章、营业执照一致</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ascii="仿宋" w:hAnsi="仿宋" w:eastAsia="仿宋" w:cs="仿宋"/>
                <w:highlight w:val="none"/>
              </w:rPr>
            </w:pPr>
            <w:r>
              <w:rPr>
                <w:rFonts w:hint="eastAsia" w:ascii="仿宋" w:hAnsi="仿宋" w:eastAsia="仿宋" w:cs="仿宋"/>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ascii="仿宋" w:hAnsi="仿宋" w:eastAsia="仿宋" w:cs="仿宋"/>
                <w:highlight w:val="none"/>
              </w:rPr>
            </w:pPr>
            <w:r>
              <w:rPr>
                <w:rFonts w:hint="eastAsia" w:ascii="仿宋" w:hAnsi="仿宋" w:eastAsia="仿宋" w:cs="仿宋"/>
                <w:highlight w:val="none"/>
              </w:rPr>
              <w:t>自磋商之日起不少于90个日历日</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ascii="仿宋" w:hAnsi="仿宋" w:eastAsia="仿宋" w:cs="仿宋"/>
                <w:highlight w:val="none"/>
              </w:rPr>
            </w:pPr>
            <w:r>
              <w:rPr>
                <w:rFonts w:hint="eastAsia" w:ascii="仿宋" w:hAnsi="仿宋" w:eastAsia="仿宋" w:cs="仿宋"/>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w:t>
            </w:r>
            <w:r>
              <w:rPr>
                <w:rFonts w:hint="eastAsia" w:ascii="仿宋" w:hAnsi="仿宋" w:eastAsia="仿宋" w:cs="仿宋"/>
                <w:highlight w:val="none"/>
                <w:lang w:val="en-US" w:eastAsia="zh-CN"/>
              </w:rPr>
              <w:t>限</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ascii="仿宋" w:hAnsi="仿宋" w:eastAsia="仿宋" w:cs="仿宋"/>
                <w:highlight w:val="none"/>
              </w:rPr>
            </w:pPr>
            <w:r>
              <w:rPr>
                <w:rFonts w:hint="eastAsia" w:ascii="仿宋" w:hAnsi="仿宋" w:eastAsia="仿宋" w:cs="仿宋"/>
                <w:highlight w:val="none"/>
              </w:rPr>
              <w:t>满足磋商文件要求</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满足磋商文件要求</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ascii="仿宋" w:hAnsi="仿宋" w:eastAsia="仿宋" w:cs="仿宋"/>
                <w:highlight w:val="none"/>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ascii="仿宋" w:hAnsi="仿宋" w:eastAsia="仿宋" w:cs="仿宋"/>
                <w:highlight w:val="none"/>
              </w:rPr>
            </w:pPr>
            <w:r>
              <w:rPr>
                <w:rFonts w:hint="eastAsia" w:ascii="仿宋" w:hAnsi="仿宋" w:eastAsia="仿宋" w:cs="仿宋"/>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1E402435">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87A942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73FF697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22E5667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3446BB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3DF0B423">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423799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14:paraId="67ED476C">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14:paraId="56EB54A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01829FD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14:paraId="404ACE8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14:paraId="20F1424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14:paraId="250400D7">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14:paraId="1EF4C87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14:paraId="65E7B20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14:paraId="443CBA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04B9396D">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14:paraId="4DB766F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14:paraId="65DCB348">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14:paraId="107C6603">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14:paraId="36D5152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highlight w:val="none"/>
          <w:lang w:val="en-US" w:eastAsia="zh-CN"/>
        </w:rPr>
        <w:t>/建设周期/质保期</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F1CD21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5BFBD15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44F3B8F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3E3EED13">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75DC82EA">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54F8A0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7F6D1365">
      <w:pPr>
        <w:pStyle w:val="1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10"/>
      </w:pPr>
      <w:r>
        <w:rPr>
          <w:rFonts w:hint="eastAsia" w:ascii="仿宋" w:hAnsi="仿宋" w:eastAsia="仿宋" w:cs="仿宋"/>
          <w:color w:val="auto"/>
          <w:kern w:val="2"/>
          <w:sz w:val="24"/>
          <w:szCs w:val="24"/>
          <w:highlight w:val="none"/>
          <w:lang w:val="en-US" w:eastAsia="zh-CN" w:bidi="ar-SA"/>
        </w:rPr>
        <w:t>6.2评审指标分值构成（总计100分）（请确认评分标准）</w:t>
      </w:r>
    </w:p>
    <w:tbl>
      <w:tblPr>
        <w:tblStyle w:val="31"/>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00"/>
        <w:gridCol w:w="7303"/>
      </w:tblGrid>
      <w:tr w14:paraId="1308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71B68526">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序号</w:t>
            </w:r>
          </w:p>
        </w:tc>
        <w:tc>
          <w:tcPr>
            <w:tcW w:w="1300" w:type="dxa"/>
            <w:noWrap w:val="0"/>
            <w:vAlign w:val="center"/>
          </w:tcPr>
          <w:p w14:paraId="49E8DC5B">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评审要素及分值</w:t>
            </w:r>
          </w:p>
        </w:tc>
        <w:tc>
          <w:tcPr>
            <w:tcW w:w="7303" w:type="dxa"/>
            <w:noWrap w:val="0"/>
            <w:vAlign w:val="center"/>
          </w:tcPr>
          <w:p w14:paraId="2C81F6B9">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赋分标准</w:t>
            </w:r>
          </w:p>
        </w:tc>
      </w:tr>
      <w:tr w14:paraId="3D36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3EA12315">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1300" w:type="dxa"/>
            <w:noWrap w:val="0"/>
            <w:vAlign w:val="center"/>
          </w:tcPr>
          <w:p w14:paraId="453F19A8">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磋商报价</w:t>
            </w:r>
          </w:p>
          <w:p w14:paraId="288EEFB3">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15</w:t>
            </w:r>
            <w:r>
              <w:rPr>
                <w:rFonts w:hint="eastAsia" w:ascii="仿宋" w:hAnsi="仿宋" w:eastAsia="仿宋" w:cs="仿宋"/>
                <w:color w:val="auto"/>
                <w:sz w:val="24"/>
                <w:highlight w:val="none"/>
                <w:shd w:val="clear" w:color="auto" w:fill="FFFFFF"/>
              </w:rPr>
              <w:t>分）</w:t>
            </w:r>
          </w:p>
        </w:tc>
        <w:tc>
          <w:tcPr>
            <w:tcW w:w="7303" w:type="dxa"/>
            <w:noWrap w:val="0"/>
            <w:vAlign w:val="center"/>
          </w:tcPr>
          <w:p w14:paraId="3E404F81">
            <w:pPr>
              <w:spacing w:line="360" w:lineRule="auto"/>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磋商报价得分=(磋商基准价／磋商报价)×价格权值×100，计算分数时四舍五入取小数点后两位</w:t>
            </w:r>
            <w:r>
              <w:rPr>
                <w:rFonts w:hint="eastAsia" w:ascii="仿宋" w:hAnsi="仿宋" w:eastAsia="仿宋" w:cs="仿宋"/>
                <w:color w:val="auto"/>
                <w:sz w:val="24"/>
                <w:szCs w:val="24"/>
                <w:highlight w:val="none"/>
                <w:lang w:eastAsia="zh-CN"/>
              </w:rPr>
              <w:t>。</w:t>
            </w:r>
          </w:p>
          <w:p w14:paraId="0EF82163">
            <w:pPr>
              <w:spacing w:line="360" w:lineRule="auto"/>
              <w:ind w:left="0" w:leftChars="0" w:right="0" w:rightChars="0" w:firstLine="0" w:firstLineChars="0"/>
              <w:jc w:val="both"/>
              <w:rPr>
                <w:rFonts w:hint="eastAsia"/>
                <w:color w:val="auto"/>
                <w:highlight w:val="none"/>
              </w:rPr>
            </w:pPr>
            <w:r>
              <w:rPr>
                <w:rFonts w:hint="default" w:ascii="仿宋" w:hAnsi="仿宋" w:eastAsia="仿宋" w:cs="仿宋"/>
                <w:b/>
                <w:bCs/>
                <w:color w:val="auto"/>
                <w:sz w:val="24"/>
                <w:szCs w:val="24"/>
                <w:highlight w:val="none"/>
                <w:lang w:val="en-US" w:eastAsia="zh-CN"/>
              </w:rPr>
              <w:t>符合磋商文件规定的小微企业、监狱企业、残疾人福利性单位优惠条件的供应商，价格给予10%的扣除，用扣除后的价格参与评审以上</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政策同时具备的仅对其进行一次10%的价格扣除，不重复扣除。</w:t>
            </w:r>
          </w:p>
        </w:tc>
      </w:tr>
      <w:tr w14:paraId="1FC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3A5BCBF">
            <w:pPr>
              <w:spacing w:line="360" w:lineRule="auto"/>
              <w:ind w:left="0" w:leftChars="0" w:right="0" w:rightChars="0" w:firstLine="0" w:firstLine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w:t>
            </w:r>
          </w:p>
        </w:tc>
        <w:tc>
          <w:tcPr>
            <w:tcW w:w="1300" w:type="dxa"/>
            <w:shd w:val="clear" w:color="auto" w:fill="auto"/>
            <w:noWrap w:val="0"/>
            <w:vAlign w:val="center"/>
          </w:tcPr>
          <w:p w14:paraId="2C2DE300">
            <w:pPr>
              <w:spacing w:line="360" w:lineRule="auto"/>
              <w:ind w:left="0" w:leftChars="0" w:right="0" w:rightChars="0"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shd w:val="clear" w:color="auto" w:fill="FFFFFF"/>
                <w:lang w:val="zh-CN" w:eastAsia="zh-CN"/>
              </w:rPr>
              <w:t>项目</w:t>
            </w:r>
            <w:r>
              <w:rPr>
                <w:rFonts w:hint="eastAsia" w:ascii="仿宋" w:hAnsi="仿宋" w:eastAsia="仿宋" w:cs="仿宋"/>
                <w:sz w:val="24"/>
                <w:szCs w:val="24"/>
                <w:highlight w:val="none"/>
                <w:lang w:eastAsia="zh-CN"/>
              </w:rPr>
              <w:t>采购需求分析（</w:t>
            </w:r>
            <w:r>
              <w:rPr>
                <w:rFonts w:hint="eastAsia" w:ascii="仿宋" w:hAnsi="仿宋" w:eastAsia="仿宋" w:cs="仿宋"/>
                <w:sz w:val="24"/>
                <w:szCs w:val="24"/>
                <w:highlight w:val="none"/>
                <w:lang w:val="en-US" w:eastAsia="zh-CN"/>
              </w:rPr>
              <w:t>6分</w:t>
            </w:r>
            <w:r>
              <w:rPr>
                <w:rFonts w:hint="eastAsia" w:ascii="仿宋" w:hAnsi="仿宋" w:eastAsia="仿宋" w:cs="仿宋"/>
                <w:sz w:val="24"/>
                <w:szCs w:val="24"/>
                <w:highlight w:val="none"/>
                <w:lang w:eastAsia="zh-CN"/>
              </w:rPr>
              <w:t>）</w:t>
            </w:r>
          </w:p>
        </w:tc>
        <w:tc>
          <w:tcPr>
            <w:tcW w:w="7303" w:type="dxa"/>
            <w:shd w:val="clear" w:color="auto" w:fill="auto"/>
            <w:noWrap w:val="0"/>
            <w:vAlign w:val="center"/>
          </w:tcPr>
          <w:p w14:paraId="34AB63C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2B95509F">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w:t>
            </w:r>
            <w:r>
              <w:rPr>
                <w:rFonts w:hint="eastAsia" w:ascii="仿宋" w:hAnsi="仿宋" w:eastAsia="仿宋" w:cs="仿宋"/>
                <w:color w:val="auto"/>
                <w:sz w:val="24"/>
                <w:szCs w:val="24"/>
                <w:highlight w:val="none"/>
                <w:shd w:val="clear" w:color="auto" w:fill="FFFFFF"/>
                <w:lang w:val="zh-CN" w:eastAsia="zh-CN"/>
              </w:rPr>
              <w:t>项目</w:t>
            </w:r>
            <w:r>
              <w:rPr>
                <w:rFonts w:hint="eastAsia" w:ascii="仿宋" w:hAnsi="仿宋" w:eastAsia="仿宋" w:cs="仿宋"/>
                <w:sz w:val="24"/>
                <w:szCs w:val="24"/>
                <w:highlight w:val="none"/>
                <w:lang w:eastAsia="zh-CN"/>
              </w:rPr>
              <w:t>采购需求分析</w:t>
            </w:r>
            <w:r>
              <w:rPr>
                <w:rFonts w:hint="eastAsia" w:ascii="仿宋" w:hAnsi="仿宋" w:eastAsia="仿宋" w:cs="仿宋"/>
                <w:color w:val="auto"/>
                <w:sz w:val="24"/>
                <w:szCs w:val="24"/>
                <w:highlight w:val="none"/>
                <w:lang w:val="en-US" w:eastAsia="zh-CN"/>
              </w:rPr>
              <w:t>，包括但不限于①对工作内容、目标理解；②对项目重点难点分析及解决方案。</w:t>
            </w:r>
          </w:p>
          <w:p w14:paraId="2BAF0D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7D1FF8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250C0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632964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511D6F99">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7E86142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Hans"/>
              </w:rPr>
              <w:t>①</w:t>
            </w:r>
            <w:r>
              <w:rPr>
                <w:rFonts w:hint="eastAsia" w:ascii="仿宋" w:hAnsi="仿宋" w:eastAsia="仿宋" w:cs="仿宋"/>
                <w:color w:val="auto"/>
                <w:sz w:val="24"/>
                <w:szCs w:val="24"/>
                <w:highlight w:val="none"/>
                <w:lang w:val="en-US" w:eastAsia="zh-CN"/>
              </w:rPr>
              <w:t>对工作内容、目标理解</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3A10B7D7">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②对项目重点难点分析及解决方案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4689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D1800AC">
            <w:pPr>
              <w:spacing w:line="360" w:lineRule="auto"/>
              <w:ind w:left="0" w:leftChars="0" w:right="0" w:rightChars="0" w:firstLine="0" w:firstLine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w:t>
            </w:r>
          </w:p>
        </w:tc>
        <w:tc>
          <w:tcPr>
            <w:tcW w:w="1300" w:type="dxa"/>
            <w:shd w:val="clear" w:color="auto" w:fill="auto"/>
            <w:noWrap w:val="0"/>
            <w:vAlign w:val="center"/>
          </w:tcPr>
          <w:p w14:paraId="550E88D6">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总体实施方案</w:t>
            </w:r>
          </w:p>
          <w:p w14:paraId="32FF460A">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（15分）</w:t>
            </w:r>
          </w:p>
        </w:tc>
        <w:tc>
          <w:tcPr>
            <w:tcW w:w="7303" w:type="dxa"/>
            <w:shd w:val="clear" w:color="auto" w:fill="auto"/>
            <w:noWrap w:val="0"/>
            <w:vAlign w:val="center"/>
          </w:tcPr>
          <w:p w14:paraId="265C8A3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5319BA4B">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w:t>
            </w:r>
            <w:r>
              <w:rPr>
                <w:rFonts w:hint="eastAsia" w:ascii="仿宋" w:hAnsi="仿宋" w:eastAsia="仿宋" w:cs="仿宋"/>
                <w:color w:val="auto"/>
                <w:highlight w:val="none"/>
                <w:lang w:val="en-US" w:eastAsia="zh-CN"/>
              </w:rPr>
              <w:t>总体实施方案</w:t>
            </w:r>
            <w:r>
              <w:rPr>
                <w:rFonts w:hint="eastAsia" w:ascii="仿宋" w:hAnsi="仿宋" w:eastAsia="仿宋" w:cs="仿宋"/>
                <w:color w:val="auto"/>
                <w:sz w:val="24"/>
                <w:szCs w:val="24"/>
                <w:highlight w:val="none"/>
                <w:lang w:val="en-US" w:eastAsia="zh-CN"/>
              </w:rPr>
              <w:t>，包括但不限于①</w:t>
            </w:r>
            <w:r>
              <w:rPr>
                <w:rFonts w:hint="eastAsia" w:ascii="仿宋" w:hAnsi="仿宋" w:eastAsia="仿宋" w:cs="仿宋"/>
                <w:color w:val="auto"/>
                <w:highlight w:val="none"/>
                <w:lang w:val="en-US" w:eastAsia="zh-CN"/>
              </w:rPr>
              <w:t>总体服务构思；②</w:t>
            </w:r>
          </w:p>
          <w:p w14:paraId="6DBDBD7E">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工作方案完整性与针对性；③政策宣贯与会议支撑方案；④数据处理方案：提供数据规范性校验和数据准确性验证方案；⑤指标计算与报告编制方案。</w:t>
            </w:r>
          </w:p>
          <w:p w14:paraId="1F70BC8B">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5EB86CE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45FB948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07821E29">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7E0AE2A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15</w:t>
            </w:r>
            <w:r>
              <w:rPr>
                <w:rFonts w:hint="eastAsia" w:ascii="仿宋" w:hAnsi="仿宋" w:eastAsia="仿宋" w:cs="仿宋"/>
                <w:b/>
                <w:bCs/>
                <w:color w:val="auto"/>
                <w:kern w:val="0"/>
                <w:sz w:val="24"/>
                <w:szCs w:val="24"/>
                <w:highlight w:val="none"/>
                <w:lang w:val="en-US" w:eastAsia="zh-Hans"/>
              </w:rPr>
              <w:t>分）</w:t>
            </w:r>
          </w:p>
          <w:p w14:paraId="0C0E598F">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①</w:t>
            </w:r>
            <w:r>
              <w:rPr>
                <w:rFonts w:hint="eastAsia" w:ascii="仿宋" w:hAnsi="仿宋" w:eastAsia="仿宋" w:cs="仿宋"/>
                <w:color w:val="auto"/>
                <w:highlight w:val="none"/>
                <w:lang w:val="en-US" w:eastAsia="zh-CN"/>
              </w:rPr>
              <w:t>总体服务构思</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1CF562C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②</w:t>
            </w:r>
            <w:r>
              <w:rPr>
                <w:rFonts w:hint="eastAsia" w:ascii="仿宋" w:hAnsi="仿宋" w:eastAsia="仿宋" w:cs="仿宋"/>
                <w:color w:val="auto"/>
                <w:sz w:val="24"/>
                <w:szCs w:val="24"/>
                <w:highlight w:val="none"/>
                <w:lang w:val="en-US" w:eastAsia="zh-CN"/>
              </w:rPr>
              <w:t>工作方案完整性与针对性</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 xml:space="preserve">分； </w:t>
            </w:r>
          </w:p>
          <w:p w14:paraId="4A6EB32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③</w:t>
            </w:r>
            <w:r>
              <w:rPr>
                <w:rFonts w:hint="eastAsia" w:ascii="仿宋" w:hAnsi="仿宋" w:eastAsia="仿宋" w:cs="仿宋"/>
                <w:color w:val="auto"/>
                <w:sz w:val="24"/>
                <w:szCs w:val="24"/>
                <w:highlight w:val="none"/>
                <w:lang w:val="en-US" w:eastAsia="zh-CN"/>
              </w:rPr>
              <w:t>政策宣贯与会议支撑方案</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p w14:paraId="66F67D15">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④数据处理方案：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77FB98DD">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⑤指标计算与报告编制方案：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4B3D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BF54206">
            <w:pPr>
              <w:spacing w:line="360" w:lineRule="auto"/>
              <w:ind w:left="0" w:leftChars="0" w:right="0" w:rightChars="0" w:firstLine="0" w:firstLine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4</w:t>
            </w:r>
          </w:p>
        </w:tc>
        <w:tc>
          <w:tcPr>
            <w:tcW w:w="1300" w:type="dxa"/>
            <w:noWrap w:val="0"/>
            <w:vAlign w:val="center"/>
          </w:tcPr>
          <w:p w14:paraId="4DC0A7A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项目进度计划及质量保障措施</w:t>
            </w:r>
          </w:p>
          <w:p w14:paraId="44BE94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lang w:val="zh-CN"/>
              </w:rPr>
              <w:t>（</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val="zh-CN"/>
              </w:rPr>
              <w:t>）</w:t>
            </w:r>
          </w:p>
        </w:tc>
        <w:tc>
          <w:tcPr>
            <w:tcW w:w="7303" w:type="dxa"/>
            <w:noWrap w:val="0"/>
            <w:vAlign w:val="center"/>
          </w:tcPr>
          <w:p w14:paraId="636990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2AF26B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针对本项目提供</w:t>
            </w:r>
            <w:r>
              <w:rPr>
                <w:rFonts w:hint="eastAsia" w:ascii="仿宋" w:hAnsi="仿宋" w:eastAsia="仿宋" w:cs="仿宋"/>
                <w:sz w:val="24"/>
                <w:szCs w:val="24"/>
                <w:highlight w:val="none"/>
                <w:lang w:val="en-US" w:eastAsia="zh-CN"/>
              </w:rPr>
              <w:t>项目进度计划及质量保障措施</w:t>
            </w:r>
            <w:r>
              <w:rPr>
                <w:rFonts w:hint="eastAsia" w:ascii="仿宋" w:hAnsi="仿宋" w:eastAsia="仿宋" w:cs="仿宋"/>
                <w:sz w:val="24"/>
                <w:szCs w:val="24"/>
                <w:highlight w:val="none"/>
              </w:rPr>
              <w:t>，包括但不限于①</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进度计划安排；</w:t>
            </w:r>
            <w:r>
              <w:rPr>
                <w:rFonts w:hint="eastAsia" w:ascii="仿宋" w:hAnsi="仿宋" w:eastAsia="仿宋" w:cs="仿宋"/>
                <w:sz w:val="24"/>
                <w:szCs w:val="24"/>
                <w:highlight w:val="none"/>
                <w:lang w:val="en-US" w:eastAsia="zh-CN"/>
              </w:rPr>
              <w:t>②项目</w:t>
            </w:r>
            <w:r>
              <w:rPr>
                <w:rFonts w:hint="eastAsia" w:ascii="仿宋" w:hAnsi="仿宋" w:eastAsia="仿宋" w:cs="仿宋"/>
                <w:sz w:val="24"/>
                <w:szCs w:val="24"/>
                <w:highlight w:val="none"/>
              </w:rPr>
              <w:t>进度保障措施</w:t>
            </w:r>
            <w:r>
              <w:rPr>
                <w:rFonts w:hint="eastAsia" w:ascii="仿宋" w:hAnsi="仿宋" w:eastAsia="仿宋" w:cs="仿宋"/>
                <w:color w:val="auto"/>
                <w:sz w:val="24"/>
                <w:szCs w:val="24"/>
                <w:highlight w:val="none"/>
                <w:lang w:val="en-US" w:eastAsia="zh-CN"/>
              </w:rPr>
              <w:t>；③服务质量保障措施；④知识产权保护及数据资料保密方案</w:t>
            </w:r>
            <w:r>
              <w:rPr>
                <w:rFonts w:hint="eastAsia" w:ascii="仿宋" w:hAnsi="仿宋" w:eastAsia="仿宋" w:cs="仿宋"/>
                <w:sz w:val="24"/>
                <w:szCs w:val="24"/>
                <w:highlight w:val="none"/>
                <w:lang w:val="en-US" w:eastAsia="zh-CN"/>
              </w:rPr>
              <w:t>。</w:t>
            </w:r>
          </w:p>
          <w:p w14:paraId="040FA0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1B13A8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7E957B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37B405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75D0DC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12</w:t>
            </w:r>
            <w:r>
              <w:rPr>
                <w:rFonts w:hint="eastAsia" w:ascii="仿宋" w:hAnsi="仿宋" w:eastAsia="仿宋" w:cs="仿宋"/>
                <w:b/>
                <w:bCs/>
                <w:sz w:val="24"/>
                <w:szCs w:val="24"/>
                <w:highlight w:val="none"/>
              </w:rPr>
              <w:t>分）</w:t>
            </w:r>
          </w:p>
          <w:p w14:paraId="5D3EFB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进度计划安排</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2AE9E1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进度保障措施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5CB99C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center"/>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lang w:val="en-US" w:eastAsia="zh-CN"/>
              </w:rPr>
              <w:t>③服务质量保障措施：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67A2A0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④知识产权保护及数据资料保密方案：</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tc>
      </w:tr>
      <w:tr w14:paraId="75A8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E324EE5">
            <w:pPr>
              <w:spacing w:line="360" w:lineRule="auto"/>
              <w:ind w:left="0" w:leftChars="0" w:right="0" w:rightChars="0" w:firstLine="0" w:firstLine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5</w:t>
            </w:r>
          </w:p>
        </w:tc>
        <w:tc>
          <w:tcPr>
            <w:tcW w:w="1300" w:type="dxa"/>
            <w:noWrap w:val="0"/>
            <w:vAlign w:val="center"/>
          </w:tcPr>
          <w:p w14:paraId="187A258D">
            <w:pPr>
              <w:spacing w:line="360" w:lineRule="auto"/>
              <w:ind w:left="0" w:leftChars="0" w:right="0" w:rightChars="0"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val="en-US" w:eastAsia="zh-CN"/>
              </w:rPr>
              <w:t>项目团队人员配备</w:t>
            </w:r>
            <w:r>
              <w:rPr>
                <w:rFonts w:hint="eastAsia" w:ascii="仿宋" w:hAnsi="仿宋" w:eastAsia="仿宋" w:cs="仿宋"/>
                <w:color w:val="auto"/>
                <w:sz w:val="24"/>
                <w:szCs w:val="24"/>
                <w:highlight w:val="none"/>
                <w:shd w:val="clear" w:color="auto" w:fill="FFFFFF"/>
                <w:lang w:val="zh-CN"/>
              </w:rPr>
              <w:t>（</w:t>
            </w:r>
            <w:r>
              <w:rPr>
                <w:rFonts w:hint="eastAsia" w:ascii="仿宋" w:hAnsi="仿宋" w:eastAsia="仿宋" w:cs="仿宋"/>
                <w:color w:val="auto"/>
                <w:sz w:val="24"/>
                <w:szCs w:val="24"/>
                <w:highlight w:val="none"/>
                <w:shd w:val="clear" w:color="auto" w:fill="FFFFFF"/>
                <w:lang w:val="en-US" w:eastAsia="zh-CN"/>
              </w:rPr>
              <w:t>9</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val="zh-CN"/>
              </w:rPr>
              <w:t>）</w:t>
            </w:r>
          </w:p>
        </w:tc>
        <w:tc>
          <w:tcPr>
            <w:tcW w:w="7303" w:type="dxa"/>
            <w:noWrap w:val="0"/>
            <w:vAlign w:val="center"/>
          </w:tcPr>
          <w:p w14:paraId="1FD6622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0CDB8DB9">
            <w:pPr>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color w:val="auto"/>
                <w:sz w:val="24"/>
                <w:szCs w:val="24"/>
                <w:highlight w:val="none"/>
                <w:lang w:val="en-US" w:eastAsia="zh-CN"/>
              </w:rPr>
              <w:t>项目团队人员配备</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：①</w:t>
            </w:r>
            <w:r>
              <w:rPr>
                <w:rFonts w:hint="eastAsia" w:ascii="仿宋" w:hAnsi="仿宋" w:eastAsia="仿宋" w:cs="仿宋"/>
                <w:sz w:val="24"/>
                <w:szCs w:val="24"/>
                <w:highlight w:val="none"/>
                <w:lang w:val="en-US" w:eastAsia="zh-CN"/>
              </w:rPr>
              <w:t>项目服务团队架构及工作人员投入计划</w:t>
            </w:r>
            <w:r>
              <w:rPr>
                <w:rFonts w:hint="eastAsia" w:ascii="仿宋" w:hAnsi="仿宋" w:eastAsia="仿宋" w:cs="仿宋"/>
                <w:color w:val="auto"/>
                <w:sz w:val="24"/>
                <w:szCs w:val="24"/>
                <w:highlight w:val="none"/>
                <w:lang w:val="en-US" w:eastAsia="zh-CN"/>
              </w:rPr>
              <w:t>；②</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人员岗位</w:t>
            </w:r>
            <w:r>
              <w:rPr>
                <w:rFonts w:hint="eastAsia" w:ascii="仿宋" w:hAnsi="仿宋" w:eastAsia="仿宋" w:cs="仿宋"/>
                <w:sz w:val="24"/>
                <w:szCs w:val="24"/>
                <w:highlight w:val="none"/>
                <w:lang w:val="en-US" w:eastAsia="zh-CN"/>
              </w:rPr>
              <w:t>划分及</w:t>
            </w:r>
            <w:r>
              <w:rPr>
                <w:rFonts w:hint="eastAsia" w:ascii="仿宋" w:hAnsi="仿宋" w:eastAsia="仿宋" w:cs="仿宋"/>
                <w:color w:val="auto"/>
                <w:sz w:val="24"/>
                <w:szCs w:val="24"/>
                <w:highlight w:val="none"/>
                <w:lang w:val="en-US" w:eastAsia="zh-CN"/>
              </w:rPr>
              <w:t>工作职责；③</w:t>
            </w:r>
            <w:r>
              <w:rPr>
                <w:rFonts w:hint="eastAsia" w:ascii="仿宋" w:hAnsi="仿宋" w:eastAsia="仿宋" w:cs="仿宋"/>
                <w:sz w:val="24"/>
                <w:szCs w:val="24"/>
                <w:highlight w:val="none"/>
                <w:lang w:val="en-US" w:eastAsia="zh-CN"/>
              </w:rPr>
              <w:t>项目人员管理制度</w:t>
            </w:r>
            <w:r>
              <w:rPr>
                <w:rFonts w:hint="eastAsia" w:ascii="仿宋" w:hAnsi="仿宋" w:eastAsia="仿宋" w:cs="仿宋"/>
                <w:snapToGrid/>
                <w:color w:val="auto"/>
                <w:kern w:val="0"/>
                <w:sz w:val="24"/>
                <w:szCs w:val="24"/>
                <w:highlight w:val="none"/>
                <w:lang w:val="en-US" w:eastAsia="zh-CN"/>
              </w:rPr>
              <w:t>。</w:t>
            </w:r>
          </w:p>
          <w:p w14:paraId="0604BE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079B7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685D9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6B5529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7E6D5AE3">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3D452CC1">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sz w:val="24"/>
                <w:szCs w:val="24"/>
                <w:highlight w:val="none"/>
                <w:lang w:val="en-US" w:eastAsia="zh-CN"/>
              </w:rPr>
              <w:t>项目服务团队架构及工作人员投入计划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7487AEAD">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人员岗位</w:t>
            </w:r>
            <w:r>
              <w:rPr>
                <w:rFonts w:hint="eastAsia" w:ascii="仿宋" w:hAnsi="仿宋" w:eastAsia="仿宋" w:cs="仿宋"/>
                <w:sz w:val="24"/>
                <w:szCs w:val="24"/>
                <w:highlight w:val="none"/>
                <w:lang w:val="en-US" w:eastAsia="zh-CN"/>
              </w:rPr>
              <w:t>划分及</w:t>
            </w:r>
            <w:r>
              <w:rPr>
                <w:rFonts w:hint="eastAsia" w:ascii="仿宋" w:hAnsi="仿宋" w:eastAsia="仿宋" w:cs="仿宋"/>
                <w:color w:val="auto"/>
                <w:sz w:val="24"/>
                <w:szCs w:val="24"/>
                <w:highlight w:val="none"/>
                <w:lang w:val="en-US" w:eastAsia="zh-CN"/>
              </w:rPr>
              <w:t>工作职责：</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5FFC8133">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sz w:val="24"/>
                <w:szCs w:val="24"/>
                <w:highlight w:val="none"/>
                <w:lang w:val="en-US" w:eastAsia="zh-CN"/>
              </w:rPr>
              <w:t>项目人员管理制度</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5B01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B6B6413">
            <w:pPr>
              <w:spacing w:line="360" w:lineRule="auto"/>
              <w:ind w:left="0" w:leftChars="0" w:right="0" w:rightChars="0" w:firstLine="0" w:firstLineChars="0"/>
              <w:jc w:val="center"/>
              <w:rPr>
                <w:rFonts w:hint="default" w:ascii="仿宋" w:hAnsi="仿宋" w:eastAsia="仿宋" w:cs="仿宋"/>
                <w:color w:val="0000FF"/>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w:t>
            </w:r>
          </w:p>
        </w:tc>
        <w:tc>
          <w:tcPr>
            <w:tcW w:w="1300" w:type="dxa"/>
            <w:shd w:val="clear" w:color="auto" w:fill="auto"/>
            <w:noWrap w:val="0"/>
            <w:vAlign w:val="center"/>
          </w:tcPr>
          <w:p w14:paraId="680FE79C">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成果保障及验收方案</w:t>
            </w:r>
          </w:p>
          <w:p w14:paraId="725D5FE9">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auto" w:fill="FFFFFF"/>
                <w:lang w:val="en-US" w:eastAsia="zh-CN"/>
              </w:rPr>
              <w:t>（12分）</w:t>
            </w:r>
          </w:p>
        </w:tc>
        <w:tc>
          <w:tcPr>
            <w:tcW w:w="7303" w:type="dxa"/>
            <w:tcBorders>
              <w:bottom w:val="single" w:color="auto" w:sz="4" w:space="0"/>
            </w:tcBorders>
            <w:shd w:val="clear" w:color="auto" w:fill="auto"/>
            <w:noWrap w:val="0"/>
            <w:vAlign w:val="center"/>
          </w:tcPr>
          <w:p w14:paraId="220C3A4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267159A2">
            <w:pPr>
              <w:spacing w:line="360" w:lineRule="auto"/>
              <w:ind w:left="0" w:leftChars="0" w:right="0" w:rightChars="0" w:firstLine="0" w:firstLineChars="0"/>
              <w:jc w:val="both"/>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Hans"/>
              </w:rPr>
              <w:t>针对本项目提供成果保障及验收</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：①服务成果完整性保证措施；②成果质量保证；③成果验收方案；④</w:t>
            </w:r>
            <w:r>
              <w:rPr>
                <w:rFonts w:hint="eastAsia" w:ascii="仿宋" w:hAnsi="仿宋" w:eastAsia="仿宋" w:cs="仿宋"/>
                <w:snapToGrid/>
                <w:color w:val="auto"/>
                <w:kern w:val="0"/>
                <w:sz w:val="24"/>
                <w:szCs w:val="24"/>
                <w:highlight w:val="none"/>
                <w:lang w:val="en-US" w:eastAsia="zh-CN"/>
              </w:rPr>
              <w:t>全过程资料的收集、整理及移交</w:t>
            </w:r>
            <w:r>
              <w:rPr>
                <w:rFonts w:hint="eastAsia" w:ascii="仿宋" w:hAnsi="仿宋" w:eastAsia="仿宋" w:cs="仿宋"/>
                <w:color w:val="auto"/>
                <w:sz w:val="24"/>
                <w:szCs w:val="24"/>
                <w:highlight w:val="none"/>
                <w:lang w:val="en-US" w:eastAsia="zh-CN"/>
              </w:rPr>
              <w:t>。</w:t>
            </w:r>
          </w:p>
          <w:p w14:paraId="68AA4F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39240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3AF7AA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3B09E1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60D72A8C">
            <w:pPr>
              <w:spacing w:line="360" w:lineRule="auto"/>
              <w:ind w:left="0" w:leftChars="0" w:right="0" w:rightChars="0" w:firstLine="0" w:firstLineChars="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三、赋分依据（满分12分）</w:t>
            </w:r>
          </w:p>
          <w:p w14:paraId="751F7E2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①服务成果完整性保证措施：</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p>
          <w:p w14:paraId="57DAD85B">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②成果质量保证：</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p>
          <w:p w14:paraId="4C0CCC4A">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③成果验收方案：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p>
          <w:p w14:paraId="08E58BE5">
            <w:pPr>
              <w:spacing w:line="360" w:lineRule="auto"/>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④</w:t>
            </w:r>
            <w:r>
              <w:rPr>
                <w:rFonts w:hint="eastAsia" w:ascii="仿宋" w:hAnsi="仿宋" w:eastAsia="仿宋" w:cs="仿宋"/>
                <w:snapToGrid/>
                <w:color w:val="auto"/>
                <w:kern w:val="0"/>
                <w:sz w:val="24"/>
                <w:szCs w:val="24"/>
                <w:highlight w:val="none"/>
                <w:lang w:val="en-US" w:eastAsia="zh-CN"/>
              </w:rPr>
              <w:t>全过程资料的收集、整理及移交：每完全满足一个评审标准得1分，满分3分</w:t>
            </w:r>
            <w:r>
              <w:rPr>
                <w:rFonts w:hint="eastAsia" w:ascii="仿宋" w:hAnsi="仿宋" w:eastAsia="仿宋" w:cs="仿宋"/>
                <w:color w:val="auto"/>
                <w:kern w:val="0"/>
                <w:sz w:val="24"/>
                <w:szCs w:val="24"/>
                <w:highlight w:val="none"/>
                <w:lang w:val="en-US" w:eastAsia="zh-CN"/>
              </w:rPr>
              <w:t>。</w:t>
            </w:r>
          </w:p>
        </w:tc>
      </w:tr>
      <w:tr w14:paraId="0564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2083E22A">
            <w:pPr>
              <w:spacing w:line="36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00" w:type="dxa"/>
            <w:shd w:val="clear" w:color="auto" w:fill="auto"/>
            <w:noWrap w:val="0"/>
            <w:vAlign w:val="center"/>
          </w:tcPr>
          <w:p w14:paraId="59AACFE9">
            <w:pPr>
              <w:spacing w:line="36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w:t>
            </w:r>
          </w:p>
          <w:p w14:paraId="25C0BE42">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（9分）</w:t>
            </w:r>
          </w:p>
        </w:tc>
        <w:tc>
          <w:tcPr>
            <w:tcW w:w="7303" w:type="dxa"/>
            <w:shd w:val="clear" w:color="auto" w:fill="auto"/>
            <w:noWrap w:val="0"/>
            <w:vAlign w:val="center"/>
          </w:tcPr>
          <w:p w14:paraId="14E688DB">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08EF72E6">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完善的</w:t>
            </w:r>
            <w:r>
              <w:rPr>
                <w:rFonts w:hint="eastAsia" w:ascii="仿宋" w:hAnsi="仿宋" w:eastAsia="仿宋" w:cs="仿宋"/>
                <w:sz w:val="24"/>
                <w:szCs w:val="24"/>
                <w:highlight w:val="none"/>
                <w:shd w:val="clear" w:color="auto" w:fill="FFFFFF"/>
                <w:lang w:val="en-US" w:eastAsia="zh-CN"/>
              </w:rPr>
              <w:t>售后运维服务</w:t>
            </w:r>
            <w:r>
              <w:rPr>
                <w:rFonts w:hint="eastAsia" w:ascii="仿宋" w:hAnsi="仿宋" w:eastAsia="仿宋" w:cs="仿宋"/>
                <w:color w:val="auto"/>
                <w:sz w:val="24"/>
                <w:szCs w:val="24"/>
                <w:highlight w:val="none"/>
              </w:rPr>
              <w:t>，包括但不限</w:t>
            </w:r>
            <w:r>
              <w:rPr>
                <w:rFonts w:hint="eastAsia" w:ascii="仿宋" w:hAnsi="仿宋" w:eastAsia="仿宋" w:cs="仿宋"/>
                <w:color w:val="auto"/>
                <w:sz w:val="24"/>
                <w:szCs w:val="24"/>
                <w:highlight w:val="none"/>
                <w:lang w:val="en-US" w:eastAsia="zh-Hans"/>
              </w:rPr>
              <w:t>于：</w:t>
            </w:r>
            <w:r>
              <w:rPr>
                <w:rFonts w:hint="eastAsia" w:ascii="仿宋" w:hAnsi="仿宋" w:eastAsia="仿宋" w:cs="仿宋"/>
                <w:sz w:val="24"/>
                <w:szCs w:val="24"/>
                <w:highlight w:val="none"/>
              </w:rPr>
              <w:t>①针对本项目的售后服务承诺，包括但不限于售后响应时效、遇突发情况或临时任务时的保障服务等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②根据项目需求结合自身能力提供售后服务方案</w:t>
            </w:r>
            <w:r>
              <w:rPr>
                <w:rFonts w:hint="eastAsia" w:ascii="仿宋" w:hAnsi="仿宋" w:eastAsia="仿宋" w:cs="仿宋"/>
                <w:color w:val="000000"/>
                <w:kern w:val="0"/>
                <w:sz w:val="24"/>
                <w:szCs w:val="24"/>
                <w:highlight w:val="none"/>
                <w:lang w:val="en-US" w:eastAsia="zh-CN" w:bidi="ar"/>
              </w:rPr>
              <w:t>；③售后服务人员组织架构</w:t>
            </w:r>
            <w:r>
              <w:rPr>
                <w:rFonts w:hint="eastAsia" w:ascii="仿宋" w:hAnsi="仿宋" w:eastAsia="仿宋" w:cs="仿宋"/>
                <w:sz w:val="24"/>
                <w:szCs w:val="24"/>
                <w:highlight w:val="none"/>
                <w:lang w:val="en-US" w:eastAsia="zh-CN"/>
              </w:rPr>
              <w:t>。</w:t>
            </w:r>
          </w:p>
          <w:p w14:paraId="15904227">
            <w:pPr>
              <w:pStyle w:val="99"/>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2A77AB81">
            <w:pPr>
              <w:keepNext w:val="0"/>
              <w:keepLines w:val="0"/>
              <w:widowControl/>
              <w:suppressLineNumbers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6F8F8B33">
            <w:pPr>
              <w:keepNext w:val="0"/>
              <w:keepLines w:val="0"/>
              <w:widowControl/>
              <w:suppressLineNumbers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0C744D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464C2E03">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04F37847">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sz w:val="24"/>
                <w:szCs w:val="24"/>
                <w:highlight w:val="none"/>
              </w:rPr>
              <w:t>针对本项目的售后服务承诺，包括但不限于售后响应时效、遇突发情况或临时任务时的保障服务等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2D19F752">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sz w:val="24"/>
                <w:szCs w:val="24"/>
                <w:highlight w:val="none"/>
              </w:rPr>
              <w:t>根据项目需求结合自身能力提供售后服务方案</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C856655">
            <w:pPr>
              <w:spacing w:line="360" w:lineRule="auto"/>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bCs/>
                <w:color w:val="auto"/>
                <w:sz w:val="24"/>
                <w:szCs w:val="24"/>
              </w:rPr>
              <w:t>售后服务人员组织架构</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7254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noWrap w:val="0"/>
            <w:vAlign w:val="center"/>
          </w:tcPr>
          <w:p w14:paraId="25ED114B">
            <w:pPr>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300" w:type="dxa"/>
            <w:shd w:val="clear" w:color="auto" w:fill="auto"/>
            <w:noWrap w:val="0"/>
            <w:vAlign w:val="center"/>
          </w:tcPr>
          <w:p w14:paraId="35FD2D11">
            <w:pPr>
              <w:spacing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突发情况处理方案及合理化建议</w:t>
            </w:r>
          </w:p>
          <w:p w14:paraId="49C2B7F8">
            <w:pPr>
              <w:pStyle w:val="1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（9分）</w:t>
            </w:r>
          </w:p>
        </w:tc>
        <w:tc>
          <w:tcPr>
            <w:tcW w:w="7303" w:type="dxa"/>
            <w:shd w:val="clear" w:color="auto" w:fill="auto"/>
            <w:noWrap w:val="0"/>
            <w:vAlign w:val="center"/>
          </w:tcPr>
          <w:p w14:paraId="48E86816">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b/>
                <w:bCs/>
                <w:color w:val="auto"/>
                <w:kern w:val="0"/>
                <w:sz w:val="24"/>
                <w:szCs w:val="24"/>
                <w:highlight w:val="none"/>
                <w:lang w:val="en-US" w:eastAsia="zh-CN"/>
              </w:rPr>
              <w:t>一、评审内容</w:t>
            </w:r>
          </w:p>
          <w:p w14:paraId="69F08B55">
            <w:pPr>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针对本项目提供突发情况处理方案及合理化建议，包括但不限于：①应对遇</w:t>
            </w:r>
            <w:r>
              <w:rPr>
                <w:rFonts w:hint="eastAsia" w:ascii="仿宋" w:hAnsi="仿宋" w:eastAsia="仿宋" w:cs="仿宋"/>
                <w:color w:val="auto"/>
                <w:sz w:val="24"/>
                <w:szCs w:val="24"/>
                <w:highlight w:val="none"/>
              </w:rPr>
              <w:t>突发情况或临时任务时的保障服务；</w:t>
            </w:r>
            <w:r>
              <w:rPr>
                <w:rFonts w:hint="eastAsia" w:ascii="仿宋" w:hAnsi="仿宋" w:eastAsia="仿宋" w:cs="仿宋"/>
                <w:color w:val="auto"/>
                <w:sz w:val="24"/>
                <w:szCs w:val="24"/>
                <w:highlight w:val="none"/>
                <w:lang w:val="en-US" w:eastAsia="zh-CN"/>
              </w:rPr>
              <w:t>②突发情况的处理措施；</w:t>
            </w:r>
            <w:r>
              <w:rPr>
                <w:rFonts w:hint="eastAsia" w:ascii="仿宋" w:hAnsi="仿宋" w:eastAsia="仿宋" w:cs="仿宋"/>
                <w:snapToGrid/>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合理化建议。</w:t>
            </w:r>
          </w:p>
          <w:p w14:paraId="250F02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5B0CA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59EB93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32A7E99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54AC9AA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005A9A8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①</w:t>
            </w:r>
            <w:r>
              <w:rPr>
                <w:rFonts w:hint="eastAsia" w:ascii="仿宋" w:hAnsi="仿宋" w:eastAsia="仿宋" w:cs="仿宋"/>
                <w:color w:val="auto"/>
                <w:sz w:val="24"/>
                <w:szCs w:val="24"/>
                <w:highlight w:val="none"/>
                <w:lang w:val="en-US" w:eastAsia="zh-CN"/>
              </w:rPr>
              <w:t>应对遇</w:t>
            </w:r>
            <w:r>
              <w:rPr>
                <w:rFonts w:hint="eastAsia" w:ascii="仿宋" w:hAnsi="仿宋" w:eastAsia="仿宋" w:cs="仿宋"/>
                <w:color w:val="auto"/>
                <w:sz w:val="24"/>
                <w:szCs w:val="24"/>
                <w:highlight w:val="none"/>
              </w:rPr>
              <w:t>突发情况或临时任务时的保障服务</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 xml:space="preserve">分； </w:t>
            </w:r>
          </w:p>
          <w:p w14:paraId="2DD594F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②突发情况的处理措施</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p w14:paraId="75F150B4">
            <w:pPr>
              <w:pStyle w:val="13"/>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合理化建议</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p>
        </w:tc>
      </w:tr>
      <w:tr w14:paraId="76BE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81B2CCA">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9</w:t>
            </w:r>
          </w:p>
        </w:tc>
        <w:tc>
          <w:tcPr>
            <w:tcW w:w="1300" w:type="dxa"/>
            <w:noWrap w:val="0"/>
            <w:vAlign w:val="center"/>
          </w:tcPr>
          <w:p w14:paraId="157C8156">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en-US" w:eastAsia="zh-CN"/>
              </w:rPr>
            </w:pPr>
            <w:r>
              <w:rPr>
                <w:rFonts w:hint="eastAsia" w:ascii="仿宋_GB2312" w:hAnsi="仿宋_GB2312" w:eastAsia="仿宋_GB2312" w:cs="仿宋_GB2312"/>
                <w:sz w:val="24"/>
                <w:szCs w:val="24"/>
                <w:highlight w:val="none"/>
                <w:lang w:val="en-US" w:eastAsia="zh-CN"/>
              </w:rPr>
              <w:t>技术实力</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tc>
        <w:tc>
          <w:tcPr>
            <w:tcW w:w="7303" w:type="dxa"/>
            <w:noWrap w:val="0"/>
            <w:vAlign w:val="center"/>
          </w:tcPr>
          <w:p w14:paraId="044FC66E">
            <w:pPr>
              <w:numPr>
                <w:ilvl w:val="0"/>
                <w:numId w:val="0"/>
              </w:numPr>
              <w:spacing w:line="360" w:lineRule="auto"/>
              <w:ind w:leftChars="0" w:right="0" w:rightChars="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1、项目负责人具备通信相关专业的高级职称证书计2分；</w:t>
            </w:r>
          </w:p>
          <w:p w14:paraId="3B37C118">
            <w:pPr>
              <w:numPr>
                <w:ilvl w:val="0"/>
                <w:numId w:val="0"/>
              </w:numPr>
              <w:spacing w:line="360" w:lineRule="auto"/>
              <w:ind w:leftChars="0" w:right="0" w:rightChars="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2、项目组成员（项目负责人除外）具备通信相关专业的高级职称证书每提供一个计2分，具有通信相关专业的中级职称证书，每提供一个得1分，本项最多得4分。</w:t>
            </w:r>
          </w:p>
          <w:p w14:paraId="743483A3">
            <w:pPr>
              <w:numPr>
                <w:ilvl w:val="0"/>
                <w:numId w:val="0"/>
              </w:numPr>
              <w:spacing w:line="360" w:lineRule="auto"/>
              <w:ind w:leftChars="0" w:right="0" w:rightChars="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注：1.以上人员不重复计分；2.提供相关证明材料（职称证书以及近一年内任意一个月社保缴纳证明）复印件并加盖公章，未提供以上人员相关证明材料的，不得分。</w:t>
            </w:r>
          </w:p>
        </w:tc>
      </w:tr>
      <w:tr w14:paraId="0330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noWrap w:val="0"/>
            <w:vAlign w:val="center"/>
          </w:tcPr>
          <w:p w14:paraId="7277549D">
            <w:pPr>
              <w:spacing w:line="360" w:lineRule="auto"/>
              <w:ind w:left="0" w:leftChars="0" w:right="0" w:rightChars="0" w:firstLine="0" w:firstLineChars="0"/>
              <w:jc w:val="center"/>
              <w:rPr>
                <w:rFonts w:hint="default"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color w:val="auto"/>
                <w:sz w:val="24"/>
                <w:szCs w:val="24"/>
                <w:highlight w:val="none"/>
                <w:shd w:val="clear" w:color="auto" w:fill="FFFFFF"/>
                <w:lang w:val="en-US" w:eastAsia="zh-CN"/>
              </w:rPr>
              <w:t>10</w:t>
            </w:r>
          </w:p>
        </w:tc>
        <w:tc>
          <w:tcPr>
            <w:tcW w:w="1300" w:type="dxa"/>
            <w:shd w:val="clear" w:color="auto" w:fill="auto"/>
            <w:noWrap w:val="0"/>
            <w:vAlign w:val="center"/>
          </w:tcPr>
          <w:p w14:paraId="37D041EF">
            <w:pPr>
              <w:spacing w:line="360" w:lineRule="auto"/>
              <w:ind w:left="0" w:leftChars="0" w:right="0" w:rightChars="0" w:firstLine="0" w:firstLineChars="0"/>
              <w:jc w:val="center"/>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_GB2312" w:hAnsi="仿宋_GB2312" w:eastAsia="仿宋_GB2312" w:cs="仿宋_GB2312"/>
                <w:sz w:val="24"/>
                <w:szCs w:val="24"/>
                <w:highlight w:val="none"/>
                <w:lang w:val="en-US" w:eastAsia="zh-CN"/>
              </w:rPr>
              <w:t>综合实力</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分)</w:t>
            </w:r>
          </w:p>
        </w:tc>
        <w:tc>
          <w:tcPr>
            <w:tcW w:w="7303" w:type="dxa"/>
            <w:shd w:val="clear" w:color="auto" w:fill="auto"/>
            <w:noWrap w:val="0"/>
            <w:vAlign w:val="center"/>
          </w:tcPr>
          <w:p w14:paraId="66588095">
            <w:pPr>
              <w:numPr>
                <w:ilvl w:val="0"/>
                <w:numId w:val="0"/>
              </w:numPr>
              <w:spacing w:line="360" w:lineRule="auto"/>
              <w:ind w:left="0" w:leftChars="0" w:right="0" w:rightChars="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1、提供IS09001质量管理体系认证证书得1分，不提供不得分；</w:t>
            </w:r>
          </w:p>
          <w:p w14:paraId="6FB24162">
            <w:pPr>
              <w:numPr>
                <w:ilvl w:val="0"/>
                <w:numId w:val="0"/>
              </w:numPr>
              <w:spacing w:line="360" w:lineRule="auto"/>
              <w:ind w:left="0" w:leftChars="0" w:right="0" w:rightChars="0" w:firstLine="0" w:firstLineChars="0"/>
              <w:jc w:val="left"/>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2、提供IS027001信息安全管理体系认证证书得1分，不提供不得分；</w:t>
            </w:r>
          </w:p>
          <w:p w14:paraId="0D52F4D5">
            <w:pPr>
              <w:numPr>
                <w:ilvl w:val="0"/>
                <w:numId w:val="0"/>
              </w:numPr>
              <w:spacing w:line="360" w:lineRule="auto"/>
              <w:ind w:left="0" w:leftChars="0" w:right="0" w:rightChars="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本项最多得2分。</w:t>
            </w:r>
          </w:p>
          <w:p w14:paraId="09335865">
            <w:pPr>
              <w:numPr>
                <w:ilvl w:val="0"/>
                <w:numId w:val="0"/>
              </w:numPr>
              <w:spacing w:line="360" w:lineRule="auto"/>
              <w:ind w:left="0" w:leftChars="0" w:right="0" w:rightChars="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注：供应商需提供证书复印件加盖公章，不提供的不得分。</w:t>
            </w:r>
          </w:p>
        </w:tc>
      </w:tr>
      <w:tr w14:paraId="4ECA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C74CD5E">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11</w:t>
            </w:r>
          </w:p>
        </w:tc>
        <w:tc>
          <w:tcPr>
            <w:tcW w:w="1300" w:type="dxa"/>
            <w:noWrap w:val="0"/>
            <w:vAlign w:val="center"/>
          </w:tcPr>
          <w:p w14:paraId="4901E9A1">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类似业绩</w:t>
            </w:r>
          </w:p>
          <w:p w14:paraId="75DDEE02">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分)</w:t>
            </w:r>
          </w:p>
        </w:tc>
        <w:tc>
          <w:tcPr>
            <w:tcW w:w="7303" w:type="dxa"/>
            <w:noWrap w:val="0"/>
            <w:vAlign w:val="center"/>
          </w:tcPr>
          <w:p w14:paraId="70276331">
            <w:pPr>
              <w:spacing w:line="360" w:lineRule="auto"/>
              <w:ind w:left="0" w:leftChars="0" w:right="0" w:rightChars="0" w:firstLine="0" w:firstLineChars="0"/>
              <w:jc w:val="left"/>
              <w:rPr>
                <w:rFonts w:hint="eastAsia"/>
                <w:color w:val="auto"/>
                <w:highlight w:val="none"/>
              </w:rPr>
            </w:pPr>
            <w:r>
              <w:rPr>
                <w:rFonts w:hint="eastAsia" w:ascii="仿宋" w:hAnsi="仿宋" w:eastAsia="仿宋" w:cs="仿宋"/>
                <w:color w:val="auto"/>
                <w:sz w:val="24"/>
                <w:szCs w:val="24"/>
                <w:highlight w:val="none"/>
                <w:shd w:val="clear" w:color="auto" w:fill="FFFFFF"/>
                <w:lang w:val="en-US" w:eastAsia="zh-CN"/>
              </w:rPr>
              <w:t>供应商提供</w:t>
            </w: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年0</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rPr>
              <w:t>月01日至今承接过无线电频率使用率评价项目</w:t>
            </w:r>
            <w:r>
              <w:rPr>
                <w:rFonts w:hint="eastAsia" w:ascii="仿宋" w:hAnsi="仿宋" w:eastAsia="仿宋" w:cs="仿宋"/>
                <w:color w:val="auto"/>
                <w:sz w:val="24"/>
                <w:szCs w:val="24"/>
                <w:highlight w:val="none"/>
                <w:shd w:val="clear" w:color="auto" w:fill="FFFFFF"/>
                <w:lang w:val="en-US" w:eastAsia="zh-CN"/>
              </w:rPr>
              <w:t>类似业绩（以合同签订日期为准），</w:t>
            </w:r>
            <w:r>
              <w:rPr>
                <w:rFonts w:hint="eastAsia" w:ascii="仿宋" w:hAnsi="仿宋" w:eastAsia="仿宋" w:cs="仿宋"/>
                <w:color w:val="auto"/>
                <w:sz w:val="24"/>
                <w:szCs w:val="24"/>
                <w:highlight w:val="none"/>
                <w:shd w:val="clear" w:color="auto" w:fill="FFFFFF"/>
              </w:rPr>
              <w:t>每</w:t>
            </w:r>
            <w:r>
              <w:rPr>
                <w:rFonts w:hint="eastAsia" w:ascii="仿宋" w:hAnsi="仿宋" w:eastAsia="仿宋" w:cs="仿宋"/>
                <w:color w:val="auto"/>
                <w:sz w:val="24"/>
                <w:szCs w:val="24"/>
                <w:highlight w:val="none"/>
                <w:shd w:val="clear" w:color="auto" w:fill="FFFFFF"/>
                <w:lang w:val="en-US" w:eastAsia="zh-CN"/>
              </w:rPr>
              <w:t>提供1</w:t>
            </w:r>
            <w:r>
              <w:rPr>
                <w:rFonts w:hint="eastAsia" w:ascii="仿宋" w:hAnsi="仿宋" w:eastAsia="仿宋" w:cs="仿宋"/>
                <w:color w:val="auto"/>
                <w:sz w:val="24"/>
                <w:szCs w:val="24"/>
                <w:highlight w:val="none"/>
                <w:shd w:val="clear" w:color="auto" w:fill="FFFFFF"/>
              </w:rPr>
              <w:t>个</w:t>
            </w:r>
            <w:r>
              <w:rPr>
                <w:rFonts w:hint="eastAsia" w:ascii="仿宋" w:hAnsi="仿宋" w:eastAsia="仿宋" w:cs="仿宋"/>
                <w:color w:val="auto"/>
                <w:sz w:val="24"/>
                <w:szCs w:val="24"/>
                <w:highlight w:val="none"/>
                <w:shd w:val="clear" w:color="auto" w:fill="FFFFFF"/>
                <w:lang w:val="en-US" w:eastAsia="zh-CN"/>
              </w:rPr>
              <w:t>得1</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提供合同复印件并加盖公章，</w:t>
            </w:r>
            <w:r>
              <w:rPr>
                <w:rFonts w:hint="eastAsia" w:ascii="仿宋" w:hAnsi="仿宋" w:eastAsia="仿宋" w:cs="仿宋"/>
                <w:color w:val="auto"/>
                <w:sz w:val="24"/>
                <w:szCs w:val="24"/>
                <w:highlight w:val="none"/>
                <w:shd w:val="clear" w:color="auto" w:fill="FFFFFF"/>
              </w:rPr>
              <w:t>满分</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分。</w:t>
            </w:r>
          </w:p>
        </w:tc>
      </w:tr>
      <w:tr w14:paraId="6F21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3" w:type="dxa"/>
            <w:gridSpan w:val="3"/>
            <w:noWrap w:val="0"/>
            <w:vAlign w:val="center"/>
          </w:tcPr>
          <w:p w14:paraId="587AEA9E">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1）各评委独立打分。</w:t>
            </w:r>
          </w:p>
          <w:p w14:paraId="2BB3E2EE">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2）评委打分超过得分界限或未按本表规定赋分时，该评委的打分无效，不计入汇总分。</w:t>
            </w:r>
          </w:p>
          <w:p w14:paraId="76EE7CB2">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3）若出现综合得分相同的，按</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报价由低到高顺序排列名次；得分且</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报价相同的，按技术指标得分顺序排列名次。</w:t>
            </w:r>
          </w:p>
          <w:p w14:paraId="09CFB7F5">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4）最终结果数字保留二位小数，第三位“四舍五入”。</w:t>
            </w:r>
          </w:p>
        </w:tc>
      </w:tr>
    </w:tbl>
    <w:p w14:paraId="4F6C7FD2">
      <w:pPr>
        <w:spacing w:line="460" w:lineRule="exact"/>
        <w:rPr>
          <w:rFonts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4BB5C2AC">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 xml:space="preserve">根据《政府采购促进中小企业发展管理办法》（财库[2020]46 </w:t>
      </w:r>
      <w:r>
        <w:rPr>
          <w:rFonts w:hint="default" w:ascii="仿宋" w:hAnsi="仿宋" w:eastAsia="仿宋" w:cs="仿宋"/>
          <w:sz w:val="24"/>
          <w:szCs w:val="24"/>
          <w:highlight w:val="none"/>
          <w:lang w:val="en-US" w:eastAsia="zh-CN"/>
        </w:rPr>
        <w:t>号）</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sz w:val="24"/>
          <w:szCs w:val="24"/>
          <w:highlight w:val="none"/>
          <w:lang w:val="en-US" w:eastAsia="zh-CN"/>
        </w:rPr>
        <w:t>6%-10%</w:t>
      </w:r>
      <w:r>
        <w:rPr>
          <w:rFonts w:hint="default" w:ascii="仿宋" w:hAnsi="仿宋" w:eastAsia="仿宋" w:cs="仿宋"/>
          <w:sz w:val="24"/>
          <w:szCs w:val="24"/>
          <w:highlight w:val="none"/>
          <w:lang w:val="en-US" w:eastAsia="zh-CN"/>
        </w:rPr>
        <w:t>的价格扣除，工程项目给予3</w:t>
      </w: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sz w:val="24"/>
          <w:szCs w:val="24"/>
          <w:highlight w:val="none"/>
          <w:lang w:val="en-US" w:eastAsia="zh-CN"/>
        </w:rPr>
        <w:t>2%-3%</w:t>
      </w:r>
      <w:r>
        <w:rPr>
          <w:rFonts w:hint="default" w:ascii="仿宋" w:hAnsi="仿宋" w:eastAsia="仿宋" w:cs="仿宋"/>
          <w:sz w:val="24"/>
          <w:szCs w:val="24"/>
          <w:highlight w:val="none"/>
          <w:lang w:val="en-US" w:eastAsia="zh-CN"/>
        </w:rPr>
        <w:t xml:space="preserve">的扣除，工程项目为 </w:t>
      </w:r>
      <w:r>
        <w:rPr>
          <w:rFonts w:hint="eastAsia" w:ascii="仿宋" w:hAnsi="仿宋" w:eastAsia="仿宋" w:cs="仿宋"/>
          <w:sz w:val="24"/>
          <w:szCs w:val="24"/>
          <w:highlight w:val="none"/>
          <w:lang w:val="en-US" w:eastAsia="zh-CN"/>
        </w:rPr>
        <w:t>1%-2%</w:t>
      </w:r>
      <w:r>
        <w:rPr>
          <w:rFonts w:hint="default" w:ascii="仿宋" w:hAnsi="仿宋" w:eastAsia="仿宋" w:cs="仿宋"/>
          <w:sz w:val="24"/>
          <w:szCs w:val="24"/>
          <w:highlight w:val="none"/>
          <w:lang w:val="en-US" w:eastAsia="zh-CN"/>
        </w:rPr>
        <w:t>的扣除。联合体各方均为小型、微型企业的，联合体视同为小型、微型企业。组成联合体或者接受分包的小微企业与联合体内其他企业、分包企业之间存在直接控股、管理关系的，不享受价格扣除优惠政策。</w:t>
      </w:r>
    </w:p>
    <w:p w14:paraId="32495043">
      <w:pPr>
        <w:spacing w:line="360" w:lineRule="auto"/>
        <w:ind w:firstLine="480" w:firstLineChars="20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根据《关于进一步加大政府采购支持中小企业力度的通知》（财库</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2022</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19 号）的有关规定，货物服务采购项目给予小微企业的价格扣除优惠，由财库</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2020</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sz w:val="24"/>
          <w:szCs w:val="24"/>
          <w:highlight w:val="none"/>
          <w:lang w:val="en-US" w:eastAsia="zh-CN"/>
        </w:rPr>
        <w:t>[2020]</w:t>
      </w:r>
      <w:r>
        <w:rPr>
          <w:rFonts w:hint="default" w:ascii="仿宋" w:hAnsi="仿宋" w:eastAsia="仿宋" w:cs="仿宋"/>
          <w:sz w:val="24"/>
          <w:szCs w:val="24"/>
          <w:highlight w:val="none"/>
          <w:lang w:val="en-US" w:eastAsia="zh-CN"/>
        </w:rPr>
        <w:t xml:space="preserve">46 号文件的规定执行。 </w:t>
      </w:r>
    </w:p>
    <w:p w14:paraId="3F9455E0">
      <w:pPr>
        <w:spacing w:line="360" w:lineRule="auto"/>
        <w:ind w:firstLine="482" w:firstLineChars="200"/>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参加政府采购活动的中小企业应提供《中小企业声明函》原件。未提供上述声明函原件的，</w:t>
      </w:r>
      <w:r>
        <w:rPr>
          <w:rFonts w:hint="eastAsia" w:ascii="仿宋" w:hAnsi="仿宋" w:eastAsia="仿宋" w:cs="仿宋"/>
          <w:b/>
          <w:bCs/>
          <w:sz w:val="24"/>
          <w:szCs w:val="24"/>
          <w:highlight w:val="none"/>
          <w:lang w:val="en-US" w:eastAsia="zh-CN"/>
        </w:rPr>
        <w:t>则不享受政策</w:t>
      </w:r>
      <w:r>
        <w:rPr>
          <w:rFonts w:hint="default" w:ascii="仿宋" w:hAnsi="仿宋" w:eastAsia="仿宋" w:cs="仿宋"/>
          <w:b/>
          <w:bCs/>
          <w:sz w:val="24"/>
          <w:szCs w:val="24"/>
          <w:highlight w:val="none"/>
          <w:lang w:val="en-US" w:eastAsia="zh-CN"/>
        </w:rPr>
        <w:t>。</w:t>
      </w:r>
    </w:p>
    <w:p w14:paraId="3CC09D6F">
      <w:pPr>
        <w:spacing w:line="360" w:lineRule="auto"/>
        <w:ind w:firstLine="480" w:firstLineChars="20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备注：中小企业划分标准参照《中小企业划型标准规定》（工信部联企业</w:t>
      </w:r>
      <w:r>
        <w:rPr>
          <w:rFonts w:hint="eastAsia" w:ascii="仿宋" w:hAnsi="仿宋" w:eastAsia="仿宋" w:cs="仿宋"/>
          <w:sz w:val="24"/>
          <w:szCs w:val="24"/>
          <w:highlight w:val="none"/>
          <w:lang w:val="en-US" w:eastAsia="zh-CN"/>
        </w:rPr>
        <w:t>[2011]300</w:t>
      </w:r>
      <w:r>
        <w:rPr>
          <w:rFonts w:hint="default" w:ascii="仿宋" w:hAnsi="仿宋" w:eastAsia="仿宋" w:cs="仿宋"/>
          <w:sz w:val="24"/>
          <w:szCs w:val="24"/>
          <w:highlight w:val="none"/>
          <w:lang w:val="en-US" w:eastAsia="zh-CN"/>
        </w:rPr>
        <w:t xml:space="preserve">号）执行。 </w:t>
      </w:r>
    </w:p>
    <w:p w14:paraId="68B07BA6">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2、监狱企业应符合《财政部司法部关于政府采购支持监狱企业发展有关问题的通知》（财库</w:t>
      </w:r>
      <w:r>
        <w:rPr>
          <w:rFonts w:hint="eastAsia" w:ascii="仿宋" w:hAnsi="仿宋" w:eastAsia="仿宋" w:cs="仿宋"/>
          <w:sz w:val="24"/>
          <w:szCs w:val="24"/>
          <w:highlight w:val="none"/>
          <w:lang w:val="en-US" w:eastAsia="zh-CN"/>
        </w:rPr>
        <w:t>[2014]68</w:t>
      </w:r>
      <w:r>
        <w:rPr>
          <w:rFonts w:hint="default" w:ascii="仿宋" w:hAnsi="仿宋" w:eastAsia="仿宋" w:cs="仿宋"/>
          <w:sz w:val="24"/>
          <w:szCs w:val="24"/>
          <w:highlight w:val="none"/>
          <w:lang w:val="en-US" w:eastAsia="zh-CN"/>
        </w:rPr>
        <w:t>号）文件规定，并提供由省级以上监狱管理局、戒毒管理局(含新疆生产建设兵团)出具的属于</w:t>
      </w:r>
      <w:r>
        <w:rPr>
          <w:rFonts w:hint="default" w:ascii="仿宋" w:hAnsi="仿宋" w:eastAsia="仿宋" w:cs="仿宋"/>
          <w:b/>
          <w:bCs/>
          <w:sz w:val="24"/>
          <w:szCs w:val="24"/>
          <w:highlight w:val="none"/>
          <w:lang w:val="en-US" w:eastAsia="zh-CN"/>
        </w:rPr>
        <w:t>监狱企业的证明文件</w:t>
      </w:r>
      <w:r>
        <w:rPr>
          <w:rFonts w:hint="default" w:ascii="仿宋" w:hAnsi="仿宋" w:eastAsia="仿宋" w:cs="仿宋"/>
          <w:sz w:val="24"/>
          <w:szCs w:val="24"/>
          <w:highlight w:val="none"/>
          <w:lang w:val="en-US" w:eastAsia="zh-CN"/>
        </w:rPr>
        <w:t xml:space="preserve">复印件，监狱和戒毒企业视同小型、微型企业。 </w:t>
      </w:r>
    </w:p>
    <w:p w14:paraId="401AF42C">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3、根据财政部、民政部、中国残疾人联合会下发的《关于促进残疾人就业政府采购政策的通知》（财库</w:t>
      </w:r>
      <w:r>
        <w:rPr>
          <w:rFonts w:hint="eastAsia" w:ascii="仿宋" w:hAnsi="仿宋" w:eastAsia="仿宋" w:cs="仿宋"/>
          <w:sz w:val="24"/>
          <w:szCs w:val="24"/>
          <w:highlight w:val="none"/>
          <w:lang w:val="en-US" w:eastAsia="zh-CN"/>
        </w:rPr>
        <w:t xml:space="preserve">[2017]141 </w:t>
      </w:r>
      <w:r>
        <w:rPr>
          <w:rFonts w:hint="default" w:ascii="仿宋" w:hAnsi="仿宋" w:eastAsia="仿宋" w:cs="仿宋"/>
          <w:sz w:val="24"/>
          <w:szCs w:val="24"/>
          <w:highlight w:val="none"/>
          <w:lang w:val="en-US" w:eastAsia="zh-CN"/>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4A6106">
      <w:pPr>
        <w:spacing w:line="360" w:lineRule="auto"/>
        <w:ind w:firstLine="482" w:firstLineChars="200"/>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参加政府采购活动的残疾人单位应提供《残疾人福利性单位声明函》 原件。未提供上述声明函原件，</w:t>
      </w:r>
      <w:r>
        <w:rPr>
          <w:rFonts w:hint="eastAsia" w:ascii="仿宋" w:hAnsi="仿宋" w:eastAsia="仿宋" w:cs="仿宋"/>
          <w:b/>
          <w:bCs/>
          <w:sz w:val="24"/>
          <w:szCs w:val="24"/>
          <w:highlight w:val="none"/>
          <w:lang w:val="en-US" w:eastAsia="zh-CN"/>
        </w:rPr>
        <w:t>则不享受政策</w:t>
      </w:r>
      <w:r>
        <w:rPr>
          <w:rFonts w:hint="default" w:ascii="仿宋" w:hAnsi="仿宋" w:eastAsia="仿宋" w:cs="仿宋"/>
          <w:b/>
          <w:bCs/>
          <w:sz w:val="24"/>
          <w:szCs w:val="24"/>
          <w:highlight w:val="none"/>
          <w:lang w:val="en-US" w:eastAsia="zh-CN"/>
        </w:rPr>
        <w:t>。</w:t>
      </w:r>
    </w:p>
    <w:p w14:paraId="6C800E14">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4、根据财政部、国家发展改革委《关于印发〈节能产品政府采购实施意见〉的通知》（财库</w:t>
      </w:r>
      <w:r>
        <w:rPr>
          <w:rFonts w:hint="eastAsia" w:ascii="仿宋" w:hAnsi="仿宋" w:eastAsia="仿宋" w:cs="仿宋"/>
          <w:sz w:val="24"/>
          <w:szCs w:val="24"/>
          <w:highlight w:val="none"/>
          <w:lang w:val="en-US" w:eastAsia="zh-CN"/>
        </w:rPr>
        <w:t xml:space="preserve">[2004]185 </w:t>
      </w:r>
      <w:r>
        <w:rPr>
          <w:rFonts w:hint="default" w:ascii="仿宋" w:hAnsi="仿宋" w:eastAsia="仿宋" w:cs="仿宋"/>
          <w:sz w:val="24"/>
          <w:szCs w:val="24"/>
          <w:highlight w:val="none"/>
          <w:lang w:val="en-US" w:eastAsia="zh-CN"/>
        </w:rPr>
        <w:t xml:space="preserve">号）规定“政府采购属于节能产品品目清单的，在技术、服务等指标同等条件下，应当优先采购节能品目清单的节能产品。” </w:t>
      </w:r>
    </w:p>
    <w:p w14:paraId="72F7E3DB">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5、根据财政部、国家环保总局联合印发《关于环境标志产品政府采购实施的意见》（财库</w:t>
      </w:r>
      <w:r>
        <w:rPr>
          <w:rFonts w:hint="eastAsia" w:ascii="仿宋" w:hAnsi="仿宋" w:eastAsia="仿宋" w:cs="仿宋"/>
          <w:sz w:val="24"/>
          <w:szCs w:val="24"/>
          <w:highlight w:val="none"/>
          <w:lang w:val="en-US" w:eastAsia="zh-CN"/>
        </w:rPr>
        <w:t xml:space="preserve">[2006]90 </w:t>
      </w:r>
      <w:r>
        <w:rPr>
          <w:rFonts w:hint="default" w:ascii="仿宋" w:hAnsi="仿宋" w:eastAsia="仿宋" w:cs="仿宋"/>
          <w:sz w:val="24"/>
          <w:szCs w:val="24"/>
          <w:highlight w:val="none"/>
          <w:lang w:val="en-US" w:eastAsia="zh-CN"/>
        </w:rPr>
        <w:t xml:space="preserve">号）规定“采购人采购的产品属于环境标志产品政府采购清单中品目的，在性能、技术、服务等指标同等条件下，应当优先采购清单中的产品。” </w:t>
      </w:r>
    </w:p>
    <w:p w14:paraId="5E144F12">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6、根据财政部、国家发改委、生态环境部、市场监管总局联合印发《关于调整优化节能产品、环境标志产品政府采购执行机制的通知》（财库</w:t>
      </w:r>
      <w:r>
        <w:rPr>
          <w:rFonts w:hint="eastAsia" w:ascii="仿宋" w:hAnsi="仿宋" w:eastAsia="仿宋" w:cs="仿宋"/>
          <w:sz w:val="24"/>
          <w:szCs w:val="24"/>
          <w:highlight w:val="none"/>
          <w:lang w:val="en-US" w:eastAsia="zh-CN"/>
        </w:rPr>
        <w:t>[2019]9</w:t>
      </w:r>
      <w:r>
        <w:rPr>
          <w:rFonts w:hint="default" w:ascii="仿宋" w:hAnsi="仿宋" w:eastAsia="仿宋" w:cs="仿宋"/>
          <w:sz w:val="24"/>
          <w:szCs w:val="24"/>
          <w:highlight w:val="none"/>
          <w:lang w:val="en-US" w:eastAsia="zh-CN"/>
        </w:rPr>
        <w:t xml:space="preserve">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0160CF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7、根据国务院办公厅《关于建立政府强制采购节能产品制度的通知》（国办发</w:t>
      </w:r>
      <w:r>
        <w:rPr>
          <w:rFonts w:hint="eastAsia" w:ascii="仿宋" w:hAnsi="仿宋" w:eastAsia="仿宋" w:cs="仿宋"/>
          <w:sz w:val="24"/>
          <w:szCs w:val="24"/>
          <w:highlight w:val="none"/>
          <w:lang w:val="en-US" w:eastAsia="zh-CN"/>
        </w:rPr>
        <w:t>[2007]51</w:t>
      </w:r>
      <w:r>
        <w:rPr>
          <w:rFonts w:hint="default" w:ascii="仿宋" w:hAnsi="仿宋" w:eastAsia="仿宋" w:cs="仿宋"/>
          <w:sz w:val="24"/>
          <w:szCs w:val="24"/>
          <w:highlight w:val="none"/>
          <w:lang w:val="en-US" w:eastAsia="zh-CN"/>
        </w:rPr>
        <w:t xml:space="preserve">号）有关要求，在技术、服务等指标满足采购需求的前提下，要优先采购节能产品，对部分节能效果、性能等达到要求的产品，实行强制采购。 </w:t>
      </w:r>
    </w:p>
    <w:p w14:paraId="73BA379D">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8、节能产品政府采购品目清单详见财政部、发展改革委《关于印发节能产品政府采购品目清单的通知》（财库</w:t>
      </w:r>
      <w:r>
        <w:rPr>
          <w:rFonts w:hint="eastAsia" w:ascii="仿宋" w:hAnsi="仿宋" w:eastAsia="仿宋" w:cs="仿宋"/>
          <w:sz w:val="24"/>
          <w:szCs w:val="24"/>
          <w:highlight w:val="none"/>
          <w:lang w:val="en-US" w:eastAsia="zh-CN"/>
        </w:rPr>
        <w:t>[2019]19</w:t>
      </w:r>
      <w:r>
        <w:rPr>
          <w:rFonts w:hint="default" w:ascii="仿宋" w:hAnsi="仿宋" w:eastAsia="仿宋" w:cs="仿宋"/>
          <w:sz w:val="24"/>
          <w:szCs w:val="24"/>
          <w:highlight w:val="none"/>
          <w:lang w:val="en-US" w:eastAsia="zh-CN"/>
        </w:rPr>
        <w:t xml:space="preserve">号）。 </w:t>
      </w:r>
    </w:p>
    <w:p w14:paraId="3944BDAE">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9、环境标志产品政府采购品目清单详见财政部、生态环境部《关于印发环境标志产品政府采购品目清单的通知》（财库</w:t>
      </w:r>
      <w:r>
        <w:rPr>
          <w:rFonts w:hint="eastAsia" w:ascii="仿宋" w:hAnsi="仿宋" w:eastAsia="仿宋" w:cs="仿宋"/>
          <w:sz w:val="24"/>
          <w:szCs w:val="24"/>
          <w:highlight w:val="none"/>
          <w:lang w:val="en-US" w:eastAsia="zh-CN"/>
        </w:rPr>
        <w:t xml:space="preserve">[2019]18 </w:t>
      </w:r>
      <w:r>
        <w:rPr>
          <w:rFonts w:hint="default" w:ascii="仿宋" w:hAnsi="仿宋" w:eastAsia="仿宋" w:cs="仿宋"/>
          <w:sz w:val="24"/>
          <w:szCs w:val="24"/>
          <w:highlight w:val="none"/>
          <w:lang w:val="en-US" w:eastAsia="zh-CN"/>
        </w:rPr>
        <w:t xml:space="preserve">号）。 </w:t>
      </w:r>
    </w:p>
    <w:p w14:paraId="453D59C2">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10、国家确定的节能产品、环境标志产品认证机构详见市场监管总局《关于发布参与实施政府采购节能产品、环境标志产品认证机构名录的公告》（</w:t>
      </w:r>
      <w:r>
        <w:rPr>
          <w:rFonts w:hint="eastAsia" w:ascii="仿宋" w:hAnsi="仿宋" w:eastAsia="仿宋" w:cs="仿宋"/>
          <w:sz w:val="24"/>
          <w:szCs w:val="24"/>
          <w:highlight w:val="none"/>
          <w:lang w:val="en-US" w:eastAsia="zh-CN"/>
        </w:rPr>
        <w:t>2019</w:t>
      </w:r>
      <w:r>
        <w:rPr>
          <w:rFonts w:hint="default" w:ascii="仿宋" w:hAnsi="仿宋" w:eastAsia="仿宋" w:cs="仿宋"/>
          <w:sz w:val="24"/>
          <w:szCs w:val="24"/>
          <w:highlight w:val="none"/>
          <w:lang w:val="en-US" w:eastAsia="zh-CN"/>
        </w:rPr>
        <w:t>年第</w:t>
      </w:r>
      <w:r>
        <w:rPr>
          <w:rFonts w:hint="eastAsia" w:ascii="仿宋" w:hAnsi="仿宋" w:eastAsia="仿宋" w:cs="仿宋"/>
          <w:sz w:val="24"/>
          <w:szCs w:val="24"/>
          <w:highlight w:val="none"/>
          <w:lang w:val="en-US" w:eastAsia="zh-CN"/>
        </w:rPr>
        <w:t xml:space="preserve">16 </w:t>
      </w:r>
      <w:r>
        <w:rPr>
          <w:rFonts w:hint="default" w:ascii="仿宋" w:hAnsi="仿宋" w:eastAsia="仿宋" w:cs="仿宋"/>
          <w:sz w:val="24"/>
          <w:szCs w:val="24"/>
          <w:highlight w:val="none"/>
          <w:lang w:val="en-US" w:eastAsia="zh-CN"/>
        </w:rPr>
        <w:t xml:space="preserve">号）。 </w:t>
      </w:r>
    </w:p>
    <w:p w14:paraId="3C31F2DC">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11、 根据《财政部 农业农村部 国家乡村振兴局关于运用政府采购政策支持乡村产业振兴的通知》（财库</w:t>
      </w:r>
      <w:r>
        <w:rPr>
          <w:rFonts w:hint="eastAsia" w:ascii="仿宋" w:hAnsi="仿宋" w:eastAsia="仿宋" w:cs="仿宋"/>
          <w:sz w:val="24"/>
          <w:szCs w:val="24"/>
          <w:highlight w:val="none"/>
          <w:lang w:val="en-US" w:eastAsia="zh-CN"/>
        </w:rPr>
        <w:t xml:space="preserve">[2021]19 </w:t>
      </w:r>
      <w:r>
        <w:rPr>
          <w:rFonts w:hint="default" w:ascii="仿宋" w:hAnsi="仿宋" w:eastAsia="仿宋" w:cs="仿宋"/>
          <w:sz w:val="24"/>
          <w:szCs w:val="24"/>
          <w:highlight w:val="none"/>
          <w:lang w:val="en-US" w:eastAsia="zh-CN"/>
        </w:rPr>
        <w:t>号），自</w:t>
      </w:r>
      <w:r>
        <w:rPr>
          <w:rFonts w:hint="eastAsia" w:ascii="仿宋" w:hAnsi="仿宋" w:eastAsia="仿宋" w:cs="仿宋"/>
          <w:sz w:val="24"/>
          <w:szCs w:val="24"/>
          <w:highlight w:val="none"/>
          <w:lang w:val="en-US" w:eastAsia="zh-CN"/>
        </w:rPr>
        <w:t>2021</w:t>
      </w:r>
      <w:r>
        <w:rPr>
          <w:rFonts w:hint="default" w:ascii="仿宋" w:hAnsi="仿宋" w:eastAsia="仿宋" w:cs="仿宋"/>
          <w:sz w:val="24"/>
          <w:szCs w:val="24"/>
          <w:highlight w:val="none"/>
          <w:lang w:val="en-US" w:eastAsia="zh-CN"/>
        </w:rPr>
        <w:t>年起，各级预算单位应当按照不低于</w:t>
      </w:r>
      <w:r>
        <w:rPr>
          <w:rFonts w:hint="eastAsia" w:ascii="仿宋" w:hAnsi="仿宋" w:eastAsia="仿宋" w:cs="仿宋"/>
          <w:sz w:val="24"/>
          <w:szCs w:val="24"/>
          <w:highlight w:val="none"/>
          <w:lang w:val="en-US" w:eastAsia="zh-CN"/>
        </w:rPr>
        <w:t>10%</w:t>
      </w:r>
      <w:r>
        <w:rPr>
          <w:rFonts w:hint="default" w:ascii="仿宋" w:hAnsi="仿宋" w:eastAsia="仿宋" w:cs="仿宋"/>
          <w:sz w:val="24"/>
          <w:szCs w:val="24"/>
          <w:highlight w:val="none"/>
          <w:lang w:val="en-US" w:eastAsia="zh-CN"/>
        </w:rPr>
        <w:t>的比例预留年度食堂食材采购份额，通过脱贫地区农副产品网络销售平台采购脱贫地区农副产品</w:t>
      </w:r>
      <w:r>
        <w:rPr>
          <w:rFonts w:hint="eastAsia" w:ascii="仿宋" w:hAnsi="仿宋" w:eastAsia="仿宋" w:cs="仿宋"/>
          <w:sz w:val="24"/>
          <w:szCs w:val="24"/>
          <w:highlight w:val="none"/>
          <w:lang w:val="en-US" w:eastAsia="zh-CN"/>
        </w:rPr>
        <w:t>。</w:t>
      </w:r>
    </w:p>
    <w:p w14:paraId="23241E75">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12、根据《财政部农业农村部国家乡村振兴局中华全国供销合作总社关于印发&lt;关于深入开展政府采购脱贫地区农副产品工作推进乡村产业振兴的实施意见&gt;的通知》（财库</w:t>
      </w:r>
      <w:r>
        <w:rPr>
          <w:rFonts w:hint="eastAsia" w:ascii="仿宋" w:hAnsi="仿宋" w:eastAsia="仿宋" w:cs="仿宋"/>
          <w:sz w:val="24"/>
          <w:szCs w:val="24"/>
          <w:highlight w:val="none"/>
          <w:lang w:val="en-US" w:eastAsia="zh-CN"/>
        </w:rPr>
        <w:t xml:space="preserve">[2021]20 </w:t>
      </w:r>
      <w:r>
        <w:rPr>
          <w:rFonts w:hint="default" w:ascii="仿宋" w:hAnsi="仿宋" w:eastAsia="仿宋" w:cs="仿宋"/>
          <w:sz w:val="24"/>
          <w:szCs w:val="24"/>
          <w:highlight w:val="none"/>
          <w:lang w:val="en-US" w:eastAsia="zh-CN"/>
        </w:rPr>
        <w:t>号），各级预算单位要按照不低于10%的预留比例在“</w:t>
      </w:r>
      <w:r>
        <w:rPr>
          <w:rFonts w:hint="eastAsia" w:ascii="仿宋" w:hAnsi="仿宋" w:eastAsia="仿宋" w:cs="仿宋"/>
          <w:sz w:val="24"/>
          <w:szCs w:val="24"/>
          <w:highlight w:val="none"/>
          <w:lang w:val="en-US" w:eastAsia="zh-CN"/>
        </w:rPr>
        <w:t xml:space="preserve">832 </w:t>
      </w:r>
      <w:r>
        <w:rPr>
          <w:rFonts w:hint="default" w:ascii="仿宋" w:hAnsi="仿宋" w:eastAsia="仿宋" w:cs="仿宋"/>
          <w:sz w:val="24"/>
          <w:szCs w:val="24"/>
          <w:highlight w:val="none"/>
          <w:lang w:val="en-US" w:eastAsia="zh-CN"/>
        </w:rPr>
        <w:t>平台”填报预留份额。鼓励各级预算单位工会组织通过“</w:t>
      </w:r>
      <w:r>
        <w:rPr>
          <w:rFonts w:hint="eastAsia" w:ascii="仿宋" w:hAnsi="仿宋" w:eastAsia="仿宋" w:cs="仿宋"/>
          <w:sz w:val="24"/>
          <w:szCs w:val="24"/>
          <w:highlight w:val="none"/>
          <w:lang w:val="en-US" w:eastAsia="zh-CN"/>
        </w:rPr>
        <w:t xml:space="preserve">832 </w:t>
      </w:r>
      <w:r>
        <w:rPr>
          <w:rFonts w:hint="default" w:ascii="仿宋" w:hAnsi="仿宋" w:eastAsia="仿宋" w:cs="仿宋"/>
          <w:sz w:val="24"/>
          <w:szCs w:val="24"/>
          <w:highlight w:val="none"/>
          <w:lang w:val="en-US" w:eastAsia="zh-CN"/>
        </w:rPr>
        <w:t xml:space="preserve">平台”采购工会福利、慰问品等，有关采购金额计入本单位年度采购总额。 </w:t>
      </w:r>
    </w:p>
    <w:p w14:paraId="3F2B0813">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br w:type="page"/>
      </w:r>
    </w:p>
    <w:p w14:paraId="4872A838">
      <w:pPr>
        <w:numPr>
          <w:ilvl w:val="0"/>
          <w:numId w:val="5"/>
        </w:numPr>
        <w:jc w:val="center"/>
        <w:outlineLvl w:val="0"/>
        <w:rPr>
          <w:rFonts w:hint="eastAsia" w:ascii="仿宋" w:hAnsi="仿宋" w:eastAsia="仿宋" w:cs="仿宋"/>
          <w:b/>
          <w:bCs/>
          <w:sz w:val="36"/>
          <w:szCs w:val="36"/>
          <w:highlight w:val="none"/>
        </w:rPr>
      </w:pPr>
      <w:bookmarkStart w:id="98" w:name="_Toc31900"/>
      <w:bookmarkStart w:id="99" w:name="_Toc18268"/>
      <w:r>
        <w:rPr>
          <w:rFonts w:hint="eastAsia" w:ascii="仿宋" w:hAnsi="仿宋" w:eastAsia="仿宋" w:cs="仿宋"/>
          <w:b/>
          <w:bCs/>
          <w:sz w:val="36"/>
          <w:szCs w:val="36"/>
          <w:highlight w:val="none"/>
          <w:lang w:val="en-US" w:eastAsia="zh-CN"/>
        </w:rPr>
        <w:t xml:space="preserve">  </w:t>
      </w:r>
      <w:bookmarkStart w:id="100" w:name="_Toc17984"/>
      <w:r>
        <w:rPr>
          <w:rFonts w:hint="eastAsia" w:ascii="仿宋" w:hAnsi="仿宋" w:eastAsia="仿宋" w:cs="仿宋"/>
          <w:b/>
          <w:bCs/>
          <w:sz w:val="36"/>
          <w:szCs w:val="36"/>
          <w:highlight w:val="none"/>
        </w:rPr>
        <w:t>磋商要求及说明</w:t>
      </w:r>
      <w:bookmarkEnd w:id="41"/>
      <w:bookmarkEnd w:id="42"/>
      <w:bookmarkEnd w:id="43"/>
      <w:bookmarkEnd w:id="98"/>
      <w:bookmarkEnd w:id="99"/>
      <w:bookmarkEnd w:id="100"/>
      <w:bookmarkStart w:id="101" w:name="_Toc13278"/>
      <w:bookmarkStart w:id="102" w:name="_Toc12426"/>
      <w:bookmarkStart w:id="103" w:name="_Toc519156757"/>
    </w:p>
    <w:p w14:paraId="31D56486">
      <w:pPr>
        <w:shd w:val="clear"/>
        <w:spacing w:line="360" w:lineRule="auto"/>
        <w:ind w:firstLine="482" w:firstLineChars="200"/>
        <w:outlineLvl w:val="9"/>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一、项目概述</w:t>
      </w:r>
    </w:p>
    <w:p w14:paraId="61600970">
      <w:pPr>
        <w:shd w:val="clear"/>
        <w:spacing w:line="360" w:lineRule="auto"/>
        <w:ind w:firstLine="480" w:firstLineChars="200"/>
        <w:outlineLvl w:val="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国家无线电办公室关于开展2025年度公众移动通信系统无线电频率使用率评价和频谱地图应用系统扩大试点工作的通知》（国无办函〔2025〕72号）（以下简称“《工作通知》”）、《工业和信息化部关于印发〈公众移动通信系统无线电频率使用率评价办法（试行）〉的通知》（工信部无〔2022〕150号）（以下简称“《评价办法》”）要求，陕西省拟开展2025年度公众移动通信系统无线电频率使用率评价服务项目，通过采购技术服务，协助开展2025年度公众移动通信系统无线电频率使用率评价工作，进一步提高公众移动通信系统无线电频率使用效率，促进频谱资源的有效利用，有效提高频谱资源的综合效益，更好推动公众移动通信产业的发展。</w:t>
      </w:r>
    </w:p>
    <w:p w14:paraId="512DA79A">
      <w:pPr>
        <w:shd w:val="clear"/>
        <w:spacing w:line="360" w:lineRule="auto"/>
        <w:ind w:firstLine="482" w:firstLineChars="200"/>
        <w:outlineLvl w:val="9"/>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二、总体要求</w:t>
      </w:r>
    </w:p>
    <w:p w14:paraId="1B497397">
      <w:pPr>
        <w:shd w:val="clear"/>
        <w:spacing w:line="360" w:lineRule="auto"/>
        <w:ind w:firstLine="480" w:firstLineChars="200"/>
        <w:outlineLvl w:val="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根据《工作通知》、《评价办法》及陕西省相关要求，协助采购人开展2025年度陕西省公众移动通信系统无线电频率使用率评价工作。</w:t>
      </w:r>
    </w:p>
    <w:p w14:paraId="1BC83895">
      <w:pPr>
        <w:shd w:val="clear"/>
        <w:spacing w:line="360" w:lineRule="auto"/>
        <w:ind w:firstLine="482" w:firstLineChars="200"/>
        <w:outlineLvl w:val="9"/>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三、工作内容</w:t>
      </w:r>
    </w:p>
    <w:p w14:paraId="1AD6D5F0">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在2025年度陕西省公众移动通信频率使用率评价工作中提供以下支撑服务。</w:t>
      </w:r>
    </w:p>
    <w:p w14:paraId="728DEFA1">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1、制定陕西省评价工作方案。结合陕西省实际情况，制定陕西省公众移动通信系统无线电频率使用率评价工作方案（2025年度）。</w:t>
      </w:r>
    </w:p>
    <w:p w14:paraId="33DA907D">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2、协助组织召开运营商工作部署会。编制工作部署会课件，做好《评价办法》等相关政策宣贯工作，介绍国家工作及评价要求、省级工作计划、明确各方工作内容和时间节点。</w:t>
      </w:r>
    </w:p>
    <w:p w14:paraId="0DBD4E65">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3、进行数据规范性校验。协助收集基站级别数据，进行数据规范性校验，形成数据规范性书面反馈材料，沟通运营商整改，协助数据清洗。</w:t>
      </w:r>
    </w:p>
    <w:p w14:paraId="5F189DF8">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4、进行数据准确性验证。一是组织某市级固定监测站进行监测，对频段占用数据进行验证，以课件的形式，给出监测验证要求，负责进行监测结果和报送数据结果的比对。二是负责开展某市移动测试，利用专用设备（供应商提供），采集基站信令数据进行解码分析，采集不少于5000个基站扇区信息，对基站数据准确性进行验证。形成数据准确性书面反馈材料，沟通运营商整改。</w:t>
      </w:r>
    </w:p>
    <w:p w14:paraId="384083D7">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5、负责计算评价指标结果。利用专用软件（供应商提供），完成数据分析工作，正确计算公众移动通信系统无线电频率使用率评价指标。</w:t>
      </w:r>
    </w:p>
    <w:p w14:paraId="3BD1EC58">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6、负责编制报告。在完成指标计算的基础上编制《陕西省公众移动通信系统无线电频率使用率评价报告（2025年度）》。</w:t>
      </w:r>
    </w:p>
    <w:p w14:paraId="159C4857">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shd w:val="clear"/>
          <w14:textFill>
            <w14:solidFill>
              <w14:schemeClr w14:val="tx1"/>
            </w14:solidFill>
          </w14:textFill>
        </w:rPr>
        <w:t>7、负责整理报送国家的评价数据及结果。</w:t>
      </w:r>
    </w:p>
    <w:p w14:paraId="67A79B56">
      <w:pPr>
        <w:shd w:val="clear"/>
        <w:spacing w:line="360" w:lineRule="auto"/>
        <w:ind w:firstLine="482" w:firstLineChars="200"/>
        <w:outlineLvl w:val="9"/>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四、完成期限</w:t>
      </w:r>
    </w:p>
    <w:p w14:paraId="595DDB62">
      <w:pPr>
        <w:shd w:val="clear"/>
        <w:spacing w:line="360" w:lineRule="auto"/>
        <w:ind w:firstLine="480" w:firstLineChars="200"/>
        <w:outlineLvl w:val="9"/>
        <w:rPr>
          <w:rFonts w:hint="eastAsia" w:ascii="仿宋" w:hAnsi="仿宋" w:eastAsia="仿宋" w:cs="仿宋"/>
          <w:color w:val="000000" w:themeColor="text1"/>
          <w:sz w:val="24"/>
          <w:shd w:val="clear"/>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2025年12月10日前</w:t>
      </w:r>
      <w:r>
        <w:rPr>
          <w:rFonts w:hint="eastAsia" w:ascii="仿宋" w:hAnsi="仿宋" w:eastAsia="仿宋" w:cs="仿宋"/>
          <w:color w:val="000000" w:themeColor="text1"/>
          <w:sz w:val="24"/>
          <w14:textFill>
            <w14:solidFill>
              <w14:schemeClr w14:val="tx1"/>
            </w14:solidFill>
          </w14:textFill>
        </w:rPr>
        <w:t>向采购人提交项目工作成果，并根据采购人安排</w:t>
      </w:r>
      <w:r>
        <w:rPr>
          <w:rFonts w:hint="eastAsia" w:ascii="仿宋" w:hAnsi="仿宋" w:eastAsia="仿宋" w:cs="仿宋"/>
          <w:color w:val="000000" w:themeColor="text1"/>
          <w:sz w:val="24"/>
          <w:shd w:val="clear"/>
          <w14:textFill>
            <w14:solidFill>
              <w14:schemeClr w14:val="tx1"/>
            </w14:solidFill>
          </w14:textFill>
        </w:rPr>
        <w:t>参与后续项目验收等工作。</w:t>
      </w:r>
    </w:p>
    <w:p w14:paraId="6EEFF0BC">
      <w:pPr>
        <w:shd w:val="clear"/>
        <w:spacing w:line="360" w:lineRule="auto"/>
        <w:ind w:firstLine="482" w:firstLineChars="200"/>
        <w:outlineLvl w:val="9"/>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五、付款方式</w:t>
      </w:r>
    </w:p>
    <w:p w14:paraId="60178133">
      <w:pPr>
        <w:shd w:val="clear"/>
        <w:spacing w:line="360" w:lineRule="auto"/>
        <w:ind w:firstLine="480" w:firstLineChars="200"/>
        <w:outlineLvl w:val="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（1）合同签订后五个工作日内，乙方向甲方出具合同总价款5%金额的银行保函（保函有效期截止时间为本项目验收合格后满六个月）；</w:t>
      </w:r>
    </w:p>
    <w:p w14:paraId="7400CBF3">
      <w:pPr>
        <w:shd w:val="clear"/>
        <w:spacing w:line="360" w:lineRule="auto"/>
        <w:ind w:firstLine="480" w:firstLineChars="200"/>
        <w:outlineLvl w:val="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（2）甲方收到乙方合格银行保函后支付全部合同总价款；</w:t>
      </w:r>
    </w:p>
    <w:p w14:paraId="32134EAF">
      <w:pPr>
        <w:shd w:val="clear"/>
        <w:spacing w:line="360" w:lineRule="auto"/>
        <w:ind w:firstLine="480" w:firstLineChars="200"/>
        <w:outlineLvl w:val="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（3）乙方承诺在甲方办理支付手续前，为甲方出具等额的符合国家规定的发票；</w:t>
      </w:r>
    </w:p>
    <w:p w14:paraId="1588FE1C">
      <w:pPr>
        <w:shd w:val="clear"/>
        <w:spacing w:line="360" w:lineRule="auto"/>
        <w:ind w:firstLine="480" w:firstLineChars="200"/>
        <w:outlineLvl w:val="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（4）上述时间不包括甲方正常办理支付报批手续的时间。</w:t>
      </w:r>
    </w:p>
    <w:p w14:paraId="2F1EBF64">
      <w:pPr>
        <w:adjustRightInd w:val="0"/>
        <w:spacing w:line="360" w:lineRule="auto"/>
        <w:ind w:firstLine="482" w:firstLineChars="200"/>
        <w:rPr>
          <w:rFonts w:hint="eastAsia" w:ascii="仿宋" w:hAnsi="仿宋" w:eastAsia="仿宋" w:cs="仿宋"/>
          <w:b/>
          <w:bCs/>
          <w:color w:val="auto"/>
          <w:sz w:val="24"/>
          <w:szCs w:val="24"/>
          <w:highlight w:val="none"/>
          <w:lang w:val="en-US" w:eastAsia="zh-CN"/>
        </w:rPr>
        <w:sectPr>
          <w:footerReference r:id="rId9" w:type="default"/>
          <w:pgSz w:w="11906" w:h="16838"/>
          <w:pgMar w:top="1417" w:right="1249" w:bottom="1417" w:left="1417" w:header="850" w:footer="992" w:gutter="0"/>
          <w:pgNumType w:fmt="numberInDash"/>
          <w:cols w:space="0" w:num="1"/>
          <w:docGrid w:type="lines" w:linePitch="312" w:charSpace="0"/>
        </w:sectPr>
      </w:pPr>
    </w:p>
    <w:p w14:paraId="1705AC43">
      <w:pPr>
        <w:widowControl/>
        <w:spacing w:line="360" w:lineRule="auto"/>
        <w:ind w:firstLine="723" w:firstLineChars="200"/>
        <w:jc w:val="center"/>
        <w:outlineLvl w:val="0"/>
        <w:rPr>
          <w:rFonts w:ascii="仿宋" w:hAnsi="仿宋" w:eastAsia="仿宋" w:cs="仿宋"/>
          <w:sz w:val="36"/>
          <w:szCs w:val="36"/>
          <w:highlight w:val="none"/>
        </w:rPr>
      </w:pPr>
      <w:bookmarkStart w:id="104" w:name="_Toc105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4"/>
    </w:p>
    <w:p w14:paraId="49EE6AA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0E10577">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14:paraId="133F9097">
            <w:pPr>
              <w:spacing w:line="500" w:lineRule="exact"/>
              <w:rPr>
                <w:rFonts w:hint="eastAsia" w:ascii="仿宋" w:hAnsi="仿宋" w:eastAsia="仿宋" w:cs="仿宋"/>
                <w:kern w:val="0"/>
                <w:highlight w:val="none"/>
                <w:lang w:eastAsia="zh-CN" w:bidi="zh-CN"/>
              </w:rPr>
            </w:pPr>
            <w:r>
              <w:rPr>
                <w:rFonts w:hint="eastAsia" w:ascii="仿宋" w:hAnsi="仿宋" w:eastAsia="仿宋" w:cs="仿宋"/>
                <w:b/>
                <w:bCs/>
                <w:highlight w:val="none"/>
                <w:lang w:val="en-US" w:eastAsia="zh-CN"/>
              </w:rPr>
              <w:t>采</w:t>
            </w:r>
            <w:r>
              <w:rPr>
                <w:rFonts w:hint="eastAsia" w:ascii="仿宋" w:hAnsi="仿宋" w:eastAsia="仿宋" w:cs="仿宋"/>
                <w:b/>
                <w:bCs/>
                <w:highlight w:val="none"/>
              </w:rPr>
              <w:t>购人名称：</w:t>
            </w:r>
            <w:r>
              <w:rPr>
                <w:rFonts w:hint="eastAsia" w:ascii="仿宋_GB2312" w:hAnsi="仿宋_GB2312" w:eastAsia="仿宋_GB2312" w:cs="仿宋_GB2312"/>
                <w:b w:val="0"/>
                <w:bCs/>
                <w:sz w:val="24"/>
                <w:lang w:eastAsia="zh-CN"/>
              </w:rPr>
              <w:t>陕西省无线电管理委员会办公室</w:t>
            </w:r>
          </w:p>
          <w:p w14:paraId="7F13F598">
            <w:pPr>
              <w:spacing w:line="500" w:lineRule="exact"/>
              <w:rPr>
                <w:rFonts w:hint="eastAsia" w:ascii="仿宋" w:hAnsi="仿宋" w:eastAsia="仿宋" w:cs="仿宋"/>
                <w:highlight w:val="none"/>
                <w:lang w:eastAsia="zh-CN"/>
              </w:rPr>
            </w:pPr>
            <w:r>
              <w:rPr>
                <w:rFonts w:hint="eastAsia" w:ascii="仿宋" w:hAnsi="仿宋" w:eastAsia="仿宋" w:cs="仿宋"/>
                <w:b/>
                <w:bCs/>
                <w:highlight w:val="none"/>
              </w:rPr>
              <w:t>地  址：</w:t>
            </w:r>
            <w:r>
              <w:rPr>
                <w:rFonts w:hint="eastAsia" w:ascii="仿宋_GB2312" w:hAnsi="仿宋_GB2312" w:eastAsia="仿宋_GB2312" w:cs="仿宋_GB2312"/>
                <w:lang w:eastAsia="zh-CN"/>
              </w:rPr>
              <w:t>省政府新城大院四号楼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14:paraId="6EDE4322">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8305" w:type="dxa"/>
            <w:vAlign w:val="center"/>
          </w:tcPr>
          <w:p w14:paraId="4444EE1D">
            <w:pPr>
              <w:adjustRightInd w:val="0"/>
              <w:snapToGrid w:val="0"/>
              <w:spacing w:line="460" w:lineRule="exact"/>
              <w:rPr>
                <w:rFonts w:hint="eastAsia" w:eastAsia="仿宋"/>
                <w:highlight w:val="none"/>
                <w:lang w:val="en-US" w:eastAsia="zh-CN"/>
              </w:rPr>
            </w:pPr>
            <w:r>
              <w:rPr>
                <w:rFonts w:hint="eastAsia" w:ascii="仿宋" w:hAnsi="仿宋" w:eastAsia="仿宋" w:cs="仿宋"/>
                <w:highlight w:val="none"/>
                <w:lang w:val="en-US" w:eastAsia="zh-CN"/>
              </w:rPr>
              <w:t>服务期限：2025年12月10日前向采购人提交项目工作成果，并根据采购人安排参与后续项目验收等工作。</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8305" w:type="dxa"/>
            <w:vAlign w:val="center"/>
          </w:tcPr>
          <w:p w14:paraId="064744AB">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0DCBC18E">
            <w:pPr>
              <w:spacing w:line="360" w:lineRule="auto"/>
              <w:rPr>
                <w:rFonts w:ascii="仿宋" w:hAnsi="仿宋" w:eastAsia="仿宋" w:cs="仿宋"/>
                <w:highlight w:val="none"/>
              </w:rPr>
            </w:pPr>
            <w:r>
              <w:rPr>
                <w:rFonts w:hint="eastAsia" w:ascii="仿宋" w:hAnsi="仿宋" w:eastAsia="仿宋" w:cs="仿宋"/>
                <w:highlight w:val="none"/>
              </w:rPr>
              <w:t>3.付款方式和程序：</w:t>
            </w:r>
          </w:p>
          <w:p w14:paraId="1685252A">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824558B">
            <w:p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45D1F278">
            <w:pPr>
              <w:spacing w:line="360" w:lineRule="auto"/>
              <w:ind w:firstLine="480" w:firstLineChars="200"/>
              <w:rPr>
                <w:rFonts w:hint="eastAsia" w:eastAsia="仿宋"/>
                <w:highlight w:val="none"/>
                <w:lang w:eastAsia="zh-CN"/>
              </w:rPr>
            </w:pPr>
            <w:r>
              <w:rPr>
                <w:rFonts w:hint="eastAsia" w:eastAsia="仿宋"/>
                <w:highlight w:val="none"/>
                <w:lang w:val="en-US" w:eastAsia="zh-CN"/>
              </w:rPr>
              <w:t>①</w:t>
            </w:r>
            <w:r>
              <w:rPr>
                <w:rFonts w:hint="eastAsia" w:eastAsia="仿宋"/>
                <w:highlight w:val="none"/>
                <w:lang w:eastAsia="zh-CN"/>
              </w:rPr>
              <w:t>合同签订后五个工作日内，乙方向甲方出具合同总价款5%金额的银行保函（保函有效期截止时间为本项目验收合格后满六个月）；</w:t>
            </w:r>
          </w:p>
          <w:p w14:paraId="7C5D770F">
            <w:pPr>
              <w:spacing w:line="360" w:lineRule="auto"/>
              <w:ind w:firstLine="480" w:firstLineChars="200"/>
              <w:rPr>
                <w:rFonts w:hint="eastAsia" w:eastAsia="仿宋"/>
                <w:highlight w:val="none"/>
                <w:lang w:eastAsia="zh-CN"/>
              </w:rPr>
            </w:pPr>
            <w:r>
              <w:rPr>
                <w:rFonts w:hint="eastAsia" w:eastAsia="仿宋"/>
                <w:highlight w:val="none"/>
                <w:lang w:val="en-US" w:eastAsia="zh-CN"/>
              </w:rPr>
              <w:t>②</w:t>
            </w:r>
            <w:r>
              <w:rPr>
                <w:rFonts w:hint="eastAsia" w:eastAsia="仿宋"/>
                <w:highlight w:val="none"/>
                <w:lang w:eastAsia="zh-CN"/>
              </w:rPr>
              <w:t>甲方收到乙方合格银行保函后支付全部合同总价款；</w:t>
            </w:r>
          </w:p>
          <w:p w14:paraId="6E4D1496">
            <w:pPr>
              <w:spacing w:line="360" w:lineRule="auto"/>
              <w:ind w:firstLine="480" w:firstLineChars="200"/>
              <w:rPr>
                <w:rFonts w:hint="eastAsia" w:eastAsia="仿宋"/>
                <w:highlight w:val="none"/>
                <w:lang w:eastAsia="zh-CN"/>
              </w:rPr>
            </w:pPr>
            <w:r>
              <w:rPr>
                <w:rFonts w:hint="eastAsia" w:eastAsia="仿宋"/>
                <w:highlight w:val="none"/>
                <w:lang w:val="en-US" w:eastAsia="zh-CN"/>
              </w:rPr>
              <w:t>③</w:t>
            </w:r>
            <w:r>
              <w:rPr>
                <w:rFonts w:hint="eastAsia" w:eastAsia="仿宋"/>
                <w:highlight w:val="none"/>
                <w:lang w:eastAsia="zh-CN"/>
              </w:rPr>
              <w:t>乙方承诺在甲方办理支付手续前，为甲方出具等额的符合国家规定的发票；</w:t>
            </w:r>
          </w:p>
          <w:p w14:paraId="7025F34E">
            <w:pPr>
              <w:spacing w:line="360" w:lineRule="auto"/>
              <w:ind w:firstLine="480" w:firstLineChars="200"/>
              <w:rPr>
                <w:rFonts w:hint="eastAsia" w:eastAsia="仿宋"/>
                <w:highlight w:val="none"/>
                <w:lang w:eastAsia="zh-CN"/>
              </w:rPr>
            </w:pPr>
            <w:r>
              <w:rPr>
                <w:rFonts w:hint="eastAsia" w:eastAsia="仿宋"/>
                <w:highlight w:val="none"/>
                <w:lang w:eastAsia="zh-CN"/>
              </w:rPr>
              <w:t>④上述时间不包括甲方正常办理支付报批手续的时间。</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8305" w:type="dxa"/>
            <w:vAlign w:val="center"/>
          </w:tcPr>
          <w:p w14:paraId="446EF1E0">
            <w:pPr>
              <w:spacing w:line="360" w:lineRule="auto"/>
              <w:rPr>
                <w:rFonts w:ascii="仿宋" w:hAnsi="仿宋" w:eastAsia="仿宋" w:cs="仿宋"/>
                <w:highlight w:val="none"/>
              </w:rPr>
            </w:pPr>
            <w:r>
              <w:rPr>
                <w:rFonts w:hint="eastAsia" w:ascii="仿宋" w:hAnsi="仿宋" w:eastAsia="仿宋" w:cs="仿宋"/>
                <w:highlight w:val="none"/>
              </w:rPr>
              <w:t>质量保证：</w:t>
            </w:r>
          </w:p>
          <w:p w14:paraId="1791135C">
            <w:pPr>
              <w:spacing w:line="360" w:lineRule="auto"/>
              <w:rPr>
                <w:rFonts w:ascii="仿宋" w:hAnsi="仿宋" w:eastAsia="仿宋" w:cs="仿宋"/>
                <w:highlight w:val="none"/>
              </w:rPr>
            </w:pPr>
            <w:r>
              <w:rPr>
                <w:rFonts w:hint="eastAsia" w:ascii="仿宋" w:hAnsi="仿宋" w:eastAsia="仿宋" w:cs="仿宋"/>
                <w:highlight w:val="none"/>
              </w:rPr>
              <w:t>（1）保证技术指标先进、质量性能可靠，全面满足采购要求。</w:t>
            </w:r>
          </w:p>
          <w:p w14:paraId="38F65D5A">
            <w:pPr>
              <w:spacing w:line="360" w:lineRule="auto"/>
              <w:rPr>
                <w:rFonts w:ascii="仿宋" w:hAnsi="仿宋" w:eastAsia="仿宋" w:cs="仿宋"/>
                <w:highlight w:val="none"/>
              </w:rPr>
            </w:pPr>
            <w:r>
              <w:rPr>
                <w:rFonts w:hint="eastAsia" w:ascii="仿宋" w:hAnsi="仿宋" w:eastAsia="仿宋" w:cs="仿宋"/>
                <w:highlight w:val="none"/>
              </w:rPr>
              <w:t>（2）符合国家有关规范要求。</w:t>
            </w:r>
          </w:p>
          <w:p w14:paraId="0357BF17">
            <w:pPr>
              <w:spacing w:line="360" w:lineRule="auto"/>
              <w:rPr>
                <w:rFonts w:ascii="仿宋" w:hAnsi="仿宋" w:eastAsia="仿宋" w:cs="仿宋"/>
                <w:highlight w:val="none"/>
              </w:rPr>
            </w:pPr>
            <w:r>
              <w:rPr>
                <w:rFonts w:hint="eastAsia" w:ascii="仿宋" w:hAnsi="仿宋" w:eastAsia="仿宋" w:cs="仿宋"/>
                <w:highlight w:val="none"/>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8305" w:type="dxa"/>
            <w:vAlign w:val="center"/>
          </w:tcPr>
          <w:p w14:paraId="17C19924">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验收方式及验收依据：</w:t>
            </w:r>
          </w:p>
          <w:p w14:paraId="53CA0EBC">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（1）由供应商进行自检合格后，准备验收文件，并书面通知采购人。</w:t>
            </w:r>
          </w:p>
          <w:p w14:paraId="10C44046">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（2）采购人确认供应商</w:t>
            </w:r>
            <w:r>
              <w:rPr>
                <w:rFonts w:hint="eastAsia" w:ascii="仿宋" w:hAnsi="仿宋" w:eastAsia="仿宋" w:cs="仿宋"/>
                <w:highlight w:val="none"/>
                <w:lang w:val="en-US" w:eastAsia="zh-CN"/>
              </w:rPr>
              <w:t>服务</w:t>
            </w:r>
            <w:r>
              <w:rPr>
                <w:rFonts w:hint="eastAsia" w:ascii="仿宋" w:hAnsi="仿宋" w:eastAsia="仿宋" w:cs="仿宋"/>
                <w:highlight w:val="none"/>
              </w:rPr>
              <w:t>能够达到采购要求后，组织供应商（必要时请有关专家）进行项目验收，验收合格后，填写项目验收单作为对项目的最终认可。</w:t>
            </w:r>
          </w:p>
          <w:p w14:paraId="717EDFA6">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（3）供应商向采购人提交项目实施过程中的所有资料,以便采购人日后管理和维护该项目。</w:t>
            </w:r>
          </w:p>
          <w:p w14:paraId="78866E2E">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（4）验收依据</w:t>
            </w:r>
          </w:p>
          <w:p w14:paraId="12E53C4A">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①竞争性磋商文件、磋商响应文件、澄清表（函）；</w:t>
            </w:r>
          </w:p>
          <w:p w14:paraId="688CD0CD">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②本合同及附件文本；</w:t>
            </w:r>
          </w:p>
          <w:p w14:paraId="35CA2C4A">
            <w:pPr>
              <w:spacing w:line="360" w:lineRule="auto"/>
              <w:rPr>
                <w:rFonts w:ascii="仿宋" w:hAnsi="仿宋" w:eastAsia="仿宋" w:cs="仿宋"/>
                <w:highlight w:val="none"/>
              </w:rPr>
            </w:pPr>
            <w:r>
              <w:rPr>
                <w:rFonts w:hint="eastAsia" w:ascii="仿宋" w:hAnsi="仿宋" w:eastAsia="仿宋" w:cs="仿宋"/>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ascii="仿宋" w:hAnsi="仿宋" w:eastAsia="仿宋" w:cs="仿宋"/>
                <w:highlight w:val="none"/>
              </w:rPr>
            </w:pPr>
            <w:r>
              <w:rPr>
                <w:rFonts w:hint="eastAsia" w:ascii="仿宋" w:hAnsi="仿宋" w:eastAsia="仿宋" w:cs="仿宋"/>
                <w:highlight w:val="none"/>
              </w:rPr>
              <w:t>7</w:t>
            </w:r>
          </w:p>
        </w:tc>
        <w:tc>
          <w:tcPr>
            <w:tcW w:w="8305" w:type="dxa"/>
            <w:vAlign w:val="center"/>
          </w:tcPr>
          <w:p w14:paraId="2CE17595">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违约责任：</w:t>
            </w:r>
          </w:p>
          <w:p w14:paraId="41B63ED1">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（1）</w:t>
            </w:r>
            <w:r>
              <w:rPr>
                <w:rFonts w:hint="eastAsia" w:ascii="仿宋" w:hAnsi="仿宋" w:eastAsia="仿宋" w:cs="仿宋"/>
                <w:color w:val="000000" w:themeColor="text1"/>
                <w:sz w:val="24"/>
                <w:szCs w:val="24"/>
                <w14:textFill>
                  <w14:solidFill>
                    <w14:schemeClr w14:val="tx1"/>
                  </w14:solidFill>
                </w14:textFill>
              </w:rPr>
              <w:t>按《中华人民共和国合同法》中的相关条款执行</w:t>
            </w:r>
            <w:r>
              <w:rPr>
                <w:rFonts w:hint="eastAsia" w:ascii="仿宋" w:hAnsi="仿宋" w:eastAsia="仿宋" w:cs="仿宋"/>
                <w:highlight w:val="none"/>
                <w:lang w:val="zh-CN"/>
              </w:rPr>
              <w:t>。</w:t>
            </w:r>
          </w:p>
          <w:p w14:paraId="63B878DB">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（2）未按合同要求提供的服务，采购人会同招标组织机构有权终止合同和对供应商的违约行为进行追究。</w:t>
            </w:r>
          </w:p>
          <w:p w14:paraId="3E14692F">
            <w:pPr>
              <w:spacing w:line="360" w:lineRule="auto"/>
              <w:ind w:left="360" w:hanging="360" w:hangingChars="150"/>
              <w:rPr>
                <w:rFonts w:ascii="仿宋" w:hAnsi="仿宋" w:eastAsia="仿宋" w:cs="仿宋"/>
                <w:highlight w:val="none"/>
              </w:rPr>
            </w:pPr>
            <w:r>
              <w:rPr>
                <w:rFonts w:hint="eastAsia" w:ascii="仿宋" w:hAnsi="仿宋" w:eastAsia="仿宋" w:cs="仿宋"/>
                <w:highlight w:val="none"/>
                <w:lang w:val="zh-CN"/>
              </w:rPr>
              <w:t>（3）乙方不能按期完成工作任务，乙方须按甲方已支付金额的双倍金额，返还于甲方，作为赔偿。如因甲方原因导致产品不能按计划完成，乙方不用承担赔偿责任。</w:t>
            </w:r>
          </w:p>
        </w:tc>
      </w:tr>
    </w:tbl>
    <w:p w14:paraId="2A724A4F">
      <w:pPr>
        <w:jc w:val="both"/>
        <w:outlineLvl w:val="9"/>
        <w:rPr>
          <w:rFonts w:ascii="仿宋" w:hAnsi="仿宋" w:eastAsia="仿宋" w:cs="仿宋"/>
          <w:sz w:val="36"/>
          <w:szCs w:val="36"/>
          <w:highlight w:val="none"/>
        </w:rPr>
      </w:pPr>
    </w:p>
    <w:p w14:paraId="702219FB">
      <w:pPr>
        <w:rPr>
          <w:rFonts w:ascii="仿宋" w:hAnsi="仿宋" w:eastAsia="仿宋" w:cs="仿宋"/>
          <w:highlight w:val="none"/>
        </w:rPr>
      </w:pPr>
    </w:p>
    <w:p w14:paraId="120529DB">
      <w:pPr>
        <w:rPr>
          <w:rFonts w:ascii="仿宋" w:hAnsi="仿宋" w:eastAsia="仿宋" w:cs="仿宋"/>
          <w:sz w:val="28"/>
          <w:szCs w:val="28"/>
          <w:highlight w:val="none"/>
        </w:rPr>
      </w:pPr>
      <w:r>
        <w:rPr>
          <w:rFonts w:hint="eastAsia" w:ascii="仿宋" w:hAnsi="仿宋" w:eastAsia="仿宋" w:cs="仿宋"/>
          <w:sz w:val="28"/>
          <w:szCs w:val="28"/>
          <w:highlight w:val="none"/>
        </w:rPr>
        <w:br w:type="page"/>
      </w:r>
    </w:p>
    <w:bookmarkEnd w:id="101"/>
    <w:bookmarkEnd w:id="102"/>
    <w:bookmarkEnd w:id="103"/>
    <w:p w14:paraId="5A7F25E5">
      <w:pPr>
        <w:rPr>
          <w:rFonts w:hint="eastAsia" w:ascii="仿宋" w:hAnsi="仿宋" w:eastAsia="仿宋" w:cs="仿宋"/>
          <w:sz w:val="22"/>
          <w:szCs w:val="28"/>
          <w:highlight w:val="none"/>
        </w:rPr>
      </w:pPr>
      <w:bookmarkStart w:id="105" w:name="_Toc13105"/>
    </w:p>
    <w:p w14:paraId="29015510">
      <w:pPr>
        <w:jc w:val="left"/>
        <w:rPr>
          <w:rFonts w:hint="eastAsia" w:ascii="仿宋" w:hAnsi="仿宋" w:eastAsia="仿宋" w:cs="仿宋"/>
          <w:b/>
          <w:bCs/>
          <w:sz w:val="30"/>
          <w:szCs w:val="30"/>
          <w:highlight w:val="none"/>
        </w:rPr>
      </w:pPr>
      <w:bookmarkStart w:id="106" w:name="_Toc23166"/>
      <w:bookmarkStart w:id="107" w:name="_Toc27511"/>
      <w:r>
        <w:rPr>
          <w:rFonts w:hint="eastAsia" w:ascii="仿宋" w:hAnsi="仿宋" w:eastAsia="仿宋" w:cs="仿宋"/>
          <w:b/>
          <w:bCs/>
          <w:sz w:val="30"/>
          <w:szCs w:val="30"/>
          <w:highlight w:val="none"/>
        </w:rPr>
        <w:t>政府采购合同                        合同编号：</w:t>
      </w:r>
    </w:p>
    <w:p w14:paraId="52A5A8F3">
      <w:pPr>
        <w:pStyle w:val="10"/>
        <w:rPr>
          <w:rFonts w:hint="eastAsia" w:ascii="仿宋" w:hAnsi="仿宋" w:eastAsia="仿宋" w:cs="仿宋"/>
          <w:b/>
          <w:bCs/>
          <w:color w:val="auto"/>
          <w:sz w:val="30"/>
          <w:szCs w:val="30"/>
          <w:highlight w:val="none"/>
        </w:rPr>
      </w:pPr>
    </w:p>
    <w:p w14:paraId="6138910C">
      <w:pPr>
        <w:pStyle w:val="10"/>
        <w:rPr>
          <w:rFonts w:hint="eastAsia" w:ascii="仿宋" w:hAnsi="仿宋" w:eastAsia="仿宋" w:cs="仿宋"/>
          <w:b/>
          <w:bCs/>
          <w:color w:val="auto"/>
          <w:sz w:val="30"/>
          <w:szCs w:val="30"/>
          <w:highlight w:val="none"/>
        </w:rPr>
      </w:pPr>
    </w:p>
    <w:p w14:paraId="35A26356">
      <w:pPr>
        <w:pStyle w:val="10"/>
        <w:rPr>
          <w:rFonts w:hint="eastAsia" w:ascii="仿宋" w:hAnsi="仿宋" w:eastAsia="仿宋" w:cs="仿宋"/>
          <w:color w:val="auto"/>
          <w:highlight w:val="none"/>
        </w:rPr>
      </w:pPr>
    </w:p>
    <w:p w14:paraId="340D434F">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493327DF">
      <w:pPr>
        <w:rPr>
          <w:rFonts w:hint="eastAsia" w:ascii="仿宋" w:hAnsi="仿宋" w:eastAsia="仿宋" w:cs="仿宋"/>
          <w:highlight w:val="none"/>
        </w:rPr>
      </w:pPr>
    </w:p>
    <w:p w14:paraId="29BA7CB7">
      <w:pPr>
        <w:rPr>
          <w:rFonts w:hint="eastAsia" w:ascii="仿宋" w:hAnsi="仿宋" w:eastAsia="仿宋" w:cs="仿宋"/>
          <w:highlight w:val="none"/>
        </w:rPr>
      </w:pPr>
    </w:p>
    <w:p w14:paraId="53305FCF">
      <w:pPr>
        <w:pStyle w:val="10"/>
        <w:rPr>
          <w:rFonts w:hint="eastAsia" w:ascii="仿宋" w:hAnsi="仿宋" w:eastAsia="仿宋" w:cs="仿宋"/>
          <w:color w:val="auto"/>
          <w:highlight w:val="none"/>
        </w:rPr>
      </w:pPr>
    </w:p>
    <w:p w14:paraId="15E4FC0D">
      <w:pPr>
        <w:pStyle w:val="10"/>
        <w:rPr>
          <w:rFonts w:hint="eastAsia" w:ascii="仿宋" w:hAnsi="仿宋" w:eastAsia="仿宋" w:cs="仿宋"/>
          <w:color w:val="auto"/>
          <w:highlight w:val="none"/>
        </w:rPr>
      </w:pPr>
    </w:p>
    <w:p w14:paraId="08BDA097">
      <w:pPr>
        <w:rPr>
          <w:rFonts w:hint="eastAsia" w:ascii="仿宋" w:hAnsi="仿宋" w:eastAsia="仿宋" w:cs="仿宋"/>
          <w:highlight w:val="none"/>
        </w:rPr>
      </w:pPr>
    </w:p>
    <w:p w14:paraId="3033D8B6">
      <w:pPr>
        <w:rPr>
          <w:rFonts w:hint="eastAsia" w:ascii="仿宋" w:hAnsi="仿宋" w:eastAsia="仿宋" w:cs="仿宋"/>
          <w:highlight w:val="none"/>
        </w:rPr>
      </w:pPr>
    </w:p>
    <w:p w14:paraId="5635C01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14:paraId="2A64B858">
      <w:pPr>
        <w:jc w:val="center"/>
        <w:rPr>
          <w:rFonts w:hint="eastAsia" w:ascii="仿宋" w:hAnsi="仿宋" w:eastAsia="仿宋" w:cs="仿宋"/>
          <w:b/>
          <w:sz w:val="36"/>
          <w:szCs w:val="36"/>
          <w:highlight w:val="none"/>
        </w:rPr>
      </w:pPr>
    </w:p>
    <w:p w14:paraId="4AEA714C">
      <w:pPr>
        <w:jc w:val="center"/>
        <w:rPr>
          <w:rFonts w:hint="eastAsia" w:ascii="仿宋" w:hAnsi="仿宋" w:eastAsia="仿宋" w:cs="仿宋"/>
          <w:b/>
          <w:sz w:val="36"/>
          <w:szCs w:val="36"/>
          <w:highlight w:val="none"/>
        </w:rPr>
      </w:pPr>
    </w:p>
    <w:p w14:paraId="5CC449C6">
      <w:pPr>
        <w:jc w:val="center"/>
        <w:rPr>
          <w:rFonts w:hint="eastAsia" w:ascii="仿宋" w:hAnsi="仿宋" w:eastAsia="仿宋" w:cs="仿宋"/>
          <w:b/>
          <w:sz w:val="36"/>
          <w:szCs w:val="36"/>
          <w:highlight w:val="none"/>
        </w:rPr>
      </w:pPr>
    </w:p>
    <w:p w14:paraId="0EACD6F3">
      <w:pPr>
        <w:jc w:val="center"/>
        <w:rPr>
          <w:rFonts w:hint="eastAsia" w:ascii="仿宋" w:hAnsi="仿宋" w:eastAsia="仿宋" w:cs="仿宋"/>
          <w:b/>
          <w:sz w:val="36"/>
          <w:szCs w:val="36"/>
          <w:highlight w:val="none"/>
        </w:rPr>
      </w:pPr>
    </w:p>
    <w:p w14:paraId="48E1A55A">
      <w:pPr>
        <w:jc w:val="center"/>
        <w:rPr>
          <w:rFonts w:hint="eastAsia" w:ascii="仿宋" w:hAnsi="仿宋" w:eastAsia="仿宋" w:cs="仿宋"/>
          <w:b/>
          <w:sz w:val="36"/>
          <w:szCs w:val="36"/>
          <w:highlight w:val="none"/>
        </w:rPr>
      </w:pPr>
    </w:p>
    <w:p w14:paraId="24B6A397">
      <w:pPr>
        <w:rPr>
          <w:rFonts w:hint="eastAsia" w:ascii="仿宋" w:hAnsi="仿宋" w:eastAsia="仿宋" w:cs="仿宋"/>
          <w:b/>
          <w:sz w:val="36"/>
          <w:szCs w:val="36"/>
          <w:highlight w:val="none"/>
        </w:rPr>
      </w:pPr>
    </w:p>
    <w:p w14:paraId="6BDD46E3">
      <w:pPr>
        <w:spacing w:before="158" w:beforeLines="50" w:line="360" w:lineRule="auto"/>
        <w:rPr>
          <w:rFonts w:hint="eastAsia" w:ascii="仿宋" w:hAnsi="仿宋" w:eastAsia="仿宋" w:cs="仿宋"/>
          <w:bCs/>
          <w:sz w:val="48"/>
          <w:szCs w:val="48"/>
          <w:highlight w:val="none"/>
        </w:rPr>
      </w:pPr>
    </w:p>
    <w:p w14:paraId="2298DD3F">
      <w:pPr>
        <w:spacing w:before="158" w:beforeLines="50" w:line="360" w:lineRule="auto"/>
        <w:ind w:firstLine="1584" w:firstLineChars="493"/>
        <w:jc w:val="left"/>
        <w:rPr>
          <w:rFonts w:hint="eastAsia" w:ascii="仿宋" w:hAnsi="仿宋" w:eastAsia="仿宋" w:cs="仿宋"/>
          <w:sz w:val="32"/>
          <w:szCs w:val="32"/>
          <w:highlight w:val="none"/>
          <w:u w:val="single"/>
        </w:rPr>
      </w:pPr>
      <w:r>
        <w:rPr>
          <w:rFonts w:hint="eastAsia" w:ascii="仿宋" w:hAnsi="仿宋" w:eastAsia="仿宋" w:cs="仿宋"/>
          <w:b/>
          <w:bCs/>
          <w:sz w:val="32"/>
          <w:szCs w:val="32"/>
          <w:highlight w:val="none"/>
        </w:rPr>
        <w:t>采购人：</w:t>
      </w:r>
      <w:r>
        <w:rPr>
          <w:rFonts w:hint="eastAsia" w:ascii="仿宋" w:hAnsi="仿宋" w:eastAsia="仿宋" w:cs="仿宋"/>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        </w:t>
      </w:r>
    </w:p>
    <w:p w14:paraId="52E61BF1">
      <w:pPr>
        <w:pStyle w:val="10"/>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single"/>
        </w:rPr>
        <w:t>二〇二</w:t>
      </w:r>
      <w:r>
        <w:rPr>
          <w:rFonts w:hint="eastAsia" w:ascii="仿宋" w:hAnsi="仿宋" w:eastAsia="仿宋" w:cs="仿宋"/>
          <w:b/>
          <w:bCs/>
          <w:color w:val="auto"/>
          <w:sz w:val="32"/>
          <w:szCs w:val="32"/>
          <w:highlight w:val="none"/>
          <w:u w:val="single"/>
          <w:lang w:val="en-US" w:eastAsia="zh-CN"/>
        </w:rPr>
        <w:t>五</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u w:val="single"/>
        </w:rPr>
        <w:t>月</w:t>
      </w:r>
      <w:r>
        <w:rPr>
          <w:rFonts w:hint="eastAsia" w:ascii="仿宋" w:hAnsi="仿宋" w:eastAsia="仿宋" w:cs="仿宋"/>
          <w:b/>
          <w:bCs/>
          <w:color w:val="auto"/>
          <w:sz w:val="36"/>
          <w:szCs w:val="36"/>
          <w:highlight w:val="none"/>
        </w:rPr>
        <w:br w:type="page"/>
      </w:r>
    </w:p>
    <w:bookmarkEnd w:id="106"/>
    <w:bookmarkEnd w:id="107"/>
    <w:p w14:paraId="6E36B94E">
      <w:pPr>
        <w:tabs>
          <w:tab w:val="left" w:pos="735"/>
        </w:tabs>
        <w:autoSpaceDE w:val="0"/>
        <w:autoSpaceDN w:val="0"/>
        <w:adjustRightInd w:val="0"/>
        <w:snapToGrid w:val="0"/>
        <w:spacing w:before="240" w:beforeLines="100" w:line="360" w:lineRule="auto"/>
        <w:ind w:firstLine="482" w:firstLineChars="200"/>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p>
    <w:p w14:paraId="03D8E8C1">
      <w:pPr>
        <w:tabs>
          <w:tab w:val="left" w:pos="735"/>
        </w:tabs>
        <w:autoSpaceDE w:val="0"/>
        <w:autoSpaceDN w:val="0"/>
        <w:adjustRightInd w:val="0"/>
        <w:snapToGrid w:val="0"/>
        <w:spacing w:line="360" w:lineRule="auto"/>
        <w:ind w:firstLine="482" w:firstLineChars="200"/>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xml:space="preserve">）     </w:t>
      </w:r>
    </w:p>
    <w:p w14:paraId="782675F5">
      <w:pPr>
        <w:adjustRightInd w:val="0"/>
        <w:snapToGrid w:val="0"/>
        <w:spacing w:line="360" w:lineRule="auto"/>
        <w:ind w:firstLine="482" w:firstLineChars="200"/>
        <w:rPr>
          <w:rFonts w:hint="eastAsia" w:ascii="仿宋" w:hAnsi="仿宋" w:eastAsia="仿宋" w:cs="仿宋"/>
          <w:sz w:val="24"/>
        </w:rPr>
      </w:pPr>
      <w:bookmarkStart w:id="108" w:name="_Toc19515384"/>
      <w:r>
        <w:rPr>
          <w:rFonts w:hint="eastAsia" w:ascii="仿宋" w:hAnsi="仿宋" w:eastAsia="仿宋" w:cs="仿宋"/>
          <w:b/>
          <w:bCs/>
          <w:sz w:val="24"/>
        </w:rPr>
        <w:t>一、合同内容</w:t>
      </w:r>
      <w:r>
        <w:rPr>
          <w:rFonts w:hint="eastAsia" w:ascii="仿宋" w:hAnsi="仿宋" w:eastAsia="仿宋" w:cs="仿宋"/>
          <w:sz w:val="24"/>
        </w:rPr>
        <w:t>（标的、数量、质量等）</w:t>
      </w:r>
      <w:bookmarkEnd w:id="108"/>
      <w:r>
        <w:rPr>
          <w:rFonts w:hint="eastAsia" w:ascii="仿宋" w:hAnsi="仿宋" w:eastAsia="仿宋" w:cs="仿宋"/>
          <w:sz w:val="24"/>
        </w:rPr>
        <w:t>：</w:t>
      </w:r>
    </w:p>
    <w:p w14:paraId="57D11A26">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本政府采购合同所附下列文件是构成本政府采购合同不可分割的部分：</w:t>
      </w:r>
    </w:p>
    <w:p w14:paraId="231406E3">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1.磋商文件；</w:t>
      </w:r>
    </w:p>
    <w:p w14:paraId="652264D5">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2.磋商文件的更正公告、变更公告；</w:t>
      </w:r>
    </w:p>
    <w:p w14:paraId="4FF6398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3.成交供应商提交的磋商响应文件；</w:t>
      </w:r>
    </w:p>
    <w:p w14:paraId="2D8398AB">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4.政府采购合同条款；</w:t>
      </w:r>
    </w:p>
    <w:p w14:paraId="3006E1F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5.成交通知书；</w:t>
      </w:r>
    </w:p>
    <w:p w14:paraId="4B33A63A">
      <w:pPr>
        <w:tabs>
          <w:tab w:val="left" w:pos="735"/>
        </w:tabs>
        <w:autoSpaceDE w:val="0"/>
        <w:autoSpaceDN w:val="0"/>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6.政府采购合同的其它附件。</w:t>
      </w:r>
    </w:p>
    <w:p w14:paraId="40FBC72D">
      <w:pPr>
        <w:adjustRightInd w:val="0"/>
        <w:snapToGrid w:val="0"/>
        <w:spacing w:line="360" w:lineRule="auto"/>
        <w:ind w:firstLine="482" w:firstLineChars="200"/>
        <w:rPr>
          <w:rFonts w:hint="eastAsia" w:ascii="仿宋" w:hAnsi="仿宋" w:eastAsia="仿宋" w:cs="仿宋"/>
          <w:b/>
          <w:bCs/>
          <w:sz w:val="24"/>
        </w:rPr>
      </w:pPr>
      <w:bookmarkStart w:id="109" w:name="_Toc19515385"/>
      <w:r>
        <w:rPr>
          <w:rFonts w:hint="eastAsia" w:ascii="仿宋" w:hAnsi="仿宋" w:eastAsia="仿宋" w:cs="仿宋"/>
          <w:b/>
          <w:bCs/>
          <w:sz w:val="24"/>
        </w:rPr>
        <w:t>二、合同价款</w:t>
      </w:r>
      <w:bookmarkEnd w:id="109"/>
    </w:p>
    <w:p w14:paraId="7F12C82E">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1、合同总价：</w:t>
      </w:r>
      <w:r>
        <w:rPr>
          <w:rFonts w:hint="eastAsia" w:ascii="仿宋" w:hAnsi="仿宋" w:eastAsia="仿宋" w:cs="仿宋"/>
          <w:sz w:val="24"/>
          <w:lang w:val="en-US" w:eastAsia="zh-CN"/>
        </w:rPr>
        <w:t>人民币</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元整）</w:t>
      </w:r>
    </w:p>
    <w:p w14:paraId="055EA21C">
      <w:pPr>
        <w:pStyle w:val="13"/>
        <w:tabs>
          <w:tab w:val="left" w:pos="2100"/>
        </w:tabs>
        <w:adjustRightInd w:val="0"/>
        <w:snapToGrid w:val="0"/>
        <w:spacing w:line="360" w:lineRule="auto"/>
        <w:ind w:firstLine="480" w:firstLineChars="200"/>
        <w:rPr>
          <w:rFonts w:hint="eastAsia" w:ascii="仿宋" w:hAnsi="仿宋" w:eastAsia="仿宋" w:cs="仿宋"/>
          <w:b/>
          <w:bCs/>
          <w:sz w:val="24"/>
          <w:szCs w:val="24"/>
          <w:highlight w:val="yellow"/>
          <w:lang w:val="en-US" w:eastAsia="zh-CN"/>
        </w:rPr>
      </w:pPr>
      <w:r>
        <w:rPr>
          <w:rFonts w:hint="eastAsia" w:ascii="仿宋" w:hAnsi="仿宋" w:eastAsia="仿宋" w:cs="仿宋"/>
          <w:sz w:val="24"/>
        </w:rPr>
        <w:t>2、合同总价包括：提供磋商文件要求服务的所有费用，包括但不限于提供项目实施费、培训费、人工费、材料费、管理费、</w:t>
      </w:r>
      <w:r>
        <w:rPr>
          <w:rFonts w:hint="eastAsia" w:ascii="仿宋" w:hAnsi="仿宋" w:eastAsia="仿宋" w:cs="仿宋"/>
          <w:sz w:val="24"/>
          <w:lang w:val="en-US" w:eastAsia="zh-CN"/>
        </w:rPr>
        <w:t>资料费、</w:t>
      </w:r>
      <w:r>
        <w:rPr>
          <w:rFonts w:hint="eastAsia" w:ascii="仿宋" w:hAnsi="仿宋" w:eastAsia="仿宋" w:cs="仿宋"/>
          <w:sz w:val="24"/>
        </w:rPr>
        <w:t>供应商应缴纳的所有税费、规费、保险费（如果有）等全部费用。</w:t>
      </w:r>
    </w:p>
    <w:p w14:paraId="52A845A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14:paraId="52862239">
      <w:pPr>
        <w:adjustRightInd w:val="0"/>
        <w:snapToGrid w:val="0"/>
        <w:spacing w:line="360" w:lineRule="auto"/>
        <w:ind w:firstLine="482" w:firstLineChars="200"/>
        <w:rPr>
          <w:rFonts w:hint="eastAsia" w:ascii="仿宋" w:hAnsi="仿宋" w:eastAsia="仿宋" w:cs="仿宋"/>
          <w:b/>
          <w:bCs/>
          <w:sz w:val="24"/>
        </w:rPr>
      </w:pPr>
      <w:bookmarkStart w:id="110" w:name="_Toc19515386"/>
      <w:r>
        <w:rPr>
          <w:rFonts w:hint="eastAsia" w:ascii="仿宋" w:hAnsi="仿宋" w:eastAsia="仿宋" w:cs="仿宋"/>
          <w:b/>
          <w:bCs/>
          <w:sz w:val="24"/>
        </w:rPr>
        <w:t>三、合同结算</w:t>
      </w:r>
      <w:bookmarkEnd w:id="110"/>
    </w:p>
    <w:p w14:paraId="2793EA3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1、付款比例：①合同签订后五个工作日内，乙方向甲方出具合同总价款5%金额的银行保函（保函有效期截止时间为本项目验收合格后满六个月）；</w:t>
      </w:r>
    </w:p>
    <w:p w14:paraId="24D6423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②甲方收到乙方合格银行保函后支付全部合同总价款；</w:t>
      </w:r>
    </w:p>
    <w:p w14:paraId="71905C92">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③乙方承诺在甲方办理支付手续前，为甲方出具等额的符合国家规定的发票；</w:t>
      </w:r>
    </w:p>
    <w:p w14:paraId="54CDDE3B">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④上述时间不包括甲方正常办理支付报批手续的时间。</w:t>
      </w:r>
    </w:p>
    <w:p w14:paraId="3E0C0C7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w:t>
      </w:r>
    </w:p>
    <w:p w14:paraId="506AEEF6">
      <w:pPr>
        <w:adjustRightInd w:val="0"/>
        <w:snapToGrid w:val="0"/>
        <w:spacing w:line="360" w:lineRule="auto"/>
        <w:ind w:firstLine="480" w:firstLineChars="200"/>
        <w:rPr>
          <w:rFonts w:hint="eastAsia" w:ascii="仿宋" w:hAnsi="仿宋" w:eastAsia="仿宋" w:cs="仿宋"/>
          <w:b/>
          <w:bCs/>
          <w:sz w:val="24"/>
          <w:highlight w:val="none"/>
          <w:lang w:val="en-US" w:eastAsia="zh-CN"/>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负责结算，乙方开具合同总价数的全额发票交采购人。</w:t>
      </w:r>
      <w:bookmarkStart w:id="111" w:name="_Toc19515387"/>
    </w:p>
    <w:p w14:paraId="57D7EF86">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四、</w:t>
      </w:r>
      <w:r>
        <w:rPr>
          <w:rFonts w:hint="eastAsia" w:ascii="仿宋" w:hAnsi="仿宋" w:eastAsia="仿宋" w:cs="仿宋"/>
          <w:b/>
          <w:bCs/>
          <w:sz w:val="24"/>
          <w:highlight w:val="none"/>
          <w:lang w:eastAsia="zh-CN"/>
        </w:rPr>
        <w:t>服务期限</w:t>
      </w:r>
      <w:r>
        <w:rPr>
          <w:rFonts w:hint="eastAsia" w:ascii="仿宋" w:hAnsi="仿宋" w:eastAsia="仿宋" w:cs="仿宋"/>
          <w:b/>
          <w:bCs/>
          <w:sz w:val="24"/>
          <w:highlight w:val="none"/>
        </w:rPr>
        <w:t>、地点及方式</w:t>
      </w:r>
      <w:bookmarkEnd w:id="111"/>
      <w:r>
        <w:rPr>
          <w:rFonts w:hint="eastAsia" w:ascii="仿宋" w:hAnsi="仿宋" w:eastAsia="仿宋" w:cs="仿宋"/>
          <w:b/>
          <w:bCs/>
          <w:sz w:val="24"/>
          <w:highlight w:val="none"/>
        </w:rPr>
        <w:t>：</w:t>
      </w:r>
    </w:p>
    <w:p w14:paraId="38C8ED0E">
      <w:pPr>
        <w:adjustRightInd w:val="0"/>
        <w:snapToGrid w:val="0"/>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1、服务期限：</w:t>
      </w:r>
      <w:r>
        <w:rPr>
          <w:rFonts w:hint="eastAsia" w:ascii="仿宋" w:hAnsi="仿宋" w:eastAsia="仿宋" w:cs="仿宋"/>
          <w:sz w:val="24"/>
          <w:highlight w:val="none"/>
          <w:u w:val="single"/>
          <w:lang w:val="en-US" w:eastAsia="zh-CN"/>
        </w:rPr>
        <w:t xml:space="preserve">            </w:t>
      </w:r>
    </w:p>
    <w:p w14:paraId="5D63DAF0">
      <w:pPr>
        <w:adjustRightInd w:val="0"/>
        <w:snapToGrid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采购人指定地点</w:t>
      </w:r>
      <w:r>
        <w:rPr>
          <w:rFonts w:hint="eastAsia" w:ascii="仿宋" w:hAnsi="仿宋" w:eastAsia="仿宋" w:cs="仿宋"/>
          <w:kern w:val="2"/>
          <w:sz w:val="24"/>
          <w:szCs w:val="24"/>
          <w:highlight w:val="none"/>
          <w:lang w:val="en-US" w:eastAsia="zh-CN" w:bidi="ar-SA"/>
        </w:rPr>
        <w:t>；</w:t>
      </w:r>
    </w:p>
    <w:p w14:paraId="05A53E1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3、方式：采购人指定方式。</w:t>
      </w:r>
    </w:p>
    <w:p w14:paraId="229238D4">
      <w:pPr>
        <w:adjustRightInd w:val="0"/>
        <w:snapToGrid w:val="0"/>
        <w:spacing w:line="360" w:lineRule="auto"/>
        <w:ind w:firstLine="482" w:firstLineChars="200"/>
        <w:rPr>
          <w:rFonts w:hint="eastAsia" w:ascii="仿宋" w:hAnsi="仿宋" w:eastAsia="仿宋" w:cs="仿宋"/>
          <w:b/>
          <w:bCs/>
          <w:sz w:val="24"/>
          <w:lang w:val="en-US" w:eastAsia="zh-CN"/>
        </w:rPr>
      </w:pPr>
      <w:bookmarkStart w:id="112" w:name="_Toc19515390"/>
      <w:r>
        <w:rPr>
          <w:rFonts w:hint="eastAsia" w:ascii="仿宋" w:hAnsi="仿宋" w:eastAsia="仿宋" w:cs="仿宋"/>
          <w:b/>
          <w:bCs/>
          <w:sz w:val="24"/>
        </w:rPr>
        <w:t>五、服务</w:t>
      </w:r>
      <w:bookmarkEnd w:id="112"/>
      <w:r>
        <w:rPr>
          <w:rFonts w:hint="eastAsia" w:ascii="仿宋" w:hAnsi="仿宋" w:eastAsia="仿宋" w:cs="仿宋"/>
          <w:b/>
          <w:bCs/>
          <w:sz w:val="24"/>
          <w:lang w:val="en-US" w:eastAsia="zh-CN"/>
        </w:rPr>
        <w:t>内容</w:t>
      </w:r>
    </w:p>
    <w:p w14:paraId="49E98615">
      <w:pPr>
        <w:adjustRightInd w:val="0"/>
        <w:snapToGrid w:val="0"/>
        <w:spacing w:line="360" w:lineRule="auto"/>
        <w:ind w:firstLine="480" w:firstLineChars="200"/>
        <w:rPr>
          <w:rFonts w:hint="eastAsia" w:ascii="仿宋" w:hAnsi="仿宋" w:eastAsia="仿宋" w:cs="仿宋"/>
          <w:sz w:val="24"/>
          <w:highlight w:val="none"/>
          <w:lang w:val="en-US" w:eastAsia="zh-CN"/>
        </w:rPr>
      </w:pPr>
      <w:bookmarkStart w:id="113" w:name="_Toc19515391"/>
      <w:r>
        <w:rPr>
          <w:rFonts w:hint="eastAsia" w:ascii="仿宋" w:hAnsi="仿宋" w:eastAsia="仿宋" w:cs="仿宋"/>
          <w:sz w:val="24"/>
          <w:highlight w:val="none"/>
          <w:lang w:val="en-US" w:eastAsia="zh-CN"/>
        </w:rPr>
        <w:t>详见磋商文件第四章磋商要求及说明。</w:t>
      </w:r>
    </w:p>
    <w:p w14:paraId="35F662AE">
      <w:pPr>
        <w:adjustRightInd w:val="0"/>
        <w:snapToGrid w:val="0"/>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六、双方权利与义务</w:t>
      </w:r>
    </w:p>
    <w:p w14:paraId="0381BBEB">
      <w:pPr>
        <w:numPr>
          <w:ilvl w:val="0"/>
          <w:numId w:val="6"/>
        </w:numPr>
        <w:adjustRightInd w:val="0"/>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lang w:val="en-US" w:eastAsia="zh-CN"/>
        </w:rPr>
        <w:t>甲方权利与义务</w:t>
      </w:r>
      <w:r>
        <w:rPr>
          <w:rFonts w:hint="eastAsia" w:ascii="仿宋" w:hAnsi="仿宋" w:eastAsia="仿宋" w:cs="仿宋"/>
          <w:sz w:val="24"/>
          <w:highlight w:val="none"/>
        </w:rPr>
        <w:t>。</w:t>
      </w:r>
    </w:p>
    <w:p w14:paraId="0E46C8BD">
      <w:pPr>
        <w:pStyle w:val="10"/>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甲方提供乙方开始实施项目中所需的必要资料等；</w:t>
      </w:r>
    </w:p>
    <w:p w14:paraId="11250D7B">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甲方按照合同要求核销、结算支付合同价款；</w:t>
      </w:r>
    </w:p>
    <w:p w14:paraId="3D30F0A3">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7F5E92DC">
      <w:pPr>
        <w:numPr>
          <w:ilvl w:val="0"/>
          <w:numId w:val="6"/>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乙方权利与义务</w:t>
      </w:r>
      <w:r>
        <w:rPr>
          <w:rFonts w:hint="eastAsia" w:ascii="仿宋" w:hAnsi="仿宋" w:eastAsia="仿宋" w:cs="仿宋"/>
          <w:color w:val="auto"/>
          <w:sz w:val="24"/>
          <w:highlight w:val="none"/>
        </w:rPr>
        <w:t>。</w:t>
      </w:r>
    </w:p>
    <w:p w14:paraId="61724154">
      <w:pPr>
        <w:pStyle w:val="10"/>
        <w:numPr>
          <w:ilvl w:val="0"/>
          <w:numId w:val="8"/>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乙方应按照服务要求完成本次合同约定的全部服务要求；</w:t>
      </w:r>
    </w:p>
    <w:p w14:paraId="5C76C95F">
      <w:pPr>
        <w:pStyle w:val="29"/>
        <w:numPr>
          <w:ilvl w:val="0"/>
          <w:numId w:val="8"/>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乙方按照合同要求提供核销、结算发票及甲方要求的相关资料等；</w:t>
      </w:r>
    </w:p>
    <w:p w14:paraId="2085A073">
      <w:pPr>
        <w:pStyle w:val="29"/>
        <w:numPr>
          <w:ilvl w:val="0"/>
          <w:numId w:val="8"/>
        </w:numPr>
        <w:ind w:left="449" w:leftChars="104" w:hanging="199" w:hangingChars="83"/>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4BCE172D">
      <w:pPr>
        <w:adjustRightInd w:val="0"/>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七</w:t>
      </w:r>
      <w:r>
        <w:rPr>
          <w:rFonts w:hint="eastAsia" w:ascii="仿宋" w:hAnsi="仿宋" w:eastAsia="仿宋" w:cs="仿宋"/>
          <w:b/>
          <w:bCs/>
          <w:sz w:val="24"/>
        </w:rPr>
        <w:t>、</w:t>
      </w:r>
      <w:bookmarkEnd w:id="113"/>
      <w:bookmarkStart w:id="114" w:name="_Toc19515392"/>
      <w:r>
        <w:rPr>
          <w:rFonts w:hint="eastAsia" w:ascii="仿宋" w:hAnsi="仿宋" w:eastAsia="仿宋" w:cs="仿宋"/>
          <w:b/>
          <w:bCs/>
          <w:sz w:val="24"/>
        </w:rPr>
        <w:t>违约责任</w:t>
      </w:r>
      <w:bookmarkEnd w:id="114"/>
    </w:p>
    <w:p w14:paraId="18FED6F2">
      <w:pPr>
        <w:pStyle w:val="98"/>
        <w:spacing w:line="480" w:lineRule="exact"/>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（1）按《中华人民共和国合同法》中的相关条款执行。</w:t>
      </w:r>
    </w:p>
    <w:p w14:paraId="1CDA7BBB">
      <w:pPr>
        <w:pStyle w:val="98"/>
        <w:spacing w:line="480" w:lineRule="exact"/>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（2）未按合同要求提供的服务，采购人会同招标组织机构有权终止合同和对供应商的违约行为进行追究。</w:t>
      </w:r>
    </w:p>
    <w:p w14:paraId="39A51443">
      <w:pPr>
        <w:pStyle w:val="98"/>
        <w:spacing w:line="480" w:lineRule="exact"/>
        <w:ind w:firstLine="480"/>
        <w:rPr>
          <w:rFonts w:hint="eastAsia" w:ascii="仿宋" w:hAnsi="仿宋" w:eastAsia="仿宋" w:cs="仿宋"/>
        </w:rPr>
      </w:pPr>
      <w:r>
        <w:rPr>
          <w:rFonts w:hint="eastAsia" w:ascii="仿宋" w:hAnsi="仿宋" w:eastAsia="仿宋" w:cs="仿宋"/>
          <w:kern w:val="2"/>
          <w:sz w:val="24"/>
          <w:szCs w:val="24"/>
          <w:lang w:val="en-US" w:eastAsia="zh-CN" w:bidi="ar-SA"/>
        </w:rPr>
        <w:t>（3）乙方不能按期完成工作任务，乙方须按甲方已支付金额的双倍金额，返还于甲方，作为赔偿。如因甲方原因导致产品不能按计划完成，乙方不用承担赔偿责任。</w:t>
      </w:r>
    </w:p>
    <w:p w14:paraId="24E4D1FF">
      <w:pPr>
        <w:adjustRightInd w:val="0"/>
        <w:snapToGrid w:val="0"/>
        <w:spacing w:line="360" w:lineRule="auto"/>
        <w:ind w:firstLine="482" w:firstLineChars="200"/>
        <w:rPr>
          <w:rFonts w:hint="eastAsia" w:ascii="仿宋" w:hAnsi="仿宋" w:eastAsia="仿宋" w:cs="仿宋"/>
          <w:b/>
          <w:bCs/>
          <w:sz w:val="24"/>
        </w:rPr>
      </w:pPr>
      <w:bookmarkStart w:id="115" w:name="_Toc19515393"/>
      <w:r>
        <w:rPr>
          <w:rFonts w:hint="eastAsia" w:ascii="仿宋" w:hAnsi="仿宋" w:eastAsia="仿宋" w:cs="仿宋"/>
          <w:b/>
          <w:bCs/>
          <w:sz w:val="24"/>
          <w:lang w:val="en-US" w:eastAsia="zh-CN"/>
        </w:rPr>
        <w:t>八</w:t>
      </w:r>
      <w:r>
        <w:rPr>
          <w:rFonts w:hint="eastAsia" w:ascii="仿宋" w:hAnsi="仿宋" w:eastAsia="仿宋" w:cs="仿宋"/>
          <w:b/>
          <w:bCs/>
          <w:sz w:val="24"/>
        </w:rPr>
        <w:t>、合同组成</w:t>
      </w:r>
      <w:bookmarkEnd w:id="115"/>
    </w:p>
    <w:p w14:paraId="220AC9B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14:paraId="03E7E67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14:paraId="13F0650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14:paraId="461BD0E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4、竞争性磋商文件</w:t>
      </w:r>
    </w:p>
    <w:p w14:paraId="2484421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14:paraId="144AF7F3">
      <w:pPr>
        <w:adjustRightInd w:val="0"/>
        <w:snapToGrid w:val="0"/>
        <w:spacing w:line="360" w:lineRule="auto"/>
        <w:ind w:firstLine="482" w:firstLineChars="200"/>
        <w:rPr>
          <w:rFonts w:hint="eastAsia" w:ascii="仿宋" w:hAnsi="仿宋" w:eastAsia="仿宋" w:cs="仿宋"/>
          <w:b/>
          <w:bCs/>
          <w:sz w:val="24"/>
        </w:rPr>
      </w:pPr>
      <w:bookmarkStart w:id="116" w:name="_Toc19515394"/>
      <w:r>
        <w:rPr>
          <w:rFonts w:hint="eastAsia" w:ascii="仿宋" w:hAnsi="仿宋" w:eastAsia="仿宋" w:cs="仿宋"/>
          <w:b/>
          <w:bCs/>
          <w:sz w:val="24"/>
          <w:lang w:val="en-US" w:eastAsia="zh-CN"/>
        </w:rPr>
        <w:t>九</w:t>
      </w:r>
      <w:r>
        <w:rPr>
          <w:rFonts w:hint="eastAsia" w:ascii="仿宋" w:hAnsi="仿宋" w:eastAsia="仿宋" w:cs="仿宋"/>
          <w:b/>
          <w:bCs/>
          <w:sz w:val="24"/>
        </w:rPr>
        <w:t>、解决争议的方法</w:t>
      </w:r>
      <w:bookmarkEnd w:id="116"/>
    </w:p>
    <w:p w14:paraId="4D68B73E">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 xml:space="preserve">凡因本合同引起的或与本合同有关的争议，双方应友好协商解决。协商不成时，双方均同意采用以下第（ </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）种争议解决方式：</w:t>
      </w:r>
    </w:p>
    <w:p w14:paraId="56D8CAA0">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1、甲、乙双方均同意向</w:t>
      </w:r>
      <w:r>
        <w:rPr>
          <w:rFonts w:hint="eastAsia" w:ascii="仿宋" w:hAnsi="仿宋" w:eastAsia="仿宋" w:cs="仿宋"/>
          <w:kern w:val="0"/>
          <w:sz w:val="24"/>
          <w:u w:val="single"/>
        </w:rPr>
        <w:t>（甲方所在地人民法院）</w:t>
      </w:r>
      <w:r>
        <w:rPr>
          <w:rFonts w:hint="eastAsia" w:ascii="仿宋" w:hAnsi="仿宋" w:eastAsia="仿宋" w:cs="仿宋"/>
          <w:kern w:val="0"/>
          <w:sz w:val="24"/>
        </w:rPr>
        <w:t>提起诉讼。</w:t>
      </w:r>
    </w:p>
    <w:p w14:paraId="10EB45C6">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14:paraId="1CE4692F">
      <w:pPr>
        <w:adjustRightInd w:val="0"/>
        <w:snapToGrid w:val="0"/>
        <w:spacing w:line="360" w:lineRule="auto"/>
        <w:ind w:firstLine="482" w:firstLineChars="200"/>
        <w:rPr>
          <w:rFonts w:hint="eastAsia" w:ascii="仿宋" w:hAnsi="仿宋" w:eastAsia="仿宋" w:cs="仿宋"/>
          <w:b/>
          <w:bCs/>
          <w:sz w:val="24"/>
        </w:rPr>
      </w:pPr>
      <w:bookmarkStart w:id="117" w:name="_Toc19515395"/>
      <w:r>
        <w:rPr>
          <w:rFonts w:hint="eastAsia" w:ascii="仿宋" w:hAnsi="仿宋" w:eastAsia="仿宋" w:cs="仿宋"/>
          <w:b/>
          <w:bCs/>
          <w:sz w:val="24"/>
          <w:lang w:val="en-US" w:eastAsia="zh-CN"/>
        </w:rPr>
        <w:t>十</w:t>
      </w:r>
      <w:r>
        <w:rPr>
          <w:rFonts w:hint="eastAsia" w:ascii="仿宋" w:hAnsi="仿宋" w:eastAsia="仿宋" w:cs="仿宋"/>
          <w:b/>
          <w:bCs/>
          <w:sz w:val="24"/>
        </w:rPr>
        <w:t>、合同生效及其它</w:t>
      </w:r>
      <w:bookmarkEnd w:id="117"/>
    </w:p>
    <w:p w14:paraId="2A1DD972">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14:paraId="71572054">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25441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w:t>
      </w:r>
    </w:p>
    <w:p w14:paraId="4B1C690E">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4EEE747F">
            <w:pPr>
              <w:widowControl/>
              <w:autoSpaceDE w:val="0"/>
              <w:autoSpaceDN w:val="0"/>
              <w:snapToGrid w:val="0"/>
              <w:spacing w:line="360" w:lineRule="auto"/>
              <w:ind w:right="-154"/>
              <w:textAlignment w:val="bottom"/>
              <w:rPr>
                <w:rFonts w:hint="eastAsia" w:ascii="仿宋" w:hAnsi="仿宋" w:eastAsia="仿宋" w:cs="仿宋"/>
                <w:kern w:val="0"/>
                <w:sz w:val="24"/>
              </w:rPr>
            </w:pPr>
          </w:p>
          <w:p w14:paraId="41D0E06A">
            <w:pPr>
              <w:widowControl/>
              <w:autoSpaceDE w:val="0"/>
              <w:autoSpaceDN w:val="0"/>
              <w:snapToGrid w:val="0"/>
              <w:spacing w:line="360" w:lineRule="auto"/>
              <w:ind w:right="-154"/>
              <w:textAlignment w:val="bottom"/>
              <w:rPr>
                <w:rFonts w:hint="eastAsia" w:ascii="仿宋" w:hAnsi="仿宋" w:eastAsia="仿宋" w:cs="仿宋"/>
                <w:kern w:val="0"/>
                <w:sz w:val="24"/>
              </w:rPr>
            </w:pPr>
          </w:p>
          <w:p w14:paraId="3DE5C09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13DBA63D">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08ED4E1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4F66D04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544D860">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550" w:type="dxa"/>
          </w:tcPr>
          <w:p w14:paraId="3CDD9B00">
            <w:pPr>
              <w:widowControl/>
              <w:autoSpaceDE w:val="0"/>
              <w:autoSpaceDN w:val="0"/>
              <w:snapToGrid w:val="0"/>
              <w:spacing w:line="360" w:lineRule="auto"/>
              <w:ind w:right="-154"/>
              <w:textAlignment w:val="bottom"/>
              <w:rPr>
                <w:rFonts w:hint="eastAsia" w:ascii="仿宋" w:hAnsi="仿宋" w:eastAsia="仿宋" w:cs="仿宋"/>
                <w:kern w:val="0"/>
                <w:sz w:val="24"/>
              </w:rPr>
            </w:pPr>
          </w:p>
          <w:p w14:paraId="1214316E">
            <w:pPr>
              <w:widowControl/>
              <w:autoSpaceDE w:val="0"/>
              <w:autoSpaceDN w:val="0"/>
              <w:snapToGrid w:val="0"/>
              <w:spacing w:line="360" w:lineRule="auto"/>
              <w:ind w:right="-154"/>
              <w:textAlignment w:val="bottom"/>
              <w:rPr>
                <w:rFonts w:hint="eastAsia" w:ascii="仿宋" w:hAnsi="仿宋" w:eastAsia="仿宋" w:cs="仿宋"/>
                <w:kern w:val="0"/>
                <w:sz w:val="24"/>
              </w:rPr>
            </w:pPr>
          </w:p>
          <w:p w14:paraId="632CDBA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62704ED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30DD531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7B8EDAC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1B0F02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14:paraId="23F708CE">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E689B2">
      <w:pPr>
        <w:widowControl/>
        <w:spacing w:line="240" w:lineRule="auto"/>
        <w:jc w:val="center"/>
        <w:outlineLvl w:val="0"/>
        <w:rPr>
          <w:rFonts w:ascii="仿宋" w:hAnsi="仿宋" w:eastAsia="仿宋" w:cs="仿宋"/>
          <w:b/>
          <w:bCs/>
          <w:sz w:val="36"/>
          <w:szCs w:val="36"/>
          <w:highlight w:val="none"/>
        </w:rPr>
      </w:pPr>
      <w:bookmarkStart w:id="118" w:name="_Toc29577"/>
      <w:r>
        <w:rPr>
          <w:rFonts w:hint="eastAsia" w:ascii="仿宋" w:hAnsi="仿宋" w:eastAsia="仿宋" w:cs="仿宋"/>
          <w:b/>
          <w:bCs/>
          <w:sz w:val="36"/>
          <w:szCs w:val="36"/>
          <w:highlight w:val="none"/>
        </w:rPr>
        <w:t>第六章  竞争性磋商响应文件格式</w:t>
      </w:r>
      <w:bookmarkEnd w:id="105"/>
      <w:bookmarkEnd w:id="118"/>
    </w:p>
    <w:p w14:paraId="5527CB85">
      <w:pPr>
        <w:adjustRightInd w:val="0"/>
        <w:snapToGrid w:val="0"/>
        <w:spacing w:line="360" w:lineRule="auto"/>
        <w:ind w:right="600"/>
        <w:jc w:val="right"/>
        <w:rPr>
          <w:rFonts w:ascii="仿宋" w:hAnsi="仿宋" w:eastAsia="仿宋" w:cs="仿宋"/>
          <w:b/>
          <w:sz w:val="20"/>
          <w:szCs w:val="20"/>
          <w:highlight w:val="none"/>
        </w:rPr>
      </w:pPr>
      <w:bookmarkStart w:id="119" w:name="_Toc19196"/>
      <w:bookmarkStart w:id="120" w:name="_Toc10930_WPSOffice_Level1"/>
      <w:bookmarkStart w:id="121" w:name="_Toc25996_WPSOffice_Level1"/>
      <w:bookmarkStart w:id="122" w:name="_Toc5592_WPSOffice_Level1"/>
    </w:p>
    <w:p w14:paraId="69503D9E">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D46AE6E">
      <w:pPr>
        <w:wordWrap w:val="0"/>
        <w:spacing w:line="360" w:lineRule="auto"/>
        <w:ind w:right="980"/>
        <w:rPr>
          <w:rFonts w:ascii="仿宋" w:hAnsi="仿宋" w:eastAsia="仿宋" w:cs="仿宋"/>
          <w:b/>
          <w:sz w:val="28"/>
          <w:szCs w:val="28"/>
          <w:highlight w:val="none"/>
        </w:rPr>
      </w:pPr>
    </w:p>
    <w:p w14:paraId="71909F9B">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C35D2FE">
      <w:pPr>
        <w:spacing w:line="360" w:lineRule="auto"/>
        <w:rPr>
          <w:rFonts w:ascii="仿宋" w:hAnsi="仿宋" w:eastAsia="仿宋" w:cs="仿宋"/>
          <w:b/>
          <w:highlight w:val="none"/>
        </w:rPr>
      </w:pPr>
    </w:p>
    <w:p w14:paraId="16DF4D5D">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E7043DF">
      <w:pPr>
        <w:adjustRightInd w:val="0"/>
        <w:snapToGrid w:val="0"/>
        <w:spacing w:line="360" w:lineRule="auto"/>
        <w:jc w:val="center"/>
        <w:rPr>
          <w:rFonts w:ascii="仿宋" w:hAnsi="仿宋" w:eastAsia="仿宋" w:cs="仿宋"/>
          <w:bCs/>
          <w:sz w:val="48"/>
          <w:szCs w:val="48"/>
          <w:highlight w:val="none"/>
        </w:rPr>
      </w:pPr>
    </w:p>
    <w:p w14:paraId="37215944">
      <w:pPr>
        <w:adjustRightInd w:val="0"/>
        <w:snapToGrid w:val="0"/>
        <w:spacing w:line="360" w:lineRule="auto"/>
        <w:jc w:val="center"/>
        <w:rPr>
          <w:rFonts w:ascii="仿宋" w:hAnsi="仿宋" w:eastAsia="仿宋" w:cs="仿宋"/>
          <w:bCs/>
          <w:sz w:val="48"/>
          <w:szCs w:val="48"/>
          <w:highlight w:val="none"/>
        </w:rPr>
      </w:pPr>
    </w:p>
    <w:p w14:paraId="1C3A2CCD">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589CCDB7">
      <w:pPr>
        <w:adjustRightInd w:val="0"/>
        <w:snapToGrid w:val="0"/>
        <w:spacing w:line="360" w:lineRule="auto"/>
        <w:jc w:val="center"/>
        <w:rPr>
          <w:rFonts w:ascii="仿宋" w:hAnsi="仿宋" w:eastAsia="仿宋" w:cs="仿宋"/>
          <w:b/>
          <w:sz w:val="28"/>
          <w:highlight w:val="none"/>
        </w:rPr>
      </w:pPr>
    </w:p>
    <w:p w14:paraId="2C018D9E">
      <w:pPr>
        <w:adjustRightInd w:val="0"/>
        <w:snapToGrid w:val="0"/>
        <w:spacing w:line="360" w:lineRule="auto"/>
        <w:rPr>
          <w:rFonts w:ascii="仿宋" w:hAnsi="仿宋" w:eastAsia="仿宋" w:cs="仿宋"/>
          <w:b/>
          <w:sz w:val="28"/>
          <w:highlight w:val="none"/>
        </w:rPr>
      </w:pPr>
    </w:p>
    <w:p w14:paraId="7195F031">
      <w:pPr>
        <w:pStyle w:val="17"/>
        <w:rPr>
          <w:rFonts w:ascii="仿宋" w:hAnsi="仿宋" w:eastAsia="仿宋" w:cs="仿宋"/>
          <w:b/>
          <w:sz w:val="28"/>
          <w:highlight w:val="none"/>
        </w:rPr>
      </w:pPr>
    </w:p>
    <w:p w14:paraId="45AAC1A0">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A114D7E">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957EA3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840D396">
      <w:pPr>
        <w:adjustRightInd w:val="0"/>
        <w:snapToGrid w:val="0"/>
        <w:spacing w:line="360" w:lineRule="auto"/>
        <w:rPr>
          <w:rFonts w:ascii="仿宋" w:hAnsi="仿宋" w:eastAsia="仿宋" w:cs="仿宋"/>
          <w:b/>
          <w:sz w:val="20"/>
          <w:szCs w:val="28"/>
          <w:highlight w:val="none"/>
        </w:rPr>
      </w:pPr>
    </w:p>
    <w:p w14:paraId="343F24DB">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0CECED2E">
      <w:pPr>
        <w:pStyle w:val="10"/>
        <w:rPr>
          <w:highlight w:val="none"/>
        </w:rPr>
      </w:pPr>
    </w:p>
    <w:p w14:paraId="0592C44B">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1E909F84">
      <w:pPr>
        <w:spacing w:line="360" w:lineRule="auto"/>
        <w:jc w:val="left"/>
        <w:rPr>
          <w:rFonts w:ascii="仿宋" w:hAnsi="仿宋" w:eastAsia="仿宋" w:cs="仿宋"/>
          <w:b/>
          <w:bCs/>
          <w:spacing w:val="4"/>
          <w:sz w:val="32"/>
          <w:szCs w:val="32"/>
          <w:highlight w:val="none"/>
        </w:rPr>
      </w:pPr>
    </w:p>
    <w:p w14:paraId="424F888B">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14:paraId="2DCDAB35">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6387274">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法定代表人授权</w:t>
      </w:r>
      <w:r>
        <w:rPr>
          <w:rFonts w:hint="eastAsia" w:ascii="仿宋" w:hAnsi="仿宋" w:eastAsia="仿宋" w:cs="仿宋"/>
          <w:sz w:val="28"/>
          <w:szCs w:val="28"/>
          <w:highlight w:val="none"/>
        </w:rPr>
        <w:t>委托书………………………（页码）</w:t>
      </w:r>
    </w:p>
    <w:p w14:paraId="300CB331">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14:paraId="3FB713D2">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承接的类似项目情况表………………………（页码）</w:t>
      </w:r>
    </w:p>
    <w:p w14:paraId="792D8641">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6E6F4842">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商务和服务响应</w:t>
      </w:r>
      <w:r>
        <w:rPr>
          <w:rFonts w:hint="eastAsia" w:ascii="仿宋" w:hAnsi="仿宋" w:eastAsia="仿宋" w:cs="仿宋"/>
          <w:sz w:val="28"/>
          <w:szCs w:val="28"/>
          <w:highlight w:val="none"/>
        </w:rPr>
        <w:t>说明…………………………（页码）</w:t>
      </w:r>
    </w:p>
    <w:p w14:paraId="0ED95A06">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6DC091C">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14:paraId="1C8CA327">
      <w:pPr>
        <w:numPr>
          <w:ilvl w:val="0"/>
          <w:numId w:val="0"/>
        </w:numPr>
        <w:jc w:val="center"/>
        <w:outlineLvl w:val="1"/>
        <w:rPr>
          <w:rFonts w:ascii="仿宋" w:hAnsi="仿宋" w:eastAsia="仿宋" w:cs="仿宋"/>
          <w:b/>
          <w:bCs/>
          <w:sz w:val="32"/>
          <w:szCs w:val="32"/>
          <w:highlight w:val="none"/>
        </w:rPr>
      </w:pPr>
      <w:bookmarkStart w:id="123" w:name="_Toc32358"/>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br w:type="page"/>
      </w:r>
      <w:r>
        <w:rPr>
          <w:rFonts w:hint="eastAsia" w:ascii="仿宋" w:hAnsi="仿宋" w:eastAsia="仿宋" w:cs="仿宋"/>
          <w:bCs/>
          <w:sz w:val="32"/>
          <w:szCs w:val="32"/>
          <w:highlight w:val="none"/>
          <w:lang w:val="en-US" w:eastAsia="zh-CN"/>
        </w:rPr>
        <w:t>一、</w:t>
      </w:r>
      <w:r>
        <w:rPr>
          <w:rStyle w:val="97"/>
          <w:rFonts w:hint="eastAsia" w:ascii="仿宋" w:hAnsi="仿宋" w:eastAsia="仿宋" w:cs="仿宋"/>
          <w:sz w:val="32"/>
          <w:szCs w:val="32"/>
        </w:rPr>
        <w:t>磋商函</w:t>
      </w:r>
      <w:bookmarkEnd w:id="123"/>
    </w:p>
    <w:p w14:paraId="46ED2EB2">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14:paraId="208DC94E">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31B986C">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4FE8F5C">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5EA85AE1">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D7EB4CE">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0159EFF">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1E5A44F2">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3A7DC59D">
      <w:pPr>
        <w:autoSpaceDE w:val="0"/>
        <w:autoSpaceDN w:val="0"/>
        <w:adjustRightInd w:val="0"/>
        <w:spacing w:line="360" w:lineRule="auto"/>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2C6CE81">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07C3CBC0">
      <w:pPr>
        <w:pStyle w:val="81"/>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0B12EFFE">
      <w:pPr>
        <w:jc w:val="center"/>
        <w:outlineLvl w:val="1"/>
        <w:rPr>
          <w:rStyle w:val="97"/>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4" w:name="_Toc5618"/>
      <w:r>
        <w:rPr>
          <w:rStyle w:val="97"/>
          <w:rFonts w:hint="eastAsia" w:ascii="仿宋" w:hAnsi="仿宋" w:eastAsia="仿宋" w:cs="仿宋"/>
          <w:sz w:val="32"/>
          <w:szCs w:val="32"/>
        </w:rPr>
        <w:t>二、法定代表人身份证明</w:t>
      </w:r>
      <w:bookmarkEnd w:id="124"/>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14:paraId="1DE9C834">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14:paraId="3ED3369F">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14:paraId="3A615DE8">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14EB76D">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AB8F1BB">
            <w:pPr>
              <w:tabs>
                <w:tab w:val="left" w:pos="210"/>
              </w:tabs>
              <w:spacing w:line="360" w:lineRule="auto"/>
              <w:jc w:val="left"/>
              <w:rPr>
                <w:rFonts w:ascii="仿宋" w:hAnsi="仿宋" w:eastAsia="仿宋" w:cs="仿宋"/>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7E1DCA7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0BDD696">
            <w:pPr>
              <w:tabs>
                <w:tab w:val="left" w:pos="210"/>
              </w:tabs>
              <w:spacing w:line="360" w:lineRule="auto"/>
              <w:jc w:val="left"/>
              <w:rPr>
                <w:rFonts w:ascii="仿宋" w:hAnsi="仿宋" w:eastAsia="仿宋" w:cs="仿宋"/>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065706E6">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B8E7617">
            <w:pPr>
              <w:tabs>
                <w:tab w:val="left" w:pos="210"/>
              </w:tabs>
              <w:spacing w:line="360" w:lineRule="auto"/>
              <w:jc w:val="left"/>
              <w:rPr>
                <w:rFonts w:ascii="仿宋" w:hAnsi="仿宋" w:eastAsia="仿宋" w:cs="仿宋"/>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12099E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4CCF8754">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5298B8FD">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3527BEAC">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765E619">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E1B18AE">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30E32F3">
            <w:pPr>
              <w:tabs>
                <w:tab w:val="left" w:pos="210"/>
              </w:tabs>
              <w:spacing w:line="360" w:lineRule="auto"/>
              <w:jc w:val="left"/>
              <w:rPr>
                <w:rFonts w:ascii="仿宋" w:hAnsi="仿宋" w:eastAsia="仿宋" w:cs="仿宋"/>
                <w:kern w:val="0"/>
                <w:highlight w:val="none"/>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221922D5">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AAB2775">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14:paraId="261973A9">
            <w:pPr>
              <w:tabs>
                <w:tab w:val="left" w:pos="210"/>
              </w:tabs>
              <w:spacing w:line="360" w:lineRule="auto"/>
              <w:jc w:val="left"/>
              <w:rPr>
                <w:rFonts w:ascii="仿宋" w:hAnsi="仿宋" w:eastAsia="仿宋" w:cs="仿宋"/>
                <w:kern w:val="0"/>
                <w:highlight w:val="none"/>
              </w:rPr>
            </w:pPr>
          </w:p>
          <w:p w14:paraId="313B2AEE">
            <w:pPr>
              <w:tabs>
                <w:tab w:val="left" w:pos="210"/>
              </w:tabs>
              <w:spacing w:line="360" w:lineRule="auto"/>
              <w:jc w:val="left"/>
              <w:rPr>
                <w:rFonts w:ascii="仿宋" w:hAnsi="仿宋" w:eastAsia="仿宋" w:cs="仿宋"/>
                <w:kern w:val="0"/>
                <w:highlight w:val="none"/>
              </w:rPr>
            </w:pPr>
          </w:p>
          <w:p w14:paraId="0F77375B">
            <w:pPr>
              <w:tabs>
                <w:tab w:val="left" w:pos="210"/>
              </w:tabs>
              <w:spacing w:line="360" w:lineRule="auto"/>
              <w:jc w:val="left"/>
              <w:rPr>
                <w:rFonts w:ascii="仿宋" w:hAnsi="仿宋" w:eastAsia="仿宋" w:cs="仿宋"/>
                <w:kern w:val="0"/>
                <w:highlight w:val="none"/>
              </w:rPr>
            </w:pPr>
          </w:p>
          <w:p w14:paraId="3F15885B">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14:paraId="0A2CF8E0">
      <w:pPr>
        <w:rPr>
          <w:rStyle w:val="97"/>
          <w:rFonts w:hint="eastAsia" w:ascii="仿宋" w:hAnsi="仿宋" w:eastAsia="仿宋" w:cs="仿宋"/>
          <w:sz w:val="32"/>
          <w:szCs w:val="32"/>
        </w:rPr>
      </w:pPr>
      <w:r>
        <w:rPr>
          <w:rStyle w:val="97"/>
          <w:rFonts w:hint="eastAsia" w:ascii="仿宋" w:hAnsi="仿宋" w:eastAsia="仿宋" w:cs="仿宋"/>
          <w:sz w:val="32"/>
          <w:szCs w:val="32"/>
        </w:rPr>
        <w:br w:type="page"/>
      </w:r>
    </w:p>
    <w:p w14:paraId="55210755">
      <w:pPr>
        <w:overflowPunct w:val="0"/>
        <w:spacing w:line="360" w:lineRule="auto"/>
        <w:jc w:val="center"/>
        <w:outlineLvl w:val="1"/>
        <w:rPr>
          <w:rFonts w:ascii="仿宋" w:hAnsi="仿宋" w:eastAsia="仿宋" w:cs="仿宋"/>
          <w:b/>
          <w:bCs/>
          <w:sz w:val="32"/>
          <w:szCs w:val="32"/>
          <w:highlight w:val="none"/>
        </w:rPr>
      </w:pPr>
      <w:bookmarkStart w:id="125" w:name="_Toc7320"/>
      <w:r>
        <w:rPr>
          <w:rStyle w:val="97"/>
          <w:rFonts w:hint="eastAsia" w:ascii="仿宋" w:hAnsi="仿宋" w:eastAsia="仿宋" w:cs="仿宋"/>
          <w:sz w:val="32"/>
          <w:szCs w:val="32"/>
        </w:rPr>
        <w:t>三、</w:t>
      </w:r>
      <w:r>
        <w:rPr>
          <w:rStyle w:val="97"/>
          <w:rFonts w:hint="eastAsia" w:ascii="仿宋" w:hAnsi="仿宋" w:eastAsia="仿宋" w:cs="仿宋"/>
          <w:sz w:val="32"/>
          <w:szCs w:val="32"/>
          <w:lang w:val="en-US" w:eastAsia="zh-CN"/>
        </w:rPr>
        <w:t>法定代表人</w:t>
      </w:r>
      <w:r>
        <w:rPr>
          <w:rStyle w:val="97"/>
          <w:rFonts w:hint="eastAsia" w:ascii="仿宋" w:hAnsi="仿宋" w:eastAsia="仿宋" w:cs="仿宋"/>
          <w:sz w:val="32"/>
          <w:szCs w:val="32"/>
        </w:rPr>
        <w:t>授权委托书</w:t>
      </w:r>
      <w:bookmarkEnd w:id="125"/>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52043F8">
      <w:pPr>
        <w:rPr>
          <w:rFonts w:hint="eastAsia"/>
          <w:lang w:val="en-US" w:eastAsia="zh-CN"/>
        </w:rPr>
      </w:pPr>
      <w:r>
        <w:rPr>
          <w:rFonts w:hint="eastAsia" w:ascii="仿宋" w:hAnsi="仿宋" w:eastAsia="仿宋" w:cs="仿宋"/>
          <w:bCs/>
          <w:sz w:val="24"/>
          <w:szCs w:val="24"/>
          <w:highlight w:val="none"/>
          <w:lang w:val="en-US" w:eastAsia="zh-CN"/>
        </w:rPr>
        <w:br w:type="page"/>
      </w:r>
    </w:p>
    <w:p w14:paraId="42469F8F">
      <w:pPr>
        <w:overflowPunct w:val="0"/>
        <w:spacing w:line="360" w:lineRule="auto"/>
        <w:jc w:val="center"/>
        <w:outlineLvl w:val="1"/>
        <w:rPr>
          <w:rStyle w:val="97"/>
          <w:rFonts w:hint="eastAsia" w:ascii="仿宋" w:hAnsi="仿宋" w:eastAsia="仿宋" w:cs="仿宋"/>
          <w:sz w:val="32"/>
          <w:szCs w:val="32"/>
        </w:rPr>
      </w:pPr>
      <w:bookmarkStart w:id="126" w:name="_Toc32694"/>
      <w:bookmarkStart w:id="127" w:name="_Toc18383"/>
      <w:bookmarkStart w:id="128" w:name="_Toc26642"/>
      <w:r>
        <w:rPr>
          <w:rStyle w:val="97"/>
          <w:rFonts w:hint="eastAsia" w:ascii="仿宋" w:hAnsi="仿宋" w:eastAsia="仿宋" w:cs="仿宋"/>
          <w:sz w:val="32"/>
          <w:szCs w:val="32"/>
        </w:rPr>
        <w:t>四、报价表（第一次）</w:t>
      </w:r>
      <w:bookmarkEnd w:id="126"/>
      <w:bookmarkEnd w:id="127"/>
      <w:bookmarkEnd w:id="128"/>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7902799">
            <w:pPr>
              <w:widowControl/>
              <w:jc w:val="center"/>
              <w:rPr>
                <w:rFonts w:ascii="仿宋" w:hAnsi="仿宋" w:eastAsia="仿宋" w:cs="仿宋"/>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9B66DC7">
            <w:pPr>
              <w:jc w:val="center"/>
              <w:rPr>
                <w:rFonts w:ascii="仿宋" w:hAnsi="仿宋" w:eastAsia="仿宋" w:cs="仿宋"/>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ascii="仿宋" w:hAnsi="仿宋" w:eastAsia="仿宋" w:cs="仿宋"/>
                <w:highlight w:val="none"/>
              </w:rPr>
            </w:pPr>
            <w:r>
              <w:rPr>
                <w:rFonts w:hint="eastAsia" w:ascii="仿宋" w:hAnsi="仿宋" w:eastAsia="仿宋" w:cs="仿宋"/>
                <w:highlight w:val="none"/>
              </w:rPr>
              <w:t>磋商总报价</w:t>
            </w:r>
          </w:p>
          <w:p w14:paraId="06F245A6">
            <w:pPr>
              <w:jc w:val="center"/>
              <w:rPr>
                <w:rFonts w:ascii="仿宋" w:hAnsi="仿宋" w:eastAsia="仿宋" w:cs="仿宋"/>
                <w:highlight w:val="none"/>
              </w:rPr>
            </w:pPr>
            <w:r>
              <w:rPr>
                <w:rFonts w:hint="eastAsia" w:ascii="仿宋" w:hAnsi="仿宋" w:eastAsia="仿宋" w:cs="仿宋"/>
                <w:highlight w:val="none"/>
              </w:rPr>
              <w:t>（元）</w:t>
            </w:r>
          </w:p>
        </w:tc>
        <w:tc>
          <w:tcPr>
            <w:tcW w:w="6667" w:type="dxa"/>
            <w:vAlign w:val="center"/>
          </w:tcPr>
          <w:p w14:paraId="15137436">
            <w:pPr>
              <w:rPr>
                <w:rFonts w:ascii="仿宋" w:hAnsi="仿宋" w:eastAsia="仿宋" w:cs="仿宋"/>
                <w:highlight w:val="none"/>
              </w:rPr>
            </w:pPr>
            <w:r>
              <w:rPr>
                <w:rFonts w:hint="eastAsia" w:ascii="仿宋" w:hAnsi="仿宋" w:eastAsia="仿宋" w:cs="仿宋"/>
                <w:highlight w:val="none"/>
              </w:rPr>
              <w:t>大写:</w:t>
            </w:r>
          </w:p>
          <w:p w14:paraId="6A99464D">
            <w:pPr>
              <w:pStyle w:val="17"/>
              <w:rPr>
                <w:rFonts w:ascii="仿宋" w:hAnsi="仿宋" w:eastAsia="仿宋" w:cs="仿宋"/>
                <w:sz w:val="24"/>
                <w:szCs w:val="24"/>
                <w:highlight w:val="none"/>
              </w:rPr>
            </w:pPr>
          </w:p>
          <w:p w14:paraId="60644802">
            <w:pPr>
              <w:rPr>
                <w:rFonts w:ascii="仿宋" w:hAnsi="仿宋" w:eastAsia="仿宋" w:cs="仿宋"/>
                <w:highlight w:val="none"/>
              </w:rPr>
            </w:pPr>
            <w:r>
              <w:rPr>
                <w:rFonts w:hint="eastAsia" w:ascii="仿宋" w:hAnsi="仿宋" w:eastAsia="仿宋" w:cs="仿宋"/>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default" w:ascii="仿宋" w:hAnsi="仿宋" w:eastAsia="仿宋" w:cs="仿宋"/>
                <w:highlight w:val="yellow"/>
                <w:lang w:val="en-US" w:eastAsia="zh-CN"/>
              </w:rPr>
            </w:pPr>
            <w:r>
              <w:rPr>
                <w:rFonts w:hint="eastAsia" w:ascii="仿宋" w:hAnsi="仿宋" w:eastAsia="仿宋" w:cs="仿宋"/>
                <w:highlight w:val="none"/>
                <w:lang w:val="en-US" w:eastAsia="zh-CN"/>
              </w:rPr>
              <w:t>服务期限</w:t>
            </w:r>
          </w:p>
        </w:tc>
        <w:tc>
          <w:tcPr>
            <w:tcW w:w="6667" w:type="dxa"/>
            <w:vAlign w:val="center"/>
          </w:tcPr>
          <w:p w14:paraId="69073AD3">
            <w:pPr>
              <w:widowControl/>
              <w:rPr>
                <w:rFonts w:ascii="仿宋" w:hAnsi="仿宋" w:eastAsia="仿宋" w:cs="仿宋"/>
                <w:kern w:val="0"/>
                <w:highlight w:val="yellow"/>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C97E29C">
            <w:pPr>
              <w:widowControl/>
              <w:rPr>
                <w:rFonts w:ascii="仿宋" w:hAnsi="仿宋" w:eastAsia="仿宋" w:cs="仿宋"/>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ascii="仿宋" w:hAnsi="仿宋" w:eastAsia="仿宋" w:cs="仿宋"/>
                <w:highlight w:val="none"/>
              </w:rPr>
            </w:pPr>
            <w:r>
              <w:rPr>
                <w:rFonts w:hint="eastAsia" w:ascii="仿宋" w:hAnsi="仿宋" w:eastAsia="仿宋" w:cs="仿宋"/>
                <w:highlight w:val="none"/>
              </w:rPr>
              <w:t>说明：</w:t>
            </w:r>
          </w:p>
          <w:p w14:paraId="43B01766">
            <w:pPr>
              <w:widowControl/>
              <w:rPr>
                <w:rFonts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08EBC931">
            <w:pPr>
              <w:pStyle w:val="10"/>
              <w:rPr>
                <w:rFonts w:eastAsia="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6AF768F2">
      <w:pPr>
        <w:spacing w:line="360" w:lineRule="auto"/>
        <w:rPr>
          <w:rFonts w:ascii="仿宋" w:hAnsi="仿宋" w:eastAsia="仿宋" w:cs="仿宋"/>
          <w:highlight w:val="none"/>
        </w:rPr>
      </w:pPr>
    </w:p>
    <w:p w14:paraId="393644D4">
      <w:pPr>
        <w:spacing w:line="360" w:lineRule="auto"/>
        <w:rPr>
          <w:rFonts w:ascii="仿宋" w:hAnsi="仿宋" w:eastAsia="仿宋" w:cs="仿宋"/>
          <w:highlight w:val="none"/>
        </w:rPr>
      </w:pPr>
    </w:p>
    <w:p w14:paraId="7DF57C52">
      <w:pPr>
        <w:spacing w:line="360" w:lineRule="auto"/>
        <w:rPr>
          <w:rFonts w:ascii="仿宋" w:hAnsi="仿宋" w:eastAsia="仿宋" w:cs="仿宋"/>
          <w:highlight w:val="none"/>
        </w:rPr>
      </w:pPr>
    </w:p>
    <w:p w14:paraId="40EE6C79">
      <w:pPr>
        <w:spacing w:line="360" w:lineRule="auto"/>
        <w:jc w:val="center"/>
        <w:rPr>
          <w:rFonts w:ascii="仿宋" w:hAnsi="仿宋" w:eastAsia="仿宋" w:cs="仿宋"/>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10"/>
        <w:jc w:val="center"/>
        <w:rPr>
          <w:rFonts w:hint="eastAsia" w:ascii="仿宋" w:hAnsi="仿宋" w:eastAsia="仿宋" w:cs="仿宋"/>
          <w:b/>
          <w:bCs/>
          <w:color w:val="auto"/>
          <w:sz w:val="30"/>
          <w:szCs w:val="30"/>
          <w:highlight w:val="none"/>
        </w:rPr>
      </w:pPr>
    </w:p>
    <w:p w14:paraId="7D0EEA88">
      <w:pPr>
        <w:pStyle w:val="10"/>
        <w:jc w:val="center"/>
        <w:rPr>
          <w:rFonts w:hint="eastAsia" w:ascii="仿宋" w:hAnsi="仿宋" w:eastAsia="仿宋" w:cs="仿宋"/>
          <w:b/>
          <w:bCs/>
          <w:color w:val="auto"/>
          <w:sz w:val="30"/>
          <w:szCs w:val="30"/>
          <w:highlight w:val="none"/>
        </w:rPr>
      </w:pPr>
    </w:p>
    <w:p w14:paraId="629506DA">
      <w:pPr>
        <w:pStyle w:val="10"/>
        <w:jc w:val="center"/>
        <w:rPr>
          <w:rFonts w:hint="eastAsia" w:ascii="仿宋" w:hAnsi="仿宋" w:eastAsia="仿宋" w:cs="仿宋"/>
          <w:b/>
          <w:bCs/>
          <w:color w:val="auto"/>
          <w:sz w:val="30"/>
          <w:szCs w:val="30"/>
          <w:highlight w:val="none"/>
        </w:rPr>
      </w:pPr>
    </w:p>
    <w:p w14:paraId="6549ECEB">
      <w:pPr>
        <w:pStyle w:val="10"/>
        <w:jc w:val="center"/>
        <w:rPr>
          <w:rFonts w:hint="eastAsia" w:ascii="仿宋" w:hAnsi="仿宋" w:eastAsia="仿宋" w:cs="仿宋"/>
          <w:b/>
          <w:bCs/>
          <w:color w:val="auto"/>
          <w:sz w:val="30"/>
          <w:szCs w:val="30"/>
          <w:highlight w:val="none"/>
        </w:rPr>
      </w:pPr>
    </w:p>
    <w:p w14:paraId="3784C0BB">
      <w:pPr>
        <w:bidi w:val="0"/>
        <w:jc w:val="center"/>
        <w:outlineLvl w:val="1"/>
        <w:rPr>
          <w:rFonts w:hint="eastAsia" w:ascii="仿宋" w:hAnsi="仿宋" w:eastAsia="仿宋" w:cs="仿宋"/>
          <w:b/>
          <w:bCs/>
          <w:sz w:val="32"/>
          <w:szCs w:val="32"/>
        </w:rPr>
      </w:pPr>
      <w:bookmarkStart w:id="129" w:name="_Toc5213"/>
      <w:r>
        <w:rPr>
          <w:rFonts w:hint="eastAsia" w:ascii="仿宋" w:hAnsi="仿宋" w:eastAsia="仿宋" w:cs="仿宋"/>
          <w:b/>
          <w:bCs/>
          <w:sz w:val="32"/>
          <w:szCs w:val="32"/>
        </w:rPr>
        <w:t>分项报价表（第一次）</w:t>
      </w:r>
      <w:bookmarkEnd w:id="129"/>
    </w:p>
    <w:p w14:paraId="798D3500">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项目名称：                                       </w:t>
      </w:r>
    </w:p>
    <w:p w14:paraId="19FBFC7D">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A5745C">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341F2363">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2AB4D056">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7BD298F">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430A8AD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0CE12FC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7032F769">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备注</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65D58A9">
            <w:pPr>
              <w:overflowPunct w:val="0"/>
              <w:spacing w:line="360" w:lineRule="auto"/>
              <w:jc w:val="center"/>
              <w:rPr>
                <w:rFonts w:ascii="仿宋" w:hAnsi="仿宋" w:eastAsia="仿宋" w:cs="仿宋"/>
                <w:highlight w:val="none"/>
              </w:rPr>
            </w:pPr>
          </w:p>
        </w:tc>
        <w:tc>
          <w:tcPr>
            <w:tcW w:w="2315" w:type="dxa"/>
            <w:vAlign w:val="center"/>
          </w:tcPr>
          <w:p w14:paraId="556CF047">
            <w:pPr>
              <w:overflowPunct w:val="0"/>
              <w:spacing w:line="360" w:lineRule="auto"/>
              <w:jc w:val="center"/>
              <w:rPr>
                <w:rFonts w:hint="default" w:ascii="仿宋" w:hAnsi="仿宋" w:eastAsia="仿宋" w:cs="仿宋"/>
                <w:highlight w:val="none"/>
                <w:lang w:val="en-US" w:eastAsia="zh-CN"/>
              </w:rPr>
            </w:pPr>
          </w:p>
        </w:tc>
        <w:tc>
          <w:tcPr>
            <w:tcW w:w="1247" w:type="dxa"/>
            <w:vAlign w:val="center"/>
          </w:tcPr>
          <w:p w14:paraId="46676445">
            <w:pPr>
              <w:overflowPunct w:val="0"/>
              <w:spacing w:line="360" w:lineRule="auto"/>
              <w:jc w:val="center"/>
              <w:rPr>
                <w:rFonts w:ascii="仿宋" w:hAnsi="仿宋" w:eastAsia="仿宋" w:cs="仿宋"/>
                <w:highlight w:val="none"/>
              </w:rPr>
            </w:pPr>
          </w:p>
        </w:tc>
        <w:tc>
          <w:tcPr>
            <w:tcW w:w="1185" w:type="dxa"/>
            <w:vAlign w:val="center"/>
          </w:tcPr>
          <w:p w14:paraId="0F6418BE">
            <w:pPr>
              <w:overflowPunct w:val="0"/>
              <w:spacing w:line="360" w:lineRule="auto"/>
              <w:jc w:val="center"/>
              <w:rPr>
                <w:rFonts w:ascii="仿宋" w:hAnsi="仿宋" w:eastAsia="仿宋" w:cs="仿宋"/>
                <w:highlight w:val="none"/>
              </w:rPr>
            </w:pPr>
          </w:p>
        </w:tc>
        <w:tc>
          <w:tcPr>
            <w:tcW w:w="1267" w:type="dxa"/>
            <w:vAlign w:val="center"/>
          </w:tcPr>
          <w:p w14:paraId="3A5433C1">
            <w:pPr>
              <w:overflowPunct w:val="0"/>
              <w:spacing w:line="360" w:lineRule="auto"/>
              <w:jc w:val="center"/>
              <w:rPr>
                <w:rFonts w:ascii="仿宋" w:hAnsi="仿宋" w:eastAsia="仿宋" w:cs="仿宋"/>
                <w:highlight w:val="none"/>
              </w:rPr>
            </w:pPr>
          </w:p>
        </w:tc>
        <w:tc>
          <w:tcPr>
            <w:tcW w:w="1446" w:type="dxa"/>
            <w:vAlign w:val="center"/>
          </w:tcPr>
          <w:p w14:paraId="39B31261">
            <w:pPr>
              <w:overflowPunct w:val="0"/>
              <w:spacing w:line="360" w:lineRule="auto"/>
              <w:jc w:val="center"/>
              <w:rPr>
                <w:rFonts w:ascii="仿宋" w:hAnsi="仿宋" w:eastAsia="仿宋" w:cs="仿宋"/>
                <w:highlight w:val="none"/>
              </w:rPr>
            </w:pPr>
          </w:p>
        </w:tc>
        <w:tc>
          <w:tcPr>
            <w:tcW w:w="884" w:type="dxa"/>
            <w:vAlign w:val="center"/>
          </w:tcPr>
          <w:p w14:paraId="07E7CEF7">
            <w:pPr>
              <w:overflowPunct w:val="0"/>
              <w:spacing w:line="360" w:lineRule="auto"/>
              <w:jc w:val="center"/>
              <w:rPr>
                <w:rFonts w:ascii="仿宋" w:hAnsi="仿宋" w:eastAsia="仿宋" w:cs="仿宋"/>
                <w:highlight w:val="none"/>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CFDE66">
            <w:pPr>
              <w:overflowPunct w:val="0"/>
              <w:spacing w:line="360" w:lineRule="auto"/>
              <w:jc w:val="center"/>
              <w:rPr>
                <w:rFonts w:ascii="仿宋" w:hAnsi="仿宋" w:eastAsia="仿宋" w:cs="仿宋"/>
                <w:highlight w:val="none"/>
              </w:rPr>
            </w:pPr>
          </w:p>
        </w:tc>
        <w:tc>
          <w:tcPr>
            <w:tcW w:w="2315" w:type="dxa"/>
            <w:vAlign w:val="center"/>
          </w:tcPr>
          <w:p w14:paraId="3D1ABE11">
            <w:pPr>
              <w:overflowPunct w:val="0"/>
              <w:spacing w:line="360" w:lineRule="auto"/>
              <w:jc w:val="center"/>
              <w:rPr>
                <w:rFonts w:ascii="仿宋" w:hAnsi="仿宋" w:eastAsia="仿宋" w:cs="仿宋"/>
                <w:highlight w:val="none"/>
              </w:rPr>
            </w:pPr>
          </w:p>
        </w:tc>
        <w:tc>
          <w:tcPr>
            <w:tcW w:w="1247" w:type="dxa"/>
            <w:vAlign w:val="center"/>
          </w:tcPr>
          <w:p w14:paraId="76AB9200">
            <w:pPr>
              <w:overflowPunct w:val="0"/>
              <w:spacing w:line="360" w:lineRule="auto"/>
              <w:jc w:val="center"/>
              <w:rPr>
                <w:rFonts w:ascii="仿宋" w:hAnsi="仿宋" w:eastAsia="仿宋" w:cs="仿宋"/>
                <w:highlight w:val="none"/>
              </w:rPr>
            </w:pPr>
          </w:p>
        </w:tc>
        <w:tc>
          <w:tcPr>
            <w:tcW w:w="1185" w:type="dxa"/>
            <w:vAlign w:val="center"/>
          </w:tcPr>
          <w:p w14:paraId="39B8D2CD">
            <w:pPr>
              <w:overflowPunct w:val="0"/>
              <w:spacing w:line="360" w:lineRule="auto"/>
              <w:jc w:val="center"/>
              <w:rPr>
                <w:rFonts w:ascii="仿宋" w:hAnsi="仿宋" w:eastAsia="仿宋" w:cs="仿宋"/>
                <w:highlight w:val="none"/>
              </w:rPr>
            </w:pPr>
          </w:p>
        </w:tc>
        <w:tc>
          <w:tcPr>
            <w:tcW w:w="1267" w:type="dxa"/>
            <w:vAlign w:val="center"/>
          </w:tcPr>
          <w:p w14:paraId="77E5D5A3">
            <w:pPr>
              <w:overflowPunct w:val="0"/>
              <w:spacing w:line="360" w:lineRule="auto"/>
              <w:jc w:val="center"/>
              <w:rPr>
                <w:rFonts w:ascii="仿宋" w:hAnsi="仿宋" w:eastAsia="仿宋" w:cs="仿宋"/>
                <w:highlight w:val="none"/>
              </w:rPr>
            </w:pPr>
          </w:p>
        </w:tc>
        <w:tc>
          <w:tcPr>
            <w:tcW w:w="1446" w:type="dxa"/>
            <w:vAlign w:val="center"/>
          </w:tcPr>
          <w:p w14:paraId="54B8918A">
            <w:pPr>
              <w:overflowPunct w:val="0"/>
              <w:spacing w:line="360" w:lineRule="auto"/>
              <w:jc w:val="center"/>
              <w:rPr>
                <w:rFonts w:ascii="仿宋" w:hAnsi="仿宋" w:eastAsia="仿宋" w:cs="仿宋"/>
                <w:highlight w:val="none"/>
              </w:rPr>
            </w:pPr>
          </w:p>
        </w:tc>
        <w:tc>
          <w:tcPr>
            <w:tcW w:w="884" w:type="dxa"/>
            <w:vAlign w:val="center"/>
          </w:tcPr>
          <w:p w14:paraId="7BC53C3E">
            <w:pPr>
              <w:overflowPunct w:val="0"/>
              <w:spacing w:line="360" w:lineRule="auto"/>
              <w:jc w:val="center"/>
              <w:rPr>
                <w:rFonts w:ascii="仿宋" w:hAnsi="仿宋" w:eastAsia="仿宋" w:cs="仿宋"/>
                <w:highlight w:val="none"/>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A8F247">
            <w:pPr>
              <w:overflowPunct w:val="0"/>
              <w:spacing w:line="360" w:lineRule="auto"/>
              <w:jc w:val="center"/>
              <w:rPr>
                <w:rFonts w:ascii="仿宋" w:hAnsi="仿宋" w:eastAsia="仿宋" w:cs="仿宋"/>
                <w:highlight w:val="none"/>
              </w:rPr>
            </w:pPr>
          </w:p>
        </w:tc>
        <w:tc>
          <w:tcPr>
            <w:tcW w:w="2315" w:type="dxa"/>
            <w:vAlign w:val="center"/>
          </w:tcPr>
          <w:p w14:paraId="0AE9BCFD">
            <w:pPr>
              <w:overflowPunct w:val="0"/>
              <w:spacing w:line="360" w:lineRule="auto"/>
              <w:jc w:val="center"/>
              <w:rPr>
                <w:rFonts w:ascii="仿宋" w:hAnsi="仿宋" w:eastAsia="仿宋" w:cs="仿宋"/>
                <w:highlight w:val="none"/>
              </w:rPr>
            </w:pPr>
          </w:p>
        </w:tc>
        <w:tc>
          <w:tcPr>
            <w:tcW w:w="1247" w:type="dxa"/>
            <w:vAlign w:val="center"/>
          </w:tcPr>
          <w:p w14:paraId="70F4F5E4">
            <w:pPr>
              <w:overflowPunct w:val="0"/>
              <w:spacing w:line="360" w:lineRule="auto"/>
              <w:jc w:val="center"/>
              <w:rPr>
                <w:rFonts w:ascii="仿宋" w:hAnsi="仿宋" w:eastAsia="仿宋" w:cs="仿宋"/>
                <w:highlight w:val="none"/>
              </w:rPr>
            </w:pPr>
          </w:p>
        </w:tc>
        <w:tc>
          <w:tcPr>
            <w:tcW w:w="1185" w:type="dxa"/>
            <w:vAlign w:val="center"/>
          </w:tcPr>
          <w:p w14:paraId="4FDD851C">
            <w:pPr>
              <w:overflowPunct w:val="0"/>
              <w:spacing w:line="360" w:lineRule="auto"/>
              <w:jc w:val="center"/>
              <w:rPr>
                <w:rFonts w:ascii="仿宋" w:hAnsi="仿宋" w:eastAsia="仿宋" w:cs="仿宋"/>
                <w:highlight w:val="none"/>
              </w:rPr>
            </w:pPr>
          </w:p>
        </w:tc>
        <w:tc>
          <w:tcPr>
            <w:tcW w:w="1267" w:type="dxa"/>
            <w:vAlign w:val="center"/>
          </w:tcPr>
          <w:p w14:paraId="296AA682">
            <w:pPr>
              <w:overflowPunct w:val="0"/>
              <w:spacing w:line="360" w:lineRule="auto"/>
              <w:jc w:val="center"/>
              <w:rPr>
                <w:rFonts w:ascii="仿宋" w:hAnsi="仿宋" w:eastAsia="仿宋" w:cs="仿宋"/>
                <w:highlight w:val="none"/>
              </w:rPr>
            </w:pPr>
          </w:p>
        </w:tc>
        <w:tc>
          <w:tcPr>
            <w:tcW w:w="1446" w:type="dxa"/>
            <w:vAlign w:val="center"/>
          </w:tcPr>
          <w:p w14:paraId="4BB1E479">
            <w:pPr>
              <w:overflowPunct w:val="0"/>
              <w:spacing w:line="360" w:lineRule="auto"/>
              <w:jc w:val="center"/>
              <w:rPr>
                <w:rFonts w:ascii="仿宋" w:hAnsi="仿宋" w:eastAsia="仿宋" w:cs="仿宋"/>
                <w:highlight w:val="none"/>
              </w:rPr>
            </w:pPr>
          </w:p>
        </w:tc>
        <w:tc>
          <w:tcPr>
            <w:tcW w:w="884" w:type="dxa"/>
            <w:vAlign w:val="center"/>
          </w:tcPr>
          <w:p w14:paraId="0893E9FE">
            <w:pPr>
              <w:overflowPunct w:val="0"/>
              <w:spacing w:line="360" w:lineRule="auto"/>
              <w:jc w:val="center"/>
              <w:rPr>
                <w:rFonts w:ascii="仿宋" w:hAnsi="仿宋" w:eastAsia="仿宋" w:cs="仿宋"/>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ascii="仿宋" w:hAnsi="仿宋" w:eastAsia="仿宋" w:cs="仿宋"/>
                <w:highlight w:val="none"/>
              </w:rPr>
            </w:pPr>
          </w:p>
        </w:tc>
        <w:tc>
          <w:tcPr>
            <w:tcW w:w="2315" w:type="dxa"/>
            <w:vAlign w:val="center"/>
          </w:tcPr>
          <w:p w14:paraId="67DB65B6">
            <w:pPr>
              <w:overflowPunct w:val="0"/>
              <w:spacing w:line="360" w:lineRule="auto"/>
              <w:jc w:val="center"/>
              <w:rPr>
                <w:rFonts w:ascii="仿宋" w:hAnsi="仿宋" w:eastAsia="仿宋" w:cs="仿宋"/>
                <w:highlight w:val="none"/>
              </w:rPr>
            </w:pPr>
          </w:p>
        </w:tc>
        <w:tc>
          <w:tcPr>
            <w:tcW w:w="1247" w:type="dxa"/>
            <w:vAlign w:val="center"/>
          </w:tcPr>
          <w:p w14:paraId="0F6ED7A7">
            <w:pPr>
              <w:overflowPunct w:val="0"/>
              <w:spacing w:line="360" w:lineRule="auto"/>
              <w:jc w:val="center"/>
              <w:rPr>
                <w:rFonts w:ascii="仿宋" w:hAnsi="仿宋" w:eastAsia="仿宋" w:cs="仿宋"/>
                <w:highlight w:val="none"/>
              </w:rPr>
            </w:pPr>
          </w:p>
        </w:tc>
        <w:tc>
          <w:tcPr>
            <w:tcW w:w="1185" w:type="dxa"/>
            <w:vAlign w:val="center"/>
          </w:tcPr>
          <w:p w14:paraId="5C9609C3">
            <w:pPr>
              <w:overflowPunct w:val="0"/>
              <w:spacing w:line="360" w:lineRule="auto"/>
              <w:jc w:val="center"/>
              <w:rPr>
                <w:rFonts w:ascii="仿宋" w:hAnsi="仿宋" w:eastAsia="仿宋" w:cs="仿宋"/>
                <w:highlight w:val="none"/>
              </w:rPr>
            </w:pPr>
          </w:p>
        </w:tc>
        <w:tc>
          <w:tcPr>
            <w:tcW w:w="1267" w:type="dxa"/>
            <w:vAlign w:val="center"/>
          </w:tcPr>
          <w:p w14:paraId="0C87618E">
            <w:pPr>
              <w:overflowPunct w:val="0"/>
              <w:spacing w:line="360" w:lineRule="auto"/>
              <w:jc w:val="center"/>
              <w:rPr>
                <w:rFonts w:ascii="仿宋" w:hAnsi="仿宋" w:eastAsia="仿宋" w:cs="仿宋"/>
                <w:highlight w:val="none"/>
              </w:rPr>
            </w:pPr>
          </w:p>
        </w:tc>
        <w:tc>
          <w:tcPr>
            <w:tcW w:w="1446" w:type="dxa"/>
            <w:vAlign w:val="center"/>
          </w:tcPr>
          <w:p w14:paraId="016D4328">
            <w:pPr>
              <w:overflowPunct w:val="0"/>
              <w:spacing w:line="360" w:lineRule="auto"/>
              <w:jc w:val="center"/>
              <w:rPr>
                <w:rFonts w:ascii="仿宋" w:hAnsi="仿宋" w:eastAsia="仿宋" w:cs="仿宋"/>
                <w:highlight w:val="none"/>
              </w:rPr>
            </w:pPr>
          </w:p>
        </w:tc>
        <w:tc>
          <w:tcPr>
            <w:tcW w:w="884" w:type="dxa"/>
            <w:vAlign w:val="center"/>
          </w:tcPr>
          <w:p w14:paraId="08BECD14">
            <w:pPr>
              <w:overflowPunct w:val="0"/>
              <w:spacing w:line="360" w:lineRule="auto"/>
              <w:jc w:val="center"/>
              <w:rPr>
                <w:rFonts w:ascii="仿宋" w:hAnsi="仿宋" w:eastAsia="仿宋" w:cs="仿宋"/>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ascii="仿宋" w:hAnsi="仿宋" w:eastAsia="仿宋" w:cs="仿宋"/>
                <w:highlight w:val="none"/>
              </w:rPr>
            </w:pPr>
            <w:r>
              <w:rPr>
                <w:rFonts w:hint="eastAsia" w:ascii="仿宋" w:hAnsi="仿宋" w:eastAsia="仿宋" w:cs="仿宋"/>
                <w:highlight w:val="none"/>
              </w:rPr>
              <w:t>...</w:t>
            </w:r>
          </w:p>
        </w:tc>
        <w:tc>
          <w:tcPr>
            <w:tcW w:w="2315" w:type="dxa"/>
            <w:vAlign w:val="center"/>
          </w:tcPr>
          <w:p w14:paraId="715F4216">
            <w:pPr>
              <w:pStyle w:val="30"/>
              <w:ind w:firstLine="0" w:firstLineChars="0"/>
              <w:rPr>
                <w:rFonts w:eastAsia="仿宋"/>
                <w:highlight w:val="none"/>
              </w:rPr>
            </w:pPr>
          </w:p>
        </w:tc>
        <w:tc>
          <w:tcPr>
            <w:tcW w:w="1247" w:type="dxa"/>
            <w:vAlign w:val="center"/>
          </w:tcPr>
          <w:p w14:paraId="0E6F2186">
            <w:pPr>
              <w:overflowPunct w:val="0"/>
              <w:spacing w:line="360" w:lineRule="auto"/>
              <w:jc w:val="center"/>
              <w:rPr>
                <w:rFonts w:ascii="仿宋" w:hAnsi="仿宋" w:eastAsia="仿宋" w:cs="仿宋"/>
                <w:highlight w:val="none"/>
              </w:rPr>
            </w:pPr>
          </w:p>
        </w:tc>
        <w:tc>
          <w:tcPr>
            <w:tcW w:w="1185" w:type="dxa"/>
            <w:vAlign w:val="center"/>
          </w:tcPr>
          <w:p w14:paraId="205E8907">
            <w:pPr>
              <w:overflowPunct w:val="0"/>
              <w:spacing w:line="360" w:lineRule="auto"/>
              <w:jc w:val="center"/>
              <w:rPr>
                <w:rFonts w:ascii="仿宋" w:hAnsi="仿宋" w:eastAsia="仿宋" w:cs="仿宋"/>
                <w:highlight w:val="none"/>
              </w:rPr>
            </w:pPr>
          </w:p>
        </w:tc>
        <w:tc>
          <w:tcPr>
            <w:tcW w:w="1267" w:type="dxa"/>
            <w:vAlign w:val="center"/>
          </w:tcPr>
          <w:p w14:paraId="1D55C75A">
            <w:pPr>
              <w:overflowPunct w:val="0"/>
              <w:spacing w:line="360" w:lineRule="auto"/>
              <w:jc w:val="center"/>
              <w:rPr>
                <w:rFonts w:ascii="仿宋" w:hAnsi="仿宋" w:eastAsia="仿宋" w:cs="仿宋"/>
                <w:highlight w:val="none"/>
              </w:rPr>
            </w:pPr>
          </w:p>
        </w:tc>
        <w:tc>
          <w:tcPr>
            <w:tcW w:w="1446" w:type="dxa"/>
            <w:vAlign w:val="center"/>
          </w:tcPr>
          <w:p w14:paraId="6ADB5C54">
            <w:pPr>
              <w:overflowPunct w:val="0"/>
              <w:spacing w:line="360" w:lineRule="auto"/>
              <w:jc w:val="center"/>
              <w:rPr>
                <w:rFonts w:ascii="仿宋" w:hAnsi="仿宋" w:eastAsia="仿宋" w:cs="仿宋"/>
                <w:highlight w:val="none"/>
              </w:rPr>
            </w:pPr>
          </w:p>
        </w:tc>
        <w:tc>
          <w:tcPr>
            <w:tcW w:w="884" w:type="dxa"/>
            <w:vAlign w:val="center"/>
          </w:tcPr>
          <w:p w14:paraId="7F573ADE">
            <w:pPr>
              <w:overflowPunct w:val="0"/>
              <w:spacing w:line="360" w:lineRule="auto"/>
              <w:jc w:val="center"/>
              <w:rPr>
                <w:rFonts w:ascii="仿宋" w:hAnsi="仿宋" w:eastAsia="仿宋" w:cs="仿宋"/>
                <w:highlight w:val="none"/>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D23B4C">
            <w:pPr>
              <w:pStyle w:val="10"/>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6BB1D8">
            <w:pPr>
              <w:pStyle w:val="10"/>
              <w:jc w:val="left"/>
              <w:rPr>
                <w:rFonts w:ascii="仿宋" w:hAnsi="仿宋" w:eastAsia="仿宋" w:cs="仿宋"/>
                <w:color w:val="auto"/>
                <w:highlight w:val="none"/>
              </w:rPr>
            </w:pPr>
            <w:r>
              <w:rPr>
                <w:rFonts w:hint="eastAsia" w:ascii="仿宋" w:hAnsi="仿宋" w:eastAsia="仿宋" w:cs="仿宋"/>
                <w:color w:val="auto"/>
                <w:highlight w:val="none"/>
              </w:rPr>
              <w:t>大写：</w:t>
            </w:r>
          </w:p>
          <w:p w14:paraId="0436AD59">
            <w:pPr>
              <w:jc w:val="left"/>
              <w:rPr>
                <w:rFonts w:ascii="仿宋" w:hAnsi="仿宋" w:eastAsia="仿宋" w:cs="仿宋"/>
                <w:highlight w:val="none"/>
              </w:rPr>
            </w:pPr>
            <w:r>
              <w:rPr>
                <w:rFonts w:hint="eastAsia" w:ascii="仿宋" w:hAnsi="仿宋" w:eastAsia="仿宋" w:cs="仿宋"/>
                <w:highlight w:val="none"/>
              </w:rPr>
              <w:t>小写：</w:t>
            </w:r>
          </w:p>
        </w:tc>
      </w:tr>
    </w:tbl>
    <w:p w14:paraId="68603B02">
      <w:pPr>
        <w:spacing w:line="360" w:lineRule="auto"/>
        <w:ind w:firstLine="3840" w:firstLineChars="1600"/>
        <w:jc w:val="left"/>
        <w:rPr>
          <w:rFonts w:ascii="仿宋" w:hAnsi="仿宋" w:eastAsia="仿宋" w:cs="仿宋"/>
          <w:highlight w:val="none"/>
        </w:rPr>
      </w:pPr>
    </w:p>
    <w:p w14:paraId="4E937F81">
      <w:pPr>
        <w:spacing w:line="360" w:lineRule="auto"/>
        <w:ind w:firstLine="3840" w:firstLineChars="1600"/>
        <w:jc w:val="left"/>
        <w:rPr>
          <w:rFonts w:ascii="仿宋" w:hAnsi="仿宋" w:eastAsia="仿宋" w:cs="仿宋"/>
          <w:highlight w:val="none"/>
        </w:rPr>
      </w:pPr>
    </w:p>
    <w:p w14:paraId="52EE25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A7BB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F094A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5274F8">
      <w:pPr>
        <w:overflowPunct w:val="0"/>
        <w:spacing w:line="360" w:lineRule="auto"/>
        <w:jc w:val="center"/>
        <w:rPr>
          <w:rFonts w:hint="eastAsia" w:ascii="仿宋" w:hAnsi="仿宋" w:eastAsia="仿宋" w:cs="仿宋"/>
          <w:b/>
          <w:bCs/>
          <w:sz w:val="32"/>
          <w:szCs w:val="32"/>
          <w:highlight w:val="none"/>
        </w:rPr>
      </w:pPr>
    </w:p>
    <w:p w14:paraId="61861EBF">
      <w:pPr>
        <w:overflowPunct w:val="0"/>
        <w:spacing w:line="360" w:lineRule="auto"/>
        <w:jc w:val="center"/>
        <w:rPr>
          <w:rFonts w:hint="eastAsia" w:ascii="仿宋" w:hAnsi="仿宋" w:eastAsia="仿宋" w:cs="仿宋"/>
          <w:b/>
          <w:bCs/>
          <w:sz w:val="32"/>
          <w:szCs w:val="32"/>
          <w:highlight w:val="none"/>
        </w:rPr>
      </w:pPr>
    </w:p>
    <w:p w14:paraId="38A01609">
      <w:pPr>
        <w:overflowPunct w:val="0"/>
        <w:spacing w:line="360" w:lineRule="auto"/>
        <w:jc w:val="center"/>
        <w:rPr>
          <w:rFonts w:hint="eastAsia" w:ascii="仿宋" w:hAnsi="仿宋" w:eastAsia="仿宋" w:cs="仿宋"/>
          <w:b/>
          <w:bCs/>
          <w:sz w:val="32"/>
          <w:szCs w:val="32"/>
          <w:highlight w:val="none"/>
        </w:rPr>
      </w:pPr>
    </w:p>
    <w:p w14:paraId="235D12D1">
      <w:pPr>
        <w:pStyle w:val="4"/>
        <w:bidi w:val="0"/>
        <w:rPr>
          <w:rFonts w:hint="eastAsia" w:ascii="仿宋" w:hAnsi="仿宋" w:eastAsia="仿宋" w:cs="仿宋"/>
        </w:rPr>
      </w:pPr>
      <w:bookmarkStart w:id="130" w:name="_Toc29391"/>
      <w:r>
        <w:rPr>
          <w:rFonts w:hint="eastAsia" w:ascii="仿宋" w:hAnsi="仿宋" w:eastAsia="仿宋" w:cs="仿宋"/>
        </w:rPr>
        <w:t>五、</w:t>
      </w:r>
      <w:r>
        <w:rPr>
          <w:rStyle w:val="97"/>
          <w:rFonts w:hint="eastAsia" w:ascii="仿宋" w:hAnsi="仿宋" w:eastAsia="仿宋" w:cs="仿宋"/>
          <w:b/>
          <w:bCs/>
          <w:sz w:val="32"/>
          <w:szCs w:val="32"/>
        </w:rPr>
        <w:t>承接的类似项目情况表</w:t>
      </w:r>
      <w:bookmarkEnd w:id="130"/>
    </w:p>
    <w:tbl>
      <w:tblPr>
        <w:tblStyle w:val="96"/>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5"/>
              <w:spacing w:before="170" w:line="206" w:lineRule="auto"/>
              <w:ind w:left="180"/>
              <w:rPr>
                <w:b/>
                <w:bCs/>
              </w:rPr>
            </w:pPr>
            <w:r>
              <w:rPr>
                <w:b/>
                <w:bCs/>
                <w:spacing w:val="-7"/>
              </w:rPr>
              <w:t>序号</w:t>
            </w:r>
          </w:p>
        </w:tc>
        <w:tc>
          <w:tcPr>
            <w:tcW w:w="1967" w:type="dxa"/>
            <w:noWrap w:val="0"/>
            <w:vAlign w:val="top"/>
          </w:tcPr>
          <w:p w14:paraId="0FAE40B4">
            <w:pPr>
              <w:pStyle w:val="95"/>
              <w:spacing w:before="139" w:line="221" w:lineRule="auto"/>
              <w:ind w:left="147"/>
              <w:rPr>
                <w:b/>
                <w:bCs/>
              </w:rPr>
            </w:pPr>
            <w:r>
              <w:rPr>
                <w:b/>
                <w:bCs/>
              </w:rPr>
              <w:t>采购单位名称</w:t>
            </w:r>
          </w:p>
        </w:tc>
        <w:tc>
          <w:tcPr>
            <w:tcW w:w="1700" w:type="dxa"/>
            <w:noWrap w:val="0"/>
            <w:vAlign w:val="top"/>
          </w:tcPr>
          <w:p w14:paraId="4935C84B">
            <w:pPr>
              <w:pStyle w:val="95"/>
              <w:spacing w:before="139" w:line="221" w:lineRule="auto"/>
              <w:ind w:left="380"/>
              <w:rPr>
                <w:b/>
                <w:bCs/>
              </w:rPr>
            </w:pPr>
            <w:r>
              <w:rPr>
                <w:b/>
                <w:bCs/>
                <w:spacing w:val="-3"/>
              </w:rPr>
              <w:t>合同名称</w:t>
            </w:r>
          </w:p>
        </w:tc>
        <w:tc>
          <w:tcPr>
            <w:tcW w:w="2555" w:type="dxa"/>
            <w:noWrap w:val="0"/>
            <w:vAlign w:val="top"/>
          </w:tcPr>
          <w:p w14:paraId="06C57844">
            <w:pPr>
              <w:pStyle w:val="95"/>
              <w:spacing w:before="140" w:line="223" w:lineRule="auto"/>
              <w:ind w:left="564"/>
              <w:rPr>
                <w:rFonts w:hint="default" w:eastAsia="仿宋"/>
                <w:b/>
                <w:bCs/>
                <w:lang w:val="en-US" w:eastAsia="zh-CN"/>
              </w:rPr>
            </w:pPr>
            <w:r>
              <w:rPr>
                <w:rFonts w:hint="eastAsia"/>
                <w:b/>
                <w:bCs/>
                <w:spacing w:val="-1"/>
                <w:lang w:val="en-US" w:eastAsia="zh-CN"/>
              </w:rPr>
              <w:t>合同签订时间</w:t>
            </w:r>
          </w:p>
        </w:tc>
        <w:tc>
          <w:tcPr>
            <w:tcW w:w="1988" w:type="dxa"/>
            <w:noWrap w:val="0"/>
            <w:vAlign w:val="top"/>
          </w:tcPr>
          <w:p w14:paraId="7DA11073">
            <w:pPr>
              <w:pStyle w:val="95"/>
              <w:spacing w:before="140" w:line="223" w:lineRule="auto"/>
              <w:jc w:val="right"/>
              <w:rPr>
                <w:b/>
                <w:bCs/>
              </w:rPr>
            </w:pPr>
            <w:r>
              <w:rPr>
                <w:b/>
                <w:bCs/>
                <w:spacing w:val="-10"/>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5"/>
              <w:spacing w:before="170" w:line="206" w:lineRule="auto"/>
              <w:ind w:left="180"/>
              <w:rPr>
                <w:b/>
                <w:bCs/>
                <w:spacing w:val="-7"/>
              </w:rPr>
            </w:pPr>
          </w:p>
        </w:tc>
        <w:tc>
          <w:tcPr>
            <w:tcW w:w="1967" w:type="dxa"/>
            <w:noWrap w:val="0"/>
            <w:vAlign w:val="top"/>
          </w:tcPr>
          <w:p w14:paraId="0E32D08B">
            <w:pPr>
              <w:pStyle w:val="95"/>
              <w:spacing w:before="170" w:line="206" w:lineRule="auto"/>
              <w:ind w:left="180"/>
              <w:rPr>
                <w:b/>
                <w:bCs/>
                <w:spacing w:val="-7"/>
              </w:rPr>
            </w:pPr>
          </w:p>
        </w:tc>
        <w:tc>
          <w:tcPr>
            <w:tcW w:w="1700" w:type="dxa"/>
            <w:noWrap w:val="0"/>
            <w:vAlign w:val="top"/>
          </w:tcPr>
          <w:p w14:paraId="590C1721">
            <w:pPr>
              <w:pStyle w:val="95"/>
              <w:spacing w:before="170" w:line="206" w:lineRule="auto"/>
              <w:ind w:left="180"/>
              <w:rPr>
                <w:b/>
                <w:bCs/>
                <w:spacing w:val="-7"/>
              </w:rPr>
            </w:pPr>
          </w:p>
        </w:tc>
        <w:tc>
          <w:tcPr>
            <w:tcW w:w="2555" w:type="dxa"/>
            <w:noWrap w:val="0"/>
            <w:vAlign w:val="top"/>
          </w:tcPr>
          <w:p w14:paraId="5A99F99B">
            <w:pPr>
              <w:pStyle w:val="95"/>
              <w:spacing w:before="170" w:line="206" w:lineRule="auto"/>
              <w:ind w:left="180"/>
              <w:rPr>
                <w:b/>
                <w:bCs/>
                <w:spacing w:val="-7"/>
              </w:rPr>
            </w:pPr>
          </w:p>
        </w:tc>
        <w:tc>
          <w:tcPr>
            <w:tcW w:w="1988" w:type="dxa"/>
            <w:noWrap w:val="0"/>
            <w:vAlign w:val="top"/>
          </w:tcPr>
          <w:p w14:paraId="1888D6AF">
            <w:pPr>
              <w:pStyle w:val="95"/>
              <w:spacing w:before="170" w:line="206" w:lineRule="auto"/>
              <w:ind w:left="180"/>
              <w:rPr>
                <w:b/>
                <w:bCs/>
                <w:spacing w:val="-7"/>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5"/>
              <w:spacing w:before="170" w:line="206" w:lineRule="auto"/>
              <w:ind w:left="180"/>
              <w:rPr>
                <w:b/>
                <w:bCs/>
                <w:spacing w:val="-7"/>
              </w:rPr>
            </w:pPr>
          </w:p>
        </w:tc>
        <w:tc>
          <w:tcPr>
            <w:tcW w:w="1967" w:type="dxa"/>
            <w:noWrap w:val="0"/>
            <w:vAlign w:val="top"/>
          </w:tcPr>
          <w:p w14:paraId="26F61A0B">
            <w:pPr>
              <w:pStyle w:val="95"/>
              <w:spacing w:before="170" w:line="206" w:lineRule="auto"/>
              <w:ind w:left="180"/>
              <w:rPr>
                <w:b/>
                <w:bCs/>
                <w:spacing w:val="-7"/>
              </w:rPr>
            </w:pPr>
          </w:p>
        </w:tc>
        <w:tc>
          <w:tcPr>
            <w:tcW w:w="1700" w:type="dxa"/>
            <w:noWrap w:val="0"/>
            <w:vAlign w:val="top"/>
          </w:tcPr>
          <w:p w14:paraId="0D700F1C">
            <w:pPr>
              <w:pStyle w:val="95"/>
              <w:spacing w:before="170" w:line="206" w:lineRule="auto"/>
              <w:ind w:left="180"/>
              <w:rPr>
                <w:b/>
                <w:bCs/>
                <w:spacing w:val="-7"/>
              </w:rPr>
            </w:pPr>
          </w:p>
        </w:tc>
        <w:tc>
          <w:tcPr>
            <w:tcW w:w="2555" w:type="dxa"/>
            <w:noWrap w:val="0"/>
            <w:vAlign w:val="top"/>
          </w:tcPr>
          <w:p w14:paraId="14166339">
            <w:pPr>
              <w:pStyle w:val="95"/>
              <w:spacing w:before="170" w:line="206" w:lineRule="auto"/>
              <w:ind w:left="180"/>
              <w:rPr>
                <w:b/>
                <w:bCs/>
                <w:spacing w:val="-7"/>
              </w:rPr>
            </w:pPr>
          </w:p>
        </w:tc>
        <w:tc>
          <w:tcPr>
            <w:tcW w:w="1988" w:type="dxa"/>
            <w:noWrap w:val="0"/>
            <w:vAlign w:val="top"/>
          </w:tcPr>
          <w:p w14:paraId="3F5C7E96">
            <w:pPr>
              <w:pStyle w:val="95"/>
              <w:spacing w:before="170" w:line="206" w:lineRule="auto"/>
              <w:ind w:left="180"/>
              <w:rPr>
                <w:b/>
                <w:bCs/>
                <w:spacing w:val="-7"/>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5"/>
              <w:spacing w:before="170" w:line="206" w:lineRule="auto"/>
              <w:ind w:left="180"/>
              <w:rPr>
                <w:b/>
                <w:bCs/>
                <w:spacing w:val="-7"/>
              </w:rPr>
            </w:pPr>
          </w:p>
        </w:tc>
        <w:tc>
          <w:tcPr>
            <w:tcW w:w="1967" w:type="dxa"/>
            <w:noWrap w:val="0"/>
            <w:vAlign w:val="top"/>
          </w:tcPr>
          <w:p w14:paraId="0DF9B55F">
            <w:pPr>
              <w:pStyle w:val="95"/>
              <w:spacing w:before="170" w:line="206" w:lineRule="auto"/>
              <w:ind w:left="180"/>
              <w:rPr>
                <w:b/>
                <w:bCs/>
                <w:spacing w:val="-7"/>
              </w:rPr>
            </w:pPr>
          </w:p>
        </w:tc>
        <w:tc>
          <w:tcPr>
            <w:tcW w:w="1700" w:type="dxa"/>
            <w:noWrap w:val="0"/>
            <w:vAlign w:val="top"/>
          </w:tcPr>
          <w:p w14:paraId="14E622ED">
            <w:pPr>
              <w:pStyle w:val="95"/>
              <w:spacing w:before="170" w:line="206" w:lineRule="auto"/>
              <w:ind w:left="180"/>
              <w:rPr>
                <w:b/>
                <w:bCs/>
                <w:spacing w:val="-7"/>
              </w:rPr>
            </w:pPr>
          </w:p>
        </w:tc>
        <w:tc>
          <w:tcPr>
            <w:tcW w:w="2555" w:type="dxa"/>
            <w:noWrap w:val="0"/>
            <w:vAlign w:val="top"/>
          </w:tcPr>
          <w:p w14:paraId="0D8DF72E">
            <w:pPr>
              <w:pStyle w:val="95"/>
              <w:spacing w:before="170" w:line="206" w:lineRule="auto"/>
              <w:ind w:left="180"/>
              <w:rPr>
                <w:b/>
                <w:bCs/>
                <w:spacing w:val="-7"/>
              </w:rPr>
            </w:pPr>
          </w:p>
        </w:tc>
        <w:tc>
          <w:tcPr>
            <w:tcW w:w="1988" w:type="dxa"/>
            <w:noWrap w:val="0"/>
            <w:vAlign w:val="top"/>
          </w:tcPr>
          <w:p w14:paraId="51790F3C">
            <w:pPr>
              <w:pStyle w:val="95"/>
              <w:spacing w:before="170" w:line="206" w:lineRule="auto"/>
              <w:ind w:left="180"/>
              <w:rPr>
                <w:b/>
                <w:bCs/>
                <w:spacing w:val="-7"/>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5"/>
              <w:spacing w:before="170" w:line="206" w:lineRule="auto"/>
              <w:ind w:left="180"/>
              <w:rPr>
                <w:b/>
                <w:bCs/>
                <w:spacing w:val="-7"/>
              </w:rPr>
            </w:pPr>
          </w:p>
        </w:tc>
        <w:tc>
          <w:tcPr>
            <w:tcW w:w="1967" w:type="dxa"/>
            <w:noWrap w:val="0"/>
            <w:vAlign w:val="top"/>
          </w:tcPr>
          <w:p w14:paraId="200E7686">
            <w:pPr>
              <w:pStyle w:val="95"/>
              <w:spacing w:before="170" w:line="206" w:lineRule="auto"/>
              <w:ind w:left="180"/>
              <w:rPr>
                <w:b/>
                <w:bCs/>
                <w:spacing w:val="-7"/>
              </w:rPr>
            </w:pPr>
          </w:p>
        </w:tc>
        <w:tc>
          <w:tcPr>
            <w:tcW w:w="1700" w:type="dxa"/>
            <w:noWrap w:val="0"/>
            <w:vAlign w:val="top"/>
          </w:tcPr>
          <w:p w14:paraId="264C27CC">
            <w:pPr>
              <w:pStyle w:val="95"/>
              <w:spacing w:before="170" w:line="206" w:lineRule="auto"/>
              <w:ind w:left="180"/>
              <w:rPr>
                <w:b/>
                <w:bCs/>
                <w:spacing w:val="-7"/>
              </w:rPr>
            </w:pPr>
          </w:p>
        </w:tc>
        <w:tc>
          <w:tcPr>
            <w:tcW w:w="2555" w:type="dxa"/>
            <w:noWrap w:val="0"/>
            <w:vAlign w:val="top"/>
          </w:tcPr>
          <w:p w14:paraId="3333B6B9">
            <w:pPr>
              <w:pStyle w:val="95"/>
              <w:spacing w:before="170" w:line="206" w:lineRule="auto"/>
              <w:ind w:left="180"/>
              <w:rPr>
                <w:b/>
                <w:bCs/>
                <w:spacing w:val="-7"/>
              </w:rPr>
            </w:pPr>
          </w:p>
        </w:tc>
        <w:tc>
          <w:tcPr>
            <w:tcW w:w="1988" w:type="dxa"/>
            <w:noWrap w:val="0"/>
            <w:vAlign w:val="top"/>
          </w:tcPr>
          <w:p w14:paraId="02D1F135">
            <w:pPr>
              <w:pStyle w:val="95"/>
              <w:spacing w:before="170" w:line="206" w:lineRule="auto"/>
              <w:ind w:left="180"/>
              <w:rPr>
                <w:b/>
                <w:bCs/>
                <w:spacing w:val="-7"/>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5"/>
              <w:spacing w:before="170" w:line="206" w:lineRule="auto"/>
              <w:ind w:left="180"/>
              <w:rPr>
                <w:b/>
                <w:bCs/>
                <w:spacing w:val="-7"/>
              </w:rPr>
            </w:pPr>
          </w:p>
        </w:tc>
        <w:tc>
          <w:tcPr>
            <w:tcW w:w="1967" w:type="dxa"/>
            <w:noWrap w:val="0"/>
            <w:vAlign w:val="top"/>
          </w:tcPr>
          <w:p w14:paraId="52D420EC">
            <w:pPr>
              <w:pStyle w:val="95"/>
              <w:spacing w:before="170" w:line="206" w:lineRule="auto"/>
              <w:ind w:left="180"/>
              <w:rPr>
                <w:b/>
                <w:bCs/>
                <w:spacing w:val="-7"/>
              </w:rPr>
            </w:pPr>
          </w:p>
        </w:tc>
        <w:tc>
          <w:tcPr>
            <w:tcW w:w="1700" w:type="dxa"/>
            <w:noWrap w:val="0"/>
            <w:vAlign w:val="top"/>
          </w:tcPr>
          <w:p w14:paraId="62742299">
            <w:pPr>
              <w:pStyle w:val="95"/>
              <w:spacing w:before="170" w:line="206" w:lineRule="auto"/>
              <w:ind w:left="180"/>
              <w:rPr>
                <w:b/>
                <w:bCs/>
                <w:spacing w:val="-7"/>
              </w:rPr>
            </w:pPr>
          </w:p>
        </w:tc>
        <w:tc>
          <w:tcPr>
            <w:tcW w:w="2555" w:type="dxa"/>
            <w:noWrap w:val="0"/>
            <w:vAlign w:val="top"/>
          </w:tcPr>
          <w:p w14:paraId="62A669AC">
            <w:pPr>
              <w:pStyle w:val="95"/>
              <w:spacing w:before="170" w:line="206" w:lineRule="auto"/>
              <w:ind w:left="180"/>
              <w:rPr>
                <w:b/>
                <w:bCs/>
                <w:spacing w:val="-7"/>
              </w:rPr>
            </w:pPr>
          </w:p>
        </w:tc>
        <w:tc>
          <w:tcPr>
            <w:tcW w:w="1988" w:type="dxa"/>
            <w:noWrap w:val="0"/>
            <w:vAlign w:val="top"/>
          </w:tcPr>
          <w:p w14:paraId="216E4595">
            <w:pPr>
              <w:pStyle w:val="95"/>
              <w:spacing w:before="170" w:line="206" w:lineRule="auto"/>
              <w:ind w:left="180"/>
              <w:rPr>
                <w:b/>
                <w:bCs/>
                <w:spacing w:val="-7"/>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5"/>
              <w:spacing w:before="170" w:line="206" w:lineRule="auto"/>
              <w:ind w:left="180"/>
              <w:rPr>
                <w:b/>
                <w:bCs/>
                <w:spacing w:val="-7"/>
              </w:rPr>
            </w:pPr>
          </w:p>
        </w:tc>
        <w:tc>
          <w:tcPr>
            <w:tcW w:w="1967" w:type="dxa"/>
            <w:noWrap w:val="0"/>
            <w:vAlign w:val="top"/>
          </w:tcPr>
          <w:p w14:paraId="40BF769B">
            <w:pPr>
              <w:pStyle w:val="95"/>
              <w:spacing w:before="170" w:line="206" w:lineRule="auto"/>
              <w:ind w:left="180"/>
              <w:rPr>
                <w:b/>
                <w:bCs/>
                <w:spacing w:val="-7"/>
              </w:rPr>
            </w:pPr>
          </w:p>
        </w:tc>
        <w:tc>
          <w:tcPr>
            <w:tcW w:w="1700" w:type="dxa"/>
            <w:noWrap w:val="0"/>
            <w:vAlign w:val="top"/>
          </w:tcPr>
          <w:p w14:paraId="57AF5FDE">
            <w:pPr>
              <w:pStyle w:val="95"/>
              <w:spacing w:before="170" w:line="206" w:lineRule="auto"/>
              <w:ind w:left="180"/>
              <w:rPr>
                <w:b/>
                <w:bCs/>
                <w:spacing w:val="-7"/>
              </w:rPr>
            </w:pPr>
          </w:p>
        </w:tc>
        <w:tc>
          <w:tcPr>
            <w:tcW w:w="2555" w:type="dxa"/>
            <w:noWrap w:val="0"/>
            <w:vAlign w:val="top"/>
          </w:tcPr>
          <w:p w14:paraId="77956AFD">
            <w:pPr>
              <w:pStyle w:val="95"/>
              <w:spacing w:before="170" w:line="206" w:lineRule="auto"/>
              <w:ind w:left="180"/>
              <w:rPr>
                <w:b/>
                <w:bCs/>
                <w:spacing w:val="-7"/>
              </w:rPr>
            </w:pPr>
          </w:p>
        </w:tc>
        <w:tc>
          <w:tcPr>
            <w:tcW w:w="1988" w:type="dxa"/>
            <w:noWrap w:val="0"/>
            <w:vAlign w:val="top"/>
          </w:tcPr>
          <w:p w14:paraId="4C6D4269">
            <w:pPr>
              <w:pStyle w:val="95"/>
              <w:spacing w:before="170" w:line="206" w:lineRule="auto"/>
              <w:ind w:left="180"/>
              <w:rPr>
                <w:b/>
                <w:bCs/>
                <w:spacing w:val="-7"/>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5"/>
              <w:spacing w:before="170" w:line="206" w:lineRule="auto"/>
              <w:ind w:left="180"/>
              <w:rPr>
                <w:b/>
                <w:bCs/>
                <w:spacing w:val="-7"/>
              </w:rPr>
            </w:pPr>
          </w:p>
        </w:tc>
        <w:tc>
          <w:tcPr>
            <w:tcW w:w="1967" w:type="dxa"/>
            <w:noWrap w:val="0"/>
            <w:vAlign w:val="top"/>
          </w:tcPr>
          <w:p w14:paraId="275A8EB5">
            <w:pPr>
              <w:pStyle w:val="95"/>
              <w:spacing w:before="170" w:line="206" w:lineRule="auto"/>
              <w:ind w:left="180"/>
              <w:rPr>
                <w:b/>
                <w:bCs/>
                <w:spacing w:val="-7"/>
              </w:rPr>
            </w:pPr>
          </w:p>
        </w:tc>
        <w:tc>
          <w:tcPr>
            <w:tcW w:w="1700" w:type="dxa"/>
            <w:noWrap w:val="0"/>
            <w:vAlign w:val="top"/>
          </w:tcPr>
          <w:p w14:paraId="3A0CD092">
            <w:pPr>
              <w:pStyle w:val="95"/>
              <w:spacing w:before="170" w:line="206" w:lineRule="auto"/>
              <w:ind w:left="180"/>
              <w:rPr>
                <w:b/>
                <w:bCs/>
                <w:spacing w:val="-7"/>
              </w:rPr>
            </w:pPr>
          </w:p>
        </w:tc>
        <w:tc>
          <w:tcPr>
            <w:tcW w:w="2555" w:type="dxa"/>
            <w:noWrap w:val="0"/>
            <w:vAlign w:val="top"/>
          </w:tcPr>
          <w:p w14:paraId="42F1080A">
            <w:pPr>
              <w:pStyle w:val="95"/>
              <w:spacing w:before="170" w:line="206" w:lineRule="auto"/>
              <w:ind w:left="180"/>
              <w:rPr>
                <w:b/>
                <w:bCs/>
                <w:spacing w:val="-7"/>
              </w:rPr>
            </w:pPr>
          </w:p>
        </w:tc>
        <w:tc>
          <w:tcPr>
            <w:tcW w:w="1988" w:type="dxa"/>
            <w:noWrap w:val="0"/>
            <w:vAlign w:val="top"/>
          </w:tcPr>
          <w:p w14:paraId="30D7DFD9">
            <w:pPr>
              <w:pStyle w:val="95"/>
              <w:spacing w:before="170" w:line="206" w:lineRule="auto"/>
              <w:ind w:left="180"/>
              <w:rPr>
                <w:b/>
                <w:bCs/>
                <w:spacing w:val="-7"/>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5"/>
              <w:spacing w:before="170" w:line="206" w:lineRule="auto"/>
              <w:ind w:left="180"/>
              <w:rPr>
                <w:b/>
                <w:bCs/>
                <w:spacing w:val="-7"/>
              </w:rPr>
            </w:pPr>
            <w:r>
              <w:rPr>
                <w:b/>
                <w:bCs/>
                <w:spacing w:val="-7"/>
              </w:rPr>
              <w:t>……</w:t>
            </w:r>
          </w:p>
        </w:tc>
        <w:tc>
          <w:tcPr>
            <w:tcW w:w="1967" w:type="dxa"/>
            <w:noWrap w:val="0"/>
            <w:vAlign w:val="top"/>
          </w:tcPr>
          <w:p w14:paraId="39F48059">
            <w:pPr>
              <w:pStyle w:val="95"/>
              <w:spacing w:before="170" w:line="206" w:lineRule="auto"/>
              <w:ind w:left="180"/>
              <w:rPr>
                <w:b/>
                <w:bCs/>
                <w:spacing w:val="-7"/>
              </w:rPr>
            </w:pPr>
          </w:p>
        </w:tc>
        <w:tc>
          <w:tcPr>
            <w:tcW w:w="1700" w:type="dxa"/>
            <w:noWrap w:val="0"/>
            <w:vAlign w:val="top"/>
          </w:tcPr>
          <w:p w14:paraId="3CDDFA4E">
            <w:pPr>
              <w:pStyle w:val="95"/>
              <w:spacing w:before="170" w:line="206" w:lineRule="auto"/>
              <w:ind w:left="180"/>
              <w:rPr>
                <w:b/>
                <w:bCs/>
                <w:spacing w:val="-7"/>
              </w:rPr>
            </w:pPr>
          </w:p>
        </w:tc>
        <w:tc>
          <w:tcPr>
            <w:tcW w:w="2555" w:type="dxa"/>
            <w:noWrap w:val="0"/>
            <w:vAlign w:val="top"/>
          </w:tcPr>
          <w:p w14:paraId="40D27BE0">
            <w:pPr>
              <w:pStyle w:val="95"/>
              <w:spacing w:before="170" w:line="206" w:lineRule="auto"/>
              <w:ind w:left="180"/>
              <w:rPr>
                <w:b/>
                <w:bCs/>
                <w:spacing w:val="-7"/>
              </w:rPr>
            </w:pPr>
          </w:p>
        </w:tc>
        <w:tc>
          <w:tcPr>
            <w:tcW w:w="1988" w:type="dxa"/>
            <w:noWrap w:val="0"/>
            <w:vAlign w:val="top"/>
          </w:tcPr>
          <w:p w14:paraId="09DB9C73">
            <w:pPr>
              <w:pStyle w:val="95"/>
              <w:spacing w:before="170" w:line="206" w:lineRule="auto"/>
              <w:ind w:left="180"/>
              <w:rPr>
                <w:b/>
                <w:bCs/>
                <w:spacing w:val="-7"/>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5"/>
              <w:spacing w:before="170" w:line="206" w:lineRule="auto"/>
              <w:ind w:left="180"/>
              <w:rPr>
                <w:b/>
                <w:bCs/>
                <w:spacing w:val="-7"/>
              </w:rPr>
            </w:pPr>
            <w:r>
              <w:rPr>
                <w:b/>
                <w:bCs/>
                <w:spacing w:val="-7"/>
              </w:rPr>
              <w:t>数量合计（个）：</w:t>
            </w:r>
          </w:p>
        </w:tc>
      </w:tr>
    </w:tbl>
    <w:p w14:paraId="35F31472">
      <w:pPr>
        <w:pStyle w:val="10"/>
        <w:spacing w:before="41" w:line="222" w:lineRule="auto"/>
        <w:ind w:left="333"/>
        <w:rPr>
          <w:rFonts w:hint="eastAsia" w:ascii="仿宋" w:hAnsi="仿宋" w:eastAsia="仿宋" w:cs="仿宋"/>
          <w:b/>
          <w:bCs w:val="0"/>
          <w:kern w:val="0"/>
          <w:sz w:val="24"/>
          <w:szCs w:val="24"/>
          <w:highlight w:val="none"/>
        </w:rPr>
      </w:pPr>
    </w:p>
    <w:p w14:paraId="0DF139D5">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2383445">
      <w:pPr>
        <w:overflowPunct w:val="0"/>
        <w:spacing w:line="360" w:lineRule="auto"/>
        <w:jc w:val="center"/>
        <w:outlineLvl w:val="1"/>
        <w:rPr>
          <w:rStyle w:val="97"/>
          <w:rFonts w:hint="eastAsia" w:ascii="仿宋" w:hAnsi="仿宋" w:eastAsia="仿宋" w:cs="仿宋"/>
          <w:sz w:val="32"/>
          <w:szCs w:val="32"/>
        </w:rPr>
      </w:pPr>
      <w:bookmarkStart w:id="131" w:name="_Toc16116"/>
      <w:r>
        <w:rPr>
          <w:rStyle w:val="97"/>
          <w:rFonts w:hint="eastAsia" w:ascii="仿宋" w:hAnsi="仿宋" w:eastAsia="仿宋" w:cs="仿宋"/>
          <w:sz w:val="32"/>
          <w:szCs w:val="32"/>
        </w:rPr>
        <w:t>六、项目</w:t>
      </w:r>
      <w:r>
        <w:rPr>
          <w:rStyle w:val="97"/>
          <w:rFonts w:hint="eastAsia" w:ascii="仿宋" w:hAnsi="仿宋" w:eastAsia="仿宋" w:cs="仿宋"/>
          <w:sz w:val="32"/>
          <w:szCs w:val="32"/>
          <w:lang w:val="en-US" w:eastAsia="zh-CN"/>
        </w:rPr>
        <w:t>服务</w:t>
      </w:r>
      <w:r>
        <w:rPr>
          <w:rStyle w:val="97"/>
          <w:rFonts w:hint="eastAsia" w:ascii="仿宋" w:hAnsi="仿宋" w:eastAsia="仿宋" w:cs="仿宋"/>
          <w:sz w:val="32"/>
          <w:szCs w:val="32"/>
        </w:rPr>
        <w:t>方案</w:t>
      </w:r>
      <w:bookmarkEnd w:id="131"/>
    </w:p>
    <w:p w14:paraId="4AB7E3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B64D24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62F4C3">
      <w:pPr>
        <w:spacing w:line="360" w:lineRule="auto"/>
        <w:rPr>
          <w:rFonts w:hint="eastAsia" w:ascii="仿宋" w:hAnsi="仿宋" w:eastAsia="仿宋" w:cs="仿宋"/>
          <w:sz w:val="24"/>
          <w:szCs w:val="24"/>
          <w:highlight w:val="none"/>
        </w:rPr>
      </w:pPr>
      <w:r>
        <w:rPr>
          <w:rFonts w:hint="eastAsia" w:ascii="仿宋" w:hAnsi="仿宋" w:eastAsia="仿宋" w:cs="宋体"/>
          <w:kern w:val="0"/>
          <w:sz w:val="24"/>
          <w:highlight w:val="none"/>
          <w:lang w:val="en-US" w:eastAsia="zh-CN"/>
        </w:rPr>
        <w:t>供应商</w:t>
      </w:r>
      <w:r>
        <w:rPr>
          <w:rFonts w:hint="eastAsia" w:ascii="仿宋" w:hAnsi="仿宋" w:eastAsia="仿宋" w:cs="宋体"/>
          <w:kern w:val="0"/>
          <w:sz w:val="24"/>
          <w:highlight w:val="none"/>
        </w:rPr>
        <w:t>名称</w:t>
      </w:r>
      <w:r>
        <w:rPr>
          <w:rFonts w:hint="eastAsia" w:ascii="仿宋" w:hAnsi="仿宋" w:eastAsia="仿宋" w:cs="仿宋"/>
          <w:sz w:val="24"/>
          <w:szCs w:val="24"/>
          <w:highlight w:val="none"/>
        </w:rPr>
        <w:t>：</w:t>
      </w:r>
    </w:p>
    <w:p w14:paraId="03FE3734">
      <w:pPr>
        <w:spacing w:line="360" w:lineRule="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25BADA6E">
      <w:pPr>
        <w:kinsoku w:val="0"/>
        <w:spacing w:line="360" w:lineRule="auto"/>
        <w:rPr>
          <w:rFonts w:hint="eastAsia" w:ascii="仿宋" w:hAnsi="仿宋" w:eastAsia="仿宋" w:cs="仿宋"/>
          <w:sz w:val="24"/>
          <w:highlight w:val="none"/>
          <w:lang w:eastAsia="zh-CN"/>
        </w:rPr>
      </w:pPr>
      <w:bookmarkStart w:id="132" w:name="_Hlt526418111"/>
      <w:bookmarkEnd w:id="132"/>
      <w:bookmarkStart w:id="133" w:name="_Hlt526418107"/>
      <w:bookmarkEnd w:id="133"/>
      <w:bookmarkStart w:id="134" w:name="_Hlt526418103"/>
      <w:bookmarkEnd w:id="134"/>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宋体"/>
          <w:kern w:val="0"/>
          <w:sz w:val="24"/>
          <w:highlight w:val="none"/>
          <w:lang w:eastAsia="zh-CN"/>
        </w:rPr>
        <w:t>供应商</w:t>
      </w:r>
      <w:r>
        <w:rPr>
          <w:rFonts w:hint="eastAsia" w:ascii="仿宋" w:hAnsi="仿宋" w:eastAsia="仿宋" w:cs="仿宋"/>
          <w:sz w:val="24"/>
          <w:szCs w:val="24"/>
          <w:highlight w:val="none"/>
        </w:rPr>
        <w:t>自行承担。</w:t>
      </w:r>
    </w:p>
    <w:p w14:paraId="67E730E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BABBBF2">
      <w:pPr>
        <w:pStyle w:val="8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ascii="仿宋" w:hAnsi="仿宋" w:eastAsia="仿宋" w:cs="仿宋"/>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ascii="仿宋" w:hAnsi="仿宋" w:eastAsia="仿宋" w:cs="仿宋"/>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spacing w:val="-3"/>
                <w:kern w:val="0"/>
                <w:highlight w:val="none"/>
              </w:rPr>
            </w:pPr>
          </w:p>
        </w:tc>
      </w:tr>
    </w:tbl>
    <w:p w14:paraId="11EBEC4F">
      <w:pPr>
        <w:spacing w:line="360" w:lineRule="auto"/>
        <w:rPr>
          <w:rFonts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本表后附</w:t>
      </w:r>
      <w:r>
        <w:rPr>
          <w:rFonts w:hint="eastAsia" w:ascii="仿宋" w:hAnsi="仿宋" w:eastAsia="仿宋" w:cs="仿宋"/>
          <w:b/>
          <w:bCs/>
          <w:sz w:val="24"/>
          <w:szCs w:val="24"/>
          <w:highlight w:val="none"/>
          <w:lang w:val="en-US" w:eastAsia="zh-CN"/>
        </w:rPr>
        <w:t>相关证明材料</w:t>
      </w:r>
      <w:r>
        <w:rPr>
          <w:rFonts w:hint="eastAsia" w:ascii="仿宋" w:hAnsi="仿宋" w:eastAsia="仿宋" w:cs="仿宋"/>
          <w:b/>
          <w:bCs/>
          <w:highlight w:val="none"/>
        </w:rPr>
        <w:t>。</w:t>
      </w:r>
    </w:p>
    <w:p w14:paraId="237B1EBE">
      <w:pPr>
        <w:spacing w:line="480" w:lineRule="auto"/>
        <w:ind w:firstLine="3360" w:firstLineChars="1400"/>
        <w:rPr>
          <w:rFonts w:ascii="仿宋" w:hAnsi="仿宋" w:eastAsia="仿宋" w:cs="仿宋"/>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ascii="仿宋" w:hAnsi="仿宋" w:eastAsia="仿宋" w:cs="仿宋"/>
          <w:sz w:val="28"/>
          <w:highlight w:val="none"/>
        </w:rPr>
      </w:pPr>
      <w:r>
        <w:rPr>
          <w:rFonts w:hint="eastAsia" w:ascii="仿宋" w:hAnsi="仿宋" w:eastAsia="仿宋" w:cs="仿宋"/>
          <w:sz w:val="28"/>
          <w:highlight w:val="none"/>
        </w:rPr>
        <w:br w:type="page"/>
      </w:r>
    </w:p>
    <w:p w14:paraId="0A78540C">
      <w:pPr>
        <w:pStyle w:val="83"/>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2BCDBC2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ascii="仿宋" w:hAnsi="仿宋" w:eastAsia="仿宋" w:cs="仿宋"/>
          <w:highlight w:val="none"/>
        </w:rPr>
      </w:pPr>
    </w:p>
    <w:p w14:paraId="542D2E0A">
      <w:pPr>
        <w:pStyle w:val="10"/>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10"/>
        <w:rPr>
          <w:rFonts w:ascii="仿宋" w:hAnsi="仿宋" w:eastAsia="仿宋" w:cs="仿宋"/>
          <w:bCs/>
          <w:color w:val="auto"/>
          <w:sz w:val="22"/>
          <w:szCs w:val="22"/>
          <w:highlight w:val="none"/>
        </w:rPr>
      </w:pPr>
    </w:p>
    <w:p w14:paraId="1B0AF8DE">
      <w:pPr>
        <w:pStyle w:val="25"/>
        <w:rPr>
          <w:rFonts w:ascii="仿宋" w:hAnsi="仿宋" w:eastAsia="仿宋" w:cs="仿宋"/>
          <w:bCs/>
          <w:color w:val="auto"/>
          <w:sz w:val="22"/>
          <w:szCs w:val="22"/>
          <w:highlight w:val="none"/>
        </w:rPr>
      </w:pPr>
    </w:p>
    <w:p w14:paraId="38E2B307">
      <w:pPr>
        <w:rPr>
          <w:rFonts w:ascii="仿宋" w:hAnsi="仿宋" w:eastAsia="仿宋" w:cs="仿宋"/>
          <w:b/>
          <w:bCs/>
          <w:sz w:val="32"/>
          <w:szCs w:val="32"/>
          <w:highlight w:val="none"/>
        </w:rPr>
      </w:pPr>
      <w:r>
        <w:rPr>
          <w:rFonts w:ascii="仿宋" w:hAnsi="仿宋" w:eastAsia="仿宋" w:cs="仿宋"/>
          <w:b/>
          <w:bCs/>
          <w:sz w:val="32"/>
          <w:szCs w:val="32"/>
          <w:highlight w:val="none"/>
        </w:rPr>
        <w:br w:type="page"/>
      </w:r>
    </w:p>
    <w:p w14:paraId="46640566">
      <w:pPr>
        <w:overflowPunct w:val="0"/>
        <w:spacing w:line="360" w:lineRule="auto"/>
        <w:jc w:val="center"/>
        <w:outlineLvl w:val="1"/>
        <w:rPr>
          <w:rStyle w:val="97"/>
          <w:rFonts w:hint="eastAsia" w:ascii="仿宋" w:hAnsi="仿宋" w:eastAsia="仿宋" w:cs="仿宋"/>
          <w:sz w:val="32"/>
          <w:szCs w:val="32"/>
        </w:rPr>
      </w:pPr>
      <w:bookmarkStart w:id="135" w:name="_Toc24121"/>
      <w:bookmarkStart w:id="136" w:name="_Toc11785"/>
      <w:bookmarkStart w:id="137" w:name="_Toc12541"/>
      <w:r>
        <w:rPr>
          <w:rStyle w:val="97"/>
          <w:rFonts w:hint="eastAsia" w:ascii="仿宋" w:hAnsi="仿宋" w:eastAsia="仿宋" w:cs="仿宋"/>
          <w:sz w:val="32"/>
          <w:szCs w:val="32"/>
          <w:lang w:val="en-US" w:eastAsia="zh-CN"/>
        </w:rPr>
        <w:t>七</w:t>
      </w:r>
      <w:r>
        <w:rPr>
          <w:rStyle w:val="97"/>
          <w:rFonts w:hint="eastAsia" w:ascii="仿宋" w:hAnsi="仿宋" w:eastAsia="仿宋" w:cs="仿宋"/>
          <w:sz w:val="32"/>
          <w:szCs w:val="32"/>
        </w:rPr>
        <w:t>、商务和</w:t>
      </w:r>
      <w:r>
        <w:rPr>
          <w:rStyle w:val="97"/>
          <w:rFonts w:hint="eastAsia" w:ascii="仿宋" w:hAnsi="仿宋" w:eastAsia="仿宋" w:cs="仿宋"/>
          <w:sz w:val="32"/>
          <w:szCs w:val="32"/>
          <w:lang w:val="en-US" w:eastAsia="zh-CN"/>
        </w:rPr>
        <w:t>服务</w:t>
      </w:r>
      <w:r>
        <w:rPr>
          <w:rStyle w:val="97"/>
          <w:rFonts w:hint="eastAsia" w:ascii="仿宋" w:hAnsi="仿宋" w:eastAsia="仿宋" w:cs="仿宋"/>
          <w:sz w:val="32"/>
          <w:szCs w:val="32"/>
        </w:rPr>
        <w:t>响应说明</w:t>
      </w:r>
      <w:bookmarkEnd w:id="135"/>
      <w:bookmarkEnd w:id="136"/>
      <w:bookmarkEnd w:id="137"/>
    </w:p>
    <w:p w14:paraId="6AE6AB6D">
      <w:pPr>
        <w:adjustRightInd w:val="0"/>
        <w:snapToGrid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2"/>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2"/>
              <w:spacing w:before="120"/>
              <w:ind w:left="0" w:right="34"/>
              <w:jc w:val="center"/>
              <w:rPr>
                <w:rFonts w:ascii="仿宋" w:hAnsi="仿宋" w:eastAsia="仿宋"/>
                <w:b/>
                <w:highlight w:val="none"/>
              </w:rPr>
            </w:pPr>
            <w:r>
              <w:rPr>
                <w:rFonts w:hint="eastAsia" w:ascii="仿宋" w:hAnsi="仿宋" w:eastAsia="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2"/>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2"/>
              <w:spacing w:before="120"/>
              <w:ind w:left="0" w:right="34"/>
              <w:jc w:val="center"/>
              <w:rPr>
                <w:rFonts w:ascii="仿宋" w:hAnsi="仿宋" w:eastAsia="仿宋"/>
                <w:b/>
                <w:highlight w:val="none"/>
              </w:rPr>
            </w:pPr>
            <w:r>
              <w:rPr>
                <w:rFonts w:hint="eastAsia" w:ascii="仿宋" w:hAnsi="仿宋" w:eastAsia="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2"/>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2"/>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2"/>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2"/>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2"/>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2"/>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2"/>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2"/>
              <w:spacing w:before="120"/>
              <w:ind w:right="34"/>
              <w:jc w:val="center"/>
              <w:rPr>
                <w:rFonts w:ascii="仿宋" w:hAnsi="仿宋" w:eastAsia="仿宋"/>
                <w:b/>
                <w:highlight w:val="none"/>
              </w:rPr>
            </w:pPr>
          </w:p>
        </w:tc>
      </w:tr>
    </w:tbl>
    <w:p w14:paraId="56053942">
      <w:pPr>
        <w:pStyle w:val="12"/>
        <w:spacing w:before="120" w:line="360" w:lineRule="auto"/>
        <w:ind w:left="0" w:right="34"/>
        <w:jc w:val="both"/>
        <w:rPr>
          <w:rFonts w:hint="default" w:ascii="仿宋" w:hAnsi="仿宋" w:eastAsia="仿宋" w:cs="仿宋"/>
          <w:bCs/>
          <w:highlight w:val="none"/>
          <w:lang w:val="en-US" w:eastAsia="zh-CN"/>
        </w:rPr>
      </w:pPr>
      <w:r>
        <w:rPr>
          <w:rFonts w:hint="eastAsia" w:ascii="仿宋" w:hAnsi="仿宋" w:eastAsia="仿宋" w:cs="仿宋"/>
          <w:bCs/>
          <w:szCs w:val="24"/>
          <w:highlight w:val="none"/>
        </w:rPr>
        <w:t>1.供应商须按照</w:t>
      </w:r>
      <w:r>
        <w:rPr>
          <w:rFonts w:hint="eastAsia" w:ascii="仿宋" w:hAnsi="仿宋" w:eastAsia="仿宋" w:cs="仿宋"/>
          <w:bCs/>
          <w:szCs w:val="24"/>
          <w:highlight w:val="none"/>
          <w:lang w:val="en-US" w:eastAsia="zh-CN"/>
        </w:rPr>
        <w:t>磋商</w:t>
      </w:r>
      <w:r>
        <w:rPr>
          <w:rFonts w:hint="eastAsia" w:ascii="仿宋" w:hAnsi="仿宋" w:eastAsia="仿宋" w:cs="仿宋"/>
          <w:bCs/>
          <w:szCs w:val="24"/>
          <w:highlight w:val="none"/>
        </w:rPr>
        <w:t>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偏离视为无效响应。</w:t>
      </w:r>
    </w:p>
    <w:p w14:paraId="6501603E">
      <w:pPr>
        <w:pStyle w:val="12"/>
        <w:spacing w:before="120" w:line="360" w:lineRule="auto"/>
        <w:ind w:left="0" w:right="34"/>
        <w:jc w:val="both"/>
        <w:rPr>
          <w:rFonts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60F5E720">
      <w:pPr>
        <w:pStyle w:val="12"/>
        <w:spacing w:before="120"/>
        <w:ind w:left="0" w:right="34"/>
        <w:jc w:val="both"/>
        <w:rPr>
          <w:rFonts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7672DF3">
      <w:pPr>
        <w:pStyle w:val="12"/>
        <w:spacing w:before="120"/>
        <w:ind w:left="0" w:right="34"/>
        <w:jc w:val="both"/>
        <w:rPr>
          <w:rFonts w:ascii="仿宋" w:hAnsi="仿宋" w:eastAsia="仿宋" w:cs="仿宋"/>
          <w:bCs/>
          <w:highlight w:val="none"/>
        </w:rPr>
      </w:pPr>
    </w:p>
    <w:p w14:paraId="0303B02E">
      <w:pPr>
        <w:pStyle w:val="17"/>
        <w:rPr>
          <w:rFonts w:ascii="仿宋" w:hAnsi="仿宋" w:eastAsia="仿宋" w:cs="仿宋"/>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E54A9D4">
      <w:pPr>
        <w:pStyle w:val="12"/>
        <w:spacing w:before="120"/>
        <w:ind w:left="0" w:right="34"/>
        <w:jc w:val="center"/>
        <w:rPr>
          <w:rFonts w:ascii="仿宋" w:hAnsi="仿宋" w:eastAsia="仿宋" w:cs="仿宋"/>
          <w:b/>
          <w:bCs/>
          <w:sz w:val="28"/>
          <w:szCs w:val="28"/>
          <w:highlight w:val="none"/>
        </w:rPr>
      </w:pPr>
      <w:bookmarkStart w:id="138" w:name="_Toc14672"/>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val="en-US" w:eastAsia="zh-CN"/>
        </w:rPr>
        <w:t>服务</w:t>
      </w:r>
      <w:r>
        <w:rPr>
          <w:rFonts w:hint="eastAsia" w:ascii="仿宋" w:hAnsi="仿宋" w:eastAsia="仿宋" w:cs="仿宋"/>
          <w:b/>
          <w:bCs/>
          <w:sz w:val="28"/>
          <w:szCs w:val="28"/>
          <w:highlight w:val="none"/>
        </w:rPr>
        <w:t>偏离表</w:t>
      </w:r>
      <w:bookmarkEnd w:id="138"/>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5329877">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284A7E14">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044968D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6AA1E39F">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3140E583">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D393F8">
            <w:pPr>
              <w:spacing w:line="360" w:lineRule="auto"/>
              <w:jc w:val="center"/>
              <w:rPr>
                <w:rFonts w:ascii="仿宋" w:hAnsi="仿宋" w:eastAsia="仿宋" w:cs="仿宋"/>
                <w:sz w:val="24"/>
                <w:highlight w:val="none"/>
              </w:rPr>
            </w:pPr>
          </w:p>
        </w:tc>
        <w:tc>
          <w:tcPr>
            <w:tcW w:w="2332" w:type="dxa"/>
          </w:tcPr>
          <w:p w14:paraId="292195B7">
            <w:pPr>
              <w:spacing w:line="360" w:lineRule="auto"/>
              <w:jc w:val="center"/>
              <w:rPr>
                <w:rFonts w:ascii="仿宋" w:hAnsi="仿宋" w:eastAsia="仿宋" w:cs="仿宋"/>
                <w:sz w:val="24"/>
                <w:highlight w:val="none"/>
              </w:rPr>
            </w:pPr>
          </w:p>
        </w:tc>
        <w:tc>
          <w:tcPr>
            <w:tcW w:w="2220" w:type="dxa"/>
          </w:tcPr>
          <w:p w14:paraId="5D30FBC9">
            <w:pPr>
              <w:spacing w:line="360" w:lineRule="auto"/>
              <w:jc w:val="center"/>
              <w:rPr>
                <w:rFonts w:ascii="仿宋" w:hAnsi="仿宋" w:eastAsia="仿宋" w:cs="仿宋"/>
                <w:sz w:val="24"/>
                <w:highlight w:val="none"/>
              </w:rPr>
            </w:pPr>
          </w:p>
        </w:tc>
        <w:tc>
          <w:tcPr>
            <w:tcW w:w="2195" w:type="dxa"/>
          </w:tcPr>
          <w:p w14:paraId="51321C80">
            <w:pPr>
              <w:spacing w:line="360" w:lineRule="auto"/>
              <w:jc w:val="center"/>
              <w:rPr>
                <w:rFonts w:ascii="仿宋" w:hAnsi="仿宋" w:eastAsia="仿宋" w:cs="仿宋"/>
                <w:sz w:val="24"/>
                <w:highlight w:val="none"/>
              </w:rPr>
            </w:pPr>
          </w:p>
        </w:tc>
        <w:tc>
          <w:tcPr>
            <w:tcW w:w="1440" w:type="dxa"/>
          </w:tcPr>
          <w:p w14:paraId="7EC6BF4C">
            <w:pPr>
              <w:spacing w:line="360" w:lineRule="auto"/>
              <w:jc w:val="center"/>
              <w:rPr>
                <w:rFonts w:ascii="仿宋" w:hAnsi="仿宋" w:eastAsia="仿宋" w:cs="仿宋"/>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A7DFD0D">
            <w:pPr>
              <w:spacing w:line="360" w:lineRule="auto"/>
              <w:jc w:val="center"/>
              <w:rPr>
                <w:rFonts w:ascii="仿宋" w:hAnsi="仿宋" w:eastAsia="仿宋" w:cs="仿宋"/>
                <w:sz w:val="24"/>
                <w:highlight w:val="none"/>
              </w:rPr>
            </w:pPr>
          </w:p>
        </w:tc>
        <w:tc>
          <w:tcPr>
            <w:tcW w:w="2332" w:type="dxa"/>
          </w:tcPr>
          <w:p w14:paraId="2C7C69CA">
            <w:pPr>
              <w:spacing w:line="360" w:lineRule="auto"/>
              <w:jc w:val="center"/>
              <w:rPr>
                <w:rFonts w:ascii="仿宋" w:hAnsi="仿宋" w:eastAsia="仿宋" w:cs="仿宋"/>
                <w:sz w:val="24"/>
                <w:highlight w:val="none"/>
              </w:rPr>
            </w:pPr>
          </w:p>
        </w:tc>
        <w:tc>
          <w:tcPr>
            <w:tcW w:w="2220" w:type="dxa"/>
          </w:tcPr>
          <w:p w14:paraId="4BC6FED5">
            <w:pPr>
              <w:spacing w:line="360" w:lineRule="auto"/>
              <w:jc w:val="center"/>
              <w:rPr>
                <w:rFonts w:ascii="仿宋" w:hAnsi="仿宋" w:eastAsia="仿宋" w:cs="仿宋"/>
                <w:sz w:val="24"/>
                <w:highlight w:val="none"/>
              </w:rPr>
            </w:pPr>
          </w:p>
        </w:tc>
        <w:tc>
          <w:tcPr>
            <w:tcW w:w="2195" w:type="dxa"/>
          </w:tcPr>
          <w:p w14:paraId="05BBCD6F">
            <w:pPr>
              <w:spacing w:line="360" w:lineRule="auto"/>
              <w:jc w:val="center"/>
              <w:rPr>
                <w:rFonts w:ascii="仿宋" w:hAnsi="仿宋" w:eastAsia="仿宋" w:cs="仿宋"/>
                <w:sz w:val="24"/>
                <w:highlight w:val="none"/>
              </w:rPr>
            </w:pPr>
          </w:p>
        </w:tc>
        <w:tc>
          <w:tcPr>
            <w:tcW w:w="1440" w:type="dxa"/>
          </w:tcPr>
          <w:p w14:paraId="7D18881E">
            <w:pPr>
              <w:spacing w:line="360" w:lineRule="auto"/>
              <w:jc w:val="center"/>
              <w:rPr>
                <w:rFonts w:ascii="仿宋" w:hAnsi="仿宋" w:eastAsia="仿宋" w:cs="仿宋"/>
                <w:sz w:val="24"/>
                <w:highlight w:val="none"/>
              </w:rPr>
            </w:pPr>
          </w:p>
        </w:tc>
      </w:tr>
      <w:tr w14:paraId="28D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C629F77">
            <w:pPr>
              <w:spacing w:line="360" w:lineRule="auto"/>
              <w:jc w:val="center"/>
              <w:rPr>
                <w:rFonts w:ascii="仿宋" w:hAnsi="仿宋" w:eastAsia="仿宋" w:cs="仿宋"/>
                <w:sz w:val="24"/>
                <w:highlight w:val="none"/>
              </w:rPr>
            </w:pPr>
          </w:p>
        </w:tc>
        <w:tc>
          <w:tcPr>
            <w:tcW w:w="2332" w:type="dxa"/>
          </w:tcPr>
          <w:p w14:paraId="57891939">
            <w:pPr>
              <w:spacing w:line="360" w:lineRule="auto"/>
              <w:jc w:val="center"/>
              <w:rPr>
                <w:rFonts w:ascii="仿宋" w:hAnsi="仿宋" w:eastAsia="仿宋" w:cs="仿宋"/>
                <w:sz w:val="24"/>
                <w:highlight w:val="none"/>
              </w:rPr>
            </w:pPr>
          </w:p>
        </w:tc>
        <w:tc>
          <w:tcPr>
            <w:tcW w:w="2220" w:type="dxa"/>
          </w:tcPr>
          <w:p w14:paraId="075C6F23">
            <w:pPr>
              <w:spacing w:line="360" w:lineRule="auto"/>
              <w:jc w:val="center"/>
              <w:rPr>
                <w:rFonts w:ascii="仿宋" w:hAnsi="仿宋" w:eastAsia="仿宋" w:cs="仿宋"/>
                <w:sz w:val="24"/>
                <w:highlight w:val="none"/>
              </w:rPr>
            </w:pPr>
          </w:p>
        </w:tc>
        <w:tc>
          <w:tcPr>
            <w:tcW w:w="2195" w:type="dxa"/>
          </w:tcPr>
          <w:p w14:paraId="5A39BA07">
            <w:pPr>
              <w:spacing w:line="360" w:lineRule="auto"/>
              <w:jc w:val="center"/>
              <w:rPr>
                <w:rFonts w:ascii="仿宋" w:hAnsi="仿宋" w:eastAsia="仿宋" w:cs="仿宋"/>
                <w:sz w:val="24"/>
                <w:highlight w:val="none"/>
              </w:rPr>
            </w:pPr>
          </w:p>
        </w:tc>
        <w:tc>
          <w:tcPr>
            <w:tcW w:w="1440" w:type="dxa"/>
          </w:tcPr>
          <w:p w14:paraId="528D6AB0">
            <w:pPr>
              <w:spacing w:line="360" w:lineRule="auto"/>
              <w:jc w:val="center"/>
              <w:rPr>
                <w:rFonts w:ascii="仿宋" w:hAnsi="仿宋" w:eastAsia="仿宋" w:cs="仿宋"/>
                <w:sz w:val="24"/>
                <w:highlight w:val="none"/>
              </w:rPr>
            </w:pPr>
          </w:p>
        </w:tc>
      </w:tr>
      <w:tr w14:paraId="705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84A2F0">
            <w:pPr>
              <w:spacing w:line="360" w:lineRule="auto"/>
              <w:jc w:val="center"/>
              <w:rPr>
                <w:rFonts w:ascii="仿宋" w:hAnsi="仿宋" w:eastAsia="仿宋" w:cs="仿宋"/>
                <w:sz w:val="24"/>
                <w:highlight w:val="none"/>
              </w:rPr>
            </w:pPr>
          </w:p>
        </w:tc>
        <w:tc>
          <w:tcPr>
            <w:tcW w:w="2332" w:type="dxa"/>
          </w:tcPr>
          <w:p w14:paraId="627D5463">
            <w:pPr>
              <w:spacing w:line="360" w:lineRule="auto"/>
              <w:jc w:val="center"/>
              <w:rPr>
                <w:rFonts w:ascii="仿宋" w:hAnsi="仿宋" w:eastAsia="仿宋" w:cs="仿宋"/>
                <w:sz w:val="24"/>
                <w:highlight w:val="none"/>
              </w:rPr>
            </w:pPr>
          </w:p>
        </w:tc>
        <w:tc>
          <w:tcPr>
            <w:tcW w:w="2220" w:type="dxa"/>
          </w:tcPr>
          <w:p w14:paraId="133CF61D">
            <w:pPr>
              <w:spacing w:line="360" w:lineRule="auto"/>
              <w:jc w:val="center"/>
              <w:rPr>
                <w:rFonts w:ascii="仿宋" w:hAnsi="仿宋" w:eastAsia="仿宋" w:cs="仿宋"/>
                <w:sz w:val="24"/>
                <w:highlight w:val="none"/>
              </w:rPr>
            </w:pPr>
          </w:p>
        </w:tc>
        <w:tc>
          <w:tcPr>
            <w:tcW w:w="2195" w:type="dxa"/>
          </w:tcPr>
          <w:p w14:paraId="5DAFA4D2">
            <w:pPr>
              <w:spacing w:line="360" w:lineRule="auto"/>
              <w:jc w:val="center"/>
              <w:rPr>
                <w:rFonts w:ascii="仿宋" w:hAnsi="仿宋" w:eastAsia="仿宋" w:cs="仿宋"/>
                <w:sz w:val="24"/>
                <w:highlight w:val="none"/>
              </w:rPr>
            </w:pPr>
          </w:p>
        </w:tc>
        <w:tc>
          <w:tcPr>
            <w:tcW w:w="1440" w:type="dxa"/>
          </w:tcPr>
          <w:p w14:paraId="4C9BB80E">
            <w:pPr>
              <w:spacing w:line="360" w:lineRule="auto"/>
              <w:jc w:val="center"/>
              <w:rPr>
                <w:rFonts w:ascii="仿宋" w:hAnsi="仿宋" w:eastAsia="仿宋" w:cs="仿宋"/>
                <w:sz w:val="24"/>
                <w:highlight w:val="none"/>
              </w:rPr>
            </w:pPr>
          </w:p>
        </w:tc>
      </w:tr>
      <w:tr w14:paraId="08F1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E1D6A4">
            <w:pPr>
              <w:spacing w:line="360" w:lineRule="auto"/>
              <w:jc w:val="center"/>
              <w:rPr>
                <w:rFonts w:ascii="仿宋" w:hAnsi="仿宋" w:eastAsia="仿宋" w:cs="仿宋"/>
                <w:sz w:val="24"/>
                <w:highlight w:val="none"/>
              </w:rPr>
            </w:pPr>
          </w:p>
        </w:tc>
        <w:tc>
          <w:tcPr>
            <w:tcW w:w="2332" w:type="dxa"/>
          </w:tcPr>
          <w:p w14:paraId="30F06897">
            <w:pPr>
              <w:spacing w:line="360" w:lineRule="auto"/>
              <w:jc w:val="center"/>
              <w:rPr>
                <w:rFonts w:ascii="仿宋" w:hAnsi="仿宋" w:eastAsia="仿宋" w:cs="仿宋"/>
                <w:sz w:val="24"/>
                <w:highlight w:val="none"/>
              </w:rPr>
            </w:pPr>
          </w:p>
        </w:tc>
        <w:tc>
          <w:tcPr>
            <w:tcW w:w="2220" w:type="dxa"/>
          </w:tcPr>
          <w:p w14:paraId="3248A1A0">
            <w:pPr>
              <w:spacing w:line="360" w:lineRule="auto"/>
              <w:jc w:val="center"/>
              <w:rPr>
                <w:rFonts w:ascii="仿宋" w:hAnsi="仿宋" w:eastAsia="仿宋" w:cs="仿宋"/>
                <w:sz w:val="24"/>
                <w:highlight w:val="none"/>
              </w:rPr>
            </w:pPr>
          </w:p>
        </w:tc>
        <w:tc>
          <w:tcPr>
            <w:tcW w:w="2195" w:type="dxa"/>
          </w:tcPr>
          <w:p w14:paraId="1274CA57">
            <w:pPr>
              <w:spacing w:line="360" w:lineRule="auto"/>
              <w:jc w:val="center"/>
              <w:rPr>
                <w:rFonts w:ascii="仿宋" w:hAnsi="仿宋" w:eastAsia="仿宋" w:cs="仿宋"/>
                <w:sz w:val="24"/>
                <w:highlight w:val="none"/>
              </w:rPr>
            </w:pPr>
          </w:p>
        </w:tc>
        <w:tc>
          <w:tcPr>
            <w:tcW w:w="1440" w:type="dxa"/>
          </w:tcPr>
          <w:p w14:paraId="0413A855">
            <w:pPr>
              <w:spacing w:line="360" w:lineRule="auto"/>
              <w:jc w:val="center"/>
              <w:rPr>
                <w:rFonts w:ascii="仿宋" w:hAnsi="仿宋" w:eastAsia="仿宋" w:cs="仿宋"/>
                <w:sz w:val="24"/>
                <w:highlight w:val="none"/>
              </w:rPr>
            </w:pPr>
          </w:p>
        </w:tc>
      </w:tr>
      <w:tr w14:paraId="0071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E2996C5">
            <w:pPr>
              <w:spacing w:line="360" w:lineRule="auto"/>
              <w:jc w:val="center"/>
              <w:rPr>
                <w:rFonts w:ascii="仿宋" w:hAnsi="仿宋" w:eastAsia="仿宋" w:cs="仿宋"/>
                <w:sz w:val="24"/>
                <w:highlight w:val="none"/>
              </w:rPr>
            </w:pPr>
          </w:p>
        </w:tc>
        <w:tc>
          <w:tcPr>
            <w:tcW w:w="2332" w:type="dxa"/>
          </w:tcPr>
          <w:p w14:paraId="2B5E5152">
            <w:pPr>
              <w:spacing w:line="360" w:lineRule="auto"/>
              <w:jc w:val="center"/>
              <w:rPr>
                <w:rFonts w:ascii="仿宋" w:hAnsi="仿宋" w:eastAsia="仿宋" w:cs="仿宋"/>
                <w:sz w:val="24"/>
                <w:highlight w:val="none"/>
              </w:rPr>
            </w:pPr>
          </w:p>
        </w:tc>
        <w:tc>
          <w:tcPr>
            <w:tcW w:w="2220" w:type="dxa"/>
          </w:tcPr>
          <w:p w14:paraId="25EFE527">
            <w:pPr>
              <w:spacing w:line="360" w:lineRule="auto"/>
              <w:jc w:val="center"/>
              <w:rPr>
                <w:rFonts w:ascii="仿宋" w:hAnsi="仿宋" w:eastAsia="仿宋" w:cs="仿宋"/>
                <w:sz w:val="24"/>
                <w:highlight w:val="none"/>
              </w:rPr>
            </w:pPr>
          </w:p>
        </w:tc>
        <w:tc>
          <w:tcPr>
            <w:tcW w:w="2195" w:type="dxa"/>
          </w:tcPr>
          <w:p w14:paraId="2818BD0B">
            <w:pPr>
              <w:spacing w:line="360" w:lineRule="auto"/>
              <w:jc w:val="center"/>
              <w:rPr>
                <w:rFonts w:ascii="仿宋" w:hAnsi="仿宋" w:eastAsia="仿宋" w:cs="仿宋"/>
                <w:sz w:val="24"/>
                <w:highlight w:val="none"/>
              </w:rPr>
            </w:pPr>
          </w:p>
        </w:tc>
        <w:tc>
          <w:tcPr>
            <w:tcW w:w="1440" w:type="dxa"/>
          </w:tcPr>
          <w:p w14:paraId="07478009">
            <w:pPr>
              <w:spacing w:line="360" w:lineRule="auto"/>
              <w:jc w:val="center"/>
              <w:rPr>
                <w:rFonts w:ascii="仿宋" w:hAnsi="仿宋" w:eastAsia="仿宋" w:cs="仿宋"/>
                <w:sz w:val="24"/>
                <w:highlight w:val="none"/>
              </w:rPr>
            </w:pPr>
          </w:p>
        </w:tc>
      </w:tr>
      <w:tr w14:paraId="2E2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BA0233">
            <w:pPr>
              <w:spacing w:line="360" w:lineRule="auto"/>
              <w:jc w:val="center"/>
              <w:rPr>
                <w:rFonts w:ascii="仿宋" w:hAnsi="仿宋" w:eastAsia="仿宋" w:cs="仿宋"/>
                <w:sz w:val="24"/>
                <w:highlight w:val="none"/>
              </w:rPr>
            </w:pPr>
          </w:p>
        </w:tc>
        <w:tc>
          <w:tcPr>
            <w:tcW w:w="2332" w:type="dxa"/>
          </w:tcPr>
          <w:p w14:paraId="6D80F288">
            <w:pPr>
              <w:spacing w:line="360" w:lineRule="auto"/>
              <w:jc w:val="center"/>
              <w:rPr>
                <w:rFonts w:ascii="仿宋" w:hAnsi="仿宋" w:eastAsia="仿宋" w:cs="仿宋"/>
                <w:sz w:val="24"/>
                <w:highlight w:val="none"/>
              </w:rPr>
            </w:pPr>
          </w:p>
        </w:tc>
        <w:tc>
          <w:tcPr>
            <w:tcW w:w="2220" w:type="dxa"/>
          </w:tcPr>
          <w:p w14:paraId="7D25C357">
            <w:pPr>
              <w:spacing w:line="360" w:lineRule="auto"/>
              <w:jc w:val="center"/>
              <w:rPr>
                <w:rFonts w:ascii="仿宋" w:hAnsi="仿宋" w:eastAsia="仿宋" w:cs="仿宋"/>
                <w:sz w:val="24"/>
                <w:highlight w:val="none"/>
              </w:rPr>
            </w:pPr>
          </w:p>
        </w:tc>
        <w:tc>
          <w:tcPr>
            <w:tcW w:w="2195" w:type="dxa"/>
          </w:tcPr>
          <w:p w14:paraId="5CA1330A">
            <w:pPr>
              <w:spacing w:line="360" w:lineRule="auto"/>
              <w:jc w:val="center"/>
              <w:rPr>
                <w:rFonts w:ascii="仿宋" w:hAnsi="仿宋" w:eastAsia="仿宋" w:cs="仿宋"/>
                <w:sz w:val="24"/>
                <w:highlight w:val="none"/>
              </w:rPr>
            </w:pPr>
          </w:p>
        </w:tc>
        <w:tc>
          <w:tcPr>
            <w:tcW w:w="1440" w:type="dxa"/>
          </w:tcPr>
          <w:p w14:paraId="2D66EC21">
            <w:pPr>
              <w:spacing w:line="360" w:lineRule="auto"/>
              <w:jc w:val="center"/>
              <w:rPr>
                <w:rFonts w:ascii="仿宋" w:hAnsi="仿宋" w:eastAsia="仿宋" w:cs="仿宋"/>
                <w:sz w:val="24"/>
                <w:highlight w:val="none"/>
              </w:rPr>
            </w:pPr>
          </w:p>
        </w:tc>
      </w:tr>
      <w:tr w14:paraId="134F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A3D7345">
            <w:pPr>
              <w:spacing w:line="360" w:lineRule="auto"/>
              <w:jc w:val="center"/>
              <w:rPr>
                <w:rFonts w:ascii="仿宋" w:hAnsi="仿宋" w:eastAsia="仿宋" w:cs="仿宋"/>
                <w:sz w:val="24"/>
                <w:highlight w:val="none"/>
              </w:rPr>
            </w:pPr>
          </w:p>
        </w:tc>
        <w:tc>
          <w:tcPr>
            <w:tcW w:w="2332" w:type="dxa"/>
          </w:tcPr>
          <w:p w14:paraId="3D9EE8BA">
            <w:pPr>
              <w:spacing w:line="360" w:lineRule="auto"/>
              <w:jc w:val="center"/>
              <w:rPr>
                <w:rFonts w:ascii="仿宋" w:hAnsi="仿宋" w:eastAsia="仿宋" w:cs="仿宋"/>
                <w:sz w:val="24"/>
                <w:highlight w:val="none"/>
              </w:rPr>
            </w:pPr>
          </w:p>
        </w:tc>
        <w:tc>
          <w:tcPr>
            <w:tcW w:w="2220" w:type="dxa"/>
          </w:tcPr>
          <w:p w14:paraId="0E4B4190">
            <w:pPr>
              <w:spacing w:line="360" w:lineRule="auto"/>
              <w:jc w:val="center"/>
              <w:rPr>
                <w:rFonts w:ascii="仿宋" w:hAnsi="仿宋" w:eastAsia="仿宋" w:cs="仿宋"/>
                <w:sz w:val="24"/>
                <w:highlight w:val="none"/>
              </w:rPr>
            </w:pPr>
          </w:p>
        </w:tc>
        <w:tc>
          <w:tcPr>
            <w:tcW w:w="2195" w:type="dxa"/>
          </w:tcPr>
          <w:p w14:paraId="0C38926C">
            <w:pPr>
              <w:spacing w:line="360" w:lineRule="auto"/>
              <w:jc w:val="center"/>
              <w:rPr>
                <w:rFonts w:ascii="仿宋" w:hAnsi="仿宋" w:eastAsia="仿宋" w:cs="仿宋"/>
                <w:sz w:val="24"/>
                <w:highlight w:val="none"/>
              </w:rPr>
            </w:pPr>
          </w:p>
        </w:tc>
        <w:tc>
          <w:tcPr>
            <w:tcW w:w="1440" w:type="dxa"/>
          </w:tcPr>
          <w:p w14:paraId="1A5BAEED">
            <w:pPr>
              <w:spacing w:line="360" w:lineRule="auto"/>
              <w:jc w:val="center"/>
              <w:rPr>
                <w:rFonts w:ascii="仿宋" w:hAnsi="仿宋" w:eastAsia="仿宋" w:cs="仿宋"/>
                <w:sz w:val="24"/>
                <w:highlight w:val="none"/>
              </w:rPr>
            </w:pPr>
          </w:p>
        </w:tc>
      </w:tr>
    </w:tbl>
    <w:p w14:paraId="3E5CED35">
      <w:pPr>
        <w:spacing w:line="480" w:lineRule="auto"/>
        <w:rPr>
          <w:rFonts w:ascii="仿宋" w:hAnsi="仿宋" w:eastAsia="仿宋" w:cs="仿宋"/>
          <w:sz w:val="24"/>
          <w:highlight w:val="none"/>
        </w:rPr>
      </w:pPr>
      <w:r>
        <w:rPr>
          <w:rFonts w:hint="eastAsia" w:ascii="仿宋" w:hAnsi="仿宋" w:eastAsia="仿宋" w:cs="仿宋"/>
          <w:sz w:val="24"/>
          <w:highlight w:val="none"/>
        </w:rPr>
        <w:t>注：</w:t>
      </w:r>
    </w:p>
    <w:p w14:paraId="2327056E">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75D31FC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5AE7A85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46DAD797">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4213F49F">
      <w:pPr>
        <w:spacing w:line="480" w:lineRule="auto"/>
        <w:ind w:firstLine="3360" w:firstLineChars="1400"/>
        <w:rPr>
          <w:rFonts w:hint="eastAsia" w:ascii="仿宋" w:hAnsi="仿宋" w:eastAsia="仿宋" w:cs="仿宋"/>
          <w:highlight w:val="none"/>
        </w:rPr>
      </w:pPr>
    </w:p>
    <w:p w14:paraId="3F9066E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E9AC5C">
      <w:pPr>
        <w:overflowPunct w:val="0"/>
        <w:spacing w:line="360" w:lineRule="auto"/>
        <w:jc w:val="center"/>
        <w:outlineLvl w:val="1"/>
        <w:rPr>
          <w:rStyle w:val="97"/>
          <w:rFonts w:hint="eastAsia" w:ascii="仿宋" w:hAnsi="仿宋" w:eastAsia="仿宋" w:cs="仿宋"/>
          <w:sz w:val="32"/>
          <w:szCs w:val="32"/>
        </w:rPr>
      </w:pPr>
      <w:bookmarkStart w:id="139" w:name="_Toc2161"/>
      <w:r>
        <w:rPr>
          <w:rStyle w:val="97"/>
          <w:rFonts w:hint="eastAsia" w:ascii="仿宋" w:hAnsi="仿宋" w:eastAsia="仿宋" w:cs="仿宋"/>
          <w:sz w:val="32"/>
          <w:szCs w:val="32"/>
          <w:lang w:val="en-US" w:eastAsia="zh-CN"/>
        </w:rPr>
        <w:t>八</w:t>
      </w:r>
      <w:r>
        <w:rPr>
          <w:rStyle w:val="97"/>
          <w:rFonts w:hint="eastAsia" w:ascii="仿宋" w:hAnsi="仿宋" w:eastAsia="仿宋" w:cs="仿宋"/>
          <w:sz w:val="32"/>
          <w:szCs w:val="32"/>
        </w:rPr>
        <w:t>、资格证明文件</w:t>
      </w:r>
      <w:bookmarkEnd w:id="139"/>
    </w:p>
    <w:p w14:paraId="660F404E">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017DB59">
            <w:pPr>
              <w:overflowPunct w:val="0"/>
              <w:spacing w:line="400" w:lineRule="atLeast"/>
              <w:jc w:val="center"/>
              <w:rPr>
                <w:rFonts w:ascii="仿宋" w:hAnsi="仿宋" w:eastAsia="仿宋" w:cs="仿宋"/>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14:paraId="4F066D38">
            <w:pPr>
              <w:overflowPunct w:val="0"/>
              <w:spacing w:line="400" w:lineRule="atLeast"/>
              <w:jc w:val="center"/>
              <w:rPr>
                <w:rFonts w:ascii="仿宋" w:hAnsi="仿宋" w:eastAsia="仿宋" w:cs="仿宋"/>
                <w:highlight w:val="none"/>
              </w:rPr>
            </w:pPr>
          </w:p>
        </w:tc>
        <w:tc>
          <w:tcPr>
            <w:tcW w:w="2265" w:type="dxa"/>
          </w:tcPr>
          <w:p w14:paraId="487E3D6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14:paraId="23F67561">
            <w:pPr>
              <w:overflowPunct w:val="0"/>
              <w:spacing w:line="400" w:lineRule="atLeast"/>
              <w:jc w:val="center"/>
              <w:rPr>
                <w:rFonts w:ascii="仿宋" w:hAnsi="仿宋" w:eastAsia="仿宋" w:cs="仿宋"/>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14:paraId="6ECD6838">
            <w:pPr>
              <w:overflowPunct w:val="0"/>
              <w:spacing w:line="400" w:lineRule="atLeast"/>
              <w:jc w:val="center"/>
              <w:rPr>
                <w:rFonts w:ascii="仿宋" w:hAnsi="仿宋" w:eastAsia="仿宋" w:cs="仿宋"/>
                <w:highlight w:val="none"/>
              </w:rPr>
            </w:pPr>
          </w:p>
        </w:tc>
        <w:tc>
          <w:tcPr>
            <w:tcW w:w="2265" w:type="dxa"/>
          </w:tcPr>
          <w:p w14:paraId="246F00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14:paraId="7D9E791E">
            <w:pPr>
              <w:overflowPunct w:val="0"/>
              <w:spacing w:line="400" w:lineRule="atLeast"/>
              <w:jc w:val="center"/>
              <w:rPr>
                <w:rFonts w:ascii="仿宋" w:hAnsi="仿宋" w:eastAsia="仿宋" w:cs="仿宋"/>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14:paraId="2A668471">
            <w:pPr>
              <w:overflowPunct w:val="0"/>
              <w:spacing w:line="400" w:lineRule="atLeast"/>
              <w:jc w:val="center"/>
              <w:rPr>
                <w:rFonts w:ascii="仿宋" w:hAnsi="仿宋" w:eastAsia="仿宋" w:cs="仿宋"/>
                <w:highlight w:val="none"/>
              </w:rPr>
            </w:pPr>
          </w:p>
        </w:tc>
        <w:tc>
          <w:tcPr>
            <w:tcW w:w="2265" w:type="dxa"/>
          </w:tcPr>
          <w:p w14:paraId="3CC9D22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7E9CDB1F">
            <w:pPr>
              <w:overflowPunct w:val="0"/>
              <w:spacing w:line="400" w:lineRule="atLeast"/>
              <w:jc w:val="center"/>
              <w:rPr>
                <w:rFonts w:ascii="仿宋" w:hAnsi="仿宋" w:eastAsia="仿宋" w:cs="仿宋"/>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14:paraId="21B2B88D">
            <w:pPr>
              <w:overflowPunct w:val="0"/>
              <w:spacing w:line="400" w:lineRule="atLeast"/>
              <w:jc w:val="center"/>
              <w:rPr>
                <w:rFonts w:ascii="仿宋" w:hAnsi="仿宋" w:eastAsia="仿宋" w:cs="仿宋"/>
                <w:highlight w:val="none"/>
              </w:rPr>
            </w:pPr>
          </w:p>
        </w:tc>
        <w:tc>
          <w:tcPr>
            <w:tcW w:w="2265" w:type="dxa"/>
          </w:tcPr>
          <w:p w14:paraId="038E01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50AA6CEF">
            <w:pPr>
              <w:overflowPunct w:val="0"/>
              <w:spacing w:line="400" w:lineRule="atLeast"/>
              <w:jc w:val="center"/>
              <w:rPr>
                <w:rFonts w:ascii="仿宋" w:hAnsi="仿宋" w:eastAsia="仿宋" w:cs="仿宋"/>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14:paraId="17D4D8BC">
            <w:pPr>
              <w:overflowPunct w:val="0"/>
              <w:spacing w:line="400" w:lineRule="atLeast"/>
              <w:jc w:val="center"/>
              <w:rPr>
                <w:rFonts w:ascii="仿宋" w:hAnsi="仿宋" w:eastAsia="仿宋" w:cs="仿宋"/>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C376DC9">
            <w:pPr>
              <w:overflowPunct w:val="0"/>
              <w:spacing w:line="400" w:lineRule="atLeast"/>
              <w:jc w:val="center"/>
              <w:rPr>
                <w:rFonts w:ascii="仿宋" w:hAnsi="仿宋" w:eastAsia="仿宋" w:cs="仿宋"/>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1B2C013B">
            <w:pPr>
              <w:overflowPunct w:val="0"/>
              <w:spacing w:line="400" w:lineRule="atLeast"/>
              <w:jc w:val="center"/>
              <w:rPr>
                <w:rFonts w:ascii="仿宋" w:hAnsi="仿宋" w:eastAsia="仿宋" w:cs="仿宋"/>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14:paraId="51C26094">
            <w:pPr>
              <w:overflowPunct w:val="0"/>
              <w:spacing w:line="400" w:lineRule="atLeast"/>
              <w:jc w:val="center"/>
              <w:rPr>
                <w:rFonts w:ascii="仿宋" w:hAnsi="仿宋" w:eastAsia="仿宋" w:cs="仿宋"/>
                <w:highlight w:val="none"/>
              </w:rPr>
            </w:pPr>
          </w:p>
        </w:tc>
      </w:tr>
    </w:tbl>
    <w:p w14:paraId="20BF81F2">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14:paraId="044E7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1.满足《中华人民共和国政府釆购法》第二十二条规定;</w:t>
      </w:r>
    </w:p>
    <w:p w14:paraId="559DA1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2.落实政府采购政策需满足的资格要求：</w:t>
      </w:r>
    </w:p>
    <w:p w14:paraId="005D40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b w:val="0"/>
          <w:bCs w:val="0"/>
          <w:sz w:val="24"/>
          <w:highlight w:val="none"/>
          <w:lang w:val="en-US" w:eastAsia="zh-CN"/>
        </w:rPr>
        <w:t>合同包1(陕西省公众移动通信无线电频率使用率评价技术服务)落实政府采购政策需满足的资格要求如下:本项目非专门面向中小企业采购。</w:t>
      </w:r>
    </w:p>
    <w:p w14:paraId="42E591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3.本项目的特定资格要求：</w:t>
      </w:r>
    </w:p>
    <w:p w14:paraId="026C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合同包1(陕西省公众移动通信无线电频率使用率评价技术服务)特定资格要求如下:</w:t>
      </w:r>
    </w:p>
    <w:p w14:paraId="796959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738D43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财务状况报告：提供2024年度经审计的财务报告（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1AD00B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248296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1C9D4F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5、提供具有履行本合同所必需的专业技术能力的书面声明；</w:t>
      </w:r>
    </w:p>
    <w:p w14:paraId="615DCF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90FBE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7、法定代表人直接参加磋商的，须出具法定代表人身份证明书及身份证；授权代表参加磋商的，须出具法定代表人授权书及授权代表身份证；</w:t>
      </w:r>
    </w:p>
    <w:p w14:paraId="5F57DE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F70110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68FD48A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10、本项目不接受联合体响应；</w:t>
      </w:r>
    </w:p>
    <w:p w14:paraId="4B0A9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shd w:val="clear" w:color="auto"/>
        <w:spacing w:beforeAutospacing="0" w:afterAutospacing="0"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28BD466">
      <w:pPr>
        <w:pStyle w:val="27"/>
        <w:shd w:val="clear" w:color="auto"/>
        <w:spacing w:beforeAutospacing="0" w:afterAutospacing="0" w:line="360" w:lineRule="auto"/>
        <w:rPr>
          <w:rFonts w:ascii="仿宋" w:hAnsi="仿宋" w:eastAsia="仿宋" w:cs="仿宋"/>
          <w:sz w:val="28"/>
          <w:szCs w:val="28"/>
          <w:highlight w:val="none"/>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highlight w:val="none"/>
        </w:rPr>
        <w:br w:type="page"/>
      </w:r>
      <w:bookmarkEnd w:id="119"/>
      <w:bookmarkEnd w:id="120"/>
      <w:bookmarkEnd w:id="121"/>
      <w:bookmarkEnd w:id="122"/>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0"/>
        <w:rPr>
          <w:rFonts w:ascii="仿宋" w:hAnsi="仿宋" w:eastAsia="仿宋" w:cs="仿宋"/>
          <w:color w:val="auto"/>
          <w:highlight w:val="none"/>
        </w:rPr>
      </w:pPr>
    </w:p>
    <w:p w14:paraId="11C77F24">
      <w:pPr>
        <w:spacing w:line="500" w:lineRule="exact"/>
        <w:ind w:firstLine="2640" w:firstLineChars="1100"/>
        <w:rPr>
          <w:rFonts w:ascii="仿宋" w:hAnsi="仿宋" w:eastAsia="仿宋" w:cs="仿宋"/>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u w:val="single"/>
        </w:rPr>
        <w:t xml:space="preserve">      （供应商名称）    </w:t>
      </w:r>
      <w:r>
        <w:rPr>
          <w:rFonts w:hint="eastAsia" w:ascii="仿宋_GB2312" w:hAnsi="仿宋_GB2312" w:eastAsia="仿宋_GB2312" w:cs="仿宋_GB2312"/>
          <w:spacing w:val="4"/>
          <w:sz w:val="24"/>
          <w:szCs w:val="24"/>
        </w:rPr>
        <w:t xml:space="preserve"> 于</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日在中华人民共和国境内</w:t>
      </w:r>
      <w:r>
        <w:rPr>
          <w:rFonts w:hint="eastAsia" w:ascii="仿宋_GB2312" w:hAnsi="仿宋_GB2312" w:eastAsia="仿宋_GB2312" w:cs="仿宋_GB2312"/>
          <w:spacing w:val="4"/>
          <w:sz w:val="24"/>
          <w:szCs w:val="24"/>
          <w:u w:val="single"/>
        </w:rPr>
        <w:t xml:space="preserve">               （详细注册地址）  </w:t>
      </w:r>
      <w:r>
        <w:rPr>
          <w:rFonts w:hint="eastAsia" w:ascii="仿宋_GB2312" w:hAnsi="仿宋_GB2312" w:eastAsia="仿宋_GB2312" w:cs="仿宋_GB2312"/>
          <w:spacing w:val="4"/>
          <w:sz w:val="24"/>
          <w:szCs w:val="24"/>
        </w:rPr>
        <w:t>合法注册并经营，公司主营业务为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，营业（生产经营）面积为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，现有员工数量为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707" w:firstLineChars="1128"/>
        <w:rPr>
          <w:rFonts w:ascii="仿宋" w:hAnsi="仿宋" w:eastAsia="仿宋" w:cs="仿宋"/>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ascii="仿宋" w:hAnsi="仿宋" w:eastAsia="仿宋" w:cs="仿宋"/>
          <w:sz w:val="32"/>
          <w:szCs w:val="32"/>
          <w:highlight w:val="none"/>
        </w:rPr>
      </w:pPr>
      <w:r>
        <w:rPr>
          <w:rFonts w:hint="eastAsia" w:ascii="仿宋" w:hAnsi="仿宋" w:eastAsia="仿宋" w:cs="仿宋"/>
          <w:b/>
          <w:bCs/>
          <w:sz w:val="32"/>
          <w:szCs w:val="32"/>
          <w:highlight w:val="none"/>
        </w:rPr>
        <w:t>附件3：</w:t>
      </w:r>
    </w:p>
    <w:p w14:paraId="7685B4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9432BDD">
      <w:pPr>
        <w:spacing w:line="540" w:lineRule="exact"/>
        <w:ind w:right="-226" w:rightChars="-94"/>
        <w:jc w:val="left"/>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u w:val="single"/>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eastAsia="zh-CN"/>
        </w:rPr>
        <w:t>一、</w:t>
      </w:r>
      <w:r>
        <w:rPr>
          <w:rFonts w:hint="eastAsia" w:ascii="仿宋_GB2312" w:eastAsia="仿宋_GB2312" w:cs="Times New Roman"/>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二、我单位</w:t>
      </w:r>
      <w:r>
        <w:rPr>
          <w:rFonts w:hint="eastAsia" w:ascii="仿宋_GB2312" w:eastAsia="仿宋_GB2312" w:cs="Times New Roman"/>
          <w:color w:val="auto"/>
          <w:sz w:val="24"/>
          <w:szCs w:val="24"/>
          <w:highlight w:val="none"/>
          <w:lang w:val="en-US" w:eastAsia="zh-CN"/>
        </w:rPr>
        <w:t>不属于</w:t>
      </w:r>
      <w:r>
        <w:rPr>
          <w:rFonts w:hint="eastAsia" w:ascii="仿宋_GB2312" w:hAnsi="Times New Roman" w:eastAsia="仿宋_GB2312" w:cs="Times New Roman"/>
          <w:color w:val="auto"/>
          <w:sz w:val="24"/>
          <w:szCs w:val="24"/>
          <w:highlight w:val="none"/>
        </w:rPr>
        <w:t>为本采购项目提供过整体设计、规范编制或者项目管理、监理、检测等服务的</w:t>
      </w:r>
      <w:r>
        <w:rPr>
          <w:rFonts w:hint="eastAsia" w:ascii="仿宋_GB2312" w:hAnsi="Times New Roman" w:eastAsia="仿宋_GB2312" w:cs="Times New Roman"/>
          <w:color w:val="auto"/>
          <w:sz w:val="24"/>
          <w:szCs w:val="24"/>
          <w:highlight w:val="none"/>
          <w:lang w:eastAsia="zh-CN"/>
        </w:rPr>
        <w:t>供应商</w:t>
      </w:r>
      <w:r>
        <w:rPr>
          <w:rFonts w:hint="eastAsia" w:ascii="仿宋_GB2312" w:hAnsi="Times New Roman" w:eastAsia="仿宋_GB2312" w:cs="Times New Roman"/>
          <w:color w:val="auto"/>
          <w:sz w:val="24"/>
          <w:szCs w:val="24"/>
          <w:highlight w:val="none"/>
        </w:rPr>
        <w:t>。</w:t>
      </w:r>
    </w:p>
    <w:p w14:paraId="7CC8B6D4">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本单位对上述声明的真实性负责</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如有</w:t>
      </w:r>
      <w:r>
        <w:rPr>
          <w:rFonts w:hint="eastAsia" w:ascii="仿宋_GB2312" w:hAnsi="Times New Roman" w:eastAsia="仿宋_GB2312" w:cs="Times New Roman"/>
          <w:color w:val="auto"/>
          <w:sz w:val="24"/>
          <w:szCs w:val="24"/>
          <w:highlight w:val="none"/>
          <w:lang w:eastAsia="zh-CN"/>
        </w:rPr>
        <w:t>虚假</w:t>
      </w:r>
      <w:r>
        <w:rPr>
          <w:rFonts w:hint="eastAsia" w:ascii="仿宋_GB2312" w:hAnsi="Times New Roman" w:eastAsia="仿宋_GB2312" w:cs="Times New Roman"/>
          <w:color w:val="auto"/>
          <w:sz w:val="24"/>
          <w:szCs w:val="24"/>
          <w:highlight w:val="none"/>
        </w:rPr>
        <w:t>，我方将无条件地退出本项目的采购活动，并遵照《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w:t>
      </w:r>
      <w:r>
        <w:rPr>
          <w:rFonts w:hint="eastAsia" w:ascii="仿宋_GB2312" w:hAnsi="Times New Roman" w:eastAsia="仿宋_GB2312" w:cs="Times New Roman"/>
          <w:color w:val="auto"/>
          <w:sz w:val="24"/>
          <w:szCs w:val="24"/>
          <w:highlight w:val="none"/>
        </w:rPr>
        <w:t>》有关"提供虚假材料的规定"接受处罚。</w:t>
      </w:r>
      <w:r>
        <w:rPr>
          <w:rFonts w:hint="eastAsia" w:ascii="仿宋_GB2312" w:hAnsi="Times New Roman" w:eastAsia="仿宋_GB2312" w:cs="Times New Roman"/>
          <w:color w:val="auto"/>
          <w:sz w:val="24"/>
          <w:szCs w:val="24"/>
          <w:highlight w:val="none"/>
        </w:rPr>
        <w:br w:type="textWrapping"/>
      </w:r>
      <w:r>
        <w:rPr>
          <w:rFonts w:hint="eastAsia" w:ascii="仿宋_GB2312" w:hAnsi="Times New Roman" w:eastAsia="仿宋_GB2312" w:cs="Times New Roman"/>
          <w:color w:val="auto"/>
          <w:sz w:val="24"/>
          <w:szCs w:val="24"/>
          <w:highlight w:val="none"/>
        </w:rPr>
        <w:t xml:space="preserve">     特此声明。</w:t>
      </w:r>
    </w:p>
    <w:p w14:paraId="54E9DEA7">
      <w:pPr>
        <w:pStyle w:val="13"/>
        <w:adjustRightInd w:val="0"/>
        <w:snapToGrid w:val="0"/>
        <w:spacing w:line="720" w:lineRule="exact"/>
        <w:rPr>
          <w:rFonts w:ascii="仿宋" w:hAnsi="仿宋" w:eastAsia="仿宋" w:cs="仿宋"/>
          <w:color w:val="auto"/>
          <w:spacing w:val="4"/>
          <w:szCs w:val="24"/>
          <w:highlight w:val="none"/>
        </w:rPr>
      </w:pPr>
    </w:p>
    <w:p w14:paraId="591DEADD">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7"/>
        <w:spacing w:line="50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7"/>
        <w:spacing w:line="500" w:lineRule="exact"/>
        <w:rPr>
          <w:rFonts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73224F57">
      <w:pPr>
        <w:adjustRightInd w:val="0"/>
        <w:snapToGrid w:val="0"/>
        <w:spacing w:line="360" w:lineRule="auto"/>
        <w:jc w:val="center"/>
        <w:rPr>
          <w:rFonts w:hint="eastAsia" w:ascii="Times New Roman" w:hAnsi="Times New Roman" w:eastAsia="宋体" w:cs="Times New Roman"/>
          <w:b/>
          <w:bCs/>
          <w:sz w:val="28"/>
          <w:szCs w:val="28"/>
          <w:highlight w:val="none"/>
          <w:lang w:val="en-US" w:eastAsia="zh-CN"/>
        </w:rPr>
      </w:pP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1"/>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81"/>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81"/>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CE6C192">
      <w:pPr>
        <w:tabs>
          <w:tab w:val="left" w:pos="-180"/>
        </w:tabs>
        <w:ind w:right="204"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81"/>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B69633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E35EE5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5C0249CF">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34A868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8901FEB">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3277C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C8D042F">
      <w:pPr>
        <w:pStyle w:val="81"/>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40" w:name="_Toc61531865"/>
      <w:bookmarkStart w:id="141" w:name="OLE_LINK13"/>
      <w:bookmarkStart w:id="142" w:name="OLE_LINK14"/>
      <w:r>
        <w:rPr>
          <w:rFonts w:hint="eastAsia" w:ascii="仿宋" w:hAnsi="仿宋" w:eastAsia="仿宋" w:cs="仿宋"/>
          <w:b/>
          <w:bCs/>
          <w:sz w:val="28"/>
          <w:szCs w:val="24"/>
          <w:highlight w:val="none"/>
        </w:rPr>
        <w:t>中小企业声明函(服务</w:t>
      </w:r>
      <w:bookmarkEnd w:id="140"/>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57"/>
          <w:sz w:val="22"/>
          <w:szCs w:val="22"/>
        </w:rPr>
        <w:t xml:space="preserve"> </w:t>
      </w:r>
      <w:r>
        <w:rPr>
          <w:rFonts w:hint="eastAsia" w:ascii="仿宋" w:hAnsi="仿宋" w:eastAsia="仿宋" w:cs="仿宋"/>
          <w:spacing w:val="1"/>
          <w:sz w:val="22"/>
          <w:szCs w:val="22"/>
        </w:rPr>
        <w:t>，</w:t>
      </w:r>
      <w:r>
        <w:rPr>
          <w:rFonts w:hint="eastAsia" w:ascii="仿宋" w:hAnsi="仿宋" w:eastAsia="仿宋" w:cs="仿宋"/>
          <w:spacing w:val="11"/>
          <w:sz w:val="22"/>
          <w:szCs w:val="22"/>
        </w:rPr>
        <w:t>本项目所属行业中小企业划型标准具体</w:t>
      </w:r>
      <w:r>
        <w:rPr>
          <w:rFonts w:hint="eastAsia" w:ascii="仿宋" w:hAnsi="仿宋" w:eastAsia="仿宋" w:cs="仿宋"/>
          <w:sz w:val="22"/>
          <w:szCs w:val="22"/>
        </w:rPr>
        <w:t xml:space="preserve"> </w:t>
      </w:r>
      <w:r>
        <w:rPr>
          <w:rFonts w:hint="eastAsia" w:ascii="仿宋" w:hAnsi="仿宋" w:eastAsia="仿宋" w:cs="仿宋"/>
          <w:spacing w:val="10"/>
          <w:sz w:val="22"/>
          <w:szCs w:val="22"/>
        </w:rPr>
        <w:t>如：工业。从业人员</w:t>
      </w:r>
      <w:r>
        <w:rPr>
          <w:rFonts w:hint="eastAsia" w:ascii="仿宋" w:hAnsi="仿宋" w:eastAsia="仿宋" w:cs="仿宋"/>
          <w:spacing w:val="-4"/>
          <w:sz w:val="22"/>
          <w:szCs w:val="22"/>
        </w:rPr>
        <w:t xml:space="preserve"> </w:t>
      </w:r>
      <w:r>
        <w:rPr>
          <w:rFonts w:hint="eastAsia" w:ascii="仿宋" w:hAnsi="仿宋" w:eastAsia="仿宋" w:cs="仿宋"/>
          <w:spacing w:val="10"/>
          <w:sz w:val="22"/>
          <w:szCs w:val="22"/>
        </w:rPr>
        <w:t>1000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40000</w:t>
      </w:r>
      <w:r>
        <w:rPr>
          <w:rFonts w:hint="eastAsia" w:ascii="仿宋" w:hAnsi="仿宋" w:eastAsia="仿宋" w:cs="仿宋"/>
          <w:spacing w:val="-31"/>
          <w:sz w:val="22"/>
          <w:szCs w:val="22"/>
        </w:rPr>
        <w:t xml:space="preserve"> </w:t>
      </w:r>
      <w:r>
        <w:rPr>
          <w:rFonts w:hint="eastAsia" w:ascii="仿宋" w:hAnsi="仿宋" w:eastAsia="仿宋" w:cs="仿宋"/>
          <w:spacing w:val="10"/>
          <w:sz w:val="22"/>
          <w:szCs w:val="22"/>
        </w:rPr>
        <w:t>万元以下的为中小微型企业。其中，从业人</w:t>
      </w:r>
      <w:r>
        <w:rPr>
          <w:rFonts w:hint="eastAsia" w:ascii="仿宋" w:hAnsi="仿宋" w:eastAsia="仿宋" w:cs="仿宋"/>
          <w:spacing w:val="8"/>
          <w:sz w:val="22"/>
          <w:szCs w:val="22"/>
        </w:rPr>
        <w:t>员</w:t>
      </w:r>
      <w:r>
        <w:rPr>
          <w:rFonts w:hint="eastAsia" w:ascii="仿宋" w:hAnsi="仿宋" w:eastAsia="仿宋" w:cs="仿宋"/>
          <w:spacing w:val="-30"/>
          <w:sz w:val="22"/>
          <w:szCs w:val="22"/>
        </w:rPr>
        <w:t xml:space="preserve"> </w:t>
      </w:r>
      <w:r>
        <w:rPr>
          <w:rFonts w:hint="eastAsia" w:ascii="仿宋" w:hAnsi="仿宋" w:eastAsia="仿宋" w:cs="仿宋"/>
          <w:spacing w:val="8"/>
          <w:sz w:val="22"/>
          <w:szCs w:val="22"/>
        </w:rPr>
        <w:t>300</w:t>
      </w:r>
      <w:r>
        <w:rPr>
          <w:rFonts w:hint="eastAsia" w:ascii="仿宋" w:hAnsi="仿宋" w:eastAsia="仿宋" w:cs="仿宋"/>
          <w:spacing w:val="-34"/>
          <w:sz w:val="22"/>
          <w:szCs w:val="22"/>
        </w:rPr>
        <w:t xml:space="preserve"> </w:t>
      </w:r>
      <w:r>
        <w:rPr>
          <w:rFonts w:hint="eastAsia" w:ascii="仿宋" w:hAnsi="仿宋" w:eastAsia="仿宋" w:cs="仿宋"/>
          <w:spacing w:val="8"/>
          <w:sz w:val="22"/>
          <w:szCs w:val="22"/>
        </w:rPr>
        <w:t>人及以上，且营业收入</w:t>
      </w:r>
      <w:r>
        <w:rPr>
          <w:rFonts w:hint="eastAsia" w:ascii="仿宋" w:hAnsi="仿宋" w:eastAsia="仿宋" w:cs="仿宋"/>
          <w:spacing w:val="-32"/>
          <w:sz w:val="22"/>
          <w:szCs w:val="22"/>
        </w:rPr>
        <w:t xml:space="preserve"> </w:t>
      </w:r>
      <w:r>
        <w:rPr>
          <w:rFonts w:hint="eastAsia" w:ascii="仿宋" w:hAnsi="仿宋" w:eastAsia="仿宋" w:cs="仿宋"/>
          <w:spacing w:val="8"/>
          <w:sz w:val="22"/>
          <w:szCs w:val="22"/>
        </w:rPr>
        <w:t>2000</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万元及以上的为中型企业</w:t>
      </w:r>
      <w:r>
        <w:rPr>
          <w:rFonts w:hint="eastAsia" w:ascii="仿宋" w:hAnsi="仿宋" w:eastAsia="仿宋" w:cs="仿宋"/>
          <w:spacing w:val="7"/>
          <w:sz w:val="22"/>
          <w:szCs w:val="22"/>
        </w:rPr>
        <w:t>；从业人员</w:t>
      </w:r>
      <w:r>
        <w:rPr>
          <w:rFonts w:hint="eastAsia" w:ascii="仿宋" w:hAnsi="仿宋" w:eastAsia="仿宋" w:cs="仿宋"/>
          <w:spacing w:val="-32"/>
          <w:sz w:val="22"/>
          <w:szCs w:val="22"/>
        </w:rPr>
        <w:t xml:space="preserve"> </w:t>
      </w:r>
      <w:r>
        <w:rPr>
          <w:rFonts w:hint="eastAsia" w:ascii="仿宋" w:hAnsi="仿宋" w:eastAsia="仿宋" w:cs="仿宋"/>
          <w:spacing w:val="7"/>
          <w:sz w:val="22"/>
          <w:szCs w:val="22"/>
        </w:rPr>
        <w:t>20</w:t>
      </w:r>
      <w:r>
        <w:rPr>
          <w:rFonts w:hint="eastAsia" w:ascii="仿宋" w:hAnsi="仿宋" w:eastAsia="仿宋" w:cs="仿宋"/>
          <w:spacing w:val="-36"/>
          <w:sz w:val="22"/>
          <w:szCs w:val="22"/>
        </w:rPr>
        <w:t xml:space="preserve"> </w:t>
      </w:r>
      <w:r>
        <w:rPr>
          <w:rFonts w:hint="eastAsia" w:ascii="仿宋" w:hAnsi="仿宋" w:eastAsia="仿宋" w:cs="仿宋"/>
          <w:spacing w:val="7"/>
          <w:sz w:val="22"/>
          <w:szCs w:val="22"/>
        </w:rPr>
        <w:t>人及以上，且营业收入</w:t>
      </w:r>
      <w:r>
        <w:rPr>
          <w:rFonts w:hint="eastAsia" w:ascii="仿宋" w:hAnsi="仿宋" w:eastAsia="仿宋" w:cs="仿宋"/>
          <w:sz w:val="22"/>
          <w:szCs w:val="22"/>
        </w:rPr>
        <w:t xml:space="preserve"> </w:t>
      </w:r>
      <w:r>
        <w:rPr>
          <w:rFonts w:hint="eastAsia" w:ascii="仿宋" w:hAnsi="仿宋" w:eastAsia="仿宋" w:cs="仿宋"/>
          <w:spacing w:val="10"/>
          <w:sz w:val="22"/>
          <w:szCs w:val="22"/>
        </w:rPr>
        <w:t>300</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万元及以上的为小型企业；从业人员</w:t>
      </w:r>
      <w:r>
        <w:rPr>
          <w:rFonts w:hint="eastAsia" w:ascii="仿宋" w:hAnsi="仿宋" w:eastAsia="仿宋" w:cs="仿宋"/>
          <w:spacing w:val="-32"/>
          <w:sz w:val="22"/>
          <w:szCs w:val="22"/>
        </w:rPr>
        <w:t xml:space="preserve"> </w:t>
      </w:r>
      <w:r>
        <w:rPr>
          <w:rFonts w:hint="eastAsia" w:ascii="仿宋" w:hAnsi="仿宋" w:eastAsia="仿宋" w:cs="仿宋"/>
          <w:spacing w:val="10"/>
          <w:sz w:val="22"/>
          <w:szCs w:val="22"/>
        </w:rPr>
        <w:t>20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3</w:t>
      </w:r>
      <w:r>
        <w:rPr>
          <w:rFonts w:hint="eastAsia" w:ascii="仿宋" w:hAnsi="仿宋" w:eastAsia="仿宋" w:cs="仿宋"/>
          <w:spacing w:val="9"/>
          <w:sz w:val="22"/>
          <w:szCs w:val="22"/>
        </w:rPr>
        <w:t>00</w:t>
      </w:r>
      <w:r>
        <w:rPr>
          <w:rFonts w:hint="eastAsia" w:ascii="仿宋" w:hAnsi="仿宋" w:eastAsia="仿宋" w:cs="仿宋"/>
          <w:spacing w:val="-31"/>
          <w:sz w:val="22"/>
          <w:szCs w:val="22"/>
        </w:rPr>
        <w:t xml:space="preserve"> </w:t>
      </w:r>
      <w:r>
        <w:rPr>
          <w:rFonts w:hint="eastAsia" w:ascii="仿宋" w:hAnsi="仿宋" w:eastAsia="仿宋" w:cs="仿宋"/>
          <w:spacing w:val="9"/>
          <w:sz w:val="22"/>
          <w:szCs w:val="22"/>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41"/>
    <w:bookmarkEnd w:id="142"/>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0"/>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标段采购活动提供本单位制造的货物（由本单位承担工程/提供服务），或者提供其他残疾人福利性单位制造的货物（不包括使用非残疾人福利性单位注册商标的货物）。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320" w:firstLineChars="18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bookmarkStart w:id="143" w:name="_Toc27112"/>
      <w:bookmarkStart w:id="144" w:name="_Toc16262"/>
      <w:bookmarkStart w:id="145" w:name="_Toc12758"/>
      <w:r>
        <w:rPr>
          <w:rFonts w:hint="eastAsia" w:ascii="仿宋" w:hAnsi="仿宋" w:eastAsia="仿宋" w:cs="仿宋"/>
          <w:bCs/>
          <w:sz w:val="28"/>
          <w:szCs w:val="28"/>
          <w:highlight w:val="none"/>
          <w:lang w:val="en-US" w:eastAsia="zh-CN"/>
        </w:rPr>
        <w:t>附件9：</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10"/>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10"/>
        <w:rPr>
          <w:rFonts w:hint="eastAsia" w:ascii="仿宋_GB2312" w:hAnsi="仿宋_GB2312" w:eastAsia="仿宋_GB2312" w:cs="仿宋_GB2312"/>
          <w:color w:val="auto"/>
          <w:sz w:val="28"/>
          <w:szCs w:val="28"/>
        </w:rPr>
      </w:pPr>
    </w:p>
    <w:p w14:paraId="4B5CB21C">
      <w:pPr>
        <w:pStyle w:val="25"/>
        <w:rPr>
          <w:rFonts w:hint="eastAsia"/>
          <w:color w:val="auto"/>
        </w:rPr>
      </w:pPr>
    </w:p>
    <w:p w14:paraId="3B473768">
      <w:pPr>
        <w:pStyle w:val="10"/>
        <w:rPr>
          <w:rFonts w:hint="eastAsia" w:ascii="仿宋" w:hAnsi="仿宋" w:eastAsia="仿宋" w:cs="仿宋"/>
          <w:bCs/>
          <w:color w:val="auto"/>
          <w:sz w:val="28"/>
          <w:szCs w:val="28"/>
          <w:highlight w:val="none"/>
          <w:lang w:val="en-US" w:eastAsia="zh-CN"/>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3EFC9F7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76934AB">
      <w:pPr>
        <w:bidi w:val="0"/>
        <w:jc w:val="center"/>
        <w:outlineLvl w:val="1"/>
        <w:rPr>
          <w:rStyle w:val="97"/>
          <w:rFonts w:hint="eastAsia" w:ascii="仿宋" w:hAnsi="仿宋" w:eastAsia="仿宋" w:cs="仿宋"/>
          <w:sz w:val="32"/>
          <w:szCs w:val="32"/>
          <w:lang w:val="en-US" w:eastAsia="zh-CN"/>
        </w:rPr>
      </w:pPr>
      <w:bookmarkStart w:id="146" w:name="_Toc23474"/>
      <w:bookmarkStart w:id="147" w:name="_Toc26437"/>
      <w:r>
        <w:rPr>
          <w:rStyle w:val="97"/>
          <w:rFonts w:hint="eastAsia" w:ascii="仿宋" w:hAnsi="仿宋" w:eastAsia="仿宋" w:cs="仿宋"/>
          <w:sz w:val="32"/>
          <w:szCs w:val="32"/>
          <w:lang w:val="en-US" w:eastAsia="zh-CN"/>
        </w:rPr>
        <w:t>九、其他材料</w:t>
      </w:r>
      <w:bookmarkEnd w:id="146"/>
    </w:p>
    <w:bookmarkEnd w:id="147"/>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bookmarkEnd w:id="143"/>
    <w:bookmarkEnd w:id="144"/>
    <w:bookmarkEnd w:id="145"/>
    <w:p w14:paraId="168157BA">
      <w:pPr>
        <w:pStyle w:val="6"/>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0"/>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30"/>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spacing w:val="4"/>
          <w:szCs w:val="24"/>
          <w:highlight w:val="none"/>
        </w:rPr>
      </w:pPr>
    </w:p>
    <w:p w14:paraId="548388E5">
      <w:pPr>
        <w:pStyle w:val="10"/>
        <w:rPr>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陕西省公众移动通信无线电频率使用率评价技术服务</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3FC0ED61"/>
    <w:multiLevelType w:val="singleLevel"/>
    <w:tmpl w:val="3FC0ED61"/>
    <w:lvl w:ilvl="0" w:tentative="0">
      <w:start w:val="4"/>
      <w:numFmt w:val="chineseCounting"/>
      <w:suff w:val="space"/>
      <w:lvlText w:val="第%1章"/>
      <w:lvlJc w:val="left"/>
      <w:rPr>
        <w:rFonts w:hint="eastAsia"/>
      </w:rPr>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8"/>
  </w:num>
  <w:num w:numId="2">
    <w:abstractNumId w:val="7"/>
  </w:num>
  <w:num w:numId="3">
    <w:abstractNumId w:val="0"/>
  </w:num>
  <w:num w:numId="4">
    <w:abstractNumId w:val="2"/>
  </w:num>
  <w:num w:numId="5">
    <w:abstractNumId w:val="6"/>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B46F2C"/>
    <w:rsid w:val="020143AE"/>
    <w:rsid w:val="02066D67"/>
    <w:rsid w:val="023A5678"/>
    <w:rsid w:val="02564B51"/>
    <w:rsid w:val="029A778E"/>
    <w:rsid w:val="02AB73DD"/>
    <w:rsid w:val="02BD5294"/>
    <w:rsid w:val="02C66169"/>
    <w:rsid w:val="02E21323"/>
    <w:rsid w:val="02ED480B"/>
    <w:rsid w:val="03654D86"/>
    <w:rsid w:val="036653F8"/>
    <w:rsid w:val="03795BF7"/>
    <w:rsid w:val="039E22F4"/>
    <w:rsid w:val="042E0790"/>
    <w:rsid w:val="043C240F"/>
    <w:rsid w:val="051E6132"/>
    <w:rsid w:val="05490A3B"/>
    <w:rsid w:val="056D58A2"/>
    <w:rsid w:val="0580326D"/>
    <w:rsid w:val="05932C6E"/>
    <w:rsid w:val="05B6269C"/>
    <w:rsid w:val="05C749CA"/>
    <w:rsid w:val="06583168"/>
    <w:rsid w:val="065F1A39"/>
    <w:rsid w:val="06B878D4"/>
    <w:rsid w:val="071B5892"/>
    <w:rsid w:val="078E032C"/>
    <w:rsid w:val="07A237BB"/>
    <w:rsid w:val="085207C5"/>
    <w:rsid w:val="087C7181"/>
    <w:rsid w:val="08D315F8"/>
    <w:rsid w:val="09090A14"/>
    <w:rsid w:val="093322E7"/>
    <w:rsid w:val="09533E4E"/>
    <w:rsid w:val="099451F6"/>
    <w:rsid w:val="09AD10F2"/>
    <w:rsid w:val="09B32C87"/>
    <w:rsid w:val="09D70F07"/>
    <w:rsid w:val="09D724F3"/>
    <w:rsid w:val="09E01ABF"/>
    <w:rsid w:val="09E02E6F"/>
    <w:rsid w:val="0A03249E"/>
    <w:rsid w:val="0A03574F"/>
    <w:rsid w:val="0A0B19A8"/>
    <w:rsid w:val="0A2637BC"/>
    <w:rsid w:val="0A4B74A5"/>
    <w:rsid w:val="0A533A95"/>
    <w:rsid w:val="0A825B11"/>
    <w:rsid w:val="0ACD110A"/>
    <w:rsid w:val="0ACD76E7"/>
    <w:rsid w:val="0B370A3C"/>
    <w:rsid w:val="0B38232C"/>
    <w:rsid w:val="0B6E5C7D"/>
    <w:rsid w:val="0B9D7606"/>
    <w:rsid w:val="0BA457DB"/>
    <w:rsid w:val="0BB137ED"/>
    <w:rsid w:val="0BEB09D7"/>
    <w:rsid w:val="0BF67405"/>
    <w:rsid w:val="0C443F60"/>
    <w:rsid w:val="0C89599F"/>
    <w:rsid w:val="0CC32696"/>
    <w:rsid w:val="0CDB5F8D"/>
    <w:rsid w:val="0D1F2030"/>
    <w:rsid w:val="0D1F3617"/>
    <w:rsid w:val="0D241DEA"/>
    <w:rsid w:val="0D780CCE"/>
    <w:rsid w:val="0D7830CD"/>
    <w:rsid w:val="0DCA6AEA"/>
    <w:rsid w:val="0DD16D0D"/>
    <w:rsid w:val="0E551B69"/>
    <w:rsid w:val="0E872C2E"/>
    <w:rsid w:val="0E9C375D"/>
    <w:rsid w:val="0EA00BF8"/>
    <w:rsid w:val="0EC71F0D"/>
    <w:rsid w:val="0EC87A33"/>
    <w:rsid w:val="0F1B45CB"/>
    <w:rsid w:val="0F2F2C29"/>
    <w:rsid w:val="0F6016B2"/>
    <w:rsid w:val="0FB15291"/>
    <w:rsid w:val="0FD87665"/>
    <w:rsid w:val="10025A51"/>
    <w:rsid w:val="10755AE8"/>
    <w:rsid w:val="10862995"/>
    <w:rsid w:val="10CB4116"/>
    <w:rsid w:val="10D4477D"/>
    <w:rsid w:val="10F437D3"/>
    <w:rsid w:val="111E7A3F"/>
    <w:rsid w:val="113B5F52"/>
    <w:rsid w:val="11622F12"/>
    <w:rsid w:val="117D028D"/>
    <w:rsid w:val="117F6C7E"/>
    <w:rsid w:val="11864CAE"/>
    <w:rsid w:val="11BF02AB"/>
    <w:rsid w:val="11C957E2"/>
    <w:rsid w:val="11DA55CB"/>
    <w:rsid w:val="120D40DA"/>
    <w:rsid w:val="126F44AE"/>
    <w:rsid w:val="12AF63E3"/>
    <w:rsid w:val="12BD2907"/>
    <w:rsid w:val="12C119AD"/>
    <w:rsid w:val="12D363A6"/>
    <w:rsid w:val="12EB02B2"/>
    <w:rsid w:val="131F2DF3"/>
    <w:rsid w:val="136B4277"/>
    <w:rsid w:val="13927931"/>
    <w:rsid w:val="13AE7BCD"/>
    <w:rsid w:val="144E7D68"/>
    <w:rsid w:val="146B6DB5"/>
    <w:rsid w:val="14814BAE"/>
    <w:rsid w:val="14AE4E9E"/>
    <w:rsid w:val="14BC12D4"/>
    <w:rsid w:val="14D55B55"/>
    <w:rsid w:val="14E2746C"/>
    <w:rsid w:val="15364DB8"/>
    <w:rsid w:val="155213EE"/>
    <w:rsid w:val="1557566D"/>
    <w:rsid w:val="1570612F"/>
    <w:rsid w:val="15C24C1E"/>
    <w:rsid w:val="15C37496"/>
    <w:rsid w:val="162D7A28"/>
    <w:rsid w:val="168D57EA"/>
    <w:rsid w:val="168F50FB"/>
    <w:rsid w:val="16C04AD8"/>
    <w:rsid w:val="17031836"/>
    <w:rsid w:val="170E3A0C"/>
    <w:rsid w:val="172059C3"/>
    <w:rsid w:val="173575C8"/>
    <w:rsid w:val="17B43FAD"/>
    <w:rsid w:val="17B67E79"/>
    <w:rsid w:val="17D172BB"/>
    <w:rsid w:val="17E36735"/>
    <w:rsid w:val="17EB056B"/>
    <w:rsid w:val="17FF522B"/>
    <w:rsid w:val="180D4FC6"/>
    <w:rsid w:val="18237858"/>
    <w:rsid w:val="18573033"/>
    <w:rsid w:val="185D2675"/>
    <w:rsid w:val="18630674"/>
    <w:rsid w:val="18AB05AC"/>
    <w:rsid w:val="18F37F21"/>
    <w:rsid w:val="19035052"/>
    <w:rsid w:val="195B3A93"/>
    <w:rsid w:val="195B4159"/>
    <w:rsid w:val="198F76FC"/>
    <w:rsid w:val="19995302"/>
    <w:rsid w:val="19A93B5C"/>
    <w:rsid w:val="1A2357DA"/>
    <w:rsid w:val="1B164EE1"/>
    <w:rsid w:val="1B1F6520"/>
    <w:rsid w:val="1B387CCD"/>
    <w:rsid w:val="1B457073"/>
    <w:rsid w:val="1B6A61A2"/>
    <w:rsid w:val="1BA64C58"/>
    <w:rsid w:val="1BAA7C5C"/>
    <w:rsid w:val="1BCA1590"/>
    <w:rsid w:val="1BD25A4D"/>
    <w:rsid w:val="1BDF5DD7"/>
    <w:rsid w:val="1C1E3E82"/>
    <w:rsid w:val="1C676ADD"/>
    <w:rsid w:val="1C956CC3"/>
    <w:rsid w:val="1CA67C4D"/>
    <w:rsid w:val="1CA85E46"/>
    <w:rsid w:val="1CB752FE"/>
    <w:rsid w:val="1CC30EB7"/>
    <w:rsid w:val="1CDE025F"/>
    <w:rsid w:val="1D0272F8"/>
    <w:rsid w:val="1D505A7C"/>
    <w:rsid w:val="1DC1156E"/>
    <w:rsid w:val="1DD4626F"/>
    <w:rsid w:val="1DF519D4"/>
    <w:rsid w:val="1E226931"/>
    <w:rsid w:val="1EB773B0"/>
    <w:rsid w:val="1ED33FFC"/>
    <w:rsid w:val="1EEB6A49"/>
    <w:rsid w:val="1EFF6B48"/>
    <w:rsid w:val="1F025B67"/>
    <w:rsid w:val="1F975C85"/>
    <w:rsid w:val="1FB12E34"/>
    <w:rsid w:val="1FFA4EF4"/>
    <w:rsid w:val="203748DC"/>
    <w:rsid w:val="203E1CA9"/>
    <w:rsid w:val="205310CF"/>
    <w:rsid w:val="205552D0"/>
    <w:rsid w:val="205D5850"/>
    <w:rsid w:val="209566F8"/>
    <w:rsid w:val="21204F2B"/>
    <w:rsid w:val="21A66ACF"/>
    <w:rsid w:val="22230513"/>
    <w:rsid w:val="22743D02"/>
    <w:rsid w:val="227A2221"/>
    <w:rsid w:val="22934AD2"/>
    <w:rsid w:val="22AF0D33"/>
    <w:rsid w:val="22C30F5F"/>
    <w:rsid w:val="22CD6561"/>
    <w:rsid w:val="23637330"/>
    <w:rsid w:val="23701F96"/>
    <w:rsid w:val="23B33533"/>
    <w:rsid w:val="23D0369C"/>
    <w:rsid w:val="245711E5"/>
    <w:rsid w:val="24853FA4"/>
    <w:rsid w:val="24EB0296"/>
    <w:rsid w:val="255268D8"/>
    <w:rsid w:val="258A0126"/>
    <w:rsid w:val="25A10C0E"/>
    <w:rsid w:val="25CB59E7"/>
    <w:rsid w:val="260B3AF2"/>
    <w:rsid w:val="2684068A"/>
    <w:rsid w:val="269310DE"/>
    <w:rsid w:val="26C51C72"/>
    <w:rsid w:val="26DF6C4D"/>
    <w:rsid w:val="26F56530"/>
    <w:rsid w:val="27117D71"/>
    <w:rsid w:val="272351DA"/>
    <w:rsid w:val="27BB660B"/>
    <w:rsid w:val="27CA50AA"/>
    <w:rsid w:val="27D41D6F"/>
    <w:rsid w:val="27EC5193"/>
    <w:rsid w:val="289A25AC"/>
    <w:rsid w:val="289B4D50"/>
    <w:rsid w:val="289F69A7"/>
    <w:rsid w:val="28BA1342"/>
    <w:rsid w:val="28C373E1"/>
    <w:rsid w:val="28DB6270"/>
    <w:rsid w:val="29090E5E"/>
    <w:rsid w:val="291D0C4F"/>
    <w:rsid w:val="2926733A"/>
    <w:rsid w:val="29490736"/>
    <w:rsid w:val="2959623E"/>
    <w:rsid w:val="29743B7F"/>
    <w:rsid w:val="29CD5E3B"/>
    <w:rsid w:val="29D137E8"/>
    <w:rsid w:val="29FE7327"/>
    <w:rsid w:val="2A261D85"/>
    <w:rsid w:val="2A3B0D29"/>
    <w:rsid w:val="2ABE6686"/>
    <w:rsid w:val="2AE94167"/>
    <w:rsid w:val="2B6155BE"/>
    <w:rsid w:val="2BB26467"/>
    <w:rsid w:val="2BC34250"/>
    <w:rsid w:val="2BC370D8"/>
    <w:rsid w:val="2BC824AB"/>
    <w:rsid w:val="2BFC4078"/>
    <w:rsid w:val="2C4E1DAD"/>
    <w:rsid w:val="2D032849"/>
    <w:rsid w:val="2D0F2711"/>
    <w:rsid w:val="2D2875D8"/>
    <w:rsid w:val="2D7175D5"/>
    <w:rsid w:val="2D91543B"/>
    <w:rsid w:val="2DB81892"/>
    <w:rsid w:val="2DB93127"/>
    <w:rsid w:val="2DC136D1"/>
    <w:rsid w:val="2DDE08F0"/>
    <w:rsid w:val="2DDF4554"/>
    <w:rsid w:val="2DEF23D6"/>
    <w:rsid w:val="2DFF5C18"/>
    <w:rsid w:val="2E3E638D"/>
    <w:rsid w:val="2E4B3FA8"/>
    <w:rsid w:val="2E6F6F6B"/>
    <w:rsid w:val="2E74088C"/>
    <w:rsid w:val="2E766669"/>
    <w:rsid w:val="2EB75DE0"/>
    <w:rsid w:val="2EC00056"/>
    <w:rsid w:val="2F05294B"/>
    <w:rsid w:val="2F126410"/>
    <w:rsid w:val="2FA15DE1"/>
    <w:rsid w:val="2FB90FDC"/>
    <w:rsid w:val="2FB944D3"/>
    <w:rsid w:val="2FDEE2C7"/>
    <w:rsid w:val="300B1767"/>
    <w:rsid w:val="303A2D32"/>
    <w:rsid w:val="306A72EA"/>
    <w:rsid w:val="308C7C42"/>
    <w:rsid w:val="309D7E39"/>
    <w:rsid w:val="30EE4C7F"/>
    <w:rsid w:val="30FB252D"/>
    <w:rsid w:val="310C3CE5"/>
    <w:rsid w:val="318E65F9"/>
    <w:rsid w:val="31B3122F"/>
    <w:rsid w:val="31D84DD7"/>
    <w:rsid w:val="31E43039"/>
    <w:rsid w:val="31F5620E"/>
    <w:rsid w:val="320F30B2"/>
    <w:rsid w:val="32454A35"/>
    <w:rsid w:val="32B9192E"/>
    <w:rsid w:val="32C2710D"/>
    <w:rsid w:val="32F61C22"/>
    <w:rsid w:val="33347A0A"/>
    <w:rsid w:val="33400A6D"/>
    <w:rsid w:val="334360CE"/>
    <w:rsid w:val="335224CC"/>
    <w:rsid w:val="335A1288"/>
    <w:rsid w:val="3390106E"/>
    <w:rsid w:val="33A239EE"/>
    <w:rsid w:val="33B5389C"/>
    <w:rsid w:val="343B6932"/>
    <w:rsid w:val="344D7405"/>
    <w:rsid w:val="34A233FA"/>
    <w:rsid w:val="34CD0436"/>
    <w:rsid w:val="352F0DCA"/>
    <w:rsid w:val="35531DB4"/>
    <w:rsid w:val="355BB90B"/>
    <w:rsid w:val="35747DC3"/>
    <w:rsid w:val="35A6254C"/>
    <w:rsid w:val="35E714A8"/>
    <w:rsid w:val="360F461D"/>
    <w:rsid w:val="36263B37"/>
    <w:rsid w:val="3663227C"/>
    <w:rsid w:val="366D6646"/>
    <w:rsid w:val="37054AD1"/>
    <w:rsid w:val="37783A7D"/>
    <w:rsid w:val="377D0476"/>
    <w:rsid w:val="37B835C4"/>
    <w:rsid w:val="37C337CD"/>
    <w:rsid w:val="37EB4243"/>
    <w:rsid w:val="38083C0E"/>
    <w:rsid w:val="38621C2D"/>
    <w:rsid w:val="386237C7"/>
    <w:rsid w:val="387845C4"/>
    <w:rsid w:val="388614C8"/>
    <w:rsid w:val="38CC7771"/>
    <w:rsid w:val="38D51E80"/>
    <w:rsid w:val="38E16B12"/>
    <w:rsid w:val="390A6033"/>
    <w:rsid w:val="394813E6"/>
    <w:rsid w:val="3A29074D"/>
    <w:rsid w:val="3A451DB4"/>
    <w:rsid w:val="3A5C05D3"/>
    <w:rsid w:val="3AA21D55"/>
    <w:rsid w:val="3ABE69A4"/>
    <w:rsid w:val="3AC04519"/>
    <w:rsid w:val="3BAE6679"/>
    <w:rsid w:val="3C071709"/>
    <w:rsid w:val="3C395EF0"/>
    <w:rsid w:val="3C6A6BB7"/>
    <w:rsid w:val="3C83772A"/>
    <w:rsid w:val="3CB32841"/>
    <w:rsid w:val="3D0D40C6"/>
    <w:rsid w:val="3D2456AE"/>
    <w:rsid w:val="3D3F727B"/>
    <w:rsid w:val="3D4602B7"/>
    <w:rsid w:val="3D626168"/>
    <w:rsid w:val="3D876CA3"/>
    <w:rsid w:val="3DC7164A"/>
    <w:rsid w:val="3E1675C3"/>
    <w:rsid w:val="3E7C15E5"/>
    <w:rsid w:val="3E8B4D5B"/>
    <w:rsid w:val="3E8C2F03"/>
    <w:rsid w:val="3E9042A5"/>
    <w:rsid w:val="3EBE53BD"/>
    <w:rsid w:val="3ECA0ADA"/>
    <w:rsid w:val="3F541D83"/>
    <w:rsid w:val="3F713809"/>
    <w:rsid w:val="3F73768E"/>
    <w:rsid w:val="3F8F587F"/>
    <w:rsid w:val="3F927149"/>
    <w:rsid w:val="3FFA3DB6"/>
    <w:rsid w:val="402976EF"/>
    <w:rsid w:val="40324859"/>
    <w:rsid w:val="404E1296"/>
    <w:rsid w:val="40A02CD3"/>
    <w:rsid w:val="40A5751C"/>
    <w:rsid w:val="40C727F3"/>
    <w:rsid w:val="40E67048"/>
    <w:rsid w:val="411E57CA"/>
    <w:rsid w:val="41237074"/>
    <w:rsid w:val="416A07BB"/>
    <w:rsid w:val="41807C8E"/>
    <w:rsid w:val="41A31E73"/>
    <w:rsid w:val="41CE5A5E"/>
    <w:rsid w:val="42153AB9"/>
    <w:rsid w:val="42214965"/>
    <w:rsid w:val="425F0891"/>
    <w:rsid w:val="42795A04"/>
    <w:rsid w:val="42BC3DFA"/>
    <w:rsid w:val="42EB0EE8"/>
    <w:rsid w:val="430E6F58"/>
    <w:rsid w:val="43374E41"/>
    <w:rsid w:val="438235F5"/>
    <w:rsid w:val="43AA1D1C"/>
    <w:rsid w:val="43FE4C26"/>
    <w:rsid w:val="44295E33"/>
    <w:rsid w:val="443B271B"/>
    <w:rsid w:val="44610BB9"/>
    <w:rsid w:val="447A4D50"/>
    <w:rsid w:val="44922F79"/>
    <w:rsid w:val="44943B80"/>
    <w:rsid w:val="44D60EA3"/>
    <w:rsid w:val="450E3C7D"/>
    <w:rsid w:val="451156D2"/>
    <w:rsid w:val="4545387C"/>
    <w:rsid w:val="454D4B6C"/>
    <w:rsid w:val="456B25C8"/>
    <w:rsid w:val="457D4E2C"/>
    <w:rsid w:val="458C5803"/>
    <w:rsid w:val="46421D06"/>
    <w:rsid w:val="466A1778"/>
    <w:rsid w:val="46882DF4"/>
    <w:rsid w:val="46896C28"/>
    <w:rsid w:val="46C45F14"/>
    <w:rsid w:val="46F1491E"/>
    <w:rsid w:val="473F6AAA"/>
    <w:rsid w:val="47486CB4"/>
    <w:rsid w:val="47982EBF"/>
    <w:rsid w:val="479B32AB"/>
    <w:rsid w:val="47D53006"/>
    <w:rsid w:val="47FD283F"/>
    <w:rsid w:val="48036570"/>
    <w:rsid w:val="485340A8"/>
    <w:rsid w:val="488E74E0"/>
    <w:rsid w:val="489D0500"/>
    <w:rsid w:val="48BE0390"/>
    <w:rsid w:val="490C3F55"/>
    <w:rsid w:val="490C74F2"/>
    <w:rsid w:val="49252778"/>
    <w:rsid w:val="49513C1C"/>
    <w:rsid w:val="4951766D"/>
    <w:rsid w:val="495D022C"/>
    <w:rsid w:val="496136B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91A12"/>
    <w:rsid w:val="4BFF47E7"/>
    <w:rsid w:val="4C1A0369"/>
    <w:rsid w:val="4C2B3187"/>
    <w:rsid w:val="4CB832B6"/>
    <w:rsid w:val="4CCD784F"/>
    <w:rsid w:val="4D00037B"/>
    <w:rsid w:val="4D073D43"/>
    <w:rsid w:val="4D194BB5"/>
    <w:rsid w:val="4D1C5778"/>
    <w:rsid w:val="4D6421A1"/>
    <w:rsid w:val="4DC67576"/>
    <w:rsid w:val="4DE73FAF"/>
    <w:rsid w:val="4DF96402"/>
    <w:rsid w:val="4E755319"/>
    <w:rsid w:val="4E8F4547"/>
    <w:rsid w:val="4EA019FE"/>
    <w:rsid w:val="4EB629ED"/>
    <w:rsid w:val="4EDB5B27"/>
    <w:rsid w:val="4EE14C8C"/>
    <w:rsid w:val="4EE25A25"/>
    <w:rsid w:val="4EEA1FF1"/>
    <w:rsid w:val="4F527C52"/>
    <w:rsid w:val="4F5675EC"/>
    <w:rsid w:val="4F631A95"/>
    <w:rsid w:val="4F9CB9D4"/>
    <w:rsid w:val="4FBF309A"/>
    <w:rsid w:val="4FD57B2B"/>
    <w:rsid w:val="4FFD5555"/>
    <w:rsid w:val="50063693"/>
    <w:rsid w:val="501B25C1"/>
    <w:rsid w:val="50282405"/>
    <w:rsid w:val="50605A80"/>
    <w:rsid w:val="50795E03"/>
    <w:rsid w:val="507F1834"/>
    <w:rsid w:val="50A73E77"/>
    <w:rsid w:val="512C7ED2"/>
    <w:rsid w:val="51384EF6"/>
    <w:rsid w:val="51447EB8"/>
    <w:rsid w:val="515B45AE"/>
    <w:rsid w:val="515E041A"/>
    <w:rsid w:val="51656440"/>
    <w:rsid w:val="51BB5A4E"/>
    <w:rsid w:val="51E56C3A"/>
    <w:rsid w:val="51E74F62"/>
    <w:rsid w:val="52477FB9"/>
    <w:rsid w:val="5270749E"/>
    <w:rsid w:val="52813798"/>
    <w:rsid w:val="52E7213A"/>
    <w:rsid w:val="53332CCF"/>
    <w:rsid w:val="533C7C39"/>
    <w:rsid w:val="53421DE6"/>
    <w:rsid w:val="53453E2E"/>
    <w:rsid w:val="53512AFE"/>
    <w:rsid w:val="53E0645B"/>
    <w:rsid w:val="53FB5528"/>
    <w:rsid w:val="540D26EC"/>
    <w:rsid w:val="54302D35"/>
    <w:rsid w:val="54437915"/>
    <w:rsid w:val="54627EC3"/>
    <w:rsid w:val="54705100"/>
    <w:rsid w:val="548633EE"/>
    <w:rsid w:val="548F06A5"/>
    <w:rsid w:val="54D2234C"/>
    <w:rsid w:val="54E16E62"/>
    <w:rsid w:val="54F26070"/>
    <w:rsid w:val="551306D9"/>
    <w:rsid w:val="5579BBE4"/>
    <w:rsid w:val="55A0224B"/>
    <w:rsid w:val="55CF37E9"/>
    <w:rsid w:val="55D24547"/>
    <w:rsid w:val="55D830B5"/>
    <w:rsid w:val="562C5FD5"/>
    <w:rsid w:val="566221A5"/>
    <w:rsid w:val="567930DF"/>
    <w:rsid w:val="567E55E0"/>
    <w:rsid w:val="5682378C"/>
    <w:rsid w:val="56923BF1"/>
    <w:rsid w:val="56D31D63"/>
    <w:rsid w:val="56F44ADB"/>
    <w:rsid w:val="56F77BF7"/>
    <w:rsid w:val="56FB3045"/>
    <w:rsid w:val="570C40F4"/>
    <w:rsid w:val="57371AC5"/>
    <w:rsid w:val="573D7879"/>
    <w:rsid w:val="57523740"/>
    <w:rsid w:val="57662601"/>
    <w:rsid w:val="577974AF"/>
    <w:rsid w:val="577D524E"/>
    <w:rsid w:val="57C110E0"/>
    <w:rsid w:val="580E71E5"/>
    <w:rsid w:val="581A28CF"/>
    <w:rsid w:val="58514C4F"/>
    <w:rsid w:val="589876D9"/>
    <w:rsid w:val="58B67DDB"/>
    <w:rsid w:val="58DF00D7"/>
    <w:rsid w:val="58E41529"/>
    <w:rsid w:val="59161131"/>
    <w:rsid w:val="59B13FFB"/>
    <w:rsid w:val="59CC4189"/>
    <w:rsid w:val="5A1A42FD"/>
    <w:rsid w:val="5A617614"/>
    <w:rsid w:val="5A943ECD"/>
    <w:rsid w:val="5AB8771B"/>
    <w:rsid w:val="5B160A43"/>
    <w:rsid w:val="5B2A24B5"/>
    <w:rsid w:val="5B48305A"/>
    <w:rsid w:val="5B5A57CC"/>
    <w:rsid w:val="5B913620"/>
    <w:rsid w:val="5BCA3A6F"/>
    <w:rsid w:val="5BF5778D"/>
    <w:rsid w:val="5BFF784C"/>
    <w:rsid w:val="5BFFFAEC"/>
    <w:rsid w:val="5C0B6550"/>
    <w:rsid w:val="5CF90EAB"/>
    <w:rsid w:val="5D596CE2"/>
    <w:rsid w:val="5D9958D6"/>
    <w:rsid w:val="5D9A4EFD"/>
    <w:rsid w:val="5DAE23A7"/>
    <w:rsid w:val="5DC75BB3"/>
    <w:rsid w:val="5DD35D36"/>
    <w:rsid w:val="5E2C2993"/>
    <w:rsid w:val="5E59187D"/>
    <w:rsid w:val="5E683F93"/>
    <w:rsid w:val="5E7F1DF2"/>
    <w:rsid w:val="5E885D0C"/>
    <w:rsid w:val="5EB3691D"/>
    <w:rsid w:val="5EFF1CDE"/>
    <w:rsid w:val="5F4A5D67"/>
    <w:rsid w:val="5F6F5E8B"/>
    <w:rsid w:val="5F7D4C95"/>
    <w:rsid w:val="5F8748DA"/>
    <w:rsid w:val="5F92022D"/>
    <w:rsid w:val="60096A5F"/>
    <w:rsid w:val="60201E9B"/>
    <w:rsid w:val="602867D3"/>
    <w:rsid w:val="606A6585"/>
    <w:rsid w:val="608545AF"/>
    <w:rsid w:val="60C56AE9"/>
    <w:rsid w:val="60CA1CA6"/>
    <w:rsid w:val="60EC10DB"/>
    <w:rsid w:val="610D33AD"/>
    <w:rsid w:val="612D083D"/>
    <w:rsid w:val="61774699"/>
    <w:rsid w:val="61963FB3"/>
    <w:rsid w:val="61BF1193"/>
    <w:rsid w:val="620B398A"/>
    <w:rsid w:val="62127AB7"/>
    <w:rsid w:val="623854C9"/>
    <w:rsid w:val="628337CD"/>
    <w:rsid w:val="628A2B23"/>
    <w:rsid w:val="62E41FCE"/>
    <w:rsid w:val="631D04A8"/>
    <w:rsid w:val="633E139F"/>
    <w:rsid w:val="63C9234B"/>
    <w:rsid w:val="63DC5FEA"/>
    <w:rsid w:val="642D091A"/>
    <w:rsid w:val="64403B07"/>
    <w:rsid w:val="644D10C3"/>
    <w:rsid w:val="64943DD8"/>
    <w:rsid w:val="64B85521"/>
    <w:rsid w:val="6528077E"/>
    <w:rsid w:val="656C1129"/>
    <w:rsid w:val="658C7807"/>
    <w:rsid w:val="6598349C"/>
    <w:rsid w:val="65FF3EB1"/>
    <w:rsid w:val="66437A17"/>
    <w:rsid w:val="66524779"/>
    <w:rsid w:val="667A0688"/>
    <w:rsid w:val="66AE44DE"/>
    <w:rsid w:val="66E551E9"/>
    <w:rsid w:val="66F207E8"/>
    <w:rsid w:val="67035DD6"/>
    <w:rsid w:val="676E167A"/>
    <w:rsid w:val="67A3598E"/>
    <w:rsid w:val="67BB6955"/>
    <w:rsid w:val="67C30A8C"/>
    <w:rsid w:val="67D9E9C4"/>
    <w:rsid w:val="67DC5256"/>
    <w:rsid w:val="67DDD805"/>
    <w:rsid w:val="67F93FF4"/>
    <w:rsid w:val="681F3672"/>
    <w:rsid w:val="6823620F"/>
    <w:rsid w:val="6825519A"/>
    <w:rsid w:val="6871773A"/>
    <w:rsid w:val="68AB7F1E"/>
    <w:rsid w:val="68C22203"/>
    <w:rsid w:val="68F20A7E"/>
    <w:rsid w:val="6906520C"/>
    <w:rsid w:val="69690D6B"/>
    <w:rsid w:val="69934C07"/>
    <w:rsid w:val="69B06A65"/>
    <w:rsid w:val="6A075959"/>
    <w:rsid w:val="6A473329"/>
    <w:rsid w:val="6A4D41E9"/>
    <w:rsid w:val="6A935E99"/>
    <w:rsid w:val="6AC360AA"/>
    <w:rsid w:val="6AC73A79"/>
    <w:rsid w:val="6B3D5262"/>
    <w:rsid w:val="6B992D08"/>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9C243D"/>
    <w:rsid w:val="6DAC22A7"/>
    <w:rsid w:val="6DEE0D89"/>
    <w:rsid w:val="6E392E75"/>
    <w:rsid w:val="6E3C67F4"/>
    <w:rsid w:val="6E641B01"/>
    <w:rsid w:val="6E9A03A3"/>
    <w:rsid w:val="6F0C4592"/>
    <w:rsid w:val="6F3B572B"/>
    <w:rsid w:val="6F3B6D06"/>
    <w:rsid w:val="6F8F17E5"/>
    <w:rsid w:val="6F995010"/>
    <w:rsid w:val="6FA41DD9"/>
    <w:rsid w:val="6FA86524"/>
    <w:rsid w:val="6FAF8AEC"/>
    <w:rsid w:val="6FCA1EA2"/>
    <w:rsid w:val="6FD87E72"/>
    <w:rsid w:val="70195400"/>
    <w:rsid w:val="70234204"/>
    <w:rsid w:val="70254DA3"/>
    <w:rsid w:val="70315FC9"/>
    <w:rsid w:val="704C7282"/>
    <w:rsid w:val="70720FFE"/>
    <w:rsid w:val="707E4A26"/>
    <w:rsid w:val="70995A07"/>
    <w:rsid w:val="70A70E37"/>
    <w:rsid w:val="7193764F"/>
    <w:rsid w:val="71AB4D43"/>
    <w:rsid w:val="723B0CC2"/>
    <w:rsid w:val="7259730A"/>
    <w:rsid w:val="72694F09"/>
    <w:rsid w:val="72A02886"/>
    <w:rsid w:val="72C34085"/>
    <w:rsid w:val="72C70CD2"/>
    <w:rsid w:val="72CF6D83"/>
    <w:rsid w:val="73681127"/>
    <w:rsid w:val="738E58F8"/>
    <w:rsid w:val="73AB3572"/>
    <w:rsid w:val="73B65723"/>
    <w:rsid w:val="73CD0678"/>
    <w:rsid w:val="74260A97"/>
    <w:rsid w:val="742F4C4C"/>
    <w:rsid w:val="74415A40"/>
    <w:rsid w:val="748702F8"/>
    <w:rsid w:val="748F53FE"/>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D47CF8"/>
    <w:rsid w:val="77F60A8C"/>
    <w:rsid w:val="77FD4885"/>
    <w:rsid w:val="785F7751"/>
    <w:rsid w:val="786619C4"/>
    <w:rsid w:val="786C3B6A"/>
    <w:rsid w:val="78736567"/>
    <w:rsid w:val="78C25DA2"/>
    <w:rsid w:val="78CB1AC5"/>
    <w:rsid w:val="78D43CB7"/>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13111B"/>
    <w:rsid w:val="7ABB7E4F"/>
    <w:rsid w:val="7ABE4B2A"/>
    <w:rsid w:val="7AF43536"/>
    <w:rsid w:val="7B1B73AF"/>
    <w:rsid w:val="7B1B74E2"/>
    <w:rsid w:val="7B21100A"/>
    <w:rsid w:val="7B501C76"/>
    <w:rsid w:val="7B6968FC"/>
    <w:rsid w:val="7BA022B3"/>
    <w:rsid w:val="7BA44225"/>
    <w:rsid w:val="7BBDD5BF"/>
    <w:rsid w:val="7BC97A9E"/>
    <w:rsid w:val="7BDF78F4"/>
    <w:rsid w:val="7C33298E"/>
    <w:rsid w:val="7C6C666E"/>
    <w:rsid w:val="7CAE4AB6"/>
    <w:rsid w:val="7CC876FF"/>
    <w:rsid w:val="7CDD2CBE"/>
    <w:rsid w:val="7D0C1497"/>
    <w:rsid w:val="7D466226"/>
    <w:rsid w:val="7D4F1BCF"/>
    <w:rsid w:val="7D871784"/>
    <w:rsid w:val="7D9964B3"/>
    <w:rsid w:val="7DD5318F"/>
    <w:rsid w:val="7DFD1245"/>
    <w:rsid w:val="7E272D5F"/>
    <w:rsid w:val="7E7D104F"/>
    <w:rsid w:val="7EB44517"/>
    <w:rsid w:val="7ED437E6"/>
    <w:rsid w:val="7ED6644D"/>
    <w:rsid w:val="7EDCACBC"/>
    <w:rsid w:val="7EDFAA12"/>
    <w:rsid w:val="7EE4203A"/>
    <w:rsid w:val="7EFB3DBC"/>
    <w:rsid w:val="7EFF7BB0"/>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8"/>
    <w:qFormat/>
    <w:uiPriority w:val="0"/>
    <w:pPr>
      <w:keepNext/>
      <w:keepLines/>
      <w:spacing w:line="360" w:lineRule="auto"/>
      <w:jc w:val="center"/>
      <w:outlineLvl w:val="0"/>
    </w:pPr>
    <w:rPr>
      <w:b/>
      <w:bCs/>
      <w:kern w:val="44"/>
      <w:sz w:val="30"/>
      <w:szCs w:val="44"/>
    </w:rPr>
  </w:style>
  <w:style w:type="paragraph" w:styleId="4">
    <w:name w:val="heading 2"/>
    <w:basedOn w:val="1"/>
    <w:next w:val="1"/>
    <w:link w:val="97"/>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6"/>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5"/>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6">
    <w:name w:val="Normal Indent"/>
    <w:basedOn w:val="1"/>
    <w:qFormat/>
    <w:uiPriority w:val="0"/>
    <w:pPr>
      <w:spacing w:line="300" w:lineRule="auto"/>
      <w:ind w:firstLine="420" w:firstLineChars="200"/>
    </w:pPr>
  </w:style>
  <w:style w:type="paragraph" w:styleId="9">
    <w:name w:val="annotation text"/>
    <w:basedOn w:val="1"/>
    <w:link w:val="69"/>
    <w:qFormat/>
    <w:uiPriority w:val="0"/>
    <w:pPr>
      <w:jc w:val="left"/>
    </w:pPr>
  </w:style>
  <w:style w:type="paragraph" w:styleId="10">
    <w:name w:val="Body Text"/>
    <w:basedOn w:val="1"/>
    <w:next w:val="1"/>
    <w:qFormat/>
    <w:uiPriority w:val="0"/>
    <w:rPr>
      <w:color w:val="993300"/>
    </w:rPr>
  </w:style>
  <w:style w:type="paragraph" w:styleId="11">
    <w:name w:val="Body Text Indent"/>
    <w:basedOn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3"/>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1"/>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9"/>
    <w:next w:val="9"/>
    <w:link w:val="70"/>
    <w:qFormat/>
    <w:uiPriority w:val="0"/>
    <w:rPr>
      <w:b/>
      <w:bCs/>
    </w:rPr>
  </w:style>
  <w:style w:type="paragraph" w:styleId="29">
    <w:name w:val="Body Text First Indent"/>
    <w:basedOn w:val="1"/>
    <w:next w:val="1"/>
    <w:qFormat/>
    <w:uiPriority w:val="99"/>
    <w:pPr>
      <w:ind w:firstLine="420" w:firstLineChars="100"/>
    </w:pPr>
  </w:style>
  <w:style w:type="paragraph" w:styleId="30">
    <w:name w:val="Body Text First Indent 2"/>
    <w:basedOn w:val="11"/>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文模式"/>
    <w:basedOn w:val="1"/>
    <w:qFormat/>
    <w:uiPriority w:val="0"/>
    <w:pPr>
      <w:spacing w:line="360" w:lineRule="auto"/>
      <w:ind w:firstLine="480" w:firstLineChars="200"/>
    </w:pPr>
    <w:rPr>
      <w:rFonts w:cs="宋体"/>
      <w:sz w:val="24"/>
      <w:szCs w:val="20"/>
    </w:rPr>
  </w:style>
  <w:style w:type="paragraph" w:customStyle="1" w:styleId="46">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1 字符"/>
    <w:link w:val="3"/>
    <w:qFormat/>
    <w:uiPriority w:val="0"/>
    <w:rPr>
      <w:b/>
      <w:bCs/>
      <w:kern w:val="44"/>
      <w:sz w:val="30"/>
      <w:szCs w:val="44"/>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方案正文"/>
    <w:basedOn w:val="1"/>
    <w:qFormat/>
    <w:uiPriority w:val="0"/>
    <w:pPr>
      <w:widowControl/>
      <w:spacing w:line="360" w:lineRule="auto"/>
      <w:ind w:firstLine="504"/>
      <w:jc w:val="left"/>
    </w:pPr>
    <w:rPr>
      <w:rFonts w:ascii="宋体" w:hAnsi="宋体"/>
      <w:kern w:val="0"/>
      <w:szCs w:val="28"/>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2">
    <w:name w:val="List Paragraph"/>
    <w:basedOn w:val="1"/>
    <w:qFormat/>
    <w:uiPriority w:val="34"/>
    <w:pPr>
      <w:ind w:firstLine="420" w:firstLineChars="200"/>
    </w:pPr>
  </w:style>
  <w:style w:type="character" w:customStyle="1" w:styleId="53">
    <w:name w:val="纯文本 字符"/>
    <w:link w:val="13"/>
    <w:qFormat/>
    <w:uiPriority w:val="99"/>
    <w:rPr>
      <w:rFonts w:ascii="宋体" w:hAnsi="Courier New" w:cs="Courier New"/>
      <w:kern w:val="2"/>
      <w:sz w:val="21"/>
      <w:szCs w:val="21"/>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hour_am"/>
    <w:basedOn w:val="33"/>
    <w:qFormat/>
    <w:uiPriority w:val="0"/>
  </w:style>
  <w:style w:type="character" w:customStyle="1" w:styleId="57">
    <w:name w:val="old"/>
    <w:basedOn w:val="33"/>
    <w:qFormat/>
    <w:uiPriority w:val="0"/>
    <w:rPr>
      <w:color w:val="999999"/>
    </w:rPr>
  </w:style>
  <w:style w:type="character" w:customStyle="1" w:styleId="58">
    <w:name w:val="tmpztreemove_arrow"/>
    <w:basedOn w:val="33"/>
    <w:qFormat/>
    <w:uiPriority w:val="0"/>
    <w:rPr>
      <w:shd w:val="clear" w:color="auto" w:fill="FFFFFF"/>
    </w:rPr>
  </w:style>
  <w:style w:type="character" w:customStyle="1" w:styleId="59">
    <w:name w:val="hover3"/>
    <w:basedOn w:val="33"/>
    <w:qFormat/>
    <w:uiPriority w:val="0"/>
    <w:rPr>
      <w:shd w:val="clear" w:color="auto" w:fill="EEEEEE"/>
    </w:rPr>
  </w:style>
  <w:style w:type="character" w:customStyle="1" w:styleId="60">
    <w:name w:val="glyphicon4"/>
    <w:basedOn w:val="33"/>
    <w:qFormat/>
    <w:uiPriority w:val="0"/>
  </w:style>
  <w:style w:type="character" w:customStyle="1" w:styleId="61">
    <w:name w:val="hour_pm"/>
    <w:basedOn w:val="33"/>
    <w:qFormat/>
    <w:uiPriority w:val="0"/>
  </w:style>
  <w:style w:type="character" w:customStyle="1" w:styleId="62">
    <w:name w:val="button"/>
    <w:basedOn w:val="33"/>
    <w:qFormat/>
    <w:uiPriority w:val="0"/>
  </w:style>
  <w:style w:type="paragraph" w:customStyle="1" w:styleId="63">
    <w:name w:val="样式1"/>
    <w:basedOn w:val="1"/>
    <w:qFormat/>
    <w:uiPriority w:val="0"/>
    <w:pPr>
      <w:adjustRightInd w:val="0"/>
      <w:textAlignment w:val="baseline"/>
    </w:pPr>
    <w:rPr>
      <w:rFonts w:ascii="宋体" w:hAnsi="宋体"/>
      <w:kern w:val="0"/>
      <w:szCs w:val="21"/>
    </w:rPr>
  </w:style>
  <w:style w:type="character" w:customStyle="1" w:styleId="64">
    <w:name w:val="indent"/>
    <w:basedOn w:val="33"/>
    <w:qFormat/>
    <w:uiPriority w:val="0"/>
  </w:style>
  <w:style w:type="character" w:customStyle="1" w:styleId="65">
    <w:name w:val="标题 6 字符"/>
    <w:basedOn w:val="33"/>
    <w:link w:val="8"/>
    <w:qFormat/>
    <w:uiPriority w:val="99"/>
    <w:rPr>
      <w:rFonts w:ascii="Calibri Light" w:hAnsi="Calibri Light"/>
      <w:b/>
      <w:bCs/>
      <w:kern w:val="2"/>
      <w:sz w:val="24"/>
      <w:szCs w:val="24"/>
    </w:rPr>
  </w:style>
  <w:style w:type="paragraph" w:customStyle="1" w:styleId="66">
    <w:name w:val="my-正文"/>
    <w:basedOn w:val="1"/>
    <w:qFormat/>
    <w:uiPriority w:val="0"/>
    <w:pPr>
      <w:spacing w:line="360" w:lineRule="auto"/>
    </w:pPr>
    <w:rPr>
      <w:rFonts w:ascii="宋体" w:hAnsi="宋体"/>
      <w:lang w:val="zh-CN"/>
    </w:rPr>
  </w:style>
  <w:style w:type="paragraph" w:customStyle="1" w:styleId="67">
    <w:name w:val="样式 首行缩进:  2 字符"/>
    <w:basedOn w:val="1"/>
    <w:qFormat/>
    <w:uiPriority w:val="0"/>
    <w:pPr>
      <w:spacing w:line="400" w:lineRule="exact"/>
      <w:ind w:firstLine="200" w:firstLineChars="200"/>
    </w:pPr>
    <w:rPr>
      <w:rFonts w:cs="宋体"/>
    </w:rPr>
  </w:style>
  <w:style w:type="paragraph" w:customStyle="1" w:styleId="68">
    <w:name w:val="p1"/>
    <w:basedOn w:val="1"/>
    <w:qFormat/>
    <w:uiPriority w:val="0"/>
    <w:pPr>
      <w:widowControl/>
    </w:pPr>
    <w:rPr>
      <w:rFonts w:ascii="Lucida Grande" w:hAnsi="Lucida Grande" w:cs="Lucida Grande"/>
      <w:color w:val="323333"/>
      <w:kern w:val="0"/>
      <w:szCs w:val="21"/>
    </w:rPr>
  </w:style>
  <w:style w:type="character" w:customStyle="1" w:styleId="69">
    <w:name w:val="批注文字 字符"/>
    <w:basedOn w:val="33"/>
    <w:link w:val="9"/>
    <w:qFormat/>
    <w:uiPriority w:val="0"/>
    <w:rPr>
      <w:kern w:val="2"/>
      <w:sz w:val="21"/>
      <w:szCs w:val="24"/>
    </w:rPr>
  </w:style>
  <w:style w:type="character" w:customStyle="1" w:styleId="70">
    <w:name w:val="批注主题 字符"/>
    <w:basedOn w:val="69"/>
    <w:link w:val="28"/>
    <w:qFormat/>
    <w:uiPriority w:val="0"/>
    <w:rPr>
      <w:b/>
      <w:bCs/>
      <w:kern w:val="2"/>
      <w:sz w:val="21"/>
      <w:szCs w:val="24"/>
    </w:rPr>
  </w:style>
  <w:style w:type="character" w:customStyle="1" w:styleId="71">
    <w:name w:val="批注框文本 字符"/>
    <w:basedOn w:val="33"/>
    <w:link w:val="16"/>
    <w:qFormat/>
    <w:uiPriority w:val="0"/>
    <w:rPr>
      <w:kern w:val="2"/>
      <w:sz w:val="18"/>
      <w:szCs w:val="18"/>
    </w:rPr>
  </w:style>
  <w:style w:type="paragraph" w:customStyle="1" w:styleId="72">
    <w:name w:val="title1"/>
    <w:basedOn w:val="1"/>
    <w:qFormat/>
    <w:uiPriority w:val="0"/>
    <w:pPr>
      <w:spacing w:before="150"/>
      <w:jc w:val="left"/>
    </w:pPr>
    <w:rPr>
      <w:b/>
      <w:kern w:val="0"/>
      <w:sz w:val="22"/>
      <w:szCs w:val="22"/>
    </w:rPr>
  </w:style>
  <w:style w:type="character" w:customStyle="1" w:styleId="73">
    <w:name w:val="标题 1 Char Char"/>
    <w:qFormat/>
    <w:uiPriority w:val="0"/>
    <w:rPr>
      <w:rFonts w:eastAsia="宋体"/>
      <w:b/>
      <w:spacing w:val="-2"/>
      <w:sz w:val="24"/>
      <w:lang w:val="en-US" w:eastAsia="zh-CN" w:bidi="ar-SA"/>
    </w:rPr>
  </w:style>
  <w:style w:type="character" w:customStyle="1" w:styleId="74">
    <w:name w:val="apple-converted-space"/>
    <w:basedOn w:val="33"/>
    <w:qFormat/>
    <w:uiPriority w:val="0"/>
  </w:style>
  <w:style w:type="character" w:customStyle="1" w:styleId="75">
    <w:name w:val="font71"/>
    <w:basedOn w:val="33"/>
    <w:qFormat/>
    <w:uiPriority w:val="0"/>
    <w:rPr>
      <w:rFonts w:hint="default" w:ascii="Times New Roman" w:hAnsi="Times New Roman" w:cs="Times New Roman"/>
      <w:b/>
      <w:color w:val="000000"/>
      <w:sz w:val="21"/>
      <w:szCs w:val="21"/>
      <w:u w:val="none"/>
    </w:rPr>
  </w:style>
  <w:style w:type="character" w:customStyle="1" w:styleId="76">
    <w:name w:val="font101"/>
    <w:basedOn w:val="33"/>
    <w:qFormat/>
    <w:uiPriority w:val="0"/>
    <w:rPr>
      <w:rFonts w:hint="default" w:ascii="Times New Roman" w:hAnsi="Times New Roman" w:cs="Times New Roman"/>
      <w:color w:val="333333"/>
      <w:sz w:val="21"/>
      <w:szCs w:val="21"/>
      <w:u w:val="none"/>
    </w:rPr>
  </w:style>
  <w:style w:type="paragraph" w:customStyle="1" w:styleId="77">
    <w:name w:val="y"/>
    <w:basedOn w:val="1"/>
    <w:qFormat/>
    <w:uiPriority w:val="0"/>
    <w:pPr>
      <w:spacing w:line="360" w:lineRule="auto"/>
      <w:ind w:firstLine="480" w:firstLineChars="200"/>
    </w:pPr>
    <w:rPr>
      <w:rFonts w:ascii="宋体" w:hAnsi="宋体"/>
    </w:rPr>
  </w:style>
  <w:style w:type="paragraph" w:customStyle="1" w:styleId="78">
    <w:name w:val="p18"/>
    <w:basedOn w:val="1"/>
    <w:qFormat/>
    <w:uiPriority w:val="0"/>
    <w:pPr>
      <w:widowControl/>
      <w:spacing w:line="360" w:lineRule="auto"/>
      <w:ind w:firstLine="420"/>
    </w:pPr>
    <w:rPr>
      <w:rFonts w:ascii="Arial" w:hAnsi="Arial" w:eastAsia="Adobe 仿宋 Std R" w:cs="Arial"/>
      <w:kern w:val="0"/>
    </w:rPr>
  </w:style>
  <w:style w:type="paragraph" w:customStyle="1" w:styleId="79">
    <w:name w:val="p17"/>
    <w:basedOn w:val="1"/>
    <w:qFormat/>
    <w:uiPriority w:val="0"/>
    <w:pPr>
      <w:widowControl/>
      <w:ind w:firstLine="420"/>
    </w:pPr>
    <w:rPr>
      <w:kern w:val="0"/>
      <w:szCs w:val="21"/>
    </w:rPr>
  </w:style>
  <w:style w:type="paragraph" w:customStyle="1" w:styleId="80">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1">
    <w:name w:val="列出段落11"/>
    <w:basedOn w:val="1"/>
    <w:qFormat/>
    <w:uiPriority w:val="34"/>
    <w:pPr>
      <w:ind w:firstLine="420" w:firstLineChars="200"/>
    </w:pPr>
    <w:rPr>
      <w:rFonts w:ascii="Calibri" w:hAnsi="Calibri"/>
      <w:szCs w:val="22"/>
    </w:rPr>
  </w:style>
  <w:style w:type="paragraph" w:customStyle="1" w:styleId="82">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3">
    <w:name w:val="正文自定"/>
    <w:basedOn w:val="1"/>
    <w:qFormat/>
    <w:uiPriority w:val="0"/>
    <w:pPr>
      <w:tabs>
        <w:tab w:val="left" w:pos="7665"/>
      </w:tabs>
      <w:spacing w:line="360" w:lineRule="auto"/>
      <w:ind w:firstLine="480" w:firstLineChars="200"/>
    </w:pPr>
    <w:rPr>
      <w:rFonts w:ascii="宋体" w:hAnsi="宋体"/>
    </w:rPr>
  </w:style>
  <w:style w:type="character" w:customStyle="1" w:styleId="84">
    <w:name w:val="font21"/>
    <w:basedOn w:val="33"/>
    <w:qFormat/>
    <w:uiPriority w:val="0"/>
    <w:rPr>
      <w:rFonts w:hint="eastAsia" w:ascii="宋体" w:hAnsi="宋体" w:eastAsia="宋体" w:cs="宋体"/>
      <w:color w:val="000000"/>
      <w:sz w:val="22"/>
      <w:szCs w:val="22"/>
      <w:u w:val="none"/>
    </w:rPr>
  </w:style>
  <w:style w:type="character" w:customStyle="1" w:styleId="85">
    <w:name w:val="font01"/>
    <w:basedOn w:val="33"/>
    <w:qFormat/>
    <w:uiPriority w:val="0"/>
    <w:rPr>
      <w:rFonts w:hint="eastAsia" w:ascii="宋体" w:hAnsi="宋体" w:eastAsia="宋体" w:cs="宋体"/>
      <w:color w:val="000000"/>
      <w:sz w:val="22"/>
      <w:szCs w:val="22"/>
      <w:u w:val="none"/>
    </w:rPr>
  </w:style>
  <w:style w:type="character" w:customStyle="1" w:styleId="86">
    <w:name w:val="font31"/>
    <w:basedOn w:val="33"/>
    <w:qFormat/>
    <w:uiPriority w:val="0"/>
    <w:rPr>
      <w:rFonts w:hint="eastAsia" w:ascii="宋体" w:hAnsi="宋体" w:eastAsia="宋体" w:cs="宋体"/>
      <w:color w:val="000000"/>
      <w:sz w:val="21"/>
      <w:szCs w:val="21"/>
      <w:u w:val="none"/>
    </w:rPr>
  </w:style>
  <w:style w:type="character" w:customStyle="1" w:styleId="87">
    <w:name w:val="font41"/>
    <w:basedOn w:val="33"/>
    <w:qFormat/>
    <w:uiPriority w:val="0"/>
    <w:rPr>
      <w:rFonts w:hint="eastAsia" w:ascii="宋体" w:hAnsi="宋体" w:eastAsia="宋体" w:cs="宋体"/>
      <w:color w:val="000000"/>
      <w:sz w:val="21"/>
      <w:szCs w:val="21"/>
      <w:u w:val="none"/>
    </w:rPr>
  </w:style>
  <w:style w:type="paragraph" w:customStyle="1" w:styleId="88">
    <w:name w:val="目录"/>
    <w:basedOn w:val="1"/>
    <w:qFormat/>
    <w:uiPriority w:val="0"/>
    <w:pPr>
      <w:widowControl/>
      <w:jc w:val="center"/>
    </w:pPr>
    <w:rPr>
      <w:rFonts w:ascii="宋体"/>
      <w:b/>
      <w:kern w:val="0"/>
      <w:sz w:val="36"/>
    </w:rPr>
  </w:style>
  <w:style w:type="paragraph" w:customStyle="1" w:styleId="8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0">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1">
    <w:name w:val="title13"/>
    <w:basedOn w:val="1"/>
    <w:qFormat/>
    <w:uiPriority w:val="0"/>
    <w:pPr>
      <w:spacing w:before="150"/>
      <w:jc w:val="left"/>
    </w:pPr>
    <w:rPr>
      <w:b/>
      <w:bCs/>
      <w:kern w:val="0"/>
      <w:sz w:val="22"/>
      <w:szCs w:val="22"/>
    </w:rPr>
  </w:style>
  <w:style w:type="character" w:customStyle="1" w:styleId="92">
    <w:name w:val="15"/>
    <w:basedOn w:val="33"/>
    <w:qFormat/>
    <w:uiPriority w:val="0"/>
  </w:style>
  <w:style w:type="paragraph" w:customStyle="1" w:styleId="93">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4">
    <w:name w:val="正文缩进1"/>
    <w:basedOn w:val="1"/>
    <w:qFormat/>
    <w:uiPriority w:val="0"/>
    <w:pPr>
      <w:ind w:firstLine="420" w:firstLineChars="200"/>
    </w:pPr>
  </w:style>
  <w:style w:type="paragraph" w:customStyle="1" w:styleId="95">
    <w:name w:val="Table Text"/>
    <w:basedOn w:val="1"/>
    <w:semiHidden/>
    <w:qFormat/>
    <w:uiPriority w:val="0"/>
    <w:rPr>
      <w:rFonts w:ascii="仿宋" w:hAnsi="仿宋" w:eastAsia="仿宋" w:cs="仿宋"/>
      <w:sz w:val="24"/>
      <w:szCs w:val="24"/>
      <w:lang w:val="en-US" w:eastAsia="en-US" w:bidi="ar-SA"/>
    </w:rPr>
  </w:style>
  <w:style w:type="table" w:customStyle="1" w:styleId="96">
    <w:name w:val="Table Normal"/>
    <w:unhideWhenUsed/>
    <w:qFormat/>
    <w:uiPriority w:val="0"/>
    <w:tblPr>
      <w:tblCellMar>
        <w:top w:w="0" w:type="dxa"/>
        <w:left w:w="0" w:type="dxa"/>
        <w:bottom w:w="0" w:type="dxa"/>
        <w:right w:w="0" w:type="dxa"/>
      </w:tblCellMar>
    </w:tblPr>
  </w:style>
  <w:style w:type="character" w:customStyle="1" w:styleId="97">
    <w:name w:val="标题 2 Char"/>
    <w:link w:val="4"/>
    <w:qFormat/>
    <w:uiPriority w:val="0"/>
    <w:rPr>
      <w:rFonts w:ascii="Arial" w:hAnsi="Arial"/>
      <w:b/>
      <w:bCs/>
      <w:sz w:val="28"/>
      <w:szCs w:val="32"/>
    </w:rPr>
  </w:style>
  <w:style w:type="paragraph" w:customStyle="1" w:styleId="98">
    <w:name w:val="列出段落5"/>
    <w:basedOn w:val="1"/>
    <w:qFormat/>
    <w:uiPriority w:val="0"/>
    <w:pPr>
      <w:ind w:firstLine="420" w:firstLineChars="200"/>
    </w:pPr>
  </w:style>
  <w:style w:type="paragraph" w:customStyle="1" w:styleId="9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387</Words>
  <Characters>425</Characters>
  <Lines>297</Lines>
  <Paragraphs>83</Paragraphs>
  <TotalTime>10</TotalTime>
  <ScaleCrop>false</ScaleCrop>
  <LinksUpToDate>false</LinksUpToDate>
  <CharactersWithSpaces>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德仁招标</cp:lastModifiedBy>
  <cp:lastPrinted>2023-04-13T01:31:00Z</cp:lastPrinted>
  <dcterms:modified xsi:type="dcterms:W3CDTF">2025-09-01T08:53:02Z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59048E87EB384959B0DA8713F218F2AD_13</vt:lpwstr>
  </property>
  <property fmtid="{D5CDD505-2E9C-101B-9397-08002B2CF9AE}" pid="4" name="KSOTemplateDocerSaveRecord">
    <vt:lpwstr>eyJoZGlkIjoiNzNmNDZlOGE4YzBiODhkNTY3NTdiYjNiMTljZmEwZTciLCJ1c2VySWQiOiIxMTk3NzI3MDgzIn0=</vt:lpwstr>
  </property>
</Properties>
</file>