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BAE68">
      <w:pPr>
        <w:rPr>
          <w:rFonts w:hint="eastAsia"/>
          <w:lang w:val="en-US" w:eastAsia="zh-CN"/>
        </w:rPr>
      </w:pPr>
    </w:p>
    <w:p w14:paraId="01601959">
      <w:pPr>
        <w:rPr>
          <w:rFonts w:hint="eastAsia"/>
          <w:lang w:val="en-US" w:eastAsia="zh-CN"/>
        </w:rPr>
      </w:pPr>
    </w:p>
    <w:p w14:paraId="17BD71AB">
      <w:pPr>
        <w:rPr>
          <w:rFonts w:hint="eastAsia"/>
          <w:lang w:val="en-US" w:eastAsia="zh-CN"/>
        </w:rPr>
      </w:pPr>
    </w:p>
    <w:p w14:paraId="06E201B7">
      <w:pPr>
        <w:rPr>
          <w:rFonts w:hint="eastAsia"/>
          <w:lang w:val="en-US" w:eastAsia="zh-CN"/>
        </w:rPr>
      </w:pPr>
    </w:p>
    <w:p w14:paraId="19E8C3C4">
      <w:pPr>
        <w:rPr>
          <w:rFonts w:hint="eastAsia"/>
          <w:lang w:val="en-US" w:eastAsia="zh-CN"/>
        </w:rPr>
      </w:pPr>
    </w:p>
    <w:p w14:paraId="1BB1FFAB">
      <w:pPr>
        <w:rPr>
          <w:rFonts w:hint="eastAsia"/>
          <w:sz w:val="32"/>
          <w:szCs w:val="32"/>
          <w:lang w:val="en-US" w:eastAsia="zh-CN"/>
        </w:rPr>
      </w:pPr>
      <w:r>
        <w:rPr>
          <w:rFonts w:hint="eastAsia"/>
          <w:sz w:val="32"/>
          <w:szCs w:val="32"/>
          <w:lang w:val="en-US" w:eastAsia="zh-CN"/>
        </w:rPr>
        <w:t>项目编号：LXZFCGZX-2025260101</w:t>
      </w:r>
    </w:p>
    <w:p w14:paraId="229C3497">
      <w:pPr>
        <w:rPr>
          <w:rFonts w:hint="eastAsia"/>
          <w:lang w:val="en-US" w:eastAsia="zh-CN"/>
        </w:rPr>
      </w:pPr>
    </w:p>
    <w:p w14:paraId="21931376">
      <w:pPr>
        <w:rPr>
          <w:rFonts w:hint="eastAsia"/>
          <w:lang w:val="en-US" w:eastAsia="zh-CN"/>
        </w:rPr>
      </w:pPr>
    </w:p>
    <w:p w14:paraId="46A84E18">
      <w:pPr>
        <w:rPr>
          <w:rFonts w:hint="eastAsia"/>
          <w:lang w:val="en-US" w:eastAsia="zh-CN"/>
        </w:rPr>
      </w:pPr>
    </w:p>
    <w:p w14:paraId="1FE23A26">
      <w:pPr>
        <w:jc w:val="center"/>
        <w:rPr>
          <w:rFonts w:hint="eastAsia"/>
          <w:b/>
          <w:bCs/>
          <w:sz w:val="52"/>
          <w:szCs w:val="52"/>
          <w:lang w:val="en-US" w:eastAsia="zh-CN"/>
        </w:rPr>
      </w:pPr>
    </w:p>
    <w:p w14:paraId="7B0416F8">
      <w:pPr>
        <w:jc w:val="center"/>
        <w:rPr>
          <w:rFonts w:hint="eastAsia"/>
          <w:b/>
          <w:bCs/>
          <w:sz w:val="52"/>
          <w:szCs w:val="52"/>
          <w:lang w:val="en-US" w:eastAsia="zh-CN"/>
        </w:rPr>
      </w:pPr>
      <w:r>
        <w:rPr>
          <w:rFonts w:hint="eastAsia"/>
          <w:b/>
          <w:bCs/>
          <w:sz w:val="52"/>
          <w:szCs w:val="52"/>
          <w:lang w:val="en-US" w:eastAsia="zh-CN"/>
        </w:rPr>
        <w:t>陇县中学学生公寓楼内设添置项目</w:t>
      </w:r>
    </w:p>
    <w:p w14:paraId="154E97BE">
      <w:pPr>
        <w:jc w:val="center"/>
        <w:rPr>
          <w:rFonts w:hint="eastAsia"/>
          <w:b/>
          <w:bCs/>
          <w:sz w:val="52"/>
          <w:szCs w:val="52"/>
          <w:lang w:val="en-US" w:eastAsia="zh-CN"/>
        </w:rPr>
      </w:pPr>
      <w:r>
        <w:rPr>
          <w:rFonts w:hint="eastAsia"/>
          <w:b/>
          <w:bCs/>
          <w:sz w:val="52"/>
          <w:szCs w:val="52"/>
          <w:lang w:val="en-US" w:eastAsia="zh-CN"/>
        </w:rPr>
        <w:t>询价文件</w:t>
      </w:r>
    </w:p>
    <w:p w14:paraId="578282DE">
      <w:pPr>
        <w:jc w:val="center"/>
        <w:rPr>
          <w:rFonts w:hint="eastAsia"/>
          <w:b/>
          <w:bCs/>
          <w:sz w:val="32"/>
          <w:szCs w:val="32"/>
          <w:lang w:val="en-US" w:eastAsia="zh-CN"/>
        </w:rPr>
      </w:pPr>
      <w:r>
        <w:rPr>
          <w:rFonts w:hint="eastAsia"/>
          <w:b/>
          <w:bCs/>
          <w:sz w:val="32"/>
          <w:szCs w:val="32"/>
          <w:lang w:val="en-US" w:eastAsia="zh-CN"/>
        </w:rPr>
        <w:t>（专门面向中小企业）</w:t>
      </w:r>
    </w:p>
    <w:p w14:paraId="7B88E8C2">
      <w:pPr>
        <w:rPr>
          <w:rFonts w:hint="eastAsia"/>
          <w:lang w:val="en-US" w:eastAsia="zh-CN"/>
        </w:rPr>
      </w:pPr>
    </w:p>
    <w:p w14:paraId="6F252CDA">
      <w:pPr>
        <w:rPr>
          <w:rFonts w:hint="eastAsia"/>
          <w:lang w:val="en-US" w:eastAsia="zh-CN"/>
        </w:rPr>
      </w:pPr>
    </w:p>
    <w:p w14:paraId="4C035ECD">
      <w:pPr>
        <w:rPr>
          <w:rFonts w:hint="eastAsia"/>
          <w:lang w:val="en-US" w:eastAsia="zh-CN"/>
        </w:rPr>
      </w:pPr>
    </w:p>
    <w:p w14:paraId="1CFA3005">
      <w:pPr>
        <w:rPr>
          <w:rFonts w:hint="eastAsia"/>
          <w:lang w:val="en-US" w:eastAsia="zh-CN"/>
        </w:rPr>
      </w:pPr>
    </w:p>
    <w:p w14:paraId="63D12B35">
      <w:pPr>
        <w:rPr>
          <w:rFonts w:hint="eastAsia"/>
          <w:lang w:val="en-US" w:eastAsia="zh-CN"/>
        </w:rPr>
      </w:pPr>
    </w:p>
    <w:p w14:paraId="00E9A1B6">
      <w:pPr>
        <w:rPr>
          <w:rFonts w:hint="eastAsia"/>
          <w:sz w:val="32"/>
          <w:szCs w:val="32"/>
          <w:lang w:val="en-US" w:eastAsia="zh-CN"/>
        </w:rPr>
      </w:pPr>
    </w:p>
    <w:p w14:paraId="3280094D">
      <w:pPr>
        <w:rPr>
          <w:rFonts w:hint="eastAsia"/>
          <w:sz w:val="32"/>
          <w:szCs w:val="32"/>
          <w:lang w:val="en-US" w:eastAsia="zh-CN"/>
        </w:rPr>
      </w:pPr>
    </w:p>
    <w:p w14:paraId="0813228F">
      <w:pPr>
        <w:rPr>
          <w:rFonts w:hint="eastAsia"/>
          <w:sz w:val="32"/>
          <w:szCs w:val="32"/>
          <w:lang w:val="en-US" w:eastAsia="zh-CN"/>
        </w:rPr>
      </w:pPr>
    </w:p>
    <w:p w14:paraId="2FAE8964">
      <w:pPr>
        <w:rPr>
          <w:rFonts w:hint="eastAsia"/>
          <w:sz w:val="32"/>
          <w:szCs w:val="32"/>
          <w:lang w:val="en-US" w:eastAsia="zh-CN"/>
        </w:rPr>
      </w:pPr>
    </w:p>
    <w:p w14:paraId="2A8B0386">
      <w:pPr>
        <w:rPr>
          <w:rFonts w:hint="eastAsia"/>
          <w:sz w:val="32"/>
          <w:szCs w:val="32"/>
          <w:lang w:val="en-US" w:eastAsia="zh-CN"/>
        </w:rPr>
      </w:pPr>
      <w:r>
        <w:rPr>
          <w:rFonts w:hint="eastAsia"/>
          <w:sz w:val="32"/>
          <w:szCs w:val="32"/>
          <w:lang w:val="en-US" w:eastAsia="zh-CN"/>
        </w:rPr>
        <w:t>采购人：陇县中学</w:t>
      </w:r>
    </w:p>
    <w:p w14:paraId="76AFB2B5">
      <w:pPr>
        <w:rPr>
          <w:rFonts w:hint="eastAsia"/>
          <w:sz w:val="32"/>
          <w:szCs w:val="32"/>
          <w:lang w:val="en-US" w:eastAsia="zh-CN"/>
        </w:rPr>
      </w:pPr>
    </w:p>
    <w:p w14:paraId="4E565711">
      <w:pPr>
        <w:rPr>
          <w:rFonts w:hint="eastAsia"/>
          <w:sz w:val="32"/>
          <w:szCs w:val="32"/>
          <w:lang w:val="en-US" w:eastAsia="zh-CN"/>
        </w:rPr>
      </w:pPr>
    </w:p>
    <w:p w14:paraId="244F08CE">
      <w:pPr>
        <w:rPr>
          <w:rFonts w:hint="eastAsia"/>
          <w:sz w:val="32"/>
          <w:szCs w:val="32"/>
          <w:lang w:val="en-US" w:eastAsia="zh-CN"/>
        </w:rPr>
      </w:pPr>
    </w:p>
    <w:p w14:paraId="785EAAD0">
      <w:pPr>
        <w:rPr>
          <w:rFonts w:hint="eastAsia"/>
          <w:sz w:val="32"/>
          <w:szCs w:val="32"/>
          <w:lang w:val="en-US" w:eastAsia="zh-CN"/>
        </w:rPr>
      </w:pPr>
    </w:p>
    <w:p w14:paraId="6687C33F">
      <w:pPr>
        <w:rPr>
          <w:rFonts w:hint="eastAsia"/>
          <w:sz w:val="32"/>
          <w:szCs w:val="32"/>
          <w:lang w:val="en-US" w:eastAsia="zh-CN"/>
        </w:rPr>
      </w:pPr>
    </w:p>
    <w:p w14:paraId="56B27020">
      <w:pPr>
        <w:rPr>
          <w:rFonts w:hint="eastAsia"/>
          <w:sz w:val="32"/>
          <w:szCs w:val="32"/>
          <w:lang w:val="en-US" w:eastAsia="zh-CN"/>
        </w:rPr>
      </w:pPr>
      <w:r>
        <w:rPr>
          <w:rFonts w:hint="eastAsia"/>
          <w:sz w:val="32"/>
          <w:szCs w:val="32"/>
          <w:lang w:val="en-US" w:eastAsia="zh-CN"/>
        </w:rPr>
        <w:t>代理机构：陇县政府采购中心</w:t>
      </w:r>
    </w:p>
    <w:p w14:paraId="6BBE41F3">
      <w:pPr>
        <w:rPr>
          <w:rFonts w:hint="eastAsia"/>
          <w:sz w:val="32"/>
          <w:szCs w:val="32"/>
          <w:lang w:val="en-US" w:eastAsia="zh-CN"/>
        </w:rPr>
      </w:pPr>
    </w:p>
    <w:p w14:paraId="1D1DA136">
      <w:pPr>
        <w:rPr>
          <w:rFonts w:hint="eastAsia"/>
          <w:sz w:val="32"/>
          <w:szCs w:val="32"/>
          <w:lang w:val="en-US" w:eastAsia="zh-CN"/>
        </w:rPr>
      </w:pPr>
    </w:p>
    <w:p w14:paraId="76177892">
      <w:pPr>
        <w:rPr>
          <w:rFonts w:hint="eastAsia"/>
          <w:sz w:val="32"/>
          <w:szCs w:val="32"/>
          <w:lang w:val="en-US" w:eastAsia="zh-CN"/>
        </w:rPr>
      </w:pPr>
    </w:p>
    <w:p w14:paraId="2D369DAC">
      <w:pPr>
        <w:rPr>
          <w:rFonts w:hint="eastAsia"/>
          <w:sz w:val="32"/>
          <w:szCs w:val="32"/>
          <w:lang w:val="en-US" w:eastAsia="zh-CN"/>
        </w:rPr>
      </w:pPr>
    </w:p>
    <w:p w14:paraId="02C78438">
      <w:pPr>
        <w:rPr>
          <w:rFonts w:hint="default"/>
          <w:sz w:val="32"/>
          <w:szCs w:val="32"/>
          <w:lang w:val="en-US" w:eastAsia="zh-CN"/>
        </w:rPr>
      </w:pPr>
    </w:p>
    <w:p w14:paraId="1C94D47F">
      <w:pPr>
        <w:jc w:val="center"/>
        <w:rPr>
          <w:rFonts w:hint="eastAsia"/>
          <w:sz w:val="32"/>
          <w:szCs w:val="32"/>
          <w:lang w:val="en-US" w:eastAsia="zh-CN"/>
        </w:rPr>
      </w:pPr>
      <w:r>
        <w:rPr>
          <w:rFonts w:hint="eastAsia"/>
          <w:sz w:val="32"/>
          <w:szCs w:val="32"/>
          <w:lang w:val="en-US" w:eastAsia="zh-CN"/>
        </w:rPr>
        <w:t>2025年9月</w:t>
      </w:r>
    </w:p>
    <w:p w14:paraId="09055AEE">
      <w:pPr>
        <w:rPr>
          <w:rFonts w:hint="eastAsia"/>
          <w:sz w:val="32"/>
          <w:szCs w:val="32"/>
          <w:lang w:val="en-US" w:eastAsia="zh-CN"/>
        </w:rPr>
      </w:pPr>
      <w:r>
        <w:rPr>
          <w:rFonts w:hint="eastAsia"/>
          <w:sz w:val="32"/>
          <w:szCs w:val="32"/>
          <w:lang w:val="en-US" w:eastAsia="zh-CN"/>
        </w:rPr>
        <w:br w:type="page"/>
      </w:r>
    </w:p>
    <w:p w14:paraId="66560F75">
      <w:pPr>
        <w:rPr>
          <w:rFonts w:hint="eastAsia"/>
          <w:lang w:val="en-US" w:eastAsia="zh-CN"/>
        </w:rPr>
      </w:pPr>
    </w:p>
    <w:p w14:paraId="5DB7E4D2">
      <w:pPr>
        <w:rPr>
          <w:rFonts w:hint="eastAsia"/>
          <w:lang w:val="en-US" w:eastAsia="zh-CN"/>
        </w:rPr>
      </w:pPr>
    </w:p>
    <w:p w14:paraId="5225E700">
      <w:pPr>
        <w:spacing w:line="480" w:lineRule="auto"/>
        <w:jc w:val="center"/>
        <w:rPr>
          <w:rFonts w:hint="eastAsia"/>
          <w:sz w:val="32"/>
          <w:szCs w:val="32"/>
          <w:lang w:val="en-US" w:eastAsia="zh-CN"/>
        </w:rPr>
      </w:pPr>
    </w:p>
    <w:p w14:paraId="7E73155B">
      <w:pPr>
        <w:spacing w:line="480" w:lineRule="auto"/>
        <w:jc w:val="center"/>
        <w:rPr>
          <w:rFonts w:hint="eastAsia"/>
          <w:sz w:val="32"/>
          <w:szCs w:val="32"/>
          <w:lang w:val="en-US" w:eastAsia="zh-CN"/>
        </w:rPr>
      </w:pPr>
      <w:r>
        <w:rPr>
          <w:rFonts w:hint="eastAsia"/>
          <w:sz w:val="32"/>
          <w:szCs w:val="32"/>
          <w:lang w:val="en-US" w:eastAsia="zh-CN"/>
        </w:rPr>
        <w:t>目  录</w:t>
      </w:r>
    </w:p>
    <w:p w14:paraId="25259C6B">
      <w:pPr>
        <w:spacing w:line="480" w:lineRule="auto"/>
        <w:rPr>
          <w:rFonts w:hint="eastAsia"/>
          <w:sz w:val="32"/>
          <w:szCs w:val="32"/>
          <w:lang w:val="en-US" w:eastAsia="zh-CN"/>
        </w:rPr>
      </w:pPr>
    </w:p>
    <w:p w14:paraId="19D62222">
      <w:pPr>
        <w:spacing w:line="480" w:lineRule="auto"/>
        <w:rPr>
          <w:rFonts w:hint="eastAsia"/>
          <w:sz w:val="32"/>
          <w:szCs w:val="32"/>
          <w:lang w:val="en-US" w:eastAsia="zh-CN"/>
        </w:rPr>
      </w:pPr>
      <w:r>
        <w:rPr>
          <w:rFonts w:hint="eastAsia"/>
          <w:sz w:val="32"/>
          <w:szCs w:val="32"/>
          <w:lang w:val="en-US" w:eastAsia="zh-CN"/>
        </w:rPr>
        <w:t>第一章　询价公告</w:t>
      </w:r>
    </w:p>
    <w:p w14:paraId="41F7C29E">
      <w:pPr>
        <w:spacing w:line="480" w:lineRule="auto"/>
        <w:rPr>
          <w:rFonts w:hint="eastAsia"/>
          <w:sz w:val="32"/>
          <w:szCs w:val="32"/>
          <w:lang w:val="en-US" w:eastAsia="zh-CN"/>
        </w:rPr>
      </w:pPr>
      <w:r>
        <w:rPr>
          <w:rFonts w:hint="eastAsia"/>
          <w:sz w:val="32"/>
          <w:szCs w:val="32"/>
          <w:lang w:val="en-US" w:eastAsia="zh-CN"/>
        </w:rPr>
        <w:t>第二章　供应商须知</w:t>
      </w:r>
    </w:p>
    <w:p w14:paraId="7300B6D2">
      <w:pPr>
        <w:spacing w:line="480" w:lineRule="auto"/>
        <w:rPr>
          <w:rFonts w:hint="eastAsia"/>
          <w:sz w:val="32"/>
          <w:szCs w:val="32"/>
          <w:lang w:val="en-US" w:eastAsia="zh-CN"/>
        </w:rPr>
      </w:pPr>
      <w:r>
        <w:rPr>
          <w:rFonts w:hint="eastAsia"/>
          <w:sz w:val="32"/>
          <w:szCs w:val="32"/>
          <w:lang w:val="en-US" w:eastAsia="zh-CN"/>
        </w:rPr>
        <w:t>第三章　评审方法</w:t>
      </w:r>
    </w:p>
    <w:p w14:paraId="3E1BA2A0">
      <w:pPr>
        <w:spacing w:line="480" w:lineRule="auto"/>
        <w:rPr>
          <w:rFonts w:hint="eastAsia"/>
          <w:sz w:val="32"/>
          <w:szCs w:val="32"/>
          <w:lang w:val="en-US" w:eastAsia="zh-CN"/>
        </w:rPr>
      </w:pPr>
      <w:r>
        <w:rPr>
          <w:rFonts w:hint="eastAsia"/>
          <w:sz w:val="32"/>
          <w:szCs w:val="32"/>
          <w:lang w:val="en-US" w:eastAsia="zh-CN"/>
        </w:rPr>
        <w:t>第四章　采购内容及要求</w:t>
      </w:r>
    </w:p>
    <w:p w14:paraId="663ACCA0">
      <w:pPr>
        <w:spacing w:line="480" w:lineRule="auto"/>
        <w:rPr>
          <w:rFonts w:hint="eastAsia"/>
          <w:sz w:val="32"/>
          <w:szCs w:val="32"/>
          <w:lang w:val="en-US" w:eastAsia="zh-CN"/>
        </w:rPr>
      </w:pPr>
      <w:r>
        <w:rPr>
          <w:rFonts w:hint="eastAsia"/>
          <w:sz w:val="32"/>
          <w:szCs w:val="32"/>
          <w:lang w:val="en-US" w:eastAsia="zh-CN"/>
        </w:rPr>
        <w:t>第五章　合同条款及格式</w:t>
      </w:r>
    </w:p>
    <w:p w14:paraId="47285D96">
      <w:pPr>
        <w:spacing w:line="480" w:lineRule="auto"/>
        <w:rPr>
          <w:rFonts w:hint="eastAsia"/>
          <w:sz w:val="32"/>
          <w:szCs w:val="32"/>
          <w:lang w:val="en-US" w:eastAsia="zh-CN"/>
        </w:rPr>
      </w:pPr>
      <w:r>
        <w:rPr>
          <w:rFonts w:hint="eastAsia"/>
          <w:sz w:val="32"/>
          <w:szCs w:val="32"/>
          <w:lang w:val="en-US" w:eastAsia="zh-CN"/>
        </w:rPr>
        <w:t>第六章　响应文件格式</w:t>
      </w:r>
    </w:p>
    <w:p w14:paraId="1D1B0F4F">
      <w:pPr>
        <w:rPr>
          <w:rFonts w:hint="eastAsia"/>
          <w:lang w:val="en-US" w:eastAsia="zh-CN"/>
        </w:rPr>
      </w:pPr>
      <w:r>
        <w:rPr>
          <w:rFonts w:hint="eastAsia"/>
          <w:lang w:val="en-US" w:eastAsia="zh-CN"/>
        </w:rPr>
        <w:br w:type="page"/>
      </w:r>
    </w:p>
    <w:p w14:paraId="323EA392">
      <w:pPr>
        <w:spacing w:line="48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w:t>
      </w:r>
      <w:bookmarkStart w:id="0" w:name="bookmark1"/>
      <w:bookmarkEnd w:id="0"/>
      <w:r>
        <w:rPr>
          <w:rFonts w:hint="eastAsia" w:ascii="黑体" w:hAnsi="黑体" w:eastAsia="黑体" w:cs="黑体"/>
          <w:sz w:val="32"/>
          <w:szCs w:val="32"/>
          <w:lang w:val="en-US" w:eastAsia="zh-CN"/>
        </w:rPr>
        <w:t xml:space="preserve"> 询价公告</w:t>
      </w:r>
    </w:p>
    <w:p w14:paraId="0B433820">
      <w:pPr>
        <w:keepNext w:val="0"/>
        <w:keepLines w:val="0"/>
        <w:pageBreakBefore w:val="0"/>
        <w:widowControl w:val="0"/>
        <w:kinsoku/>
        <w:wordWrap/>
        <w:overflowPunct/>
        <w:topLinePunct w:val="0"/>
        <w:autoSpaceDE/>
        <w:autoSpaceDN/>
        <w:bidi w:val="0"/>
        <w:adjustRightInd/>
        <w:snapToGrid/>
        <w:textAlignment w:val="auto"/>
        <w:rPr>
          <w:rFonts w:hint="eastAsia"/>
          <w:sz w:val="28"/>
          <w:szCs w:val="28"/>
        </w:rPr>
      </w:pPr>
      <w:r>
        <w:rPr>
          <w:rFonts w:hint="eastAsia"/>
          <w:sz w:val="28"/>
          <w:szCs w:val="28"/>
        </w:rPr>
        <w:t>项目概况</w:t>
      </w:r>
    </w:p>
    <w:p w14:paraId="65951D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eastAsia="zh-CN"/>
        </w:rPr>
        <w:t>陇县中学学生公寓楼内设添置项目</w:t>
      </w:r>
      <w:r>
        <w:rPr>
          <w:rFonts w:hint="eastAsia"/>
          <w:sz w:val="28"/>
          <w:szCs w:val="28"/>
        </w:rPr>
        <w:t>的潜在供应商应在</w:t>
      </w:r>
      <w:r>
        <w:rPr>
          <w:rFonts w:hint="eastAsia"/>
          <w:sz w:val="28"/>
          <w:szCs w:val="28"/>
          <w:lang w:val="en-US" w:eastAsia="zh-CN"/>
        </w:rPr>
        <w:t>“陕西省公共资源交易中心（陕西省·宝鸡市）</w:t>
      </w:r>
      <w:r>
        <w:rPr>
          <w:rFonts w:hint="eastAsia"/>
          <w:sz w:val="28"/>
          <w:szCs w:val="28"/>
        </w:rPr>
        <w:t>下载获取采购文件，并于2025年</w:t>
      </w:r>
      <w:r>
        <w:rPr>
          <w:rFonts w:hint="eastAsia"/>
          <w:sz w:val="28"/>
          <w:szCs w:val="28"/>
          <w:highlight w:val="none"/>
        </w:rPr>
        <w:t>0</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24</w:t>
      </w:r>
      <w:r>
        <w:rPr>
          <w:rFonts w:hint="eastAsia"/>
          <w:sz w:val="28"/>
          <w:szCs w:val="28"/>
          <w:highlight w:val="none"/>
        </w:rPr>
        <w:t>日</w:t>
      </w:r>
      <w:r>
        <w:rPr>
          <w:rFonts w:hint="eastAsia"/>
          <w:sz w:val="28"/>
          <w:szCs w:val="28"/>
        </w:rPr>
        <w:t>09时00分（北京时间）前提交响应文件。</w:t>
      </w:r>
    </w:p>
    <w:p w14:paraId="70824DC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一、项目基本情况</w:t>
      </w:r>
    </w:p>
    <w:p w14:paraId="2C8C0F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项目编号：</w:t>
      </w:r>
      <w:r>
        <w:rPr>
          <w:rFonts w:hint="eastAsia"/>
          <w:sz w:val="28"/>
          <w:szCs w:val="28"/>
          <w:lang w:val="en-US" w:eastAsia="zh-CN"/>
        </w:rPr>
        <w:t>LXZFCGZX-2025260101</w:t>
      </w:r>
    </w:p>
    <w:p w14:paraId="16E58A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项目名称：</w:t>
      </w:r>
      <w:r>
        <w:rPr>
          <w:rFonts w:hint="eastAsia"/>
          <w:sz w:val="28"/>
          <w:szCs w:val="28"/>
          <w:lang w:eastAsia="zh-CN"/>
        </w:rPr>
        <w:t>陇县中学学生公寓楼内设添置项目</w:t>
      </w:r>
    </w:p>
    <w:p w14:paraId="09E671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rPr>
        <w:t>采购方式：</w:t>
      </w:r>
      <w:r>
        <w:rPr>
          <w:rFonts w:hint="eastAsia"/>
          <w:sz w:val="28"/>
          <w:szCs w:val="28"/>
          <w:lang w:eastAsia="zh-CN"/>
        </w:rPr>
        <w:t>询价</w:t>
      </w:r>
    </w:p>
    <w:p w14:paraId="7BC3FE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合同包1(</w:t>
      </w:r>
      <w:r>
        <w:rPr>
          <w:rFonts w:hint="eastAsia"/>
          <w:sz w:val="28"/>
          <w:szCs w:val="28"/>
          <w:lang w:eastAsia="zh-CN"/>
        </w:rPr>
        <w:t>陇县中学学生公寓楼内设添置项目</w:t>
      </w:r>
      <w:r>
        <w:rPr>
          <w:rFonts w:hint="eastAsia"/>
          <w:sz w:val="28"/>
          <w:szCs w:val="28"/>
        </w:rPr>
        <w:t>):</w:t>
      </w:r>
    </w:p>
    <w:p w14:paraId="259DF9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highlight w:val="none"/>
        </w:rPr>
      </w:pPr>
      <w:r>
        <w:rPr>
          <w:rFonts w:hint="eastAsia"/>
          <w:sz w:val="28"/>
          <w:szCs w:val="28"/>
          <w:highlight w:val="none"/>
        </w:rPr>
        <w:t>合同包预算金额：</w:t>
      </w:r>
      <w:r>
        <w:rPr>
          <w:rFonts w:hint="eastAsia"/>
          <w:sz w:val="28"/>
          <w:szCs w:val="28"/>
          <w:highlight w:val="none"/>
          <w:lang w:val="en-US" w:eastAsia="zh-CN"/>
        </w:rPr>
        <w:t>950000.00</w:t>
      </w:r>
      <w:r>
        <w:rPr>
          <w:rFonts w:hint="eastAsia"/>
          <w:sz w:val="28"/>
          <w:szCs w:val="28"/>
          <w:highlight w:val="none"/>
        </w:rPr>
        <w:t>元</w:t>
      </w:r>
    </w:p>
    <w:p w14:paraId="237E34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highlight w:val="none"/>
        </w:rPr>
      </w:pPr>
      <w:r>
        <w:rPr>
          <w:rFonts w:hint="eastAsia"/>
          <w:sz w:val="28"/>
          <w:szCs w:val="28"/>
          <w:highlight w:val="none"/>
        </w:rPr>
        <w:t>合同包最高限价：</w:t>
      </w:r>
      <w:r>
        <w:rPr>
          <w:rFonts w:hint="eastAsia"/>
          <w:sz w:val="28"/>
          <w:szCs w:val="28"/>
          <w:highlight w:val="none"/>
          <w:lang w:val="en-US" w:eastAsia="zh-CN"/>
        </w:rPr>
        <w:t>918000.00</w:t>
      </w:r>
      <w:r>
        <w:rPr>
          <w:rFonts w:hint="eastAsia"/>
          <w:sz w:val="28"/>
          <w:szCs w:val="28"/>
          <w:highlight w:val="none"/>
        </w:rPr>
        <w:t>元</w:t>
      </w:r>
    </w:p>
    <w:tbl>
      <w:tblPr>
        <w:tblStyle w:val="32"/>
        <w:tblW w:w="9416"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609"/>
        <w:gridCol w:w="1203"/>
        <w:gridCol w:w="2008"/>
        <w:gridCol w:w="1400"/>
        <w:gridCol w:w="1524"/>
        <w:gridCol w:w="1380"/>
        <w:gridCol w:w="1292"/>
      </w:tblGrid>
      <w:tr w14:paraId="3C2E77E9">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57" w:hRule="atLeast"/>
        </w:trPr>
        <w:tc>
          <w:tcPr>
            <w:tcW w:w="609" w:type="dxa"/>
            <w:vAlign w:val="top"/>
          </w:tcPr>
          <w:p w14:paraId="0EADAA92">
            <w:pPr>
              <w:pStyle w:val="33"/>
              <w:keepNext w:val="0"/>
              <w:keepLines w:val="0"/>
              <w:pageBreakBefore w:val="0"/>
              <w:widowControl w:val="0"/>
              <w:kinsoku/>
              <w:wordWrap/>
              <w:overflowPunct/>
              <w:topLinePunct w:val="0"/>
              <w:autoSpaceDE/>
              <w:autoSpaceDN/>
              <w:bidi w:val="0"/>
              <w:adjustRightInd/>
              <w:snapToGrid/>
              <w:spacing w:line="240" w:lineRule="auto"/>
              <w:ind w:right="161"/>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1"/>
                <w:sz w:val="24"/>
                <w:szCs w:val="24"/>
              </w:rPr>
              <w:t>品目</w:t>
            </w:r>
            <w:r>
              <w:rPr>
                <w:rFonts w:hint="eastAsia" w:ascii="宋体" w:hAnsi="宋体" w:eastAsia="宋体" w:cs="宋体"/>
                <w:b w:val="0"/>
                <w:bCs w:val="0"/>
                <w:spacing w:val="-2"/>
                <w:sz w:val="24"/>
                <w:szCs w:val="24"/>
              </w:rPr>
              <w:t>号</w:t>
            </w:r>
          </w:p>
        </w:tc>
        <w:tc>
          <w:tcPr>
            <w:tcW w:w="1203" w:type="dxa"/>
            <w:vAlign w:val="top"/>
          </w:tcPr>
          <w:p w14:paraId="7BC8B219">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品目名称</w:t>
            </w:r>
          </w:p>
        </w:tc>
        <w:tc>
          <w:tcPr>
            <w:tcW w:w="2008" w:type="dxa"/>
            <w:vAlign w:val="top"/>
          </w:tcPr>
          <w:p w14:paraId="37A0838C">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采购标的</w:t>
            </w:r>
          </w:p>
        </w:tc>
        <w:tc>
          <w:tcPr>
            <w:tcW w:w="1400" w:type="dxa"/>
            <w:vAlign w:val="top"/>
          </w:tcPr>
          <w:p w14:paraId="12784F71">
            <w:pPr>
              <w:pStyle w:val="33"/>
              <w:keepNext w:val="0"/>
              <w:keepLines w:val="0"/>
              <w:pageBreakBefore w:val="0"/>
              <w:widowControl w:val="0"/>
              <w:kinsoku/>
              <w:wordWrap/>
              <w:overflowPunct/>
              <w:topLinePunct w:val="0"/>
              <w:autoSpaceDE/>
              <w:autoSpaceDN/>
              <w:bidi w:val="0"/>
              <w:adjustRightInd/>
              <w:snapToGrid/>
              <w:spacing w:line="240" w:lineRule="auto"/>
              <w:ind w:right="159"/>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数量</w:t>
            </w:r>
          </w:p>
          <w:p w14:paraId="50685D43">
            <w:pPr>
              <w:pStyle w:val="33"/>
              <w:keepNext w:val="0"/>
              <w:keepLines w:val="0"/>
              <w:pageBreakBefore w:val="0"/>
              <w:widowControl w:val="0"/>
              <w:kinsoku/>
              <w:wordWrap/>
              <w:overflowPunct/>
              <w:topLinePunct w:val="0"/>
              <w:autoSpaceDE/>
              <w:autoSpaceDN/>
              <w:bidi w:val="0"/>
              <w:adjustRightInd/>
              <w:snapToGrid/>
              <w:spacing w:line="240" w:lineRule="auto"/>
              <w:ind w:right="159"/>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（单位）</w:t>
            </w:r>
          </w:p>
        </w:tc>
        <w:tc>
          <w:tcPr>
            <w:tcW w:w="1524" w:type="dxa"/>
            <w:vAlign w:val="top"/>
          </w:tcPr>
          <w:p w14:paraId="2F545C6F">
            <w:pPr>
              <w:pStyle w:val="3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技术规格、参数及</w:t>
            </w:r>
            <w:r>
              <w:rPr>
                <w:rFonts w:hint="eastAsia" w:ascii="宋体" w:hAnsi="宋体" w:eastAsia="宋体" w:cs="宋体"/>
                <w:b w:val="0"/>
                <w:bCs w:val="0"/>
                <w:spacing w:val="-5"/>
                <w:sz w:val="24"/>
                <w:szCs w:val="24"/>
              </w:rPr>
              <w:t>要求</w:t>
            </w:r>
          </w:p>
        </w:tc>
        <w:tc>
          <w:tcPr>
            <w:tcW w:w="1380" w:type="dxa"/>
            <w:vAlign w:val="top"/>
          </w:tcPr>
          <w:p w14:paraId="050772B3">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品目预算</w:t>
            </w:r>
          </w:p>
          <w:p w14:paraId="490310BA">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4"/>
                <w:sz w:val="24"/>
                <w:szCs w:val="24"/>
              </w:rPr>
              <w:t>(元)</w:t>
            </w:r>
          </w:p>
        </w:tc>
        <w:tc>
          <w:tcPr>
            <w:tcW w:w="1292" w:type="dxa"/>
            <w:vAlign w:val="top"/>
          </w:tcPr>
          <w:p w14:paraId="1B3B61B2">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最高限价</w:t>
            </w:r>
          </w:p>
          <w:p w14:paraId="0D949AD0">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4"/>
                <w:sz w:val="24"/>
                <w:szCs w:val="24"/>
              </w:rPr>
              <w:t>(元)</w:t>
            </w:r>
          </w:p>
        </w:tc>
      </w:tr>
      <w:tr w14:paraId="334E862B">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785" w:hRule="atLeast"/>
        </w:trPr>
        <w:tc>
          <w:tcPr>
            <w:tcW w:w="609" w:type="dxa"/>
            <w:vAlign w:val="top"/>
          </w:tcPr>
          <w:p w14:paraId="20B068CF">
            <w:pPr>
              <w:pStyle w:val="33"/>
              <w:keepNext w:val="0"/>
              <w:keepLines w:val="0"/>
              <w:pageBreakBefore w:val="0"/>
              <w:widowControl w:val="0"/>
              <w:kinsoku/>
              <w:wordWrap/>
              <w:overflowPunct/>
              <w:topLinePunct w:val="0"/>
              <w:autoSpaceDE/>
              <w:autoSpaceDN/>
              <w:bidi w:val="0"/>
              <w:adjustRightInd/>
              <w:snapToGrid/>
              <w:spacing w:line="240" w:lineRule="auto"/>
              <w:ind w:left="221" w:firstLine="0" w:firstLineChars="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1-1</w:t>
            </w:r>
          </w:p>
        </w:tc>
        <w:tc>
          <w:tcPr>
            <w:tcW w:w="1203" w:type="dxa"/>
            <w:vAlign w:val="top"/>
          </w:tcPr>
          <w:p w14:paraId="77DE1946">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其他床上装具</w:t>
            </w:r>
          </w:p>
        </w:tc>
        <w:tc>
          <w:tcPr>
            <w:tcW w:w="2008" w:type="dxa"/>
            <w:vAlign w:val="top"/>
          </w:tcPr>
          <w:p w14:paraId="716E30CE">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cs="宋体"/>
                <w:spacing w:val="-1"/>
                <w:sz w:val="24"/>
                <w:szCs w:val="24"/>
                <w:lang w:eastAsia="zh-CN"/>
              </w:rPr>
              <w:t>陇县中学学生公寓楼内设添置项目</w:t>
            </w:r>
          </w:p>
        </w:tc>
        <w:tc>
          <w:tcPr>
            <w:tcW w:w="1400" w:type="dxa"/>
            <w:vAlign w:val="top"/>
          </w:tcPr>
          <w:p w14:paraId="5E3C3B29">
            <w:pPr>
              <w:pStyle w:val="33"/>
              <w:keepNext w:val="0"/>
              <w:keepLines w:val="0"/>
              <w:pageBreakBefore w:val="0"/>
              <w:widowControl w:val="0"/>
              <w:kinsoku/>
              <w:wordWrap/>
              <w:overflowPunct/>
              <w:topLinePunct w:val="0"/>
              <w:autoSpaceDE/>
              <w:autoSpaceDN/>
              <w:bidi w:val="0"/>
              <w:adjustRightInd/>
              <w:snapToGrid/>
              <w:spacing w:line="240" w:lineRule="auto"/>
              <w:ind w:left="299" w:firstLine="0" w:firstLineChars="0"/>
              <w:jc w:val="both"/>
              <w:textAlignment w:val="auto"/>
              <w:rPr>
                <w:rFonts w:hint="eastAsia" w:ascii="宋体" w:hAnsi="宋体" w:eastAsia="宋体" w:cs="宋体"/>
                <w:sz w:val="24"/>
                <w:szCs w:val="24"/>
              </w:rPr>
            </w:pPr>
            <w:r>
              <w:rPr>
                <w:rFonts w:hint="eastAsia" w:ascii="宋体" w:hAnsi="宋体" w:eastAsia="宋体" w:cs="宋体"/>
                <w:spacing w:val="-5"/>
                <w:sz w:val="24"/>
                <w:szCs w:val="24"/>
              </w:rPr>
              <w:t>1(项)</w:t>
            </w:r>
          </w:p>
        </w:tc>
        <w:tc>
          <w:tcPr>
            <w:tcW w:w="1524" w:type="dxa"/>
            <w:vAlign w:val="top"/>
          </w:tcPr>
          <w:p w14:paraId="500EA410">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详见采购文件</w:t>
            </w:r>
          </w:p>
        </w:tc>
        <w:tc>
          <w:tcPr>
            <w:tcW w:w="1380" w:type="dxa"/>
            <w:vAlign w:val="top"/>
          </w:tcPr>
          <w:p w14:paraId="296043D0">
            <w:pPr>
              <w:pStyle w:val="33"/>
              <w:keepNext w:val="0"/>
              <w:keepLines w:val="0"/>
              <w:pageBreakBefore w:val="0"/>
              <w:widowControl w:val="0"/>
              <w:kinsoku/>
              <w:wordWrap/>
              <w:overflowPunct/>
              <w:topLinePunct w:val="0"/>
              <w:autoSpaceDE/>
              <w:autoSpaceDN/>
              <w:bidi w:val="0"/>
              <w:adjustRightInd/>
              <w:snapToGrid/>
              <w:spacing w:line="240" w:lineRule="auto"/>
              <w:ind w:left="113" w:firstLine="0" w:firstLineChars="0"/>
              <w:jc w:val="both"/>
              <w:textAlignment w:val="auto"/>
              <w:rPr>
                <w:rFonts w:hint="eastAsia" w:ascii="宋体" w:hAnsi="宋体" w:eastAsia="宋体" w:cs="宋体"/>
                <w:sz w:val="24"/>
                <w:szCs w:val="24"/>
                <w:highlight w:val="yellow"/>
                <w:lang w:val="en-US" w:eastAsia="zh-CN"/>
              </w:rPr>
            </w:pPr>
            <w:r>
              <w:rPr>
                <w:rFonts w:hint="eastAsia" w:cs="宋体"/>
                <w:spacing w:val="-2"/>
                <w:sz w:val="24"/>
                <w:szCs w:val="24"/>
                <w:highlight w:val="none"/>
                <w:lang w:val="en-US" w:eastAsia="zh-CN"/>
              </w:rPr>
              <w:t>95</w:t>
            </w:r>
            <w:r>
              <w:rPr>
                <w:rFonts w:hint="eastAsia" w:ascii="宋体" w:hAnsi="宋体" w:eastAsia="宋体" w:cs="宋体"/>
                <w:spacing w:val="-2"/>
                <w:sz w:val="24"/>
                <w:szCs w:val="24"/>
                <w:highlight w:val="none"/>
                <w:lang w:val="en-US" w:eastAsia="zh-CN"/>
              </w:rPr>
              <w:t>0000.00</w:t>
            </w:r>
          </w:p>
        </w:tc>
        <w:tc>
          <w:tcPr>
            <w:tcW w:w="1292" w:type="dxa"/>
            <w:vAlign w:val="top"/>
          </w:tcPr>
          <w:p w14:paraId="5588ED01">
            <w:pPr>
              <w:pStyle w:val="33"/>
              <w:keepNext w:val="0"/>
              <w:keepLines w:val="0"/>
              <w:pageBreakBefore w:val="0"/>
              <w:widowControl w:val="0"/>
              <w:kinsoku/>
              <w:wordWrap/>
              <w:overflowPunct/>
              <w:topLinePunct w:val="0"/>
              <w:autoSpaceDE/>
              <w:autoSpaceDN/>
              <w:bidi w:val="0"/>
              <w:adjustRightInd/>
              <w:snapToGrid/>
              <w:spacing w:line="240" w:lineRule="auto"/>
              <w:ind w:left="114" w:firstLine="0" w:firstLineChars="0"/>
              <w:jc w:val="both"/>
              <w:textAlignment w:val="auto"/>
              <w:rPr>
                <w:rFonts w:hint="eastAsia" w:ascii="宋体" w:hAnsi="宋体" w:eastAsia="宋体" w:cs="宋体"/>
                <w:sz w:val="24"/>
                <w:szCs w:val="24"/>
                <w:highlight w:val="yellow"/>
                <w:lang w:val="en-US" w:eastAsia="zh-CN"/>
              </w:rPr>
            </w:pPr>
            <w:r>
              <w:rPr>
                <w:rFonts w:hint="eastAsia" w:cs="宋体"/>
                <w:spacing w:val="-2"/>
                <w:sz w:val="24"/>
                <w:szCs w:val="24"/>
                <w:highlight w:val="none"/>
                <w:lang w:val="en-US" w:eastAsia="zh-CN"/>
              </w:rPr>
              <w:t>918</w:t>
            </w:r>
            <w:r>
              <w:rPr>
                <w:rFonts w:hint="eastAsia" w:ascii="宋体" w:hAnsi="宋体" w:eastAsia="宋体" w:cs="宋体"/>
                <w:spacing w:val="-2"/>
                <w:sz w:val="24"/>
                <w:szCs w:val="24"/>
                <w:highlight w:val="none"/>
                <w:lang w:val="en-US" w:eastAsia="zh-CN"/>
              </w:rPr>
              <w:t>000.00</w:t>
            </w:r>
          </w:p>
        </w:tc>
      </w:tr>
    </w:tbl>
    <w:p w14:paraId="7A17E3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rPr>
        <w:t>本合同包不接受联合体投标</w:t>
      </w:r>
      <w:r>
        <w:rPr>
          <w:rFonts w:hint="eastAsia"/>
          <w:sz w:val="28"/>
          <w:szCs w:val="28"/>
          <w:lang w:val="en-US" w:eastAsia="zh-CN"/>
        </w:rPr>
        <w:t>；</w:t>
      </w:r>
    </w:p>
    <w:p w14:paraId="7AB242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rPr>
      </w:pPr>
      <w:r>
        <w:rPr>
          <w:rFonts w:hint="eastAsia"/>
          <w:sz w:val="28"/>
          <w:szCs w:val="28"/>
        </w:rPr>
        <w:t>合同履行期限：</w:t>
      </w:r>
      <w:r>
        <w:rPr>
          <w:rFonts w:hint="eastAsia"/>
          <w:sz w:val="28"/>
          <w:szCs w:val="28"/>
          <w:lang w:val="en-US" w:eastAsia="zh-CN"/>
        </w:rPr>
        <w:t>10日历天</w:t>
      </w:r>
    </w:p>
    <w:p w14:paraId="042980B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二、申请人的资格要求：</w:t>
      </w:r>
    </w:p>
    <w:p w14:paraId="1CE6D9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1.满足《中华人民共和国政府采购法》第二十二条规定;</w:t>
      </w:r>
    </w:p>
    <w:p w14:paraId="66DC2C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2.落实政府采购政策需满足的资格要求：</w:t>
      </w:r>
    </w:p>
    <w:p w14:paraId="511D1C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①《财政部国家发展改革委关于印发〈节能产品政府采购实施意见〉的通知》(财库〔2004〕185 号)；</w:t>
      </w:r>
    </w:p>
    <w:p w14:paraId="7FD8F4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②《国务院办公厅关于建立政府强制采购节能产品制度的通知》(国办发〔2007〕51 号)；</w:t>
      </w:r>
    </w:p>
    <w:p w14:paraId="51700A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③《财政部环保总局关于环境标志产品政府采购实施的意见》(财库〔2006〕90 号)；</w:t>
      </w:r>
    </w:p>
    <w:p w14:paraId="3A20E3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④《财政部司法部关于政府采购支持监狱企业发展有关问题的通知》(财库〔2014〕68 号)；</w:t>
      </w:r>
    </w:p>
    <w:p w14:paraId="47B173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⑤《三部门联合发布关于促进残疾人就业政府采购政策的通知》(财库〔2017〕141 号)；</w:t>
      </w:r>
    </w:p>
    <w:p w14:paraId="7F2AA7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⑥《财政部发展改革委生态环境部市场监管总局关于   调整优化节能产品、环境标志产品政府采购执行机制的通知》(财库〔2019〕9 号)；</w:t>
      </w:r>
    </w:p>
    <w:p w14:paraId="755598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⑦《关于运用政府采购政策支持乡村产业振兴的通知》(财库〔2021〕19 号)；</w:t>
      </w:r>
    </w:p>
    <w:p w14:paraId="684C65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⑧《政府采购促进中小企业发展管理办法》(财库〔2020〕46 号)；</w:t>
      </w:r>
    </w:p>
    <w:p w14:paraId="5CF33D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⑨陕西省财政厅关于印发《陕西省中小企业政府采购信用融资办法》(陕财办采〔2018〕23 号)；</w:t>
      </w:r>
    </w:p>
    <w:p w14:paraId="78B924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⑩《关于进一步加大政府采购支持中小企业力度的通知》 (财库〔2023〕19 号)。</w:t>
      </w:r>
    </w:p>
    <w:p w14:paraId="4D23D2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3.本项目的特定资格要求：</w:t>
      </w:r>
    </w:p>
    <w:p w14:paraId="1AED8A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 xml:space="preserve">①投标人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 </w:t>
      </w:r>
    </w:p>
    <w:p w14:paraId="349D39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 xml:space="preserve">②投标人提供法定代表人授权委托书、身份证复印件及被授权人身份证原件、复印件（复印件须加盖公章），法定代表人直接投标只须提交其身份证明； </w:t>
      </w:r>
    </w:p>
    <w:p w14:paraId="703D9F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 xml:space="preserve">③财务报告：提供开户银行出具的资信证明或具有财务审计资质的单位出具的2024年财务报告（至少包括资产负债表和利润表，成立时间至提交投标文件截止时间不足一年的可提供成立后任意时段的资产负债表）； </w:t>
      </w:r>
    </w:p>
    <w:p w14:paraId="1C2A2A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 xml:space="preserve">④税收缴纳证明：提供投标截止时间前三个月内，至少一个月已缴纳的纳税证明或完税证明，依法免税的投标人应提供相关证明材料； </w:t>
      </w:r>
    </w:p>
    <w:p w14:paraId="01935D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 xml:space="preserve">⑤社会保障资金缴纳证明：提供投标截止时间前三个月内，至少一个月已缴存的社会保障资金缴存单据或社保机构开具的社会保险参保缴费情况证明；依法不需要缴纳社会保障资金的投标人应提供相关文件证明； </w:t>
      </w:r>
    </w:p>
    <w:p w14:paraId="6981B7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⑥参加政府采购活动前三年内，在经营活动中没有重大违法记录的书面声明；</w:t>
      </w:r>
    </w:p>
    <w:p w14:paraId="013700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⑦投标人不得为“信用中国”网站（www.creditchina.gov.cn）中失信被执行人和重大税收违法失信主体名单的投标人，不得为中国政府采购网（www.ccgp.gov.cn）政府采购严重违法失信行为记录名单中被财政部门禁止参加政府采购活动的投标人</w:t>
      </w:r>
      <w:r>
        <w:rPr>
          <w:rFonts w:hint="eastAsia"/>
          <w:sz w:val="28"/>
          <w:szCs w:val="28"/>
          <w:lang w:eastAsia="zh-CN"/>
        </w:rPr>
        <w:t>（</w:t>
      </w:r>
      <w:r>
        <w:rPr>
          <w:rFonts w:hint="eastAsia"/>
          <w:sz w:val="28"/>
          <w:szCs w:val="28"/>
          <w:lang w:val="en-US" w:eastAsia="zh-CN"/>
        </w:rPr>
        <w:t>提供声明函</w:t>
      </w:r>
      <w:r>
        <w:rPr>
          <w:rFonts w:hint="eastAsia"/>
          <w:sz w:val="28"/>
          <w:szCs w:val="28"/>
          <w:lang w:eastAsia="zh-CN"/>
        </w:rPr>
        <w:t>）</w:t>
      </w:r>
      <w:r>
        <w:rPr>
          <w:rFonts w:hint="eastAsia"/>
          <w:sz w:val="28"/>
          <w:szCs w:val="28"/>
        </w:rPr>
        <w:t xml:space="preserve">； </w:t>
      </w:r>
    </w:p>
    <w:p w14:paraId="3C36E1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⑧单位负责人为同一人或者存在控股、管理关系的不同单位，不得参加同一标段投标或者未划分标段的同一招标项目投标</w:t>
      </w:r>
      <w:r>
        <w:rPr>
          <w:rFonts w:hint="eastAsia"/>
          <w:sz w:val="28"/>
          <w:szCs w:val="28"/>
          <w:lang w:eastAsia="zh-CN"/>
        </w:rPr>
        <w:t>（</w:t>
      </w:r>
      <w:r>
        <w:rPr>
          <w:rFonts w:hint="eastAsia"/>
          <w:sz w:val="28"/>
          <w:szCs w:val="28"/>
          <w:lang w:val="en-US" w:eastAsia="zh-CN"/>
        </w:rPr>
        <w:t>提供局面承诺书</w:t>
      </w:r>
      <w:r>
        <w:rPr>
          <w:rFonts w:hint="eastAsia"/>
          <w:sz w:val="28"/>
          <w:szCs w:val="28"/>
          <w:lang w:eastAsia="zh-CN"/>
        </w:rPr>
        <w:t>）</w:t>
      </w:r>
      <w:r>
        <w:rPr>
          <w:rFonts w:hint="eastAsia"/>
          <w:sz w:val="28"/>
          <w:szCs w:val="28"/>
        </w:rPr>
        <w:t>。</w:t>
      </w:r>
    </w:p>
    <w:p w14:paraId="57EB82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highlight w:val="none"/>
        </w:rPr>
      </w:pPr>
      <w:r>
        <w:rPr>
          <w:rFonts w:hint="eastAsia"/>
          <w:sz w:val="28"/>
          <w:szCs w:val="28"/>
          <w:highlight w:val="none"/>
        </w:rPr>
        <w:t>⑨本项目专门面向中小企业采购</w:t>
      </w:r>
      <w:r>
        <w:rPr>
          <w:rFonts w:hint="eastAsia"/>
          <w:sz w:val="28"/>
          <w:szCs w:val="28"/>
          <w:highlight w:val="none"/>
          <w:lang w:eastAsia="zh-CN"/>
        </w:rPr>
        <w:t>（</w:t>
      </w:r>
      <w:r>
        <w:rPr>
          <w:rFonts w:hint="eastAsia"/>
          <w:sz w:val="28"/>
          <w:szCs w:val="28"/>
          <w:highlight w:val="none"/>
          <w:lang w:val="en-US" w:eastAsia="zh-CN"/>
        </w:rPr>
        <w:t>投标人提供的货物必须全部由中小企业、残疾人福利性单位、监狱企业制造</w:t>
      </w:r>
      <w:r>
        <w:rPr>
          <w:rFonts w:hint="eastAsia"/>
          <w:sz w:val="28"/>
          <w:szCs w:val="28"/>
          <w:highlight w:val="none"/>
          <w:lang w:eastAsia="zh-CN"/>
        </w:rPr>
        <w:t>）</w:t>
      </w:r>
      <w:r>
        <w:rPr>
          <w:rFonts w:hint="eastAsia"/>
          <w:sz w:val="28"/>
          <w:szCs w:val="28"/>
          <w:highlight w:val="none"/>
        </w:rPr>
        <w:t>。</w:t>
      </w:r>
    </w:p>
    <w:p w14:paraId="5D8A354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三、获取采购文件</w:t>
      </w:r>
    </w:p>
    <w:p w14:paraId="5D03FC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时间</w:t>
      </w:r>
      <w:r>
        <w:rPr>
          <w:rFonts w:hint="eastAsia"/>
          <w:sz w:val="28"/>
          <w:szCs w:val="28"/>
          <w:lang w:eastAsia="zh-CN"/>
        </w:rPr>
        <w:t>：</w:t>
      </w:r>
      <w:r>
        <w:rPr>
          <w:rFonts w:hint="eastAsia"/>
          <w:sz w:val="28"/>
          <w:szCs w:val="28"/>
          <w:highlight w:val="none"/>
        </w:rPr>
        <w:t>2025年0</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19</w:t>
      </w:r>
      <w:r>
        <w:rPr>
          <w:rFonts w:hint="eastAsia"/>
          <w:sz w:val="28"/>
          <w:szCs w:val="28"/>
          <w:highlight w:val="none"/>
        </w:rPr>
        <w:t>日至2025年0</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23</w:t>
      </w:r>
      <w:r>
        <w:rPr>
          <w:rFonts w:hint="eastAsia"/>
          <w:sz w:val="28"/>
          <w:szCs w:val="28"/>
          <w:highlight w:val="none"/>
        </w:rPr>
        <w:t>日</w:t>
      </w:r>
      <w:r>
        <w:rPr>
          <w:rFonts w:hint="eastAsia"/>
          <w:sz w:val="28"/>
          <w:szCs w:val="28"/>
        </w:rPr>
        <w:t xml:space="preserve"> ，每天上午 0</w:t>
      </w:r>
      <w:r>
        <w:rPr>
          <w:rFonts w:hint="eastAsia"/>
          <w:sz w:val="28"/>
          <w:szCs w:val="28"/>
          <w:lang w:val="en-US" w:eastAsia="zh-CN"/>
        </w:rPr>
        <w:t>8</w:t>
      </w:r>
      <w:r>
        <w:rPr>
          <w:rFonts w:hint="eastAsia"/>
          <w:sz w:val="28"/>
          <w:szCs w:val="28"/>
        </w:rPr>
        <w:t>:00:00 至 12:00:00 ，下午 1</w:t>
      </w:r>
      <w:r>
        <w:rPr>
          <w:rFonts w:hint="eastAsia"/>
          <w:sz w:val="28"/>
          <w:szCs w:val="28"/>
          <w:lang w:val="en-US" w:eastAsia="zh-CN"/>
        </w:rPr>
        <w:t>4</w:t>
      </w:r>
      <w:r>
        <w:rPr>
          <w:rFonts w:hint="eastAsia"/>
          <w:sz w:val="28"/>
          <w:szCs w:val="28"/>
        </w:rPr>
        <w:t>:00:00 至 1</w:t>
      </w:r>
      <w:r>
        <w:rPr>
          <w:rFonts w:hint="eastAsia"/>
          <w:sz w:val="28"/>
          <w:szCs w:val="28"/>
          <w:lang w:val="en-US" w:eastAsia="zh-CN"/>
        </w:rPr>
        <w:t>8</w:t>
      </w:r>
      <w:r>
        <w:rPr>
          <w:rFonts w:hint="eastAsia"/>
          <w:sz w:val="28"/>
          <w:szCs w:val="28"/>
        </w:rPr>
        <w:t>:00:00 （北京时间）</w:t>
      </w:r>
    </w:p>
    <w:p w14:paraId="285C61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途径：全国公共资源交易平台（陕西省·宝鸡市）</w:t>
      </w:r>
    </w:p>
    <w:p w14:paraId="641920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rPr>
        <w:t>方式：在线获取</w:t>
      </w:r>
      <w:r>
        <w:rPr>
          <w:rFonts w:hint="eastAsia"/>
          <w:sz w:val="28"/>
          <w:szCs w:val="28"/>
          <w:lang w:val="en-US" w:eastAsia="zh-CN"/>
        </w:rPr>
        <w:t xml:space="preserve">  </w:t>
      </w:r>
    </w:p>
    <w:p w14:paraId="0D17EF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售价：0 元</w:t>
      </w:r>
    </w:p>
    <w:p w14:paraId="001ADD2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四、响应文件提交</w:t>
      </w:r>
    </w:p>
    <w:p w14:paraId="545E59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截止时间：</w:t>
      </w:r>
      <w:r>
        <w:rPr>
          <w:rFonts w:hint="eastAsia"/>
          <w:sz w:val="28"/>
          <w:szCs w:val="28"/>
          <w:highlight w:val="none"/>
        </w:rPr>
        <w:t>2025年0</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24</w:t>
      </w:r>
      <w:r>
        <w:rPr>
          <w:rFonts w:hint="eastAsia"/>
          <w:sz w:val="28"/>
          <w:szCs w:val="28"/>
          <w:highlight w:val="none"/>
        </w:rPr>
        <w:t>日</w:t>
      </w:r>
      <w:r>
        <w:rPr>
          <w:rFonts w:hint="eastAsia"/>
          <w:sz w:val="28"/>
          <w:szCs w:val="28"/>
        </w:rPr>
        <w:t>09时00分00 秒（北京时间）</w:t>
      </w:r>
    </w:p>
    <w:p w14:paraId="27A34B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地点：全国公共资源交易平台（陕西省·宝鸡市）线上提交</w:t>
      </w:r>
    </w:p>
    <w:p w14:paraId="4A4685E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五、开启</w:t>
      </w:r>
    </w:p>
    <w:p w14:paraId="16C42D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时间：</w:t>
      </w:r>
      <w:r>
        <w:rPr>
          <w:rFonts w:hint="eastAsia"/>
          <w:sz w:val="28"/>
          <w:szCs w:val="28"/>
          <w:highlight w:val="none"/>
        </w:rPr>
        <w:t>2025年0</w:t>
      </w:r>
      <w:r>
        <w:rPr>
          <w:rFonts w:hint="eastAsia"/>
          <w:sz w:val="28"/>
          <w:szCs w:val="28"/>
          <w:highlight w:val="none"/>
          <w:lang w:val="en-US" w:eastAsia="zh-CN"/>
        </w:rPr>
        <w:t>9</w:t>
      </w:r>
      <w:r>
        <w:rPr>
          <w:rFonts w:hint="eastAsia"/>
          <w:sz w:val="28"/>
          <w:szCs w:val="28"/>
          <w:highlight w:val="none"/>
        </w:rPr>
        <w:t>月</w:t>
      </w:r>
      <w:r>
        <w:rPr>
          <w:rFonts w:hint="eastAsia"/>
          <w:sz w:val="28"/>
          <w:szCs w:val="28"/>
          <w:highlight w:val="none"/>
          <w:lang w:val="en-US" w:eastAsia="zh-CN"/>
        </w:rPr>
        <w:t>24</w:t>
      </w:r>
      <w:r>
        <w:rPr>
          <w:rFonts w:hint="eastAsia"/>
          <w:sz w:val="28"/>
          <w:szCs w:val="28"/>
          <w:highlight w:val="none"/>
        </w:rPr>
        <w:t>日</w:t>
      </w:r>
      <w:r>
        <w:rPr>
          <w:rFonts w:hint="eastAsia"/>
          <w:sz w:val="28"/>
          <w:szCs w:val="28"/>
        </w:rPr>
        <w:t>09时00分00 秒（北京时间）</w:t>
      </w:r>
    </w:p>
    <w:p w14:paraId="26E354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地点：全国公共资源交易平台（陕西省·宝鸡市）不见面开标大厅系统</w:t>
      </w:r>
    </w:p>
    <w:p w14:paraId="0A77077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六、公告期限</w:t>
      </w:r>
    </w:p>
    <w:p w14:paraId="2FBB2E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自本公告发布之日起3个工作日。</w:t>
      </w:r>
    </w:p>
    <w:p w14:paraId="6782E8F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七、其他补充事宜</w:t>
      </w:r>
    </w:p>
    <w:p w14:paraId="0C8038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1.本次采购公告在《陕西省政府采购网》、《陕西省公共资源交易中心（陕西省▪宝鸡市）》同时发布；</w:t>
      </w:r>
    </w:p>
    <w:p w14:paraId="5D1E4D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2</w:t>
      </w:r>
      <w:r>
        <w:rPr>
          <w:rFonts w:hint="eastAsia"/>
          <w:sz w:val="28"/>
          <w:szCs w:val="28"/>
          <w:lang w:eastAsia="zh-CN"/>
        </w:rPr>
        <w:t>.</w:t>
      </w:r>
      <w:r>
        <w:rPr>
          <w:rFonts w:hint="eastAsia"/>
          <w:sz w:val="28"/>
          <w:szCs w:val="28"/>
        </w:rPr>
        <w:t>本项目为“全流程电子化”“不见面”采购模式，实行线上电子投标方式，各供应商须自行在网上下载</w:t>
      </w:r>
      <w:r>
        <w:rPr>
          <w:rFonts w:hint="eastAsia"/>
          <w:sz w:val="28"/>
          <w:szCs w:val="28"/>
          <w:lang w:eastAsia="zh-CN"/>
        </w:rPr>
        <w:t>询价</w:t>
      </w:r>
      <w:r>
        <w:rPr>
          <w:rFonts w:hint="eastAsia"/>
          <w:sz w:val="28"/>
          <w:szCs w:val="28"/>
        </w:rPr>
        <w:t>文件、递交</w:t>
      </w:r>
      <w:r>
        <w:rPr>
          <w:rFonts w:hint="eastAsia"/>
          <w:sz w:val="28"/>
          <w:szCs w:val="28"/>
          <w:lang w:eastAsia="zh-CN"/>
        </w:rPr>
        <w:t>询价</w:t>
      </w:r>
      <w:r>
        <w:rPr>
          <w:rFonts w:hint="eastAsia"/>
          <w:sz w:val="28"/>
          <w:szCs w:val="28"/>
        </w:rPr>
        <w:t>文件、在线参与</w:t>
      </w:r>
      <w:r>
        <w:rPr>
          <w:rFonts w:hint="eastAsia"/>
          <w:sz w:val="28"/>
          <w:szCs w:val="28"/>
          <w:lang w:eastAsia="zh-CN"/>
        </w:rPr>
        <w:t>询价</w:t>
      </w:r>
      <w:r>
        <w:rPr>
          <w:rFonts w:hint="eastAsia"/>
          <w:sz w:val="28"/>
          <w:szCs w:val="28"/>
        </w:rPr>
        <w:t>过程，并登录全国公共资源交易平台（陕西省宝鸡市）宝鸡市公共资源交易中心（</w:t>
      </w:r>
      <w:r>
        <w:rPr>
          <w:rFonts w:hint="eastAsia"/>
          <w:sz w:val="28"/>
          <w:szCs w:val="28"/>
        </w:rPr>
        <w:fldChar w:fldCharType="begin"/>
      </w:r>
      <w:r>
        <w:rPr>
          <w:rFonts w:hint="eastAsia"/>
          <w:sz w:val="28"/>
          <w:szCs w:val="28"/>
        </w:rPr>
        <w:instrText xml:space="preserve"> HYPERLINK "http://ggzy.baoji.gov.cn/" </w:instrText>
      </w:r>
      <w:r>
        <w:rPr>
          <w:rFonts w:hint="eastAsia"/>
          <w:sz w:val="28"/>
          <w:szCs w:val="28"/>
        </w:rPr>
        <w:fldChar w:fldCharType="separate"/>
      </w:r>
      <w:r>
        <w:rPr>
          <w:rFonts w:hint="eastAsia"/>
          <w:sz w:val="28"/>
          <w:szCs w:val="28"/>
        </w:rPr>
        <w:t>http://ggzy.baoji.gov.cn/</w:t>
      </w:r>
      <w:r>
        <w:rPr>
          <w:rFonts w:hint="eastAsia"/>
          <w:sz w:val="28"/>
          <w:szCs w:val="28"/>
        </w:rPr>
        <w:fldChar w:fldCharType="end"/>
      </w:r>
      <w:r>
        <w:rPr>
          <w:rFonts w:hint="eastAsia"/>
          <w:sz w:val="28"/>
          <w:szCs w:val="28"/>
        </w:rPr>
        <w:t>）-服务指南-下载专区-下载“政府采购电子交易-不见面系统操作手册-</w:t>
      </w:r>
      <w:r>
        <w:rPr>
          <w:rFonts w:hint="eastAsia"/>
          <w:sz w:val="28"/>
          <w:szCs w:val="28"/>
          <w:lang w:eastAsia="zh-CN"/>
        </w:rPr>
        <w:t>供应商</w:t>
      </w:r>
      <w:r>
        <w:rPr>
          <w:rFonts w:hint="eastAsia"/>
          <w:sz w:val="28"/>
          <w:szCs w:val="28"/>
        </w:rPr>
        <w:t>”，并下载政府采购电子标书制作工具，按照流程制作电子标书并在规定的投标截止时前上传电子投标文件；建议使用 IE11 浏览器或 360 极速浏览器兼容模式，同时必须安装陕西省公共资源 CA 驱动，供应商须自备音箱、麦克风，确保线上</w:t>
      </w:r>
      <w:r>
        <w:rPr>
          <w:rFonts w:hint="eastAsia"/>
          <w:sz w:val="28"/>
          <w:szCs w:val="28"/>
          <w:lang w:eastAsia="zh-CN"/>
        </w:rPr>
        <w:t>询价</w:t>
      </w:r>
      <w:r>
        <w:rPr>
          <w:rFonts w:hint="eastAsia"/>
          <w:sz w:val="28"/>
          <w:szCs w:val="28"/>
        </w:rPr>
        <w:t>环节能顺利进行。</w:t>
      </w:r>
    </w:p>
    <w:p w14:paraId="127C5F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3</w:t>
      </w:r>
      <w:r>
        <w:rPr>
          <w:rFonts w:hint="eastAsia"/>
          <w:sz w:val="28"/>
          <w:szCs w:val="28"/>
          <w:lang w:eastAsia="zh-CN"/>
        </w:rPr>
        <w:t>.</w:t>
      </w:r>
      <w:r>
        <w:rPr>
          <w:rFonts w:hint="eastAsia"/>
          <w:sz w:val="28"/>
          <w:szCs w:val="28"/>
        </w:rPr>
        <w:t>为了保证远程不见面开标、评标顺利进行，</w:t>
      </w:r>
      <w:r>
        <w:rPr>
          <w:rFonts w:hint="eastAsia"/>
          <w:sz w:val="28"/>
          <w:szCs w:val="28"/>
          <w:lang w:eastAsia="zh-CN"/>
        </w:rPr>
        <w:t>供应商</w:t>
      </w:r>
      <w:r>
        <w:rPr>
          <w:rFonts w:hint="eastAsia"/>
          <w:sz w:val="28"/>
          <w:szCs w:val="28"/>
        </w:rPr>
        <w:t>需使用配备相关设备的电脑按时登录网络开标大厅。开标、评标期间保持在线，代理机构或评标委员会发起解密</w:t>
      </w:r>
      <w:r>
        <w:rPr>
          <w:rFonts w:hint="eastAsia"/>
          <w:sz w:val="28"/>
          <w:szCs w:val="28"/>
          <w:lang w:eastAsia="zh-CN"/>
        </w:rPr>
        <w:t>，</w:t>
      </w:r>
      <w:r>
        <w:rPr>
          <w:rFonts w:hint="eastAsia"/>
          <w:sz w:val="28"/>
          <w:szCs w:val="28"/>
        </w:rPr>
        <w:t>因</w:t>
      </w:r>
      <w:r>
        <w:rPr>
          <w:rFonts w:hint="eastAsia"/>
          <w:sz w:val="28"/>
          <w:szCs w:val="28"/>
          <w:lang w:eastAsia="zh-CN"/>
        </w:rPr>
        <w:t>供应商</w:t>
      </w:r>
      <w:r>
        <w:rPr>
          <w:rFonts w:hint="eastAsia"/>
          <w:sz w:val="28"/>
          <w:szCs w:val="28"/>
        </w:rPr>
        <w:t>自身设施故障或自身原因导致在系统规定时间内无法完成的，由</w:t>
      </w:r>
      <w:r>
        <w:rPr>
          <w:rFonts w:hint="eastAsia"/>
          <w:sz w:val="28"/>
          <w:szCs w:val="28"/>
          <w:lang w:eastAsia="zh-CN"/>
        </w:rPr>
        <w:t>供应商</w:t>
      </w:r>
      <w:r>
        <w:rPr>
          <w:rFonts w:hint="eastAsia"/>
          <w:sz w:val="28"/>
          <w:szCs w:val="28"/>
        </w:rPr>
        <w:t>自行承担后果。</w:t>
      </w:r>
    </w:p>
    <w:p w14:paraId="2215F2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4</w:t>
      </w:r>
      <w:r>
        <w:rPr>
          <w:rFonts w:hint="eastAsia"/>
          <w:sz w:val="28"/>
          <w:szCs w:val="28"/>
          <w:lang w:eastAsia="zh-CN"/>
        </w:rPr>
        <w:t>.</w:t>
      </w:r>
      <w:r>
        <w:rPr>
          <w:rFonts w:hint="eastAsia"/>
          <w:sz w:val="28"/>
          <w:szCs w:val="28"/>
        </w:rPr>
        <w:t>本项目专门面向中小企业采购，专门面向中小企业采购的项目或者采购包，不再执行价格评审优惠的扶持政策。</w:t>
      </w:r>
    </w:p>
    <w:p w14:paraId="7D4E20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5</w:t>
      </w:r>
      <w:r>
        <w:rPr>
          <w:rFonts w:hint="eastAsia"/>
          <w:sz w:val="28"/>
          <w:szCs w:val="28"/>
          <w:lang w:eastAsia="zh-CN"/>
        </w:rPr>
        <w:t>.</w:t>
      </w:r>
      <w:r>
        <w:rPr>
          <w:rFonts w:hint="eastAsia"/>
          <w:sz w:val="28"/>
          <w:szCs w:val="28"/>
        </w:rPr>
        <w:t>开标时，解密电子化投标文件</w:t>
      </w:r>
      <w:r>
        <w:rPr>
          <w:rFonts w:hint="eastAsia"/>
          <w:sz w:val="28"/>
          <w:szCs w:val="28"/>
          <w:lang w:val="en-US" w:eastAsia="zh-CN"/>
        </w:rPr>
        <w:t>时，</w:t>
      </w:r>
      <w:r>
        <w:rPr>
          <w:rFonts w:hint="eastAsia"/>
          <w:sz w:val="28"/>
          <w:szCs w:val="28"/>
        </w:rPr>
        <w:t>延时3次后，投标人仍未解密的，视为自动放弃。</w:t>
      </w:r>
    </w:p>
    <w:p w14:paraId="5FA0415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八、对本次招标提出询问，请按以下方式联系。</w:t>
      </w:r>
    </w:p>
    <w:p w14:paraId="2A0F3C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sectPr>
          <w:footerReference r:id="rId3" w:type="default"/>
          <w:pgSz w:w="11900" w:h="16838"/>
          <w:pgMar w:top="1440" w:right="1803" w:bottom="1440" w:left="1803" w:header="567" w:footer="567" w:gutter="0"/>
          <w:cols w:space="720" w:num="1"/>
        </w:sectPr>
      </w:pPr>
    </w:p>
    <w:p w14:paraId="1B5574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1.采购人信息</w:t>
      </w:r>
    </w:p>
    <w:p w14:paraId="3EAA3C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名称：陇县中学</w:t>
      </w:r>
    </w:p>
    <w:p w14:paraId="286ACF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地址：陇县东大街85号</w:t>
      </w:r>
    </w:p>
    <w:p w14:paraId="154E1D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Theme="minorEastAsia"/>
          <w:sz w:val="28"/>
          <w:szCs w:val="28"/>
          <w:lang w:val="en-US" w:eastAsia="zh-CN"/>
        </w:rPr>
      </w:pPr>
      <w:r>
        <w:rPr>
          <w:rFonts w:hint="eastAsia"/>
          <w:sz w:val="28"/>
          <w:szCs w:val="28"/>
        </w:rPr>
        <w:t>项目联系人：</w:t>
      </w:r>
      <w:r>
        <w:rPr>
          <w:rFonts w:hint="eastAsia"/>
          <w:sz w:val="28"/>
          <w:szCs w:val="28"/>
          <w:lang w:val="en-US" w:eastAsia="zh-CN"/>
        </w:rPr>
        <w:t>赵鹏飞</w:t>
      </w:r>
    </w:p>
    <w:p w14:paraId="4F359E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Theme="minorEastAsia"/>
          <w:sz w:val="28"/>
          <w:szCs w:val="28"/>
          <w:lang w:val="en-US" w:eastAsia="zh-CN"/>
        </w:rPr>
      </w:pPr>
      <w:r>
        <w:rPr>
          <w:rFonts w:hint="eastAsia"/>
          <w:sz w:val="28"/>
          <w:szCs w:val="28"/>
        </w:rPr>
        <w:t>联系方式：</w:t>
      </w:r>
      <w:r>
        <w:rPr>
          <w:rFonts w:hint="eastAsia"/>
          <w:sz w:val="28"/>
          <w:szCs w:val="28"/>
          <w:lang w:val="en-US" w:eastAsia="zh-CN"/>
        </w:rPr>
        <w:t>13609273383</w:t>
      </w:r>
    </w:p>
    <w:p w14:paraId="658AF1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2.代理机构信息</w:t>
      </w:r>
    </w:p>
    <w:p w14:paraId="0C5F1B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名称：陇县政府采购中心</w:t>
      </w:r>
    </w:p>
    <w:p w14:paraId="00BA0A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地址：陇县北坡东路6号</w:t>
      </w:r>
    </w:p>
    <w:p w14:paraId="47C69A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rPr>
        <w:t>联系方式：0917-4607155</w:t>
      </w:r>
      <w:r>
        <w:rPr>
          <w:rFonts w:hint="eastAsia"/>
          <w:sz w:val="28"/>
          <w:szCs w:val="28"/>
          <w:lang w:val="en-US" w:eastAsia="zh-CN"/>
        </w:rPr>
        <w:br w:type="page"/>
      </w:r>
    </w:p>
    <w:p w14:paraId="365E3C4F">
      <w:pPr>
        <w:spacing w:line="480" w:lineRule="auto"/>
        <w:jc w:val="center"/>
        <w:rPr>
          <w:rFonts w:hint="eastAsia"/>
          <w:sz w:val="32"/>
          <w:szCs w:val="32"/>
          <w:lang w:val="en-US" w:eastAsia="zh-CN"/>
        </w:rPr>
        <w:sectPr>
          <w:type w:val="continuous"/>
          <w:pgSz w:w="11900" w:h="16838"/>
          <w:pgMar w:top="1440" w:right="1803" w:bottom="1440" w:left="1803" w:header="567" w:footer="567" w:gutter="0"/>
          <w:cols w:equalWidth="0" w:num="2">
            <w:col w:w="3934" w:space="425"/>
            <w:col w:w="3934"/>
          </w:cols>
        </w:sectPr>
      </w:pPr>
    </w:p>
    <w:p w14:paraId="7980C068">
      <w:pPr>
        <w:spacing w:line="48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供应商须知</w:t>
      </w:r>
    </w:p>
    <w:p w14:paraId="19C1CEE5">
      <w:pPr>
        <w:rPr>
          <w:rFonts w:hint="eastAsia"/>
          <w:lang w:val="en-US" w:eastAsia="zh-CN"/>
        </w:rPr>
      </w:pPr>
    </w:p>
    <w:p w14:paraId="1489E5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highlight w:val="yellow"/>
          <w:lang w:val="en-US" w:eastAsia="zh-CN"/>
        </w:rPr>
      </w:pPr>
      <w:r>
        <w:rPr>
          <w:rFonts w:hint="eastAsia"/>
          <w:sz w:val="28"/>
          <w:szCs w:val="28"/>
          <w:highlight w:val="none"/>
          <w:lang w:val="en-US" w:eastAsia="zh-CN"/>
        </w:rPr>
        <w:t>一、最高限价：918000.00元</w:t>
      </w:r>
    </w:p>
    <w:p w14:paraId="043897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二、质量标准：符合国家及相关部门规定的验收合格标准（详见采购需求）。</w:t>
      </w:r>
    </w:p>
    <w:p w14:paraId="62D888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三、询价文件</w:t>
      </w:r>
    </w:p>
    <w:p w14:paraId="50D4D7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1.投标人应认真审阅和充分理解询价文件所有的事项、格式、条款和规范要求等，在投标文件中对询价文件的各方面都做出实质性的响应，按照询价文件的要求提交全部资料。</w:t>
      </w:r>
    </w:p>
    <w:p w14:paraId="059D6F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2.询价文件的澄清或修改：</w:t>
      </w:r>
    </w:p>
    <w:p w14:paraId="498081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-1采购人或采购代理机构可以以书面形式对询价文件进行必要的澄清或修改，并在原信息发布媒体上发布变更公告。澄清或修改的内容均为询价文件的组成部分，并对采购人及投标人起约束作用。澄清或修改的内容可能影响投标文件编制的，采购人或者采购代理机构应当顺延提交投标文件的截止时间。</w:t>
      </w:r>
    </w:p>
    <w:p w14:paraId="343A71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-2询价文件的澄清或修改内容均以公告形式明确的内容为准。当询价文件的澄清、修改、补充等在同一内容的表述上不一致时，以最后发出的书面文件为准。所有补充文件将作为询价文件的组成部分，对所有投标人具有约束力。</w:t>
      </w:r>
    </w:p>
    <w:p w14:paraId="103252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3.投标人若对询价文件有任何疑问，可以以书面形式向采购代理机构提出询问。</w:t>
      </w:r>
    </w:p>
    <w:p w14:paraId="3A1469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4.投标人认为询价文件使自己的权益受到损害的，在获取采购文件的时间范围内，以书面形式向采购代理机构提出质疑，逾期提出的无效，因此带来的一切不利后果由投标人自负。</w:t>
      </w:r>
    </w:p>
    <w:p w14:paraId="636A88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5.在投标截止时间前，根据招标工作进展实际情况，采购人可酌情延长提交投标文件的截止时间，若延长将在原信息发布媒体上发布变更公告。采购代理机构和投标人的权利和义务将受到新的截止日期的约束。</w:t>
      </w:r>
    </w:p>
    <w:p w14:paraId="1D19FB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6.投标人自行转让或复制询价文件视为无效。</w:t>
      </w:r>
    </w:p>
    <w:p w14:paraId="11D07E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7.询价文件的解释权归采购人和采购代理机构，如发现询价文件内容与现行法律法规不相符的情况，以现行法律法规为准。</w:t>
      </w:r>
    </w:p>
    <w:p w14:paraId="595D75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8.如果遇到</w:t>
      </w:r>
      <w:r>
        <w:rPr>
          <w:rFonts w:hint="eastAsia"/>
          <w:sz w:val="28"/>
          <w:szCs w:val="28"/>
        </w:rPr>
        <w:t>项目废标后重新组织招标的，集中采购机构将重新编制、发布新版</w:t>
      </w:r>
      <w:r>
        <w:rPr>
          <w:rFonts w:hint="eastAsia"/>
          <w:sz w:val="28"/>
          <w:szCs w:val="28"/>
          <w:lang w:eastAsia="zh-CN"/>
        </w:rPr>
        <w:t>询价</w:t>
      </w:r>
      <w:r>
        <w:rPr>
          <w:rFonts w:hint="eastAsia"/>
          <w:sz w:val="28"/>
          <w:szCs w:val="28"/>
        </w:rPr>
        <w:t>文件，供应商应按新版</w:t>
      </w:r>
      <w:r>
        <w:rPr>
          <w:rFonts w:hint="eastAsia"/>
          <w:sz w:val="28"/>
          <w:szCs w:val="28"/>
          <w:lang w:eastAsia="zh-CN"/>
        </w:rPr>
        <w:t>询价</w:t>
      </w:r>
      <w:r>
        <w:rPr>
          <w:rFonts w:hint="eastAsia"/>
          <w:sz w:val="28"/>
          <w:szCs w:val="28"/>
        </w:rPr>
        <w:t>文件重新编制响应文件。原</w:t>
      </w:r>
      <w:r>
        <w:rPr>
          <w:rFonts w:hint="eastAsia"/>
          <w:sz w:val="28"/>
          <w:szCs w:val="28"/>
          <w:lang w:eastAsia="zh-CN"/>
        </w:rPr>
        <w:t>询价</w:t>
      </w:r>
      <w:r>
        <w:rPr>
          <w:rFonts w:hint="eastAsia"/>
          <w:sz w:val="28"/>
          <w:szCs w:val="28"/>
        </w:rPr>
        <w:t>文件及响应文件失效。</w:t>
      </w:r>
    </w:p>
    <w:p w14:paraId="6C1ECC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四、响应文件</w:t>
      </w:r>
    </w:p>
    <w:p w14:paraId="5C607C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1.供应商须依据询价文件内容和响应文件格式的要求编制响应文件。</w:t>
      </w:r>
    </w:p>
    <w:p w14:paraId="213AA6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2.签字、盖章的具体要求：询价文件要求指定位置“签字或盖章”的，供应商只要一项内容即可。询价文件要求指定位置“签字和盖章”的，供应商必须既签字又盖章。</w:t>
      </w:r>
    </w:p>
    <w:p w14:paraId="639A43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3.供应商名称应填写全称。</w:t>
      </w:r>
    </w:p>
    <w:p w14:paraId="76CC39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4.响应文件的任何行间插字、涂改和增删，必须由法定代表人或被授权人在改动处旁签字方为有效；响应文件因字迹潦草或表达不清所引起的内容出现歧义问题的，投标人后果自负。</w:t>
      </w:r>
    </w:p>
    <w:p w14:paraId="215232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5.本次询价结束后，中标成交供应商需向采购人提交响应文件共肆份，其中正本壹份，副本贰份，电子版响应文件（U盘拷贝）壹份，投标文件一致性承诺书壹份（纸质片、电子版和交易平台上传投标文件完全一致）。响应文件的正本和所有的副本均需打印同线上文件一致，加盖鲜章，注明“正本”“副本”字样。统一胶装、编码，在每一页清楚标明页码。响应文件需盖骑缝章。</w:t>
      </w:r>
    </w:p>
    <w:p w14:paraId="09275A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五、其他</w:t>
      </w:r>
    </w:p>
    <w:p w14:paraId="4778F9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1.现场勘查、标前答疑会：不组织。投标人认为有必要可自行勘查，并承担所有费用及风险。</w:t>
      </w:r>
    </w:p>
    <w:p w14:paraId="7623FD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投标有效期：自询价截止之日起90日历天。在特殊情况下，在响应文件有效期满之前，采购人可向供应商提出延长响应文件有效期的书面要求。供应商书面同意延长响应文件有效期的，其供应商资格相应延长。供应商也可书面拒绝延长有效期（在规定时限内无应答的视为拒绝），其供应商资格则自动丧失。</w:t>
      </w:r>
    </w:p>
    <w:p w14:paraId="351AFC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3.询价保证金：无。</w:t>
      </w:r>
    </w:p>
    <w:p w14:paraId="546289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4.备选投标方案和报价：不接受备选投标方案和多个报价。</w:t>
      </w:r>
    </w:p>
    <w:p w14:paraId="6F3933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5.投标人信用信息：</w:t>
      </w:r>
    </w:p>
    <w:p w14:paraId="4921725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5.1信用信息查询渠道：通过“信用中国”网站（www.creditchina.gov.cn）、中国政府采购网（www.ccgp.gov.cn）等渠道查询相关主体逐页盖章信用记录。</w:t>
      </w:r>
    </w:p>
    <w:p w14:paraId="1977C1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5.2信用信息查询时间：投标文件递交截止时间前。</w:t>
      </w:r>
    </w:p>
    <w:p w14:paraId="4BB7D2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5.3信用信息查询记录和证据留存的具体方式：投标人对信用信息查询情况予以记录，将信用信息查询结果打印留存，参与信用信息查询的人员应在信用信息查询记录上签名，所有信用信息查询记录及相关证据与其他资质证件一并提交，未按要求提交者，视为无效投标。</w:t>
      </w:r>
    </w:p>
    <w:p w14:paraId="779D7F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28"/>
          <w:lang w:eastAsia="zh-CN"/>
        </w:rPr>
      </w:pPr>
      <w:r>
        <w:rPr>
          <w:rFonts w:hint="eastAsia"/>
          <w:sz w:val="28"/>
          <w:szCs w:val="28"/>
          <w:lang w:val="en-US" w:eastAsia="zh-CN"/>
        </w:rPr>
        <w:t>5.4</w:t>
      </w:r>
      <w:r>
        <w:rPr>
          <w:rFonts w:hint="eastAsia"/>
          <w:sz w:val="28"/>
          <w:szCs w:val="28"/>
        </w:rPr>
        <w:t>如在中标通知书发出前</w:t>
      </w:r>
      <w:r>
        <w:rPr>
          <w:rFonts w:hint="eastAsia"/>
          <w:sz w:val="28"/>
          <w:szCs w:val="28"/>
          <w:lang w:eastAsia="zh-CN"/>
        </w:rPr>
        <w:t>，</w:t>
      </w:r>
      <w:r>
        <w:rPr>
          <w:rFonts w:hint="eastAsia"/>
          <w:sz w:val="28"/>
          <w:szCs w:val="28"/>
          <w:lang w:val="en-US" w:eastAsia="zh-CN"/>
        </w:rPr>
        <w:t>中标人</w:t>
      </w:r>
      <w:r>
        <w:rPr>
          <w:rFonts w:hint="eastAsia"/>
          <w:sz w:val="28"/>
          <w:szCs w:val="28"/>
        </w:rPr>
        <w:t>出现违法失信行为，采购人仍有权利取消</w:t>
      </w:r>
      <w:r>
        <w:rPr>
          <w:rFonts w:hint="eastAsia"/>
          <w:sz w:val="28"/>
          <w:szCs w:val="28"/>
          <w:lang w:val="en-US" w:eastAsia="zh-CN"/>
        </w:rPr>
        <w:t>其</w:t>
      </w:r>
      <w:r>
        <w:rPr>
          <w:rFonts w:hint="eastAsia"/>
          <w:sz w:val="28"/>
          <w:szCs w:val="28"/>
        </w:rPr>
        <w:t>中标资格</w:t>
      </w:r>
      <w:r>
        <w:rPr>
          <w:rFonts w:hint="eastAsia"/>
          <w:sz w:val="28"/>
          <w:szCs w:val="28"/>
          <w:lang w:eastAsia="zh-CN"/>
        </w:rPr>
        <w:t>。</w:t>
      </w:r>
    </w:p>
    <w:p w14:paraId="6B43F9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6.投标文件的计量单位</w:t>
      </w:r>
    </w:p>
    <w:p w14:paraId="1A6528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投标文件中所使用的计量单位，除有特殊要求外，均采用国家法定计量单位。</w:t>
      </w:r>
    </w:p>
    <w:p w14:paraId="14BEAB40">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7.中小企业认定标准</w:t>
      </w:r>
    </w:p>
    <w:p w14:paraId="436549BF">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依据《工业和信息化部 国家统计局 国家发展和改革委员会 财政部关于印发中小企业划型标准规定的通知》（工信部联企业〔2011〕300号）、《政府采购促进中小企业发展管理办法》（财库〔2020〕46号，以下简称财库〔2020〕46号文件）第二条和《保障中小企业款项支付条例》（国务院令第 802号）第二十九条有明确的规定：</w:t>
      </w:r>
    </w:p>
    <w:p w14:paraId="1609EA8C">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7.1货物类采购项目中，如果一个采购项目或采购包含有多个采购标的的，则每个采购标的均应由中小企业制造才能享受中小企业扶持政策。</w:t>
      </w:r>
    </w:p>
    <w:p w14:paraId="6692F36B">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7.2专门面向中小企业采购的项目或者采购包，不再执行价格评审优惠的扶持政策。</w:t>
      </w:r>
    </w:p>
    <w:p w14:paraId="20B11986">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32"/>
          <w:szCs w:val="32"/>
          <w:highlight w:val="none"/>
          <w:lang w:val="en-US" w:eastAsia="zh-CN"/>
        </w:rPr>
      </w:pPr>
      <w:r>
        <w:rPr>
          <w:rFonts w:hint="eastAsia"/>
          <w:sz w:val="28"/>
          <w:szCs w:val="28"/>
          <w:highlight w:val="none"/>
          <w:lang w:val="en-US" w:eastAsia="zh-CN"/>
        </w:rPr>
        <w:t>7.3当采购文件中所有产品生产制造企业均为中小企业时（即所有采购产品均由中小企业生产且使用该中小企业商号或者注册商标），才可享受中小企业扶持政策；若代理销售企业为中小企业，而生产制造企业非中小企业，不享受中小企业扶持政策。</w:t>
      </w:r>
    </w:p>
    <w:p w14:paraId="449AD304">
      <w:pPr>
        <w:rPr>
          <w:rFonts w:hint="eastAsia"/>
          <w:sz w:val="32"/>
          <w:szCs w:val="32"/>
          <w:highlight w:val="none"/>
          <w:lang w:val="en-US" w:eastAsia="zh-CN"/>
        </w:rPr>
      </w:pPr>
      <w:r>
        <w:rPr>
          <w:rFonts w:hint="eastAsia"/>
          <w:sz w:val="32"/>
          <w:szCs w:val="32"/>
          <w:highlight w:val="none"/>
          <w:lang w:val="en-US" w:eastAsia="zh-CN"/>
        </w:rPr>
        <w:br w:type="page"/>
      </w:r>
    </w:p>
    <w:p w14:paraId="7D85F526">
      <w:pPr>
        <w:spacing w:line="48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评审方法</w:t>
      </w:r>
    </w:p>
    <w:p w14:paraId="23585EEE">
      <w:pPr>
        <w:rPr>
          <w:rFonts w:hint="eastAsia"/>
          <w:lang w:val="en-US" w:eastAsia="zh-CN"/>
        </w:rPr>
      </w:pPr>
    </w:p>
    <w:p w14:paraId="6DFB9764">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一、评标委员会</w:t>
      </w:r>
    </w:p>
    <w:p w14:paraId="3A1EED58">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评标委员会由5人组成，从陕西省政府采购综合管理平台专家库随机抽取专家4名，采购单位委托授权1名评标代表。评标委员会组建后，推荐一名评审专家担任评审组长，由评审组长牵头组织该项目评审工作。采购人代表不得担任评审组长。</w:t>
      </w:r>
    </w:p>
    <w:p w14:paraId="011EDB58">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（2）在政府采购活动中，采购人员及相关人员（包括评标委员会）与投标人有下列利害关系之一的，应当回避：</w:t>
      </w:r>
    </w:p>
    <w:p w14:paraId="374B0352">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default" w:ascii="Calibri" w:hAnsi="Calibri" w:cs="Calibri"/>
          <w:sz w:val="28"/>
          <w:szCs w:val="28"/>
          <w:lang w:val="en-US" w:eastAsia="zh-CN"/>
        </w:rPr>
        <w:t>①</w:t>
      </w:r>
      <w:r>
        <w:rPr>
          <w:rFonts w:hint="eastAsia"/>
          <w:sz w:val="28"/>
          <w:szCs w:val="28"/>
          <w:lang w:val="en-US" w:eastAsia="zh-CN"/>
        </w:rPr>
        <w:t>参加采购活动前3年内与投标人存在劳动关系；</w:t>
      </w:r>
    </w:p>
    <w:p w14:paraId="3200AAF8">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default" w:ascii="Calibri" w:hAnsi="Calibri" w:cs="Calibri"/>
          <w:sz w:val="28"/>
          <w:szCs w:val="28"/>
          <w:lang w:val="en-US" w:eastAsia="zh-CN"/>
        </w:rPr>
        <w:t>②</w:t>
      </w:r>
      <w:r>
        <w:rPr>
          <w:rFonts w:hint="eastAsia"/>
          <w:sz w:val="28"/>
          <w:szCs w:val="28"/>
          <w:lang w:val="en-US" w:eastAsia="zh-CN"/>
        </w:rPr>
        <w:t>参加采购活动前3年内担任投标人的董事、监事；</w:t>
      </w:r>
    </w:p>
    <w:p w14:paraId="5C012B5D">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default" w:ascii="Calibri" w:hAnsi="Calibri" w:cs="Calibri"/>
          <w:sz w:val="28"/>
          <w:szCs w:val="28"/>
          <w:lang w:val="en-US" w:eastAsia="zh-CN"/>
        </w:rPr>
        <w:t>③</w:t>
      </w:r>
      <w:r>
        <w:rPr>
          <w:rFonts w:hint="eastAsia"/>
          <w:sz w:val="28"/>
          <w:szCs w:val="28"/>
          <w:lang w:val="en-US" w:eastAsia="zh-CN"/>
        </w:rPr>
        <w:t>参加采购活动前3年内是投标人的控股股东或者实际控制人；</w:t>
      </w:r>
    </w:p>
    <w:p w14:paraId="4B407FC9">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ascii="Calibri" w:hAnsi="Calibri" w:cs="Calibri"/>
          <w:sz w:val="28"/>
          <w:szCs w:val="28"/>
          <w:lang w:val="en-US" w:eastAsia="zh-CN"/>
        </w:rPr>
        <w:fldChar w:fldCharType="begin"/>
      </w:r>
      <w:r>
        <w:rPr>
          <w:rFonts w:hint="eastAsia" w:ascii="Calibri" w:hAnsi="Calibri" w:cs="Calibri"/>
          <w:sz w:val="28"/>
          <w:szCs w:val="28"/>
          <w:lang w:val="en-US" w:eastAsia="zh-CN"/>
        </w:rPr>
        <w:instrText xml:space="preserve"> = 4 \* GB3 \* MERGEFORMAT </w:instrText>
      </w:r>
      <w:r>
        <w:rPr>
          <w:rFonts w:hint="eastAsia" w:ascii="Calibri" w:hAnsi="Calibri" w:cs="Calibri"/>
          <w:sz w:val="28"/>
          <w:szCs w:val="28"/>
          <w:lang w:val="en-US" w:eastAsia="zh-CN"/>
        </w:rPr>
        <w:fldChar w:fldCharType="separate"/>
      </w:r>
      <w:r>
        <w:rPr>
          <w:rFonts w:hint="default" w:ascii="Calibri" w:hAnsi="Calibri" w:cs="Calibri"/>
          <w:sz w:val="28"/>
          <w:szCs w:val="28"/>
          <w:lang w:val="en-US" w:eastAsia="zh-CN"/>
        </w:rPr>
        <w:t>④</w:t>
      </w:r>
      <w:r>
        <w:rPr>
          <w:rFonts w:hint="eastAsia" w:ascii="Calibri" w:hAnsi="Calibri" w:cs="Calibri"/>
          <w:sz w:val="28"/>
          <w:szCs w:val="28"/>
          <w:lang w:val="en-US" w:eastAsia="zh-CN"/>
        </w:rPr>
        <w:fldChar w:fldCharType="end"/>
      </w:r>
      <w:r>
        <w:rPr>
          <w:rFonts w:hint="eastAsia"/>
          <w:sz w:val="28"/>
          <w:szCs w:val="28"/>
          <w:lang w:val="en-US" w:eastAsia="zh-CN"/>
        </w:rPr>
        <w:t>与投标人的法定代表人或者负责人有夫妻、直系血亲、三代以内旁系血亲或者近姻亲关系；</w:t>
      </w:r>
    </w:p>
    <w:p w14:paraId="13685AC8">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ascii="Calibri" w:hAnsi="Calibri" w:cs="Calibri"/>
          <w:sz w:val="28"/>
          <w:szCs w:val="28"/>
          <w:lang w:val="en-US" w:eastAsia="zh-CN"/>
        </w:rPr>
        <w:fldChar w:fldCharType="begin"/>
      </w:r>
      <w:r>
        <w:rPr>
          <w:rFonts w:hint="eastAsia" w:ascii="Calibri" w:hAnsi="Calibri" w:cs="Calibri"/>
          <w:sz w:val="28"/>
          <w:szCs w:val="28"/>
          <w:lang w:val="en-US" w:eastAsia="zh-CN"/>
        </w:rPr>
        <w:instrText xml:space="preserve"> = 5 \* GB3 \* MERGEFORMAT </w:instrText>
      </w:r>
      <w:r>
        <w:rPr>
          <w:rFonts w:hint="eastAsia" w:ascii="Calibri" w:hAnsi="Calibri" w:cs="Calibri"/>
          <w:sz w:val="28"/>
          <w:szCs w:val="28"/>
          <w:lang w:val="en-US" w:eastAsia="zh-CN"/>
        </w:rPr>
        <w:fldChar w:fldCharType="separate"/>
      </w:r>
      <w:r>
        <w:rPr>
          <w:rFonts w:hint="default" w:ascii="Calibri" w:hAnsi="Calibri" w:cs="Calibri"/>
          <w:sz w:val="28"/>
          <w:szCs w:val="28"/>
          <w:lang w:val="en-US" w:eastAsia="zh-CN"/>
        </w:rPr>
        <w:t>⑤</w:t>
      </w:r>
      <w:r>
        <w:rPr>
          <w:rFonts w:hint="eastAsia" w:ascii="Calibri" w:hAnsi="Calibri" w:cs="Calibri"/>
          <w:sz w:val="28"/>
          <w:szCs w:val="28"/>
          <w:lang w:val="en-US" w:eastAsia="zh-CN"/>
        </w:rPr>
        <w:fldChar w:fldCharType="end"/>
      </w:r>
      <w:r>
        <w:rPr>
          <w:rFonts w:hint="eastAsia"/>
          <w:sz w:val="28"/>
          <w:szCs w:val="28"/>
          <w:lang w:val="en-US" w:eastAsia="zh-CN"/>
        </w:rPr>
        <w:t>与投标人有其他可能影响政府采购活动公平、公正进行的关系。</w:t>
      </w:r>
    </w:p>
    <w:p w14:paraId="107B6BB1">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二、评审</w:t>
      </w:r>
    </w:p>
    <w:p w14:paraId="51B6BF9F">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1.响应文件初审：初审分为资格性审查和符合性审查。</w:t>
      </w:r>
    </w:p>
    <w:p w14:paraId="2053CD2A">
      <w:pPr>
        <w:keepNext w:val="0"/>
        <w:keepLines w:val="0"/>
        <w:pageBreakBefore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（1）资格性审查。评审小组依据法律法规和询价文件的规定，对响应文件中的资格证明文件进行审查。采用合格制评审，通过全部资格要求指标的才能判定为资格性审查合格。</w:t>
      </w:r>
    </w:p>
    <w:p w14:paraId="160CDC38">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符合性审查。由评审小组依据询价文件的规定，从响应文件的有效性、完整性和对询价文件的响应程度进行审查，以确定是否对询价文件的实质性要求做出响应。采用合格制评审，通过全部符合性审查要求指标的才能判定为符合性审查合格。</w:t>
      </w:r>
    </w:p>
    <w:tbl>
      <w:tblPr>
        <w:tblStyle w:val="18"/>
        <w:tblpPr w:leftFromText="180" w:rightFromText="180" w:vertAnchor="text" w:horzAnchor="page" w:tblpX="1525" w:tblpY="376"/>
        <w:tblOverlap w:val="never"/>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928"/>
        <w:gridCol w:w="6709"/>
      </w:tblGrid>
      <w:tr w14:paraId="6A02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56" w:type="dxa"/>
            <w:shd w:val="clear" w:color="auto" w:fill="auto"/>
            <w:vAlign w:val="center"/>
          </w:tcPr>
          <w:p w14:paraId="2416166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928" w:type="dxa"/>
            <w:shd w:val="clear" w:color="auto" w:fill="auto"/>
            <w:vAlign w:val="center"/>
          </w:tcPr>
          <w:p w14:paraId="1A33116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审查指标</w:t>
            </w:r>
          </w:p>
        </w:tc>
        <w:tc>
          <w:tcPr>
            <w:tcW w:w="6709" w:type="dxa"/>
            <w:shd w:val="clear" w:color="auto" w:fill="auto"/>
            <w:vAlign w:val="center"/>
          </w:tcPr>
          <w:p w14:paraId="699E169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审查标准</w:t>
            </w:r>
          </w:p>
        </w:tc>
      </w:tr>
      <w:tr w14:paraId="561D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56" w:type="dxa"/>
            <w:shd w:val="clear" w:color="auto" w:fill="auto"/>
            <w:vAlign w:val="center"/>
          </w:tcPr>
          <w:p w14:paraId="251ACBB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928" w:type="dxa"/>
            <w:shd w:val="clear" w:color="auto" w:fill="auto"/>
            <w:vAlign w:val="center"/>
          </w:tcPr>
          <w:p w14:paraId="1D2FC354">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询价</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有效期</w:t>
            </w:r>
          </w:p>
        </w:tc>
        <w:tc>
          <w:tcPr>
            <w:tcW w:w="6709" w:type="dxa"/>
            <w:shd w:val="clear" w:color="auto" w:fill="auto"/>
            <w:vAlign w:val="center"/>
          </w:tcPr>
          <w:p w14:paraId="0376CBC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应满足</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询价</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中的规定</w:t>
            </w:r>
          </w:p>
        </w:tc>
      </w:tr>
      <w:tr w14:paraId="163A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6" w:type="dxa"/>
            <w:vAlign w:val="center"/>
          </w:tcPr>
          <w:p w14:paraId="5DE56EE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928" w:type="dxa"/>
            <w:vAlign w:val="center"/>
          </w:tcPr>
          <w:p w14:paraId="6F469A06">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响应函</w:t>
            </w:r>
          </w:p>
        </w:tc>
        <w:tc>
          <w:tcPr>
            <w:tcW w:w="6709" w:type="dxa"/>
            <w:vAlign w:val="center"/>
          </w:tcPr>
          <w:p w14:paraId="0167523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格式、填写要求符合询价通知书规定并加盖供应商电子签章</w:t>
            </w:r>
          </w:p>
        </w:tc>
      </w:tr>
      <w:tr w14:paraId="78A7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756" w:type="dxa"/>
            <w:shd w:val="clear" w:color="auto" w:fill="auto"/>
            <w:vAlign w:val="center"/>
          </w:tcPr>
          <w:p w14:paraId="76B2D5B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1928" w:type="dxa"/>
            <w:shd w:val="clear" w:color="auto" w:fill="auto"/>
            <w:vAlign w:val="center"/>
          </w:tcPr>
          <w:p w14:paraId="7FDB857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报价表</w:t>
            </w:r>
          </w:p>
        </w:tc>
        <w:tc>
          <w:tcPr>
            <w:tcW w:w="6709" w:type="dxa"/>
            <w:shd w:val="clear" w:color="auto" w:fill="auto"/>
            <w:vAlign w:val="center"/>
          </w:tcPr>
          <w:p w14:paraId="474F28FC">
            <w:pPr>
              <w:keepNext w:val="0"/>
              <w:keepLines w:val="0"/>
              <w:pageBreakBefore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①参加询价采购活动的供应商，应当按照询价采购文件的规定一次报出不得更改的价格。</w:t>
            </w:r>
          </w:p>
          <w:p w14:paraId="4803EF96">
            <w:pPr>
              <w:keepNext w:val="0"/>
              <w:keepLines w:val="0"/>
              <w:pageBreakBefore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②报价应对采购的全部内容进行报价，采用全费用总价包干形式，采购人不再额外支付任何费用。</w:t>
            </w:r>
          </w:p>
          <w:p w14:paraId="3DD7FDF1">
            <w:pPr>
              <w:keepNext w:val="0"/>
              <w:keepLines w:val="0"/>
              <w:pageBreakBefore w:val="0"/>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③供应商总报价不得超过询价文件规定的最高</w:t>
            </w:r>
            <w:r>
              <w:rPr>
                <w:rFonts w:hint="eastAsia" w:asciiTheme="minorEastAsia" w:hAnsiTheme="minorEastAsia" w:cstheme="minorEastAsia"/>
                <w:sz w:val="28"/>
                <w:szCs w:val="28"/>
                <w:lang w:val="en-US" w:eastAsia="zh-CN"/>
              </w:rPr>
              <w:t>限</w:t>
            </w:r>
            <w:r>
              <w:rPr>
                <w:rFonts w:hint="eastAsia" w:asciiTheme="minorEastAsia" w:hAnsiTheme="minorEastAsia" w:eastAsiaTheme="minorEastAsia" w:cstheme="minorEastAsia"/>
                <w:sz w:val="28"/>
                <w:szCs w:val="28"/>
              </w:rPr>
              <w:t>价。</w:t>
            </w:r>
          </w:p>
        </w:tc>
      </w:tr>
      <w:tr w14:paraId="7E40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56" w:type="dxa"/>
            <w:vAlign w:val="center"/>
          </w:tcPr>
          <w:p w14:paraId="231873A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1928" w:type="dxa"/>
            <w:vAlign w:val="center"/>
          </w:tcPr>
          <w:p w14:paraId="4E7CB45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供应商承诺书</w:t>
            </w:r>
          </w:p>
        </w:tc>
        <w:tc>
          <w:tcPr>
            <w:tcW w:w="6709" w:type="dxa"/>
            <w:vAlign w:val="center"/>
          </w:tcPr>
          <w:p w14:paraId="4E8ACE4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签订宝鸡市政府采购供应商诚信承诺书</w:t>
            </w:r>
          </w:p>
        </w:tc>
      </w:tr>
      <w:tr w14:paraId="23CC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56" w:type="dxa"/>
            <w:vAlign w:val="center"/>
          </w:tcPr>
          <w:p w14:paraId="3EBC1DA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1928" w:type="dxa"/>
            <w:vAlign w:val="center"/>
          </w:tcPr>
          <w:p w14:paraId="45772BC0">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商务响应情况</w:t>
            </w:r>
          </w:p>
        </w:tc>
        <w:tc>
          <w:tcPr>
            <w:tcW w:w="6709" w:type="dxa"/>
            <w:vAlign w:val="center"/>
          </w:tcPr>
          <w:p w14:paraId="624862A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符合询价通知书采购需求</w:t>
            </w:r>
            <w:r>
              <w:rPr>
                <w:rFonts w:hint="eastAsia" w:asciiTheme="minorEastAsia" w:hAnsiTheme="minorEastAsia" w:eastAsiaTheme="minorEastAsia" w:cstheme="minorEastAsia"/>
                <w:sz w:val="28"/>
                <w:szCs w:val="28"/>
                <w:highlight w:val="none"/>
              </w:rPr>
              <w:t>中对</w:t>
            </w:r>
            <w:r>
              <w:rPr>
                <w:rFonts w:hint="eastAsia" w:asciiTheme="minorEastAsia" w:hAnsiTheme="minorEastAsia" w:cstheme="minorEastAsia"/>
                <w:sz w:val="28"/>
                <w:szCs w:val="28"/>
                <w:highlight w:val="none"/>
                <w:lang w:val="en-US" w:eastAsia="zh-CN"/>
              </w:rPr>
              <w:t>样品、</w:t>
            </w:r>
            <w:r>
              <w:rPr>
                <w:rFonts w:hint="eastAsia" w:asciiTheme="minorEastAsia" w:hAnsiTheme="minorEastAsia" w:eastAsiaTheme="minorEastAsia" w:cstheme="minorEastAsia"/>
                <w:sz w:val="28"/>
                <w:szCs w:val="28"/>
              </w:rPr>
              <w:t>付款方式、供货及安装期限、供货及安装地点、免费质保期等实质性要求</w:t>
            </w:r>
          </w:p>
        </w:tc>
      </w:tr>
      <w:tr w14:paraId="063E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6" w:type="dxa"/>
            <w:vAlign w:val="center"/>
          </w:tcPr>
          <w:p w14:paraId="3066900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1928" w:type="dxa"/>
            <w:vAlign w:val="center"/>
          </w:tcPr>
          <w:p w14:paraId="2568DBB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技术响应情况</w:t>
            </w:r>
          </w:p>
        </w:tc>
        <w:tc>
          <w:tcPr>
            <w:tcW w:w="6709" w:type="dxa"/>
            <w:vAlign w:val="center"/>
          </w:tcPr>
          <w:p w14:paraId="0DB6BD6C">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符合询价通知书采购需求中货物技术参数等实质性要求</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依据采购需求，对投标人的响应文件和提交的样品原材料逐一对标评审，必须全部符合采购需求</w:t>
            </w:r>
            <w:r>
              <w:rPr>
                <w:rFonts w:hint="eastAsia" w:asciiTheme="minorEastAsia" w:hAnsiTheme="minorEastAsia" w:cstheme="minorEastAsia"/>
                <w:sz w:val="28"/>
                <w:szCs w:val="28"/>
                <w:lang w:eastAsia="zh-CN"/>
              </w:rPr>
              <w:t>）</w:t>
            </w:r>
          </w:p>
        </w:tc>
      </w:tr>
      <w:tr w14:paraId="1C50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vAlign w:val="center"/>
          </w:tcPr>
          <w:p w14:paraId="6AF2D3B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1928" w:type="dxa"/>
            <w:vAlign w:val="center"/>
          </w:tcPr>
          <w:p w14:paraId="548FFC77">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售后服务方案</w:t>
            </w:r>
          </w:p>
        </w:tc>
        <w:tc>
          <w:tcPr>
            <w:tcW w:w="6709" w:type="dxa"/>
            <w:vAlign w:val="center"/>
          </w:tcPr>
          <w:p w14:paraId="0DECC181">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符合实际，具有较强的操作性。</w:t>
            </w:r>
          </w:p>
        </w:tc>
      </w:tr>
    </w:tbl>
    <w:p w14:paraId="2106874B">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p>
    <w:p w14:paraId="271A21E4">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（3）响应文件属下列情况之一的，应当在资格性、符合性检查时按照无效投标处理：</w:t>
      </w:r>
    </w:p>
    <w:p w14:paraId="324F3F09">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①未按照询价文件规定要求签署、盖章的；</w:t>
      </w:r>
    </w:p>
    <w:p w14:paraId="4C84A0BA">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②不具备询价文件中规定资格要求的；</w:t>
      </w:r>
    </w:p>
    <w:p w14:paraId="57E64B9B">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③响应文件有重大缺、漏项，明显不符合技术规格、标准和要求的；</w:t>
      </w:r>
    </w:p>
    <w:p w14:paraId="43D7619E">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④不符合法律、法规和询价文件中规定的其他实质性要求的。</w:t>
      </w:r>
    </w:p>
    <w:p w14:paraId="4D7F195A">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澄清有关问题。对响应文件中含义不明确、同类问题表述不一致或者有明显文字和计算错误的内容，评标委员会可以（应当由评标委员会专家签字）要求供应商线上做出必要的澄清、说明或者纠正。供应商的澄清、说明或者补正应当采用电子签名形式，由法定代表人或其授权的代表签字，并不得超出响应文件的范围或者改变响应文件的实质性内容。</w:t>
      </w:r>
    </w:p>
    <w:p w14:paraId="7B4992D5">
      <w:pPr>
        <w:keepNext w:val="0"/>
        <w:keepLines w:val="0"/>
        <w:pageBreakBefore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3.报价</w:t>
      </w:r>
    </w:p>
    <w:p w14:paraId="46F479D5">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3.1供应商只能一次性提交唯一、不可更改、不可选择的报价。供应商的报价是供应商响应招标项目要求的全部工作内容的价格体现，包括供应商完成本项目所需的一切费用。采用全费用总价包干形式，包括但不限于产品价（含税）+售后服务费+相关伴随费用等以及国家规定的其他各项费用等全部费用，采购人不再额外支付任何费用。</w:t>
      </w:r>
    </w:p>
    <w:p w14:paraId="67CEFBF1">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3.2各供应商根据询价文件的规定，结合企业自身管理水平及市场行情自主报价，供应商总报价不得超过采购预算或询价文件规定的最高限价。凡因供应商对询价文件阅读疏忽或误解，或因对现场、环境、市场行情等了解不清而造成的后果和风险，由供应商负责；如供应商因此而提出索赔或其他不合理要求，采购人将不予批准。</w:t>
      </w:r>
    </w:p>
    <w:p w14:paraId="588C1D06">
      <w:pPr>
        <w:keepNext w:val="0"/>
        <w:keepLines w:val="0"/>
        <w:pageBreakBefore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3.3评审小组认为供应商的报价明显低于其他通过符合性审查供应商的报价，有可能影响产品质量或者不能诚信履约的，应当要求其在评审现场合理的时间内提供说明，必要时提交相关证明材料；供应商不能证明其报价合理性的，评审小组应当将其作为无效报价处理。</w:t>
      </w:r>
    </w:p>
    <w:p w14:paraId="5B3BE2FA">
      <w:pPr>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3.4投标货币：人民币。单位：元。</w:t>
      </w:r>
    </w:p>
    <w:p w14:paraId="221BC759">
      <w:pPr>
        <w:keepNext w:val="0"/>
        <w:keepLines w:val="0"/>
        <w:pageBreakBefore w:val="0"/>
        <w:numPr>
          <w:ilvl w:val="0"/>
          <w:numId w:val="1"/>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定标</w:t>
      </w:r>
    </w:p>
    <w:p w14:paraId="07121E66">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4.1本项目评标方法为：最低评标价法。</w:t>
      </w:r>
    </w:p>
    <w:p w14:paraId="3C70FD76">
      <w:pPr>
        <w:keepNext w:val="0"/>
        <w:keepLines w:val="0"/>
        <w:pageBreakBefore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4.2推荐成交候选人排序名单：评审小组从通过资格审查，且通过符合性审查，均能满足采购文件要求的供应商当中，按照其投标文件中的投标总报价，由低到高的顺序提出3名成交候选人，编写评标报告并签名。</w:t>
      </w:r>
    </w:p>
    <w:p w14:paraId="7913B7A6">
      <w:pPr>
        <w:keepNext w:val="0"/>
        <w:keepLines w:val="0"/>
        <w:pageBreakBefore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4.3品牌相同、报价相同的处理办法：</w:t>
      </w:r>
    </w:p>
    <w:p w14:paraId="492D74DC">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根据《政府采购货物和服务招标投标管理办法》（财政部令第87号）第三十一条：</w:t>
      </w:r>
    </w:p>
    <w:p w14:paraId="201BBB69">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highlight w:val="none"/>
          <w:lang w:val="en-US" w:eastAsia="zh-CN"/>
        </w:rPr>
      </w:pPr>
      <w:r>
        <w:rPr>
          <w:rFonts w:hint="eastAsia"/>
          <w:sz w:val="28"/>
          <w:szCs w:val="28"/>
          <w:lang w:val="en-US"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w:t>
      </w:r>
      <w:r>
        <w:rPr>
          <w:rFonts w:hint="eastAsia"/>
          <w:sz w:val="28"/>
          <w:szCs w:val="28"/>
          <w:highlight w:val="none"/>
          <w:lang w:val="en-US" w:eastAsia="zh-CN"/>
        </w:rPr>
        <w:t>采取随机抽取方式确定，其他投标无效。</w:t>
      </w:r>
    </w:p>
    <w:p w14:paraId="25F71D38">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C300218">
      <w:pPr>
        <w:pStyle w:val="5"/>
        <w:keepNext w:val="0"/>
        <w:keepLines w:val="0"/>
        <w:pageBreakBefore w:val="0"/>
        <w:kinsoku/>
        <w:wordWrap/>
        <w:overflowPunct/>
        <w:topLinePunct w:val="0"/>
        <w:autoSpaceDE/>
        <w:autoSpaceDN/>
        <w:bidi w:val="0"/>
        <w:adjustRightInd/>
        <w:snapToGrid/>
        <w:ind w:firstLine="560" w:firstLineChars="200"/>
        <w:textAlignment w:val="auto"/>
        <w:rPr>
          <w:rFonts w:hint="eastAsia"/>
          <w:sz w:val="28"/>
          <w:szCs w:val="28"/>
          <w:highlight w:val="none"/>
          <w:lang w:val="en-US" w:eastAsia="zh-CN"/>
        </w:rPr>
      </w:pPr>
      <w:r>
        <w:rPr>
          <w:rFonts w:hint="eastAsia"/>
          <w:sz w:val="28"/>
          <w:szCs w:val="28"/>
          <w:highlight w:val="none"/>
          <w:lang w:val="en-US" w:eastAsia="zh-CN"/>
        </w:rPr>
        <w:t>非单一产品采购项目，采购人应当根据采购项目技术构成、产品价格比重等合理确定核心产品，并在招标文件中载明。多家投标人提供的核心产品品牌相同的，按前两款规定处理。</w:t>
      </w:r>
    </w:p>
    <w:p w14:paraId="19C1C001">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asciiTheme="minorHAnsi" w:hAnsiTheme="minorHAnsi" w:eastAsiaTheme="minorEastAsia" w:cstheme="minorBidi"/>
          <w:kern w:val="2"/>
          <w:sz w:val="28"/>
          <w:szCs w:val="28"/>
          <w:lang w:val="en-US" w:eastAsia="zh-CN" w:bidi="ar-SA"/>
        </w:rPr>
        <w:t>5</w:t>
      </w:r>
      <w:r>
        <w:rPr>
          <w:rFonts w:hint="eastAsia" w:cstheme="minorBidi"/>
          <w:kern w:val="2"/>
          <w:sz w:val="28"/>
          <w:szCs w:val="28"/>
          <w:lang w:val="en-US" w:eastAsia="zh-CN" w:bidi="ar-SA"/>
        </w:rPr>
        <w:t>.</w:t>
      </w:r>
      <w:r>
        <w:rPr>
          <w:rFonts w:hint="eastAsia"/>
          <w:sz w:val="28"/>
          <w:szCs w:val="28"/>
          <w:lang w:val="en-US" w:eastAsia="zh-CN"/>
        </w:rPr>
        <w:t>成交供应商确定后，将评标结果在财政部门指定的政府采购信息发布媒体上进行公示。</w:t>
      </w:r>
    </w:p>
    <w:p w14:paraId="17AEB568">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asciiTheme="minorHAnsi" w:hAnsiTheme="minorHAnsi" w:eastAsiaTheme="minorEastAsia" w:cstheme="minorBidi"/>
          <w:kern w:val="2"/>
          <w:sz w:val="28"/>
          <w:szCs w:val="28"/>
          <w:lang w:val="en-US" w:eastAsia="zh-CN" w:bidi="ar-SA"/>
        </w:rPr>
        <w:t>6</w:t>
      </w:r>
      <w:r>
        <w:rPr>
          <w:rFonts w:hint="eastAsia" w:cstheme="minorBidi"/>
          <w:kern w:val="2"/>
          <w:sz w:val="28"/>
          <w:szCs w:val="28"/>
          <w:lang w:val="en-US" w:eastAsia="zh-CN" w:bidi="ar-SA"/>
        </w:rPr>
        <w:t>.</w:t>
      </w:r>
      <w:r>
        <w:rPr>
          <w:rFonts w:hint="eastAsia"/>
          <w:sz w:val="28"/>
          <w:szCs w:val="28"/>
          <w:lang w:val="en-US" w:eastAsia="zh-CN"/>
        </w:rPr>
        <w:t>出现下列情形之一的废标，重新开展采购活动：</w:t>
      </w:r>
    </w:p>
    <w:p w14:paraId="022305CD">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（1）投标供应商不足三家的；</w:t>
      </w:r>
    </w:p>
    <w:p w14:paraId="73571BE4">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（2）同时通过资格审查和符合性审查的有效供应商不足三家的；</w:t>
      </w:r>
    </w:p>
    <w:p w14:paraId="78DCC1A0">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（3）出现影响采购公正的违法、违规行为的；</w:t>
      </w:r>
    </w:p>
    <w:p w14:paraId="2F794A0B">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（4）投标供应商的报价均属于无效报价的；</w:t>
      </w:r>
    </w:p>
    <w:p w14:paraId="49515EDA">
      <w:pPr>
        <w:ind w:firstLine="560" w:firstLineChars="200"/>
        <w:rPr>
          <w:rFonts w:hint="eastAsia"/>
          <w:sz w:val="28"/>
          <w:szCs w:val="28"/>
          <w:lang w:val="en-US" w:eastAsia="zh-CN"/>
        </w:rPr>
      </w:pPr>
      <w:r>
        <w:rPr>
          <w:rFonts w:hint="eastAsia"/>
          <w:sz w:val="28"/>
          <w:szCs w:val="28"/>
          <w:lang w:val="en-US" w:eastAsia="zh-CN"/>
        </w:rPr>
        <w:t>（5）因重大变故，采购任务取消的。</w:t>
      </w:r>
    </w:p>
    <w:p w14:paraId="5C538C7D">
      <w:pPr>
        <w:rPr>
          <w:rFonts w:hint="eastAsia"/>
          <w:sz w:val="28"/>
          <w:szCs w:val="28"/>
          <w:lang w:val="en-US" w:eastAsia="zh-CN"/>
        </w:rPr>
      </w:pPr>
      <w:r>
        <w:rPr>
          <w:rFonts w:hint="eastAsia"/>
          <w:sz w:val="28"/>
          <w:szCs w:val="28"/>
          <w:lang w:val="en-US" w:eastAsia="zh-CN"/>
        </w:rPr>
        <w:br w:type="page"/>
      </w:r>
    </w:p>
    <w:p w14:paraId="1DA003C1">
      <w:pPr>
        <w:spacing w:line="48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采购内容及要求</w:t>
      </w:r>
    </w:p>
    <w:p w14:paraId="1A411BB6">
      <w:pPr>
        <w:pStyle w:val="5"/>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、采购内容</w:t>
      </w:r>
      <w:r>
        <w:rPr>
          <w:rFonts w:hint="eastAsia" w:ascii="宋体" w:hAnsi="宋体" w:eastAsia="宋体" w:cs="宋体"/>
          <w:sz w:val="28"/>
          <w:szCs w:val="28"/>
        </w:rPr>
        <w:t>：</w:t>
      </w:r>
      <w:r>
        <w:rPr>
          <w:rFonts w:hint="eastAsia" w:ascii="宋体" w:hAnsi="宋体" w:eastAsia="宋体" w:cs="宋体"/>
          <w:sz w:val="28"/>
          <w:szCs w:val="28"/>
          <w:lang w:val="en-US" w:eastAsia="zh-CN"/>
        </w:rPr>
        <w:t>陇县中学学生公寓内设物品采购项目拟采购一批学生用的上床下桌、架子床、储物柜、置物架，以及公寓楼值班室的床架、床垫等必要用品。</w:t>
      </w:r>
    </w:p>
    <w:p w14:paraId="4949B3CD">
      <w:pPr>
        <w:pStyle w:val="5"/>
        <w:ind w:firstLine="560" w:firstLineChars="200"/>
        <w:rPr>
          <w:rFonts w:eastAsia="宋体"/>
          <w:b/>
          <w:bCs/>
          <w:sz w:val="28"/>
          <w:szCs w:val="28"/>
          <w:lang w:eastAsia="zh-CN"/>
        </w:rPr>
      </w:pPr>
      <w:r>
        <w:rPr>
          <w:rFonts w:hint="eastAsia" w:ascii="宋体" w:hAnsi="宋体" w:eastAsia="宋体" w:cs="宋体"/>
          <w:sz w:val="28"/>
          <w:szCs w:val="28"/>
          <w:lang w:val="en-US" w:eastAsia="zh-CN"/>
        </w:rPr>
        <w:t>二</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技术</w:t>
      </w:r>
      <w:r>
        <w:rPr>
          <w:rFonts w:hint="eastAsia" w:ascii="宋体" w:hAnsi="宋体" w:eastAsia="宋体" w:cs="宋体"/>
          <w:b/>
          <w:bCs/>
          <w:sz w:val="28"/>
          <w:szCs w:val="28"/>
          <w:lang w:eastAsia="zh-CN"/>
        </w:rPr>
        <w:t>参数</w:t>
      </w:r>
    </w:p>
    <w:tbl>
      <w:tblPr>
        <w:tblStyle w:val="17"/>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655"/>
        <w:gridCol w:w="610"/>
        <w:gridCol w:w="526"/>
        <w:gridCol w:w="6074"/>
        <w:gridCol w:w="813"/>
      </w:tblGrid>
      <w:tr w14:paraId="1A6A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dxa"/>
            <w:noWrap w:val="0"/>
            <w:vAlign w:val="center"/>
          </w:tcPr>
          <w:p w14:paraId="317DD8C2">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bookmarkStart w:id="1" w:name="bookmark32"/>
            <w:bookmarkEnd w:id="1"/>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序号</w:t>
            </w:r>
          </w:p>
        </w:tc>
        <w:tc>
          <w:tcPr>
            <w:tcW w:w="655" w:type="dxa"/>
            <w:noWrap w:val="0"/>
            <w:vAlign w:val="center"/>
          </w:tcPr>
          <w:p w14:paraId="0358FFA5">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610" w:type="dxa"/>
            <w:noWrap w:val="0"/>
            <w:vAlign w:val="center"/>
          </w:tcPr>
          <w:p w14:paraId="31355546">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数量</w:t>
            </w:r>
          </w:p>
        </w:tc>
        <w:tc>
          <w:tcPr>
            <w:tcW w:w="526" w:type="dxa"/>
            <w:noWrap w:val="0"/>
            <w:vAlign w:val="center"/>
          </w:tcPr>
          <w:p w14:paraId="6F540464">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单位</w:t>
            </w:r>
          </w:p>
        </w:tc>
        <w:tc>
          <w:tcPr>
            <w:tcW w:w="6074" w:type="dxa"/>
            <w:noWrap w:val="0"/>
            <w:vAlign w:val="center"/>
          </w:tcPr>
          <w:p w14:paraId="599CC6B9">
            <w:pPr>
              <w:pageBreakBefore w:val="0"/>
              <w:widowControl w:val="0"/>
              <w:kinsoku/>
              <w:overflowPunct/>
              <w:topLinePunct w:val="0"/>
              <w:autoSpaceDE/>
              <w:autoSpaceDN/>
              <w:bidi w:val="0"/>
              <w:adjustRightInd/>
              <w:spacing w:line="420" w:lineRule="exact"/>
              <w:ind w:firstLine="2310" w:firstLineChars="11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规格参数要求</w:t>
            </w:r>
          </w:p>
        </w:tc>
        <w:tc>
          <w:tcPr>
            <w:tcW w:w="813" w:type="dxa"/>
            <w:noWrap w:val="0"/>
            <w:vAlign w:val="center"/>
          </w:tcPr>
          <w:p w14:paraId="6B4FA833">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备注</w:t>
            </w:r>
          </w:p>
        </w:tc>
      </w:tr>
      <w:tr w14:paraId="06D6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1" w:hRule="atLeast"/>
        </w:trPr>
        <w:tc>
          <w:tcPr>
            <w:tcW w:w="411" w:type="dxa"/>
            <w:noWrap w:val="0"/>
            <w:vAlign w:val="center"/>
          </w:tcPr>
          <w:p w14:paraId="536ECF6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1</w:t>
            </w:r>
          </w:p>
        </w:tc>
        <w:tc>
          <w:tcPr>
            <w:tcW w:w="655" w:type="dxa"/>
            <w:noWrap w:val="0"/>
            <w:vAlign w:val="center"/>
          </w:tcPr>
          <w:p w14:paraId="08DE58E1">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上床</w:t>
            </w:r>
          </w:p>
          <w:p w14:paraId="04B8DB42">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下桌</w:t>
            </w:r>
          </w:p>
        </w:tc>
        <w:tc>
          <w:tcPr>
            <w:tcW w:w="610" w:type="dxa"/>
            <w:noWrap w:val="0"/>
            <w:vAlign w:val="center"/>
          </w:tcPr>
          <w:p w14:paraId="29F0BA17">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236</w:t>
            </w:r>
          </w:p>
        </w:tc>
        <w:tc>
          <w:tcPr>
            <w:tcW w:w="526" w:type="dxa"/>
            <w:noWrap w:val="0"/>
            <w:vAlign w:val="center"/>
          </w:tcPr>
          <w:p w14:paraId="7570C5A0">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套</w:t>
            </w:r>
          </w:p>
        </w:tc>
        <w:tc>
          <w:tcPr>
            <w:tcW w:w="6074" w:type="dxa"/>
            <w:noWrap w:val="0"/>
            <w:vAlign w:val="center"/>
          </w:tcPr>
          <w:p w14:paraId="1A25627F">
            <w:pPr>
              <w:keepNext w:val="0"/>
              <w:keepLines w:val="0"/>
              <w:pageBreakBefore w:val="0"/>
              <w:kinsoku/>
              <w:overflowPunct/>
              <w:topLinePunct w:val="0"/>
              <w:autoSpaceDE/>
              <w:autoSpaceDN/>
              <w:bidi w:val="0"/>
              <w:adjustRightInd/>
              <w:spacing w:line="34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一、单床</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尺寸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00mm*宽900mm*高2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 mm</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2A0AF00">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 xml:space="preserve">二、制作采用标准和质量要求： </w:t>
            </w:r>
          </w:p>
          <w:p w14:paraId="3164E086">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材质为冷轧钢板,钢管表面无毛刺、结疤、错位、压痕或划痕；冷轧钢板须符合国家相关标准。</w:t>
            </w:r>
          </w:p>
          <w:p w14:paraId="2C9852E7">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每张床承重≥400kg；</w:t>
            </w:r>
          </w:p>
          <w:p w14:paraId="513B1F02">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所有钢材均采用国家标准钢，钢架床焊接采用二氧化碳气体保护焊接，表面经除油、去锈、磷化、静电喷粉、高温固化而成；</w:t>
            </w:r>
          </w:p>
          <w:p w14:paraId="6200BCBE">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表面除锈镀层要求：涂饰前零部件的表面应光滑、平整，不得有开裂、脱焊、漏焊、焊渣或飞边、尖角、毛刺等可能超成机械伤害的缺陷。表面至少须经过“除油—水洗—抛丸—除锈—清洗—烘干”处理，预备处理后表面无氧化皮、锈蚀、粘砂等其他杂质；</w:t>
            </w:r>
          </w:p>
          <w:p w14:paraId="4B7E715E">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喷塑要求：采用热固性粉末涂料喷塑，喷塑外膜的表面光滑平整，色泽均匀，塑层无漏喷、起泡、模糊、划痕或碰伤等缺陷。塑粉（金属表面粉末涂料）须符合国家相关标准。</w:t>
            </w:r>
          </w:p>
          <w:p w14:paraId="45377432">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提供主要配件符合国家标准的第三方检测报告（加盖供应商公章）。</w:t>
            </w:r>
          </w:p>
          <w:p w14:paraId="0655EB72">
            <w:pPr>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三、材质与尺寸要求</w:t>
            </w:r>
          </w:p>
          <w:p w14:paraId="5EFD7BCD">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立柱：采用一次轧制而成闭口咬合型材管（不允许焊接），立面成型后尺寸≥88mm*76mm,材料厚度为≥1.2mm,管材三面均有凸起≥10mm等弧圆边加强筋，一面为平面，便于焊接床横管。符合金属家具通用技术条件,金属件外观合格。符合GB/T3325-2024金属家具通用技术条件：金属喷塑涂层附着力≤2级，金属件外观合格。</w:t>
            </w:r>
          </w:p>
          <w:p w14:paraId="3532E575">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前横梁：采用一次轧制而成闭口P型管（不允许焊接），立面成型后尺寸≥101mm*40mm,管材上端设计安装床铺板的直角台阶承托床铺板,正面≥3条内凹加强筋，背面≥2条内凹加强筋；横梁P型管底面为内弧形凹槽设计，凹形槽内锲入相对应规格防撞夜光条能增加安全且防碰撞。符合QB/T4767-2014家具用钢构件的要求以及QB/T3826-1999和QB/T3827-1999的相关技术要求。</w:t>
            </w:r>
          </w:p>
          <w:p w14:paraId="63BEF6F3">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后横梁：选用闭口型材管，管材壁厚≥1.2mm；管材横截面尺57mm*97mm；管材上端设计安装床铺板的直角台阶承托床铺板床连接挂件，台阶下面≥2条内凹加强筋，与墙体接触面外凸20mm,根据房间踢脚线厚度20mm设计；填充床体与墙面间隙使床体有晃动时更稳固。</w:t>
            </w:r>
          </w:p>
          <w:p w14:paraId="44FFC904">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侧短横梁规格为50mm*30mm方管；采用厚度≥1.0mm优质国标钢材制作。床头竖杆采用3根≥20*20*1.0mm圆管，床头上档拉料采用≥25mm*25mm*1.0mm方管。</w:t>
            </w:r>
          </w:p>
          <w:p w14:paraId="2FF4A6FE">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后拉杆：规格为50mm*30mm工字型槽钢；采用厚度≥1.0mm优质国标钢材制作，支撑横梁两侧设计有宽25mm*深3mm凹槽加强筋，增强抗折弯力</w:t>
            </w:r>
          </w:p>
          <w:p w14:paraId="2FE995B6">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床体连接卡件：采用国标优质钢板经数控冲床一次冲压拉伸成型，成型后外形规格约为呈圆弧状与立柱匹配，卡件≥长210mm*宽70mm*厚1.8mm，卡件侧板2端设有2条不低于5mm宽加强边沿；卡件与立柱进深≥20mm，挂齿由导向段和锁紧段组成挂齿最窄处不低于20mm，符合GB/T3325-2024金属家具通用技术条件。</w:t>
            </w:r>
          </w:p>
          <w:p w14:paraId="0C82D215">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护栏：采用长度≥1600mm，高度≥350mm，壁厚≥1.0mm圆管一次性弯折成型，护栏中部由≥4根圆管进行支撑，整体结实耐用，安全性能好。符合GB/T3325-2024金属家具通用技术条件：金属涂层硬度≥3H；金属喷塑涂层附着力≤2级，金属件外观合格。</w:t>
            </w:r>
          </w:p>
          <w:p w14:paraId="0520CA6F">
            <w:pPr>
              <w:keepNext w:val="0"/>
              <w:keepLines w:val="0"/>
              <w:pageBreakBefore w:val="0"/>
              <w:widowControl/>
              <w:suppressLineNumbers w:val="0"/>
              <w:kinsoku/>
              <w:wordWrap w:val="0"/>
              <w:overflowPunct/>
              <w:topLinePunct w:val="0"/>
              <w:autoSpaceDE/>
              <w:autoSpaceDN/>
              <w:bidi w:val="0"/>
              <w:adjustRightInd/>
              <w:snapToGrid w:val="0"/>
              <w:spacing w:line="340" w:lineRule="exact"/>
              <w:jc w:val="left"/>
              <w:rPr>
                <w:rFonts w:hint="eastAsia" w:asciiTheme="minorEastAsia" w:hAnsi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中部步梯：用于连接两套上床下桌，主型材采用 25mm*25mm 方形管材，厚度</w:t>
            </w:r>
            <w:r>
              <w:rPr>
                <w:rFonts w:hint="eastAsia" w:asciiTheme="minorEastAsia" w:hAnsiTheme="minorEastAsia" w:eastAsiaTheme="minorEastAsia" w:cstheme="minorEastAsia"/>
                <w:b w:val="0"/>
                <w:bCs w:val="0"/>
                <w:i w:val="0"/>
                <w:iCs w:val="0"/>
                <w:color w:val="auto"/>
                <w:kern w:val="0"/>
                <w:sz w:val="21"/>
                <w:szCs w:val="21"/>
                <w:highlight w:val="none"/>
                <w:u w:val="none"/>
                <w:lang w:val="zh-CN"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1.2mm 经模压焊接成型，踏步设计防滑处理并设计塑料荧光踏板，具有防磕碰，和夜间踏板处醒目的效果，踏板后侧采用弧面设计，避免内侧学生磕碰造成危险，踏板长度不低于 500mm，踏步设计≥4踏，（荧光踏板不允许采用 3D 打印），符合GB/T3325-2024金属家具通用技术条件：金属涂层硬度≥3H；金属喷塑涂层附着力≤2级，金属件外观合格。               9</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床立柱脚垫：采用PP工程塑料全新料一次注塑成型，脚套整体为内塞状内部设有十字加强结构，下脚套套入管内进深</w:t>
            </w:r>
            <w:r>
              <w:rPr>
                <w:rFonts w:hint="eastAsia" w:asciiTheme="minorEastAsia" w:hAnsiTheme="minorEastAsia" w:eastAsiaTheme="minorEastAsia" w:cstheme="minorEastAsia"/>
                <w:b w:val="0"/>
                <w:bCs w:val="0"/>
                <w:i w:val="0"/>
                <w:iCs w:val="0"/>
                <w:color w:val="auto"/>
                <w:kern w:val="0"/>
                <w:sz w:val="21"/>
                <w:szCs w:val="21"/>
                <w:highlight w:val="none"/>
                <w:u w:val="none"/>
                <w:lang w:val="zh-CN"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30mm；上脚套套入管内进深≥50mm</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p>
          <w:p w14:paraId="5DF93547">
            <w:pPr>
              <w:keepNext w:val="0"/>
              <w:keepLines w:val="0"/>
              <w:pageBreakBefore w:val="0"/>
              <w:widowControl/>
              <w:suppressLineNumbers w:val="0"/>
              <w:kinsoku/>
              <w:wordWrap w:val="0"/>
              <w:overflowPunct/>
              <w:topLinePunct w:val="0"/>
              <w:autoSpaceDE/>
              <w:autoSpaceDN/>
              <w:bidi w:val="0"/>
              <w:adjustRightInd/>
              <w:snapToGrid w:val="0"/>
              <w:spacing w:line="340" w:lineRule="exact"/>
              <w:jc w:val="left"/>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10</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床铺板：采用实木多层板≥15mm,</w:t>
            </w:r>
            <w:r>
              <w:rPr>
                <w:rFonts w:hint="default" w:asciiTheme="minorEastAsia" w:hAnsiTheme="minorEastAsia" w:cstheme="minorEastAsia"/>
                <w:b w:val="0"/>
                <w:bCs w:val="0"/>
                <w:i w:val="0"/>
                <w:iCs w:val="0"/>
                <w:color w:val="auto"/>
                <w:kern w:val="0"/>
                <w:sz w:val="21"/>
                <w:szCs w:val="21"/>
                <w:highlight w:val="none"/>
                <w:u w:val="none"/>
                <w:lang w:eastAsia="zh-CN" w:bidi="ar"/>
              </w:rPr>
              <w:t>甲醛含量气候箱法≤0.025mg/m³，</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含水量按国标要求执行，无霉点，双面刨光，床板面平整、光滑，双面平整，不变形，材料需进行熏蒸杀虫、干燥处理，无边角缺陷、虫蛀、腐朽、霉变、开裂、变形等。提供检验报告，报告包含有害物质限量。</w:t>
            </w:r>
          </w:p>
          <w:p w14:paraId="6703D3DA">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r>
              <w:rPr>
                <w:rFonts w:hint="eastAsia" w:asciiTheme="minorEastAsia" w:hAnsiTheme="minorEastAsia" w:cstheme="minorEastAsia"/>
                <w:b w:val="0"/>
                <w:bCs w:val="0"/>
                <w:i w:val="0"/>
                <w:iCs w:val="0"/>
                <w:color w:val="auto"/>
                <w:kern w:val="0"/>
                <w:sz w:val="21"/>
                <w:szCs w:val="21"/>
                <w:highlight w:val="none"/>
                <w:u w:val="none"/>
                <w:lang w:val="en-US" w:eastAsia="zh-CN" w:bidi="ar"/>
              </w:rPr>
              <w:t>1.</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组合柜材质要求：  </w:t>
            </w:r>
          </w:p>
          <w:p w14:paraId="7AB24403">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长1880mm*高1680mm*深600mm（尺寸按实际空间制作）</w:t>
            </w:r>
          </w:p>
          <w:p w14:paraId="29256D7B">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（1）公寓柜材质要求：</w:t>
            </w:r>
          </w:p>
          <w:p w14:paraId="190177D5">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书桌高度≥760mm，桌下柜一屉一柜，按整体配套确定书桌、书架、衣柜尺寸搭配。</w:t>
            </w:r>
          </w:p>
          <w:p w14:paraId="256D3586">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（2）写字桌面规格：长1210mm*宽600mm*厚25mm，板材采用环保饰面中纤板一次性塑料注塑封边成型，提供检验报告，报告包含有害物质限量。</w:t>
            </w:r>
          </w:p>
          <w:p w14:paraId="4330A265">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衣柜、书架、桌下柜：采用冷轧钢板，侧板、顶板、底板采用厚0.6mm，衣柜上下门板、小柜门板、内托层板及底板内加强筋（位于各面板、层板、底板中部）厚0.6mm，柜背板采用厚0.5mm冷轧钢板，柜内采用不锈钢挂衣杆，柜子底部配钢制脚垫。</w:t>
            </w:r>
          </w:p>
          <w:p w14:paraId="5D8F3BC3">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（4）配件部分：衣柜门锁具明挂锁。 </w:t>
            </w:r>
          </w:p>
          <w:p w14:paraId="77739793">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r>
              <w:rPr>
                <w:rFonts w:hint="eastAsia" w:asciiTheme="minorEastAsia" w:hAnsiTheme="minorEastAsia" w:cstheme="minorEastAsia"/>
                <w:b w:val="0"/>
                <w:bCs w:val="0"/>
                <w:i w:val="0"/>
                <w:iCs w:val="0"/>
                <w:color w:val="auto"/>
                <w:kern w:val="0"/>
                <w:sz w:val="21"/>
                <w:szCs w:val="21"/>
                <w:highlight w:val="none"/>
                <w:u w:val="none"/>
                <w:lang w:val="en-US" w:eastAsia="zh-CN" w:bidi="ar"/>
              </w:rPr>
              <w:t>2</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.靠背椅：</w:t>
            </w:r>
          </w:p>
          <w:p w14:paraId="62BE7914">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（1）椅架：椅脚和靠背管都采用≥30*15*1.2mm椭圆钢管，座脚中间连接杆采用≥30*15*1.2mm椭圆钢管。</w:t>
            </w:r>
          </w:p>
          <w:p w14:paraId="5343DAE4">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（2）座板：要求采用HDPE高度密度聚乙烯材料，座板前端≥420mm，座深≥385mm，厚≥25mm。</w:t>
            </w:r>
          </w:p>
          <w:p w14:paraId="3D29D45A">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（3）背板：要求采用HDPE高度密度聚乙烯材料，规格为≥420*260*25mm。座板和背板表面皮纹处理，采用弧形加凹型设计，造型符合人体工程学，坐感舒适。背板上方具有仿手型拉手口，易于搬动。</w:t>
            </w:r>
          </w:p>
          <w:p w14:paraId="0FB125D9">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（4）脚套：要求采用厚≥15mm。优质PP工程塑料一体成型内塞。</w:t>
            </w:r>
          </w:p>
          <w:p w14:paraId="339A2CF2">
            <w:pPr>
              <w:keepNext w:val="0"/>
              <w:keepLines w:val="0"/>
              <w:pageBreakBefore w:val="0"/>
              <w:widowControl/>
              <w:suppressLineNumbers w:val="0"/>
              <w:kinsoku/>
              <w:wordWrap w:val="0"/>
              <w:overflowPunct/>
              <w:topLinePunct w:val="0"/>
              <w:autoSpaceDE/>
              <w:autoSpaceDN/>
              <w:bidi w:val="0"/>
              <w:adjustRightInd/>
              <w:snapToGrid w:val="0"/>
              <w:spacing w:line="340" w:lineRule="exact"/>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r>
              <w:rPr>
                <w:rFonts w:hint="eastAsia" w:asciiTheme="minorEastAsia" w:hAnsiTheme="minorEastAsia" w:cstheme="minorEastAsia"/>
                <w:b w:val="0"/>
                <w:bCs w:val="0"/>
                <w:i w:val="0"/>
                <w:iCs w:val="0"/>
                <w:color w:val="auto"/>
                <w:kern w:val="0"/>
                <w:sz w:val="21"/>
                <w:szCs w:val="21"/>
                <w:highlight w:val="none"/>
                <w:u w:val="none"/>
                <w:lang w:val="en-US" w:eastAsia="zh-CN" w:bidi="ar"/>
              </w:rPr>
              <w:t>3.</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中部步梯与两套上床下桌连接后式样参照图片（颜色不做参考）</w:t>
            </w:r>
          </w:p>
        </w:tc>
        <w:tc>
          <w:tcPr>
            <w:tcW w:w="813" w:type="dxa"/>
            <w:noWrap w:val="0"/>
            <w:vAlign w:val="center"/>
          </w:tcPr>
          <w:p w14:paraId="0229B9EE">
            <w:pPr>
              <w:pageBreakBefore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含</w:t>
            </w:r>
          </w:p>
          <w:p w14:paraId="26B7A52D">
            <w:pPr>
              <w:pageBreakBefore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w:t>
            </w:r>
          </w:p>
          <w:p w14:paraId="78B0C23F">
            <w:pPr>
              <w:pageBreakBefore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件</w:t>
            </w:r>
          </w:p>
        </w:tc>
      </w:tr>
      <w:tr w14:paraId="44EA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0" w:hRule="atLeast"/>
        </w:trPr>
        <w:tc>
          <w:tcPr>
            <w:tcW w:w="8276" w:type="dxa"/>
            <w:gridSpan w:val="5"/>
            <w:noWrap w:val="0"/>
            <w:vAlign w:val="center"/>
          </w:tcPr>
          <w:p w14:paraId="2AE96313">
            <w:pPr>
              <w:keepNext w:val="0"/>
              <w:keepLines w:val="0"/>
              <w:pageBreakBefore w:val="0"/>
              <w:widowControl/>
              <w:kinsoku/>
              <w:wordWrap w:val="0"/>
              <w:overflowPunct/>
              <w:topLinePunct w:val="0"/>
              <w:autoSpaceDE/>
              <w:autoSpaceDN/>
              <w:bidi w:val="0"/>
              <w:adjustRightInd/>
              <w:snapToGrid w:val="0"/>
              <w:spacing w:line="300" w:lineRule="exact"/>
              <w:jc w:val="both"/>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anchor distT="0" distB="0" distL="114300" distR="114300" simplePos="0" relativeHeight="251659264" behindDoc="0" locked="0" layoutInCell="1" allowOverlap="1">
                  <wp:simplePos x="0" y="0"/>
                  <wp:positionH relativeFrom="column">
                    <wp:posOffset>-56515</wp:posOffset>
                  </wp:positionH>
                  <wp:positionV relativeFrom="paragraph">
                    <wp:posOffset>1270</wp:posOffset>
                  </wp:positionV>
                  <wp:extent cx="5185410" cy="2812415"/>
                  <wp:effectExtent l="0" t="0" r="15240" b="6985"/>
                  <wp:wrapNone/>
                  <wp:docPr id="2" name="图片 2" descr="e3c1f5a7ce081512a56a10638ae1b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3c1f5a7ce081512a56a10638ae1b671"/>
                          <pic:cNvPicPr>
                            <a:picLocks noChangeAspect="1"/>
                          </pic:cNvPicPr>
                        </pic:nvPicPr>
                        <pic:blipFill>
                          <a:blip r:embed="rId7"/>
                          <a:srcRect l="4129" t="7832" r="4347" b="13808"/>
                          <a:stretch>
                            <a:fillRect/>
                          </a:stretch>
                        </pic:blipFill>
                        <pic:spPr>
                          <a:xfrm>
                            <a:off x="0" y="0"/>
                            <a:ext cx="5185410" cy="2812415"/>
                          </a:xfrm>
                          <a:prstGeom prst="rect">
                            <a:avLst/>
                          </a:prstGeom>
                        </pic:spPr>
                      </pic:pic>
                    </a:graphicData>
                  </a:graphic>
                </wp:anchor>
              </w:drawing>
            </w:r>
          </w:p>
          <w:p w14:paraId="5C02AF62">
            <w:pPr>
              <w:keepNext w:val="0"/>
              <w:keepLines w:val="0"/>
              <w:pageBreakBefore w:val="0"/>
              <w:widowControl/>
              <w:kinsoku/>
              <w:wordWrap w:val="0"/>
              <w:overflowPunct/>
              <w:topLinePunct w:val="0"/>
              <w:autoSpaceDE/>
              <w:autoSpaceDN/>
              <w:bidi w:val="0"/>
              <w:adjustRightInd/>
              <w:snapToGrid w:val="0"/>
              <w:spacing w:line="300" w:lineRule="exact"/>
              <w:jc w:val="both"/>
              <w:textAlignment w:val="center"/>
              <w:rPr>
                <w:rFonts w:hint="eastAsia" w:asciiTheme="minorEastAsia" w:hAnsiTheme="minorEastAsia" w:eastAsiaTheme="minorEastAsia" w:cstheme="minorEastAsia"/>
                <w:sz w:val="21"/>
                <w:szCs w:val="21"/>
                <w:lang w:eastAsia="zh-CN"/>
              </w:rPr>
            </w:pPr>
          </w:p>
          <w:p w14:paraId="52F0F371">
            <w:pPr>
              <w:keepNext w:val="0"/>
              <w:keepLines w:val="0"/>
              <w:pageBreakBefore w:val="0"/>
              <w:widowControl/>
              <w:kinsoku/>
              <w:wordWrap w:val="0"/>
              <w:overflowPunct/>
              <w:topLinePunct w:val="0"/>
              <w:autoSpaceDE/>
              <w:autoSpaceDN/>
              <w:bidi w:val="0"/>
              <w:adjustRightInd/>
              <w:snapToGrid w:val="0"/>
              <w:spacing w:line="300" w:lineRule="exact"/>
              <w:jc w:val="both"/>
              <w:textAlignment w:val="center"/>
              <w:rPr>
                <w:rFonts w:hint="eastAsia" w:asciiTheme="minorEastAsia" w:hAnsiTheme="minorEastAsia" w:eastAsiaTheme="minorEastAsia" w:cstheme="minorEastAsia"/>
                <w:sz w:val="21"/>
                <w:szCs w:val="21"/>
                <w:lang w:eastAsia="zh-CN"/>
              </w:rPr>
            </w:pPr>
          </w:p>
          <w:p w14:paraId="0D3D7E1F">
            <w:pPr>
              <w:keepNext w:val="0"/>
              <w:keepLines w:val="0"/>
              <w:pageBreakBefore w:val="0"/>
              <w:widowControl/>
              <w:kinsoku/>
              <w:wordWrap w:val="0"/>
              <w:overflowPunct/>
              <w:topLinePunct w:val="0"/>
              <w:autoSpaceDE/>
              <w:autoSpaceDN/>
              <w:bidi w:val="0"/>
              <w:adjustRightInd/>
              <w:snapToGrid w:val="0"/>
              <w:spacing w:line="300" w:lineRule="exact"/>
              <w:jc w:val="both"/>
              <w:textAlignment w:val="center"/>
              <w:rPr>
                <w:rFonts w:hint="eastAsia" w:asciiTheme="minorEastAsia" w:hAnsiTheme="minorEastAsia" w:eastAsiaTheme="minorEastAsia" w:cstheme="minorEastAsia"/>
                <w:sz w:val="21"/>
                <w:szCs w:val="21"/>
                <w:lang w:eastAsia="zh-CN"/>
              </w:rPr>
            </w:pPr>
          </w:p>
          <w:p w14:paraId="6BCC4F5F">
            <w:pPr>
              <w:keepNext w:val="0"/>
              <w:keepLines w:val="0"/>
              <w:pageBreakBefore w:val="0"/>
              <w:widowControl/>
              <w:kinsoku/>
              <w:wordWrap w:val="0"/>
              <w:overflowPunct/>
              <w:topLinePunct w:val="0"/>
              <w:autoSpaceDE/>
              <w:autoSpaceDN/>
              <w:bidi w:val="0"/>
              <w:adjustRightInd/>
              <w:snapToGrid w:val="0"/>
              <w:spacing w:line="300" w:lineRule="exact"/>
              <w:jc w:val="both"/>
              <w:textAlignment w:val="center"/>
              <w:rPr>
                <w:rFonts w:hint="eastAsia" w:asciiTheme="minorEastAsia" w:hAnsiTheme="minorEastAsia" w:eastAsiaTheme="minorEastAsia" w:cstheme="minorEastAsia"/>
                <w:sz w:val="21"/>
                <w:szCs w:val="21"/>
                <w:lang w:eastAsia="zh-CN"/>
              </w:rPr>
            </w:pPr>
          </w:p>
        </w:tc>
        <w:tc>
          <w:tcPr>
            <w:tcW w:w="813" w:type="dxa"/>
            <w:noWrap w:val="0"/>
            <w:vAlign w:val="center"/>
          </w:tcPr>
          <w:p w14:paraId="0B11A97E">
            <w:pPr>
              <w:pageBreakBefore w:val="0"/>
              <w:widowControl w:val="0"/>
              <w:kinsoku/>
              <w:overflowPunct/>
              <w:topLinePunct w:val="0"/>
              <w:autoSpaceDE/>
              <w:autoSpaceDN/>
              <w:bidi w:val="0"/>
              <w:adjustRightInd/>
              <w:spacing w:line="420" w:lineRule="exact"/>
              <w:jc w:val="both"/>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上</w:t>
            </w:r>
          </w:p>
          <w:p w14:paraId="7A3F7B9E">
            <w:pPr>
              <w:pageBreakBefore w:val="0"/>
              <w:widowControl w:val="0"/>
              <w:kinsoku/>
              <w:overflowPunct/>
              <w:topLinePunct w:val="0"/>
              <w:autoSpaceDE/>
              <w:autoSpaceDN/>
              <w:bidi w:val="0"/>
              <w:adjustRightInd/>
              <w:spacing w:line="420" w:lineRule="exact"/>
              <w:jc w:val="both"/>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床</w:t>
            </w:r>
          </w:p>
          <w:p w14:paraId="180FDF0D">
            <w:pPr>
              <w:pageBreakBefore w:val="0"/>
              <w:widowControl w:val="0"/>
              <w:kinsoku/>
              <w:overflowPunct/>
              <w:topLinePunct w:val="0"/>
              <w:autoSpaceDE/>
              <w:autoSpaceDN/>
              <w:bidi w:val="0"/>
              <w:adjustRightInd/>
              <w:spacing w:line="420" w:lineRule="exact"/>
              <w:jc w:val="both"/>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下</w:t>
            </w:r>
          </w:p>
          <w:p w14:paraId="10561E72">
            <w:pPr>
              <w:pageBreakBefore w:val="0"/>
              <w:widowControl w:val="0"/>
              <w:kinsoku/>
              <w:overflowPunct/>
              <w:topLinePunct w:val="0"/>
              <w:autoSpaceDE/>
              <w:autoSpaceDN/>
              <w:bidi w:val="0"/>
              <w:adjustRightInd/>
              <w:spacing w:line="420" w:lineRule="exact"/>
              <w:jc w:val="both"/>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桌</w:t>
            </w:r>
          </w:p>
          <w:p w14:paraId="4BFC26BF">
            <w:pPr>
              <w:pageBreakBefore w:val="0"/>
              <w:widowControl w:val="0"/>
              <w:kinsoku/>
              <w:overflowPunct/>
              <w:topLinePunct w:val="0"/>
              <w:autoSpaceDE/>
              <w:autoSpaceDN/>
              <w:bidi w:val="0"/>
              <w:adjustRightInd/>
              <w:spacing w:line="420" w:lineRule="exact"/>
              <w:jc w:val="both"/>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图</w:t>
            </w:r>
          </w:p>
          <w:p w14:paraId="7DE6CA10">
            <w:pPr>
              <w:pageBreakBefore w:val="0"/>
              <w:widowControl w:val="0"/>
              <w:kinsoku/>
              <w:overflowPunct/>
              <w:topLinePunct w:val="0"/>
              <w:autoSpaceDE/>
              <w:autoSpaceDN/>
              <w:bidi w:val="0"/>
              <w:adjustRightInd/>
              <w:spacing w:line="420" w:lineRule="exact"/>
              <w:jc w:val="both"/>
              <w:rPr>
                <w:rFonts w:hint="default"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例</w:t>
            </w:r>
          </w:p>
        </w:tc>
      </w:tr>
      <w:tr w14:paraId="1725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0" w:hRule="atLeast"/>
        </w:trPr>
        <w:tc>
          <w:tcPr>
            <w:tcW w:w="411" w:type="dxa"/>
            <w:noWrap w:val="0"/>
            <w:vAlign w:val="center"/>
          </w:tcPr>
          <w:p w14:paraId="404824D2">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w:t>
            </w:r>
          </w:p>
        </w:tc>
        <w:tc>
          <w:tcPr>
            <w:tcW w:w="655" w:type="dxa"/>
            <w:noWrap w:val="0"/>
            <w:vAlign w:val="center"/>
          </w:tcPr>
          <w:p w14:paraId="2084DBFB">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35439F14">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子</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床</w:t>
            </w:r>
          </w:p>
        </w:tc>
        <w:tc>
          <w:tcPr>
            <w:tcW w:w="610" w:type="dxa"/>
            <w:noWrap w:val="0"/>
            <w:vAlign w:val="center"/>
          </w:tcPr>
          <w:p w14:paraId="58E5D15D">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443</w:t>
            </w:r>
          </w:p>
        </w:tc>
        <w:tc>
          <w:tcPr>
            <w:tcW w:w="526" w:type="dxa"/>
            <w:noWrap w:val="0"/>
            <w:vAlign w:val="center"/>
          </w:tcPr>
          <w:p w14:paraId="6326C781">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套</w:t>
            </w:r>
          </w:p>
        </w:tc>
        <w:tc>
          <w:tcPr>
            <w:tcW w:w="6074" w:type="dxa"/>
            <w:noWrap w:val="0"/>
            <w:vAlign w:val="center"/>
          </w:tcPr>
          <w:p w14:paraId="23F2E2CC">
            <w:pPr>
              <w:keepNext w:val="0"/>
              <w:keepLines w:val="0"/>
              <w:pageBreakBefore w:val="0"/>
              <w:widowControl/>
              <w:suppressLineNumbers w:val="0"/>
              <w:kinsoku/>
              <w:wordWrap w:val="0"/>
              <w:overflowPunct/>
              <w:topLinePunct w:val="0"/>
              <w:autoSpaceDE/>
              <w:autoSpaceDN/>
              <w:bidi w:val="0"/>
              <w:adjustRightInd/>
              <w:snapToGrid w:val="0"/>
              <w:spacing w:line="340" w:lineRule="exact"/>
              <w:jc w:val="left"/>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、整体尺寸：长 2000mm*宽900mm*高1800mm </w:t>
            </w:r>
          </w:p>
          <w:p w14:paraId="459D3E12">
            <w:pPr>
              <w:keepNext w:val="0"/>
              <w:keepLines w:val="0"/>
              <w:pageBreakBefore w:val="0"/>
              <w:widowControl/>
              <w:suppressLineNumbers w:val="0"/>
              <w:kinsoku/>
              <w:wordWrap w:val="0"/>
              <w:overflowPunct/>
              <w:topLinePunct w:val="0"/>
              <w:autoSpaceDE/>
              <w:autoSpaceDN/>
              <w:bidi w:val="0"/>
              <w:adjustRightInd/>
              <w:snapToGrid w:val="0"/>
              <w:spacing w:line="340" w:lineRule="exact"/>
              <w:jc w:val="left"/>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 xml:space="preserve">立柱：采用一次轧制而成闭口咬合型材管（不允许焊接，不能使用开口型材及方管），成型后外侧圆弧处理，防止学生磕碰，增加其牢固性。立面成型后尺寸为≥75mm*75mm，材料厚度为1.2mm。符合金属家具通用技术条件，金属件外观合格，符合GB/T3325-2024金属家具通用技术条件：金属喷塑涂层附着力≤2级，金属件外观合格。  </w:t>
            </w:r>
          </w:p>
          <w:p w14:paraId="65BB2D8E">
            <w:pPr>
              <w:keepNext w:val="0"/>
              <w:keepLines w:val="0"/>
              <w:pageBreakBefore w:val="0"/>
              <w:widowControl/>
              <w:suppressLineNumbers w:val="0"/>
              <w:kinsoku/>
              <w:wordWrap w:val="0"/>
              <w:overflowPunct/>
              <w:topLinePunct w:val="0"/>
              <w:autoSpaceDE/>
              <w:autoSpaceDN/>
              <w:bidi w:val="0"/>
              <w:adjustRightInd/>
              <w:snapToGrid w:val="0"/>
              <w:spacing w:line="340" w:lineRule="exact"/>
              <w:jc w:val="left"/>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横梁：采用一次轧制而成闭口咬合型材管（不允许焊接，不能使用开口型材及方管），有防碰撞设计，增加立柱的强度，横梁底部边压死边处理。规格为≥40mm*80mm*1.2mm，符合QB/T4767-2014家具用钢构件的要求以及QB/T3826-1999和QB/T3827-1999的相关技术要求。</w:t>
            </w:r>
          </w:p>
          <w:p w14:paraId="069D0906">
            <w:pPr>
              <w:keepNext w:val="0"/>
              <w:keepLines w:val="0"/>
              <w:pageBreakBefore w:val="0"/>
              <w:widowControl/>
              <w:suppressLineNumbers w:val="0"/>
              <w:kinsoku/>
              <w:wordWrap w:val="0"/>
              <w:overflowPunct/>
              <w:topLinePunct w:val="0"/>
              <w:autoSpaceDE/>
              <w:autoSpaceDN/>
              <w:bidi w:val="0"/>
              <w:adjustRightInd/>
              <w:snapToGrid w:val="0"/>
              <w:spacing w:line="340" w:lineRule="exact"/>
              <w:jc w:val="left"/>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床板支撑：采用优质钢管，壁厚≥1.0mm。每人位≥5根，且跟横梁有效连接后不能拔出，防止脱落。</w:t>
            </w:r>
          </w:p>
          <w:p w14:paraId="5090C0EE">
            <w:pPr>
              <w:keepNext w:val="0"/>
              <w:keepLines w:val="0"/>
              <w:pageBreakBefore w:val="0"/>
              <w:widowControl/>
              <w:suppressLineNumbers w:val="0"/>
              <w:kinsoku/>
              <w:wordWrap w:val="0"/>
              <w:overflowPunct/>
              <w:topLinePunct w:val="0"/>
              <w:autoSpaceDE/>
              <w:autoSpaceDN/>
              <w:bidi w:val="0"/>
              <w:adjustRightInd/>
              <w:snapToGrid w:val="0"/>
              <w:spacing w:line="340" w:lineRule="exact"/>
              <w:jc w:val="left"/>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前护栏：采用优质圆管，壁厚≥1.0mm，长度≥1160mm,高度≥350mm，护栏整体结实耐用，安全性能好。</w:t>
            </w:r>
          </w:p>
          <w:p w14:paraId="473BD3AA">
            <w:pPr>
              <w:keepNext w:val="0"/>
              <w:keepLines w:val="0"/>
              <w:pageBreakBefore w:val="0"/>
              <w:widowControl/>
              <w:suppressLineNumbers w:val="0"/>
              <w:kinsoku/>
              <w:wordWrap w:val="0"/>
              <w:overflowPunct/>
              <w:topLinePunct w:val="0"/>
              <w:autoSpaceDE/>
              <w:autoSpaceDN/>
              <w:bidi w:val="0"/>
              <w:adjustRightInd/>
              <w:snapToGrid w:val="0"/>
              <w:spacing w:line="340" w:lineRule="exact"/>
              <w:jc w:val="left"/>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w:t>
            </w:r>
            <w:r>
              <w:rPr>
                <w:rFonts w:hint="eastAsia" w:asciiTheme="minorEastAsia" w:hAnsiTheme="minorEastAsia" w:cstheme="minorEastAsia"/>
                <w:b w:val="0"/>
                <w:bCs w:val="0"/>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床铺板：采用实木多层板≥15mm,含水量按国标要求执行，</w:t>
            </w:r>
            <w:r>
              <w:rPr>
                <w:rFonts w:hint="default" w:asciiTheme="minorEastAsia" w:hAnsiTheme="minorEastAsia" w:cstheme="minorEastAsia"/>
                <w:b w:val="0"/>
                <w:bCs w:val="0"/>
                <w:i w:val="0"/>
                <w:iCs w:val="0"/>
                <w:color w:val="auto"/>
                <w:kern w:val="0"/>
                <w:sz w:val="21"/>
                <w:szCs w:val="21"/>
                <w:highlight w:val="none"/>
                <w:u w:val="none"/>
                <w:lang w:eastAsia="zh-CN" w:bidi="ar"/>
              </w:rPr>
              <w:t>甲醛含量气候箱法≤0.025mg/m³，</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无霉点，双面刨光，床板面平整、光滑，双面平整，不变形，材料需进行熏蒸杀虫、干燥处理，无边角缺陷、虫蛀、腐朽、霉变、开裂、变形等</w:t>
            </w:r>
            <w:r>
              <w:rPr>
                <w:rFonts w:hint="default" w:asciiTheme="minorEastAsia" w:hAnsiTheme="minorEastAsia" w:cstheme="minorEastAsia"/>
                <w:b w:val="0"/>
                <w:bCs w:val="0"/>
                <w:i w:val="0"/>
                <w:iCs w:val="0"/>
                <w:color w:val="auto"/>
                <w:kern w:val="0"/>
                <w:sz w:val="21"/>
                <w:szCs w:val="21"/>
                <w:highlight w:val="none"/>
                <w:u w:val="none"/>
                <w:lang w:eastAsia="zh-CN" w:bidi="ar"/>
              </w:rPr>
              <w:t>。</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提供检验报告，报告包含有害物质限量。</w:t>
            </w:r>
          </w:p>
          <w:p w14:paraId="3C873E96">
            <w:pPr>
              <w:keepNext w:val="0"/>
              <w:keepLines w:val="0"/>
              <w:pageBreakBefore w:val="0"/>
              <w:widowControl/>
              <w:suppressLineNumbers w:val="0"/>
              <w:kinsoku/>
              <w:wordWrap w:val="0"/>
              <w:overflowPunct/>
              <w:topLinePunct w:val="0"/>
              <w:autoSpaceDE/>
              <w:autoSpaceDN/>
              <w:bidi w:val="0"/>
              <w:adjustRightInd/>
              <w:snapToGrid w:val="0"/>
              <w:spacing w:line="340"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813" w:type="dxa"/>
            <w:noWrap w:val="0"/>
            <w:vAlign w:val="center"/>
          </w:tcPr>
          <w:p w14:paraId="5DD99193">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82CBC0">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含配件</w:t>
            </w:r>
          </w:p>
        </w:tc>
      </w:tr>
      <w:tr w14:paraId="0E1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411" w:type="dxa"/>
            <w:noWrap w:val="0"/>
            <w:vAlign w:val="center"/>
          </w:tcPr>
          <w:p w14:paraId="6A0E3477">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w:t>
            </w:r>
          </w:p>
        </w:tc>
        <w:tc>
          <w:tcPr>
            <w:tcW w:w="655" w:type="dxa"/>
            <w:noWrap w:val="0"/>
            <w:vAlign w:val="center"/>
          </w:tcPr>
          <w:p w14:paraId="727A2071">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9A86EC0">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储物柜</w:t>
            </w:r>
          </w:p>
        </w:tc>
        <w:tc>
          <w:tcPr>
            <w:tcW w:w="610" w:type="dxa"/>
            <w:noWrap w:val="0"/>
            <w:vAlign w:val="center"/>
          </w:tcPr>
          <w:p w14:paraId="0AAD4F91">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5E204A9D">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32F7AF19">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4EFF4A17">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218</w:t>
            </w:r>
          </w:p>
          <w:p w14:paraId="23304CC0">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1F8E1F66">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4A7BC338">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tc>
        <w:tc>
          <w:tcPr>
            <w:tcW w:w="526" w:type="dxa"/>
            <w:noWrap w:val="0"/>
            <w:vAlign w:val="center"/>
          </w:tcPr>
          <w:p w14:paraId="4C6E71F8">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1BE16A11">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08F59FC3">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48DE1DB0">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个</w:t>
            </w:r>
          </w:p>
          <w:p w14:paraId="39C0FA95">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21E2F764">
            <w:pPr>
              <w:pageBreakBefore w:val="0"/>
              <w:widowControl w:val="0"/>
              <w:tabs>
                <w:tab w:val="center" w:pos="110"/>
              </w:tabs>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776A5485">
            <w:pPr>
              <w:pageBreakBefore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p>
        </w:tc>
        <w:tc>
          <w:tcPr>
            <w:tcW w:w="6074" w:type="dxa"/>
            <w:noWrap w:val="0"/>
            <w:vAlign w:val="center"/>
          </w:tcPr>
          <w:p w14:paraId="5860127D">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整体尺寸</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1850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mm</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900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mm</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深</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mm</w:t>
            </w:r>
          </w:p>
          <w:p w14:paraId="73A4280E">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1</w:t>
            </w:r>
            <w:r>
              <w:rPr>
                <w:rFonts w:hint="eastAsia" w:asciiTheme="minorEastAsia" w:hAnsiTheme="minorEastAsia" w:cstheme="minorEastAsia"/>
                <w:color w:val="000000" w:themeColor="text1"/>
                <w:kern w:val="2"/>
                <w:sz w:val="21"/>
                <w:szCs w:val="21"/>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颜色：亚光灰白。柜子</w:t>
            </w:r>
            <w:r>
              <w:rPr>
                <w:rFonts w:hint="eastAsia" w:asciiTheme="minorEastAsia" w:hAnsiTheme="minorEastAsia" w:cstheme="minorEastAsia"/>
                <w:color w:val="000000" w:themeColor="text1"/>
                <w:kern w:val="2"/>
                <w:sz w:val="21"/>
                <w:szCs w:val="21"/>
                <w:highlight w:val="none"/>
                <w:lang w:val="en-US" w:eastAsia="zh-CN" w:bidi="ar-SA"/>
                <w14:textFill>
                  <w14:solidFill>
                    <w14:schemeClr w14:val="tx1"/>
                  </w14:solidFill>
                </w14:textFill>
              </w:rPr>
              <w:t>为四门储物柜，各门内</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上部各有一根不锈钢挂衣杆，下部各有一块隔板。</w:t>
            </w:r>
          </w:p>
          <w:p w14:paraId="6C68D836">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2</w:t>
            </w:r>
            <w:r>
              <w:rPr>
                <w:rFonts w:hint="eastAsia" w:asciiTheme="minorEastAsia" w:hAnsiTheme="minorEastAsia" w:cstheme="minorEastAsia"/>
                <w:color w:val="000000" w:themeColor="text1"/>
                <w:kern w:val="2"/>
                <w:sz w:val="21"/>
                <w:szCs w:val="21"/>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板料使用优质冷轧钢板，板材厚度裸板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0.6mm，表面喷涂处理，金属表面耐磨耐锈，防静电。表面硬度与耐冲击力符合标准。</w:t>
            </w:r>
          </w:p>
          <w:p w14:paraId="4E7514EF">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3</w:t>
            </w:r>
            <w:r>
              <w:rPr>
                <w:rFonts w:hint="eastAsia" w:asciiTheme="minorEastAsia" w:hAnsiTheme="minorEastAsia" w:cstheme="minorEastAsia"/>
                <w:color w:val="000000" w:themeColor="text1"/>
                <w:kern w:val="2"/>
                <w:sz w:val="21"/>
                <w:szCs w:val="21"/>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柜门上带扣手，采用304不锈钢板材、镶嵌ABS工程塑料，配置钢制柜专用锁具。</w:t>
            </w:r>
          </w:p>
        </w:tc>
        <w:tc>
          <w:tcPr>
            <w:tcW w:w="813" w:type="dxa"/>
            <w:noWrap w:val="0"/>
            <w:vAlign w:val="center"/>
          </w:tcPr>
          <w:p w14:paraId="7B3E8305">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CF8BBA1">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含配件</w:t>
            </w:r>
          </w:p>
        </w:tc>
      </w:tr>
      <w:tr w14:paraId="63D7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trPr>
        <w:tc>
          <w:tcPr>
            <w:tcW w:w="411" w:type="dxa"/>
            <w:noWrap w:val="0"/>
            <w:vAlign w:val="center"/>
          </w:tcPr>
          <w:p w14:paraId="2B4ABBFB">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655" w:type="dxa"/>
            <w:noWrap w:val="0"/>
            <w:vAlign w:val="center"/>
          </w:tcPr>
          <w:p w14:paraId="23F32F84">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5B1EDB61">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置物架</w:t>
            </w:r>
          </w:p>
        </w:tc>
        <w:tc>
          <w:tcPr>
            <w:tcW w:w="610" w:type="dxa"/>
            <w:noWrap w:val="0"/>
            <w:vAlign w:val="center"/>
          </w:tcPr>
          <w:p w14:paraId="244A69B1">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109</w:t>
            </w:r>
          </w:p>
        </w:tc>
        <w:tc>
          <w:tcPr>
            <w:tcW w:w="526" w:type="dxa"/>
            <w:noWrap w:val="0"/>
            <w:vAlign w:val="center"/>
          </w:tcPr>
          <w:p w14:paraId="651C612C">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组</w:t>
            </w:r>
          </w:p>
        </w:tc>
        <w:tc>
          <w:tcPr>
            <w:tcW w:w="6074" w:type="dxa"/>
            <w:noWrap w:val="0"/>
            <w:vAlign w:val="center"/>
          </w:tcPr>
          <w:p w14:paraId="126194FA">
            <w:pPr>
              <w:keepNext w:val="0"/>
              <w:keepLines w:val="0"/>
              <w:pageBreakBefore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整体尺寸</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长1000mm</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宽45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mm</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高1500mm</w:t>
            </w:r>
          </w:p>
          <w:p w14:paraId="26A1420D">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置物架规格：</w:t>
            </w:r>
          </w:p>
          <w:p w14:paraId="0FD12357">
            <w:pPr>
              <w:keepNext w:val="0"/>
              <w:keepLines w:val="0"/>
              <w:pageBreakBefore w:val="0"/>
              <w:kinsoku/>
              <w:wordWrap/>
              <w:overflowPunct/>
              <w:topLinePunct w:val="0"/>
              <w:autoSpaceDE/>
              <w:autoSpaceDN/>
              <w:bidi w:val="0"/>
              <w:adjustRightInd/>
              <w:snapToGrid/>
              <w:spacing w:line="520" w:lineRule="exact"/>
              <w:ind w:firstLine="420" w:firstLineChars="20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整体分为4层，可放8个脸盆，立柱板材厚度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0.8mm，层板不锈钢厚度为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0.6mm，层板与立腿采用激光焊接。每层左右两侧设置毛巾横杆。</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br w:type="textWrapping"/>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表面喷涂：塑粉、符合绿色产品评价涂料的标准及相关要求。</w:t>
            </w:r>
          </w:p>
        </w:tc>
        <w:tc>
          <w:tcPr>
            <w:tcW w:w="813" w:type="dxa"/>
            <w:noWrap w:val="0"/>
            <w:vAlign w:val="center"/>
          </w:tcPr>
          <w:p w14:paraId="75C223CE">
            <w:pPr>
              <w:pageBreakBefore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60BE926">
            <w:pPr>
              <w:pageBreakBefore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含配件</w:t>
            </w:r>
          </w:p>
        </w:tc>
      </w:tr>
      <w:tr w14:paraId="2406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6" w:hRule="atLeast"/>
        </w:trPr>
        <w:tc>
          <w:tcPr>
            <w:tcW w:w="411" w:type="dxa"/>
            <w:noWrap w:val="0"/>
            <w:vAlign w:val="center"/>
          </w:tcPr>
          <w:p w14:paraId="0F37DFC6">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655" w:type="dxa"/>
            <w:noWrap w:val="0"/>
            <w:vAlign w:val="center"/>
          </w:tcPr>
          <w:p w14:paraId="7EDD1ED9">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650C2D3">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3AA931D">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E4FCA1F">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单人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床</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（含床垫）</w:t>
            </w:r>
          </w:p>
        </w:tc>
        <w:tc>
          <w:tcPr>
            <w:tcW w:w="610" w:type="dxa"/>
            <w:noWrap w:val="0"/>
            <w:vAlign w:val="center"/>
          </w:tcPr>
          <w:p w14:paraId="26CE3D25">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304CDAEC">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5B5AACF6">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49423DA2">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1FB9B0D4">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385DAAB1">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w:t>
            </w:r>
          </w:p>
          <w:p w14:paraId="73FE2F12">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63516B0C">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526" w:type="dxa"/>
            <w:noWrap w:val="0"/>
            <w:vAlign w:val="center"/>
          </w:tcPr>
          <w:p w14:paraId="3005E22E">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44486C93">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1556A618">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4850CB28">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65E0BDED">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234BE013">
            <w:pPr>
              <w:pageBreakBefore w:val="0"/>
              <w:widowControl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套</w:t>
            </w:r>
          </w:p>
          <w:p w14:paraId="55B0A07B">
            <w:pPr>
              <w:pageBreakBefore w:val="0"/>
              <w:widowControl w:val="0"/>
              <w:kinsoku/>
              <w:overflowPunct/>
              <w:topLinePunct w:val="0"/>
              <w:autoSpaceDE/>
              <w:autoSpaceDN/>
              <w:bidi w:val="0"/>
              <w:adjustRightInd/>
              <w:spacing w:line="420" w:lineRule="exact"/>
              <w:ind w:firstLine="420" w:firstLineChars="20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50562863">
            <w:pPr>
              <w:pageBreakBefore w:val="0"/>
              <w:widowControl w:val="0"/>
              <w:tabs>
                <w:tab w:val="center" w:pos="110"/>
              </w:tabs>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14:paraId="1897B0CD">
            <w:pPr>
              <w:pageBreakBefore w:val="0"/>
              <w:kinsoku/>
              <w:overflowPunct/>
              <w:topLinePunct w:val="0"/>
              <w:autoSpaceDE/>
              <w:autoSpaceDN/>
              <w:bidi w:val="0"/>
              <w:adjustRightInd/>
              <w:spacing w:line="42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6074" w:type="dxa"/>
            <w:noWrap w:val="0"/>
            <w:vAlign w:val="center"/>
          </w:tcPr>
          <w:p w14:paraId="164022A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、床体标准：1.2米高箱单人床</w:t>
            </w:r>
          </w:p>
          <w:p w14:paraId="73C1EE98">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单人床材质；采用E1级实木多加厚层板，刚性好，手感细，光泽度钧匀，表面光滑清晰，靠感舒适，内部框架，采用多层板横板支撑机构，打磨光滑不磨手，棕床垫厚度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80mm，选用控温技术热压成型，有效抑制螨虫滋生环境</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p w14:paraId="0A43415F">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提供符合国家标准的第三方检测报告（加盖供应商公章）。</w:t>
            </w:r>
          </w:p>
        </w:tc>
        <w:tc>
          <w:tcPr>
            <w:tcW w:w="813" w:type="dxa"/>
            <w:noWrap w:val="0"/>
            <w:vAlign w:val="center"/>
          </w:tcPr>
          <w:p w14:paraId="39AEDEEB">
            <w:pPr>
              <w:pageBreakBefore w:val="0"/>
              <w:widowControl w:val="0"/>
              <w:kinsoku/>
              <w:overflowPunct/>
              <w:topLinePunct w:val="0"/>
              <w:autoSpaceDE/>
              <w:autoSpaceDN/>
              <w:bidi w:val="0"/>
              <w:adjustRightInd/>
              <w:spacing w:line="420" w:lineRule="exact"/>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含配件</w:t>
            </w:r>
          </w:p>
        </w:tc>
      </w:tr>
    </w:tbl>
    <w:p w14:paraId="13FD7C0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highlight w:val="none"/>
          <w:lang w:eastAsia="zh-CN"/>
        </w:rPr>
      </w:pPr>
      <w:r>
        <w:rPr>
          <w:rFonts w:hint="eastAsia"/>
          <w:b/>
          <w:bCs/>
          <w:sz w:val="28"/>
          <w:szCs w:val="28"/>
          <w:highlight w:val="none"/>
          <w:lang w:val="en-US" w:eastAsia="zh-CN"/>
        </w:rPr>
        <w:t>三</w:t>
      </w:r>
      <w:r>
        <w:rPr>
          <w:rFonts w:hint="eastAsia"/>
          <w:b/>
          <w:bCs/>
          <w:sz w:val="28"/>
          <w:szCs w:val="28"/>
          <w:highlight w:val="none"/>
          <w:lang w:eastAsia="zh-CN"/>
        </w:rPr>
        <w:t>、商务要求</w:t>
      </w:r>
    </w:p>
    <w:p w14:paraId="4D008B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highlight w:val="none"/>
          <w:lang w:val="en-US" w:eastAsia="zh-CN"/>
        </w:rPr>
        <w:t>1、</w:t>
      </w:r>
      <w:r>
        <w:rPr>
          <w:rFonts w:hint="eastAsia" w:asciiTheme="majorEastAsia" w:hAnsiTheme="majorEastAsia" w:eastAsiaTheme="majorEastAsia" w:cstheme="majorEastAsia"/>
          <w:sz w:val="28"/>
          <w:szCs w:val="28"/>
          <w:highlight w:val="none"/>
          <w:lang w:eastAsia="zh-CN"/>
        </w:rPr>
        <w:t>交货安装期：</w:t>
      </w:r>
      <w:r>
        <w:rPr>
          <w:rFonts w:hint="eastAsia" w:asciiTheme="majorEastAsia" w:hAnsiTheme="majorEastAsia" w:eastAsiaTheme="majorEastAsia" w:cstheme="majorEastAsia"/>
          <w:sz w:val="28"/>
          <w:szCs w:val="28"/>
          <w:highlight w:val="none"/>
          <w:lang w:val="en-US" w:eastAsia="zh-CN"/>
        </w:rPr>
        <w:t>中标后3日历天内中标企业与招标人签订合同，合同签订后10</w:t>
      </w:r>
      <w:r>
        <w:rPr>
          <w:rFonts w:hint="eastAsia" w:asciiTheme="majorEastAsia" w:hAnsiTheme="majorEastAsia" w:eastAsiaTheme="majorEastAsia" w:cstheme="majorEastAsia"/>
          <w:sz w:val="28"/>
          <w:szCs w:val="28"/>
          <w:lang w:val="en-US" w:eastAsia="zh-CN"/>
        </w:rPr>
        <w:t>日历天内将物品安装到位、调试</w:t>
      </w:r>
      <w:r>
        <w:rPr>
          <w:rFonts w:hint="eastAsia" w:asciiTheme="majorEastAsia" w:hAnsiTheme="majorEastAsia" w:eastAsiaTheme="majorEastAsia" w:cstheme="majorEastAsia"/>
          <w:sz w:val="28"/>
          <w:szCs w:val="28"/>
          <w:lang w:eastAsia="zh-CN"/>
        </w:rPr>
        <w:t>完毕。</w:t>
      </w:r>
    </w:p>
    <w:p w14:paraId="5F4C59D4">
      <w:pPr>
        <w:keepNext w:val="0"/>
        <w:keepLines w:val="0"/>
        <w:widowControl/>
        <w:suppressLineNumbers w:val="0"/>
        <w:ind w:firstLine="560" w:firstLineChars="20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2、样品要求</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投标企业需随投标文件一并提供组成符合技术参数实物的</w:t>
      </w:r>
      <w:r>
        <w:rPr>
          <w:rFonts w:hint="eastAsia" w:ascii="黑体" w:hAnsi="黑体" w:eastAsia="黑体" w:cs="黑体"/>
          <w:sz w:val="28"/>
          <w:szCs w:val="28"/>
          <w:u w:val="single"/>
          <w:lang w:val="en-US" w:eastAsia="zh-CN"/>
        </w:rPr>
        <w:t>设计图纸并标明实际参数</w:t>
      </w:r>
      <w:r>
        <w:rPr>
          <w:rFonts w:hint="eastAsia" w:asciiTheme="majorEastAsia" w:hAnsiTheme="majorEastAsia" w:eastAsiaTheme="majorEastAsia" w:cstheme="majorEastAsia"/>
          <w:sz w:val="28"/>
          <w:szCs w:val="28"/>
          <w:lang w:val="en-US" w:eastAsia="zh-CN"/>
        </w:rPr>
        <w:t>及以下</w:t>
      </w:r>
      <w:r>
        <w:rPr>
          <w:rFonts w:hint="eastAsia" w:ascii="黑体" w:hAnsi="黑体" w:eastAsia="黑体" w:cs="黑体"/>
          <w:sz w:val="28"/>
          <w:szCs w:val="28"/>
          <w:u w:val="single"/>
          <w:lang w:val="en-US" w:eastAsia="zh-CN"/>
        </w:rPr>
        <w:t>钢材实物样品</w:t>
      </w:r>
      <w:r>
        <w:rPr>
          <w:rFonts w:hint="eastAsia" w:asciiTheme="majorEastAsia" w:hAnsiTheme="majorEastAsia" w:eastAsiaTheme="majorEastAsia" w:cstheme="majorEastAsia"/>
          <w:sz w:val="28"/>
          <w:szCs w:val="28"/>
          <w:lang w:val="en-US" w:eastAsia="zh-CN"/>
        </w:rPr>
        <w:t>：</w:t>
      </w:r>
    </w:p>
    <w:p w14:paraId="417AAE87">
      <w:pPr>
        <w:keepNext w:val="0"/>
        <w:keepLines w:val="0"/>
        <w:widowControl/>
        <w:numPr>
          <w:ilvl w:val="0"/>
          <w:numId w:val="0"/>
        </w:numPr>
        <w:suppressLineNumbers w:val="0"/>
        <w:ind w:firstLine="560" w:firstLineChars="20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color w:val="000000"/>
          <w:kern w:val="0"/>
          <w:sz w:val="28"/>
          <w:szCs w:val="28"/>
          <w:vertAlign w:val="baseline"/>
          <w:lang w:val="en-US" w:eastAsia="zh-CN" w:bidi="ar"/>
        </w:rPr>
        <w:t>2.1</w:t>
      </w:r>
      <w:r>
        <w:rPr>
          <w:rFonts w:hint="eastAsia" w:asciiTheme="majorEastAsia" w:hAnsiTheme="majorEastAsia" w:eastAsiaTheme="majorEastAsia" w:cstheme="majorEastAsia"/>
          <w:sz w:val="28"/>
          <w:szCs w:val="28"/>
          <w:lang w:val="en-US" w:eastAsia="zh-CN"/>
        </w:rPr>
        <w:t>提供上床下桌立柱样品尺寸：长600mm±3mm 白胚裸管。（立柱需带塑料脚套）预处理好挂件连接孔位并附带至少一个挂件。</w:t>
      </w:r>
    </w:p>
    <w:p w14:paraId="7F20EF7D">
      <w:pPr>
        <w:keepNext w:val="0"/>
        <w:keepLines w:val="0"/>
        <w:widowControl/>
        <w:numPr>
          <w:ilvl w:val="0"/>
          <w:numId w:val="0"/>
        </w:numPr>
        <w:suppressLineNumbers w:val="0"/>
        <w:ind w:firstLine="560" w:firstLineChars="20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color w:val="000000"/>
          <w:kern w:val="0"/>
          <w:sz w:val="28"/>
          <w:szCs w:val="28"/>
          <w:vertAlign w:val="baseline"/>
          <w:lang w:val="en-US" w:eastAsia="zh-CN" w:bidi="ar"/>
        </w:rPr>
        <w:t>2.2上床下桌前横梁</w:t>
      </w:r>
      <w:r>
        <w:rPr>
          <w:rFonts w:hint="eastAsia" w:asciiTheme="majorEastAsia" w:hAnsiTheme="majorEastAsia" w:eastAsiaTheme="majorEastAsia" w:cstheme="majorEastAsia"/>
          <w:sz w:val="28"/>
          <w:szCs w:val="28"/>
          <w:lang w:val="en-US" w:eastAsia="zh-CN"/>
        </w:rPr>
        <w:t>样品尺寸：长600mm±3mm 白胚裸管。</w:t>
      </w:r>
    </w:p>
    <w:p w14:paraId="656D8D80">
      <w:pPr>
        <w:keepNext w:val="0"/>
        <w:keepLines w:val="0"/>
        <w:widowControl/>
        <w:numPr>
          <w:ilvl w:val="0"/>
          <w:numId w:val="0"/>
        </w:numPr>
        <w:suppressLineNumbers w:val="0"/>
        <w:ind w:firstLine="560" w:firstLineChars="20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color w:val="000000"/>
          <w:kern w:val="0"/>
          <w:sz w:val="28"/>
          <w:szCs w:val="28"/>
          <w:vertAlign w:val="baseline"/>
          <w:lang w:val="en-US" w:eastAsia="zh-CN" w:bidi="ar"/>
        </w:rPr>
        <w:t>2.3上床下桌后横梁</w:t>
      </w:r>
      <w:r>
        <w:rPr>
          <w:rFonts w:hint="eastAsia" w:asciiTheme="majorEastAsia" w:hAnsiTheme="majorEastAsia" w:eastAsiaTheme="majorEastAsia" w:cstheme="majorEastAsia"/>
          <w:sz w:val="28"/>
          <w:szCs w:val="28"/>
          <w:lang w:val="en-US" w:eastAsia="zh-CN"/>
        </w:rPr>
        <w:t>样品尺寸：长600mm±3mm 白胚裸管。</w:t>
      </w:r>
    </w:p>
    <w:p w14:paraId="38B9455C">
      <w:pPr>
        <w:keepNext w:val="0"/>
        <w:keepLines w:val="0"/>
        <w:widowControl/>
        <w:numPr>
          <w:ilvl w:val="0"/>
          <w:numId w:val="0"/>
        </w:numPr>
        <w:suppressLineNumbers w:val="0"/>
        <w:ind w:firstLine="560" w:firstLineChars="200"/>
        <w:jc w:val="left"/>
        <w:rPr>
          <w:rFonts w:hint="eastAsia" w:ascii="Calibri" w:hAnsi="Calibri" w:cs="Calibri" w:eastAsiaTheme="majorEastAsia"/>
          <w:color w:val="000000"/>
          <w:kern w:val="0"/>
          <w:sz w:val="28"/>
          <w:szCs w:val="28"/>
          <w:vertAlign w:val="baseline"/>
          <w:lang w:val="en-US" w:eastAsia="zh-CN" w:bidi="ar"/>
        </w:rPr>
      </w:pPr>
      <w:r>
        <w:rPr>
          <w:rFonts w:hint="eastAsia" w:asciiTheme="majorEastAsia" w:hAnsiTheme="majorEastAsia" w:eastAsiaTheme="majorEastAsia" w:cstheme="majorEastAsia"/>
          <w:color w:val="000000"/>
          <w:kern w:val="0"/>
          <w:sz w:val="28"/>
          <w:szCs w:val="28"/>
          <w:vertAlign w:val="baseline"/>
          <w:lang w:val="en-US" w:eastAsia="zh-CN" w:bidi="ar"/>
        </w:rPr>
        <w:t>2.4</w:t>
      </w:r>
      <w:r>
        <w:rPr>
          <w:rFonts w:hint="eastAsia" w:ascii="Calibri" w:hAnsi="Calibri" w:cs="Calibri" w:eastAsiaTheme="majorEastAsia"/>
          <w:color w:val="000000"/>
          <w:kern w:val="0"/>
          <w:sz w:val="28"/>
          <w:szCs w:val="28"/>
          <w:vertAlign w:val="baseline"/>
          <w:lang w:val="en-US" w:eastAsia="zh-CN" w:bidi="ar"/>
        </w:rPr>
        <w:t>上床下桌后拉杆样品尺寸：</w:t>
      </w:r>
      <w:r>
        <w:rPr>
          <w:rFonts w:hint="eastAsia" w:asciiTheme="majorEastAsia" w:hAnsiTheme="majorEastAsia" w:eastAsiaTheme="majorEastAsia" w:cstheme="majorEastAsia"/>
          <w:sz w:val="28"/>
          <w:szCs w:val="28"/>
          <w:lang w:val="en-US" w:eastAsia="zh-CN"/>
        </w:rPr>
        <w:t xml:space="preserve">长600mm±3mm </w:t>
      </w:r>
      <w:r>
        <w:rPr>
          <w:rFonts w:hint="eastAsia" w:ascii="Calibri" w:hAnsi="Calibri" w:cs="Calibri" w:eastAsiaTheme="majorEastAsia"/>
          <w:color w:val="000000"/>
          <w:kern w:val="0"/>
          <w:sz w:val="28"/>
          <w:szCs w:val="28"/>
          <w:vertAlign w:val="baseline"/>
          <w:lang w:val="en-US" w:eastAsia="zh-CN" w:bidi="ar"/>
        </w:rPr>
        <w:t>白胚裸管。</w:t>
      </w:r>
    </w:p>
    <w:p w14:paraId="79C238C0">
      <w:pPr>
        <w:keepNext w:val="0"/>
        <w:keepLines w:val="0"/>
        <w:widowControl/>
        <w:numPr>
          <w:ilvl w:val="0"/>
          <w:numId w:val="0"/>
        </w:numPr>
        <w:suppressLineNumbers w:val="0"/>
        <w:ind w:firstLine="560" w:firstLineChars="200"/>
        <w:jc w:val="left"/>
        <w:rPr>
          <w:rFonts w:hint="eastAsia" w:ascii="Calibri" w:hAnsi="Calibri" w:cs="Calibri" w:eastAsiaTheme="majorEastAsia"/>
          <w:color w:val="000000"/>
          <w:kern w:val="0"/>
          <w:sz w:val="28"/>
          <w:szCs w:val="28"/>
          <w:vertAlign w:val="baseline"/>
          <w:lang w:val="en-US" w:eastAsia="zh-CN" w:bidi="ar"/>
        </w:rPr>
      </w:pPr>
      <w:r>
        <w:rPr>
          <w:rFonts w:hint="eastAsia" w:asciiTheme="majorEastAsia" w:hAnsiTheme="majorEastAsia" w:eastAsiaTheme="majorEastAsia" w:cstheme="majorEastAsia"/>
          <w:color w:val="000000"/>
          <w:kern w:val="0"/>
          <w:sz w:val="28"/>
          <w:szCs w:val="28"/>
          <w:vertAlign w:val="baseline"/>
          <w:lang w:val="en-US" w:eastAsia="zh-CN" w:bidi="ar"/>
        </w:rPr>
        <w:t>2.5</w:t>
      </w:r>
      <w:r>
        <w:rPr>
          <w:rFonts w:hint="eastAsia" w:ascii="Calibri" w:hAnsi="Calibri" w:cs="Calibri" w:eastAsiaTheme="majorEastAsia"/>
          <w:color w:val="000000"/>
          <w:kern w:val="0"/>
          <w:sz w:val="28"/>
          <w:szCs w:val="28"/>
          <w:vertAlign w:val="baseline"/>
          <w:lang w:val="en-US" w:eastAsia="zh-CN" w:bidi="ar"/>
        </w:rPr>
        <w:t>提供架子床立柱样品尺寸：</w:t>
      </w:r>
      <w:r>
        <w:rPr>
          <w:rFonts w:hint="eastAsia" w:asciiTheme="majorEastAsia" w:hAnsiTheme="majorEastAsia" w:eastAsiaTheme="majorEastAsia" w:cstheme="majorEastAsia"/>
          <w:sz w:val="28"/>
          <w:szCs w:val="28"/>
          <w:lang w:val="en-US" w:eastAsia="zh-CN"/>
        </w:rPr>
        <w:t xml:space="preserve">长600mm±3mm </w:t>
      </w:r>
      <w:r>
        <w:rPr>
          <w:rFonts w:hint="eastAsia" w:ascii="Calibri" w:hAnsi="Calibri" w:cs="Calibri" w:eastAsiaTheme="majorEastAsia"/>
          <w:color w:val="000000"/>
          <w:kern w:val="0"/>
          <w:sz w:val="28"/>
          <w:szCs w:val="28"/>
          <w:vertAlign w:val="baseline"/>
          <w:lang w:val="en-US" w:eastAsia="zh-CN" w:bidi="ar"/>
        </w:rPr>
        <w:t>白胚裸管。</w:t>
      </w:r>
    </w:p>
    <w:p w14:paraId="25768022">
      <w:pPr>
        <w:keepNext w:val="0"/>
        <w:keepLines w:val="0"/>
        <w:widowControl/>
        <w:numPr>
          <w:ilvl w:val="0"/>
          <w:numId w:val="0"/>
        </w:numPr>
        <w:suppressLineNumbers w:val="0"/>
        <w:ind w:firstLine="560" w:firstLineChars="200"/>
        <w:jc w:val="left"/>
        <w:rPr>
          <w:rFonts w:hint="eastAsia" w:ascii="Calibri" w:hAnsi="Calibri" w:cs="Calibri" w:eastAsiaTheme="majorEastAsia"/>
          <w:color w:val="000000"/>
          <w:kern w:val="0"/>
          <w:sz w:val="28"/>
          <w:szCs w:val="28"/>
          <w:vertAlign w:val="baseline"/>
          <w:lang w:val="en-US" w:eastAsia="zh-CN" w:bidi="ar"/>
        </w:rPr>
      </w:pPr>
      <w:r>
        <w:rPr>
          <w:rFonts w:hint="eastAsia" w:asciiTheme="majorEastAsia" w:hAnsiTheme="majorEastAsia" w:eastAsiaTheme="majorEastAsia" w:cstheme="majorEastAsia"/>
          <w:color w:val="000000"/>
          <w:kern w:val="0"/>
          <w:sz w:val="28"/>
          <w:szCs w:val="28"/>
          <w:vertAlign w:val="baseline"/>
          <w:lang w:val="en-US" w:eastAsia="zh-CN" w:bidi="ar"/>
        </w:rPr>
        <w:t>2.6</w:t>
      </w:r>
      <w:r>
        <w:rPr>
          <w:rFonts w:hint="eastAsia" w:ascii="Calibri" w:hAnsi="Calibri" w:cs="Calibri" w:eastAsiaTheme="majorEastAsia"/>
          <w:color w:val="000000"/>
          <w:kern w:val="0"/>
          <w:sz w:val="28"/>
          <w:szCs w:val="28"/>
          <w:vertAlign w:val="baseline"/>
          <w:lang w:val="en-US" w:eastAsia="zh-CN" w:bidi="ar"/>
        </w:rPr>
        <w:t>提供</w:t>
      </w:r>
      <w:r>
        <w:rPr>
          <w:rFonts w:hint="eastAsia" w:asciiTheme="majorEastAsia" w:hAnsiTheme="majorEastAsia" w:eastAsiaTheme="majorEastAsia" w:cstheme="majorEastAsia"/>
          <w:sz w:val="28"/>
          <w:szCs w:val="28"/>
          <w:lang w:val="en-US" w:eastAsia="zh-CN"/>
        </w:rPr>
        <w:t>架子床横梁样品尺寸：长600mm±3mm 白胚裸管。</w:t>
      </w:r>
    </w:p>
    <w:p w14:paraId="014B85B6">
      <w:pPr>
        <w:keepNext w:val="0"/>
        <w:keepLines w:val="0"/>
        <w:widowControl/>
        <w:suppressLineNumbers w:val="0"/>
        <w:ind w:firstLine="560" w:firstLineChars="20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3、样品提交：</w:t>
      </w:r>
    </w:p>
    <w:p w14:paraId="2A929F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3.1样品提交截止时间：2025年9月24日09时30分</w:t>
      </w:r>
    </w:p>
    <w:p w14:paraId="2ECB59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3.2样品提交地点：宝鸡市公共资源交易中心五楼第8开标室</w:t>
      </w:r>
    </w:p>
    <w:p w14:paraId="6A2816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3.3关于样品的其他要求：</w:t>
      </w:r>
    </w:p>
    <w:p w14:paraId="0CF9E0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3.3.1样品的制作、运输等相关费用由投标人承担；提交样品人员需携带投标单位介绍信。</w:t>
      </w:r>
    </w:p>
    <w:p w14:paraId="006CE6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3.3.2样品应按询价文件规定的标准制作，样品规格及参数不合格的按废标处理；</w:t>
      </w:r>
    </w:p>
    <w:p w14:paraId="53C3A6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3.3.3</w:t>
      </w:r>
      <w:r>
        <w:rPr>
          <w:rFonts w:hint="eastAsia" w:asciiTheme="majorEastAsia" w:hAnsiTheme="majorEastAsia" w:eastAsiaTheme="majorEastAsia" w:cstheme="majorEastAsia"/>
          <w:b w:val="0"/>
          <w:bCs w:val="0"/>
          <w:sz w:val="28"/>
          <w:szCs w:val="28"/>
          <w:lang w:val="en-US" w:eastAsia="zh-CN"/>
        </w:rPr>
        <w:t>样品按照宝鸡市公共资源交易中心有关政策规定实行盲评。</w:t>
      </w:r>
      <w:r>
        <w:rPr>
          <w:rFonts w:hint="eastAsia" w:asciiTheme="majorEastAsia" w:hAnsiTheme="majorEastAsia" w:eastAsiaTheme="majorEastAsia" w:cstheme="majorEastAsia"/>
          <w:sz w:val="28"/>
          <w:szCs w:val="28"/>
          <w:lang w:val="en-US" w:eastAsia="zh-CN"/>
        </w:rPr>
        <w:t>供应商提供的样品不得含有投标单位名称、标志以及能暗示投</w:t>
      </w:r>
      <w:r>
        <w:rPr>
          <w:rFonts w:hint="eastAsia" w:ascii="宋体" w:hAnsi="宋体" w:eastAsia="宋体" w:cs="宋体"/>
          <w:sz w:val="28"/>
          <w:szCs w:val="28"/>
          <w:lang w:val="en-US" w:eastAsia="zh-CN"/>
        </w:rPr>
        <w:t>标单位的文字和图案；</w:t>
      </w:r>
    </w:p>
    <w:p w14:paraId="2EF06D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3.3.4供应商应当在样品提交截止时间前，将样品提交到指定地点，过后不予接收，未提供样品的投标按废标处理。</w:t>
      </w:r>
    </w:p>
    <w:p w14:paraId="4D1591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val="0"/>
          <w:bCs w:val="0"/>
          <w:sz w:val="28"/>
          <w:szCs w:val="28"/>
          <w:lang w:val="en-US" w:eastAsia="zh-CN"/>
        </w:rPr>
        <w:t>3.3.5</w:t>
      </w:r>
      <w:r>
        <w:rPr>
          <w:rFonts w:hint="eastAsia" w:asciiTheme="majorEastAsia" w:hAnsiTheme="majorEastAsia" w:eastAsiaTheme="majorEastAsia" w:cstheme="majorEastAsia"/>
          <w:sz w:val="28"/>
          <w:szCs w:val="28"/>
          <w:lang w:val="en-US" w:eastAsia="zh-CN"/>
        </w:rPr>
        <w:t>中标(或成交)供应商的投标样品在评标结束后当场封样由采购人保存，作为履约验收的参考；</w:t>
      </w:r>
    </w:p>
    <w:p w14:paraId="6215E9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sz w:val="28"/>
          <w:szCs w:val="28"/>
          <w:lang w:val="en-US" w:eastAsia="zh-CN"/>
        </w:rPr>
        <w:t>3.3.6未中标(或成交)供应商的投标样品，在评审结束后3个工作日内，由各供应商到代理机构处自行取回</w:t>
      </w:r>
      <w:r>
        <w:rPr>
          <w:rFonts w:hint="eastAsia"/>
        </w:rPr>
        <w:t>，</w:t>
      </w:r>
      <w:r>
        <w:rPr>
          <w:rFonts w:hint="eastAsia" w:asciiTheme="majorEastAsia" w:hAnsiTheme="majorEastAsia" w:eastAsiaTheme="majorEastAsia" w:cstheme="majorEastAsia"/>
          <w:sz w:val="28"/>
          <w:szCs w:val="28"/>
          <w:lang w:val="en-US" w:eastAsia="zh-CN"/>
        </w:rPr>
        <w:t>逾期不取的，由代理机构予以销毁。</w:t>
      </w:r>
    </w:p>
    <w:p w14:paraId="359ACE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lang w:eastAsia="zh-CN"/>
        </w:rPr>
        <w:t>质保期：</w:t>
      </w:r>
      <w:r>
        <w:rPr>
          <w:rFonts w:hint="eastAsia" w:asciiTheme="majorEastAsia" w:hAnsiTheme="majorEastAsia" w:eastAsiaTheme="majorEastAsia" w:cstheme="majorEastAsia"/>
          <w:sz w:val="28"/>
          <w:szCs w:val="28"/>
          <w:lang w:val="en-US" w:eastAsia="zh-CN"/>
        </w:rPr>
        <w:t>10</w:t>
      </w:r>
      <w:r>
        <w:rPr>
          <w:rFonts w:hint="eastAsia" w:asciiTheme="majorEastAsia" w:hAnsiTheme="majorEastAsia" w:eastAsiaTheme="majorEastAsia" w:cstheme="majorEastAsia"/>
          <w:sz w:val="28"/>
          <w:szCs w:val="28"/>
          <w:lang w:eastAsia="zh-CN"/>
        </w:rPr>
        <w:t>年（自</w:t>
      </w:r>
      <w:r>
        <w:rPr>
          <w:rFonts w:hint="eastAsia" w:asciiTheme="majorEastAsia" w:hAnsiTheme="majorEastAsia" w:eastAsiaTheme="majorEastAsia" w:cstheme="majorEastAsia"/>
          <w:sz w:val="28"/>
          <w:szCs w:val="28"/>
          <w:lang w:val="en-US" w:eastAsia="zh-CN"/>
        </w:rPr>
        <w:t>物品</w:t>
      </w:r>
      <w:r>
        <w:rPr>
          <w:rFonts w:hint="eastAsia" w:asciiTheme="majorEastAsia" w:hAnsiTheme="majorEastAsia" w:eastAsiaTheme="majorEastAsia" w:cstheme="majorEastAsia"/>
          <w:sz w:val="28"/>
          <w:szCs w:val="28"/>
          <w:lang w:eastAsia="zh-CN"/>
        </w:rPr>
        <w:t>验收合格并移交采购人之日起开始）。</w:t>
      </w:r>
    </w:p>
    <w:p w14:paraId="0EEF3C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质保期内须提供免费上门服务，确保有售后服务人员定期检查并及时解决故障，另有约定或承诺的除外。在质保期间发生的非人为损坏，均在采购人通知后24小时内免费上门服务。</w:t>
      </w:r>
    </w:p>
    <w:p w14:paraId="256537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lang w:eastAsia="zh-CN"/>
        </w:rPr>
        <w:t>验收：</w:t>
      </w:r>
    </w:p>
    <w:p w14:paraId="39980D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5.1物品</w:t>
      </w:r>
      <w:r>
        <w:rPr>
          <w:rFonts w:hint="eastAsia" w:asciiTheme="majorEastAsia" w:hAnsiTheme="majorEastAsia" w:eastAsiaTheme="majorEastAsia" w:cstheme="majorEastAsia"/>
          <w:sz w:val="28"/>
          <w:szCs w:val="28"/>
          <w:lang w:eastAsia="zh-CN"/>
        </w:rPr>
        <w:t>验收：</w:t>
      </w:r>
      <w:r>
        <w:rPr>
          <w:rFonts w:hint="eastAsia" w:asciiTheme="majorEastAsia" w:hAnsiTheme="majorEastAsia" w:eastAsiaTheme="majorEastAsia" w:cstheme="majorEastAsia"/>
          <w:sz w:val="28"/>
          <w:szCs w:val="28"/>
          <w:lang w:val="en-US" w:eastAsia="zh-CN"/>
        </w:rPr>
        <w:t>中标企业</w:t>
      </w:r>
      <w:r>
        <w:rPr>
          <w:rFonts w:hint="eastAsia" w:asciiTheme="majorEastAsia" w:hAnsiTheme="majorEastAsia" w:eastAsiaTheme="majorEastAsia" w:cstheme="majorEastAsia"/>
          <w:sz w:val="28"/>
          <w:szCs w:val="28"/>
          <w:lang w:eastAsia="zh-CN"/>
        </w:rPr>
        <w:t>负责将</w:t>
      </w:r>
      <w:r>
        <w:rPr>
          <w:rFonts w:hint="eastAsia" w:asciiTheme="majorEastAsia" w:hAnsiTheme="majorEastAsia" w:eastAsiaTheme="majorEastAsia" w:cstheme="majorEastAsia"/>
          <w:sz w:val="28"/>
          <w:szCs w:val="28"/>
          <w:lang w:val="en-US" w:eastAsia="zh-CN"/>
        </w:rPr>
        <w:t>物品</w:t>
      </w:r>
      <w:r>
        <w:rPr>
          <w:rFonts w:hint="eastAsia" w:asciiTheme="majorEastAsia" w:hAnsiTheme="majorEastAsia" w:eastAsiaTheme="majorEastAsia" w:cstheme="majorEastAsia"/>
          <w:sz w:val="28"/>
          <w:szCs w:val="28"/>
          <w:lang w:eastAsia="zh-CN"/>
        </w:rPr>
        <w:t>运至现场后，</w:t>
      </w:r>
      <w:r>
        <w:rPr>
          <w:rFonts w:hint="eastAsia" w:asciiTheme="majorEastAsia" w:hAnsiTheme="majorEastAsia" w:eastAsiaTheme="majorEastAsia" w:cstheme="majorEastAsia"/>
          <w:sz w:val="28"/>
          <w:szCs w:val="28"/>
          <w:lang w:val="en-US" w:eastAsia="zh-CN"/>
        </w:rPr>
        <w:t>项目学校根</w:t>
      </w:r>
      <w:r>
        <w:rPr>
          <w:rFonts w:hint="eastAsia" w:asciiTheme="majorEastAsia" w:hAnsiTheme="majorEastAsia" w:eastAsiaTheme="majorEastAsia" w:cstheme="majorEastAsia"/>
          <w:sz w:val="28"/>
          <w:szCs w:val="28"/>
          <w:lang w:eastAsia="zh-CN"/>
        </w:rPr>
        <w:t>据投标文件中约定</w:t>
      </w:r>
      <w:r>
        <w:rPr>
          <w:rFonts w:hint="eastAsia" w:asciiTheme="majorEastAsia" w:hAnsiTheme="majorEastAsia" w:eastAsiaTheme="majorEastAsia" w:cstheme="majorEastAsia"/>
          <w:sz w:val="28"/>
          <w:szCs w:val="28"/>
          <w:lang w:val="en-US" w:eastAsia="zh-CN"/>
        </w:rPr>
        <w:t>物品</w:t>
      </w:r>
      <w:r>
        <w:rPr>
          <w:rFonts w:hint="eastAsia" w:asciiTheme="majorEastAsia" w:hAnsiTheme="majorEastAsia" w:eastAsiaTheme="majorEastAsia" w:cstheme="majorEastAsia"/>
          <w:sz w:val="28"/>
          <w:szCs w:val="28"/>
          <w:lang w:eastAsia="zh-CN"/>
        </w:rPr>
        <w:t>清单和实际运抵的</w:t>
      </w:r>
      <w:r>
        <w:rPr>
          <w:rFonts w:hint="eastAsia" w:asciiTheme="majorEastAsia" w:hAnsiTheme="majorEastAsia" w:eastAsiaTheme="majorEastAsia" w:cstheme="majorEastAsia"/>
          <w:sz w:val="28"/>
          <w:szCs w:val="28"/>
          <w:lang w:val="en-US" w:eastAsia="zh-CN"/>
        </w:rPr>
        <w:t>物品</w:t>
      </w:r>
      <w:r>
        <w:rPr>
          <w:rFonts w:hint="eastAsia" w:asciiTheme="majorEastAsia" w:hAnsiTheme="majorEastAsia" w:eastAsiaTheme="majorEastAsia" w:cstheme="majorEastAsia"/>
          <w:sz w:val="28"/>
          <w:szCs w:val="28"/>
          <w:lang w:eastAsia="zh-CN"/>
        </w:rPr>
        <w:t>进行逐一核对、清点并确认收货。经双方共同确认后，双方代表应于当日内签字确认。</w:t>
      </w:r>
    </w:p>
    <w:p w14:paraId="6AAD7E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5.2</w:t>
      </w:r>
      <w:r>
        <w:rPr>
          <w:rFonts w:hint="eastAsia" w:asciiTheme="majorEastAsia" w:hAnsiTheme="majorEastAsia" w:eastAsiaTheme="majorEastAsia" w:cstheme="majorEastAsia"/>
          <w:sz w:val="28"/>
          <w:szCs w:val="28"/>
          <w:lang w:eastAsia="zh-CN"/>
        </w:rPr>
        <w:t>项目初验：中标</w:t>
      </w:r>
      <w:r>
        <w:rPr>
          <w:rFonts w:hint="eastAsia" w:asciiTheme="majorEastAsia" w:hAnsiTheme="majorEastAsia" w:eastAsiaTheme="majorEastAsia" w:cstheme="majorEastAsia"/>
          <w:sz w:val="28"/>
          <w:szCs w:val="28"/>
          <w:lang w:val="en-US" w:eastAsia="zh-CN"/>
        </w:rPr>
        <w:t>企业</w:t>
      </w:r>
      <w:r>
        <w:rPr>
          <w:rFonts w:hint="eastAsia" w:asciiTheme="majorEastAsia" w:hAnsiTheme="majorEastAsia" w:eastAsiaTheme="majorEastAsia" w:cstheme="majorEastAsia"/>
          <w:sz w:val="28"/>
          <w:szCs w:val="28"/>
          <w:lang w:eastAsia="zh-CN"/>
        </w:rPr>
        <w:t>安装调试合格后，向项目学校提出验收申请，项目学校接到验收申请后组织验收（必要时可聘请相应专家或委托相应部门验收），验收合格后，出具使用验收合格证明。</w:t>
      </w:r>
    </w:p>
    <w:p w14:paraId="310348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5.3</w:t>
      </w:r>
      <w:r>
        <w:rPr>
          <w:rFonts w:hint="eastAsia" w:asciiTheme="majorEastAsia" w:hAnsiTheme="majorEastAsia" w:eastAsiaTheme="majorEastAsia" w:cstheme="majorEastAsia"/>
          <w:sz w:val="28"/>
          <w:szCs w:val="28"/>
          <w:lang w:eastAsia="zh-CN"/>
        </w:rPr>
        <w:t>项目正式验收：经项目学校和中标单位共同递交项目初验合格证明材料后，由项目主管部门（采购人）组织人员对项目进行全面验收，对所有</w:t>
      </w:r>
      <w:r>
        <w:rPr>
          <w:rFonts w:hint="eastAsia" w:asciiTheme="majorEastAsia" w:hAnsiTheme="majorEastAsia" w:eastAsiaTheme="majorEastAsia" w:cstheme="majorEastAsia"/>
          <w:sz w:val="28"/>
          <w:szCs w:val="28"/>
          <w:lang w:val="en-US" w:eastAsia="zh-CN"/>
        </w:rPr>
        <w:t>物品参数标准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安装</w:t>
      </w:r>
      <w:r>
        <w:rPr>
          <w:rFonts w:hint="eastAsia" w:asciiTheme="majorEastAsia" w:hAnsiTheme="majorEastAsia" w:eastAsiaTheme="majorEastAsia" w:cstheme="majorEastAsia"/>
          <w:sz w:val="28"/>
          <w:szCs w:val="28"/>
          <w:lang w:eastAsia="zh-CN"/>
        </w:rPr>
        <w:t>使用状况进行验收，合格后由项目主管部门（采购人）向中标单位出具验收报告。验收报告作为付款依据，中标单位要向项目学校提交实施过程中的所有资料，以便日后管理和维护。</w:t>
      </w:r>
    </w:p>
    <w:p w14:paraId="595BF9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lang w:eastAsia="zh-CN"/>
        </w:rPr>
        <w:t>验收依据</w:t>
      </w:r>
    </w:p>
    <w:p w14:paraId="4F4459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lang w:eastAsia="zh-CN"/>
        </w:rPr>
        <w:t>1合同文本、合同附件、招标文件、投标文件；</w:t>
      </w:r>
    </w:p>
    <w:p w14:paraId="1511BC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lang w:eastAsia="zh-CN"/>
        </w:rPr>
        <w:t>2国内相应的标准、规范。</w:t>
      </w:r>
    </w:p>
    <w:p w14:paraId="0DFBCA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lang w:eastAsia="zh-CN"/>
        </w:rPr>
        <w:t>验收时应提供的技术资料</w:t>
      </w:r>
    </w:p>
    <w:p w14:paraId="2D171C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lang w:eastAsia="zh-CN"/>
        </w:rPr>
        <w:t>1 货物到达招标人指定的地点时必须提供渠道证明文件原件和售后服务证明文件原件；</w:t>
      </w:r>
    </w:p>
    <w:p w14:paraId="186188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lang w:eastAsia="zh-CN"/>
        </w:rPr>
        <w:t>2 装箱清单；</w:t>
      </w:r>
    </w:p>
    <w:p w14:paraId="098ADD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lang w:eastAsia="zh-CN"/>
        </w:rPr>
        <w:t>3 产品合格证；</w:t>
      </w:r>
    </w:p>
    <w:p w14:paraId="637018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lang w:eastAsia="zh-CN"/>
        </w:rPr>
        <w:t>4 安装使用说明书；</w:t>
      </w:r>
    </w:p>
    <w:p w14:paraId="75C4DE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lang w:eastAsia="zh-CN"/>
        </w:rPr>
        <w:t>5 安装时根据招标人的要求派技术人员现场指导。</w:t>
      </w:r>
    </w:p>
    <w:p w14:paraId="30CD0F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lang w:eastAsia="zh-CN"/>
        </w:rPr>
        <w:sectPr>
          <w:type w:val="continuous"/>
          <w:pgSz w:w="11900" w:h="16838"/>
          <w:pgMar w:top="1440" w:right="1803" w:bottom="1440" w:left="1803" w:header="567" w:footer="567" w:gutter="0"/>
          <w:cols w:space="720" w:num="1"/>
        </w:sectPr>
      </w:pPr>
      <w:r>
        <w:rPr>
          <w:rFonts w:hint="eastAsia" w:asciiTheme="majorEastAsia" w:hAnsiTheme="majorEastAsia" w:eastAsiaTheme="majorEastAsia" w:cstheme="majorEastAsia"/>
          <w:sz w:val="28"/>
          <w:szCs w:val="28"/>
          <w:lang w:val="en-US" w:eastAsia="zh-CN"/>
        </w:rPr>
        <w:t>8、</w:t>
      </w:r>
      <w:bookmarkStart w:id="11" w:name="_GoBack"/>
      <w:bookmarkEnd w:id="11"/>
      <w:r>
        <w:rPr>
          <w:rFonts w:hint="eastAsia" w:asciiTheme="majorEastAsia" w:hAnsiTheme="majorEastAsia" w:eastAsiaTheme="majorEastAsia" w:cstheme="majorEastAsia"/>
          <w:sz w:val="28"/>
          <w:szCs w:val="28"/>
          <w:lang w:eastAsia="zh-CN"/>
        </w:rPr>
        <w:t>验收不合格的产品，乙方需在7个工作日内补充、更换，保证产品正常使用、无安全隐患和明显的潜在风险。如接到通知后7个日历日内未保证货物</w:t>
      </w:r>
      <w:r>
        <w:rPr>
          <w:rFonts w:hint="eastAsia" w:asciiTheme="majorEastAsia" w:hAnsiTheme="majorEastAsia" w:eastAsiaTheme="majorEastAsia" w:cstheme="majorEastAsia"/>
          <w:sz w:val="28"/>
          <w:szCs w:val="28"/>
          <w:lang w:val="en-US" w:eastAsia="zh-CN"/>
        </w:rPr>
        <w:t>能</w:t>
      </w:r>
      <w:r>
        <w:rPr>
          <w:rFonts w:hint="eastAsia" w:asciiTheme="majorEastAsia" w:hAnsiTheme="majorEastAsia" w:eastAsiaTheme="majorEastAsia" w:cstheme="majorEastAsia"/>
          <w:sz w:val="28"/>
          <w:szCs w:val="28"/>
          <w:lang w:eastAsia="zh-CN"/>
        </w:rPr>
        <w:t>正常</w:t>
      </w:r>
      <w:r>
        <w:rPr>
          <w:rFonts w:hint="eastAsia" w:asciiTheme="majorEastAsia" w:hAnsiTheme="majorEastAsia" w:eastAsiaTheme="majorEastAsia" w:cstheme="majorEastAsia"/>
          <w:sz w:val="28"/>
          <w:szCs w:val="28"/>
          <w:lang w:val="en-US" w:eastAsia="zh-CN"/>
        </w:rPr>
        <w:t>使用</w:t>
      </w:r>
      <w:r>
        <w:rPr>
          <w:rFonts w:hint="eastAsia" w:asciiTheme="majorEastAsia" w:hAnsiTheme="majorEastAsia" w:eastAsiaTheme="majorEastAsia" w:cstheme="majorEastAsia"/>
          <w:sz w:val="28"/>
          <w:szCs w:val="28"/>
          <w:lang w:eastAsia="zh-CN"/>
        </w:rPr>
        <w:t>，则终止其供货合同，并赔偿甲方的损失。中标单位对最终的产品质量负完全责。</w:t>
      </w:r>
    </w:p>
    <w:p w14:paraId="5EB28540">
      <w:pPr>
        <w:spacing w:line="48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合同条款及格式</w:t>
      </w:r>
    </w:p>
    <w:p w14:paraId="5967A939">
      <w:pPr>
        <w:jc w:val="center"/>
        <w:rPr>
          <w:rFonts w:hint="eastAsia" w:ascii="黑体" w:hAnsi="黑体" w:eastAsia="黑体" w:cs="黑体"/>
          <w:sz w:val="44"/>
          <w:szCs w:val="44"/>
        </w:rPr>
      </w:pPr>
    </w:p>
    <w:p w14:paraId="108CFBE8">
      <w:pPr>
        <w:jc w:val="center"/>
        <w:rPr>
          <w:rFonts w:hint="eastAsia" w:ascii="黑体" w:hAnsi="黑体" w:eastAsia="黑体" w:cs="黑体"/>
          <w:sz w:val="44"/>
          <w:szCs w:val="44"/>
        </w:rPr>
      </w:pPr>
      <w:r>
        <w:rPr>
          <w:rFonts w:hint="eastAsia" w:ascii="黑体" w:hAnsi="黑体" w:eastAsia="黑体" w:cs="黑体"/>
          <w:sz w:val="44"/>
          <w:szCs w:val="44"/>
        </w:rPr>
        <w:t>合同条款</w:t>
      </w:r>
    </w:p>
    <w:p w14:paraId="7633CF32">
      <w:pPr>
        <w:jc w:val="center"/>
        <w:rPr>
          <w:rFonts w:hint="eastAsia" w:ascii="黑体" w:hAnsi="黑体" w:eastAsia="黑体" w:cs="黑体"/>
          <w:sz w:val="44"/>
          <w:szCs w:val="44"/>
        </w:rPr>
      </w:pPr>
    </w:p>
    <w:p w14:paraId="5A2CD4EE">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甲方(采购人):陇县中学</w:t>
      </w:r>
    </w:p>
    <w:p w14:paraId="664F4C1D">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乙方(中标人):</w:t>
      </w:r>
    </w:p>
    <w:p w14:paraId="2947D444">
      <w:pPr>
        <w:keepNext w:val="0"/>
        <w:keepLines w:val="0"/>
        <w:pageBreakBefore w:val="0"/>
        <w:widowControl w:val="0"/>
        <w:kinsoku/>
        <w:wordWrap/>
        <w:overflowPunct/>
        <w:topLinePunct w:val="0"/>
        <w:autoSpaceDE/>
        <w:autoSpaceDN/>
        <w:bidi w:val="0"/>
        <w:adjustRightInd/>
        <w:snapToGrid/>
        <w:ind w:left="0" w:leftChars="0" w:firstLine="420" w:firstLineChars="175"/>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陇县中学</w:t>
      </w:r>
      <w:r>
        <w:rPr>
          <w:rFonts w:hint="eastAsia" w:asciiTheme="majorEastAsia" w:hAnsiTheme="majorEastAsia" w:eastAsiaTheme="majorEastAsia" w:cstheme="majorEastAsia"/>
          <w:sz w:val="24"/>
          <w:szCs w:val="24"/>
          <w:u w:val="none"/>
          <w:lang w:val="en-US" w:eastAsia="zh-CN"/>
        </w:rPr>
        <w:t>学生公寓内设添置项目</w:t>
      </w:r>
      <w:r>
        <w:rPr>
          <w:rFonts w:hint="eastAsia" w:asciiTheme="majorEastAsia" w:hAnsiTheme="majorEastAsia" w:eastAsiaTheme="majorEastAsia" w:cstheme="majorEastAsia"/>
          <w:sz w:val="24"/>
          <w:szCs w:val="24"/>
        </w:rPr>
        <w:t>采购(项目编号:</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号)由</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公开</w:t>
      </w:r>
      <w:r>
        <w:rPr>
          <w:rFonts w:hint="eastAsia" w:asciiTheme="majorEastAsia" w:hAnsiTheme="majorEastAsia" w:eastAsiaTheme="majorEastAsia" w:cstheme="majorEastAsia"/>
          <w:sz w:val="24"/>
          <w:szCs w:val="24"/>
          <w:lang w:val="en-US" w:eastAsia="zh-CN"/>
        </w:rPr>
        <w:t>询价</w:t>
      </w:r>
      <w:r>
        <w:rPr>
          <w:rFonts w:hint="eastAsia" w:asciiTheme="majorEastAsia" w:hAnsiTheme="majorEastAsia" w:eastAsiaTheme="majorEastAsia" w:cstheme="majorEastAsia"/>
          <w:sz w:val="24"/>
          <w:szCs w:val="24"/>
        </w:rPr>
        <w:t>，确定</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为中标人。依据《中华人民共和国民法典》和《中华人民共和国政府采购法》，经双方协商按下述条款和条件签署本合同。</w:t>
      </w:r>
    </w:p>
    <w:p w14:paraId="6A78B0F6">
      <w:pPr>
        <w:ind w:left="0" w:leftChars="0" w:firstLine="422" w:firstLineChars="17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一、合同价款</w:t>
      </w:r>
    </w:p>
    <w:p w14:paraId="0E37302A">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(一)合同总价款:</w:t>
      </w:r>
    </w:p>
    <w:p w14:paraId="3AFC3AC3">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人民币(大写)</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w:t>
      </w:r>
    </w:p>
    <w:p w14:paraId="3FC6A674">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(二)合同总价包括:产品供应费、运输费(含保险费)、安装调试费、检测验收费、税金及其它费用。</w:t>
      </w:r>
    </w:p>
    <w:p w14:paraId="6EAE834C">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(三)合同总价一次性包死，不受市场价格变化因素的影响。</w:t>
      </w:r>
    </w:p>
    <w:p w14:paraId="29C0D2C6">
      <w:pPr>
        <w:ind w:left="0" w:leftChars="0" w:firstLine="422" w:firstLineChars="17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二、产品清单(附后)</w:t>
      </w:r>
    </w:p>
    <w:p w14:paraId="67F15C97">
      <w:pPr>
        <w:ind w:left="0" w:leftChars="0" w:firstLine="422" w:firstLineChars="17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三、款项结算</w:t>
      </w:r>
    </w:p>
    <w:p w14:paraId="08F48309">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(一)所有设备安装完毕和验收合格后，乙方向甲方开具正规采购服务发票，甲方根据县财政专项资金直接支付要求办理支付手续，最终支付合同价的全部资金。</w:t>
      </w:r>
    </w:p>
    <w:p w14:paraId="4918AD0D">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(二)支付方式:银行转账。</w:t>
      </w:r>
    </w:p>
    <w:p w14:paraId="67F5DBED">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(三)结算方式:乙方在接受付款前开具全额发票给甲方。</w:t>
      </w:r>
    </w:p>
    <w:p w14:paraId="4C30AF07">
      <w:pPr>
        <w:ind w:left="0" w:leftChars="0" w:firstLine="422" w:firstLineChars="17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四、双方的权利和义务</w:t>
      </w:r>
    </w:p>
    <w:p w14:paraId="779987C3">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(一)甲方的权利与义务</w:t>
      </w:r>
    </w:p>
    <w:p w14:paraId="6ECB3400">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1.甲方提供安装条件，包括电</w:t>
      </w:r>
      <w:r>
        <w:rPr>
          <w:rFonts w:hint="eastAsia" w:asciiTheme="majorEastAsia" w:hAnsiTheme="majorEastAsia" w:eastAsiaTheme="majorEastAsia" w:cstheme="majorEastAsia"/>
          <w:sz w:val="24"/>
          <w:szCs w:val="24"/>
          <w:lang w:eastAsia="zh-CN"/>
        </w:rPr>
        <w:t>、照明</w:t>
      </w:r>
      <w:r>
        <w:rPr>
          <w:rFonts w:hint="eastAsia" w:asciiTheme="majorEastAsia" w:hAnsiTheme="majorEastAsia" w:eastAsiaTheme="majorEastAsia" w:cstheme="majorEastAsia"/>
          <w:sz w:val="24"/>
          <w:szCs w:val="24"/>
        </w:rPr>
        <w:t>等到位。</w:t>
      </w:r>
    </w:p>
    <w:p w14:paraId="5C43B897">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2.甲方在收到乙方到货通知后，应按</w:t>
      </w:r>
      <w:r>
        <w:rPr>
          <w:rFonts w:hint="eastAsia" w:asciiTheme="majorEastAsia" w:hAnsiTheme="majorEastAsia" w:eastAsiaTheme="majorEastAsia" w:cstheme="majorEastAsia"/>
          <w:sz w:val="24"/>
          <w:szCs w:val="24"/>
          <w:lang w:val="en-US" w:eastAsia="zh-CN"/>
        </w:rPr>
        <w:t>询价</w:t>
      </w:r>
      <w:r>
        <w:rPr>
          <w:rFonts w:hint="eastAsia" w:asciiTheme="majorEastAsia" w:hAnsiTheme="majorEastAsia" w:eastAsiaTheme="majorEastAsia" w:cstheme="majorEastAsia"/>
          <w:sz w:val="24"/>
          <w:szCs w:val="24"/>
        </w:rPr>
        <w:t>文件的需求，甲方在收到货后，组织人员按审定的技术参数指标进行验收，如发现不符合相关规定或短缺，及时提出，甲方货物验收合格后乙方方可进场安装。</w:t>
      </w:r>
    </w:p>
    <w:p w14:paraId="648C5C0F">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(二)乙方的权利与义务</w:t>
      </w:r>
    </w:p>
    <w:p w14:paraId="3ED309B9">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1.乙方负责</w:t>
      </w:r>
      <w:r>
        <w:rPr>
          <w:rFonts w:hint="eastAsia" w:asciiTheme="majorEastAsia" w:hAnsiTheme="majorEastAsia" w:eastAsiaTheme="majorEastAsia" w:cstheme="majorEastAsia"/>
          <w:sz w:val="24"/>
          <w:szCs w:val="24"/>
          <w:lang w:eastAsia="zh-CN"/>
        </w:rPr>
        <w:t>清除场地</w:t>
      </w:r>
      <w:r>
        <w:rPr>
          <w:rFonts w:hint="eastAsia" w:asciiTheme="majorEastAsia" w:hAnsiTheme="majorEastAsia" w:eastAsiaTheme="majorEastAsia" w:cstheme="majorEastAsia"/>
          <w:sz w:val="24"/>
          <w:szCs w:val="24"/>
        </w:rPr>
        <w:t>并安装到甲方指定的位置,负责将本次合同供货产品安装到甲方指定位置，并在合同约定的时间完工。</w:t>
      </w:r>
    </w:p>
    <w:p w14:paraId="12A6006D">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2.乙方所提供的产品必须是采购需求产品，运输及安装施工全过程中的安全由乙方负责。</w:t>
      </w:r>
    </w:p>
    <w:p w14:paraId="0CC8D034">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3.在作业现场安装及调试过程中，乙方应积极与甲方人员进行配合，最终完成产品的安装调试工作。</w:t>
      </w:r>
    </w:p>
    <w:p w14:paraId="4FB3DFAC">
      <w:pPr>
        <w:ind w:left="0" w:leftChars="0" w:firstLine="422" w:firstLineChars="17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五、实施要求:</w:t>
      </w:r>
    </w:p>
    <w:p w14:paraId="7B025996">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(一)安装地点:甲方指定地点。</w:t>
      </w:r>
    </w:p>
    <w:p w14:paraId="3E8E4906">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(二)供货期:自合同签订之日起</w:t>
      </w:r>
      <w:r>
        <w:rPr>
          <w:rFonts w:hint="eastAsia" w:asciiTheme="majorEastAsia" w:hAnsiTheme="majorEastAsia" w:eastAsiaTheme="majorEastAsia" w:cstheme="majorEastAsia"/>
          <w:sz w:val="24"/>
          <w:szCs w:val="24"/>
          <w:u w:val="single"/>
          <w:lang w:val="en-US" w:eastAsia="zh-CN"/>
        </w:rPr>
        <w:t xml:space="preserve">   10   </w:t>
      </w:r>
      <w:r>
        <w:rPr>
          <w:rFonts w:hint="eastAsia" w:asciiTheme="majorEastAsia" w:hAnsiTheme="majorEastAsia" w:eastAsiaTheme="majorEastAsia" w:cstheme="majorEastAsia"/>
          <w:sz w:val="24"/>
          <w:szCs w:val="24"/>
        </w:rPr>
        <w:t>日历天内完成供货安装及调试。</w:t>
      </w:r>
    </w:p>
    <w:p w14:paraId="2FB5B419">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(三)质保期:终验合格后</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年。</w:t>
      </w:r>
    </w:p>
    <w:p w14:paraId="673E67EB">
      <w:pPr>
        <w:ind w:left="0" w:leftChars="0" w:firstLine="422" w:firstLineChars="17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六、运输</w:t>
      </w:r>
    </w:p>
    <w:p w14:paraId="08C27A54">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(一)乙方负责所有产品的运输，确保采购产品安全、完整到达甲方指定地点。运杂费用已包含在合同总价内，包括从产品供应地点所含的运输费、装卸费、仓储费、保险费等。</w:t>
      </w:r>
    </w:p>
    <w:p w14:paraId="1FC56D83">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(二)运输方式由乙方自行选择，但必须保证按期交货所有采购货物在运输、搬运的过程中，造成甲方损失的，由乙方为甲方修复或更新。</w:t>
      </w:r>
    </w:p>
    <w:p w14:paraId="53C4DDAA">
      <w:pPr>
        <w:ind w:left="0" w:leftChars="0" w:firstLine="422" w:firstLineChars="17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七、质量保证</w:t>
      </w:r>
    </w:p>
    <w:p w14:paraId="1BE9E006">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(一)乙方选用的产品保证技术指标</w:t>
      </w:r>
      <w:r>
        <w:rPr>
          <w:rFonts w:hint="eastAsia" w:asciiTheme="majorEastAsia" w:hAnsiTheme="majorEastAsia" w:eastAsiaTheme="majorEastAsia" w:cstheme="majorEastAsia"/>
          <w:sz w:val="24"/>
          <w:szCs w:val="24"/>
          <w:lang w:val="en-US" w:eastAsia="zh-CN"/>
        </w:rPr>
        <w:t>合格</w:t>
      </w:r>
      <w:r>
        <w:rPr>
          <w:rFonts w:hint="eastAsia" w:asciiTheme="majorEastAsia" w:hAnsiTheme="majorEastAsia" w:eastAsiaTheme="majorEastAsia" w:cstheme="majorEastAsia"/>
          <w:sz w:val="24"/>
          <w:szCs w:val="24"/>
        </w:rPr>
        <w:t>、质量性能可靠、进货渠道正常，配置合理，满足</w:t>
      </w:r>
      <w:r>
        <w:rPr>
          <w:rFonts w:hint="eastAsia" w:asciiTheme="majorEastAsia" w:hAnsiTheme="majorEastAsia" w:eastAsiaTheme="majorEastAsia" w:cstheme="majorEastAsia"/>
          <w:sz w:val="24"/>
          <w:szCs w:val="24"/>
          <w:lang w:val="en-US" w:eastAsia="zh-CN"/>
        </w:rPr>
        <w:t>询价</w:t>
      </w:r>
      <w:r>
        <w:rPr>
          <w:rFonts w:hint="eastAsia" w:asciiTheme="majorEastAsia" w:hAnsiTheme="majorEastAsia" w:eastAsiaTheme="majorEastAsia" w:cstheme="majorEastAsia"/>
          <w:sz w:val="24"/>
          <w:szCs w:val="24"/>
        </w:rPr>
        <w:t>文件要求。</w:t>
      </w:r>
    </w:p>
    <w:p w14:paraId="5BA031D9">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(二)产品符合国家有关规范要求，确保</w:t>
      </w:r>
      <w:r>
        <w:rPr>
          <w:rFonts w:hint="eastAsia" w:asciiTheme="majorEastAsia" w:hAnsiTheme="majorEastAsia" w:eastAsiaTheme="majorEastAsia" w:cstheme="majorEastAsia"/>
          <w:sz w:val="24"/>
          <w:szCs w:val="24"/>
          <w:lang w:eastAsia="zh-CN"/>
        </w:rPr>
        <w:t>所有</w:t>
      </w:r>
      <w:r>
        <w:rPr>
          <w:rFonts w:hint="eastAsia" w:asciiTheme="majorEastAsia" w:hAnsiTheme="majorEastAsia" w:eastAsiaTheme="majorEastAsia" w:cstheme="majorEastAsia"/>
          <w:sz w:val="24"/>
          <w:szCs w:val="24"/>
        </w:rPr>
        <w:t>产品达到</w:t>
      </w:r>
      <w:r>
        <w:rPr>
          <w:rFonts w:hint="eastAsia" w:asciiTheme="majorEastAsia" w:hAnsiTheme="majorEastAsia" w:eastAsiaTheme="majorEastAsia" w:cstheme="majorEastAsia"/>
          <w:sz w:val="24"/>
          <w:szCs w:val="24"/>
          <w:lang w:eastAsia="zh-CN"/>
        </w:rPr>
        <w:t>合格</w:t>
      </w:r>
      <w:r>
        <w:rPr>
          <w:rFonts w:hint="eastAsia" w:asciiTheme="majorEastAsia" w:hAnsiTheme="majorEastAsia" w:eastAsiaTheme="majorEastAsia" w:cstheme="majorEastAsia"/>
          <w:sz w:val="24"/>
          <w:szCs w:val="24"/>
        </w:rPr>
        <w:t>。</w:t>
      </w:r>
    </w:p>
    <w:p w14:paraId="5F8BAB09">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(三)各种产品具有良好的外观，适合各种安装场所的使用。</w:t>
      </w:r>
    </w:p>
    <w:p w14:paraId="2B0DBE92">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(四)产品自安装、调试正常</w:t>
      </w:r>
      <w:r>
        <w:rPr>
          <w:rFonts w:hint="eastAsia" w:asciiTheme="majorEastAsia" w:hAnsiTheme="majorEastAsia" w:eastAsiaTheme="majorEastAsia" w:cstheme="majorEastAsia"/>
          <w:sz w:val="24"/>
          <w:szCs w:val="24"/>
          <w:lang w:eastAsia="zh-CN"/>
        </w:rPr>
        <w:t>使用</w:t>
      </w:r>
      <w:r>
        <w:rPr>
          <w:rFonts w:hint="eastAsia" w:asciiTheme="majorEastAsia" w:hAnsiTheme="majorEastAsia" w:eastAsiaTheme="majorEastAsia" w:cstheme="majorEastAsia"/>
          <w:sz w:val="24"/>
          <w:szCs w:val="24"/>
        </w:rPr>
        <w:t>并验收合格之日起。</w:t>
      </w:r>
    </w:p>
    <w:p w14:paraId="1790B7BA">
      <w:pPr>
        <w:ind w:left="0" w:leftChars="0" w:firstLine="422" w:firstLineChars="17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八、售后服务</w:t>
      </w:r>
    </w:p>
    <w:p w14:paraId="39EE1525">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(一)质保期内:</w:t>
      </w:r>
    </w:p>
    <w:p w14:paraId="3FDBE11D">
      <w:pPr>
        <w:ind w:left="0" w:leftChars="0" w:firstLine="420" w:firstLineChars="175"/>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1.乙方所供产品发生质量问题，接到甲方通知后，应于当日派出专业的维修人员到产品现场进行检测维修，发生的全部费用由乙方承担，若需将产品送回生产厂，乙方承担往返费用</w:t>
      </w:r>
      <w:r>
        <w:rPr>
          <w:rFonts w:hint="eastAsia" w:asciiTheme="majorEastAsia" w:hAnsiTheme="majorEastAsia" w:eastAsiaTheme="majorEastAsia" w:cstheme="majorEastAsia"/>
          <w:sz w:val="24"/>
          <w:szCs w:val="24"/>
          <w:lang w:eastAsia="zh-CN"/>
        </w:rPr>
        <w:t>。</w:t>
      </w:r>
    </w:p>
    <w:p w14:paraId="4104C8A7">
      <w:pPr>
        <w:ind w:left="0" w:leftChars="0" w:firstLine="420" w:firstLineChars="175"/>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2.乙方定期派技术人员到产品现场</w:t>
      </w:r>
      <w:r>
        <w:rPr>
          <w:rFonts w:hint="eastAsia" w:asciiTheme="majorEastAsia" w:hAnsiTheme="majorEastAsia" w:eastAsiaTheme="majorEastAsia" w:cstheme="majorEastAsia"/>
          <w:sz w:val="24"/>
          <w:szCs w:val="24"/>
          <w:lang w:val="en-US" w:eastAsia="zh-CN"/>
        </w:rPr>
        <w:t>查看</w:t>
      </w:r>
      <w:r>
        <w:rPr>
          <w:rFonts w:hint="eastAsia" w:asciiTheme="majorEastAsia" w:hAnsiTheme="majorEastAsia" w:eastAsiaTheme="majorEastAsia" w:cstheme="majorEastAsia"/>
          <w:sz w:val="24"/>
          <w:szCs w:val="24"/>
        </w:rPr>
        <w:t>，对产品给予检查维护</w:t>
      </w:r>
      <w:r>
        <w:rPr>
          <w:rFonts w:hint="eastAsia" w:asciiTheme="majorEastAsia" w:hAnsiTheme="majorEastAsia" w:eastAsiaTheme="majorEastAsia" w:cstheme="majorEastAsia"/>
          <w:sz w:val="24"/>
          <w:szCs w:val="24"/>
          <w:lang w:eastAsia="zh-CN"/>
        </w:rPr>
        <w:t>。</w:t>
      </w:r>
    </w:p>
    <w:p w14:paraId="0D6FCDA6">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3.乙方排除产品故障的期限不得超过</w:t>
      </w:r>
      <w:r>
        <w:rPr>
          <w:rFonts w:hint="eastAsia" w:asciiTheme="majorEastAsia" w:hAnsiTheme="majorEastAsia" w:eastAsiaTheme="majorEastAsia" w:cstheme="majorEastAsia"/>
          <w:sz w:val="24"/>
          <w:szCs w:val="24"/>
          <w:lang w:val="en-US" w:eastAsia="zh-CN"/>
        </w:rPr>
        <w:t>24小时</w:t>
      </w:r>
      <w:r>
        <w:rPr>
          <w:rFonts w:hint="eastAsia" w:asciiTheme="majorEastAsia" w:hAnsiTheme="majorEastAsia" w:eastAsiaTheme="majorEastAsia" w:cstheme="majorEastAsia"/>
          <w:sz w:val="24"/>
          <w:szCs w:val="24"/>
        </w:rPr>
        <w:t>。否则甲方有权指定第三方维修，维修费用由乙方承担。</w:t>
      </w:r>
    </w:p>
    <w:p w14:paraId="2CCFF31C">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(二)质保期结束前，乙方应对所供产品进行系统测试，全面保养维护，维护内容包括检查所有产品的各类连接件等，确保产品的正常</w:t>
      </w:r>
      <w:r>
        <w:rPr>
          <w:rFonts w:hint="eastAsia" w:asciiTheme="majorEastAsia" w:hAnsiTheme="majorEastAsia" w:eastAsiaTheme="majorEastAsia" w:cstheme="majorEastAsia"/>
          <w:sz w:val="24"/>
          <w:szCs w:val="24"/>
          <w:lang w:val="en-US" w:eastAsia="zh-CN"/>
        </w:rPr>
        <w:t>使用</w:t>
      </w:r>
      <w:r>
        <w:rPr>
          <w:rFonts w:hint="eastAsia" w:asciiTheme="majorEastAsia" w:hAnsiTheme="majorEastAsia" w:eastAsiaTheme="majorEastAsia" w:cstheme="majorEastAsia"/>
          <w:sz w:val="24"/>
          <w:szCs w:val="24"/>
        </w:rPr>
        <w:t>。</w:t>
      </w:r>
    </w:p>
    <w:p w14:paraId="30EA15B6">
      <w:pPr>
        <w:ind w:left="0" w:leftChars="0" w:firstLine="422" w:firstLineChars="17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九、技术与服务</w:t>
      </w:r>
    </w:p>
    <w:p w14:paraId="2F1A0AB3">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(一)技术资料:</w:t>
      </w:r>
    </w:p>
    <w:p w14:paraId="10D8A4FB">
      <w:pPr>
        <w:ind w:left="0" w:leftChars="0" w:firstLine="420" w:firstLineChars="175"/>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1.产品合格证</w:t>
      </w:r>
      <w:r>
        <w:rPr>
          <w:rFonts w:hint="eastAsia" w:asciiTheme="majorEastAsia" w:hAnsiTheme="majorEastAsia" w:eastAsiaTheme="majorEastAsia" w:cstheme="majorEastAsia"/>
          <w:sz w:val="24"/>
          <w:szCs w:val="24"/>
          <w:lang w:eastAsia="zh-CN"/>
        </w:rPr>
        <w:t>。</w:t>
      </w:r>
    </w:p>
    <w:p w14:paraId="25E30A3E">
      <w:pPr>
        <w:ind w:left="0" w:leftChars="0" w:firstLine="420" w:firstLineChars="175"/>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2.产品使用说明书(中文)</w:t>
      </w:r>
      <w:r>
        <w:rPr>
          <w:rFonts w:hint="eastAsia" w:asciiTheme="majorEastAsia" w:hAnsiTheme="majorEastAsia" w:eastAsiaTheme="majorEastAsia" w:cstheme="majorEastAsia"/>
          <w:sz w:val="24"/>
          <w:szCs w:val="24"/>
          <w:lang w:eastAsia="zh-CN"/>
        </w:rPr>
        <w:t>。</w:t>
      </w:r>
    </w:p>
    <w:p w14:paraId="426FBAAF">
      <w:pPr>
        <w:ind w:left="0" w:leftChars="0" w:firstLine="420" w:firstLineChars="175"/>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3.进口产品商检证明和报关单(若有)</w:t>
      </w:r>
      <w:r>
        <w:rPr>
          <w:rFonts w:hint="eastAsia" w:asciiTheme="majorEastAsia" w:hAnsiTheme="majorEastAsia" w:eastAsiaTheme="majorEastAsia" w:cstheme="majorEastAsia"/>
          <w:sz w:val="24"/>
          <w:szCs w:val="24"/>
          <w:lang w:eastAsia="zh-CN"/>
        </w:rPr>
        <w:t>。</w:t>
      </w:r>
    </w:p>
    <w:p w14:paraId="22090BD3">
      <w:pPr>
        <w:ind w:left="0" w:leftChars="0" w:firstLine="420" w:firstLineChars="175"/>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4.调试记录报告</w:t>
      </w:r>
      <w:r>
        <w:rPr>
          <w:rFonts w:hint="eastAsia" w:asciiTheme="majorEastAsia" w:hAnsiTheme="majorEastAsia" w:eastAsiaTheme="majorEastAsia" w:cstheme="majorEastAsia"/>
          <w:sz w:val="24"/>
          <w:szCs w:val="24"/>
          <w:lang w:eastAsia="zh-CN"/>
        </w:rPr>
        <w:t>。</w:t>
      </w:r>
    </w:p>
    <w:p w14:paraId="17C0DDFF">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5.其它资料等。</w:t>
      </w:r>
    </w:p>
    <w:p w14:paraId="39B0E3CB">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(二)服务承诺:以</w:t>
      </w:r>
      <w:r>
        <w:rPr>
          <w:rFonts w:hint="eastAsia" w:asciiTheme="majorEastAsia" w:hAnsiTheme="majorEastAsia" w:eastAsiaTheme="majorEastAsia" w:cstheme="majorEastAsia"/>
          <w:sz w:val="24"/>
          <w:szCs w:val="24"/>
          <w:lang w:val="en-US" w:eastAsia="zh-CN"/>
        </w:rPr>
        <w:t>询价</w:t>
      </w:r>
      <w:r>
        <w:rPr>
          <w:rFonts w:hint="eastAsia" w:asciiTheme="majorEastAsia" w:hAnsiTheme="majorEastAsia" w:eastAsiaTheme="majorEastAsia" w:cstheme="majorEastAsia"/>
          <w:sz w:val="24"/>
          <w:szCs w:val="24"/>
        </w:rPr>
        <w:t>文件、合同和随产品的相关文件为准，但至少应包括:</w:t>
      </w:r>
    </w:p>
    <w:p w14:paraId="0B531081">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1.乙方对其所售产品负责备品配件的供应,长期提供有偿维修、技术咨询等服务。</w:t>
      </w:r>
    </w:p>
    <w:p w14:paraId="64555C51">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.派专人对所供产品提供售后服务，并每月定期对所供产品进行巡检，做好巡检记录。</w:t>
      </w:r>
    </w:p>
    <w:p w14:paraId="49D50972">
      <w:pPr>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.在产品安装过程中，应注意用水、用电、用气的安全，安装人员出现伤亡事故由乙方自行承担。</w:t>
      </w:r>
    </w:p>
    <w:p w14:paraId="6D64F9B8">
      <w:pPr>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(三)人员培训:当产品安装调试结束后，乙方应对所使用人员进行现场培训，并制作培训教材以便使用。</w:t>
      </w:r>
    </w:p>
    <w:p w14:paraId="416BCD85">
      <w:pPr>
        <w:ind w:left="0" w:leftChars="0" w:firstLine="422" w:firstLineChars="175"/>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十、违约责任</w:t>
      </w:r>
    </w:p>
    <w:p w14:paraId="2E34B5BF">
      <w:pPr>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(一)按《中华人民共和国民法典》中的相关条款执行。</w:t>
      </w:r>
    </w:p>
    <w:p w14:paraId="60D82E9B">
      <w:pPr>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(二)乙方供货期每超过一天，扣除乙方合同总价款的0.</w:t>
      </w: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%，迟交产品超过</w:t>
      </w: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天，甲方有权拒收产品。</w:t>
      </w:r>
    </w:p>
    <w:p w14:paraId="2C50C9BA">
      <w:pPr>
        <w:ind w:left="0" w:leftChars="0" w:firstLine="420" w:firstLineChars="175"/>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(三)按合同要求提供产品或产品质量不能满足采购技术要求，乙方必须无条件更换产品，提高技术，完善质量，</w:t>
      </w:r>
      <w:r>
        <w:rPr>
          <w:rFonts w:hint="eastAsia" w:asciiTheme="majorEastAsia" w:hAnsiTheme="majorEastAsia" w:eastAsiaTheme="majorEastAsia" w:cstheme="majorEastAsia"/>
          <w:sz w:val="24"/>
          <w:szCs w:val="24"/>
          <w:highlight w:val="none"/>
          <w:lang w:val="en-US" w:eastAsia="zh-CN"/>
        </w:rPr>
        <w:t>直至符合采购技术要求，</w:t>
      </w:r>
      <w:r>
        <w:rPr>
          <w:rFonts w:hint="eastAsia" w:asciiTheme="majorEastAsia" w:hAnsiTheme="majorEastAsia" w:eastAsiaTheme="majorEastAsia" w:cstheme="majorEastAsia"/>
          <w:sz w:val="24"/>
          <w:szCs w:val="24"/>
          <w:highlight w:val="none"/>
        </w:rPr>
        <w:t>否则，甲方会同监督机构、采购代理机构有权终止合同并对乙方违约行为进行追究，同时按政府采购乙方管理办法进行相应的处罚。</w:t>
      </w:r>
      <w:r>
        <w:rPr>
          <w:rFonts w:hint="eastAsia" w:asciiTheme="majorEastAsia" w:hAnsiTheme="majorEastAsia" w:eastAsiaTheme="majorEastAsia" w:cstheme="majorEastAsia"/>
          <w:sz w:val="24"/>
          <w:szCs w:val="24"/>
          <w:highlight w:val="none"/>
          <w:lang w:val="en-US" w:eastAsia="zh-CN"/>
        </w:rPr>
        <w:t>乙方因产品质量问题造成产品安装调试延期的，所有责任由乙方全部承担，乙方要负责承担合同超期期间学生住宿产生的一切费用。</w:t>
      </w:r>
    </w:p>
    <w:p w14:paraId="0ECAE94D">
      <w:pPr>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(四)任何一方因不可抗力原因不能履行协议时，应尽快通知对方，双方均设法补偿。如仍无法履约协议，可协商延缓或撤销协议，双方责任免除。</w:t>
      </w:r>
    </w:p>
    <w:p w14:paraId="6D6DD630">
      <w:pPr>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五</w:t>
      </w:r>
      <w:r>
        <w:rPr>
          <w:rFonts w:hint="eastAsia" w:asciiTheme="majorEastAsia" w:hAnsiTheme="majorEastAsia" w:eastAsiaTheme="majorEastAsia" w:cstheme="majorEastAsia"/>
          <w:sz w:val="24"/>
          <w:szCs w:val="24"/>
          <w:highlight w:val="none"/>
        </w:rPr>
        <w:t>)合同生效后，甲、乙双方须严格执行本合同条款的规定，全面履行合同，违者按《中华人民共和国民法典》的有关规定承担相应责任。</w:t>
      </w:r>
    </w:p>
    <w:p w14:paraId="1C00E3CA">
      <w:pPr>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六</w:t>
      </w:r>
      <w:r>
        <w:rPr>
          <w:rFonts w:hint="eastAsia" w:asciiTheme="majorEastAsia" w:hAnsiTheme="majorEastAsia" w:eastAsiaTheme="majorEastAsia" w:cstheme="majorEastAsia"/>
          <w:sz w:val="24"/>
          <w:szCs w:val="24"/>
          <w:highlight w:val="none"/>
        </w:rPr>
        <w:t>)本合同一式陆份，甲方执肆份，乙方执贰份。</w:t>
      </w:r>
    </w:p>
    <w:p w14:paraId="79A5B553">
      <w:pPr>
        <w:ind w:left="0" w:leftChars="0" w:firstLine="420" w:firstLineChars="175"/>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七</w:t>
      </w:r>
      <w:r>
        <w:rPr>
          <w:rFonts w:hint="eastAsia" w:asciiTheme="majorEastAsia" w:hAnsiTheme="majorEastAsia" w:eastAsiaTheme="majorEastAsia" w:cstheme="majorEastAsia"/>
          <w:sz w:val="24"/>
          <w:szCs w:val="24"/>
          <w:highlight w:val="none"/>
        </w:rPr>
        <w:t>)本合同如有未尽事宜，甲、乙双方协商解决</w:t>
      </w:r>
      <w:r>
        <w:rPr>
          <w:rFonts w:hint="eastAsia" w:asciiTheme="majorEastAsia" w:hAnsiTheme="majorEastAsia" w:eastAsiaTheme="majorEastAsia" w:cstheme="majorEastAsia"/>
          <w:sz w:val="24"/>
          <w:szCs w:val="24"/>
          <w:highlight w:val="none"/>
          <w:lang w:eastAsia="zh-CN"/>
        </w:rPr>
        <w:t>。</w:t>
      </w:r>
    </w:p>
    <w:p w14:paraId="464CC34B">
      <w:pPr>
        <w:rPr>
          <w:rFonts w:hint="eastAsia" w:asciiTheme="majorEastAsia" w:hAnsiTheme="majorEastAsia" w:eastAsiaTheme="majorEastAsia" w:cstheme="majorEastAsia"/>
          <w:sz w:val="24"/>
          <w:szCs w:val="24"/>
        </w:rPr>
      </w:pPr>
    </w:p>
    <w:p w14:paraId="310EA1AE">
      <w:pPr>
        <w:rPr>
          <w:rFonts w:hint="eastAsia" w:asciiTheme="majorEastAsia" w:hAnsiTheme="majorEastAsia" w:eastAsiaTheme="majorEastAsia" w:cstheme="majorEastAsia"/>
          <w:sz w:val="24"/>
          <w:szCs w:val="24"/>
        </w:rPr>
      </w:pPr>
    </w:p>
    <w:p w14:paraId="77527206">
      <w:pPr>
        <w:rPr>
          <w:rFonts w:hint="eastAsia" w:asciiTheme="majorEastAsia" w:hAnsiTheme="majorEastAsia" w:eastAsiaTheme="majorEastAsia" w:cstheme="majorEastAsia"/>
          <w:sz w:val="24"/>
          <w:szCs w:val="24"/>
        </w:rPr>
      </w:pPr>
    </w:p>
    <w:p w14:paraId="3BDE261B">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甲方:(盖章)</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乙方:</w:t>
      </w:r>
    </w:p>
    <w:p w14:paraId="5771CBE5">
      <w:pPr>
        <w:rPr>
          <w:rFonts w:hint="eastAsia" w:asciiTheme="majorEastAsia" w:hAnsiTheme="majorEastAsia" w:eastAsiaTheme="majorEastAsia" w:cstheme="majorEastAsia"/>
          <w:sz w:val="24"/>
          <w:szCs w:val="24"/>
        </w:rPr>
      </w:pPr>
    </w:p>
    <w:p w14:paraId="4CA4ADC8">
      <w:pPr>
        <w:rPr>
          <w:rFonts w:hint="eastAsia" w:asciiTheme="majorEastAsia" w:hAnsiTheme="majorEastAsia" w:eastAsiaTheme="majorEastAsia" w:cstheme="majorEastAsia"/>
          <w:sz w:val="24"/>
          <w:szCs w:val="24"/>
        </w:rPr>
      </w:pPr>
    </w:p>
    <w:p w14:paraId="5227CC48">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地址:</w:t>
      </w:r>
    </w:p>
    <w:p w14:paraId="22B5CD35">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法定代表人或其授权的代理人</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法定代表人或其授权的代理人</w:t>
      </w:r>
    </w:p>
    <w:p w14:paraId="265FB7C1">
      <w:pPr>
        <w:rPr>
          <w:rFonts w:hint="eastAsia" w:asciiTheme="majorEastAsia" w:hAnsiTheme="majorEastAsia" w:eastAsiaTheme="majorEastAsia" w:cstheme="majorEastAsia"/>
          <w:sz w:val="24"/>
          <w:szCs w:val="24"/>
        </w:rPr>
      </w:pPr>
    </w:p>
    <w:p w14:paraId="54197A82">
      <w:pPr>
        <w:rPr>
          <w:rFonts w:hint="eastAsia" w:asciiTheme="majorEastAsia" w:hAnsiTheme="majorEastAsia" w:eastAsiaTheme="majorEastAsia" w:cstheme="majorEastAsia"/>
          <w:sz w:val="24"/>
          <w:szCs w:val="24"/>
        </w:rPr>
      </w:pPr>
    </w:p>
    <w:p w14:paraId="4048E37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邮政编码:</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邮政编码:</w:t>
      </w:r>
    </w:p>
    <w:p w14:paraId="7E1DC036">
      <w:pPr>
        <w:rPr>
          <w:rFonts w:hint="eastAsia" w:asciiTheme="majorEastAsia" w:hAnsiTheme="majorEastAsia" w:eastAsiaTheme="majorEastAsia" w:cstheme="majorEastAsia"/>
          <w:sz w:val="24"/>
          <w:szCs w:val="24"/>
        </w:rPr>
      </w:pPr>
    </w:p>
    <w:p w14:paraId="2A21C2DC">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开户银行:</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开户银行:</w:t>
      </w:r>
    </w:p>
    <w:p w14:paraId="284285DB">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账号:</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账号:</w:t>
      </w:r>
    </w:p>
    <w:p w14:paraId="67FABEEC">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电话:</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电话:</w:t>
      </w:r>
      <w:r>
        <w:rPr>
          <w:rFonts w:hint="eastAsia" w:asciiTheme="majorEastAsia" w:hAnsiTheme="majorEastAsia" w:eastAsiaTheme="majorEastAsia" w:cstheme="majorEastAsia"/>
          <w:sz w:val="24"/>
          <w:szCs w:val="24"/>
          <w:lang w:val="en-US" w:eastAsia="zh-CN"/>
        </w:rPr>
        <w:t xml:space="preserve"> </w:t>
      </w:r>
    </w:p>
    <w:p w14:paraId="0E643E02">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传真:</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传真:</w:t>
      </w:r>
    </w:p>
    <w:p w14:paraId="1082CDE0">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电子邮箱:</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电子邮箱:</w:t>
      </w:r>
    </w:p>
    <w:p w14:paraId="7320DAB3">
      <w:pPr>
        <w:rPr>
          <w:rFonts w:hint="eastAsia"/>
          <w:sz w:val="32"/>
          <w:szCs w:val="32"/>
          <w:lang w:val="en-US" w:eastAsia="zh-CN"/>
        </w:rPr>
      </w:pPr>
      <w:r>
        <w:rPr>
          <w:rFonts w:hint="eastAsia"/>
          <w:sz w:val="32"/>
          <w:szCs w:val="32"/>
          <w:lang w:val="en-US" w:eastAsia="zh-CN"/>
        </w:rPr>
        <w:br w:type="page"/>
      </w:r>
    </w:p>
    <w:p w14:paraId="13B6875E">
      <w:pPr>
        <w:spacing w:line="48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响应文件格式</w:t>
      </w:r>
    </w:p>
    <w:p w14:paraId="78773F94">
      <w:pPr>
        <w:rPr>
          <w:rFonts w:hint="default"/>
          <w:lang w:val="en-US" w:eastAsia="zh-CN"/>
        </w:rPr>
      </w:pPr>
    </w:p>
    <w:p w14:paraId="63A2206A">
      <w:pPr>
        <w:rPr>
          <w:rFonts w:hint="eastAsia"/>
          <w:lang w:val="en-US" w:eastAsia="zh-CN"/>
        </w:rPr>
      </w:pPr>
    </w:p>
    <w:p w14:paraId="6F16F242">
      <w:pPr>
        <w:rPr>
          <w:rFonts w:hint="eastAsia"/>
          <w:lang w:val="en-US" w:eastAsia="zh-CN"/>
        </w:rPr>
      </w:pPr>
    </w:p>
    <w:p w14:paraId="08E4F780">
      <w:pPr>
        <w:jc w:val="center"/>
        <w:rPr>
          <w:rFonts w:hint="eastAsia"/>
          <w:b/>
          <w:bCs/>
          <w:sz w:val="52"/>
          <w:szCs w:val="52"/>
          <w:lang w:val="en-US" w:eastAsia="zh-CN"/>
        </w:rPr>
      </w:pPr>
      <w:r>
        <w:rPr>
          <w:rFonts w:hint="eastAsia"/>
          <w:b/>
          <w:bCs/>
          <w:sz w:val="52"/>
          <w:szCs w:val="52"/>
          <w:lang w:val="en-US" w:eastAsia="zh-CN"/>
        </w:rPr>
        <w:t>陇县中学学生公寓楼内设添置项目</w:t>
      </w:r>
    </w:p>
    <w:p w14:paraId="6A194CBD">
      <w:pPr>
        <w:pStyle w:val="5"/>
        <w:jc w:val="center"/>
        <w:rPr>
          <w:rFonts w:hint="default"/>
          <w:lang w:val="en-US" w:eastAsia="zh-CN"/>
        </w:rPr>
      </w:pPr>
      <w:r>
        <w:rPr>
          <w:rFonts w:hint="eastAsia"/>
          <w:b/>
          <w:bCs/>
          <w:sz w:val="52"/>
          <w:szCs w:val="52"/>
          <w:lang w:val="en-US" w:eastAsia="zh-CN"/>
        </w:rPr>
        <w:t>响应文件</w:t>
      </w:r>
    </w:p>
    <w:p w14:paraId="5F62B479">
      <w:pPr>
        <w:rPr>
          <w:rFonts w:hint="eastAsia"/>
          <w:sz w:val="32"/>
          <w:szCs w:val="32"/>
          <w:lang w:val="en-US" w:eastAsia="zh-CN"/>
        </w:rPr>
      </w:pPr>
    </w:p>
    <w:p w14:paraId="6947EBFC">
      <w:pPr>
        <w:rPr>
          <w:rFonts w:hint="eastAsia"/>
          <w:sz w:val="32"/>
          <w:szCs w:val="32"/>
          <w:lang w:val="en-US" w:eastAsia="zh-CN"/>
        </w:rPr>
      </w:pPr>
    </w:p>
    <w:p w14:paraId="6B8B3C36">
      <w:pPr>
        <w:jc w:val="center"/>
        <w:rPr>
          <w:rFonts w:hint="eastAsia"/>
          <w:sz w:val="32"/>
          <w:szCs w:val="32"/>
          <w:lang w:val="en-US" w:eastAsia="zh-CN"/>
        </w:rPr>
      </w:pPr>
      <w:r>
        <w:rPr>
          <w:rFonts w:hint="eastAsia"/>
          <w:sz w:val="32"/>
          <w:szCs w:val="32"/>
          <w:lang w:val="en-US" w:eastAsia="zh-CN"/>
        </w:rPr>
        <w:t>项目编号：LXZFCGZX-2025260101</w:t>
      </w:r>
    </w:p>
    <w:p w14:paraId="6A009CB6">
      <w:pPr>
        <w:pStyle w:val="5"/>
        <w:rPr>
          <w:rFonts w:hint="default"/>
          <w:lang w:val="en-US" w:eastAsia="zh-CN"/>
        </w:rPr>
      </w:pPr>
    </w:p>
    <w:p w14:paraId="6333F7BE">
      <w:pPr>
        <w:pStyle w:val="15"/>
        <w:rPr>
          <w:rFonts w:hint="default"/>
          <w:lang w:val="en-US" w:eastAsia="zh-CN"/>
        </w:rPr>
      </w:pPr>
    </w:p>
    <w:p w14:paraId="59419B94">
      <w:pPr>
        <w:spacing w:line="360" w:lineRule="auto"/>
        <w:ind w:firstLine="1110" w:firstLineChars="395"/>
        <w:rPr>
          <w:rFonts w:hint="eastAsia" w:ascii="仿宋" w:hAnsi="仿宋" w:eastAsia="仿宋" w:cs="仿宋"/>
          <w:b/>
          <w:color w:val="000000"/>
          <w:sz w:val="28"/>
          <w:szCs w:val="28"/>
        </w:rPr>
      </w:pPr>
    </w:p>
    <w:p w14:paraId="162748D2">
      <w:pPr>
        <w:spacing w:line="360" w:lineRule="auto"/>
        <w:ind w:firstLine="1110" w:firstLineChars="395"/>
        <w:rPr>
          <w:rFonts w:hint="eastAsia" w:ascii="仿宋" w:hAnsi="仿宋" w:eastAsia="仿宋" w:cs="仿宋"/>
          <w:b/>
          <w:color w:val="000000"/>
          <w:sz w:val="28"/>
          <w:szCs w:val="28"/>
        </w:rPr>
      </w:pPr>
    </w:p>
    <w:p w14:paraId="3D2AA937">
      <w:pPr>
        <w:spacing w:line="360" w:lineRule="auto"/>
        <w:ind w:firstLine="1110" w:firstLineChars="395"/>
        <w:rPr>
          <w:rFonts w:hint="eastAsia" w:ascii="仿宋" w:hAnsi="仿宋" w:eastAsia="仿宋" w:cs="仿宋"/>
          <w:b/>
          <w:color w:val="000000"/>
          <w:sz w:val="28"/>
          <w:szCs w:val="28"/>
        </w:rPr>
      </w:pPr>
    </w:p>
    <w:p w14:paraId="5C37555C">
      <w:pPr>
        <w:spacing w:line="360" w:lineRule="auto"/>
        <w:ind w:firstLine="1110" w:firstLineChars="395"/>
        <w:rPr>
          <w:rFonts w:hint="eastAsia" w:ascii="仿宋" w:hAnsi="仿宋" w:eastAsia="仿宋" w:cs="仿宋"/>
          <w:b/>
          <w:color w:val="000000"/>
          <w:sz w:val="28"/>
          <w:szCs w:val="28"/>
        </w:rPr>
      </w:pPr>
    </w:p>
    <w:p w14:paraId="6781308C">
      <w:pPr>
        <w:spacing w:line="360" w:lineRule="auto"/>
        <w:ind w:left="0" w:leftChars="0"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供应商名称：                       （盖章）</w:t>
      </w:r>
    </w:p>
    <w:p w14:paraId="0342BB35">
      <w:pPr>
        <w:spacing w:line="360" w:lineRule="auto"/>
        <w:ind w:left="0" w:leftChars="0" w:firstLine="643" w:firstLineChars="200"/>
        <w:rPr>
          <w:rFonts w:hint="eastAsia" w:ascii="仿宋" w:hAnsi="仿宋" w:eastAsia="仿宋" w:cs="仿宋"/>
          <w:b/>
          <w:color w:val="000000"/>
          <w:sz w:val="32"/>
          <w:szCs w:val="32"/>
        </w:rPr>
      </w:pPr>
    </w:p>
    <w:p w14:paraId="04F2211A">
      <w:pPr>
        <w:spacing w:line="360" w:lineRule="auto"/>
        <w:ind w:left="0" w:leftChars="0" w:firstLine="643" w:firstLineChars="200"/>
        <w:rPr>
          <w:rFonts w:hint="eastAsia" w:ascii="仿宋" w:hAnsi="仿宋" w:eastAsia="仿宋" w:cs="仿宋"/>
          <w:b/>
          <w:color w:val="000000"/>
          <w:sz w:val="32"/>
          <w:szCs w:val="32"/>
        </w:rPr>
      </w:pPr>
    </w:p>
    <w:p w14:paraId="48624B5B">
      <w:pPr>
        <w:spacing w:line="360" w:lineRule="auto"/>
        <w:ind w:left="0" w:leftChars="0" w:firstLine="643" w:firstLineChars="200"/>
        <w:rPr>
          <w:rFonts w:ascii="仿宋" w:hAnsi="仿宋" w:eastAsia="仿宋" w:cs="仿宋"/>
          <w:b/>
          <w:color w:val="000000"/>
          <w:sz w:val="32"/>
          <w:szCs w:val="32"/>
        </w:rPr>
      </w:pPr>
      <w:r>
        <w:rPr>
          <w:rFonts w:hint="eastAsia" w:ascii="仿宋" w:hAnsi="仿宋" w:eastAsia="仿宋" w:cs="仿宋"/>
          <w:b/>
          <w:color w:val="000000"/>
          <w:sz w:val="32"/>
          <w:szCs w:val="32"/>
        </w:rPr>
        <w:t>法定代表人或</w:t>
      </w:r>
      <w:r>
        <w:rPr>
          <w:rFonts w:hint="eastAsia" w:ascii="仿宋" w:hAnsi="仿宋" w:eastAsia="仿宋" w:cs="仿宋"/>
          <w:b/>
          <w:bCs/>
          <w:color w:val="000000"/>
          <w:sz w:val="32"/>
          <w:szCs w:val="32"/>
        </w:rPr>
        <w:t>被授权</w:t>
      </w:r>
      <w:r>
        <w:rPr>
          <w:rFonts w:hint="eastAsia" w:ascii="仿宋" w:hAnsi="仿宋" w:eastAsia="仿宋" w:cs="仿宋"/>
          <w:b/>
          <w:color w:val="000000"/>
          <w:sz w:val="32"/>
          <w:szCs w:val="32"/>
        </w:rPr>
        <w:t>人 ：            （签字或盖章）</w:t>
      </w:r>
    </w:p>
    <w:p w14:paraId="67BE9084">
      <w:pPr>
        <w:spacing w:line="360" w:lineRule="auto"/>
        <w:ind w:left="0" w:leftChars="0" w:firstLine="643" w:firstLineChars="200"/>
        <w:rPr>
          <w:rFonts w:hint="eastAsia" w:ascii="仿宋" w:hAnsi="仿宋" w:eastAsia="仿宋" w:cs="仿宋"/>
          <w:b/>
          <w:color w:val="000000"/>
          <w:sz w:val="32"/>
          <w:szCs w:val="32"/>
        </w:rPr>
      </w:pPr>
    </w:p>
    <w:p w14:paraId="7EED8B65">
      <w:pPr>
        <w:spacing w:line="360" w:lineRule="auto"/>
        <w:ind w:left="0" w:leftChars="0" w:firstLine="643" w:firstLineChars="200"/>
        <w:rPr>
          <w:rFonts w:hint="eastAsia" w:ascii="仿宋" w:hAnsi="仿宋" w:eastAsia="仿宋" w:cs="仿宋"/>
          <w:b/>
          <w:color w:val="000000"/>
          <w:sz w:val="32"/>
          <w:szCs w:val="32"/>
        </w:rPr>
      </w:pPr>
    </w:p>
    <w:p w14:paraId="1F21B590">
      <w:pPr>
        <w:spacing w:line="360" w:lineRule="auto"/>
        <w:ind w:left="0" w:leftChars="0"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时    间：</w:t>
      </w:r>
    </w:p>
    <w:p w14:paraId="4D44B298">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2B0CDB6D">
      <w:pPr>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目  录</w:t>
      </w:r>
    </w:p>
    <w:p w14:paraId="5C8D2211">
      <w:pPr>
        <w:spacing w:line="360" w:lineRule="auto"/>
        <w:jc w:val="center"/>
        <w:rPr>
          <w:rFonts w:ascii="仿宋" w:hAnsi="仿宋" w:eastAsia="仿宋" w:cs="仿宋"/>
          <w:b/>
          <w:color w:val="000000"/>
          <w:sz w:val="18"/>
          <w:szCs w:val="18"/>
          <w:u w:val="wavyHeavy" w:color="FF0000"/>
        </w:rPr>
      </w:pPr>
    </w:p>
    <w:p w14:paraId="56A6283F">
      <w:pPr>
        <w:spacing w:line="360" w:lineRule="auto"/>
        <w:rPr>
          <w:rFonts w:ascii="仿宋" w:hAnsi="仿宋" w:eastAsia="仿宋" w:cs="仿宋"/>
          <w:color w:val="000000"/>
          <w:szCs w:val="24"/>
        </w:rPr>
      </w:pPr>
    </w:p>
    <w:p w14:paraId="78106B19">
      <w:pPr>
        <w:spacing w:line="360" w:lineRule="auto"/>
        <w:jc w:val="left"/>
        <w:rPr>
          <w:rFonts w:ascii="仿宋" w:hAnsi="仿宋" w:eastAsia="仿宋" w:cs="仿宋"/>
          <w:b/>
          <w:bCs/>
          <w:sz w:val="32"/>
          <w:szCs w:val="32"/>
        </w:rPr>
      </w:pPr>
      <w:r>
        <w:rPr>
          <w:rFonts w:hint="eastAsia" w:ascii="仿宋" w:hAnsi="仿宋" w:eastAsia="仿宋" w:cs="仿宋"/>
          <w:b/>
          <w:bCs/>
          <w:sz w:val="32"/>
          <w:szCs w:val="32"/>
        </w:rPr>
        <w:t>1．资格证明文件</w:t>
      </w:r>
    </w:p>
    <w:p w14:paraId="53E2D88C">
      <w:pPr>
        <w:spacing w:line="360" w:lineRule="auto"/>
        <w:ind w:left="0" w:leftChars="0" w:firstLine="419" w:firstLineChars="1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1.1企业法人营业执照</w:t>
      </w:r>
    </w:p>
    <w:p w14:paraId="67D356ED">
      <w:pPr>
        <w:spacing w:line="360" w:lineRule="auto"/>
        <w:ind w:left="0" w:leftChars="0" w:firstLine="419" w:firstLineChars="1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1.2法定代表人授权委托书</w:t>
      </w:r>
    </w:p>
    <w:p w14:paraId="21B68306">
      <w:pPr>
        <w:spacing w:line="360" w:lineRule="auto"/>
        <w:ind w:left="0" w:leftChars="0" w:firstLine="419" w:firstLineChars="1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1.3财务报告</w:t>
      </w:r>
    </w:p>
    <w:p w14:paraId="0982CD5C">
      <w:pPr>
        <w:spacing w:line="360" w:lineRule="auto"/>
        <w:ind w:left="0" w:leftChars="0" w:firstLine="419" w:firstLineChars="1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1.4税收缴纳证明</w:t>
      </w:r>
    </w:p>
    <w:p w14:paraId="37DD5897">
      <w:pPr>
        <w:spacing w:line="360" w:lineRule="auto"/>
        <w:ind w:left="0" w:leftChars="0" w:firstLine="419" w:firstLineChars="1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1.5社会保障资金缴纳证明</w:t>
      </w:r>
    </w:p>
    <w:p w14:paraId="0B72C6FE">
      <w:pPr>
        <w:spacing w:line="360" w:lineRule="auto"/>
        <w:ind w:left="0" w:leftChars="0" w:firstLine="419" w:firstLineChars="131"/>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1.6无重大违法记录声明</w:t>
      </w:r>
    </w:p>
    <w:p w14:paraId="6B46DC6A">
      <w:pPr>
        <w:spacing w:line="360" w:lineRule="auto"/>
        <w:ind w:left="0" w:leftChars="0" w:firstLine="419" w:firstLineChars="131"/>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1.7信用记录</w:t>
      </w:r>
    </w:p>
    <w:p w14:paraId="12384901">
      <w:pPr>
        <w:spacing w:line="360" w:lineRule="auto"/>
        <w:ind w:left="0" w:leftChars="0" w:firstLine="419" w:firstLineChars="131"/>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1.8控股管理关系</w:t>
      </w:r>
    </w:p>
    <w:p w14:paraId="2EB68A67">
      <w:pPr>
        <w:spacing w:line="360" w:lineRule="auto"/>
        <w:ind w:left="0" w:leftChars="0" w:firstLine="419" w:firstLineChars="131"/>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1.9中小企业制造声明函</w:t>
      </w:r>
    </w:p>
    <w:p w14:paraId="49463E10">
      <w:pPr>
        <w:spacing w:line="360" w:lineRule="auto"/>
        <w:jc w:val="left"/>
        <w:rPr>
          <w:rFonts w:ascii="仿宋" w:hAnsi="仿宋" w:eastAsia="仿宋" w:cs="仿宋"/>
          <w:b/>
          <w:bCs/>
          <w:sz w:val="32"/>
          <w:szCs w:val="32"/>
        </w:rPr>
      </w:pPr>
      <w:r>
        <w:rPr>
          <w:rFonts w:hint="eastAsia" w:ascii="仿宋" w:hAnsi="仿宋" w:eastAsia="仿宋" w:cs="仿宋"/>
          <w:b/>
          <w:bCs/>
          <w:sz w:val="32"/>
          <w:szCs w:val="32"/>
        </w:rPr>
        <w:t>2．响应函</w:t>
      </w:r>
    </w:p>
    <w:p w14:paraId="645B8B7A">
      <w:pPr>
        <w:spacing w:line="360" w:lineRule="auto"/>
        <w:jc w:val="left"/>
        <w:rPr>
          <w:rFonts w:ascii="仿宋" w:hAnsi="仿宋" w:eastAsia="仿宋" w:cs="仿宋"/>
          <w:b/>
          <w:bCs/>
          <w:sz w:val="32"/>
          <w:szCs w:val="32"/>
        </w:rPr>
      </w:pPr>
      <w:r>
        <w:rPr>
          <w:rFonts w:hint="eastAsia" w:ascii="仿宋" w:hAnsi="仿宋" w:eastAsia="仿宋" w:cs="仿宋"/>
          <w:b/>
          <w:bCs/>
          <w:sz w:val="32"/>
          <w:szCs w:val="32"/>
        </w:rPr>
        <w:t>3．报价表</w:t>
      </w:r>
    </w:p>
    <w:p w14:paraId="295F1955">
      <w:pPr>
        <w:spacing w:line="360" w:lineRule="auto"/>
        <w:jc w:val="left"/>
        <w:rPr>
          <w:rFonts w:ascii="仿宋" w:hAnsi="仿宋" w:eastAsia="仿宋" w:cs="仿宋"/>
          <w:b/>
          <w:bCs/>
          <w:sz w:val="32"/>
          <w:szCs w:val="32"/>
        </w:rPr>
      </w:pPr>
      <w:r>
        <w:rPr>
          <w:rFonts w:hint="eastAsia" w:ascii="仿宋" w:hAnsi="仿宋" w:eastAsia="仿宋" w:cs="仿宋"/>
          <w:b/>
          <w:bCs/>
          <w:sz w:val="32"/>
          <w:szCs w:val="32"/>
        </w:rPr>
        <w:t>4．技术</w:t>
      </w:r>
      <w:r>
        <w:rPr>
          <w:rFonts w:hint="eastAsia" w:ascii="仿宋" w:hAnsi="仿宋" w:eastAsia="仿宋" w:cs="仿宋"/>
          <w:b/>
          <w:bCs/>
          <w:sz w:val="32"/>
          <w:szCs w:val="32"/>
          <w:lang w:val="en-US" w:eastAsia="zh-CN"/>
        </w:rPr>
        <w:t>参数</w:t>
      </w:r>
      <w:r>
        <w:rPr>
          <w:rFonts w:hint="eastAsia" w:ascii="仿宋" w:hAnsi="仿宋" w:eastAsia="仿宋" w:cs="仿宋"/>
          <w:b/>
          <w:bCs/>
          <w:sz w:val="32"/>
          <w:szCs w:val="32"/>
        </w:rPr>
        <w:t>响应偏离表</w:t>
      </w:r>
    </w:p>
    <w:p w14:paraId="0D4BD72F">
      <w:pPr>
        <w:spacing w:line="360" w:lineRule="auto"/>
        <w:jc w:val="left"/>
        <w:rPr>
          <w:rFonts w:ascii="仿宋" w:hAnsi="仿宋" w:eastAsia="仿宋" w:cs="仿宋"/>
          <w:b/>
          <w:bCs/>
          <w:color w:val="FF0000"/>
          <w:sz w:val="32"/>
          <w:szCs w:val="32"/>
        </w:rPr>
      </w:pPr>
      <w:r>
        <w:rPr>
          <w:rFonts w:hint="eastAsia" w:ascii="仿宋" w:hAnsi="仿宋" w:eastAsia="仿宋" w:cs="仿宋"/>
          <w:b/>
          <w:bCs/>
          <w:sz w:val="32"/>
          <w:szCs w:val="32"/>
        </w:rPr>
        <w:t>5．商务参数响应偏离表</w:t>
      </w:r>
    </w:p>
    <w:p w14:paraId="172786E7">
      <w:pPr>
        <w:spacing w:line="360" w:lineRule="auto"/>
        <w:jc w:val="left"/>
        <w:rPr>
          <w:rFonts w:ascii="仿宋" w:hAnsi="仿宋" w:eastAsia="仿宋" w:cs="仿宋"/>
          <w:b/>
          <w:bCs/>
          <w:sz w:val="32"/>
          <w:szCs w:val="32"/>
        </w:rPr>
      </w:pPr>
      <w:r>
        <w:rPr>
          <w:rFonts w:hint="eastAsia" w:ascii="仿宋" w:hAnsi="仿宋" w:eastAsia="仿宋" w:cs="仿宋"/>
          <w:b/>
          <w:bCs/>
          <w:sz w:val="32"/>
          <w:szCs w:val="32"/>
        </w:rPr>
        <w:t>6．供应商</w:t>
      </w:r>
      <w:r>
        <w:rPr>
          <w:rFonts w:hint="eastAsia" w:ascii="仿宋" w:hAnsi="仿宋" w:eastAsia="仿宋" w:cs="仿宋"/>
          <w:b/>
          <w:bCs/>
          <w:sz w:val="32"/>
          <w:szCs w:val="32"/>
          <w:lang w:val="en-US" w:eastAsia="zh-CN"/>
        </w:rPr>
        <w:t>履约</w:t>
      </w:r>
      <w:r>
        <w:rPr>
          <w:rFonts w:hint="eastAsia" w:ascii="仿宋" w:hAnsi="仿宋" w:eastAsia="仿宋" w:cs="仿宋"/>
          <w:b/>
          <w:bCs/>
          <w:sz w:val="32"/>
          <w:szCs w:val="32"/>
        </w:rPr>
        <w:t>承诺书</w:t>
      </w:r>
    </w:p>
    <w:p w14:paraId="562C6666">
      <w:pPr>
        <w:spacing w:line="360" w:lineRule="auto"/>
        <w:jc w:val="left"/>
        <w:rPr>
          <w:rFonts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．宝鸡市政府采购供应商诚信承诺书</w:t>
      </w:r>
    </w:p>
    <w:p w14:paraId="68B22B3F">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．投标人认为有必要说明的事宜</w:t>
      </w:r>
    </w:p>
    <w:p w14:paraId="32512AD2">
      <w:pPr>
        <w:rPr>
          <w:rFonts w:hint="eastAsia" w:ascii="仿宋" w:hAnsi="仿宋" w:eastAsia="仿宋" w:cs="仿宋"/>
          <w:sz w:val="32"/>
          <w:szCs w:val="32"/>
        </w:rPr>
      </w:pPr>
      <w:r>
        <w:rPr>
          <w:rFonts w:hint="eastAsia" w:ascii="仿宋" w:hAnsi="仿宋" w:eastAsia="仿宋" w:cs="仿宋"/>
          <w:sz w:val="32"/>
          <w:szCs w:val="32"/>
        </w:rPr>
        <w:br w:type="page"/>
      </w:r>
    </w:p>
    <w:p w14:paraId="636547FB">
      <w:pPr>
        <w:rPr>
          <w:rFonts w:hint="eastAsia" w:ascii="仿宋" w:hAnsi="仿宋" w:eastAsia="仿宋" w:cs="仿宋"/>
          <w:b/>
          <w:bCs/>
          <w:sz w:val="32"/>
          <w:szCs w:val="32"/>
        </w:rPr>
      </w:pPr>
      <w:r>
        <w:rPr>
          <w:rFonts w:hint="eastAsia" w:ascii="仿宋" w:hAnsi="仿宋" w:eastAsia="仿宋" w:cs="仿宋"/>
          <w:b/>
          <w:bCs/>
          <w:sz w:val="32"/>
          <w:szCs w:val="32"/>
        </w:rPr>
        <w:t>1．资格证明文件</w:t>
      </w:r>
    </w:p>
    <w:p w14:paraId="055F11C5">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投标人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 </w:t>
      </w:r>
    </w:p>
    <w:p w14:paraId="354E2783">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投标人提供法定代表人授权委托书、身份证复印件及被授权人身份证原件、复印件（复印件须加盖公章），法定代表人直接投标只须提交其身份证明； </w:t>
      </w:r>
    </w:p>
    <w:p w14:paraId="22A11EFB">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财务报告：提供开户银行出具的资信证明或具有财务审计资质的单位出具的2024年财务报告（至少包括资产负债表和利润表，成立时间至提交投标文件截止时间不足一年的可提供成立后任意时段的资产负债表）； </w:t>
      </w:r>
    </w:p>
    <w:p w14:paraId="60BD5DAB">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税收缴纳证明：提供投标截止时间前三个月内，至少一个月已缴纳的纳税证明或完税证明，依法免税的投标人应提供相关证明材料； </w:t>
      </w:r>
    </w:p>
    <w:p w14:paraId="7ED3BB66">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社会保障资金缴纳证明：提供投标截止时间前三个月内，至少一个月已缴存的社会保障资金缴存单据或社保机构开具的社会保险参保缴费情况证明；依法不需要缴纳社会保障资金的投标人应提供相关文件证明； </w:t>
      </w:r>
    </w:p>
    <w:p w14:paraId="23EC9219">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参加政府采购活动前三年内，在经营活动中没有重大违法记录的书面声明；</w:t>
      </w:r>
    </w:p>
    <w:p w14:paraId="1E9ADE13">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1.7</w:t>
      </w:r>
      <w:r>
        <w:rPr>
          <w:rFonts w:hint="eastAsia" w:asciiTheme="minorEastAsia" w:hAnsiTheme="minorEastAsia" w:eastAsiaTheme="minorEastAsia" w:cstheme="minorEastAsia"/>
          <w:sz w:val="28"/>
          <w:szCs w:val="28"/>
        </w:rPr>
        <w:t>投标人不得为“信用中国”网站（www.creditchina.gov.cn）中失信被执行人和重大税收违法失信主体名单的投标人，不得为中国政府采购网（www.ccgp.gov.cn）政府采购严重违法失信行为记录名单中被财政部门禁止参加政府采购活动的投标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提供声明函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p>
    <w:p w14:paraId="6496363A">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rPr>
        <w:t>单位负责人为同一人或者存在控股、管理关系的不同单位，不得参加同一标段投标或者未划分标段的同一招标项目投标</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提供局面承诺书</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p>
    <w:p w14:paraId="4B2364BD">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本项目专门面向中小企业采购</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投标人提供的货物必须全部由中小企业、残疾人福利性单位、监狱企业制造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p>
    <w:p w14:paraId="266E22C7">
      <w:pPr>
        <w:rPr>
          <w:rFonts w:hint="eastAsia" w:ascii="宋体" w:hAnsi="宋体" w:cs="宋体"/>
          <w:b/>
          <w:bCs/>
          <w:sz w:val="28"/>
          <w:szCs w:val="28"/>
        </w:rPr>
      </w:pPr>
      <w:bookmarkStart w:id="2" w:name="_Toc9434"/>
      <w:r>
        <w:rPr>
          <w:rFonts w:hint="eastAsia" w:ascii="宋体" w:hAnsi="宋体" w:cs="宋体"/>
          <w:b/>
          <w:bCs/>
          <w:sz w:val="28"/>
          <w:szCs w:val="28"/>
        </w:rPr>
        <w:br w:type="page"/>
      </w:r>
    </w:p>
    <w:p w14:paraId="33235D09">
      <w:pPr>
        <w:spacing w:before="100" w:beforeAutospacing="1" w:afterLines="50" w:line="360" w:lineRule="auto"/>
        <w:jc w:val="left"/>
        <w:outlineLvl w:val="2"/>
        <w:rPr>
          <w:rFonts w:ascii="宋体" w:hAnsi="宋体" w:cs="宋体"/>
          <w:b/>
          <w:bCs/>
          <w:sz w:val="28"/>
          <w:szCs w:val="28"/>
        </w:rPr>
      </w:pPr>
      <w:r>
        <w:rPr>
          <w:rFonts w:hint="eastAsia" w:ascii="宋体" w:hAnsi="宋体" w:cs="宋体"/>
          <w:b/>
          <w:bCs/>
          <w:sz w:val="28"/>
          <w:szCs w:val="28"/>
        </w:rPr>
        <w:t>附件1</w:t>
      </w:r>
      <w:bookmarkEnd w:id="2"/>
    </w:p>
    <w:p w14:paraId="23F82999">
      <w:pPr>
        <w:pStyle w:val="3"/>
        <w:keepLines w:val="0"/>
        <w:spacing w:beforeLines="50"/>
        <w:jc w:val="center"/>
        <w:rPr>
          <w:rFonts w:ascii="宋体" w:hAnsi="宋体" w:cs="宋体"/>
        </w:rPr>
      </w:pPr>
      <w:bookmarkStart w:id="3" w:name="_Toc17436"/>
      <w:r>
        <w:rPr>
          <w:rFonts w:hint="eastAsia" w:ascii="宋体" w:hAnsi="宋体" w:cs="宋体"/>
        </w:rPr>
        <w:t>中小企业声明函（货物）</w:t>
      </w:r>
      <w:bookmarkEnd w:id="3"/>
    </w:p>
    <w:p w14:paraId="47653984">
      <w:pPr>
        <w:pStyle w:val="5"/>
        <w:rPr>
          <w:rFonts w:ascii="宋体"/>
          <w:b/>
          <w:sz w:val="24"/>
        </w:rPr>
      </w:pPr>
    </w:p>
    <w:p w14:paraId="7B5D5779">
      <w:pPr>
        <w:pStyle w:val="5"/>
        <w:tabs>
          <w:tab w:val="left" w:pos="9120"/>
        </w:tabs>
        <w:spacing w:before="55" w:line="360" w:lineRule="auto"/>
        <w:ind w:firstLine="640"/>
        <w:rPr>
          <w:rFonts w:ascii="宋体" w:hAnsi="宋体" w:cs="宋体"/>
          <w:spacing w:val="-2"/>
          <w:sz w:val="24"/>
        </w:rPr>
      </w:pPr>
      <w:r>
        <w:rPr>
          <w:rFonts w:hint="eastAsia" w:ascii="宋体" w:hAnsi="宋体" w:cs="宋体"/>
          <w:spacing w:val="-2"/>
          <w:sz w:val="24"/>
        </w:rPr>
        <w:t>本公司郑重声明，根据《政府采购促进中小</w:t>
      </w:r>
      <w:r>
        <w:rPr>
          <w:rFonts w:hint="eastAsia" w:ascii="宋体" w:hAnsi="宋体" w:cs="宋体"/>
          <w:spacing w:val="-18"/>
          <w:sz w:val="24"/>
        </w:rPr>
        <w:t>企业发展管理办法》</w:t>
      </w:r>
      <w:r>
        <w:rPr>
          <w:rFonts w:hint="eastAsia" w:ascii="宋体" w:hAnsi="宋体" w:cs="宋体"/>
          <w:sz w:val="24"/>
        </w:rPr>
        <w:t>（</w:t>
      </w:r>
      <w:r>
        <w:rPr>
          <w:rFonts w:hint="eastAsia" w:ascii="宋体" w:hAnsi="宋体" w:cs="宋体"/>
          <w:spacing w:val="5"/>
          <w:sz w:val="24"/>
        </w:rPr>
        <w:t>财库</w:t>
      </w:r>
      <w:r>
        <w:rPr>
          <w:rFonts w:hint="eastAsia" w:ascii="宋体" w:hAnsi="宋体" w:cs="宋体"/>
          <w:sz w:val="24"/>
        </w:rPr>
        <w:t>﹝2020﹞46</w:t>
      </w:r>
      <w:r>
        <w:rPr>
          <w:rFonts w:hint="eastAsia" w:ascii="宋体" w:hAnsi="宋体" w:cs="宋体"/>
          <w:spacing w:val="-38"/>
          <w:sz w:val="24"/>
        </w:rPr>
        <w:t xml:space="preserve"> 号</w:t>
      </w:r>
      <w:r>
        <w:rPr>
          <w:rFonts w:hint="eastAsia" w:ascii="宋体" w:hAnsi="宋体" w:cs="宋体"/>
          <w:spacing w:val="5"/>
          <w:sz w:val="24"/>
        </w:rPr>
        <w:t>）</w:t>
      </w:r>
      <w:r>
        <w:rPr>
          <w:rFonts w:hint="eastAsia" w:ascii="宋体" w:hAnsi="宋体" w:cs="宋体"/>
          <w:sz w:val="24"/>
        </w:rPr>
        <w:t>的规定，本公司（联合体）</w:t>
      </w:r>
      <w:r>
        <w:rPr>
          <w:rFonts w:hint="eastAsia" w:ascii="宋体" w:hAnsi="宋体" w:cs="宋体"/>
          <w:spacing w:val="-2"/>
          <w:sz w:val="24"/>
        </w:rPr>
        <w:t>参加</w:t>
      </w:r>
      <w:r>
        <w:rPr>
          <w:rFonts w:hint="eastAsia" w:ascii="宋体" w:hAnsi="宋体" w:cs="宋体"/>
          <w:spacing w:val="-2"/>
          <w:sz w:val="24"/>
          <w:u w:val="single"/>
          <w:lang w:val="zh-CN"/>
        </w:rPr>
        <w:t>（单位名称）</w:t>
      </w:r>
      <w:r>
        <w:rPr>
          <w:rFonts w:hint="eastAsia" w:ascii="宋体" w:hAnsi="宋体" w:cs="宋体"/>
          <w:spacing w:val="-2"/>
          <w:sz w:val="24"/>
        </w:rPr>
        <w:t>的</w:t>
      </w:r>
      <w:r>
        <w:rPr>
          <w:rFonts w:hint="eastAsia" w:ascii="宋体" w:hAnsi="宋体" w:cs="宋体"/>
          <w:spacing w:val="-2"/>
          <w:sz w:val="24"/>
          <w:u w:val="single"/>
          <w:lang w:val="zh-CN"/>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14:paraId="4A3F3529">
      <w:pPr>
        <w:pStyle w:val="5"/>
        <w:numPr>
          <w:ilvl w:val="0"/>
          <w:numId w:val="2"/>
        </w:numPr>
        <w:spacing w:before="2" w:line="360" w:lineRule="auto"/>
        <w:ind w:firstLine="480" w:firstLineChars="200"/>
        <w:jc w:val="left"/>
        <w:rPr>
          <w:rFonts w:ascii="宋体" w:hAnsi="宋体" w:cs="宋体"/>
          <w:sz w:val="24"/>
        </w:rPr>
      </w:pPr>
      <w:r>
        <w:rPr>
          <w:rFonts w:hint="eastAsia" w:ascii="宋体" w:hAnsi="宋体" w:cs="宋体"/>
          <w:sz w:val="24"/>
          <w:u w:val="single"/>
          <w:lang w:val="zh-CN"/>
        </w:rPr>
        <w:t>（标的名称）</w:t>
      </w:r>
      <w:r>
        <w:rPr>
          <w:rFonts w:hint="eastAsia" w:ascii="宋体" w:hAnsi="宋体" w:cs="宋体"/>
          <w:sz w:val="24"/>
        </w:rPr>
        <w:t>，属 于</w:t>
      </w:r>
      <w:r>
        <w:rPr>
          <w:rFonts w:hint="eastAsia" w:ascii="宋体" w:hAnsi="宋体" w:cs="宋体"/>
          <w:kern w:val="0"/>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6FB2F0BF">
      <w:pPr>
        <w:pStyle w:val="5"/>
        <w:numPr>
          <w:ilvl w:val="0"/>
          <w:numId w:val="2"/>
        </w:numPr>
        <w:spacing w:before="2" w:line="360" w:lineRule="auto"/>
        <w:ind w:firstLine="480" w:firstLineChars="200"/>
        <w:jc w:val="left"/>
        <w:rPr>
          <w:rFonts w:ascii="宋体" w:hAnsi="宋体" w:cs="宋体"/>
          <w:sz w:val="24"/>
        </w:rPr>
      </w:pP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行业；制</w:t>
      </w:r>
      <w:r>
        <w:rPr>
          <w:rFonts w:hint="eastAsia" w:ascii="宋体" w:hAnsi="宋体" w:cs="宋体"/>
          <w:sz w:val="24"/>
        </w:rPr>
        <w:t>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0EB4520F">
      <w:pPr>
        <w:pStyle w:val="5"/>
        <w:spacing w:before="2" w:line="360" w:lineRule="auto"/>
        <w:ind w:left="420" w:leftChars="200"/>
        <w:jc w:val="left"/>
        <w:rPr>
          <w:rFonts w:ascii="宋体" w:hAnsi="宋体" w:cs="宋体"/>
          <w:sz w:val="24"/>
        </w:rPr>
      </w:pPr>
      <w:r>
        <w:rPr>
          <w:rFonts w:hint="eastAsia" w:ascii="宋体" w:hAnsi="宋体" w:cs="宋体"/>
          <w:sz w:val="24"/>
        </w:rPr>
        <w:t>……</w:t>
      </w:r>
    </w:p>
    <w:p w14:paraId="6AA5E20A">
      <w:pPr>
        <w:pStyle w:val="5"/>
        <w:spacing w:before="2" w:line="360" w:lineRule="auto"/>
        <w:ind w:firstLine="480" w:firstLineChars="200"/>
        <w:jc w:val="left"/>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435D8258">
      <w:pPr>
        <w:pStyle w:val="5"/>
        <w:spacing w:before="2" w:line="360" w:lineRule="auto"/>
        <w:ind w:left="420" w:leftChars="200"/>
        <w:jc w:val="left"/>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2546DBF0">
      <w:pPr>
        <w:pStyle w:val="35"/>
        <w:spacing w:line="360" w:lineRule="auto"/>
        <w:ind w:firstLine="480"/>
        <w:rPr>
          <w:rFonts w:ascii="宋体" w:hAnsi="宋体" w:cs="宋体"/>
          <w:sz w:val="24"/>
        </w:rPr>
      </w:pPr>
    </w:p>
    <w:p w14:paraId="52CDFDE8">
      <w:pPr>
        <w:pStyle w:val="35"/>
        <w:spacing w:line="360" w:lineRule="auto"/>
        <w:ind w:firstLine="480"/>
        <w:rPr>
          <w:rFonts w:ascii="宋体" w:hAnsi="宋体" w:cs="宋体"/>
          <w:sz w:val="24"/>
        </w:rPr>
      </w:pPr>
    </w:p>
    <w:p w14:paraId="2CA7A96A">
      <w:pPr>
        <w:pStyle w:val="35"/>
        <w:spacing w:line="360" w:lineRule="auto"/>
        <w:ind w:firstLine="4560" w:firstLineChars="1900"/>
        <w:jc w:val="left"/>
        <w:rPr>
          <w:rFonts w:ascii="宋体" w:hAnsi="宋体" w:cs="宋体"/>
          <w:kern w:val="0"/>
          <w:sz w:val="24"/>
        </w:rPr>
      </w:pPr>
      <w:r>
        <w:rPr>
          <w:rFonts w:hint="eastAsia" w:ascii="宋体" w:hAnsi="宋体" w:cs="宋体"/>
          <w:kern w:val="0"/>
          <w:sz w:val="24"/>
        </w:rPr>
        <w:t>企业名称（盖章）：</w:t>
      </w:r>
    </w:p>
    <w:p w14:paraId="1F1A8B72">
      <w:pPr>
        <w:pStyle w:val="35"/>
        <w:spacing w:line="360" w:lineRule="auto"/>
        <w:ind w:firstLine="4560" w:firstLineChars="1900"/>
        <w:jc w:val="left"/>
        <w:rPr>
          <w:rFonts w:ascii="宋体" w:hAnsi="宋体" w:cs="宋体"/>
          <w:kern w:val="0"/>
          <w:sz w:val="24"/>
        </w:rPr>
      </w:pPr>
      <w:r>
        <w:rPr>
          <w:rFonts w:hint="eastAsia" w:ascii="宋体" w:hAnsi="宋体" w:cs="宋体"/>
          <w:kern w:val="0"/>
          <w:sz w:val="24"/>
        </w:rPr>
        <w:t>日期：</w:t>
      </w:r>
    </w:p>
    <w:p w14:paraId="18EF77B0">
      <w:pPr>
        <w:pStyle w:val="35"/>
        <w:spacing w:line="360" w:lineRule="auto"/>
        <w:ind w:firstLine="480"/>
        <w:rPr>
          <w:rFonts w:ascii="宋体" w:hAnsi="宋体" w:cs="宋体"/>
          <w:sz w:val="24"/>
        </w:rPr>
      </w:pPr>
    </w:p>
    <w:p w14:paraId="6566FD4B">
      <w:pPr>
        <w:pStyle w:val="35"/>
        <w:spacing w:line="360" w:lineRule="auto"/>
        <w:ind w:firstLine="480"/>
        <w:rPr>
          <w:rFonts w:ascii="宋体" w:hAnsi="宋体" w:cs="宋体"/>
          <w:sz w:val="24"/>
        </w:rPr>
      </w:pPr>
    </w:p>
    <w:p w14:paraId="7D95668B">
      <w:pPr>
        <w:pStyle w:val="35"/>
        <w:spacing w:line="360" w:lineRule="auto"/>
        <w:ind w:left="630" w:hanging="630" w:hangingChars="300"/>
        <w:rPr>
          <w:rFonts w:hint="eastAsia" w:hAnsi="宋体" w:cs="宋体"/>
          <w:szCs w:val="21"/>
        </w:rPr>
      </w:pPr>
    </w:p>
    <w:p w14:paraId="4F205849">
      <w:pPr>
        <w:pStyle w:val="35"/>
        <w:spacing w:line="240" w:lineRule="auto"/>
        <w:ind w:left="630" w:hanging="630" w:hangingChars="300"/>
        <w:rPr>
          <w:rFonts w:ascii="宋体"/>
          <w:spacing w:val="-8"/>
          <w:szCs w:val="21"/>
        </w:rPr>
      </w:pPr>
      <w:r>
        <w:rPr>
          <w:rFonts w:hint="eastAsia" w:hAnsi="宋体" w:cs="宋体"/>
          <w:szCs w:val="21"/>
        </w:rPr>
        <w:t>备注：1、</w:t>
      </w:r>
      <w:r>
        <w:rPr>
          <w:spacing w:val="-8"/>
          <w:szCs w:val="21"/>
        </w:rPr>
        <w:t>中小企业参加政府采购活</w:t>
      </w:r>
      <w:r>
        <w:rPr>
          <w:rFonts w:ascii="宋体"/>
          <w:spacing w:val="-8"/>
          <w:szCs w:val="21"/>
        </w:rPr>
        <w:t>动，</w:t>
      </w:r>
      <w:r>
        <w:rPr>
          <w:rFonts w:hint="eastAsia" w:ascii="宋体"/>
          <w:spacing w:val="-8"/>
          <w:szCs w:val="21"/>
        </w:rPr>
        <w:t>应当按照《政府采购促进中小企业发展管理办法》（财库〔2020〕46号）规定和《中小企业划型标准规定》（工信部联企业〔2011〕300号），如实填写并</w:t>
      </w:r>
      <w:r>
        <w:rPr>
          <w:rFonts w:hint="eastAsia"/>
          <w:spacing w:val="-8"/>
          <w:szCs w:val="21"/>
        </w:rPr>
        <w:t>提交本</w:t>
      </w:r>
      <w:r>
        <w:rPr>
          <w:rFonts w:hint="eastAsia" w:ascii="宋体"/>
          <w:spacing w:val="-8"/>
          <w:szCs w:val="21"/>
        </w:rPr>
        <w:t>《中小企业声明函》。</w:t>
      </w:r>
    </w:p>
    <w:p w14:paraId="3756D4FE">
      <w:pPr>
        <w:pStyle w:val="35"/>
        <w:spacing w:line="240" w:lineRule="auto"/>
        <w:ind w:left="615" w:leftChars="293" w:firstLine="19" w:firstLineChars="10"/>
        <w:rPr>
          <w:rFonts w:ascii="宋体" w:hAnsi="宋体" w:cs="宋体"/>
          <w:szCs w:val="21"/>
        </w:rPr>
      </w:pPr>
      <w:r>
        <w:rPr>
          <w:rFonts w:hint="eastAsia" w:ascii="宋体"/>
          <w:spacing w:val="-8"/>
          <w:szCs w:val="21"/>
        </w:rPr>
        <w:t>2、从业人员、营业收入、资产总额填报上一年度数据，无上一年度数据的新成立企业可不填报。</w:t>
      </w:r>
    </w:p>
    <w:p w14:paraId="61FAC980">
      <w:pPr>
        <w:pStyle w:val="35"/>
        <w:spacing w:line="240" w:lineRule="auto"/>
        <w:ind w:left="615" w:leftChars="293" w:firstLine="19" w:firstLineChars="10"/>
        <w:rPr>
          <w:rFonts w:ascii="宋体"/>
          <w:spacing w:val="-8"/>
          <w:szCs w:val="21"/>
        </w:rPr>
      </w:pPr>
      <w:r>
        <w:rPr>
          <w:rFonts w:hint="eastAsia" w:ascii="宋体"/>
          <w:spacing w:val="-8"/>
          <w:szCs w:val="21"/>
        </w:rPr>
        <w:t>3、供应商应按照</w:t>
      </w:r>
      <w:r>
        <w:rPr>
          <w:rFonts w:hint="eastAsia" w:ascii="宋体"/>
          <w:spacing w:val="-8"/>
          <w:szCs w:val="21"/>
          <w:lang w:val="en-US" w:eastAsia="zh-CN"/>
        </w:rPr>
        <w:t>本项目的</w:t>
      </w:r>
      <w:r>
        <w:rPr>
          <w:rFonts w:hint="eastAsia" w:ascii="宋体"/>
          <w:spacing w:val="-8"/>
          <w:szCs w:val="21"/>
        </w:rPr>
        <w:t>采购内容及要求中所列采购标的逐项声明。</w:t>
      </w:r>
      <w:r>
        <w:rPr>
          <w:rFonts w:hint="eastAsia" w:ascii="宋体"/>
          <w:spacing w:val="-8"/>
          <w:szCs w:val="21"/>
        </w:rPr>
        <w:br w:type="page"/>
      </w:r>
    </w:p>
    <w:p w14:paraId="27E8993F">
      <w:pPr>
        <w:spacing w:before="100" w:beforeAutospacing="1" w:afterLines="50" w:line="360" w:lineRule="auto"/>
        <w:outlineLvl w:val="2"/>
        <w:rPr>
          <w:rFonts w:hint="eastAsia" w:ascii="宋体" w:hAnsi="宋体" w:cs="宋体" w:eastAsiaTheme="minorEastAsia"/>
          <w:b/>
          <w:bCs/>
          <w:spacing w:val="6"/>
          <w:sz w:val="30"/>
          <w:szCs w:val="30"/>
          <w:lang w:eastAsia="zh-CN"/>
        </w:rPr>
      </w:pPr>
      <w:bookmarkStart w:id="4" w:name="_Toc16701"/>
      <w:r>
        <w:rPr>
          <w:rFonts w:hint="eastAsia" w:ascii="宋体" w:hAnsi="宋体" w:cs="宋体"/>
          <w:b/>
          <w:bCs/>
          <w:spacing w:val="6"/>
          <w:sz w:val="30"/>
          <w:szCs w:val="30"/>
        </w:rPr>
        <w:t>附件</w:t>
      </w:r>
      <w:bookmarkEnd w:id="4"/>
      <w:r>
        <w:rPr>
          <w:rFonts w:hint="eastAsia" w:ascii="宋体" w:hAnsi="宋体" w:cs="宋体"/>
          <w:b/>
          <w:bCs/>
          <w:spacing w:val="6"/>
          <w:sz w:val="30"/>
          <w:szCs w:val="30"/>
          <w:lang w:val="en-US" w:eastAsia="zh-CN"/>
        </w:rPr>
        <w:t>2</w:t>
      </w:r>
    </w:p>
    <w:p w14:paraId="4528D5BF">
      <w:pPr>
        <w:spacing w:line="588" w:lineRule="exact"/>
        <w:jc w:val="center"/>
        <w:outlineLvl w:val="2"/>
        <w:rPr>
          <w:rFonts w:ascii="宋体" w:hAnsi="宋体" w:cs="宋体"/>
          <w:b/>
          <w:spacing w:val="6"/>
          <w:sz w:val="32"/>
          <w:szCs w:val="32"/>
        </w:rPr>
      </w:pPr>
      <w:bookmarkStart w:id="5" w:name="_Toc14754"/>
      <w:bookmarkStart w:id="6" w:name="OLE_LINK13"/>
      <w:r>
        <w:rPr>
          <w:rFonts w:hint="eastAsia" w:ascii="宋体" w:hAnsi="宋体" w:cs="宋体"/>
          <w:b/>
          <w:spacing w:val="6"/>
          <w:sz w:val="32"/>
          <w:szCs w:val="32"/>
        </w:rPr>
        <w:t>残疾人福利性单位声明函</w:t>
      </w:r>
      <w:bookmarkEnd w:id="5"/>
    </w:p>
    <w:bookmarkEnd w:id="6"/>
    <w:p w14:paraId="6F769A24">
      <w:pPr>
        <w:spacing w:line="588" w:lineRule="exact"/>
        <w:rPr>
          <w:rFonts w:ascii="宋体" w:hAnsi="宋体" w:cs="宋体"/>
          <w:b/>
          <w:spacing w:val="6"/>
          <w:sz w:val="30"/>
          <w:szCs w:val="30"/>
        </w:rPr>
      </w:pPr>
    </w:p>
    <w:p w14:paraId="4FF37742">
      <w:pPr>
        <w:spacing w:line="588" w:lineRule="exact"/>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F5A8F9">
      <w:pPr>
        <w:spacing w:line="588"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14:paraId="4D53D605">
      <w:pPr>
        <w:spacing w:line="588" w:lineRule="exact"/>
        <w:ind w:firstLine="504" w:firstLineChars="200"/>
        <w:rPr>
          <w:rFonts w:ascii="宋体" w:hAnsi="宋体" w:cs="宋体"/>
          <w:spacing w:val="6"/>
          <w:sz w:val="24"/>
        </w:rPr>
      </w:pPr>
    </w:p>
    <w:p w14:paraId="4D755CED">
      <w:pPr>
        <w:spacing w:line="588" w:lineRule="exact"/>
        <w:ind w:firstLine="504" w:firstLineChars="200"/>
        <w:rPr>
          <w:rFonts w:ascii="宋体" w:hAnsi="宋体" w:cs="宋体"/>
          <w:spacing w:val="6"/>
          <w:sz w:val="24"/>
        </w:rPr>
      </w:pPr>
    </w:p>
    <w:p w14:paraId="2C36E053">
      <w:pPr>
        <w:spacing w:line="588" w:lineRule="exact"/>
        <w:ind w:firstLine="504" w:firstLineChars="200"/>
        <w:rPr>
          <w:rFonts w:ascii="宋体" w:hAnsi="宋体" w:cs="宋体"/>
          <w:spacing w:val="6"/>
          <w:sz w:val="24"/>
        </w:rPr>
      </w:pPr>
    </w:p>
    <w:p w14:paraId="717B065A">
      <w:pPr>
        <w:spacing w:line="588" w:lineRule="exact"/>
        <w:ind w:firstLine="504" w:firstLineChars="200"/>
        <w:rPr>
          <w:rFonts w:ascii="宋体" w:hAnsi="宋体" w:cs="宋体"/>
          <w:spacing w:val="6"/>
          <w:sz w:val="24"/>
        </w:rPr>
      </w:pPr>
    </w:p>
    <w:p w14:paraId="2C252A50">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4C5C5700">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lang w:val="en-US" w:eastAsia="zh-CN"/>
        </w:rPr>
        <w:t xml:space="preserve">               </w:t>
      </w:r>
      <w:r>
        <w:rPr>
          <w:rFonts w:hint="eastAsia" w:ascii="宋体" w:hAnsi="宋体" w:cs="宋体"/>
          <w:spacing w:val="6"/>
          <w:sz w:val="24"/>
        </w:rPr>
        <w:t>日  期：</w:t>
      </w:r>
    </w:p>
    <w:p w14:paraId="6BA2D770">
      <w:pPr>
        <w:tabs>
          <w:tab w:val="left" w:pos="1620"/>
          <w:tab w:val="left" w:pos="1800"/>
        </w:tabs>
        <w:spacing w:line="440" w:lineRule="exact"/>
        <w:ind w:right="540" w:rightChars="257"/>
        <w:rPr>
          <w:rFonts w:ascii="宋体" w:hAnsi="宋体" w:cs="宋体"/>
        </w:rPr>
      </w:pPr>
    </w:p>
    <w:p w14:paraId="51E6410E">
      <w:pPr>
        <w:pStyle w:val="5"/>
      </w:pPr>
    </w:p>
    <w:p w14:paraId="05A79DF9">
      <w:pPr>
        <w:spacing w:line="360" w:lineRule="auto"/>
        <w:ind w:firstLine="480" w:firstLineChars="200"/>
        <w:rPr>
          <w:rFonts w:ascii="宋体" w:hAnsi="宋体" w:cs="宋体"/>
          <w:sz w:val="24"/>
        </w:rPr>
      </w:pPr>
      <w:r>
        <w:rPr>
          <w:rFonts w:hint="eastAsia" w:ascii="宋体" w:hAnsi="宋体" w:cs="宋体"/>
          <w:sz w:val="24"/>
        </w:rPr>
        <w:t>备注：符合条件的残疾人福利性单位在参加政府采购活动时，应当提供《残疾人福利性单位声明函》，并对声明的真实性负责；非残疾人福利性单位无需提供。</w:t>
      </w:r>
    </w:p>
    <w:p w14:paraId="3FC9930E">
      <w:pPr>
        <w:pStyle w:val="5"/>
        <w:outlineLvl w:val="2"/>
        <w:rPr>
          <w:rFonts w:hint="eastAsia" w:ascii="宋体" w:hAnsi="宋体" w:cs="宋体" w:eastAsiaTheme="minorEastAsia"/>
          <w:b/>
          <w:bCs/>
          <w:spacing w:val="6"/>
          <w:kern w:val="0"/>
          <w:sz w:val="30"/>
          <w:szCs w:val="30"/>
          <w:lang w:eastAsia="zh-CN"/>
        </w:rPr>
      </w:pPr>
      <w:r>
        <w:rPr>
          <w:rFonts w:hint="eastAsia" w:ascii="宋体" w:hAnsi="宋体" w:cs="宋体"/>
        </w:rPr>
        <w:br w:type="page"/>
      </w:r>
      <w:bookmarkStart w:id="7" w:name="_Toc15624"/>
      <w:r>
        <w:rPr>
          <w:rFonts w:hint="eastAsia" w:ascii="宋体" w:hAnsi="宋体" w:cs="宋体"/>
          <w:b/>
          <w:bCs/>
          <w:spacing w:val="6"/>
          <w:kern w:val="0"/>
          <w:sz w:val="30"/>
          <w:szCs w:val="30"/>
        </w:rPr>
        <w:t>附件</w:t>
      </w:r>
      <w:bookmarkEnd w:id="7"/>
      <w:r>
        <w:rPr>
          <w:rFonts w:hint="eastAsia" w:ascii="宋体" w:hAnsi="宋体" w:cs="宋体"/>
          <w:b/>
          <w:bCs/>
          <w:spacing w:val="6"/>
          <w:kern w:val="0"/>
          <w:sz w:val="30"/>
          <w:szCs w:val="30"/>
          <w:lang w:val="en-US" w:eastAsia="zh-CN"/>
        </w:rPr>
        <w:t>3</w:t>
      </w:r>
    </w:p>
    <w:p w14:paraId="7D450975">
      <w:pPr>
        <w:spacing w:line="500" w:lineRule="exact"/>
        <w:ind w:firstLine="643" w:firstLineChars="200"/>
        <w:jc w:val="center"/>
        <w:outlineLvl w:val="2"/>
        <w:rPr>
          <w:rFonts w:ascii="宋体" w:hAnsi="宋体" w:cs="宋体"/>
          <w:b/>
          <w:bCs/>
          <w:sz w:val="32"/>
          <w:szCs w:val="32"/>
        </w:rPr>
      </w:pPr>
      <w:bookmarkStart w:id="8" w:name="_Toc2952"/>
      <w:r>
        <w:rPr>
          <w:rFonts w:hint="eastAsia" w:ascii="宋体" w:hAnsi="宋体" w:cs="宋体"/>
          <w:b/>
          <w:bCs/>
          <w:sz w:val="32"/>
          <w:szCs w:val="32"/>
        </w:rPr>
        <w:t>监狱企业证明文件</w:t>
      </w:r>
      <w:bookmarkEnd w:id="8"/>
    </w:p>
    <w:p w14:paraId="0321ED83">
      <w:pPr>
        <w:pStyle w:val="5"/>
        <w:rPr>
          <w:rFonts w:ascii="宋体" w:hAnsi="宋体" w:cs="宋体"/>
        </w:rPr>
      </w:pPr>
    </w:p>
    <w:p w14:paraId="3F58C267">
      <w:pPr>
        <w:spacing w:line="500" w:lineRule="exact"/>
        <w:ind w:firstLine="480" w:firstLineChars="200"/>
        <w:jc w:val="left"/>
        <w:rPr>
          <w:rFonts w:ascii="宋体" w:hAnsi="宋体" w:cs="宋体"/>
          <w:sz w:val="24"/>
        </w:rPr>
      </w:pPr>
      <w:r>
        <w:rPr>
          <w:rFonts w:hint="eastAsia" w:ascii="宋体" w:hAnsi="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1995C8">
      <w:pPr>
        <w:spacing w:line="500" w:lineRule="exact"/>
        <w:ind w:firstLine="482" w:firstLineChars="200"/>
        <w:jc w:val="left"/>
        <w:rPr>
          <w:rFonts w:ascii="宋体" w:hAnsi="宋体" w:cs="宋体"/>
          <w:b/>
          <w:bCs/>
          <w:sz w:val="24"/>
        </w:rPr>
      </w:pPr>
      <w:r>
        <w:rPr>
          <w:rFonts w:hint="eastAsia" w:ascii="宋体" w:hAnsi="宋体" w:cs="宋体"/>
          <w:b/>
          <w:bCs/>
          <w:sz w:val="24"/>
        </w:rPr>
        <w:t>监狱企业参加政府采购活动时，应当提供由省级以上监狱管理局、戒毒管理局（含新疆生产建设兵团）出具的属于监狱企业的证明文件，</w:t>
      </w:r>
      <w:r>
        <w:rPr>
          <w:rFonts w:hint="eastAsia" w:ascii="宋体" w:hAnsi="宋体" w:cs="宋体"/>
          <w:b/>
          <w:bCs/>
          <w:color w:val="000000"/>
          <w:sz w:val="24"/>
        </w:rPr>
        <w:t>非监狱企业无需提供</w:t>
      </w:r>
      <w:r>
        <w:rPr>
          <w:rFonts w:hint="eastAsia" w:ascii="宋体" w:hAnsi="宋体" w:cs="宋体"/>
          <w:b/>
          <w:bCs/>
          <w:sz w:val="24"/>
        </w:rPr>
        <w:t>。</w:t>
      </w:r>
    </w:p>
    <w:p w14:paraId="4C2B45E5">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42F9B81">
      <w:pPr>
        <w:spacing w:line="360" w:lineRule="auto"/>
        <w:jc w:val="left"/>
        <w:rPr>
          <w:rFonts w:ascii="仿宋" w:hAnsi="仿宋" w:eastAsia="仿宋" w:cs="仿宋"/>
          <w:b/>
          <w:bCs/>
          <w:sz w:val="32"/>
          <w:szCs w:val="32"/>
        </w:rPr>
      </w:pPr>
      <w:r>
        <w:rPr>
          <w:rFonts w:hint="eastAsia" w:ascii="仿宋" w:hAnsi="仿宋" w:eastAsia="仿宋" w:cs="仿宋"/>
          <w:b/>
          <w:bCs/>
          <w:sz w:val="32"/>
          <w:szCs w:val="32"/>
        </w:rPr>
        <w:t>2．响应函</w:t>
      </w:r>
    </w:p>
    <w:p w14:paraId="19DCF8A2">
      <w:pPr>
        <w:pStyle w:val="15"/>
        <w:rPr>
          <w:rFonts w:hint="eastAsia"/>
        </w:rPr>
      </w:pPr>
    </w:p>
    <w:p w14:paraId="415C1246">
      <w:pPr>
        <w:pStyle w:val="5"/>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u w:val="none"/>
          <w:lang w:val="en-US" w:eastAsia="zh-CN"/>
        </w:rPr>
      </w:pP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采购</w:t>
      </w:r>
      <w:r>
        <w:rPr>
          <w:rFonts w:hint="eastAsia" w:ascii="宋体" w:hAnsi="宋体" w:eastAsia="宋体" w:cs="宋体"/>
          <w:spacing w:val="-3"/>
          <w:sz w:val="28"/>
          <w:szCs w:val="28"/>
          <w:lang w:eastAsia="zh-CN"/>
        </w:rPr>
        <w:t>人）：</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p>
    <w:p w14:paraId="1A597376">
      <w:pPr>
        <w:pStyle w:val="5"/>
        <w:keepNext w:val="0"/>
        <w:keepLines w:val="0"/>
        <w:pageBreakBefore w:val="0"/>
        <w:widowControl w:val="0"/>
        <w:kinsoku/>
        <w:wordWrap/>
        <w:overflowPunct/>
        <w:topLinePunct w:val="0"/>
        <w:autoSpaceDE/>
        <w:autoSpaceDN/>
        <w:bidi w:val="0"/>
        <w:adjustRightInd/>
        <w:snapToGrid/>
        <w:spacing w:line="380" w:lineRule="exact"/>
        <w:ind w:firstLine="552" w:firstLineChars="200"/>
        <w:textAlignment w:val="auto"/>
        <w:rPr>
          <w:rFonts w:hint="eastAsia" w:ascii="宋体" w:hAnsi="宋体" w:eastAsia="宋体" w:cs="宋体"/>
          <w:sz w:val="28"/>
          <w:szCs w:val="28"/>
        </w:rPr>
      </w:pPr>
      <w:r>
        <w:rPr>
          <w:rFonts w:hint="eastAsia" w:ascii="宋体" w:hAnsi="宋体" w:eastAsia="宋体" w:cs="宋体"/>
          <w:spacing w:val="-2"/>
          <w:sz w:val="28"/>
          <w:szCs w:val="28"/>
        </w:rPr>
        <w:t xml:space="preserve">我方全面研究了 “ </w:t>
      </w:r>
      <w:r>
        <w:rPr>
          <w:rFonts w:hint="eastAsia" w:ascii="宋体" w:hAnsi="宋体" w:eastAsia="宋体" w:cs="宋体"/>
          <w:spacing w:val="-2"/>
          <w:sz w:val="28"/>
          <w:szCs w:val="28"/>
          <w:u w:val="single" w:color="auto"/>
        </w:rPr>
        <w:t xml:space="preserve">              </w:t>
      </w:r>
      <w:r>
        <w:rPr>
          <w:rFonts w:hint="eastAsia" w:ascii="宋体" w:hAnsi="宋体" w:eastAsia="宋体" w:cs="宋体"/>
          <w:spacing w:val="-88"/>
          <w:sz w:val="28"/>
          <w:szCs w:val="28"/>
        </w:rPr>
        <w:t xml:space="preserve"> </w:t>
      </w:r>
      <w:r>
        <w:rPr>
          <w:rFonts w:hint="eastAsia" w:ascii="宋体" w:hAnsi="宋体" w:eastAsia="宋体" w:cs="宋体"/>
          <w:spacing w:val="-2"/>
          <w:sz w:val="28"/>
          <w:szCs w:val="28"/>
        </w:rPr>
        <w:t>”项目</w:t>
      </w:r>
      <w:r>
        <w:rPr>
          <w:rFonts w:hint="eastAsia" w:ascii="宋体" w:hAnsi="宋体" w:eastAsia="宋体" w:cs="宋体"/>
          <w:spacing w:val="-2"/>
          <w:sz w:val="28"/>
          <w:szCs w:val="28"/>
          <w:lang w:eastAsia="zh-CN"/>
        </w:rPr>
        <w:t>询价</w:t>
      </w:r>
      <w:r>
        <w:rPr>
          <w:rFonts w:hint="eastAsia" w:ascii="宋体" w:hAnsi="宋体" w:eastAsia="宋体" w:cs="宋体"/>
          <w:spacing w:val="-2"/>
          <w:sz w:val="28"/>
          <w:szCs w:val="28"/>
        </w:rPr>
        <w:t xml:space="preserve">文件 </w:t>
      </w:r>
      <w:r>
        <w:rPr>
          <w:rFonts w:hint="eastAsia" w:ascii="宋体" w:hAnsi="宋体" w:eastAsia="宋体" w:cs="宋体"/>
          <w:spacing w:val="-2"/>
          <w:sz w:val="28"/>
          <w:szCs w:val="28"/>
          <w:u w:val="single" w:color="auto"/>
        </w:rPr>
        <w:t xml:space="preserve">   </w:t>
      </w:r>
      <w:r>
        <w:rPr>
          <w:rFonts w:hint="eastAsia" w:ascii="宋体" w:hAnsi="宋体" w:eastAsia="宋体" w:cs="宋体"/>
          <w:spacing w:val="-2"/>
          <w:sz w:val="28"/>
          <w:szCs w:val="28"/>
          <w:u w:val="single" w:color="auto"/>
          <w:lang w:val="en-US" w:eastAsia="zh-CN"/>
        </w:rPr>
        <w:t xml:space="preserve">  </w:t>
      </w:r>
      <w:r>
        <w:rPr>
          <w:rFonts w:hint="eastAsia" w:ascii="宋体" w:hAnsi="宋体" w:eastAsia="宋体" w:cs="宋体"/>
          <w:spacing w:val="-2"/>
          <w:sz w:val="28"/>
          <w:szCs w:val="28"/>
          <w:u w:val="single" w:color="auto"/>
        </w:rPr>
        <w:t xml:space="preserve">   </w:t>
      </w:r>
      <w:r>
        <w:rPr>
          <w:rFonts w:hint="eastAsia" w:ascii="宋体" w:hAnsi="宋体" w:eastAsia="宋体" w:cs="宋体"/>
          <w:spacing w:val="-2"/>
          <w:sz w:val="28"/>
          <w:szCs w:val="28"/>
        </w:rPr>
        <w:t>（</w:t>
      </w:r>
      <w:r>
        <w:rPr>
          <w:rFonts w:hint="eastAsia" w:ascii="宋体" w:hAnsi="宋体" w:eastAsia="宋体" w:cs="宋体"/>
          <w:spacing w:val="-2"/>
          <w:sz w:val="28"/>
          <w:szCs w:val="28"/>
          <w:lang w:val="en-US" w:eastAsia="zh-CN"/>
        </w:rPr>
        <w:t>项目</w:t>
      </w:r>
      <w:r>
        <w:rPr>
          <w:rFonts w:hint="eastAsia" w:ascii="宋体" w:hAnsi="宋体" w:eastAsia="宋体" w:cs="宋体"/>
          <w:spacing w:val="-2"/>
          <w:sz w:val="28"/>
          <w:szCs w:val="28"/>
        </w:rPr>
        <w:t>编号</w:t>
      </w:r>
      <w:r>
        <w:rPr>
          <w:rFonts w:hint="eastAsia" w:ascii="宋体" w:hAnsi="宋体" w:eastAsia="宋体" w:cs="宋体"/>
          <w:spacing w:val="16"/>
          <w:sz w:val="28"/>
          <w:szCs w:val="28"/>
        </w:rPr>
        <w:t>），</w:t>
      </w:r>
      <w:r>
        <w:rPr>
          <w:rFonts w:hint="eastAsia" w:ascii="宋体" w:hAnsi="宋体" w:eastAsia="宋体" w:cs="宋体"/>
          <w:spacing w:val="-2"/>
          <w:sz w:val="28"/>
          <w:szCs w:val="28"/>
        </w:rPr>
        <w:t>决定参加贵单位组织的本项目投标，并自觉遵守《政府采购法》等相关规定，遵守招标规则，</w:t>
      </w:r>
      <w:r>
        <w:rPr>
          <w:rFonts w:hint="eastAsia" w:ascii="宋体" w:hAnsi="宋体" w:eastAsia="宋体" w:cs="宋体"/>
          <w:sz w:val="28"/>
          <w:szCs w:val="28"/>
        </w:rPr>
        <w:t xml:space="preserve">维护正常的政府采购秩序。我方授权 </w:t>
      </w:r>
      <w:r>
        <w:rPr>
          <w:rFonts w:hint="eastAsia"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sz w:val="28"/>
          <w:szCs w:val="28"/>
          <w:u w:val="single" w:color="auto"/>
        </w:rPr>
        <w:t xml:space="preserve">  </w:t>
      </w:r>
      <w:r>
        <w:rPr>
          <w:rFonts w:hint="eastAsia" w:ascii="宋体" w:hAnsi="宋体" w:eastAsia="宋体" w:cs="宋体"/>
          <w:sz w:val="28"/>
          <w:szCs w:val="28"/>
        </w:rPr>
        <w:t>（姓名</w:t>
      </w:r>
      <w:r>
        <w:rPr>
          <w:rFonts w:hint="eastAsia" w:ascii="宋体" w:hAnsi="宋体" w:eastAsia="宋体" w:cs="宋体"/>
          <w:spacing w:val="-1"/>
          <w:sz w:val="28"/>
          <w:szCs w:val="28"/>
        </w:rPr>
        <w:t>、职务）代表我方</w:t>
      </w:r>
      <w:r>
        <w:rPr>
          <w:rFonts w:hint="eastAsia" w:ascii="宋体" w:hAnsi="宋体" w:eastAsia="宋体" w:cs="宋体"/>
          <w:spacing w:val="-1"/>
          <w:sz w:val="28"/>
          <w:szCs w:val="28"/>
          <w:u w:val="single" w:color="auto"/>
        </w:rPr>
        <w:t xml:space="preserve">     </w:t>
      </w:r>
      <w:r>
        <w:rPr>
          <w:rFonts w:hint="eastAsia" w:ascii="宋体" w:hAnsi="宋体" w:eastAsia="宋体" w:cs="宋体"/>
          <w:spacing w:val="-1"/>
          <w:sz w:val="28"/>
          <w:szCs w:val="28"/>
          <w:u w:val="single" w:color="auto"/>
          <w:lang w:val="en-US" w:eastAsia="zh-CN"/>
        </w:rPr>
        <w:t xml:space="preserve">      </w:t>
      </w:r>
      <w:r>
        <w:rPr>
          <w:rFonts w:hint="eastAsia" w:ascii="宋体" w:hAnsi="宋体" w:eastAsia="宋体" w:cs="宋体"/>
          <w:spacing w:val="-1"/>
          <w:sz w:val="28"/>
          <w:szCs w:val="28"/>
          <w:u w:val="single" w:color="auto"/>
        </w:rPr>
        <w:t xml:space="preserve">   </w:t>
      </w:r>
      <w:r>
        <w:rPr>
          <w:rFonts w:hint="eastAsia" w:ascii="宋体" w:hAnsi="宋体" w:eastAsia="宋体" w:cs="宋体"/>
          <w:spacing w:val="-1"/>
          <w:sz w:val="28"/>
          <w:szCs w:val="28"/>
        </w:rPr>
        <w:t>（投标单位</w:t>
      </w:r>
      <w:r>
        <w:rPr>
          <w:rFonts w:hint="eastAsia" w:ascii="宋体" w:hAnsi="宋体" w:eastAsia="宋体" w:cs="宋体"/>
          <w:spacing w:val="-2"/>
          <w:sz w:val="28"/>
          <w:szCs w:val="28"/>
        </w:rPr>
        <w:t>的名称）全权处理本项目投标的有关事宜。</w:t>
      </w:r>
    </w:p>
    <w:p w14:paraId="25004A28">
      <w:pPr>
        <w:pStyle w:val="5"/>
        <w:keepNext w:val="0"/>
        <w:keepLines w:val="0"/>
        <w:pageBreakBefore w:val="0"/>
        <w:widowControl w:val="0"/>
        <w:kinsoku/>
        <w:wordWrap/>
        <w:overflowPunct/>
        <w:topLinePunct w:val="0"/>
        <w:autoSpaceDE/>
        <w:autoSpaceDN/>
        <w:bidi w:val="0"/>
        <w:adjustRightInd/>
        <w:snapToGrid/>
        <w:spacing w:line="380" w:lineRule="exact"/>
        <w:ind w:right="65" w:firstLine="556" w:firstLineChars="200"/>
        <w:textAlignment w:val="auto"/>
        <w:rPr>
          <w:rFonts w:hint="eastAsia" w:ascii="宋体" w:hAnsi="宋体" w:eastAsia="宋体" w:cs="宋体"/>
          <w:sz w:val="28"/>
          <w:szCs w:val="28"/>
        </w:rPr>
      </w:pPr>
      <w:r>
        <w:rPr>
          <w:rFonts w:hint="eastAsia" w:ascii="宋体" w:hAnsi="宋体" w:eastAsia="宋体" w:cs="宋体"/>
          <w:spacing w:val="-1"/>
          <w:sz w:val="28"/>
          <w:szCs w:val="28"/>
        </w:rPr>
        <w:t>1、我方自愿按照</w:t>
      </w:r>
      <w:r>
        <w:rPr>
          <w:rFonts w:hint="eastAsia" w:ascii="宋体" w:hAnsi="宋体" w:eastAsia="宋体" w:cs="宋体"/>
          <w:spacing w:val="-1"/>
          <w:sz w:val="28"/>
          <w:szCs w:val="28"/>
          <w:lang w:eastAsia="zh-CN"/>
        </w:rPr>
        <w:t>询价</w:t>
      </w:r>
      <w:r>
        <w:rPr>
          <w:rFonts w:hint="eastAsia" w:ascii="宋体" w:hAnsi="宋体" w:eastAsia="宋体" w:cs="宋体"/>
          <w:spacing w:val="-1"/>
          <w:sz w:val="28"/>
          <w:szCs w:val="28"/>
        </w:rPr>
        <w:t>文件规定的各项要求，向采购人提供所需的合格产品和技术及售后服务保障，保证提供的产品等的所有权及知识产权等权利无瑕疵。</w:t>
      </w:r>
    </w:p>
    <w:p w14:paraId="0F186469">
      <w:pPr>
        <w:pStyle w:val="5"/>
        <w:keepNext w:val="0"/>
        <w:keepLines w:val="0"/>
        <w:pageBreakBefore w:val="0"/>
        <w:widowControl w:val="0"/>
        <w:kinsoku/>
        <w:wordWrap/>
        <w:overflowPunct/>
        <w:topLinePunct w:val="0"/>
        <w:autoSpaceDE/>
        <w:autoSpaceDN/>
        <w:bidi w:val="0"/>
        <w:adjustRightInd/>
        <w:snapToGrid/>
        <w:spacing w:line="380" w:lineRule="exact"/>
        <w:ind w:right="65"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2、一旦我方中标，我方将严格履行合同规定的责任</w:t>
      </w:r>
      <w:r>
        <w:rPr>
          <w:rFonts w:hint="eastAsia" w:ascii="宋体" w:hAnsi="宋体" w:eastAsia="宋体" w:cs="宋体"/>
          <w:spacing w:val="-1"/>
          <w:sz w:val="28"/>
          <w:szCs w:val="28"/>
        </w:rPr>
        <w:t>和义务，保证在合同期内按要</w:t>
      </w:r>
      <w:r>
        <w:rPr>
          <w:rFonts w:hint="eastAsia" w:ascii="宋体" w:hAnsi="宋体" w:eastAsia="宋体" w:cs="宋体"/>
          <w:spacing w:val="-2"/>
          <w:sz w:val="28"/>
          <w:szCs w:val="28"/>
        </w:rPr>
        <w:t>求完成履约，并交付采购人验收、使用。</w:t>
      </w:r>
    </w:p>
    <w:p w14:paraId="0FBD2B5B">
      <w:pPr>
        <w:pStyle w:val="5"/>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3、我方为本项目按要求上传电子响应文件,</w:t>
      </w:r>
      <w:r>
        <w:rPr>
          <w:rFonts w:hint="eastAsia" w:ascii="宋体" w:hAnsi="宋体" w:eastAsia="宋体" w:cs="宋体"/>
          <w:spacing w:val="-1"/>
          <w:sz w:val="28"/>
          <w:szCs w:val="28"/>
        </w:rPr>
        <w:t>并以做好了线上</w:t>
      </w:r>
      <w:r>
        <w:rPr>
          <w:rFonts w:hint="eastAsia" w:ascii="宋体" w:hAnsi="宋体" w:eastAsia="宋体" w:cs="宋体"/>
          <w:spacing w:val="-1"/>
          <w:sz w:val="28"/>
          <w:szCs w:val="28"/>
          <w:lang w:eastAsia="zh-CN"/>
        </w:rPr>
        <w:t>询价</w:t>
      </w:r>
      <w:r>
        <w:rPr>
          <w:rFonts w:hint="eastAsia" w:ascii="宋体" w:hAnsi="宋体" w:eastAsia="宋体" w:cs="宋体"/>
          <w:spacing w:val="-1"/>
          <w:sz w:val="28"/>
          <w:szCs w:val="28"/>
        </w:rPr>
        <w:t>的准备工作。</w:t>
      </w:r>
    </w:p>
    <w:p w14:paraId="67D30E6E">
      <w:pPr>
        <w:pStyle w:val="5"/>
        <w:keepNext w:val="0"/>
        <w:keepLines w:val="0"/>
        <w:pageBreakBefore w:val="0"/>
        <w:widowControl w:val="0"/>
        <w:kinsoku/>
        <w:wordWrap/>
        <w:overflowPunct/>
        <w:topLinePunct w:val="0"/>
        <w:autoSpaceDE/>
        <w:autoSpaceDN/>
        <w:bidi w:val="0"/>
        <w:adjustRightInd/>
        <w:snapToGrid/>
        <w:spacing w:line="380" w:lineRule="exact"/>
        <w:ind w:right="65"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4、我方愿意提供贵中心可能另外要求的，与投标有关的文件</w:t>
      </w:r>
      <w:r>
        <w:rPr>
          <w:rFonts w:hint="eastAsia" w:ascii="宋体" w:hAnsi="宋体" w:eastAsia="宋体" w:cs="宋体"/>
          <w:spacing w:val="-1"/>
          <w:sz w:val="28"/>
          <w:szCs w:val="28"/>
        </w:rPr>
        <w:t>资料，并保证我方已提供和将要提供的文件资料是真实、合法、准确完整的</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rPr>
        <w:t>且对其负法律责任。</w:t>
      </w:r>
    </w:p>
    <w:p w14:paraId="6551B1F0">
      <w:pPr>
        <w:pStyle w:val="5"/>
        <w:keepNext w:val="0"/>
        <w:keepLines w:val="0"/>
        <w:pageBreakBefore w:val="0"/>
        <w:widowControl w:val="0"/>
        <w:kinsoku/>
        <w:wordWrap/>
        <w:overflowPunct/>
        <w:topLinePunct w:val="0"/>
        <w:autoSpaceDE/>
        <w:autoSpaceDN/>
        <w:bidi w:val="0"/>
        <w:adjustRightInd/>
        <w:snapToGrid/>
        <w:spacing w:line="380" w:lineRule="exact"/>
        <w:ind w:right="7" w:firstLine="556" w:firstLineChars="200"/>
        <w:textAlignment w:val="auto"/>
        <w:rPr>
          <w:rFonts w:hint="eastAsia" w:ascii="宋体" w:hAnsi="宋体" w:eastAsia="宋体" w:cs="宋体"/>
          <w:sz w:val="28"/>
          <w:szCs w:val="28"/>
        </w:rPr>
      </w:pPr>
      <w:r>
        <w:rPr>
          <w:rFonts w:hint="eastAsia" w:ascii="宋体" w:hAnsi="宋体" w:eastAsia="宋体" w:cs="宋体"/>
          <w:spacing w:val="-1"/>
          <w:sz w:val="28"/>
          <w:szCs w:val="28"/>
        </w:rPr>
        <w:t>5、我方同意本次招标的投标有效期为开标后90</w:t>
      </w:r>
      <w:r>
        <w:rPr>
          <w:rFonts w:hint="eastAsia" w:ascii="宋体" w:hAnsi="宋体" w:eastAsia="宋体" w:cs="宋体"/>
          <w:spacing w:val="-40"/>
          <w:sz w:val="28"/>
          <w:szCs w:val="28"/>
        </w:rPr>
        <w:t xml:space="preserve"> </w:t>
      </w:r>
      <w:r>
        <w:rPr>
          <w:rFonts w:hint="eastAsia" w:ascii="宋体" w:hAnsi="宋体" w:eastAsia="宋体" w:cs="宋体"/>
          <w:spacing w:val="-1"/>
          <w:sz w:val="28"/>
          <w:szCs w:val="28"/>
        </w:rPr>
        <w:t>天。特殊情况下，采购人可于投标</w:t>
      </w:r>
      <w:r>
        <w:rPr>
          <w:rFonts w:hint="eastAsia" w:ascii="宋体" w:hAnsi="宋体" w:eastAsia="宋体" w:cs="宋体"/>
          <w:spacing w:val="-2"/>
          <w:sz w:val="28"/>
          <w:szCs w:val="28"/>
        </w:rPr>
        <w:t>有效期满之前书面要求我方同意延长有效期。我方如拒绝延长投标有效期，将不得再参与</w:t>
      </w:r>
      <w:r>
        <w:rPr>
          <w:rFonts w:hint="eastAsia" w:ascii="宋体" w:hAnsi="宋体" w:eastAsia="宋体" w:cs="宋体"/>
          <w:spacing w:val="-1"/>
          <w:sz w:val="28"/>
          <w:szCs w:val="28"/>
        </w:rPr>
        <w:t>该项目后续采购活动。如同意延长投标有效期，我方不能修改响应文件。</w:t>
      </w:r>
    </w:p>
    <w:p w14:paraId="02024FD6">
      <w:pPr>
        <w:pStyle w:val="5"/>
        <w:keepNext w:val="0"/>
        <w:keepLines w:val="0"/>
        <w:pageBreakBefore w:val="0"/>
        <w:widowControl w:val="0"/>
        <w:kinsoku/>
        <w:wordWrap/>
        <w:overflowPunct/>
        <w:topLinePunct w:val="0"/>
        <w:autoSpaceDE/>
        <w:autoSpaceDN/>
        <w:bidi w:val="0"/>
        <w:adjustRightInd/>
        <w:snapToGrid/>
        <w:spacing w:line="380" w:lineRule="exact"/>
        <w:ind w:firstLine="556" w:firstLineChars="200"/>
        <w:textAlignment w:val="auto"/>
        <w:rPr>
          <w:rFonts w:hint="eastAsia" w:ascii="宋体" w:hAnsi="宋体" w:eastAsia="宋体" w:cs="宋体"/>
          <w:sz w:val="28"/>
          <w:szCs w:val="28"/>
        </w:rPr>
      </w:pPr>
      <w:r>
        <w:rPr>
          <w:rFonts w:hint="eastAsia" w:ascii="宋体" w:hAnsi="宋体" w:eastAsia="宋体" w:cs="宋体"/>
          <w:spacing w:val="-1"/>
          <w:sz w:val="28"/>
          <w:szCs w:val="28"/>
        </w:rPr>
        <w:t>7、我方已详细阅读和核实询价文件全部内容，完全理解并同意放弃提出含糊不清和误解问题的权力。</w:t>
      </w:r>
    </w:p>
    <w:p w14:paraId="35E8E6E1">
      <w:pPr>
        <w:pStyle w:val="5"/>
        <w:keepNext w:val="0"/>
        <w:keepLines w:val="0"/>
        <w:pageBreakBefore w:val="0"/>
        <w:widowControl w:val="0"/>
        <w:kinsoku/>
        <w:wordWrap/>
        <w:overflowPunct/>
        <w:topLinePunct w:val="0"/>
        <w:autoSpaceDE/>
        <w:autoSpaceDN/>
        <w:bidi w:val="0"/>
        <w:adjustRightInd/>
        <w:snapToGrid/>
        <w:spacing w:line="380" w:lineRule="exact"/>
        <w:ind w:right="65"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8、如若成交，我们将根据竞争性</w:t>
      </w:r>
      <w:r>
        <w:rPr>
          <w:rFonts w:hint="eastAsia" w:ascii="宋体" w:hAnsi="宋体" w:eastAsia="宋体" w:cs="宋体"/>
          <w:sz w:val="28"/>
          <w:szCs w:val="28"/>
          <w:lang w:eastAsia="zh-CN"/>
        </w:rPr>
        <w:t>询价</w:t>
      </w:r>
      <w:r>
        <w:rPr>
          <w:rFonts w:hint="eastAsia" w:ascii="宋体" w:hAnsi="宋体" w:eastAsia="宋体" w:cs="宋体"/>
          <w:sz w:val="28"/>
          <w:szCs w:val="28"/>
        </w:rPr>
        <w:t>文件的要求和</w:t>
      </w:r>
      <w:r>
        <w:rPr>
          <w:rFonts w:hint="eastAsia" w:ascii="宋体" w:hAnsi="宋体" w:eastAsia="宋体" w:cs="宋体"/>
          <w:sz w:val="28"/>
          <w:szCs w:val="28"/>
          <w:lang w:eastAsia="zh-CN"/>
        </w:rPr>
        <w:t>询价</w:t>
      </w:r>
      <w:r>
        <w:rPr>
          <w:rFonts w:hint="eastAsia" w:ascii="宋体" w:hAnsi="宋体" w:eastAsia="宋体" w:cs="宋体"/>
          <w:spacing w:val="-1"/>
          <w:sz w:val="28"/>
          <w:szCs w:val="28"/>
        </w:rPr>
        <w:t>响应文件的承诺签署采购</w:t>
      </w:r>
      <w:r>
        <w:rPr>
          <w:rFonts w:hint="eastAsia" w:ascii="宋体" w:hAnsi="宋体" w:eastAsia="宋体" w:cs="宋体"/>
          <w:spacing w:val="-2"/>
          <w:sz w:val="28"/>
          <w:szCs w:val="28"/>
        </w:rPr>
        <w:t>合同，并履行相关的责任和义务。</w:t>
      </w:r>
    </w:p>
    <w:p w14:paraId="0740547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p>
    <w:p w14:paraId="5ABD115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p>
    <w:p w14:paraId="6E16379A">
      <w:pPr>
        <w:pStyle w:val="5"/>
        <w:keepNext w:val="0"/>
        <w:keepLines w:val="0"/>
        <w:pageBreakBefore w:val="0"/>
        <w:widowControl w:val="0"/>
        <w:kinsoku/>
        <w:wordWrap/>
        <w:overflowPunct/>
        <w:topLinePunct w:val="0"/>
        <w:autoSpaceDE/>
        <w:autoSpaceDN/>
        <w:bidi w:val="0"/>
        <w:adjustRightInd/>
        <w:snapToGrid/>
        <w:spacing w:line="380" w:lineRule="exact"/>
        <w:ind w:left="723"/>
        <w:textAlignment w:val="auto"/>
        <w:rPr>
          <w:rFonts w:hint="eastAsia" w:ascii="宋体" w:hAnsi="宋体" w:eastAsia="宋体" w:cs="宋体"/>
          <w:sz w:val="28"/>
          <w:szCs w:val="28"/>
        </w:rPr>
      </w:pPr>
      <w:r>
        <w:rPr>
          <w:rFonts w:hint="eastAsia" w:ascii="宋体" w:hAnsi="宋体" w:eastAsia="宋体" w:cs="宋体"/>
          <w:spacing w:val="2"/>
          <w:sz w:val="28"/>
          <w:szCs w:val="28"/>
        </w:rPr>
        <w:t>供应商名称</w:t>
      </w:r>
      <w:r>
        <w:rPr>
          <w:rFonts w:hint="eastAsia" w:ascii="宋体" w:hAnsi="宋体" w:eastAsia="宋体" w:cs="宋体"/>
          <w:spacing w:val="-17"/>
          <w:sz w:val="28"/>
          <w:szCs w:val="28"/>
        </w:rPr>
        <w:t>：</w:t>
      </w:r>
      <w:r>
        <w:rPr>
          <w:rFonts w:hint="eastAsia" w:ascii="宋体" w:hAnsi="宋体" w:eastAsia="宋体" w:cs="宋体"/>
          <w:spacing w:val="60"/>
          <w:sz w:val="28"/>
          <w:szCs w:val="28"/>
          <w:u w:val="single"/>
        </w:rPr>
        <w:t xml:space="preserve"> </w:t>
      </w:r>
      <w:r>
        <w:rPr>
          <w:rFonts w:hint="eastAsia" w:ascii="宋体" w:hAnsi="宋体" w:eastAsia="宋体" w:cs="宋体"/>
          <w:spacing w:val="60"/>
          <w:sz w:val="28"/>
          <w:szCs w:val="28"/>
          <w:u w:val="single"/>
          <w:lang w:val="en-US" w:eastAsia="zh-CN"/>
        </w:rPr>
        <w:t xml:space="preserve">             </w:t>
      </w:r>
      <w:r>
        <w:rPr>
          <w:rFonts w:hint="eastAsia" w:ascii="宋体" w:hAnsi="宋体" w:eastAsia="宋体" w:cs="宋体"/>
          <w:spacing w:val="60"/>
          <w:sz w:val="28"/>
          <w:szCs w:val="28"/>
          <w:u w:val="single"/>
        </w:rPr>
        <w:t xml:space="preserve"> </w:t>
      </w:r>
      <w:r>
        <w:rPr>
          <w:rFonts w:hint="eastAsia" w:ascii="宋体" w:hAnsi="宋体" w:eastAsia="宋体" w:cs="宋体"/>
          <w:spacing w:val="-17"/>
          <w:sz w:val="28"/>
          <w:szCs w:val="28"/>
        </w:rPr>
        <w:t>（</w:t>
      </w:r>
      <w:r>
        <w:rPr>
          <w:rFonts w:hint="eastAsia" w:ascii="宋体" w:hAnsi="宋体" w:eastAsia="宋体" w:cs="宋体"/>
          <w:spacing w:val="2"/>
          <w:sz w:val="28"/>
          <w:szCs w:val="28"/>
        </w:rPr>
        <w:t>盖章）</w:t>
      </w:r>
    </w:p>
    <w:p w14:paraId="7DED47AA">
      <w:pPr>
        <w:pStyle w:val="5"/>
        <w:keepNext w:val="0"/>
        <w:keepLines w:val="0"/>
        <w:pageBreakBefore w:val="0"/>
        <w:widowControl w:val="0"/>
        <w:kinsoku/>
        <w:wordWrap/>
        <w:overflowPunct/>
        <w:topLinePunct w:val="0"/>
        <w:autoSpaceDE/>
        <w:autoSpaceDN/>
        <w:bidi w:val="0"/>
        <w:adjustRightInd/>
        <w:snapToGrid/>
        <w:spacing w:line="380" w:lineRule="exact"/>
        <w:ind w:left="730"/>
        <w:textAlignment w:val="auto"/>
        <w:rPr>
          <w:rFonts w:hint="eastAsia" w:ascii="宋体" w:hAnsi="宋体" w:eastAsia="宋体" w:cs="宋体"/>
          <w:sz w:val="28"/>
          <w:szCs w:val="28"/>
          <w:lang w:val="en-US" w:eastAsia="zh-CN"/>
        </w:rPr>
      </w:pPr>
      <w:r>
        <w:rPr>
          <w:rFonts w:hint="eastAsia" w:ascii="宋体" w:hAnsi="宋体" w:eastAsia="宋体" w:cs="宋体"/>
          <w:spacing w:val="-2"/>
          <w:sz w:val="28"/>
          <w:szCs w:val="28"/>
        </w:rPr>
        <w:t>法定代表人或授权代表</w:t>
      </w:r>
      <w:r>
        <w:rPr>
          <w:rFonts w:hint="eastAsia" w:ascii="宋体" w:hAnsi="宋体" w:eastAsia="宋体" w:cs="宋体"/>
          <w:spacing w:val="3"/>
          <w:sz w:val="28"/>
          <w:szCs w:val="28"/>
        </w:rPr>
        <w:t>：</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2"/>
          <w:sz w:val="28"/>
          <w:szCs w:val="28"/>
        </w:rPr>
        <w:t>（签字或盖章</w:t>
      </w:r>
      <w:r>
        <w:rPr>
          <w:rFonts w:hint="eastAsia" w:ascii="宋体" w:hAnsi="宋体" w:eastAsia="宋体" w:cs="宋体"/>
          <w:spacing w:val="3"/>
          <w:sz w:val="28"/>
          <w:szCs w:val="28"/>
        </w:rPr>
        <w:t>）</w:t>
      </w:r>
      <w:r>
        <w:rPr>
          <w:rFonts w:hint="eastAsia" w:ascii="宋体" w:hAnsi="宋体" w:eastAsia="宋体" w:cs="宋体"/>
          <w:spacing w:val="3"/>
          <w:sz w:val="28"/>
          <w:szCs w:val="28"/>
          <w:lang w:val="en-US" w:eastAsia="zh-CN"/>
        </w:rPr>
        <w:t xml:space="preserve">  </w:t>
      </w:r>
    </w:p>
    <w:p w14:paraId="72EA73E8">
      <w:pPr>
        <w:pStyle w:val="5"/>
        <w:keepNext w:val="0"/>
        <w:keepLines w:val="0"/>
        <w:pageBreakBefore w:val="0"/>
        <w:widowControl w:val="0"/>
        <w:kinsoku/>
        <w:wordWrap/>
        <w:overflowPunct/>
        <w:topLinePunct w:val="0"/>
        <w:autoSpaceDE/>
        <w:autoSpaceDN/>
        <w:bidi w:val="0"/>
        <w:adjustRightInd/>
        <w:snapToGrid/>
        <w:spacing w:line="380" w:lineRule="exact"/>
        <w:ind w:left="727"/>
        <w:textAlignment w:val="auto"/>
        <w:rPr>
          <w:rFonts w:hint="eastAsia" w:ascii="宋体" w:hAnsi="宋体" w:eastAsia="宋体" w:cs="宋体"/>
          <w:spacing w:val="1"/>
          <w:sz w:val="28"/>
          <w:szCs w:val="28"/>
        </w:rPr>
      </w:pPr>
      <w:r>
        <w:rPr>
          <w:rFonts w:hint="eastAsia" w:ascii="宋体" w:hAnsi="宋体" w:eastAsia="宋体" w:cs="宋体"/>
          <w:spacing w:val="-6"/>
          <w:sz w:val="28"/>
          <w:szCs w:val="28"/>
        </w:rPr>
        <w:t>通讯地址：</w:t>
      </w:r>
      <w:r>
        <w:rPr>
          <w:rFonts w:hint="eastAsia" w:ascii="宋体" w:hAnsi="宋体" w:eastAsia="宋体" w:cs="宋体"/>
          <w:spacing w:val="1"/>
          <w:sz w:val="28"/>
          <w:szCs w:val="28"/>
          <w:u w:val="single"/>
        </w:rPr>
        <w:t xml:space="preserve">                </w:t>
      </w:r>
      <w:r>
        <w:rPr>
          <w:rFonts w:hint="eastAsia" w:ascii="宋体" w:hAnsi="宋体" w:eastAsia="宋体" w:cs="宋体"/>
          <w:spacing w:val="1"/>
          <w:sz w:val="28"/>
          <w:szCs w:val="28"/>
          <w:u w:val="single"/>
          <w:lang w:val="en-US" w:eastAsia="zh-CN"/>
        </w:rPr>
        <w:t xml:space="preserve">     </w:t>
      </w:r>
      <w:r>
        <w:rPr>
          <w:rFonts w:hint="eastAsia" w:ascii="宋体" w:hAnsi="宋体" w:eastAsia="宋体" w:cs="宋体"/>
          <w:spacing w:val="1"/>
          <w:sz w:val="28"/>
          <w:szCs w:val="28"/>
          <w:u w:val="single"/>
        </w:rPr>
        <w:t xml:space="preserve">  </w:t>
      </w:r>
      <w:r>
        <w:rPr>
          <w:rFonts w:hint="eastAsia" w:ascii="宋体" w:hAnsi="宋体" w:eastAsia="宋体" w:cs="宋体"/>
          <w:spacing w:val="1"/>
          <w:sz w:val="28"/>
          <w:szCs w:val="28"/>
        </w:rPr>
        <w:t xml:space="preserve"> </w:t>
      </w:r>
    </w:p>
    <w:p w14:paraId="458CAA8B">
      <w:pPr>
        <w:pStyle w:val="5"/>
        <w:keepNext w:val="0"/>
        <w:keepLines w:val="0"/>
        <w:pageBreakBefore w:val="0"/>
        <w:widowControl w:val="0"/>
        <w:kinsoku/>
        <w:wordWrap/>
        <w:overflowPunct/>
        <w:topLinePunct w:val="0"/>
        <w:autoSpaceDE/>
        <w:autoSpaceDN/>
        <w:bidi w:val="0"/>
        <w:adjustRightInd/>
        <w:snapToGrid/>
        <w:spacing w:line="380" w:lineRule="exact"/>
        <w:ind w:left="727"/>
        <w:textAlignment w:val="auto"/>
        <w:rPr>
          <w:rFonts w:hint="eastAsia" w:ascii="宋体" w:hAnsi="宋体" w:eastAsia="宋体" w:cs="宋体"/>
          <w:sz w:val="28"/>
          <w:szCs w:val="28"/>
          <w:lang w:val="en-US" w:eastAsia="zh-CN"/>
        </w:rPr>
      </w:pPr>
      <w:r>
        <w:rPr>
          <w:rFonts w:hint="eastAsia" w:ascii="宋体" w:hAnsi="宋体" w:eastAsia="宋体" w:cs="宋体"/>
          <w:spacing w:val="-6"/>
          <w:sz w:val="28"/>
          <w:szCs w:val="28"/>
        </w:rPr>
        <w:t>邮政编码：</w:t>
      </w:r>
      <w:r>
        <w:rPr>
          <w:rFonts w:hint="eastAsia" w:ascii="宋体" w:hAnsi="宋体" w:eastAsia="宋体" w:cs="宋体"/>
          <w:spacing w:val="-6"/>
          <w:sz w:val="28"/>
          <w:szCs w:val="28"/>
          <w:u w:val="single"/>
          <w:lang w:val="en-US" w:eastAsia="zh-CN"/>
        </w:rPr>
        <w:t xml:space="preserve">                    </w:t>
      </w:r>
    </w:p>
    <w:p w14:paraId="55A4779A">
      <w:pPr>
        <w:pStyle w:val="5"/>
        <w:keepNext w:val="0"/>
        <w:keepLines w:val="0"/>
        <w:pageBreakBefore w:val="0"/>
        <w:widowControl w:val="0"/>
        <w:kinsoku/>
        <w:wordWrap/>
        <w:overflowPunct/>
        <w:topLinePunct w:val="0"/>
        <w:autoSpaceDE/>
        <w:autoSpaceDN/>
        <w:bidi w:val="0"/>
        <w:adjustRightInd/>
        <w:snapToGrid/>
        <w:spacing w:line="380" w:lineRule="exact"/>
        <w:ind w:firstLine="798" w:firstLineChars="300"/>
        <w:textAlignment w:val="auto"/>
        <w:rPr>
          <w:rFonts w:hint="eastAsia" w:ascii="宋体" w:hAnsi="宋体" w:eastAsia="宋体" w:cs="宋体"/>
          <w:sz w:val="28"/>
          <w:szCs w:val="28"/>
        </w:rPr>
      </w:pPr>
      <w:r>
        <w:rPr>
          <w:rFonts w:hint="eastAsia" w:ascii="宋体" w:hAnsi="宋体" w:eastAsia="宋体" w:cs="宋体"/>
          <w:spacing w:val="-7"/>
          <w:sz w:val="28"/>
          <w:szCs w:val="28"/>
        </w:rPr>
        <w:t>联系电话：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2312816C">
      <w:pPr>
        <w:pStyle w:val="5"/>
        <w:keepNext w:val="0"/>
        <w:keepLines w:val="0"/>
        <w:pageBreakBefore w:val="0"/>
        <w:widowControl w:val="0"/>
        <w:kinsoku/>
        <w:wordWrap/>
        <w:overflowPunct/>
        <w:topLinePunct w:val="0"/>
        <w:autoSpaceDE/>
        <w:autoSpaceDN/>
        <w:bidi w:val="0"/>
        <w:adjustRightInd/>
        <w:snapToGrid/>
        <w:spacing w:line="380" w:lineRule="exact"/>
        <w:ind w:left="720"/>
        <w:textAlignment w:val="auto"/>
        <w:rPr>
          <w:rFonts w:hint="eastAsia" w:ascii="宋体" w:hAnsi="宋体" w:eastAsia="宋体" w:cs="宋体"/>
          <w:sz w:val="28"/>
          <w:szCs w:val="28"/>
          <w:lang w:val="en-US" w:eastAsia="zh-CN"/>
        </w:rPr>
      </w:pPr>
      <w:r>
        <w:rPr>
          <w:rFonts w:hint="eastAsia" w:ascii="宋体" w:hAnsi="宋体" w:eastAsia="宋体" w:cs="宋体"/>
          <w:spacing w:val="-7"/>
          <w:sz w:val="28"/>
          <w:szCs w:val="28"/>
        </w:rPr>
        <w:t>传</w:t>
      </w:r>
      <w:r>
        <w:rPr>
          <w:rFonts w:hint="eastAsia" w:ascii="宋体" w:hAnsi="宋体" w:eastAsia="宋体" w:cs="宋体"/>
          <w:spacing w:val="10"/>
          <w:sz w:val="28"/>
          <w:szCs w:val="28"/>
        </w:rPr>
        <w:t xml:space="preserve">    </w:t>
      </w:r>
      <w:r>
        <w:rPr>
          <w:rFonts w:hint="eastAsia" w:ascii="宋体" w:hAnsi="宋体" w:eastAsia="宋体" w:cs="宋体"/>
          <w:spacing w:val="-7"/>
          <w:sz w:val="28"/>
          <w:szCs w:val="28"/>
        </w:rPr>
        <w:t>真：</w:t>
      </w:r>
      <w:r>
        <w:rPr>
          <w:rFonts w:hint="eastAsia" w:ascii="宋体" w:hAnsi="宋体" w:eastAsia="宋体" w:cs="宋体"/>
          <w:spacing w:val="-7"/>
          <w:sz w:val="28"/>
          <w:szCs w:val="28"/>
          <w:lang w:val="en-US" w:eastAsia="zh-CN"/>
        </w:rPr>
        <w:t xml:space="preserve"> </w:t>
      </w:r>
      <w:r>
        <w:rPr>
          <w:rFonts w:hint="eastAsia" w:ascii="宋体" w:hAnsi="宋体" w:eastAsia="宋体" w:cs="宋体"/>
          <w:spacing w:val="-7"/>
          <w:sz w:val="28"/>
          <w:szCs w:val="28"/>
          <w:u w:val="single"/>
          <w:lang w:val="en-US" w:eastAsia="zh-CN"/>
        </w:rPr>
        <w:t xml:space="preserve">                   </w:t>
      </w:r>
    </w:p>
    <w:p w14:paraId="0765C3CE">
      <w:pPr>
        <w:pStyle w:val="5"/>
        <w:keepNext w:val="0"/>
        <w:keepLines w:val="0"/>
        <w:pageBreakBefore w:val="0"/>
        <w:widowControl w:val="0"/>
        <w:kinsoku/>
        <w:wordWrap/>
        <w:overflowPunct/>
        <w:topLinePunct w:val="0"/>
        <w:autoSpaceDE/>
        <w:autoSpaceDN/>
        <w:bidi w:val="0"/>
        <w:adjustRightInd/>
        <w:snapToGrid/>
        <w:spacing w:line="380" w:lineRule="exact"/>
        <w:ind w:left="773"/>
        <w:textAlignment w:val="auto"/>
        <w:rPr>
          <w:rFonts w:hint="eastAsia" w:ascii="宋体" w:hAnsi="宋体" w:eastAsia="宋体" w:cs="宋体"/>
          <w:sz w:val="28"/>
          <w:szCs w:val="28"/>
        </w:rPr>
      </w:pPr>
      <w:r>
        <w:rPr>
          <w:rFonts w:hint="eastAsia" w:ascii="宋体" w:hAnsi="宋体" w:eastAsia="宋体" w:cs="宋体"/>
          <w:spacing w:val="-20"/>
          <w:sz w:val="28"/>
          <w:szCs w:val="28"/>
        </w:rPr>
        <w:t>日</w:t>
      </w:r>
      <w:r>
        <w:rPr>
          <w:rFonts w:hint="eastAsia" w:ascii="宋体" w:hAnsi="宋体" w:eastAsia="宋体" w:cs="宋体"/>
          <w:spacing w:val="4"/>
          <w:sz w:val="28"/>
          <w:szCs w:val="28"/>
        </w:rPr>
        <w:t xml:space="preserve">    </w:t>
      </w:r>
      <w:r>
        <w:rPr>
          <w:rFonts w:hint="eastAsia" w:ascii="宋体" w:hAnsi="宋体" w:eastAsia="宋体" w:cs="宋体"/>
          <w:spacing w:val="-20"/>
          <w:sz w:val="28"/>
          <w:szCs w:val="28"/>
        </w:rPr>
        <w:t>期</w:t>
      </w:r>
      <w:r>
        <w:rPr>
          <w:rFonts w:hint="eastAsia" w:ascii="宋体" w:hAnsi="宋体" w:eastAsia="宋体" w:cs="宋体"/>
          <w:spacing w:val="-85"/>
          <w:sz w:val="28"/>
          <w:szCs w:val="28"/>
        </w:rPr>
        <w:t xml:space="preserve"> </w:t>
      </w:r>
      <w:r>
        <w:rPr>
          <w:rFonts w:hint="eastAsia" w:ascii="宋体" w:hAnsi="宋体" w:eastAsia="宋体" w:cs="宋体"/>
          <w:spacing w:val="-20"/>
          <w:sz w:val="28"/>
          <w:szCs w:val="28"/>
        </w:rPr>
        <w:t>：</w:t>
      </w:r>
      <w:r>
        <w:rPr>
          <w:rFonts w:hint="eastAsia" w:ascii="宋体" w:hAnsi="宋体" w:eastAsia="宋体" w:cs="宋体"/>
          <w:spacing w:val="4"/>
          <w:sz w:val="28"/>
          <w:szCs w:val="28"/>
        </w:rPr>
        <w:t xml:space="preserve">     </w:t>
      </w:r>
      <w:r>
        <w:rPr>
          <w:rFonts w:hint="eastAsia" w:ascii="宋体" w:hAnsi="宋体" w:eastAsia="宋体" w:cs="宋体"/>
          <w:spacing w:val="-20"/>
          <w:sz w:val="28"/>
          <w:szCs w:val="28"/>
        </w:rPr>
        <w:t>年       月</w:t>
      </w:r>
      <w:r>
        <w:rPr>
          <w:rFonts w:hint="eastAsia" w:ascii="宋体" w:hAnsi="宋体" w:eastAsia="宋体" w:cs="宋体"/>
          <w:spacing w:val="13"/>
          <w:sz w:val="28"/>
          <w:szCs w:val="28"/>
        </w:rPr>
        <w:t xml:space="preserve">     </w:t>
      </w:r>
      <w:r>
        <w:rPr>
          <w:rFonts w:hint="eastAsia" w:ascii="宋体" w:hAnsi="宋体" w:eastAsia="宋体" w:cs="宋体"/>
          <w:spacing w:val="-20"/>
          <w:sz w:val="28"/>
          <w:szCs w:val="28"/>
        </w:rPr>
        <w:t>日</w:t>
      </w:r>
    </w:p>
    <w:p w14:paraId="3246F7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napToGrid/>
          <w:kern w:val="2"/>
          <w:sz w:val="28"/>
          <w:szCs w:val="28"/>
          <w:lang w:eastAsia="zh-CN"/>
        </w:rPr>
      </w:pPr>
      <w:r>
        <w:rPr>
          <w:rFonts w:hint="eastAsia" w:ascii="宋体" w:hAnsi="宋体" w:eastAsia="宋体" w:cs="宋体"/>
          <w:b/>
          <w:snapToGrid/>
          <w:kern w:val="2"/>
          <w:sz w:val="28"/>
          <w:szCs w:val="28"/>
          <w:lang w:eastAsia="zh-CN"/>
        </w:rPr>
        <w:br w:type="page"/>
      </w:r>
    </w:p>
    <w:p w14:paraId="1CCCF2E4">
      <w:pPr>
        <w:spacing w:line="360" w:lineRule="auto"/>
        <w:jc w:val="left"/>
        <w:rPr>
          <w:rFonts w:ascii="仿宋" w:hAnsi="仿宋" w:eastAsia="仿宋" w:cs="仿宋"/>
          <w:b/>
          <w:bCs/>
          <w:sz w:val="32"/>
          <w:szCs w:val="32"/>
        </w:rPr>
      </w:pPr>
      <w:r>
        <w:rPr>
          <w:rFonts w:hint="eastAsia" w:ascii="仿宋" w:hAnsi="仿宋" w:eastAsia="仿宋" w:cs="仿宋"/>
          <w:b/>
          <w:bCs/>
          <w:sz w:val="32"/>
          <w:szCs w:val="32"/>
        </w:rPr>
        <w:t>3．报价表</w:t>
      </w:r>
    </w:p>
    <w:p w14:paraId="3A45F2B9">
      <w:pPr>
        <w:spacing w:line="360" w:lineRule="auto"/>
        <w:jc w:val="center"/>
        <w:outlineLvl w:val="2"/>
        <w:rPr>
          <w:rFonts w:hint="eastAsia" w:ascii="宋体" w:hAnsi="宋体" w:cs="宋体"/>
          <w:b w:val="0"/>
          <w:bCs/>
          <w:color w:val="000000" w:themeColor="text1"/>
          <w:sz w:val="32"/>
          <w:szCs w:val="32"/>
          <w:lang w:val="en-US" w:eastAsia="zh-CN"/>
          <w14:textFill>
            <w14:solidFill>
              <w14:schemeClr w14:val="tx1"/>
            </w14:solidFill>
          </w14:textFill>
        </w:rPr>
      </w:pPr>
      <w:bookmarkStart w:id="9" w:name="_Toc9270"/>
    </w:p>
    <w:p w14:paraId="64972352">
      <w:pPr>
        <w:spacing w:line="360" w:lineRule="auto"/>
        <w:jc w:val="center"/>
        <w:outlineLvl w:val="2"/>
        <w:rPr>
          <w:rFonts w:hint="eastAsia" w:ascii="宋体" w:hAnsi="宋体" w:cs="宋体"/>
          <w:b w:val="0"/>
          <w:bCs/>
          <w:color w:val="000000" w:themeColor="text1"/>
          <w:sz w:val="32"/>
          <w:szCs w:val="32"/>
          <w14:textFill>
            <w14:solidFill>
              <w14:schemeClr w14:val="tx1"/>
            </w14:solidFill>
          </w14:textFill>
        </w:rPr>
      </w:pPr>
      <w:r>
        <w:rPr>
          <w:rFonts w:hint="eastAsia" w:ascii="宋体" w:hAnsi="宋体" w:cs="宋体"/>
          <w:b w:val="0"/>
          <w:bCs/>
          <w:color w:val="000000" w:themeColor="text1"/>
          <w:sz w:val="32"/>
          <w:szCs w:val="32"/>
          <w:lang w:val="en-US" w:eastAsia="zh-CN"/>
          <w14:textFill>
            <w14:solidFill>
              <w14:schemeClr w14:val="tx1"/>
            </w14:solidFill>
          </w14:textFill>
        </w:rPr>
        <w:t>3.1</w:t>
      </w:r>
      <w:r>
        <w:rPr>
          <w:rFonts w:hint="eastAsia" w:ascii="宋体" w:hAnsi="宋体" w:cs="宋体"/>
          <w:b w:val="0"/>
          <w:bCs/>
          <w:color w:val="000000" w:themeColor="text1"/>
          <w:sz w:val="32"/>
          <w:szCs w:val="32"/>
          <w14:textFill>
            <w14:solidFill>
              <w14:schemeClr w14:val="tx1"/>
            </w14:solidFill>
          </w14:textFill>
        </w:rPr>
        <w:t>报价一览表</w:t>
      </w:r>
      <w:bookmarkEnd w:id="9"/>
    </w:p>
    <w:p w14:paraId="52FB9CCF">
      <w:pPr>
        <w:pStyle w:val="6"/>
      </w:pPr>
    </w:p>
    <w:p w14:paraId="0645A72D">
      <w:pPr>
        <w:kinsoku w:val="0"/>
        <w:spacing w:line="500" w:lineRule="exact"/>
        <w:ind w:firstLine="480" w:firstLineChars="200"/>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项目名称：</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4"/>
        <w:gridCol w:w="1704"/>
        <w:gridCol w:w="1704"/>
      </w:tblGrid>
      <w:tr w14:paraId="58D9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000" w:type="pct"/>
            <w:vAlign w:val="center"/>
          </w:tcPr>
          <w:p w14:paraId="15F333E1">
            <w:pPr>
              <w:jc w:val="center"/>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总</w:t>
            </w:r>
            <w:r>
              <w:rPr>
                <w:rFonts w:hint="eastAsia" w:ascii="宋体" w:hAnsi="宋体" w:cs="宋体"/>
                <w:b w:val="0"/>
                <w:bCs/>
                <w:color w:val="000000" w:themeColor="text1"/>
                <w:sz w:val="24"/>
                <w:lang w:eastAsia="zh-CN"/>
                <w14:textFill>
                  <w14:solidFill>
                    <w14:schemeClr w14:val="tx1"/>
                  </w14:solidFill>
                </w14:textFill>
              </w:rPr>
              <w:t>报价</w:t>
            </w:r>
          </w:p>
          <w:p w14:paraId="376B5149">
            <w:pPr>
              <w:jc w:val="center"/>
              <w:rPr>
                <w:rFonts w:hint="eastAsia" w:ascii="宋体" w:hAnsi="宋体" w:cs="宋体" w:eastAsiaTheme="minorEastAsia"/>
                <w:b w:val="0"/>
                <w:bCs/>
                <w:color w:val="000000" w:themeColor="text1"/>
                <w:sz w:val="24"/>
                <w:lang w:eastAsia="zh-CN"/>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（小写：￥</w:t>
            </w:r>
            <w:r>
              <w:rPr>
                <w:rFonts w:hint="eastAsia" w:ascii="宋体" w:hAnsi="宋体" w:cs="宋体"/>
                <w:b w:val="0"/>
                <w:bCs/>
                <w:color w:val="000000" w:themeColor="text1"/>
                <w:sz w:val="24"/>
                <w:lang w:eastAsia="zh-CN"/>
                <w14:textFill>
                  <w14:solidFill>
                    <w14:schemeClr w14:val="tx1"/>
                  </w14:solidFill>
                </w14:textFill>
              </w:rPr>
              <w:t>）</w:t>
            </w:r>
          </w:p>
        </w:tc>
        <w:tc>
          <w:tcPr>
            <w:tcW w:w="1000" w:type="pct"/>
            <w:vAlign w:val="center"/>
          </w:tcPr>
          <w:p w14:paraId="4B596DE7">
            <w:pPr>
              <w:jc w:val="center"/>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交货期</w:t>
            </w:r>
          </w:p>
          <w:p w14:paraId="3323D5E9">
            <w:pPr>
              <w:jc w:val="center"/>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（自合同签订之日起日历日）</w:t>
            </w:r>
          </w:p>
        </w:tc>
        <w:tc>
          <w:tcPr>
            <w:tcW w:w="1000" w:type="pct"/>
            <w:vAlign w:val="center"/>
          </w:tcPr>
          <w:p w14:paraId="63C186B6">
            <w:pPr>
              <w:jc w:val="center"/>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交货地点</w:t>
            </w:r>
          </w:p>
        </w:tc>
        <w:tc>
          <w:tcPr>
            <w:tcW w:w="1000" w:type="pct"/>
            <w:vAlign w:val="center"/>
          </w:tcPr>
          <w:p w14:paraId="7D46F570">
            <w:pPr>
              <w:jc w:val="center"/>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质保期</w:t>
            </w:r>
          </w:p>
        </w:tc>
        <w:tc>
          <w:tcPr>
            <w:tcW w:w="1000" w:type="pct"/>
            <w:vAlign w:val="center"/>
          </w:tcPr>
          <w:p w14:paraId="3F33958C">
            <w:pPr>
              <w:jc w:val="center"/>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备注</w:t>
            </w:r>
          </w:p>
        </w:tc>
      </w:tr>
      <w:tr w14:paraId="015A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000" w:type="pct"/>
            <w:vAlign w:val="center"/>
          </w:tcPr>
          <w:p w14:paraId="4C86E316">
            <w:pPr>
              <w:jc w:val="center"/>
              <w:rPr>
                <w:rFonts w:ascii="宋体" w:hAnsi="宋体" w:cs="宋体"/>
                <w:b w:val="0"/>
                <w:bCs/>
                <w:color w:val="000000" w:themeColor="text1"/>
                <w:sz w:val="24"/>
                <w14:textFill>
                  <w14:solidFill>
                    <w14:schemeClr w14:val="tx1"/>
                  </w14:solidFill>
                </w14:textFill>
              </w:rPr>
            </w:pPr>
          </w:p>
        </w:tc>
        <w:tc>
          <w:tcPr>
            <w:tcW w:w="1000" w:type="pct"/>
            <w:vAlign w:val="center"/>
          </w:tcPr>
          <w:p w14:paraId="45A223B0">
            <w:pPr>
              <w:jc w:val="center"/>
              <w:rPr>
                <w:rFonts w:ascii="宋体" w:hAnsi="宋体" w:cs="宋体"/>
                <w:b w:val="0"/>
                <w:bCs/>
                <w:color w:val="000000" w:themeColor="text1"/>
                <w:sz w:val="24"/>
                <w14:textFill>
                  <w14:solidFill>
                    <w14:schemeClr w14:val="tx1"/>
                  </w14:solidFill>
                </w14:textFill>
              </w:rPr>
            </w:pPr>
          </w:p>
        </w:tc>
        <w:tc>
          <w:tcPr>
            <w:tcW w:w="1000" w:type="pct"/>
            <w:vAlign w:val="center"/>
          </w:tcPr>
          <w:p w14:paraId="4D87F500">
            <w:pPr>
              <w:jc w:val="center"/>
              <w:rPr>
                <w:rFonts w:ascii="宋体" w:hAnsi="宋体" w:cs="宋体"/>
                <w:b w:val="0"/>
                <w:bCs/>
                <w:color w:val="000000" w:themeColor="text1"/>
                <w:sz w:val="24"/>
                <w14:textFill>
                  <w14:solidFill>
                    <w14:schemeClr w14:val="tx1"/>
                  </w14:solidFill>
                </w14:textFill>
              </w:rPr>
            </w:pPr>
          </w:p>
        </w:tc>
        <w:tc>
          <w:tcPr>
            <w:tcW w:w="1000" w:type="pct"/>
            <w:vAlign w:val="center"/>
          </w:tcPr>
          <w:p w14:paraId="2164EBBE">
            <w:pPr>
              <w:jc w:val="center"/>
              <w:rPr>
                <w:rFonts w:ascii="宋体" w:hAnsi="宋体" w:cs="宋体"/>
                <w:b w:val="0"/>
                <w:bCs/>
                <w:color w:val="000000" w:themeColor="text1"/>
                <w:sz w:val="24"/>
                <w14:textFill>
                  <w14:solidFill>
                    <w14:schemeClr w14:val="tx1"/>
                  </w14:solidFill>
                </w14:textFill>
              </w:rPr>
            </w:pPr>
          </w:p>
        </w:tc>
        <w:tc>
          <w:tcPr>
            <w:tcW w:w="1000" w:type="pct"/>
            <w:vAlign w:val="center"/>
          </w:tcPr>
          <w:p w14:paraId="292DE76C">
            <w:pPr>
              <w:jc w:val="center"/>
              <w:rPr>
                <w:rFonts w:ascii="宋体" w:hAnsi="宋体" w:cs="宋体"/>
                <w:b w:val="0"/>
                <w:bCs/>
                <w:color w:val="000000" w:themeColor="text1"/>
                <w:sz w:val="24"/>
                <w14:textFill>
                  <w14:solidFill>
                    <w14:schemeClr w14:val="tx1"/>
                  </w14:solidFill>
                </w14:textFill>
              </w:rPr>
            </w:pPr>
          </w:p>
        </w:tc>
      </w:tr>
      <w:tr w14:paraId="04E8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5000" w:type="pct"/>
            <w:gridSpan w:val="5"/>
            <w:vAlign w:val="center"/>
          </w:tcPr>
          <w:p w14:paraId="231958DA">
            <w:pPr>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询价总报价：（人民币大写）</w:t>
            </w:r>
          </w:p>
        </w:tc>
      </w:tr>
      <w:tr w14:paraId="3A80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000" w:type="pct"/>
            <w:gridSpan w:val="5"/>
            <w:vAlign w:val="center"/>
          </w:tcPr>
          <w:p w14:paraId="66F48DC3">
            <w:pPr>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备注：表内报价内容以元为单位，保留小数点后两位。</w:t>
            </w:r>
          </w:p>
        </w:tc>
      </w:tr>
    </w:tbl>
    <w:p w14:paraId="2A7601B7">
      <w:pPr>
        <w:kinsoku w:val="0"/>
        <w:spacing w:line="500" w:lineRule="exact"/>
        <w:rPr>
          <w:rFonts w:ascii="宋体" w:hAnsi="宋体" w:cs="宋体"/>
          <w:b w:val="0"/>
          <w:bCs/>
          <w:color w:val="000000" w:themeColor="text1"/>
          <w:sz w:val="24"/>
          <w14:textFill>
            <w14:solidFill>
              <w14:schemeClr w14:val="tx1"/>
            </w14:solidFill>
          </w14:textFill>
        </w:rPr>
      </w:pPr>
    </w:p>
    <w:p w14:paraId="15170B1F">
      <w:pPr>
        <w:spacing w:line="480" w:lineRule="auto"/>
        <w:ind w:right="540" w:rightChars="257"/>
        <w:jc w:val="left"/>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供应商名称：</w:t>
      </w:r>
      <w:r>
        <w:rPr>
          <w:rFonts w:hint="eastAsia" w:ascii="宋体" w:hAnsi="宋体" w:cs="宋体"/>
          <w:b w:val="0"/>
          <w:bCs/>
          <w:color w:val="000000" w:themeColor="text1"/>
          <w:sz w:val="24"/>
          <w:u w:val="single"/>
          <w14:textFill>
            <w14:solidFill>
              <w14:schemeClr w14:val="tx1"/>
            </w14:solidFill>
          </w14:textFill>
        </w:rPr>
        <w:t xml:space="preserve">      （加盖单位公章）      </w:t>
      </w:r>
    </w:p>
    <w:p w14:paraId="2D4701B7">
      <w:pPr>
        <w:kinsoku w:val="0"/>
        <w:spacing w:line="360" w:lineRule="auto"/>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法定代表人或被授权人：（</w:t>
      </w:r>
      <w:r>
        <w:rPr>
          <w:rFonts w:hint="eastAsia" w:ascii="宋体" w:hAnsi="宋体" w:cs="宋体"/>
          <w:b w:val="0"/>
          <w:bCs/>
          <w:color w:val="000000" w:themeColor="text1"/>
          <w:spacing w:val="4"/>
          <w:sz w:val="24"/>
          <w14:textFill>
            <w14:solidFill>
              <w14:schemeClr w14:val="tx1"/>
            </w14:solidFill>
          </w14:textFill>
        </w:rPr>
        <w:t>签字或盖章</w:t>
      </w:r>
      <w:r>
        <w:rPr>
          <w:rFonts w:hint="eastAsia" w:ascii="宋体" w:hAnsi="宋体" w:cs="宋体"/>
          <w:b w:val="0"/>
          <w:bCs/>
          <w:color w:val="000000" w:themeColor="text1"/>
          <w:sz w:val="24"/>
          <w14:textFill>
            <w14:solidFill>
              <w14:schemeClr w14:val="tx1"/>
            </w14:solidFill>
          </w14:textFill>
        </w:rPr>
        <w:t>）</w:t>
      </w:r>
    </w:p>
    <w:p w14:paraId="3C977A00">
      <w:pPr>
        <w:spacing w:line="480" w:lineRule="auto"/>
        <w:ind w:right="540" w:rightChars="257"/>
        <w:rPr>
          <w:rFonts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日    期：</w:t>
      </w:r>
    </w:p>
    <w:p w14:paraId="25704614">
      <w:pPr>
        <w:pStyle w:val="5"/>
        <w:rPr>
          <w:rFonts w:ascii="宋体" w:hAnsi="宋体" w:cs="宋体"/>
          <w:color w:val="0000FF"/>
          <w:sz w:val="24"/>
        </w:rPr>
      </w:pPr>
    </w:p>
    <w:p w14:paraId="61005FAA">
      <w:pPr>
        <w:rPr>
          <w:rFonts w:ascii="宋体" w:hAnsi="宋体" w:cs="宋体"/>
        </w:rPr>
      </w:pPr>
    </w:p>
    <w:p w14:paraId="2117C3C6">
      <w:pPr>
        <w:rPr>
          <w:rFonts w:ascii="宋体" w:hAnsi="宋体" w:cs="宋体"/>
          <w:b/>
          <w:sz w:val="32"/>
        </w:rPr>
      </w:pPr>
      <w:bookmarkStart w:id="10" w:name="_Toc28314"/>
      <w:r>
        <w:rPr>
          <w:rFonts w:hint="eastAsia" w:ascii="宋体" w:hAnsi="宋体" w:cs="宋体"/>
          <w:b/>
          <w:sz w:val="32"/>
        </w:rPr>
        <w:br w:type="page"/>
      </w:r>
    </w:p>
    <w:p w14:paraId="5DF5EE88">
      <w:pPr>
        <w:spacing w:line="360" w:lineRule="auto"/>
        <w:jc w:val="center"/>
        <w:outlineLvl w:val="2"/>
        <w:rPr>
          <w:rFonts w:hint="eastAsia" w:ascii="宋体" w:hAnsi="宋体" w:cs="宋体"/>
          <w:b w:val="0"/>
          <w:bCs/>
          <w:color w:val="000000" w:themeColor="text1"/>
          <w:sz w:val="32"/>
          <w:szCs w:val="32"/>
          <w:lang w:val="en-US" w:eastAsia="zh-CN"/>
          <w14:textFill>
            <w14:solidFill>
              <w14:schemeClr w14:val="tx1"/>
            </w14:solidFill>
          </w14:textFill>
        </w:rPr>
      </w:pPr>
      <w:r>
        <w:rPr>
          <w:rFonts w:hint="eastAsia" w:ascii="宋体" w:hAnsi="宋体" w:cs="宋体"/>
          <w:b w:val="0"/>
          <w:bCs/>
          <w:color w:val="000000" w:themeColor="text1"/>
          <w:sz w:val="32"/>
          <w:szCs w:val="32"/>
          <w:lang w:val="en-US" w:eastAsia="zh-CN"/>
          <w14:textFill>
            <w14:solidFill>
              <w14:schemeClr w14:val="tx1"/>
            </w14:solidFill>
          </w14:textFill>
        </w:rPr>
        <w:t>3.2分项报价表</w:t>
      </w:r>
      <w:bookmarkEnd w:id="10"/>
    </w:p>
    <w:p w14:paraId="3F8798BC">
      <w:pPr>
        <w:pStyle w:val="36"/>
        <w:jc w:val="center"/>
        <w:outlineLvl w:val="2"/>
        <w:rPr>
          <w:rFonts w:hint="eastAsia" w:hAnsi="宋体" w:cs="宋体"/>
          <w:b/>
          <w:sz w:val="32"/>
        </w:rPr>
      </w:pPr>
    </w:p>
    <w:p w14:paraId="38B7B7C7">
      <w:pPr>
        <w:ind w:firstLine="480" w:firstLineChars="200"/>
        <w:rPr>
          <w:rFonts w:hint="eastAsia" w:ascii="宋体" w:hAnsi="宋体" w:eastAsia="宋体" w:cs="宋体"/>
          <w:sz w:val="24"/>
          <w:lang w:eastAsia="zh-CN"/>
        </w:rPr>
      </w:pPr>
      <w:r>
        <w:rPr>
          <w:rFonts w:hint="eastAsia" w:ascii="宋体" w:hAnsi="宋体" w:cs="宋体"/>
          <w:sz w:val="24"/>
        </w:rPr>
        <w:t>项目名称：</w:t>
      </w:r>
    </w:p>
    <w:p w14:paraId="78217C08">
      <w:pPr>
        <w:ind w:firstLine="480" w:firstLineChars="200"/>
        <w:rPr>
          <w:rFonts w:ascii="宋体" w:hAnsi="宋体" w:cs="宋体"/>
          <w:sz w:val="24"/>
        </w:rPr>
      </w:pPr>
    </w:p>
    <w:tbl>
      <w:tblPr>
        <w:tblStyle w:val="17"/>
        <w:tblW w:w="8736" w:type="dxa"/>
        <w:tblInd w:w="0" w:type="dxa"/>
        <w:tblLayout w:type="fixed"/>
        <w:tblCellMar>
          <w:top w:w="0" w:type="dxa"/>
          <w:left w:w="108" w:type="dxa"/>
          <w:bottom w:w="0" w:type="dxa"/>
          <w:right w:w="108" w:type="dxa"/>
        </w:tblCellMar>
      </w:tblPr>
      <w:tblGrid>
        <w:gridCol w:w="719"/>
        <w:gridCol w:w="1094"/>
        <w:gridCol w:w="808"/>
        <w:gridCol w:w="1888"/>
        <w:gridCol w:w="882"/>
        <w:gridCol w:w="756"/>
        <w:gridCol w:w="1005"/>
        <w:gridCol w:w="1584"/>
      </w:tblGrid>
      <w:tr w14:paraId="5F4721EA">
        <w:tblPrEx>
          <w:tblCellMar>
            <w:top w:w="0" w:type="dxa"/>
            <w:left w:w="108" w:type="dxa"/>
            <w:bottom w:w="0" w:type="dxa"/>
            <w:right w:w="108" w:type="dxa"/>
          </w:tblCellMar>
        </w:tblPrEx>
        <w:trPr>
          <w:trHeight w:val="961"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8DB54">
            <w:pPr>
              <w:jc w:val="center"/>
            </w:pPr>
            <w:r>
              <w:rPr>
                <w:rFonts w:hint="eastAsia"/>
              </w:rPr>
              <w:t>序号</w:t>
            </w:r>
          </w:p>
        </w:tc>
        <w:tc>
          <w:tcPr>
            <w:tcW w:w="1094" w:type="dxa"/>
            <w:tcBorders>
              <w:top w:val="single" w:color="auto" w:sz="4" w:space="0"/>
              <w:left w:val="nil"/>
              <w:bottom w:val="single" w:color="auto" w:sz="4" w:space="0"/>
              <w:right w:val="single" w:color="auto" w:sz="4" w:space="0"/>
            </w:tcBorders>
            <w:shd w:val="clear" w:color="auto" w:fill="auto"/>
            <w:noWrap/>
            <w:vAlign w:val="center"/>
          </w:tcPr>
          <w:p w14:paraId="1683F321">
            <w:pPr>
              <w:jc w:val="center"/>
            </w:pPr>
            <w:r>
              <w:rPr>
                <w:rFonts w:hint="eastAsia"/>
              </w:rPr>
              <w:t>名称</w:t>
            </w:r>
          </w:p>
        </w:tc>
        <w:tc>
          <w:tcPr>
            <w:tcW w:w="808" w:type="dxa"/>
            <w:tcBorders>
              <w:top w:val="single" w:color="auto" w:sz="4" w:space="0"/>
              <w:left w:val="nil"/>
              <w:bottom w:val="single" w:color="auto" w:sz="4" w:space="0"/>
              <w:right w:val="single" w:color="auto" w:sz="4" w:space="0"/>
            </w:tcBorders>
            <w:shd w:val="clear" w:color="auto" w:fill="auto"/>
            <w:noWrap/>
            <w:vAlign w:val="center"/>
          </w:tcPr>
          <w:p w14:paraId="71E39FD0">
            <w:pPr>
              <w:jc w:val="center"/>
            </w:pPr>
            <w:r>
              <w:rPr>
                <w:rFonts w:hint="eastAsia"/>
              </w:rPr>
              <w:t>规格</w:t>
            </w:r>
          </w:p>
        </w:tc>
        <w:tc>
          <w:tcPr>
            <w:tcW w:w="1888" w:type="dxa"/>
            <w:tcBorders>
              <w:top w:val="single" w:color="auto" w:sz="4" w:space="0"/>
              <w:left w:val="nil"/>
              <w:bottom w:val="single" w:color="auto" w:sz="4" w:space="0"/>
              <w:right w:val="single" w:color="auto" w:sz="4" w:space="0"/>
            </w:tcBorders>
            <w:vAlign w:val="center"/>
          </w:tcPr>
          <w:p w14:paraId="7610DA12">
            <w:pPr>
              <w:jc w:val="center"/>
              <w:rPr>
                <w:rFonts w:hint="eastAsia" w:eastAsiaTheme="minorEastAsia"/>
                <w:lang w:val="en-US" w:eastAsia="zh-CN"/>
              </w:rPr>
            </w:pPr>
            <w:r>
              <w:rPr>
                <w:rFonts w:hint="eastAsia"/>
              </w:rPr>
              <w:t>原产地及制造厂名</w:t>
            </w:r>
            <w:r>
              <w:rPr>
                <w:rFonts w:hint="eastAsia"/>
                <w:lang w:val="en-US" w:eastAsia="zh-CN"/>
              </w:rPr>
              <w:t>称</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E0FCD">
            <w:pPr>
              <w:jc w:val="center"/>
            </w:pPr>
            <w:r>
              <w:rPr>
                <w:rFonts w:hint="eastAsia"/>
              </w:rPr>
              <w:t>单位</w:t>
            </w:r>
          </w:p>
        </w:tc>
        <w:tc>
          <w:tcPr>
            <w:tcW w:w="756" w:type="dxa"/>
            <w:tcBorders>
              <w:top w:val="single" w:color="auto" w:sz="4" w:space="0"/>
              <w:left w:val="nil"/>
              <w:bottom w:val="single" w:color="auto" w:sz="4" w:space="0"/>
              <w:right w:val="single" w:color="auto" w:sz="4" w:space="0"/>
            </w:tcBorders>
            <w:shd w:val="clear" w:color="auto" w:fill="auto"/>
            <w:noWrap/>
            <w:vAlign w:val="center"/>
          </w:tcPr>
          <w:p w14:paraId="61139412">
            <w:pPr>
              <w:jc w:val="center"/>
            </w:pPr>
            <w:r>
              <w:rPr>
                <w:rFonts w:hint="eastAsia"/>
              </w:rPr>
              <w:t>数量</w:t>
            </w:r>
          </w:p>
        </w:tc>
        <w:tc>
          <w:tcPr>
            <w:tcW w:w="1005" w:type="dxa"/>
            <w:tcBorders>
              <w:top w:val="single" w:color="auto" w:sz="4" w:space="0"/>
              <w:left w:val="nil"/>
              <w:bottom w:val="single" w:color="auto" w:sz="4" w:space="0"/>
              <w:right w:val="single" w:color="auto" w:sz="4" w:space="0"/>
            </w:tcBorders>
            <w:shd w:val="clear" w:color="auto" w:fill="auto"/>
            <w:noWrap/>
            <w:vAlign w:val="center"/>
          </w:tcPr>
          <w:p w14:paraId="5DC994B9">
            <w:pPr>
              <w:jc w:val="center"/>
            </w:pPr>
            <w:r>
              <w:rPr>
                <w:rFonts w:hint="eastAsia"/>
              </w:rPr>
              <w:t>单价(元)</w:t>
            </w:r>
          </w:p>
        </w:tc>
        <w:tc>
          <w:tcPr>
            <w:tcW w:w="1584" w:type="dxa"/>
            <w:tcBorders>
              <w:top w:val="single" w:color="auto" w:sz="4" w:space="0"/>
              <w:left w:val="nil"/>
              <w:bottom w:val="single" w:color="auto" w:sz="4" w:space="0"/>
              <w:right w:val="single" w:color="auto" w:sz="4" w:space="0"/>
            </w:tcBorders>
            <w:shd w:val="clear" w:color="auto" w:fill="auto"/>
            <w:noWrap/>
            <w:vAlign w:val="center"/>
          </w:tcPr>
          <w:p w14:paraId="0E77D817">
            <w:pPr>
              <w:jc w:val="center"/>
            </w:pPr>
            <w:r>
              <w:rPr>
                <w:rFonts w:hint="eastAsia"/>
              </w:rPr>
              <w:t>小计(元)</w:t>
            </w:r>
          </w:p>
        </w:tc>
      </w:tr>
      <w:tr w14:paraId="527E81F8">
        <w:tblPrEx>
          <w:tblCellMar>
            <w:top w:w="0" w:type="dxa"/>
            <w:left w:w="108" w:type="dxa"/>
            <w:bottom w:w="0" w:type="dxa"/>
            <w:right w:w="108" w:type="dxa"/>
          </w:tblCellMar>
        </w:tblPrEx>
        <w:trPr>
          <w:trHeight w:val="541"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4E2539D5">
            <w:pPr>
              <w:widowControl/>
              <w:jc w:val="right"/>
              <w:rPr>
                <w:rFonts w:ascii="宋体" w:hAnsi="宋体" w:cs="宋体"/>
                <w:color w:val="000000"/>
                <w:kern w:val="0"/>
                <w:sz w:val="22"/>
                <w:szCs w:val="22"/>
              </w:rPr>
            </w:pPr>
          </w:p>
        </w:tc>
        <w:tc>
          <w:tcPr>
            <w:tcW w:w="1094" w:type="dxa"/>
            <w:tcBorders>
              <w:top w:val="nil"/>
              <w:left w:val="nil"/>
              <w:bottom w:val="single" w:color="auto" w:sz="4" w:space="0"/>
              <w:right w:val="single" w:color="auto" w:sz="4" w:space="0"/>
            </w:tcBorders>
            <w:shd w:val="clear" w:color="auto" w:fill="auto"/>
            <w:vAlign w:val="center"/>
          </w:tcPr>
          <w:p w14:paraId="7CDC2C16">
            <w:pPr>
              <w:widowControl/>
              <w:jc w:val="left"/>
              <w:rPr>
                <w:rFonts w:ascii="宋体" w:hAnsi="宋体" w:cs="宋体"/>
                <w:color w:val="000000"/>
                <w:kern w:val="0"/>
                <w:sz w:val="22"/>
                <w:szCs w:val="22"/>
              </w:rPr>
            </w:pPr>
          </w:p>
        </w:tc>
        <w:tc>
          <w:tcPr>
            <w:tcW w:w="808" w:type="dxa"/>
            <w:tcBorders>
              <w:top w:val="nil"/>
              <w:left w:val="nil"/>
              <w:bottom w:val="single" w:color="auto" w:sz="4" w:space="0"/>
              <w:right w:val="single" w:color="auto" w:sz="4" w:space="0"/>
            </w:tcBorders>
            <w:shd w:val="clear" w:color="auto" w:fill="auto"/>
            <w:noWrap/>
            <w:vAlign w:val="center"/>
          </w:tcPr>
          <w:p w14:paraId="5A6D083D">
            <w:pPr>
              <w:widowControl/>
              <w:jc w:val="left"/>
              <w:rPr>
                <w:rFonts w:ascii="宋体" w:hAnsi="宋体" w:cs="宋体"/>
                <w:color w:val="000000"/>
                <w:kern w:val="0"/>
                <w:sz w:val="22"/>
                <w:szCs w:val="22"/>
              </w:rPr>
            </w:pPr>
          </w:p>
        </w:tc>
        <w:tc>
          <w:tcPr>
            <w:tcW w:w="1888" w:type="dxa"/>
            <w:tcBorders>
              <w:top w:val="single" w:color="auto" w:sz="4" w:space="0"/>
              <w:left w:val="nil"/>
              <w:bottom w:val="single" w:color="auto" w:sz="4" w:space="0"/>
              <w:right w:val="single" w:color="auto" w:sz="4" w:space="0"/>
            </w:tcBorders>
          </w:tcPr>
          <w:p w14:paraId="0A5E3748">
            <w:pPr>
              <w:widowControl/>
              <w:jc w:val="left"/>
              <w:rPr>
                <w:rFonts w:ascii="宋体" w:hAnsi="宋体" w:cs="宋体"/>
                <w:color w:val="000000"/>
                <w:kern w:val="0"/>
                <w:sz w:val="22"/>
                <w:szCs w:val="22"/>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D1E7D">
            <w:pPr>
              <w:widowControl/>
              <w:jc w:val="left"/>
              <w:rPr>
                <w:rFonts w:ascii="宋体" w:hAnsi="宋体" w:cs="宋体"/>
                <w:color w:val="000000"/>
                <w:kern w:val="0"/>
                <w:sz w:val="22"/>
                <w:szCs w:val="22"/>
              </w:rPr>
            </w:pPr>
          </w:p>
        </w:tc>
        <w:tc>
          <w:tcPr>
            <w:tcW w:w="756" w:type="dxa"/>
            <w:tcBorders>
              <w:top w:val="nil"/>
              <w:left w:val="nil"/>
              <w:bottom w:val="single" w:color="auto" w:sz="4" w:space="0"/>
              <w:right w:val="single" w:color="auto" w:sz="4" w:space="0"/>
            </w:tcBorders>
            <w:shd w:val="clear" w:color="auto" w:fill="auto"/>
            <w:noWrap/>
            <w:vAlign w:val="center"/>
          </w:tcPr>
          <w:p w14:paraId="20481F2B">
            <w:pPr>
              <w:widowControl/>
              <w:jc w:val="right"/>
              <w:rPr>
                <w:rFonts w:ascii="宋体" w:hAnsi="宋体" w:cs="宋体"/>
                <w:color w:val="000000"/>
                <w:kern w:val="0"/>
                <w:sz w:val="22"/>
                <w:szCs w:val="22"/>
              </w:rPr>
            </w:pPr>
          </w:p>
        </w:tc>
        <w:tc>
          <w:tcPr>
            <w:tcW w:w="1005" w:type="dxa"/>
            <w:tcBorders>
              <w:top w:val="nil"/>
              <w:left w:val="nil"/>
              <w:bottom w:val="single" w:color="auto" w:sz="4" w:space="0"/>
              <w:right w:val="single" w:color="auto" w:sz="4" w:space="0"/>
            </w:tcBorders>
            <w:shd w:val="clear" w:color="auto" w:fill="auto"/>
            <w:noWrap/>
            <w:vAlign w:val="center"/>
          </w:tcPr>
          <w:p w14:paraId="5664ED45">
            <w:pPr>
              <w:widowControl/>
              <w:jc w:val="right"/>
              <w:rPr>
                <w:rFonts w:ascii="宋体" w:hAnsi="宋体" w:cs="宋体"/>
                <w:color w:val="000000"/>
                <w:kern w:val="0"/>
                <w:sz w:val="22"/>
                <w:szCs w:val="22"/>
              </w:rPr>
            </w:pPr>
          </w:p>
        </w:tc>
        <w:tc>
          <w:tcPr>
            <w:tcW w:w="1584" w:type="dxa"/>
            <w:tcBorders>
              <w:top w:val="nil"/>
              <w:left w:val="nil"/>
              <w:bottom w:val="single" w:color="auto" w:sz="4" w:space="0"/>
              <w:right w:val="single" w:color="auto" w:sz="4" w:space="0"/>
            </w:tcBorders>
            <w:shd w:val="clear" w:color="auto" w:fill="auto"/>
            <w:noWrap/>
            <w:vAlign w:val="center"/>
          </w:tcPr>
          <w:p w14:paraId="206B9494">
            <w:pPr>
              <w:widowControl/>
              <w:jc w:val="right"/>
              <w:rPr>
                <w:rFonts w:ascii="宋体" w:hAnsi="宋体" w:cs="宋体"/>
                <w:color w:val="000000"/>
                <w:kern w:val="0"/>
                <w:sz w:val="22"/>
                <w:szCs w:val="22"/>
              </w:rPr>
            </w:pPr>
          </w:p>
        </w:tc>
      </w:tr>
      <w:tr w14:paraId="45B0CEF2">
        <w:tblPrEx>
          <w:tblCellMar>
            <w:top w:w="0" w:type="dxa"/>
            <w:left w:w="108" w:type="dxa"/>
            <w:bottom w:w="0" w:type="dxa"/>
            <w:right w:w="108" w:type="dxa"/>
          </w:tblCellMar>
        </w:tblPrEx>
        <w:trPr>
          <w:trHeight w:val="501"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265B53D8">
            <w:pPr>
              <w:widowControl/>
              <w:jc w:val="right"/>
              <w:rPr>
                <w:rFonts w:ascii="宋体" w:hAnsi="宋体" w:cs="宋体"/>
                <w:color w:val="000000"/>
                <w:kern w:val="0"/>
                <w:sz w:val="22"/>
                <w:szCs w:val="22"/>
              </w:rPr>
            </w:pPr>
          </w:p>
        </w:tc>
        <w:tc>
          <w:tcPr>
            <w:tcW w:w="1094" w:type="dxa"/>
            <w:tcBorders>
              <w:top w:val="nil"/>
              <w:left w:val="nil"/>
              <w:bottom w:val="single" w:color="auto" w:sz="4" w:space="0"/>
              <w:right w:val="single" w:color="auto" w:sz="4" w:space="0"/>
            </w:tcBorders>
            <w:shd w:val="clear" w:color="auto" w:fill="auto"/>
            <w:vAlign w:val="center"/>
          </w:tcPr>
          <w:p w14:paraId="61F6D2D2">
            <w:pPr>
              <w:widowControl/>
              <w:jc w:val="left"/>
              <w:rPr>
                <w:rFonts w:ascii="宋体" w:hAnsi="宋体" w:cs="宋体"/>
                <w:color w:val="000000"/>
                <w:kern w:val="0"/>
                <w:sz w:val="22"/>
                <w:szCs w:val="22"/>
              </w:rPr>
            </w:pPr>
          </w:p>
        </w:tc>
        <w:tc>
          <w:tcPr>
            <w:tcW w:w="808" w:type="dxa"/>
            <w:tcBorders>
              <w:top w:val="nil"/>
              <w:left w:val="nil"/>
              <w:bottom w:val="single" w:color="auto" w:sz="4" w:space="0"/>
              <w:right w:val="single" w:color="auto" w:sz="4" w:space="0"/>
            </w:tcBorders>
            <w:shd w:val="clear" w:color="auto" w:fill="auto"/>
            <w:noWrap/>
            <w:vAlign w:val="center"/>
          </w:tcPr>
          <w:p w14:paraId="2AC1C9A2">
            <w:pPr>
              <w:widowControl/>
              <w:jc w:val="left"/>
              <w:rPr>
                <w:rFonts w:ascii="宋体" w:hAnsi="宋体" w:cs="宋体"/>
                <w:color w:val="000000"/>
                <w:kern w:val="0"/>
                <w:sz w:val="22"/>
                <w:szCs w:val="22"/>
              </w:rPr>
            </w:pPr>
          </w:p>
        </w:tc>
        <w:tc>
          <w:tcPr>
            <w:tcW w:w="1888" w:type="dxa"/>
            <w:tcBorders>
              <w:top w:val="single" w:color="auto" w:sz="4" w:space="0"/>
              <w:left w:val="nil"/>
              <w:bottom w:val="single" w:color="auto" w:sz="4" w:space="0"/>
              <w:right w:val="single" w:color="auto" w:sz="4" w:space="0"/>
            </w:tcBorders>
          </w:tcPr>
          <w:p w14:paraId="17FE96D7">
            <w:pPr>
              <w:widowControl/>
              <w:jc w:val="left"/>
              <w:rPr>
                <w:rFonts w:ascii="宋体" w:hAnsi="宋体" w:cs="宋体"/>
                <w:color w:val="000000"/>
                <w:kern w:val="0"/>
                <w:sz w:val="22"/>
                <w:szCs w:val="22"/>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3108C">
            <w:pPr>
              <w:widowControl/>
              <w:jc w:val="left"/>
              <w:rPr>
                <w:rFonts w:ascii="宋体" w:hAnsi="宋体" w:cs="宋体"/>
                <w:color w:val="000000"/>
                <w:kern w:val="0"/>
                <w:sz w:val="22"/>
                <w:szCs w:val="22"/>
              </w:rPr>
            </w:pPr>
          </w:p>
        </w:tc>
        <w:tc>
          <w:tcPr>
            <w:tcW w:w="756" w:type="dxa"/>
            <w:tcBorders>
              <w:top w:val="nil"/>
              <w:left w:val="nil"/>
              <w:bottom w:val="single" w:color="auto" w:sz="4" w:space="0"/>
              <w:right w:val="single" w:color="auto" w:sz="4" w:space="0"/>
            </w:tcBorders>
            <w:shd w:val="clear" w:color="auto" w:fill="auto"/>
            <w:noWrap/>
            <w:vAlign w:val="center"/>
          </w:tcPr>
          <w:p w14:paraId="315AB78A">
            <w:pPr>
              <w:widowControl/>
              <w:jc w:val="right"/>
              <w:rPr>
                <w:rFonts w:ascii="宋体" w:hAnsi="宋体" w:cs="宋体"/>
                <w:color w:val="000000"/>
                <w:kern w:val="0"/>
                <w:sz w:val="22"/>
                <w:szCs w:val="22"/>
              </w:rPr>
            </w:pPr>
          </w:p>
        </w:tc>
        <w:tc>
          <w:tcPr>
            <w:tcW w:w="1005" w:type="dxa"/>
            <w:tcBorders>
              <w:top w:val="nil"/>
              <w:left w:val="nil"/>
              <w:bottom w:val="single" w:color="auto" w:sz="4" w:space="0"/>
              <w:right w:val="single" w:color="auto" w:sz="4" w:space="0"/>
            </w:tcBorders>
            <w:shd w:val="clear" w:color="auto" w:fill="auto"/>
            <w:noWrap/>
            <w:vAlign w:val="center"/>
          </w:tcPr>
          <w:p w14:paraId="4468CF12">
            <w:pPr>
              <w:widowControl/>
              <w:jc w:val="right"/>
              <w:rPr>
                <w:rFonts w:ascii="宋体" w:hAnsi="宋体" w:cs="宋体"/>
                <w:color w:val="000000"/>
                <w:kern w:val="0"/>
                <w:sz w:val="22"/>
                <w:szCs w:val="22"/>
              </w:rPr>
            </w:pPr>
          </w:p>
        </w:tc>
        <w:tc>
          <w:tcPr>
            <w:tcW w:w="1584" w:type="dxa"/>
            <w:tcBorders>
              <w:top w:val="nil"/>
              <w:left w:val="nil"/>
              <w:bottom w:val="single" w:color="auto" w:sz="4" w:space="0"/>
              <w:right w:val="single" w:color="auto" w:sz="4" w:space="0"/>
            </w:tcBorders>
            <w:shd w:val="clear" w:color="auto" w:fill="auto"/>
            <w:noWrap/>
            <w:vAlign w:val="center"/>
          </w:tcPr>
          <w:p w14:paraId="54A30304">
            <w:pPr>
              <w:widowControl/>
              <w:jc w:val="right"/>
              <w:rPr>
                <w:rFonts w:ascii="宋体" w:hAnsi="宋体" w:cs="宋体"/>
                <w:color w:val="000000"/>
                <w:kern w:val="0"/>
                <w:sz w:val="22"/>
                <w:szCs w:val="22"/>
              </w:rPr>
            </w:pPr>
          </w:p>
        </w:tc>
      </w:tr>
      <w:tr w14:paraId="30451359">
        <w:tblPrEx>
          <w:tblCellMar>
            <w:top w:w="0" w:type="dxa"/>
            <w:left w:w="108" w:type="dxa"/>
            <w:bottom w:w="0" w:type="dxa"/>
            <w:right w:w="108" w:type="dxa"/>
          </w:tblCellMar>
        </w:tblPrEx>
        <w:trPr>
          <w:trHeight w:val="501"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511B536A">
            <w:pPr>
              <w:widowControl/>
              <w:jc w:val="right"/>
              <w:rPr>
                <w:rFonts w:ascii="宋体" w:hAnsi="宋体" w:cs="宋体"/>
                <w:color w:val="000000"/>
                <w:kern w:val="0"/>
                <w:sz w:val="22"/>
                <w:szCs w:val="22"/>
              </w:rPr>
            </w:pPr>
          </w:p>
        </w:tc>
        <w:tc>
          <w:tcPr>
            <w:tcW w:w="1094" w:type="dxa"/>
            <w:tcBorders>
              <w:top w:val="nil"/>
              <w:left w:val="nil"/>
              <w:bottom w:val="single" w:color="auto" w:sz="4" w:space="0"/>
              <w:right w:val="single" w:color="auto" w:sz="4" w:space="0"/>
            </w:tcBorders>
            <w:shd w:val="clear" w:color="auto" w:fill="auto"/>
            <w:vAlign w:val="center"/>
          </w:tcPr>
          <w:p w14:paraId="34033C29">
            <w:pPr>
              <w:widowControl/>
              <w:jc w:val="left"/>
              <w:rPr>
                <w:rFonts w:ascii="宋体" w:hAnsi="宋体" w:cs="宋体"/>
                <w:color w:val="000000"/>
                <w:kern w:val="0"/>
                <w:sz w:val="22"/>
                <w:szCs w:val="22"/>
              </w:rPr>
            </w:pPr>
          </w:p>
        </w:tc>
        <w:tc>
          <w:tcPr>
            <w:tcW w:w="808" w:type="dxa"/>
            <w:tcBorders>
              <w:top w:val="nil"/>
              <w:left w:val="nil"/>
              <w:bottom w:val="single" w:color="auto" w:sz="4" w:space="0"/>
              <w:right w:val="single" w:color="auto" w:sz="4" w:space="0"/>
            </w:tcBorders>
            <w:shd w:val="clear" w:color="auto" w:fill="auto"/>
            <w:noWrap/>
            <w:vAlign w:val="center"/>
          </w:tcPr>
          <w:p w14:paraId="4E141ED4">
            <w:pPr>
              <w:widowControl/>
              <w:jc w:val="left"/>
              <w:rPr>
                <w:rFonts w:ascii="宋体" w:hAnsi="宋体" w:cs="宋体"/>
                <w:color w:val="000000"/>
                <w:kern w:val="0"/>
                <w:sz w:val="22"/>
                <w:szCs w:val="22"/>
              </w:rPr>
            </w:pPr>
          </w:p>
        </w:tc>
        <w:tc>
          <w:tcPr>
            <w:tcW w:w="1888" w:type="dxa"/>
            <w:tcBorders>
              <w:top w:val="single" w:color="auto" w:sz="4" w:space="0"/>
              <w:left w:val="nil"/>
              <w:bottom w:val="single" w:color="auto" w:sz="4" w:space="0"/>
              <w:right w:val="single" w:color="auto" w:sz="4" w:space="0"/>
            </w:tcBorders>
          </w:tcPr>
          <w:p w14:paraId="3C130695">
            <w:pPr>
              <w:widowControl/>
              <w:jc w:val="left"/>
              <w:rPr>
                <w:rFonts w:ascii="宋体" w:hAnsi="宋体" w:cs="宋体"/>
                <w:color w:val="000000"/>
                <w:kern w:val="0"/>
                <w:sz w:val="22"/>
                <w:szCs w:val="22"/>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2C887">
            <w:pPr>
              <w:widowControl/>
              <w:jc w:val="left"/>
              <w:rPr>
                <w:rFonts w:ascii="宋体" w:hAnsi="宋体" w:cs="宋体"/>
                <w:color w:val="000000"/>
                <w:kern w:val="0"/>
                <w:sz w:val="22"/>
                <w:szCs w:val="22"/>
              </w:rPr>
            </w:pPr>
          </w:p>
        </w:tc>
        <w:tc>
          <w:tcPr>
            <w:tcW w:w="756" w:type="dxa"/>
            <w:tcBorders>
              <w:top w:val="nil"/>
              <w:left w:val="nil"/>
              <w:bottom w:val="single" w:color="auto" w:sz="4" w:space="0"/>
              <w:right w:val="single" w:color="auto" w:sz="4" w:space="0"/>
            </w:tcBorders>
            <w:shd w:val="clear" w:color="auto" w:fill="auto"/>
            <w:noWrap/>
            <w:vAlign w:val="center"/>
          </w:tcPr>
          <w:p w14:paraId="0B615211">
            <w:pPr>
              <w:widowControl/>
              <w:jc w:val="right"/>
              <w:rPr>
                <w:rFonts w:ascii="宋体" w:hAnsi="宋体" w:cs="宋体"/>
                <w:color w:val="000000"/>
                <w:kern w:val="0"/>
                <w:sz w:val="22"/>
                <w:szCs w:val="22"/>
              </w:rPr>
            </w:pPr>
          </w:p>
        </w:tc>
        <w:tc>
          <w:tcPr>
            <w:tcW w:w="1005" w:type="dxa"/>
            <w:tcBorders>
              <w:top w:val="nil"/>
              <w:left w:val="nil"/>
              <w:bottom w:val="single" w:color="auto" w:sz="4" w:space="0"/>
              <w:right w:val="single" w:color="auto" w:sz="4" w:space="0"/>
            </w:tcBorders>
            <w:shd w:val="clear" w:color="auto" w:fill="auto"/>
            <w:noWrap/>
            <w:vAlign w:val="center"/>
          </w:tcPr>
          <w:p w14:paraId="575C0E39">
            <w:pPr>
              <w:widowControl/>
              <w:jc w:val="right"/>
              <w:rPr>
                <w:rFonts w:ascii="宋体" w:hAnsi="宋体" w:cs="宋体"/>
                <w:color w:val="000000"/>
                <w:kern w:val="0"/>
                <w:sz w:val="22"/>
                <w:szCs w:val="22"/>
              </w:rPr>
            </w:pPr>
          </w:p>
        </w:tc>
        <w:tc>
          <w:tcPr>
            <w:tcW w:w="1584" w:type="dxa"/>
            <w:tcBorders>
              <w:top w:val="nil"/>
              <w:left w:val="nil"/>
              <w:bottom w:val="single" w:color="auto" w:sz="4" w:space="0"/>
              <w:right w:val="single" w:color="auto" w:sz="4" w:space="0"/>
            </w:tcBorders>
            <w:shd w:val="clear" w:color="auto" w:fill="auto"/>
            <w:noWrap/>
            <w:vAlign w:val="center"/>
          </w:tcPr>
          <w:p w14:paraId="1B09C427">
            <w:pPr>
              <w:widowControl/>
              <w:jc w:val="right"/>
              <w:rPr>
                <w:rFonts w:ascii="宋体" w:hAnsi="宋体" w:cs="宋体"/>
                <w:color w:val="000000"/>
                <w:kern w:val="0"/>
                <w:sz w:val="22"/>
                <w:szCs w:val="22"/>
              </w:rPr>
            </w:pPr>
          </w:p>
        </w:tc>
      </w:tr>
      <w:tr w14:paraId="2FCA6DF1">
        <w:tblPrEx>
          <w:tblCellMar>
            <w:top w:w="0" w:type="dxa"/>
            <w:left w:w="108" w:type="dxa"/>
            <w:bottom w:w="0" w:type="dxa"/>
            <w:right w:w="108" w:type="dxa"/>
          </w:tblCellMar>
        </w:tblPrEx>
        <w:trPr>
          <w:trHeight w:val="501"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5C1B88D7">
            <w:pPr>
              <w:widowControl/>
              <w:jc w:val="right"/>
              <w:rPr>
                <w:rFonts w:ascii="宋体" w:hAnsi="宋体" w:cs="宋体"/>
                <w:color w:val="000000"/>
                <w:kern w:val="0"/>
                <w:sz w:val="22"/>
                <w:szCs w:val="22"/>
              </w:rPr>
            </w:pPr>
          </w:p>
        </w:tc>
        <w:tc>
          <w:tcPr>
            <w:tcW w:w="1094" w:type="dxa"/>
            <w:tcBorders>
              <w:top w:val="nil"/>
              <w:left w:val="nil"/>
              <w:bottom w:val="single" w:color="auto" w:sz="4" w:space="0"/>
              <w:right w:val="single" w:color="auto" w:sz="4" w:space="0"/>
            </w:tcBorders>
            <w:shd w:val="clear" w:color="auto" w:fill="auto"/>
            <w:vAlign w:val="center"/>
          </w:tcPr>
          <w:p w14:paraId="7522EB1C">
            <w:pPr>
              <w:widowControl/>
              <w:jc w:val="left"/>
              <w:rPr>
                <w:rFonts w:ascii="宋体" w:hAnsi="宋体" w:cs="宋体"/>
                <w:color w:val="000000"/>
                <w:kern w:val="0"/>
                <w:sz w:val="22"/>
                <w:szCs w:val="22"/>
              </w:rPr>
            </w:pPr>
          </w:p>
        </w:tc>
        <w:tc>
          <w:tcPr>
            <w:tcW w:w="808" w:type="dxa"/>
            <w:tcBorders>
              <w:top w:val="nil"/>
              <w:left w:val="nil"/>
              <w:bottom w:val="single" w:color="auto" w:sz="4" w:space="0"/>
              <w:right w:val="single" w:color="auto" w:sz="4" w:space="0"/>
            </w:tcBorders>
            <w:shd w:val="clear" w:color="auto" w:fill="auto"/>
            <w:noWrap/>
            <w:vAlign w:val="center"/>
          </w:tcPr>
          <w:p w14:paraId="1B23D817">
            <w:pPr>
              <w:widowControl/>
              <w:jc w:val="right"/>
              <w:rPr>
                <w:rFonts w:ascii="宋体" w:hAnsi="宋体" w:cs="宋体"/>
                <w:color w:val="000000"/>
                <w:kern w:val="0"/>
                <w:sz w:val="22"/>
                <w:szCs w:val="22"/>
              </w:rPr>
            </w:pPr>
          </w:p>
        </w:tc>
        <w:tc>
          <w:tcPr>
            <w:tcW w:w="1888" w:type="dxa"/>
            <w:tcBorders>
              <w:top w:val="single" w:color="auto" w:sz="4" w:space="0"/>
              <w:left w:val="nil"/>
              <w:bottom w:val="single" w:color="auto" w:sz="4" w:space="0"/>
              <w:right w:val="single" w:color="auto" w:sz="4" w:space="0"/>
            </w:tcBorders>
          </w:tcPr>
          <w:p w14:paraId="374C886A">
            <w:pPr>
              <w:widowControl/>
              <w:jc w:val="left"/>
              <w:rPr>
                <w:rFonts w:ascii="宋体" w:hAnsi="宋体" w:cs="宋体"/>
                <w:color w:val="000000"/>
                <w:kern w:val="0"/>
                <w:sz w:val="22"/>
                <w:szCs w:val="22"/>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AE6F6">
            <w:pPr>
              <w:widowControl/>
              <w:jc w:val="left"/>
              <w:rPr>
                <w:rFonts w:ascii="宋体" w:hAnsi="宋体" w:cs="宋体"/>
                <w:color w:val="000000"/>
                <w:kern w:val="0"/>
                <w:sz w:val="22"/>
                <w:szCs w:val="22"/>
              </w:rPr>
            </w:pPr>
          </w:p>
        </w:tc>
        <w:tc>
          <w:tcPr>
            <w:tcW w:w="756" w:type="dxa"/>
            <w:tcBorders>
              <w:top w:val="nil"/>
              <w:left w:val="nil"/>
              <w:bottom w:val="single" w:color="auto" w:sz="4" w:space="0"/>
              <w:right w:val="single" w:color="auto" w:sz="4" w:space="0"/>
            </w:tcBorders>
            <w:shd w:val="clear" w:color="auto" w:fill="auto"/>
            <w:noWrap/>
            <w:vAlign w:val="center"/>
          </w:tcPr>
          <w:p w14:paraId="3C94BFDB">
            <w:pPr>
              <w:widowControl/>
              <w:jc w:val="right"/>
              <w:rPr>
                <w:rFonts w:ascii="宋体" w:hAnsi="宋体" w:cs="宋体"/>
                <w:color w:val="000000"/>
                <w:kern w:val="0"/>
                <w:sz w:val="22"/>
                <w:szCs w:val="22"/>
              </w:rPr>
            </w:pPr>
          </w:p>
        </w:tc>
        <w:tc>
          <w:tcPr>
            <w:tcW w:w="1005" w:type="dxa"/>
            <w:tcBorders>
              <w:top w:val="nil"/>
              <w:left w:val="nil"/>
              <w:bottom w:val="single" w:color="auto" w:sz="4" w:space="0"/>
              <w:right w:val="single" w:color="auto" w:sz="4" w:space="0"/>
            </w:tcBorders>
            <w:shd w:val="clear" w:color="auto" w:fill="auto"/>
            <w:noWrap/>
            <w:vAlign w:val="center"/>
          </w:tcPr>
          <w:p w14:paraId="261BF45A">
            <w:pPr>
              <w:widowControl/>
              <w:jc w:val="right"/>
              <w:rPr>
                <w:rFonts w:ascii="宋体" w:hAnsi="宋体" w:cs="宋体"/>
                <w:color w:val="000000"/>
                <w:kern w:val="0"/>
                <w:sz w:val="22"/>
                <w:szCs w:val="22"/>
              </w:rPr>
            </w:pPr>
          </w:p>
        </w:tc>
        <w:tc>
          <w:tcPr>
            <w:tcW w:w="1584" w:type="dxa"/>
            <w:tcBorders>
              <w:top w:val="nil"/>
              <w:left w:val="nil"/>
              <w:bottom w:val="single" w:color="auto" w:sz="4" w:space="0"/>
              <w:right w:val="single" w:color="auto" w:sz="4" w:space="0"/>
            </w:tcBorders>
            <w:shd w:val="clear" w:color="auto" w:fill="auto"/>
            <w:noWrap/>
            <w:vAlign w:val="center"/>
          </w:tcPr>
          <w:p w14:paraId="20B146EF">
            <w:pPr>
              <w:widowControl/>
              <w:jc w:val="right"/>
              <w:rPr>
                <w:rFonts w:ascii="宋体" w:hAnsi="宋体" w:cs="宋体"/>
                <w:color w:val="000000"/>
                <w:kern w:val="0"/>
                <w:sz w:val="22"/>
                <w:szCs w:val="22"/>
              </w:rPr>
            </w:pPr>
          </w:p>
        </w:tc>
      </w:tr>
      <w:tr w14:paraId="4F5FC7C9">
        <w:tblPrEx>
          <w:tblCellMar>
            <w:top w:w="0" w:type="dxa"/>
            <w:left w:w="108" w:type="dxa"/>
            <w:bottom w:w="0" w:type="dxa"/>
            <w:right w:w="108" w:type="dxa"/>
          </w:tblCellMar>
        </w:tblPrEx>
        <w:trPr>
          <w:trHeight w:val="501"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2103BF96">
            <w:pPr>
              <w:widowControl/>
              <w:jc w:val="right"/>
              <w:rPr>
                <w:rFonts w:ascii="宋体" w:hAnsi="宋体" w:cs="宋体"/>
                <w:color w:val="000000"/>
                <w:kern w:val="0"/>
                <w:sz w:val="22"/>
                <w:szCs w:val="22"/>
              </w:rPr>
            </w:pPr>
          </w:p>
        </w:tc>
        <w:tc>
          <w:tcPr>
            <w:tcW w:w="1094" w:type="dxa"/>
            <w:tcBorders>
              <w:top w:val="nil"/>
              <w:left w:val="nil"/>
              <w:bottom w:val="single" w:color="auto" w:sz="4" w:space="0"/>
              <w:right w:val="single" w:color="auto" w:sz="4" w:space="0"/>
            </w:tcBorders>
            <w:shd w:val="clear" w:color="auto" w:fill="auto"/>
            <w:vAlign w:val="center"/>
          </w:tcPr>
          <w:p w14:paraId="3344190A">
            <w:pPr>
              <w:widowControl/>
              <w:jc w:val="left"/>
              <w:rPr>
                <w:rFonts w:ascii="宋体" w:hAnsi="宋体" w:cs="宋体"/>
                <w:color w:val="000000"/>
                <w:kern w:val="0"/>
                <w:sz w:val="22"/>
                <w:szCs w:val="22"/>
              </w:rPr>
            </w:pPr>
          </w:p>
        </w:tc>
        <w:tc>
          <w:tcPr>
            <w:tcW w:w="808" w:type="dxa"/>
            <w:tcBorders>
              <w:top w:val="nil"/>
              <w:left w:val="nil"/>
              <w:bottom w:val="single" w:color="auto" w:sz="4" w:space="0"/>
              <w:right w:val="single" w:color="auto" w:sz="4" w:space="0"/>
            </w:tcBorders>
            <w:shd w:val="clear" w:color="auto" w:fill="auto"/>
            <w:noWrap/>
            <w:vAlign w:val="center"/>
          </w:tcPr>
          <w:p w14:paraId="1205A463">
            <w:pPr>
              <w:widowControl/>
              <w:jc w:val="left"/>
              <w:rPr>
                <w:rFonts w:ascii="宋体" w:hAnsi="宋体" w:cs="宋体"/>
                <w:color w:val="000000"/>
                <w:kern w:val="0"/>
                <w:sz w:val="22"/>
                <w:szCs w:val="22"/>
              </w:rPr>
            </w:pPr>
          </w:p>
        </w:tc>
        <w:tc>
          <w:tcPr>
            <w:tcW w:w="1888" w:type="dxa"/>
            <w:tcBorders>
              <w:top w:val="single" w:color="auto" w:sz="4" w:space="0"/>
              <w:left w:val="nil"/>
              <w:bottom w:val="single" w:color="auto" w:sz="4" w:space="0"/>
              <w:right w:val="single" w:color="auto" w:sz="4" w:space="0"/>
            </w:tcBorders>
          </w:tcPr>
          <w:p w14:paraId="7BFEDB59">
            <w:pPr>
              <w:widowControl/>
              <w:jc w:val="left"/>
              <w:rPr>
                <w:rFonts w:ascii="宋体" w:hAnsi="宋体" w:cs="宋体"/>
                <w:color w:val="000000"/>
                <w:kern w:val="0"/>
                <w:sz w:val="22"/>
                <w:szCs w:val="22"/>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664B9">
            <w:pPr>
              <w:widowControl/>
              <w:jc w:val="left"/>
              <w:rPr>
                <w:rFonts w:ascii="宋体" w:hAnsi="宋体" w:cs="宋体"/>
                <w:color w:val="000000"/>
                <w:kern w:val="0"/>
                <w:sz w:val="22"/>
                <w:szCs w:val="22"/>
              </w:rPr>
            </w:pPr>
          </w:p>
        </w:tc>
        <w:tc>
          <w:tcPr>
            <w:tcW w:w="756" w:type="dxa"/>
            <w:tcBorders>
              <w:top w:val="nil"/>
              <w:left w:val="nil"/>
              <w:bottom w:val="single" w:color="auto" w:sz="4" w:space="0"/>
              <w:right w:val="single" w:color="auto" w:sz="4" w:space="0"/>
            </w:tcBorders>
            <w:shd w:val="clear" w:color="auto" w:fill="auto"/>
            <w:noWrap/>
            <w:vAlign w:val="center"/>
          </w:tcPr>
          <w:p w14:paraId="2E6D6660">
            <w:pPr>
              <w:jc w:val="right"/>
              <w:rPr>
                <w:rFonts w:ascii="宋体" w:hAnsi="宋体" w:cs="宋体"/>
                <w:color w:val="000000"/>
                <w:sz w:val="22"/>
                <w:szCs w:val="22"/>
              </w:rPr>
            </w:pPr>
          </w:p>
        </w:tc>
        <w:tc>
          <w:tcPr>
            <w:tcW w:w="1005" w:type="dxa"/>
            <w:tcBorders>
              <w:top w:val="nil"/>
              <w:left w:val="nil"/>
              <w:bottom w:val="single" w:color="auto" w:sz="4" w:space="0"/>
              <w:right w:val="single" w:color="auto" w:sz="4" w:space="0"/>
            </w:tcBorders>
            <w:shd w:val="clear" w:color="auto" w:fill="auto"/>
            <w:noWrap/>
            <w:vAlign w:val="center"/>
          </w:tcPr>
          <w:p w14:paraId="33EB242D">
            <w:pPr>
              <w:widowControl/>
              <w:jc w:val="right"/>
              <w:rPr>
                <w:rFonts w:ascii="宋体" w:hAnsi="宋体" w:cs="宋体"/>
                <w:color w:val="000000"/>
                <w:kern w:val="0"/>
                <w:sz w:val="22"/>
                <w:szCs w:val="22"/>
              </w:rPr>
            </w:pPr>
          </w:p>
        </w:tc>
        <w:tc>
          <w:tcPr>
            <w:tcW w:w="1584" w:type="dxa"/>
            <w:tcBorders>
              <w:top w:val="nil"/>
              <w:left w:val="nil"/>
              <w:bottom w:val="single" w:color="auto" w:sz="4" w:space="0"/>
              <w:right w:val="single" w:color="auto" w:sz="4" w:space="0"/>
            </w:tcBorders>
            <w:shd w:val="clear" w:color="auto" w:fill="auto"/>
            <w:noWrap/>
            <w:vAlign w:val="center"/>
          </w:tcPr>
          <w:p w14:paraId="51784F91">
            <w:pPr>
              <w:widowControl/>
              <w:jc w:val="right"/>
              <w:rPr>
                <w:rFonts w:ascii="宋体" w:hAnsi="宋体" w:cs="宋体"/>
                <w:color w:val="000000"/>
                <w:kern w:val="0"/>
                <w:sz w:val="22"/>
                <w:szCs w:val="22"/>
              </w:rPr>
            </w:pPr>
          </w:p>
        </w:tc>
      </w:tr>
      <w:tr w14:paraId="41C8864D">
        <w:tblPrEx>
          <w:tblCellMar>
            <w:top w:w="0" w:type="dxa"/>
            <w:left w:w="108" w:type="dxa"/>
            <w:bottom w:w="0" w:type="dxa"/>
            <w:right w:w="108" w:type="dxa"/>
          </w:tblCellMar>
        </w:tblPrEx>
        <w:trPr>
          <w:trHeight w:val="501"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58BFE913">
            <w:pPr>
              <w:widowControl/>
              <w:jc w:val="right"/>
              <w:rPr>
                <w:rFonts w:ascii="宋体" w:hAnsi="宋体" w:cs="宋体"/>
                <w:color w:val="000000"/>
                <w:kern w:val="0"/>
                <w:sz w:val="22"/>
                <w:szCs w:val="22"/>
              </w:rPr>
            </w:pPr>
          </w:p>
        </w:tc>
        <w:tc>
          <w:tcPr>
            <w:tcW w:w="1094" w:type="dxa"/>
            <w:tcBorders>
              <w:top w:val="nil"/>
              <w:left w:val="nil"/>
              <w:bottom w:val="single" w:color="auto" w:sz="4" w:space="0"/>
              <w:right w:val="single" w:color="auto" w:sz="4" w:space="0"/>
            </w:tcBorders>
            <w:shd w:val="clear" w:color="auto" w:fill="auto"/>
            <w:vAlign w:val="center"/>
          </w:tcPr>
          <w:p w14:paraId="2FF69675">
            <w:pPr>
              <w:widowControl/>
              <w:jc w:val="left"/>
              <w:rPr>
                <w:rFonts w:ascii="宋体" w:hAnsi="宋体" w:cs="宋体"/>
                <w:color w:val="000000"/>
                <w:kern w:val="0"/>
                <w:sz w:val="22"/>
                <w:szCs w:val="22"/>
              </w:rPr>
            </w:pPr>
          </w:p>
        </w:tc>
        <w:tc>
          <w:tcPr>
            <w:tcW w:w="808" w:type="dxa"/>
            <w:tcBorders>
              <w:top w:val="nil"/>
              <w:left w:val="nil"/>
              <w:bottom w:val="single" w:color="auto" w:sz="4" w:space="0"/>
              <w:right w:val="single" w:color="auto" w:sz="4" w:space="0"/>
            </w:tcBorders>
            <w:shd w:val="clear" w:color="auto" w:fill="auto"/>
            <w:noWrap/>
            <w:vAlign w:val="center"/>
          </w:tcPr>
          <w:p w14:paraId="19692538">
            <w:pPr>
              <w:widowControl/>
              <w:jc w:val="left"/>
              <w:rPr>
                <w:rFonts w:ascii="宋体" w:hAnsi="宋体" w:cs="宋体"/>
                <w:color w:val="000000"/>
                <w:kern w:val="0"/>
                <w:sz w:val="22"/>
                <w:szCs w:val="22"/>
              </w:rPr>
            </w:pPr>
          </w:p>
        </w:tc>
        <w:tc>
          <w:tcPr>
            <w:tcW w:w="1888" w:type="dxa"/>
            <w:tcBorders>
              <w:top w:val="single" w:color="auto" w:sz="4" w:space="0"/>
              <w:left w:val="nil"/>
              <w:bottom w:val="single" w:color="auto" w:sz="4" w:space="0"/>
              <w:right w:val="single" w:color="auto" w:sz="4" w:space="0"/>
            </w:tcBorders>
          </w:tcPr>
          <w:p w14:paraId="799574D4">
            <w:pPr>
              <w:widowControl/>
              <w:jc w:val="left"/>
              <w:rPr>
                <w:rFonts w:ascii="宋体" w:hAnsi="宋体" w:cs="宋体"/>
                <w:color w:val="000000"/>
                <w:kern w:val="0"/>
                <w:sz w:val="22"/>
                <w:szCs w:val="22"/>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B7647">
            <w:pPr>
              <w:widowControl/>
              <w:jc w:val="left"/>
              <w:rPr>
                <w:rFonts w:ascii="宋体" w:hAnsi="宋体" w:cs="宋体"/>
                <w:color w:val="000000"/>
                <w:kern w:val="0"/>
                <w:sz w:val="22"/>
                <w:szCs w:val="22"/>
              </w:rPr>
            </w:pPr>
          </w:p>
        </w:tc>
        <w:tc>
          <w:tcPr>
            <w:tcW w:w="756" w:type="dxa"/>
            <w:tcBorders>
              <w:top w:val="nil"/>
              <w:left w:val="nil"/>
              <w:bottom w:val="single" w:color="auto" w:sz="4" w:space="0"/>
              <w:right w:val="single" w:color="auto" w:sz="4" w:space="0"/>
            </w:tcBorders>
            <w:shd w:val="clear" w:color="auto" w:fill="auto"/>
            <w:noWrap/>
            <w:vAlign w:val="center"/>
          </w:tcPr>
          <w:p w14:paraId="030D1CAE">
            <w:pPr>
              <w:jc w:val="right"/>
              <w:rPr>
                <w:rFonts w:ascii="宋体" w:hAnsi="宋体" w:cs="宋体"/>
                <w:color w:val="000000"/>
                <w:sz w:val="22"/>
                <w:szCs w:val="22"/>
              </w:rPr>
            </w:pPr>
          </w:p>
        </w:tc>
        <w:tc>
          <w:tcPr>
            <w:tcW w:w="1005" w:type="dxa"/>
            <w:tcBorders>
              <w:top w:val="nil"/>
              <w:left w:val="nil"/>
              <w:bottom w:val="single" w:color="auto" w:sz="4" w:space="0"/>
              <w:right w:val="single" w:color="auto" w:sz="4" w:space="0"/>
            </w:tcBorders>
            <w:shd w:val="clear" w:color="auto" w:fill="auto"/>
            <w:noWrap/>
            <w:vAlign w:val="center"/>
          </w:tcPr>
          <w:p w14:paraId="64850BC3">
            <w:pPr>
              <w:widowControl/>
              <w:jc w:val="right"/>
              <w:rPr>
                <w:rFonts w:ascii="宋体" w:hAnsi="宋体" w:cs="宋体"/>
                <w:color w:val="000000"/>
                <w:kern w:val="0"/>
                <w:sz w:val="22"/>
                <w:szCs w:val="22"/>
              </w:rPr>
            </w:pPr>
          </w:p>
        </w:tc>
        <w:tc>
          <w:tcPr>
            <w:tcW w:w="1584" w:type="dxa"/>
            <w:tcBorders>
              <w:top w:val="nil"/>
              <w:left w:val="nil"/>
              <w:bottom w:val="single" w:color="auto" w:sz="4" w:space="0"/>
              <w:right w:val="single" w:color="auto" w:sz="4" w:space="0"/>
            </w:tcBorders>
            <w:shd w:val="clear" w:color="auto" w:fill="auto"/>
            <w:noWrap/>
            <w:vAlign w:val="center"/>
          </w:tcPr>
          <w:p w14:paraId="4EB0EF0E">
            <w:pPr>
              <w:widowControl/>
              <w:jc w:val="right"/>
              <w:rPr>
                <w:rFonts w:ascii="宋体" w:hAnsi="宋体" w:cs="宋体"/>
                <w:color w:val="000000"/>
                <w:kern w:val="0"/>
                <w:sz w:val="22"/>
                <w:szCs w:val="22"/>
              </w:rPr>
            </w:pPr>
          </w:p>
        </w:tc>
      </w:tr>
      <w:tr w14:paraId="1B707526">
        <w:tblPrEx>
          <w:tblCellMar>
            <w:top w:w="0" w:type="dxa"/>
            <w:left w:w="108" w:type="dxa"/>
            <w:bottom w:w="0" w:type="dxa"/>
            <w:right w:w="108" w:type="dxa"/>
          </w:tblCellMar>
        </w:tblPrEx>
        <w:trPr>
          <w:trHeight w:val="501"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18DA1A93">
            <w:pPr>
              <w:widowControl/>
              <w:jc w:val="right"/>
              <w:rPr>
                <w:rFonts w:ascii="宋体" w:hAnsi="宋体" w:cs="宋体"/>
                <w:color w:val="000000"/>
                <w:kern w:val="0"/>
                <w:sz w:val="22"/>
                <w:szCs w:val="22"/>
              </w:rPr>
            </w:pPr>
          </w:p>
        </w:tc>
        <w:tc>
          <w:tcPr>
            <w:tcW w:w="1094" w:type="dxa"/>
            <w:tcBorders>
              <w:top w:val="nil"/>
              <w:left w:val="nil"/>
              <w:bottom w:val="single" w:color="auto" w:sz="4" w:space="0"/>
              <w:right w:val="single" w:color="auto" w:sz="4" w:space="0"/>
            </w:tcBorders>
            <w:shd w:val="clear" w:color="auto" w:fill="auto"/>
            <w:vAlign w:val="center"/>
          </w:tcPr>
          <w:p w14:paraId="395F5A98">
            <w:pPr>
              <w:widowControl/>
              <w:jc w:val="left"/>
              <w:rPr>
                <w:rFonts w:ascii="宋体" w:hAnsi="宋体" w:cs="宋体"/>
                <w:color w:val="000000"/>
                <w:kern w:val="0"/>
                <w:sz w:val="22"/>
                <w:szCs w:val="22"/>
              </w:rPr>
            </w:pPr>
          </w:p>
        </w:tc>
        <w:tc>
          <w:tcPr>
            <w:tcW w:w="808" w:type="dxa"/>
            <w:tcBorders>
              <w:top w:val="nil"/>
              <w:left w:val="nil"/>
              <w:bottom w:val="single" w:color="auto" w:sz="4" w:space="0"/>
              <w:right w:val="single" w:color="auto" w:sz="4" w:space="0"/>
            </w:tcBorders>
            <w:shd w:val="clear" w:color="auto" w:fill="auto"/>
            <w:noWrap/>
            <w:vAlign w:val="center"/>
          </w:tcPr>
          <w:p w14:paraId="2660053B">
            <w:pPr>
              <w:widowControl/>
              <w:jc w:val="left"/>
              <w:rPr>
                <w:rFonts w:ascii="宋体" w:hAnsi="宋体" w:cs="宋体"/>
                <w:color w:val="000000"/>
                <w:kern w:val="0"/>
                <w:sz w:val="22"/>
                <w:szCs w:val="22"/>
              </w:rPr>
            </w:pPr>
          </w:p>
        </w:tc>
        <w:tc>
          <w:tcPr>
            <w:tcW w:w="1888" w:type="dxa"/>
            <w:tcBorders>
              <w:top w:val="single" w:color="auto" w:sz="4" w:space="0"/>
              <w:left w:val="nil"/>
              <w:bottom w:val="single" w:color="auto" w:sz="4" w:space="0"/>
              <w:right w:val="single" w:color="auto" w:sz="4" w:space="0"/>
            </w:tcBorders>
          </w:tcPr>
          <w:p w14:paraId="2B283C0E">
            <w:pPr>
              <w:widowControl/>
              <w:jc w:val="left"/>
              <w:rPr>
                <w:rFonts w:ascii="宋体" w:hAnsi="宋体" w:cs="宋体"/>
                <w:color w:val="000000"/>
                <w:kern w:val="0"/>
                <w:sz w:val="22"/>
                <w:szCs w:val="22"/>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453DC">
            <w:pPr>
              <w:widowControl/>
              <w:jc w:val="left"/>
              <w:rPr>
                <w:rFonts w:ascii="宋体" w:hAnsi="宋体" w:cs="宋体"/>
                <w:color w:val="000000"/>
                <w:kern w:val="0"/>
                <w:sz w:val="22"/>
                <w:szCs w:val="22"/>
              </w:rPr>
            </w:pPr>
          </w:p>
        </w:tc>
        <w:tc>
          <w:tcPr>
            <w:tcW w:w="756" w:type="dxa"/>
            <w:tcBorders>
              <w:top w:val="nil"/>
              <w:left w:val="nil"/>
              <w:bottom w:val="single" w:color="auto" w:sz="4" w:space="0"/>
              <w:right w:val="single" w:color="auto" w:sz="4" w:space="0"/>
            </w:tcBorders>
            <w:shd w:val="clear" w:color="auto" w:fill="auto"/>
            <w:noWrap/>
            <w:vAlign w:val="center"/>
          </w:tcPr>
          <w:p w14:paraId="3BD538E7">
            <w:pPr>
              <w:jc w:val="right"/>
              <w:rPr>
                <w:rFonts w:ascii="宋体" w:hAnsi="宋体" w:cs="宋体"/>
                <w:color w:val="000000"/>
                <w:sz w:val="22"/>
                <w:szCs w:val="22"/>
              </w:rPr>
            </w:pPr>
          </w:p>
        </w:tc>
        <w:tc>
          <w:tcPr>
            <w:tcW w:w="1005" w:type="dxa"/>
            <w:tcBorders>
              <w:top w:val="nil"/>
              <w:left w:val="nil"/>
              <w:bottom w:val="single" w:color="auto" w:sz="4" w:space="0"/>
              <w:right w:val="single" w:color="auto" w:sz="4" w:space="0"/>
            </w:tcBorders>
            <w:shd w:val="clear" w:color="auto" w:fill="auto"/>
            <w:noWrap/>
            <w:vAlign w:val="center"/>
          </w:tcPr>
          <w:p w14:paraId="4067BDFB">
            <w:pPr>
              <w:widowControl/>
              <w:jc w:val="right"/>
              <w:rPr>
                <w:rFonts w:ascii="宋体" w:hAnsi="宋体" w:cs="宋体"/>
                <w:color w:val="000000"/>
                <w:kern w:val="0"/>
                <w:sz w:val="22"/>
                <w:szCs w:val="22"/>
              </w:rPr>
            </w:pPr>
          </w:p>
        </w:tc>
        <w:tc>
          <w:tcPr>
            <w:tcW w:w="1584" w:type="dxa"/>
            <w:tcBorders>
              <w:top w:val="nil"/>
              <w:left w:val="nil"/>
              <w:bottom w:val="single" w:color="auto" w:sz="4" w:space="0"/>
              <w:right w:val="single" w:color="auto" w:sz="4" w:space="0"/>
            </w:tcBorders>
            <w:shd w:val="clear" w:color="auto" w:fill="auto"/>
            <w:noWrap/>
            <w:vAlign w:val="center"/>
          </w:tcPr>
          <w:p w14:paraId="1D0EC286">
            <w:pPr>
              <w:widowControl/>
              <w:jc w:val="right"/>
              <w:rPr>
                <w:rFonts w:ascii="宋体" w:hAnsi="宋体" w:cs="宋体"/>
                <w:color w:val="000000"/>
                <w:kern w:val="0"/>
                <w:sz w:val="22"/>
                <w:szCs w:val="22"/>
              </w:rPr>
            </w:pPr>
          </w:p>
        </w:tc>
      </w:tr>
      <w:tr w14:paraId="4166D50F">
        <w:tblPrEx>
          <w:tblCellMar>
            <w:top w:w="0" w:type="dxa"/>
            <w:left w:w="108" w:type="dxa"/>
            <w:bottom w:w="0" w:type="dxa"/>
            <w:right w:w="108" w:type="dxa"/>
          </w:tblCellMar>
        </w:tblPrEx>
        <w:trPr>
          <w:trHeight w:val="501"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44AC34E2">
            <w:pPr>
              <w:widowControl/>
              <w:jc w:val="right"/>
              <w:rPr>
                <w:rFonts w:ascii="宋体" w:hAnsi="宋体" w:cs="宋体"/>
                <w:color w:val="000000"/>
                <w:kern w:val="0"/>
                <w:sz w:val="22"/>
                <w:szCs w:val="22"/>
              </w:rPr>
            </w:pPr>
          </w:p>
        </w:tc>
        <w:tc>
          <w:tcPr>
            <w:tcW w:w="1094" w:type="dxa"/>
            <w:tcBorders>
              <w:top w:val="nil"/>
              <w:left w:val="nil"/>
              <w:bottom w:val="single" w:color="auto" w:sz="4" w:space="0"/>
              <w:right w:val="single" w:color="auto" w:sz="4" w:space="0"/>
            </w:tcBorders>
            <w:shd w:val="clear" w:color="auto" w:fill="auto"/>
            <w:vAlign w:val="center"/>
          </w:tcPr>
          <w:p w14:paraId="093BE17A">
            <w:pPr>
              <w:widowControl/>
              <w:jc w:val="left"/>
              <w:rPr>
                <w:rFonts w:ascii="宋体" w:hAnsi="宋体" w:cs="宋体"/>
                <w:color w:val="000000"/>
                <w:kern w:val="0"/>
                <w:sz w:val="22"/>
                <w:szCs w:val="22"/>
              </w:rPr>
            </w:pPr>
          </w:p>
        </w:tc>
        <w:tc>
          <w:tcPr>
            <w:tcW w:w="808" w:type="dxa"/>
            <w:tcBorders>
              <w:top w:val="nil"/>
              <w:left w:val="nil"/>
              <w:bottom w:val="single" w:color="auto" w:sz="4" w:space="0"/>
              <w:right w:val="single" w:color="auto" w:sz="4" w:space="0"/>
            </w:tcBorders>
            <w:shd w:val="clear" w:color="auto" w:fill="auto"/>
            <w:noWrap/>
            <w:vAlign w:val="center"/>
          </w:tcPr>
          <w:p w14:paraId="460A5304">
            <w:pPr>
              <w:widowControl/>
              <w:jc w:val="left"/>
              <w:rPr>
                <w:rFonts w:ascii="宋体" w:hAnsi="宋体" w:cs="宋体"/>
                <w:color w:val="000000"/>
                <w:kern w:val="0"/>
                <w:sz w:val="22"/>
                <w:szCs w:val="22"/>
              </w:rPr>
            </w:pPr>
          </w:p>
        </w:tc>
        <w:tc>
          <w:tcPr>
            <w:tcW w:w="1888" w:type="dxa"/>
            <w:tcBorders>
              <w:top w:val="single" w:color="auto" w:sz="4" w:space="0"/>
              <w:left w:val="nil"/>
              <w:bottom w:val="single" w:color="auto" w:sz="4" w:space="0"/>
              <w:right w:val="single" w:color="auto" w:sz="4" w:space="0"/>
            </w:tcBorders>
          </w:tcPr>
          <w:p w14:paraId="05A41F40">
            <w:pPr>
              <w:widowControl/>
              <w:jc w:val="left"/>
              <w:rPr>
                <w:rFonts w:ascii="宋体" w:hAnsi="宋体" w:cs="宋体"/>
                <w:color w:val="000000"/>
                <w:kern w:val="0"/>
                <w:sz w:val="22"/>
                <w:szCs w:val="22"/>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17529">
            <w:pPr>
              <w:widowControl/>
              <w:jc w:val="left"/>
              <w:rPr>
                <w:rFonts w:ascii="宋体" w:hAnsi="宋体" w:cs="宋体"/>
                <w:color w:val="000000"/>
                <w:kern w:val="0"/>
                <w:sz w:val="22"/>
                <w:szCs w:val="22"/>
              </w:rPr>
            </w:pPr>
          </w:p>
        </w:tc>
        <w:tc>
          <w:tcPr>
            <w:tcW w:w="756" w:type="dxa"/>
            <w:tcBorders>
              <w:top w:val="nil"/>
              <w:left w:val="nil"/>
              <w:bottom w:val="single" w:color="auto" w:sz="4" w:space="0"/>
              <w:right w:val="single" w:color="auto" w:sz="4" w:space="0"/>
            </w:tcBorders>
            <w:shd w:val="clear" w:color="auto" w:fill="auto"/>
            <w:noWrap/>
            <w:vAlign w:val="center"/>
          </w:tcPr>
          <w:p w14:paraId="6170EED0">
            <w:pPr>
              <w:jc w:val="right"/>
              <w:rPr>
                <w:rFonts w:ascii="宋体" w:hAnsi="宋体" w:cs="宋体"/>
                <w:color w:val="000000"/>
                <w:sz w:val="22"/>
                <w:szCs w:val="22"/>
              </w:rPr>
            </w:pPr>
          </w:p>
        </w:tc>
        <w:tc>
          <w:tcPr>
            <w:tcW w:w="1005" w:type="dxa"/>
            <w:tcBorders>
              <w:top w:val="nil"/>
              <w:left w:val="nil"/>
              <w:bottom w:val="single" w:color="auto" w:sz="4" w:space="0"/>
              <w:right w:val="single" w:color="auto" w:sz="4" w:space="0"/>
            </w:tcBorders>
            <w:shd w:val="clear" w:color="auto" w:fill="auto"/>
            <w:noWrap/>
            <w:vAlign w:val="center"/>
          </w:tcPr>
          <w:p w14:paraId="051D2147">
            <w:pPr>
              <w:widowControl/>
              <w:jc w:val="right"/>
              <w:rPr>
                <w:rFonts w:ascii="宋体" w:hAnsi="宋体" w:cs="宋体"/>
                <w:color w:val="000000"/>
                <w:kern w:val="0"/>
                <w:sz w:val="22"/>
                <w:szCs w:val="22"/>
              </w:rPr>
            </w:pPr>
          </w:p>
        </w:tc>
        <w:tc>
          <w:tcPr>
            <w:tcW w:w="1584" w:type="dxa"/>
            <w:tcBorders>
              <w:top w:val="nil"/>
              <w:left w:val="nil"/>
              <w:bottom w:val="single" w:color="auto" w:sz="4" w:space="0"/>
              <w:right w:val="single" w:color="auto" w:sz="4" w:space="0"/>
            </w:tcBorders>
            <w:shd w:val="clear" w:color="auto" w:fill="auto"/>
            <w:noWrap/>
            <w:vAlign w:val="center"/>
          </w:tcPr>
          <w:p w14:paraId="4CBB67D3">
            <w:pPr>
              <w:widowControl/>
              <w:jc w:val="right"/>
              <w:rPr>
                <w:rFonts w:ascii="宋体" w:hAnsi="宋体" w:cs="宋体"/>
                <w:color w:val="000000"/>
                <w:kern w:val="0"/>
                <w:sz w:val="22"/>
                <w:szCs w:val="22"/>
              </w:rPr>
            </w:pPr>
          </w:p>
        </w:tc>
      </w:tr>
      <w:tr w14:paraId="0BC43CB8">
        <w:tblPrEx>
          <w:tblCellMar>
            <w:top w:w="0" w:type="dxa"/>
            <w:left w:w="108" w:type="dxa"/>
            <w:bottom w:w="0" w:type="dxa"/>
            <w:right w:w="108" w:type="dxa"/>
          </w:tblCellMar>
        </w:tblPrEx>
        <w:trPr>
          <w:trHeight w:val="501"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733A0357">
            <w:pPr>
              <w:widowControl/>
              <w:jc w:val="right"/>
              <w:rPr>
                <w:rFonts w:ascii="宋体" w:hAnsi="宋体" w:cs="宋体"/>
                <w:color w:val="000000"/>
                <w:kern w:val="0"/>
                <w:sz w:val="22"/>
                <w:szCs w:val="22"/>
              </w:rPr>
            </w:pPr>
          </w:p>
        </w:tc>
        <w:tc>
          <w:tcPr>
            <w:tcW w:w="1094" w:type="dxa"/>
            <w:tcBorders>
              <w:top w:val="nil"/>
              <w:left w:val="nil"/>
              <w:bottom w:val="single" w:color="auto" w:sz="4" w:space="0"/>
              <w:right w:val="single" w:color="auto" w:sz="4" w:space="0"/>
            </w:tcBorders>
            <w:shd w:val="clear" w:color="auto" w:fill="auto"/>
            <w:vAlign w:val="center"/>
          </w:tcPr>
          <w:p w14:paraId="7429A766">
            <w:pPr>
              <w:widowControl/>
              <w:jc w:val="left"/>
              <w:rPr>
                <w:rFonts w:ascii="宋体" w:hAnsi="宋体" w:cs="宋体"/>
                <w:color w:val="000000"/>
                <w:kern w:val="0"/>
                <w:sz w:val="22"/>
                <w:szCs w:val="22"/>
              </w:rPr>
            </w:pPr>
          </w:p>
        </w:tc>
        <w:tc>
          <w:tcPr>
            <w:tcW w:w="808" w:type="dxa"/>
            <w:tcBorders>
              <w:top w:val="nil"/>
              <w:left w:val="nil"/>
              <w:bottom w:val="single" w:color="auto" w:sz="4" w:space="0"/>
              <w:right w:val="single" w:color="auto" w:sz="4" w:space="0"/>
            </w:tcBorders>
            <w:shd w:val="clear" w:color="auto" w:fill="auto"/>
            <w:noWrap/>
            <w:vAlign w:val="center"/>
          </w:tcPr>
          <w:p w14:paraId="46FC280A">
            <w:pPr>
              <w:widowControl/>
              <w:jc w:val="left"/>
              <w:rPr>
                <w:rFonts w:ascii="宋体" w:hAnsi="宋体" w:cs="宋体"/>
                <w:color w:val="000000"/>
                <w:kern w:val="0"/>
                <w:sz w:val="22"/>
                <w:szCs w:val="22"/>
              </w:rPr>
            </w:pPr>
          </w:p>
        </w:tc>
        <w:tc>
          <w:tcPr>
            <w:tcW w:w="1888" w:type="dxa"/>
            <w:tcBorders>
              <w:top w:val="single" w:color="auto" w:sz="4" w:space="0"/>
              <w:left w:val="nil"/>
              <w:bottom w:val="single" w:color="auto" w:sz="4" w:space="0"/>
              <w:right w:val="single" w:color="auto" w:sz="4" w:space="0"/>
            </w:tcBorders>
          </w:tcPr>
          <w:p w14:paraId="1AC23549">
            <w:pPr>
              <w:widowControl/>
              <w:jc w:val="left"/>
              <w:rPr>
                <w:rFonts w:ascii="宋体" w:hAnsi="宋体" w:cs="宋体"/>
                <w:color w:val="000000"/>
                <w:kern w:val="0"/>
                <w:sz w:val="22"/>
                <w:szCs w:val="22"/>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3FAEF">
            <w:pPr>
              <w:widowControl/>
              <w:jc w:val="left"/>
              <w:rPr>
                <w:rFonts w:ascii="宋体" w:hAnsi="宋体" w:cs="宋体"/>
                <w:color w:val="000000"/>
                <w:kern w:val="0"/>
                <w:sz w:val="22"/>
                <w:szCs w:val="22"/>
              </w:rPr>
            </w:pPr>
          </w:p>
        </w:tc>
        <w:tc>
          <w:tcPr>
            <w:tcW w:w="756" w:type="dxa"/>
            <w:tcBorders>
              <w:top w:val="nil"/>
              <w:left w:val="nil"/>
              <w:bottom w:val="single" w:color="auto" w:sz="4" w:space="0"/>
              <w:right w:val="single" w:color="auto" w:sz="4" w:space="0"/>
            </w:tcBorders>
            <w:shd w:val="clear" w:color="auto" w:fill="auto"/>
            <w:noWrap/>
            <w:vAlign w:val="center"/>
          </w:tcPr>
          <w:p w14:paraId="7C295C95">
            <w:pPr>
              <w:jc w:val="right"/>
              <w:rPr>
                <w:rFonts w:ascii="宋体" w:hAnsi="宋体" w:cs="宋体"/>
                <w:color w:val="000000"/>
                <w:sz w:val="22"/>
                <w:szCs w:val="22"/>
              </w:rPr>
            </w:pPr>
          </w:p>
        </w:tc>
        <w:tc>
          <w:tcPr>
            <w:tcW w:w="1005" w:type="dxa"/>
            <w:tcBorders>
              <w:top w:val="nil"/>
              <w:left w:val="nil"/>
              <w:bottom w:val="single" w:color="auto" w:sz="4" w:space="0"/>
              <w:right w:val="single" w:color="auto" w:sz="4" w:space="0"/>
            </w:tcBorders>
            <w:shd w:val="clear" w:color="auto" w:fill="auto"/>
            <w:noWrap/>
            <w:vAlign w:val="center"/>
          </w:tcPr>
          <w:p w14:paraId="2A87E159">
            <w:pPr>
              <w:widowControl/>
              <w:jc w:val="right"/>
              <w:rPr>
                <w:rFonts w:ascii="宋体" w:hAnsi="宋体" w:cs="宋体"/>
                <w:color w:val="000000"/>
                <w:kern w:val="0"/>
                <w:sz w:val="22"/>
                <w:szCs w:val="22"/>
              </w:rPr>
            </w:pPr>
          </w:p>
        </w:tc>
        <w:tc>
          <w:tcPr>
            <w:tcW w:w="1584" w:type="dxa"/>
            <w:tcBorders>
              <w:top w:val="nil"/>
              <w:left w:val="nil"/>
              <w:bottom w:val="single" w:color="auto" w:sz="4" w:space="0"/>
              <w:right w:val="single" w:color="auto" w:sz="4" w:space="0"/>
            </w:tcBorders>
            <w:shd w:val="clear" w:color="auto" w:fill="auto"/>
            <w:noWrap/>
            <w:vAlign w:val="center"/>
          </w:tcPr>
          <w:p w14:paraId="08F078D5">
            <w:pPr>
              <w:widowControl/>
              <w:jc w:val="right"/>
              <w:rPr>
                <w:rFonts w:ascii="宋体" w:hAnsi="宋体" w:cs="宋体"/>
                <w:color w:val="000000"/>
                <w:kern w:val="0"/>
                <w:sz w:val="22"/>
                <w:szCs w:val="22"/>
              </w:rPr>
            </w:pPr>
          </w:p>
        </w:tc>
      </w:tr>
      <w:tr w14:paraId="0FD9C77F">
        <w:tblPrEx>
          <w:tblCellMar>
            <w:top w:w="0" w:type="dxa"/>
            <w:left w:w="108" w:type="dxa"/>
            <w:bottom w:w="0" w:type="dxa"/>
            <w:right w:w="108" w:type="dxa"/>
          </w:tblCellMar>
        </w:tblPrEx>
        <w:trPr>
          <w:trHeight w:val="501" w:hRule="atLeast"/>
        </w:trPr>
        <w:tc>
          <w:tcPr>
            <w:tcW w:w="719" w:type="dxa"/>
            <w:tcBorders>
              <w:top w:val="nil"/>
              <w:left w:val="single" w:color="auto" w:sz="4" w:space="0"/>
              <w:bottom w:val="single" w:color="auto" w:sz="4" w:space="0"/>
              <w:right w:val="single" w:color="auto" w:sz="4" w:space="0"/>
            </w:tcBorders>
            <w:shd w:val="clear" w:color="auto" w:fill="auto"/>
            <w:noWrap/>
            <w:vAlign w:val="center"/>
          </w:tcPr>
          <w:p w14:paraId="2F13DE9B">
            <w:pPr>
              <w:widowControl/>
              <w:jc w:val="right"/>
              <w:rPr>
                <w:rFonts w:ascii="宋体" w:hAnsi="宋体" w:cs="宋体"/>
                <w:color w:val="000000"/>
                <w:kern w:val="0"/>
                <w:sz w:val="22"/>
                <w:szCs w:val="22"/>
              </w:rPr>
            </w:pPr>
          </w:p>
        </w:tc>
        <w:tc>
          <w:tcPr>
            <w:tcW w:w="1094" w:type="dxa"/>
            <w:tcBorders>
              <w:top w:val="nil"/>
              <w:left w:val="nil"/>
              <w:bottom w:val="single" w:color="auto" w:sz="4" w:space="0"/>
              <w:right w:val="single" w:color="auto" w:sz="4" w:space="0"/>
            </w:tcBorders>
            <w:shd w:val="clear" w:color="auto" w:fill="auto"/>
            <w:vAlign w:val="center"/>
          </w:tcPr>
          <w:p w14:paraId="744F824D">
            <w:pPr>
              <w:widowControl/>
              <w:jc w:val="left"/>
              <w:rPr>
                <w:rFonts w:ascii="宋体" w:hAnsi="宋体" w:cs="宋体"/>
                <w:color w:val="000000"/>
                <w:kern w:val="0"/>
                <w:sz w:val="22"/>
                <w:szCs w:val="22"/>
              </w:rPr>
            </w:pPr>
          </w:p>
        </w:tc>
        <w:tc>
          <w:tcPr>
            <w:tcW w:w="808" w:type="dxa"/>
            <w:tcBorders>
              <w:top w:val="nil"/>
              <w:left w:val="nil"/>
              <w:bottom w:val="single" w:color="auto" w:sz="4" w:space="0"/>
              <w:right w:val="single" w:color="auto" w:sz="4" w:space="0"/>
            </w:tcBorders>
            <w:shd w:val="clear" w:color="auto" w:fill="auto"/>
            <w:noWrap/>
            <w:vAlign w:val="center"/>
          </w:tcPr>
          <w:p w14:paraId="14267A08">
            <w:pPr>
              <w:widowControl/>
              <w:jc w:val="right"/>
              <w:rPr>
                <w:rFonts w:ascii="宋体" w:hAnsi="宋体" w:cs="宋体"/>
                <w:color w:val="000000"/>
                <w:kern w:val="0"/>
                <w:sz w:val="22"/>
                <w:szCs w:val="22"/>
              </w:rPr>
            </w:pPr>
          </w:p>
        </w:tc>
        <w:tc>
          <w:tcPr>
            <w:tcW w:w="1888" w:type="dxa"/>
            <w:tcBorders>
              <w:top w:val="single" w:color="auto" w:sz="4" w:space="0"/>
              <w:left w:val="nil"/>
              <w:bottom w:val="single" w:color="auto" w:sz="4" w:space="0"/>
              <w:right w:val="single" w:color="auto" w:sz="4" w:space="0"/>
            </w:tcBorders>
          </w:tcPr>
          <w:p w14:paraId="241C6DC3">
            <w:pPr>
              <w:widowControl/>
              <w:jc w:val="left"/>
              <w:rPr>
                <w:rFonts w:ascii="宋体" w:hAnsi="宋体" w:cs="宋体"/>
                <w:color w:val="000000"/>
                <w:kern w:val="0"/>
                <w:sz w:val="22"/>
                <w:szCs w:val="22"/>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9D65C">
            <w:pPr>
              <w:widowControl/>
              <w:jc w:val="left"/>
              <w:rPr>
                <w:rFonts w:ascii="宋体" w:hAnsi="宋体" w:cs="宋体"/>
                <w:color w:val="000000"/>
                <w:kern w:val="0"/>
                <w:sz w:val="22"/>
                <w:szCs w:val="22"/>
              </w:rPr>
            </w:pPr>
          </w:p>
        </w:tc>
        <w:tc>
          <w:tcPr>
            <w:tcW w:w="756" w:type="dxa"/>
            <w:tcBorders>
              <w:top w:val="nil"/>
              <w:left w:val="nil"/>
              <w:bottom w:val="single" w:color="auto" w:sz="4" w:space="0"/>
              <w:right w:val="single" w:color="auto" w:sz="4" w:space="0"/>
            </w:tcBorders>
            <w:shd w:val="clear" w:color="auto" w:fill="auto"/>
            <w:noWrap/>
            <w:vAlign w:val="center"/>
          </w:tcPr>
          <w:p w14:paraId="2FBE808D">
            <w:pPr>
              <w:widowControl/>
              <w:jc w:val="left"/>
              <w:rPr>
                <w:rFonts w:ascii="宋体" w:hAnsi="宋体" w:cs="宋体"/>
                <w:color w:val="000000"/>
                <w:kern w:val="0"/>
                <w:sz w:val="22"/>
                <w:szCs w:val="22"/>
              </w:rPr>
            </w:pPr>
          </w:p>
        </w:tc>
        <w:tc>
          <w:tcPr>
            <w:tcW w:w="1005" w:type="dxa"/>
            <w:tcBorders>
              <w:top w:val="nil"/>
              <w:left w:val="nil"/>
              <w:bottom w:val="single" w:color="auto" w:sz="4" w:space="0"/>
              <w:right w:val="single" w:color="auto" w:sz="4" w:space="0"/>
            </w:tcBorders>
            <w:shd w:val="clear" w:color="auto" w:fill="auto"/>
            <w:noWrap/>
            <w:vAlign w:val="center"/>
          </w:tcPr>
          <w:p w14:paraId="208A9937">
            <w:pPr>
              <w:widowControl/>
              <w:jc w:val="left"/>
              <w:rPr>
                <w:rFonts w:ascii="宋体" w:hAnsi="宋体" w:cs="宋体"/>
                <w:color w:val="000000"/>
                <w:kern w:val="0"/>
                <w:sz w:val="22"/>
                <w:szCs w:val="22"/>
              </w:rPr>
            </w:pPr>
          </w:p>
        </w:tc>
        <w:tc>
          <w:tcPr>
            <w:tcW w:w="1584" w:type="dxa"/>
            <w:tcBorders>
              <w:top w:val="nil"/>
              <w:left w:val="nil"/>
              <w:bottom w:val="single" w:color="auto" w:sz="4" w:space="0"/>
              <w:right w:val="single" w:color="auto" w:sz="4" w:space="0"/>
            </w:tcBorders>
            <w:shd w:val="clear" w:color="auto" w:fill="auto"/>
            <w:noWrap/>
            <w:vAlign w:val="center"/>
          </w:tcPr>
          <w:p w14:paraId="419A2B42">
            <w:pPr>
              <w:widowControl/>
              <w:jc w:val="right"/>
              <w:rPr>
                <w:rFonts w:ascii="宋体" w:hAnsi="宋体" w:cs="宋体"/>
                <w:color w:val="000000"/>
                <w:kern w:val="0"/>
                <w:sz w:val="22"/>
                <w:szCs w:val="22"/>
              </w:rPr>
            </w:pPr>
          </w:p>
        </w:tc>
      </w:tr>
      <w:tr w14:paraId="4B4689B0">
        <w:tblPrEx>
          <w:tblCellMar>
            <w:top w:w="0" w:type="dxa"/>
            <w:left w:w="108" w:type="dxa"/>
            <w:bottom w:w="0" w:type="dxa"/>
            <w:right w:w="108" w:type="dxa"/>
          </w:tblCellMar>
        </w:tblPrEx>
        <w:trPr>
          <w:trHeight w:val="923" w:hRule="atLeast"/>
        </w:trPr>
        <w:tc>
          <w:tcPr>
            <w:tcW w:w="8736" w:type="dxa"/>
            <w:gridSpan w:val="8"/>
            <w:tcBorders>
              <w:top w:val="single" w:color="auto" w:sz="4" w:space="0"/>
              <w:left w:val="single" w:color="auto" w:sz="4" w:space="0"/>
              <w:bottom w:val="single" w:color="auto" w:sz="4" w:space="0"/>
              <w:right w:val="single" w:color="auto" w:sz="4" w:space="0"/>
            </w:tcBorders>
          </w:tcPr>
          <w:p w14:paraId="011FFC5A">
            <w:pPr>
              <w:widowControl/>
              <w:jc w:val="both"/>
              <w:rPr>
                <w:rFonts w:hint="eastAsia" w:ascii="宋体" w:hAnsi="宋体" w:cs="宋体"/>
                <w:color w:val="000000"/>
                <w:kern w:val="0"/>
                <w:sz w:val="22"/>
                <w:szCs w:val="22"/>
              </w:rPr>
            </w:pPr>
            <w:r>
              <w:rPr>
                <w:rFonts w:hint="eastAsia" w:ascii="宋体" w:hAnsi="宋体" w:cs="宋体"/>
                <w:color w:val="000000"/>
                <w:kern w:val="0"/>
                <w:sz w:val="22"/>
                <w:szCs w:val="22"/>
              </w:rPr>
              <w:t>总报价（以上报价总和）</w:t>
            </w:r>
          </w:p>
          <w:p w14:paraId="576F4768">
            <w:pPr>
              <w:pStyle w:val="6"/>
              <w:ind w:left="0" w:leftChars="0" w:firstLine="0" w:firstLineChars="0"/>
              <w:rPr>
                <w:rFonts w:hint="eastAsia" w:hAnsi="宋体" w:cs="宋体"/>
                <w:color w:val="000000"/>
                <w:kern w:val="0"/>
                <w:sz w:val="22"/>
                <w:szCs w:val="22"/>
                <w:lang w:val="en-US" w:eastAsia="zh-CN"/>
              </w:rPr>
            </w:pPr>
            <w:r>
              <w:rPr>
                <w:rFonts w:hint="eastAsia" w:hAnsi="宋体" w:cs="宋体"/>
                <w:color w:val="000000"/>
                <w:kern w:val="0"/>
                <w:sz w:val="22"/>
                <w:szCs w:val="22"/>
                <w:lang w:val="en-US" w:eastAsia="zh-CN"/>
              </w:rPr>
              <w:t>小写：</w:t>
            </w:r>
          </w:p>
          <w:p w14:paraId="2B562BB1">
            <w:pPr>
              <w:pStyle w:val="7"/>
              <w:ind w:left="0" w:leftChars="0" w:firstLine="0" w:firstLineChars="0"/>
              <w:rPr>
                <w:rFonts w:hint="default"/>
                <w:lang w:val="en-US" w:eastAsia="zh-CN"/>
              </w:rPr>
            </w:pPr>
            <w:r>
              <w:rPr>
                <w:rFonts w:hint="eastAsia" w:hAnsi="宋体" w:cs="宋体"/>
                <w:color w:val="000000"/>
                <w:kern w:val="0"/>
                <w:sz w:val="22"/>
                <w:szCs w:val="22"/>
                <w:lang w:val="en-US" w:eastAsia="zh-CN"/>
              </w:rPr>
              <w:t>大写：</w:t>
            </w:r>
          </w:p>
        </w:tc>
      </w:tr>
    </w:tbl>
    <w:p w14:paraId="5B90D985">
      <w:pPr>
        <w:ind w:firstLine="480" w:firstLineChars="200"/>
        <w:rPr>
          <w:rFonts w:ascii="宋体" w:hAnsi="宋体" w:cs="宋体"/>
          <w:sz w:val="24"/>
        </w:rPr>
      </w:pPr>
    </w:p>
    <w:p w14:paraId="186A9253">
      <w:pPr>
        <w:spacing w:line="280" w:lineRule="exact"/>
        <w:ind w:right="540" w:rightChars="257"/>
        <w:jc w:val="left"/>
        <w:rPr>
          <w:rFonts w:ascii="宋体" w:hAnsi="宋体" w:cs="宋体"/>
          <w:sz w:val="24"/>
        </w:rPr>
      </w:pPr>
    </w:p>
    <w:p w14:paraId="10893FBD">
      <w:pPr>
        <w:spacing w:line="280" w:lineRule="exact"/>
        <w:ind w:right="540" w:rightChars="257"/>
        <w:jc w:val="left"/>
        <w:rPr>
          <w:rFonts w:ascii="宋体" w:hAnsi="宋体" w:cs="宋体"/>
          <w:sz w:val="24"/>
        </w:rPr>
      </w:pPr>
    </w:p>
    <w:p w14:paraId="3C028226">
      <w:pPr>
        <w:spacing w:line="280" w:lineRule="exact"/>
        <w:ind w:right="540" w:rightChars="257"/>
        <w:jc w:val="left"/>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（加盖单位公章）      </w:t>
      </w:r>
    </w:p>
    <w:p w14:paraId="4D99571B">
      <w:pPr>
        <w:spacing w:line="280" w:lineRule="exact"/>
        <w:ind w:right="540" w:rightChars="257"/>
        <w:jc w:val="left"/>
        <w:rPr>
          <w:rFonts w:ascii="宋体" w:hAnsi="宋体" w:cs="宋体"/>
          <w:sz w:val="24"/>
        </w:rPr>
      </w:pPr>
    </w:p>
    <w:p w14:paraId="5DEF13C2">
      <w:pPr>
        <w:spacing w:line="280" w:lineRule="exact"/>
        <w:ind w:right="540" w:rightChars="257"/>
        <w:jc w:val="left"/>
        <w:rPr>
          <w:rFonts w:ascii="宋体" w:hAnsi="宋体" w:cs="宋体"/>
          <w:sz w:val="24"/>
        </w:rPr>
      </w:pPr>
    </w:p>
    <w:p w14:paraId="3B065DB7">
      <w:pPr>
        <w:kinsoku w:val="0"/>
        <w:spacing w:line="360" w:lineRule="auto"/>
        <w:rPr>
          <w:rFonts w:ascii="宋体" w:hAnsi="宋体" w:cs="宋体"/>
          <w:sz w:val="24"/>
          <w:u w:val="single"/>
        </w:rPr>
      </w:pPr>
      <w:r>
        <w:rPr>
          <w:rFonts w:hint="eastAsia" w:ascii="宋体" w:hAnsi="宋体" w:cs="宋体"/>
          <w:sz w:val="24"/>
        </w:rPr>
        <w:t>法定代表人或被授权人：（</w:t>
      </w:r>
      <w:r>
        <w:rPr>
          <w:rFonts w:hint="eastAsia" w:ascii="宋体" w:hAnsi="宋体" w:cs="宋体"/>
          <w:spacing w:val="4"/>
          <w:sz w:val="24"/>
        </w:rPr>
        <w:t>签字或盖章</w:t>
      </w:r>
      <w:r>
        <w:rPr>
          <w:rFonts w:hint="eastAsia" w:ascii="宋体" w:hAnsi="宋体" w:cs="宋体"/>
          <w:sz w:val="24"/>
        </w:rPr>
        <w:t>）</w:t>
      </w:r>
    </w:p>
    <w:p w14:paraId="7AB6B292">
      <w:pPr>
        <w:spacing w:line="280" w:lineRule="exact"/>
        <w:ind w:right="540" w:rightChars="257"/>
        <w:jc w:val="left"/>
        <w:rPr>
          <w:rFonts w:ascii="宋体" w:hAnsi="宋体" w:cs="宋体"/>
          <w:sz w:val="24"/>
        </w:rPr>
      </w:pPr>
    </w:p>
    <w:p w14:paraId="1EC08D30">
      <w:pPr>
        <w:spacing w:line="280" w:lineRule="exact"/>
        <w:ind w:right="540" w:rightChars="257"/>
        <w:rPr>
          <w:rFonts w:ascii="宋体" w:hAnsi="宋体" w:cs="宋体"/>
          <w:sz w:val="24"/>
        </w:rPr>
      </w:pPr>
    </w:p>
    <w:p w14:paraId="4CE9D53E">
      <w:pPr>
        <w:spacing w:line="280" w:lineRule="exact"/>
        <w:ind w:right="540" w:rightChars="257"/>
        <w:rPr>
          <w:rFonts w:ascii="宋体" w:hAnsi="宋体" w:cs="宋体"/>
          <w:sz w:val="24"/>
        </w:rPr>
      </w:pPr>
      <w:r>
        <w:rPr>
          <w:rFonts w:hint="eastAsia" w:ascii="宋体" w:hAnsi="宋体" w:cs="宋体"/>
          <w:sz w:val="24"/>
        </w:rPr>
        <w:t>日    期：</w:t>
      </w:r>
    </w:p>
    <w:p w14:paraId="0460FAA7">
      <w:pPr>
        <w:spacing w:line="440" w:lineRule="exact"/>
        <w:rPr>
          <w:rFonts w:ascii="宋体" w:hAnsi="宋体" w:cs="宋体"/>
          <w:sz w:val="36"/>
        </w:rPr>
      </w:pPr>
    </w:p>
    <w:p w14:paraId="57506353">
      <w:pPr>
        <w:spacing w:line="440" w:lineRule="exact"/>
        <w:rPr>
          <w:rFonts w:ascii="宋体" w:hAnsi="宋体" w:cs="宋体"/>
          <w:sz w:val="24"/>
        </w:rPr>
      </w:pPr>
      <w:r>
        <w:rPr>
          <w:rFonts w:hint="eastAsia" w:ascii="宋体" w:hAnsi="宋体" w:cs="宋体"/>
          <w:sz w:val="24"/>
        </w:rPr>
        <w:t>注：1、如果按单价计算的结果与总价不一致，以单价为准修正总价。</w:t>
      </w:r>
    </w:p>
    <w:p w14:paraId="4B088A9B">
      <w:pPr>
        <w:spacing w:line="440" w:lineRule="exact"/>
        <w:ind w:firstLine="480" w:firstLineChars="200"/>
        <w:rPr>
          <w:rFonts w:ascii="宋体" w:hAnsi="宋体" w:cs="宋体"/>
          <w:sz w:val="24"/>
        </w:rPr>
      </w:pPr>
      <w:r>
        <w:rPr>
          <w:rFonts w:hint="eastAsia" w:ascii="宋体" w:hAnsi="宋体" w:cs="宋体"/>
          <w:sz w:val="24"/>
        </w:rPr>
        <w:t>2、如果不提供详细分项报价将视为没有实质性响应询价文件。</w:t>
      </w:r>
    </w:p>
    <w:p w14:paraId="6DBFB2E8">
      <w:pPr>
        <w:spacing w:line="440" w:lineRule="exact"/>
        <w:ind w:firstLine="480" w:firstLineChars="200"/>
        <w:rPr>
          <w:rFonts w:ascii="宋体" w:hAnsi="宋体" w:cs="宋体"/>
          <w:sz w:val="24"/>
        </w:rPr>
      </w:pPr>
      <w:r>
        <w:rPr>
          <w:rFonts w:hint="eastAsia" w:ascii="宋体" w:hAnsi="宋体" w:cs="宋体"/>
          <w:sz w:val="24"/>
        </w:rPr>
        <w:t>3、供应商可适当调整该表格式，但不得减少信息内容。</w:t>
      </w:r>
    </w:p>
    <w:p w14:paraId="2EF60321">
      <w:pPr>
        <w:rPr>
          <w:rFonts w:hint="eastAsia" w:ascii="仿宋" w:hAnsi="仿宋" w:eastAsia="仿宋" w:cs="仿宋"/>
          <w:b/>
          <w:bCs/>
          <w:sz w:val="32"/>
          <w:szCs w:val="32"/>
        </w:rPr>
      </w:pPr>
      <w:r>
        <w:rPr>
          <w:rFonts w:hint="eastAsia" w:ascii="仿宋" w:hAnsi="仿宋" w:eastAsia="仿宋" w:cs="仿宋"/>
          <w:b/>
          <w:bCs/>
          <w:sz w:val="32"/>
          <w:szCs w:val="32"/>
        </w:rPr>
        <w:br w:type="page"/>
      </w:r>
    </w:p>
    <w:p w14:paraId="5ECBB339">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4．技术</w:t>
      </w:r>
      <w:r>
        <w:rPr>
          <w:rFonts w:hint="eastAsia" w:ascii="仿宋" w:hAnsi="仿宋" w:eastAsia="仿宋" w:cs="仿宋"/>
          <w:b/>
          <w:bCs/>
          <w:sz w:val="32"/>
          <w:szCs w:val="32"/>
          <w:lang w:val="en-US" w:eastAsia="zh-CN"/>
        </w:rPr>
        <w:t>参数</w:t>
      </w:r>
      <w:r>
        <w:rPr>
          <w:rFonts w:hint="eastAsia" w:ascii="仿宋" w:hAnsi="仿宋" w:eastAsia="仿宋" w:cs="仿宋"/>
          <w:b/>
          <w:bCs/>
          <w:sz w:val="32"/>
          <w:szCs w:val="32"/>
        </w:rPr>
        <w:t>响应偏离表</w:t>
      </w:r>
    </w:p>
    <w:p w14:paraId="3604F7F4">
      <w:pPr>
        <w:spacing w:line="560" w:lineRule="exact"/>
        <w:ind w:left="210" w:leftChars="100"/>
        <w:rPr>
          <w:rFonts w:ascii="仿宋" w:hAnsi="仿宋" w:eastAsia="仿宋" w:cs="仿宋"/>
          <w:sz w:val="28"/>
          <w:szCs w:val="28"/>
        </w:rPr>
      </w:pPr>
      <w:r>
        <w:rPr>
          <w:rFonts w:hint="eastAsia" w:ascii="仿宋" w:hAnsi="仿宋" w:eastAsia="仿宋" w:cs="仿宋"/>
          <w:sz w:val="28"/>
          <w:szCs w:val="28"/>
          <w:lang w:val="en-US" w:eastAsia="zh-CN"/>
        </w:rPr>
        <w:t>项目</w:t>
      </w:r>
      <w:r>
        <w:rPr>
          <w:rFonts w:hint="eastAsia" w:ascii="仿宋" w:hAnsi="仿宋" w:eastAsia="仿宋" w:cs="仿宋"/>
          <w:sz w:val="28"/>
          <w:szCs w:val="28"/>
        </w:rPr>
        <w:t>名称：</w:t>
      </w:r>
    </w:p>
    <w:tbl>
      <w:tblPr>
        <w:tblStyle w:val="17"/>
        <w:tblpPr w:leftFromText="180" w:rightFromText="180" w:vertAnchor="text" w:horzAnchor="page" w:tblpX="1312" w:tblpY="290"/>
        <w:tblOverlap w:val="never"/>
        <w:tblW w:w="91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319"/>
      </w:tblGrid>
      <w:tr w14:paraId="37F7E5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6955CCCE">
            <w:pPr>
              <w:spacing w:line="560" w:lineRule="exact"/>
              <w:ind w:left="40" w:leftChars="19"/>
              <w:jc w:val="center"/>
              <w:rPr>
                <w:rFonts w:ascii="仿宋" w:hAnsi="仿宋" w:eastAsia="仿宋" w:cs="仿宋"/>
                <w:b/>
                <w:sz w:val="28"/>
                <w:szCs w:val="28"/>
              </w:rPr>
            </w:pPr>
            <w:r>
              <w:rPr>
                <w:rFonts w:hint="eastAsia" w:ascii="仿宋" w:hAnsi="仿宋" w:eastAsia="仿宋" w:cs="仿宋"/>
                <w:b/>
                <w:sz w:val="28"/>
                <w:szCs w:val="28"/>
              </w:rPr>
              <w:t>序号</w:t>
            </w:r>
          </w:p>
        </w:tc>
        <w:tc>
          <w:tcPr>
            <w:tcW w:w="2883" w:type="dxa"/>
            <w:tcMar>
              <w:top w:w="57" w:type="dxa"/>
              <w:left w:w="28" w:type="dxa"/>
              <w:bottom w:w="57" w:type="dxa"/>
              <w:right w:w="28" w:type="dxa"/>
            </w:tcMar>
            <w:vAlign w:val="center"/>
          </w:tcPr>
          <w:p w14:paraId="60882EEB">
            <w:pPr>
              <w:spacing w:line="560" w:lineRule="exact"/>
              <w:ind w:left="210" w:leftChars="100"/>
              <w:jc w:val="center"/>
              <w:rPr>
                <w:rFonts w:ascii="仿宋" w:hAnsi="仿宋" w:eastAsia="仿宋" w:cs="仿宋"/>
                <w:b/>
                <w:sz w:val="28"/>
                <w:szCs w:val="28"/>
              </w:rPr>
            </w:pPr>
            <w:r>
              <w:rPr>
                <w:rFonts w:hint="eastAsia" w:ascii="仿宋" w:hAnsi="仿宋" w:eastAsia="仿宋" w:cs="仿宋"/>
                <w:b/>
                <w:sz w:val="28"/>
                <w:szCs w:val="28"/>
              </w:rPr>
              <w:t>询价文件</w:t>
            </w:r>
          </w:p>
          <w:p w14:paraId="279872CC">
            <w:pPr>
              <w:spacing w:line="560" w:lineRule="exact"/>
              <w:ind w:left="210" w:leftChars="100"/>
              <w:jc w:val="center"/>
              <w:rPr>
                <w:rFonts w:ascii="仿宋" w:hAnsi="仿宋" w:eastAsia="仿宋" w:cs="仿宋"/>
                <w:b/>
                <w:sz w:val="28"/>
                <w:szCs w:val="28"/>
              </w:rPr>
            </w:pPr>
            <w:r>
              <w:rPr>
                <w:rFonts w:hint="eastAsia" w:ascii="仿宋" w:hAnsi="仿宋" w:eastAsia="仿宋" w:cs="仿宋"/>
                <w:b/>
                <w:sz w:val="28"/>
                <w:szCs w:val="28"/>
              </w:rPr>
              <w:t>技术</w:t>
            </w:r>
            <w:r>
              <w:rPr>
                <w:rFonts w:hint="eastAsia" w:ascii="仿宋" w:hAnsi="仿宋" w:eastAsia="仿宋" w:cs="仿宋"/>
                <w:b/>
                <w:sz w:val="28"/>
                <w:szCs w:val="28"/>
                <w:lang w:val="en-US" w:eastAsia="zh-CN"/>
              </w:rPr>
              <w:t>要</w:t>
            </w:r>
            <w:r>
              <w:rPr>
                <w:rFonts w:hint="eastAsia" w:ascii="仿宋" w:hAnsi="仿宋" w:eastAsia="仿宋" w:cs="仿宋"/>
                <w:b/>
                <w:sz w:val="28"/>
                <w:szCs w:val="28"/>
              </w:rPr>
              <w:t>求</w:t>
            </w:r>
          </w:p>
        </w:tc>
        <w:tc>
          <w:tcPr>
            <w:tcW w:w="2659" w:type="dxa"/>
            <w:tcMar>
              <w:top w:w="57" w:type="dxa"/>
              <w:left w:w="28" w:type="dxa"/>
              <w:bottom w:w="57" w:type="dxa"/>
              <w:right w:w="28" w:type="dxa"/>
            </w:tcMar>
            <w:vAlign w:val="center"/>
          </w:tcPr>
          <w:p w14:paraId="6A490A43">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响应文件</w:t>
            </w:r>
          </w:p>
          <w:p w14:paraId="1980912C">
            <w:pPr>
              <w:spacing w:line="560" w:lineRule="exact"/>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技术响应</w:t>
            </w:r>
          </w:p>
        </w:tc>
        <w:tc>
          <w:tcPr>
            <w:tcW w:w="1689" w:type="dxa"/>
            <w:tcMar>
              <w:top w:w="57" w:type="dxa"/>
              <w:left w:w="28" w:type="dxa"/>
              <w:bottom w:w="57" w:type="dxa"/>
              <w:right w:w="28" w:type="dxa"/>
            </w:tcMar>
            <w:vAlign w:val="center"/>
          </w:tcPr>
          <w:p w14:paraId="325E24F5">
            <w:pPr>
              <w:spacing w:line="560" w:lineRule="exact"/>
              <w:jc w:val="center"/>
              <w:rPr>
                <w:rFonts w:ascii="仿宋" w:hAnsi="仿宋" w:eastAsia="仿宋" w:cs="仿宋"/>
                <w:b/>
                <w:sz w:val="28"/>
                <w:szCs w:val="28"/>
              </w:rPr>
            </w:pPr>
            <w:r>
              <w:rPr>
                <w:rFonts w:hint="eastAsia" w:ascii="仿宋" w:hAnsi="仿宋" w:eastAsia="仿宋" w:cs="仿宋"/>
                <w:b/>
                <w:sz w:val="28"/>
                <w:szCs w:val="28"/>
              </w:rPr>
              <w:t>偏离情况</w:t>
            </w:r>
          </w:p>
        </w:tc>
        <w:tc>
          <w:tcPr>
            <w:tcW w:w="1319" w:type="dxa"/>
            <w:tcMar>
              <w:top w:w="57" w:type="dxa"/>
              <w:left w:w="28" w:type="dxa"/>
              <w:bottom w:w="57" w:type="dxa"/>
              <w:right w:w="28" w:type="dxa"/>
            </w:tcMar>
            <w:vAlign w:val="center"/>
          </w:tcPr>
          <w:p w14:paraId="3D9BBC81">
            <w:pPr>
              <w:spacing w:line="560" w:lineRule="exact"/>
              <w:jc w:val="center"/>
              <w:rPr>
                <w:rFonts w:ascii="仿宋" w:hAnsi="仿宋" w:eastAsia="仿宋" w:cs="仿宋"/>
                <w:b/>
                <w:sz w:val="28"/>
                <w:szCs w:val="28"/>
              </w:rPr>
            </w:pPr>
            <w:r>
              <w:rPr>
                <w:rFonts w:hint="eastAsia" w:ascii="仿宋" w:hAnsi="仿宋" w:eastAsia="仿宋" w:cs="仿宋"/>
                <w:b/>
                <w:sz w:val="28"/>
                <w:szCs w:val="28"/>
              </w:rPr>
              <w:t>说 明</w:t>
            </w:r>
          </w:p>
        </w:tc>
      </w:tr>
      <w:tr w14:paraId="6F9BCA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Borders>
              <w:bottom w:val="single" w:color="auto" w:sz="4" w:space="0"/>
            </w:tcBorders>
            <w:tcMar>
              <w:top w:w="57" w:type="dxa"/>
              <w:left w:w="28" w:type="dxa"/>
              <w:bottom w:w="57" w:type="dxa"/>
              <w:right w:w="28" w:type="dxa"/>
            </w:tcMar>
            <w:vAlign w:val="center"/>
          </w:tcPr>
          <w:p w14:paraId="778F99F4">
            <w:pPr>
              <w:spacing w:line="560" w:lineRule="exact"/>
              <w:ind w:left="210" w:leftChars="100"/>
              <w:rPr>
                <w:rFonts w:ascii="仿宋" w:hAnsi="仿宋" w:eastAsia="仿宋" w:cs="仿宋"/>
                <w:sz w:val="28"/>
                <w:szCs w:val="28"/>
              </w:rPr>
            </w:pPr>
          </w:p>
        </w:tc>
        <w:tc>
          <w:tcPr>
            <w:tcW w:w="2883" w:type="dxa"/>
            <w:tcBorders>
              <w:bottom w:val="single" w:color="auto" w:sz="4" w:space="0"/>
            </w:tcBorders>
            <w:tcMar>
              <w:top w:w="57" w:type="dxa"/>
              <w:left w:w="28" w:type="dxa"/>
              <w:bottom w:w="57" w:type="dxa"/>
              <w:right w:w="28" w:type="dxa"/>
            </w:tcMar>
            <w:vAlign w:val="center"/>
          </w:tcPr>
          <w:p w14:paraId="2B13F50F">
            <w:pPr>
              <w:spacing w:line="560" w:lineRule="exact"/>
              <w:ind w:left="210" w:leftChars="100"/>
              <w:rPr>
                <w:rFonts w:ascii="仿宋" w:hAnsi="仿宋" w:eastAsia="仿宋" w:cs="仿宋"/>
                <w:sz w:val="28"/>
                <w:szCs w:val="28"/>
              </w:rPr>
            </w:pPr>
          </w:p>
        </w:tc>
        <w:tc>
          <w:tcPr>
            <w:tcW w:w="2659" w:type="dxa"/>
            <w:tcBorders>
              <w:bottom w:val="single" w:color="auto" w:sz="4" w:space="0"/>
            </w:tcBorders>
            <w:tcMar>
              <w:top w:w="57" w:type="dxa"/>
              <w:left w:w="28" w:type="dxa"/>
              <w:bottom w:w="57" w:type="dxa"/>
              <w:right w:w="28" w:type="dxa"/>
            </w:tcMar>
            <w:vAlign w:val="center"/>
          </w:tcPr>
          <w:p w14:paraId="6F008A0E">
            <w:pPr>
              <w:spacing w:line="560" w:lineRule="exact"/>
              <w:ind w:left="210" w:leftChars="100"/>
              <w:rPr>
                <w:rFonts w:ascii="仿宋" w:hAnsi="仿宋" w:eastAsia="仿宋" w:cs="仿宋"/>
                <w:sz w:val="28"/>
                <w:szCs w:val="28"/>
              </w:rPr>
            </w:pPr>
          </w:p>
        </w:tc>
        <w:tc>
          <w:tcPr>
            <w:tcW w:w="1689" w:type="dxa"/>
            <w:tcBorders>
              <w:bottom w:val="single" w:color="auto" w:sz="4" w:space="0"/>
            </w:tcBorders>
            <w:tcMar>
              <w:top w:w="57" w:type="dxa"/>
              <w:left w:w="28" w:type="dxa"/>
              <w:bottom w:w="57" w:type="dxa"/>
              <w:right w:w="28" w:type="dxa"/>
            </w:tcMar>
            <w:vAlign w:val="center"/>
          </w:tcPr>
          <w:p w14:paraId="5A7A51F1">
            <w:pPr>
              <w:spacing w:line="560" w:lineRule="exact"/>
              <w:rPr>
                <w:rFonts w:ascii="仿宋" w:hAnsi="仿宋" w:eastAsia="仿宋" w:cs="仿宋"/>
                <w:sz w:val="28"/>
                <w:szCs w:val="28"/>
              </w:rPr>
            </w:pPr>
          </w:p>
        </w:tc>
        <w:tc>
          <w:tcPr>
            <w:tcW w:w="1319" w:type="dxa"/>
            <w:tcBorders>
              <w:bottom w:val="single" w:color="auto" w:sz="4" w:space="0"/>
            </w:tcBorders>
            <w:tcMar>
              <w:top w:w="57" w:type="dxa"/>
              <w:left w:w="28" w:type="dxa"/>
              <w:bottom w:w="57" w:type="dxa"/>
              <w:right w:w="28" w:type="dxa"/>
            </w:tcMar>
            <w:vAlign w:val="center"/>
          </w:tcPr>
          <w:p w14:paraId="61D8C002">
            <w:pPr>
              <w:spacing w:line="560" w:lineRule="exact"/>
              <w:ind w:left="210" w:leftChars="100"/>
              <w:rPr>
                <w:rFonts w:ascii="仿宋" w:hAnsi="仿宋" w:eastAsia="仿宋" w:cs="仿宋"/>
                <w:sz w:val="28"/>
                <w:szCs w:val="28"/>
              </w:rPr>
            </w:pPr>
          </w:p>
        </w:tc>
      </w:tr>
      <w:tr w14:paraId="70A6FB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61886E7A">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7F418510">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34D17A55">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7DE1CEF1">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33079DFE">
            <w:pPr>
              <w:spacing w:line="560" w:lineRule="exact"/>
              <w:ind w:left="210" w:leftChars="100"/>
              <w:rPr>
                <w:rFonts w:ascii="仿宋" w:hAnsi="仿宋" w:eastAsia="仿宋" w:cs="仿宋"/>
                <w:sz w:val="28"/>
                <w:szCs w:val="28"/>
              </w:rPr>
            </w:pPr>
          </w:p>
        </w:tc>
      </w:tr>
      <w:tr w14:paraId="476B94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4738A1D1">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3334AE7E">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51FD6952">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1B5B6BC2">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5853C209">
            <w:pPr>
              <w:spacing w:line="560" w:lineRule="exact"/>
              <w:ind w:left="210" w:leftChars="100"/>
              <w:rPr>
                <w:rFonts w:ascii="仿宋" w:hAnsi="仿宋" w:eastAsia="仿宋" w:cs="仿宋"/>
                <w:sz w:val="28"/>
                <w:szCs w:val="28"/>
              </w:rPr>
            </w:pPr>
          </w:p>
        </w:tc>
      </w:tr>
      <w:tr w14:paraId="09E27A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65040EB5">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09CE97C7">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7B75B94A">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102D1A08">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59CC5C44">
            <w:pPr>
              <w:spacing w:line="560" w:lineRule="exact"/>
              <w:ind w:left="210" w:leftChars="100"/>
              <w:rPr>
                <w:rFonts w:ascii="仿宋" w:hAnsi="仿宋" w:eastAsia="仿宋" w:cs="仿宋"/>
                <w:sz w:val="28"/>
                <w:szCs w:val="28"/>
              </w:rPr>
            </w:pPr>
          </w:p>
        </w:tc>
      </w:tr>
      <w:tr w14:paraId="0C9732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7EF634B7">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149279D2">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74A893C1">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34035403">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6F719DBC">
            <w:pPr>
              <w:spacing w:line="560" w:lineRule="exact"/>
              <w:ind w:left="210" w:leftChars="100"/>
              <w:rPr>
                <w:rFonts w:ascii="仿宋" w:hAnsi="仿宋" w:eastAsia="仿宋" w:cs="仿宋"/>
                <w:sz w:val="28"/>
                <w:szCs w:val="28"/>
              </w:rPr>
            </w:pPr>
          </w:p>
        </w:tc>
      </w:tr>
      <w:tr w14:paraId="142162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03C9E667">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4A60D697">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2839E40A">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29580F8E">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3B1F2690">
            <w:pPr>
              <w:spacing w:line="560" w:lineRule="exact"/>
              <w:ind w:left="210" w:leftChars="100"/>
              <w:rPr>
                <w:rFonts w:ascii="仿宋" w:hAnsi="仿宋" w:eastAsia="仿宋" w:cs="仿宋"/>
                <w:sz w:val="28"/>
                <w:szCs w:val="28"/>
              </w:rPr>
            </w:pPr>
          </w:p>
        </w:tc>
      </w:tr>
      <w:tr w14:paraId="3EEFF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02353F5B">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0CB37D31">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76A2B1B6">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655162CD">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5E383DD2">
            <w:pPr>
              <w:spacing w:line="560" w:lineRule="exact"/>
              <w:ind w:left="210" w:leftChars="100"/>
              <w:rPr>
                <w:rFonts w:ascii="仿宋" w:hAnsi="仿宋" w:eastAsia="仿宋" w:cs="仿宋"/>
                <w:sz w:val="28"/>
                <w:szCs w:val="28"/>
              </w:rPr>
            </w:pPr>
          </w:p>
        </w:tc>
      </w:tr>
      <w:tr w14:paraId="413DA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tcBorders>
              <w:bottom w:val="single" w:color="auto" w:sz="4" w:space="0"/>
            </w:tcBorders>
            <w:tcMar>
              <w:top w:w="57" w:type="dxa"/>
              <w:left w:w="28" w:type="dxa"/>
              <w:bottom w:w="57" w:type="dxa"/>
              <w:right w:w="28" w:type="dxa"/>
            </w:tcMar>
            <w:vAlign w:val="center"/>
          </w:tcPr>
          <w:p w14:paraId="01252AF7">
            <w:pPr>
              <w:spacing w:line="560" w:lineRule="exact"/>
              <w:ind w:left="210" w:leftChars="100"/>
              <w:rPr>
                <w:rFonts w:ascii="仿宋" w:hAnsi="仿宋" w:eastAsia="仿宋" w:cs="仿宋"/>
                <w:sz w:val="28"/>
                <w:szCs w:val="28"/>
              </w:rPr>
            </w:pPr>
          </w:p>
        </w:tc>
        <w:tc>
          <w:tcPr>
            <w:tcW w:w="2883" w:type="dxa"/>
            <w:tcBorders>
              <w:bottom w:val="single" w:color="auto" w:sz="4" w:space="0"/>
            </w:tcBorders>
            <w:tcMar>
              <w:top w:w="57" w:type="dxa"/>
              <w:left w:w="28" w:type="dxa"/>
              <w:bottom w:w="57" w:type="dxa"/>
              <w:right w:w="28" w:type="dxa"/>
            </w:tcMar>
            <w:vAlign w:val="center"/>
          </w:tcPr>
          <w:p w14:paraId="03F937E7">
            <w:pPr>
              <w:spacing w:line="560" w:lineRule="exact"/>
              <w:ind w:left="210" w:leftChars="100"/>
              <w:rPr>
                <w:rFonts w:ascii="仿宋" w:hAnsi="仿宋" w:eastAsia="仿宋" w:cs="仿宋"/>
                <w:sz w:val="28"/>
                <w:szCs w:val="28"/>
              </w:rPr>
            </w:pPr>
          </w:p>
        </w:tc>
        <w:tc>
          <w:tcPr>
            <w:tcW w:w="2659" w:type="dxa"/>
            <w:tcBorders>
              <w:bottom w:val="single" w:color="auto" w:sz="4" w:space="0"/>
            </w:tcBorders>
            <w:tcMar>
              <w:top w:w="57" w:type="dxa"/>
              <w:left w:w="28" w:type="dxa"/>
              <w:bottom w:w="57" w:type="dxa"/>
              <w:right w:w="28" w:type="dxa"/>
            </w:tcMar>
            <w:vAlign w:val="center"/>
          </w:tcPr>
          <w:p w14:paraId="69CB596A">
            <w:pPr>
              <w:spacing w:line="560" w:lineRule="exact"/>
              <w:ind w:left="210" w:leftChars="100"/>
              <w:rPr>
                <w:rFonts w:ascii="仿宋" w:hAnsi="仿宋" w:eastAsia="仿宋" w:cs="仿宋"/>
                <w:sz w:val="28"/>
                <w:szCs w:val="28"/>
              </w:rPr>
            </w:pPr>
          </w:p>
        </w:tc>
        <w:tc>
          <w:tcPr>
            <w:tcW w:w="1689" w:type="dxa"/>
            <w:tcBorders>
              <w:bottom w:val="single" w:color="auto" w:sz="4" w:space="0"/>
            </w:tcBorders>
            <w:tcMar>
              <w:top w:w="57" w:type="dxa"/>
              <w:left w:w="28" w:type="dxa"/>
              <w:bottom w:w="57" w:type="dxa"/>
              <w:right w:w="28" w:type="dxa"/>
            </w:tcMar>
            <w:vAlign w:val="center"/>
          </w:tcPr>
          <w:p w14:paraId="32B83687">
            <w:pPr>
              <w:spacing w:line="560" w:lineRule="exact"/>
              <w:rPr>
                <w:rFonts w:ascii="仿宋" w:hAnsi="仿宋" w:eastAsia="仿宋" w:cs="仿宋"/>
                <w:sz w:val="28"/>
                <w:szCs w:val="28"/>
              </w:rPr>
            </w:pPr>
          </w:p>
        </w:tc>
        <w:tc>
          <w:tcPr>
            <w:tcW w:w="1319" w:type="dxa"/>
            <w:tcBorders>
              <w:bottom w:val="single" w:color="auto" w:sz="4" w:space="0"/>
            </w:tcBorders>
            <w:tcMar>
              <w:top w:w="57" w:type="dxa"/>
              <w:left w:w="28" w:type="dxa"/>
              <w:bottom w:w="57" w:type="dxa"/>
              <w:right w:w="28" w:type="dxa"/>
            </w:tcMar>
            <w:vAlign w:val="center"/>
          </w:tcPr>
          <w:p w14:paraId="215B3465">
            <w:pPr>
              <w:spacing w:line="560" w:lineRule="exact"/>
              <w:ind w:left="210" w:leftChars="100"/>
              <w:rPr>
                <w:rFonts w:ascii="仿宋" w:hAnsi="仿宋" w:eastAsia="仿宋" w:cs="仿宋"/>
                <w:sz w:val="28"/>
                <w:szCs w:val="28"/>
              </w:rPr>
            </w:pPr>
          </w:p>
        </w:tc>
      </w:tr>
      <w:tr w14:paraId="40E4A8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4EE1ED24">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07FDD63F">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214EC1B7">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3D9A2225">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14899AE6">
            <w:pPr>
              <w:spacing w:line="560" w:lineRule="exact"/>
              <w:ind w:left="210" w:leftChars="100"/>
              <w:rPr>
                <w:rFonts w:ascii="仿宋" w:hAnsi="仿宋" w:eastAsia="仿宋" w:cs="仿宋"/>
                <w:sz w:val="28"/>
                <w:szCs w:val="28"/>
              </w:rPr>
            </w:pPr>
          </w:p>
        </w:tc>
      </w:tr>
      <w:tr w14:paraId="0ACD37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2DA87A9F">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6554E0B9">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2E8A59D8">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4C8A3D52">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4AF8662C">
            <w:pPr>
              <w:spacing w:line="560" w:lineRule="exact"/>
              <w:ind w:left="210" w:leftChars="100"/>
              <w:rPr>
                <w:rFonts w:ascii="仿宋" w:hAnsi="仿宋" w:eastAsia="仿宋" w:cs="仿宋"/>
                <w:sz w:val="28"/>
                <w:szCs w:val="28"/>
              </w:rPr>
            </w:pPr>
          </w:p>
        </w:tc>
      </w:tr>
      <w:tr w14:paraId="6ECF0B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7739BD83">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1B9F7A5D">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02C58703">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06264F7A">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1CE0B7FA">
            <w:pPr>
              <w:spacing w:line="560" w:lineRule="exact"/>
              <w:ind w:left="210" w:leftChars="100"/>
              <w:rPr>
                <w:rFonts w:ascii="仿宋" w:hAnsi="仿宋" w:eastAsia="仿宋" w:cs="仿宋"/>
                <w:sz w:val="28"/>
                <w:szCs w:val="28"/>
              </w:rPr>
            </w:pPr>
          </w:p>
        </w:tc>
      </w:tr>
      <w:tr w14:paraId="006E09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0C6B0C6C">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38CD8EDD">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1EE087BC">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71BEF227">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11F4E1A0">
            <w:pPr>
              <w:spacing w:line="560" w:lineRule="exact"/>
              <w:ind w:left="210" w:leftChars="100"/>
              <w:rPr>
                <w:rFonts w:ascii="仿宋" w:hAnsi="仿宋" w:eastAsia="仿宋" w:cs="仿宋"/>
                <w:sz w:val="28"/>
                <w:szCs w:val="28"/>
              </w:rPr>
            </w:pPr>
          </w:p>
        </w:tc>
      </w:tr>
    </w:tbl>
    <w:p w14:paraId="1890B9D9">
      <w:pPr>
        <w:rPr>
          <w:rFonts w:hint="eastAsia" w:ascii="仿宋" w:hAnsi="仿宋" w:eastAsia="仿宋" w:cs="仿宋"/>
          <w:szCs w:val="24"/>
        </w:rPr>
      </w:pPr>
      <w:r>
        <w:rPr>
          <w:rFonts w:hint="eastAsia" w:ascii="仿宋" w:hAnsi="仿宋" w:eastAsia="仿宋" w:cs="仿宋"/>
          <w:szCs w:val="24"/>
        </w:rPr>
        <w:t>注：1、供应商必须据实填写，不得虚假响应，否则将取消其评审或成交资格。</w:t>
      </w:r>
    </w:p>
    <w:p w14:paraId="3C7F814D">
      <w:pPr>
        <w:ind w:firstLine="420" w:firstLineChars="200"/>
        <w:rPr>
          <w:rFonts w:hint="eastAsia" w:ascii="仿宋" w:hAnsi="仿宋" w:eastAsia="仿宋" w:cs="仿宋"/>
        </w:rPr>
      </w:pPr>
      <w:r>
        <w:rPr>
          <w:rFonts w:hint="eastAsia" w:ascii="仿宋" w:hAnsi="仿宋" w:eastAsia="仿宋" w:cs="仿宋"/>
          <w:szCs w:val="24"/>
        </w:rPr>
        <w:t>2、此表可拓展</w:t>
      </w:r>
      <w:r>
        <w:rPr>
          <w:rFonts w:hint="eastAsia" w:ascii="仿宋" w:hAnsi="仿宋" w:eastAsia="仿宋" w:cs="仿宋"/>
        </w:rPr>
        <w:t>。</w:t>
      </w:r>
    </w:p>
    <w:p w14:paraId="31DEF87B">
      <w:pPr>
        <w:ind w:firstLine="420" w:firstLineChars="200"/>
        <w:rPr>
          <w:rFonts w:ascii="仿宋" w:hAnsi="仿宋" w:eastAsia="仿宋" w:cs="仿宋"/>
          <w:szCs w:val="24"/>
        </w:rPr>
      </w:pPr>
      <w:r>
        <w:rPr>
          <w:rFonts w:hint="eastAsia" w:ascii="仿宋" w:hAnsi="仿宋" w:eastAsia="仿宋" w:cs="仿宋"/>
        </w:rPr>
        <w:t>3、须附技术参数中要求内容</w:t>
      </w:r>
      <w:r>
        <w:rPr>
          <w:rFonts w:hint="eastAsia" w:ascii="仿宋" w:hAnsi="仿宋" w:eastAsia="仿宋" w:cs="仿宋"/>
          <w:lang w:eastAsia="zh-CN"/>
        </w:rPr>
        <w:t>，</w:t>
      </w:r>
      <w:r>
        <w:rPr>
          <w:rFonts w:hint="eastAsia" w:ascii="仿宋" w:hAnsi="仿宋" w:eastAsia="仿宋" w:cs="仿宋"/>
          <w:lang w:val="en-US" w:eastAsia="zh-CN"/>
        </w:rPr>
        <w:t>响应文件技术响应出现</w:t>
      </w:r>
      <w:r>
        <w:rPr>
          <w:rFonts w:hint="eastAsia" w:ascii="仿宋" w:hAnsi="仿宋" w:eastAsia="仿宋" w:cs="仿宋"/>
        </w:rPr>
        <w:t>负偏离</w:t>
      </w:r>
      <w:r>
        <w:rPr>
          <w:rFonts w:hint="eastAsia" w:ascii="仿宋" w:hAnsi="仿宋" w:eastAsia="仿宋" w:cs="仿宋"/>
          <w:lang w:eastAsia="zh-CN"/>
        </w:rPr>
        <w:t>，</w:t>
      </w:r>
      <w:r>
        <w:rPr>
          <w:rFonts w:hint="eastAsia" w:ascii="仿宋" w:hAnsi="仿宋" w:eastAsia="仿宋" w:cs="仿宋"/>
        </w:rPr>
        <w:t>取消报价资格。</w:t>
      </w:r>
    </w:p>
    <w:p w14:paraId="722A1EEE">
      <w:pPr>
        <w:spacing w:line="360" w:lineRule="auto"/>
        <w:ind w:left="210" w:leftChars="100"/>
        <w:rPr>
          <w:rFonts w:ascii="仿宋" w:hAnsi="仿宋" w:eastAsia="仿宋" w:cs="仿宋"/>
          <w:szCs w:val="24"/>
        </w:rPr>
      </w:pPr>
      <w:r>
        <w:rPr>
          <w:rFonts w:hint="eastAsia" w:ascii="仿宋" w:hAnsi="仿宋" w:eastAsia="仿宋" w:cs="仿宋"/>
          <w:szCs w:val="24"/>
          <w:lang w:val="zh-CN"/>
        </w:rPr>
        <w:t>法定代表人或被授权人（签字或盖章）</w:t>
      </w:r>
      <w:r>
        <w:rPr>
          <w:rFonts w:hint="eastAsia" w:ascii="仿宋" w:hAnsi="仿宋" w:eastAsia="仿宋" w:cs="仿宋"/>
          <w:szCs w:val="24"/>
        </w:rPr>
        <w:t>：</w:t>
      </w:r>
    </w:p>
    <w:p w14:paraId="4A99AD65">
      <w:pPr>
        <w:spacing w:line="360" w:lineRule="auto"/>
        <w:ind w:left="210" w:leftChars="100"/>
        <w:rPr>
          <w:rFonts w:ascii="仿宋" w:hAnsi="仿宋" w:eastAsia="仿宋" w:cs="仿宋"/>
          <w:szCs w:val="24"/>
        </w:rPr>
      </w:pPr>
      <w:r>
        <w:rPr>
          <w:rFonts w:hint="eastAsia" w:ascii="仿宋" w:hAnsi="仿宋" w:eastAsia="仿宋" w:cs="仿宋"/>
          <w:szCs w:val="24"/>
        </w:rPr>
        <w:t xml:space="preserve">供应商单位公章： </w:t>
      </w:r>
    </w:p>
    <w:p w14:paraId="6B62B961">
      <w:pPr>
        <w:spacing w:line="360" w:lineRule="auto"/>
        <w:ind w:firstLine="210" w:firstLineChars="100"/>
        <w:rPr>
          <w:rFonts w:ascii="仿宋" w:hAnsi="仿宋" w:eastAsia="仿宋" w:cs="仿宋"/>
          <w:szCs w:val="24"/>
        </w:rPr>
      </w:pPr>
      <w:r>
        <w:rPr>
          <w:rFonts w:hint="eastAsia" w:ascii="仿宋" w:hAnsi="仿宋" w:eastAsia="仿宋" w:cs="仿宋"/>
          <w:szCs w:val="24"/>
        </w:rPr>
        <w:t>日          期：</w:t>
      </w:r>
    </w:p>
    <w:p w14:paraId="1EEED376">
      <w:pPr>
        <w:rPr>
          <w:rFonts w:ascii="仿宋" w:hAnsi="仿宋" w:eastAsia="仿宋" w:cs="仿宋"/>
          <w:szCs w:val="24"/>
        </w:rPr>
      </w:pPr>
      <w:r>
        <w:rPr>
          <w:rFonts w:hint="eastAsia" w:ascii="仿宋" w:hAnsi="仿宋" w:eastAsia="仿宋" w:cs="仿宋"/>
          <w:szCs w:val="24"/>
        </w:rPr>
        <w:br w:type="page"/>
      </w:r>
    </w:p>
    <w:p w14:paraId="7A2B5B99">
      <w:pPr>
        <w:spacing w:line="360" w:lineRule="auto"/>
        <w:jc w:val="left"/>
        <w:rPr>
          <w:rFonts w:ascii="仿宋" w:hAnsi="仿宋" w:eastAsia="仿宋" w:cs="仿宋"/>
          <w:b/>
          <w:bCs/>
          <w:color w:val="FF0000"/>
          <w:sz w:val="32"/>
          <w:szCs w:val="32"/>
        </w:rPr>
      </w:pPr>
      <w:r>
        <w:rPr>
          <w:rFonts w:hint="eastAsia" w:ascii="仿宋" w:hAnsi="仿宋" w:eastAsia="仿宋" w:cs="仿宋"/>
          <w:b/>
          <w:bCs/>
          <w:sz w:val="32"/>
          <w:szCs w:val="32"/>
        </w:rPr>
        <w:t>5．商务参数响应偏离表</w:t>
      </w:r>
    </w:p>
    <w:p w14:paraId="5F0521C5">
      <w:pPr>
        <w:spacing w:line="560" w:lineRule="exact"/>
        <w:ind w:left="210" w:leftChars="100"/>
        <w:rPr>
          <w:rFonts w:ascii="仿宋" w:hAnsi="仿宋" w:eastAsia="仿宋" w:cs="仿宋"/>
          <w:sz w:val="28"/>
          <w:szCs w:val="28"/>
        </w:rPr>
      </w:pPr>
      <w:r>
        <w:rPr>
          <w:rFonts w:hint="eastAsia" w:ascii="仿宋" w:hAnsi="仿宋" w:eastAsia="仿宋" w:cs="仿宋"/>
          <w:bCs/>
          <w:kern w:val="0"/>
          <w:sz w:val="28"/>
          <w:szCs w:val="28"/>
        </w:rPr>
        <w:t>项目</w:t>
      </w:r>
      <w:r>
        <w:rPr>
          <w:rFonts w:hint="eastAsia" w:ascii="仿宋" w:hAnsi="仿宋" w:eastAsia="仿宋" w:cs="仿宋"/>
          <w:sz w:val="28"/>
          <w:szCs w:val="28"/>
        </w:rPr>
        <w:t xml:space="preserve">名称：                            </w:t>
      </w:r>
    </w:p>
    <w:tbl>
      <w:tblPr>
        <w:tblStyle w:val="17"/>
        <w:tblpPr w:leftFromText="180" w:rightFromText="180" w:vertAnchor="text" w:horzAnchor="page" w:tblpX="1312" w:tblpY="290"/>
        <w:tblOverlap w:val="never"/>
        <w:tblW w:w="91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319"/>
      </w:tblGrid>
      <w:tr w14:paraId="71D216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6FF71E00">
            <w:pPr>
              <w:spacing w:line="560" w:lineRule="exact"/>
              <w:ind w:left="40" w:leftChars="19"/>
              <w:jc w:val="center"/>
              <w:rPr>
                <w:rFonts w:ascii="仿宋" w:hAnsi="仿宋" w:eastAsia="仿宋" w:cs="仿宋"/>
                <w:b/>
                <w:sz w:val="28"/>
                <w:szCs w:val="28"/>
              </w:rPr>
            </w:pPr>
            <w:r>
              <w:rPr>
                <w:rFonts w:hint="eastAsia" w:ascii="仿宋" w:hAnsi="仿宋" w:eastAsia="仿宋" w:cs="仿宋"/>
                <w:b/>
                <w:sz w:val="28"/>
                <w:szCs w:val="28"/>
              </w:rPr>
              <w:t>序号</w:t>
            </w:r>
          </w:p>
        </w:tc>
        <w:tc>
          <w:tcPr>
            <w:tcW w:w="2883" w:type="dxa"/>
            <w:tcMar>
              <w:top w:w="57" w:type="dxa"/>
              <w:left w:w="28" w:type="dxa"/>
              <w:bottom w:w="57" w:type="dxa"/>
              <w:right w:w="28" w:type="dxa"/>
            </w:tcMar>
            <w:vAlign w:val="center"/>
          </w:tcPr>
          <w:p w14:paraId="25E38C67">
            <w:pPr>
              <w:spacing w:line="560" w:lineRule="exact"/>
              <w:ind w:left="210" w:leftChars="100"/>
              <w:jc w:val="center"/>
              <w:rPr>
                <w:rFonts w:hint="eastAsia" w:ascii="仿宋" w:hAnsi="仿宋" w:eastAsia="仿宋" w:cs="仿宋"/>
                <w:b/>
                <w:sz w:val="28"/>
                <w:szCs w:val="28"/>
              </w:rPr>
            </w:pPr>
            <w:r>
              <w:rPr>
                <w:rFonts w:hint="eastAsia" w:ascii="仿宋" w:hAnsi="仿宋" w:eastAsia="仿宋" w:cs="仿宋"/>
                <w:b/>
                <w:sz w:val="28"/>
                <w:szCs w:val="28"/>
              </w:rPr>
              <w:t>询价文件</w:t>
            </w:r>
          </w:p>
          <w:p w14:paraId="1F3891F0">
            <w:pPr>
              <w:spacing w:line="560" w:lineRule="exact"/>
              <w:ind w:left="210" w:leftChars="100"/>
              <w:jc w:val="center"/>
              <w:rPr>
                <w:rFonts w:ascii="仿宋" w:hAnsi="仿宋" w:eastAsia="仿宋" w:cs="仿宋"/>
                <w:b/>
                <w:sz w:val="28"/>
                <w:szCs w:val="28"/>
              </w:rPr>
            </w:pPr>
            <w:r>
              <w:rPr>
                <w:rFonts w:hint="eastAsia" w:ascii="仿宋" w:hAnsi="仿宋" w:eastAsia="仿宋" w:cs="仿宋"/>
                <w:b/>
                <w:sz w:val="28"/>
                <w:szCs w:val="28"/>
              </w:rPr>
              <w:t>商务要求</w:t>
            </w:r>
          </w:p>
        </w:tc>
        <w:tc>
          <w:tcPr>
            <w:tcW w:w="2659" w:type="dxa"/>
            <w:tcMar>
              <w:top w:w="57" w:type="dxa"/>
              <w:left w:w="28" w:type="dxa"/>
              <w:bottom w:w="57" w:type="dxa"/>
              <w:right w:w="28" w:type="dxa"/>
            </w:tcMar>
            <w:vAlign w:val="center"/>
          </w:tcPr>
          <w:p w14:paraId="4C305F5A">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投标文件</w:t>
            </w:r>
          </w:p>
          <w:p w14:paraId="74D8EEDC">
            <w:pPr>
              <w:spacing w:line="560" w:lineRule="exact"/>
              <w:jc w:val="center"/>
              <w:rPr>
                <w:rFonts w:ascii="仿宋" w:hAnsi="仿宋" w:eastAsia="仿宋" w:cs="仿宋"/>
                <w:b/>
                <w:sz w:val="28"/>
                <w:szCs w:val="28"/>
              </w:rPr>
            </w:pPr>
            <w:r>
              <w:rPr>
                <w:rFonts w:hint="eastAsia" w:ascii="仿宋" w:hAnsi="仿宋" w:eastAsia="仿宋" w:cs="仿宋"/>
                <w:b/>
                <w:sz w:val="28"/>
                <w:szCs w:val="28"/>
              </w:rPr>
              <w:t>商务响应</w:t>
            </w:r>
          </w:p>
        </w:tc>
        <w:tc>
          <w:tcPr>
            <w:tcW w:w="1689" w:type="dxa"/>
            <w:tcMar>
              <w:top w:w="57" w:type="dxa"/>
              <w:left w:w="28" w:type="dxa"/>
              <w:bottom w:w="57" w:type="dxa"/>
              <w:right w:w="28" w:type="dxa"/>
            </w:tcMar>
            <w:vAlign w:val="center"/>
          </w:tcPr>
          <w:p w14:paraId="449B3FD6">
            <w:pPr>
              <w:spacing w:line="560" w:lineRule="exact"/>
              <w:jc w:val="center"/>
              <w:rPr>
                <w:rFonts w:ascii="仿宋" w:hAnsi="仿宋" w:eastAsia="仿宋" w:cs="仿宋"/>
                <w:b/>
                <w:sz w:val="28"/>
                <w:szCs w:val="28"/>
              </w:rPr>
            </w:pPr>
            <w:r>
              <w:rPr>
                <w:rFonts w:hint="eastAsia" w:ascii="仿宋" w:hAnsi="仿宋" w:eastAsia="仿宋" w:cs="仿宋"/>
                <w:b/>
                <w:sz w:val="28"/>
                <w:szCs w:val="28"/>
              </w:rPr>
              <w:t>偏离情况</w:t>
            </w:r>
          </w:p>
        </w:tc>
        <w:tc>
          <w:tcPr>
            <w:tcW w:w="1319" w:type="dxa"/>
            <w:tcMar>
              <w:top w:w="57" w:type="dxa"/>
              <w:left w:w="28" w:type="dxa"/>
              <w:bottom w:w="57" w:type="dxa"/>
              <w:right w:w="28" w:type="dxa"/>
            </w:tcMar>
            <w:vAlign w:val="center"/>
          </w:tcPr>
          <w:p w14:paraId="30FBE591">
            <w:pPr>
              <w:spacing w:line="560" w:lineRule="exact"/>
              <w:jc w:val="center"/>
              <w:rPr>
                <w:rFonts w:ascii="仿宋" w:hAnsi="仿宋" w:eastAsia="仿宋" w:cs="仿宋"/>
                <w:b/>
                <w:sz w:val="28"/>
                <w:szCs w:val="28"/>
              </w:rPr>
            </w:pPr>
            <w:r>
              <w:rPr>
                <w:rFonts w:hint="eastAsia" w:ascii="仿宋" w:hAnsi="仿宋" w:eastAsia="仿宋" w:cs="仿宋"/>
                <w:b/>
                <w:sz w:val="28"/>
                <w:szCs w:val="28"/>
              </w:rPr>
              <w:t>说 明</w:t>
            </w:r>
          </w:p>
        </w:tc>
      </w:tr>
      <w:tr w14:paraId="0E558E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Borders>
              <w:bottom w:val="single" w:color="auto" w:sz="4" w:space="0"/>
            </w:tcBorders>
            <w:tcMar>
              <w:top w:w="57" w:type="dxa"/>
              <w:left w:w="28" w:type="dxa"/>
              <w:bottom w:w="57" w:type="dxa"/>
              <w:right w:w="28" w:type="dxa"/>
            </w:tcMar>
            <w:vAlign w:val="center"/>
          </w:tcPr>
          <w:p w14:paraId="39820471">
            <w:pPr>
              <w:spacing w:line="560" w:lineRule="exact"/>
              <w:ind w:left="210" w:leftChars="100"/>
              <w:rPr>
                <w:rFonts w:ascii="仿宋" w:hAnsi="仿宋" w:eastAsia="仿宋" w:cs="仿宋"/>
                <w:sz w:val="28"/>
                <w:szCs w:val="28"/>
              </w:rPr>
            </w:pPr>
          </w:p>
        </w:tc>
        <w:tc>
          <w:tcPr>
            <w:tcW w:w="2883" w:type="dxa"/>
            <w:tcBorders>
              <w:bottom w:val="single" w:color="auto" w:sz="4" w:space="0"/>
            </w:tcBorders>
            <w:tcMar>
              <w:top w:w="57" w:type="dxa"/>
              <w:left w:w="28" w:type="dxa"/>
              <w:bottom w:w="57" w:type="dxa"/>
              <w:right w:w="28" w:type="dxa"/>
            </w:tcMar>
            <w:vAlign w:val="center"/>
          </w:tcPr>
          <w:p w14:paraId="6817A90A">
            <w:pPr>
              <w:spacing w:line="560" w:lineRule="exact"/>
              <w:ind w:left="210" w:leftChars="100"/>
              <w:rPr>
                <w:rFonts w:ascii="仿宋" w:hAnsi="仿宋" w:eastAsia="仿宋" w:cs="仿宋"/>
                <w:sz w:val="28"/>
                <w:szCs w:val="28"/>
              </w:rPr>
            </w:pPr>
          </w:p>
        </w:tc>
        <w:tc>
          <w:tcPr>
            <w:tcW w:w="2659" w:type="dxa"/>
            <w:tcBorders>
              <w:bottom w:val="single" w:color="auto" w:sz="4" w:space="0"/>
            </w:tcBorders>
            <w:tcMar>
              <w:top w:w="57" w:type="dxa"/>
              <w:left w:w="28" w:type="dxa"/>
              <w:bottom w:w="57" w:type="dxa"/>
              <w:right w:w="28" w:type="dxa"/>
            </w:tcMar>
            <w:vAlign w:val="center"/>
          </w:tcPr>
          <w:p w14:paraId="122039FE">
            <w:pPr>
              <w:spacing w:line="560" w:lineRule="exact"/>
              <w:ind w:left="210" w:leftChars="100"/>
              <w:rPr>
                <w:rFonts w:ascii="仿宋" w:hAnsi="仿宋" w:eastAsia="仿宋" w:cs="仿宋"/>
                <w:sz w:val="28"/>
                <w:szCs w:val="28"/>
              </w:rPr>
            </w:pPr>
          </w:p>
        </w:tc>
        <w:tc>
          <w:tcPr>
            <w:tcW w:w="1689" w:type="dxa"/>
            <w:tcBorders>
              <w:bottom w:val="single" w:color="auto" w:sz="4" w:space="0"/>
            </w:tcBorders>
            <w:tcMar>
              <w:top w:w="57" w:type="dxa"/>
              <w:left w:w="28" w:type="dxa"/>
              <w:bottom w:w="57" w:type="dxa"/>
              <w:right w:w="28" w:type="dxa"/>
            </w:tcMar>
            <w:vAlign w:val="center"/>
          </w:tcPr>
          <w:p w14:paraId="4BF53253">
            <w:pPr>
              <w:spacing w:line="560" w:lineRule="exact"/>
              <w:rPr>
                <w:rFonts w:ascii="仿宋" w:hAnsi="仿宋" w:eastAsia="仿宋" w:cs="仿宋"/>
                <w:sz w:val="28"/>
                <w:szCs w:val="28"/>
              </w:rPr>
            </w:pPr>
          </w:p>
        </w:tc>
        <w:tc>
          <w:tcPr>
            <w:tcW w:w="1319" w:type="dxa"/>
            <w:tcBorders>
              <w:bottom w:val="single" w:color="auto" w:sz="4" w:space="0"/>
            </w:tcBorders>
            <w:tcMar>
              <w:top w:w="57" w:type="dxa"/>
              <w:left w:w="28" w:type="dxa"/>
              <w:bottom w:w="57" w:type="dxa"/>
              <w:right w:w="28" w:type="dxa"/>
            </w:tcMar>
            <w:vAlign w:val="center"/>
          </w:tcPr>
          <w:p w14:paraId="647860B2">
            <w:pPr>
              <w:spacing w:line="560" w:lineRule="exact"/>
              <w:ind w:left="210" w:leftChars="100"/>
              <w:rPr>
                <w:rFonts w:ascii="仿宋" w:hAnsi="仿宋" w:eastAsia="仿宋" w:cs="仿宋"/>
                <w:sz w:val="28"/>
                <w:szCs w:val="28"/>
              </w:rPr>
            </w:pPr>
          </w:p>
        </w:tc>
      </w:tr>
      <w:tr w14:paraId="341F0B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07FC3C05">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7DDDB0EB">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16B497D7">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05E5C2A7">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48106FD9">
            <w:pPr>
              <w:spacing w:line="560" w:lineRule="exact"/>
              <w:ind w:left="210" w:leftChars="100"/>
              <w:rPr>
                <w:rFonts w:ascii="仿宋" w:hAnsi="仿宋" w:eastAsia="仿宋" w:cs="仿宋"/>
                <w:sz w:val="28"/>
                <w:szCs w:val="28"/>
              </w:rPr>
            </w:pPr>
          </w:p>
        </w:tc>
      </w:tr>
      <w:tr w14:paraId="4A3891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4999D57D">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61BF25B7">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5088D89F">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102C2E56">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0F92DF5A">
            <w:pPr>
              <w:spacing w:line="560" w:lineRule="exact"/>
              <w:ind w:left="210" w:leftChars="100"/>
              <w:rPr>
                <w:rFonts w:ascii="仿宋" w:hAnsi="仿宋" w:eastAsia="仿宋" w:cs="仿宋"/>
                <w:sz w:val="28"/>
                <w:szCs w:val="28"/>
              </w:rPr>
            </w:pPr>
          </w:p>
        </w:tc>
      </w:tr>
      <w:tr w14:paraId="7A7355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6BDF0A0A">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356ACFC8">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7EDA2927">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6235F30F">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3144D52B">
            <w:pPr>
              <w:spacing w:line="560" w:lineRule="exact"/>
              <w:ind w:left="210" w:leftChars="100"/>
              <w:rPr>
                <w:rFonts w:ascii="仿宋" w:hAnsi="仿宋" w:eastAsia="仿宋" w:cs="仿宋"/>
                <w:sz w:val="28"/>
                <w:szCs w:val="28"/>
              </w:rPr>
            </w:pPr>
          </w:p>
        </w:tc>
      </w:tr>
      <w:tr w14:paraId="22844E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3237E893">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7AE145C3">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44AD2A1C">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49121726">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54545014">
            <w:pPr>
              <w:spacing w:line="560" w:lineRule="exact"/>
              <w:ind w:left="210" w:leftChars="100"/>
              <w:rPr>
                <w:rFonts w:ascii="仿宋" w:hAnsi="仿宋" w:eastAsia="仿宋" w:cs="仿宋"/>
                <w:sz w:val="28"/>
                <w:szCs w:val="28"/>
              </w:rPr>
            </w:pPr>
          </w:p>
        </w:tc>
      </w:tr>
      <w:tr w14:paraId="45A016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5AA1E221">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71DEAB8D">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06577635">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24B2FED5">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0DD6C3E1">
            <w:pPr>
              <w:spacing w:line="560" w:lineRule="exact"/>
              <w:ind w:left="210" w:leftChars="100"/>
              <w:rPr>
                <w:rFonts w:ascii="仿宋" w:hAnsi="仿宋" w:eastAsia="仿宋" w:cs="仿宋"/>
                <w:sz w:val="28"/>
                <w:szCs w:val="28"/>
              </w:rPr>
            </w:pPr>
          </w:p>
        </w:tc>
      </w:tr>
      <w:tr w14:paraId="7B3E1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26B4C670">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4C716810">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6CAF51F5">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0FC8049D">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09D20DD3">
            <w:pPr>
              <w:spacing w:line="560" w:lineRule="exact"/>
              <w:ind w:left="210" w:leftChars="100"/>
              <w:rPr>
                <w:rFonts w:ascii="仿宋" w:hAnsi="仿宋" w:eastAsia="仿宋" w:cs="仿宋"/>
                <w:sz w:val="28"/>
                <w:szCs w:val="28"/>
              </w:rPr>
            </w:pPr>
          </w:p>
        </w:tc>
      </w:tr>
      <w:tr w14:paraId="63045F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tcBorders>
              <w:bottom w:val="single" w:color="auto" w:sz="4" w:space="0"/>
            </w:tcBorders>
            <w:tcMar>
              <w:top w:w="57" w:type="dxa"/>
              <w:left w:w="28" w:type="dxa"/>
              <w:bottom w:w="57" w:type="dxa"/>
              <w:right w:w="28" w:type="dxa"/>
            </w:tcMar>
            <w:vAlign w:val="center"/>
          </w:tcPr>
          <w:p w14:paraId="2DB5057F">
            <w:pPr>
              <w:spacing w:line="560" w:lineRule="exact"/>
              <w:ind w:left="210" w:leftChars="100"/>
              <w:rPr>
                <w:rFonts w:ascii="仿宋" w:hAnsi="仿宋" w:eastAsia="仿宋" w:cs="仿宋"/>
                <w:sz w:val="28"/>
                <w:szCs w:val="28"/>
              </w:rPr>
            </w:pPr>
          </w:p>
        </w:tc>
        <w:tc>
          <w:tcPr>
            <w:tcW w:w="2883" w:type="dxa"/>
            <w:tcBorders>
              <w:bottom w:val="single" w:color="auto" w:sz="4" w:space="0"/>
            </w:tcBorders>
            <w:tcMar>
              <w:top w:w="57" w:type="dxa"/>
              <w:left w:w="28" w:type="dxa"/>
              <w:bottom w:w="57" w:type="dxa"/>
              <w:right w:w="28" w:type="dxa"/>
            </w:tcMar>
            <w:vAlign w:val="center"/>
          </w:tcPr>
          <w:p w14:paraId="6FC90FC6">
            <w:pPr>
              <w:spacing w:line="560" w:lineRule="exact"/>
              <w:ind w:left="210" w:leftChars="100"/>
              <w:rPr>
                <w:rFonts w:ascii="仿宋" w:hAnsi="仿宋" w:eastAsia="仿宋" w:cs="仿宋"/>
                <w:sz w:val="28"/>
                <w:szCs w:val="28"/>
              </w:rPr>
            </w:pPr>
          </w:p>
        </w:tc>
        <w:tc>
          <w:tcPr>
            <w:tcW w:w="2659" w:type="dxa"/>
            <w:tcBorders>
              <w:bottom w:val="single" w:color="auto" w:sz="4" w:space="0"/>
            </w:tcBorders>
            <w:tcMar>
              <w:top w:w="57" w:type="dxa"/>
              <w:left w:w="28" w:type="dxa"/>
              <w:bottom w:w="57" w:type="dxa"/>
              <w:right w:w="28" w:type="dxa"/>
            </w:tcMar>
            <w:vAlign w:val="center"/>
          </w:tcPr>
          <w:p w14:paraId="412907F0">
            <w:pPr>
              <w:spacing w:line="560" w:lineRule="exact"/>
              <w:ind w:left="210" w:leftChars="100"/>
              <w:rPr>
                <w:rFonts w:ascii="仿宋" w:hAnsi="仿宋" w:eastAsia="仿宋" w:cs="仿宋"/>
                <w:sz w:val="28"/>
                <w:szCs w:val="28"/>
              </w:rPr>
            </w:pPr>
          </w:p>
        </w:tc>
        <w:tc>
          <w:tcPr>
            <w:tcW w:w="1689" w:type="dxa"/>
            <w:tcBorders>
              <w:bottom w:val="single" w:color="auto" w:sz="4" w:space="0"/>
            </w:tcBorders>
            <w:tcMar>
              <w:top w:w="57" w:type="dxa"/>
              <w:left w:w="28" w:type="dxa"/>
              <w:bottom w:w="57" w:type="dxa"/>
              <w:right w:w="28" w:type="dxa"/>
            </w:tcMar>
            <w:vAlign w:val="center"/>
          </w:tcPr>
          <w:p w14:paraId="24831429">
            <w:pPr>
              <w:spacing w:line="560" w:lineRule="exact"/>
              <w:rPr>
                <w:rFonts w:ascii="仿宋" w:hAnsi="仿宋" w:eastAsia="仿宋" w:cs="仿宋"/>
                <w:sz w:val="28"/>
                <w:szCs w:val="28"/>
              </w:rPr>
            </w:pPr>
          </w:p>
        </w:tc>
        <w:tc>
          <w:tcPr>
            <w:tcW w:w="1319" w:type="dxa"/>
            <w:tcBorders>
              <w:bottom w:val="single" w:color="auto" w:sz="4" w:space="0"/>
            </w:tcBorders>
            <w:tcMar>
              <w:top w:w="57" w:type="dxa"/>
              <w:left w:w="28" w:type="dxa"/>
              <w:bottom w:w="57" w:type="dxa"/>
              <w:right w:w="28" w:type="dxa"/>
            </w:tcMar>
            <w:vAlign w:val="center"/>
          </w:tcPr>
          <w:p w14:paraId="2E22F50D">
            <w:pPr>
              <w:spacing w:line="560" w:lineRule="exact"/>
              <w:ind w:left="210" w:leftChars="100"/>
              <w:rPr>
                <w:rFonts w:ascii="仿宋" w:hAnsi="仿宋" w:eastAsia="仿宋" w:cs="仿宋"/>
                <w:sz w:val="28"/>
                <w:szCs w:val="28"/>
              </w:rPr>
            </w:pPr>
          </w:p>
        </w:tc>
      </w:tr>
      <w:tr w14:paraId="0F7D60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720823F1">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42512E19">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2639AB97">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3E560E88">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3A43991C">
            <w:pPr>
              <w:spacing w:line="560" w:lineRule="exact"/>
              <w:ind w:left="210" w:leftChars="100"/>
              <w:rPr>
                <w:rFonts w:ascii="仿宋" w:hAnsi="仿宋" w:eastAsia="仿宋" w:cs="仿宋"/>
                <w:sz w:val="28"/>
                <w:szCs w:val="28"/>
              </w:rPr>
            </w:pPr>
          </w:p>
        </w:tc>
      </w:tr>
      <w:tr w14:paraId="6FAD3E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586B036A">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0FCE3774">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423A8496">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0A94EC63">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5D201CAA">
            <w:pPr>
              <w:spacing w:line="560" w:lineRule="exact"/>
              <w:ind w:left="210" w:leftChars="100"/>
              <w:rPr>
                <w:rFonts w:ascii="仿宋" w:hAnsi="仿宋" w:eastAsia="仿宋" w:cs="仿宋"/>
                <w:sz w:val="28"/>
                <w:szCs w:val="28"/>
              </w:rPr>
            </w:pPr>
          </w:p>
        </w:tc>
      </w:tr>
      <w:tr w14:paraId="10980B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559BE2B2">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4D5C4D8C">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32495B7E">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116ED9A3">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7AF5BA20">
            <w:pPr>
              <w:spacing w:line="560" w:lineRule="exact"/>
              <w:ind w:left="210" w:leftChars="100"/>
              <w:rPr>
                <w:rFonts w:ascii="仿宋" w:hAnsi="仿宋" w:eastAsia="仿宋" w:cs="仿宋"/>
                <w:sz w:val="28"/>
                <w:szCs w:val="28"/>
              </w:rPr>
            </w:pPr>
          </w:p>
        </w:tc>
      </w:tr>
      <w:tr w14:paraId="00CB30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4429E1D6">
            <w:pPr>
              <w:spacing w:line="560" w:lineRule="exact"/>
              <w:ind w:left="210" w:leftChars="100"/>
              <w:rPr>
                <w:rFonts w:ascii="仿宋" w:hAnsi="仿宋" w:eastAsia="仿宋" w:cs="仿宋"/>
                <w:sz w:val="28"/>
                <w:szCs w:val="28"/>
              </w:rPr>
            </w:pPr>
          </w:p>
        </w:tc>
        <w:tc>
          <w:tcPr>
            <w:tcW w:w="2883" w:type="dxa"/>
            <w:tcMar>
              <w:top w:w="57" w:type="dxa"/>
              <w:left w:w="28" w:type="dxa"/>
              <w:bottom w:w="57" w:type="dxa"/>
              <w:right w:w="28" w:type="dxa"/>
            </w:tcMar>
            <w:vAlign w:val="center"/>
          </w:tcPr>
          <w:p w14:paraId="1E665E4A">
            <w:pPr>
              <w:spacing w:line="560" w:lineRule="exact"/>
              <w:ind w:left="210" w:leftChars="100"/>
              <w:rPr>
                <w:rFonts w:ascii="仿宋" w:hAnsi="仿宋" w:eastAsia="仿宋" w:cs="仿宋"/>
                <w:sz w:val="28"/>
                <w:szCs w:val="28"/>
              </w:rPr>
            </w:pPr>
          </w:p>
        </w:tc>
        <w:tc>
          <w:tcPr>
            <w:tcW w:w="2659" w:type="dxa"/>
            <w:tcMar>
              <w:top w:w="57" w:type="dxa"/>
              <w:left w:w="28" w:type="dxa"/>
              <w:bottom w:w="57" w:type="dxa"/>
              <w:right w:w="28" w:type="dxa"/>
            </w:tcMar>
            <w:vAlign w:val="center"/>
          </w:tcPr>
          <w:p w14:paraId="6366EAB8">
            <w:pPr>
              <w:spacing w:line="560" w:lineRule="exact"/>
              <w:ind w:left="210" w:leftChars="100"/>
              <w:rPr>
                <w:rFonts w:ascii="仿宋" w:hAnsi="仿宋" w:eastAsia="仿宋" w:cs="仿宋"/>
                <w:sz w:val="28"/>
                <w:szCs w:val="28"/>
              </w:rPr>
            </w:pPr>
          </w:p>
        </w:tc>
        <w:tc>
          <w:tcPr>
            <w:tcW w:w="1689" w:type="dxa"/>
            <w:tcMar>
              <w:top w:w="57" w:type="dxa"/>
              <w:left w:w="28" w:type="dxa"/>
              <w:bottom w:w="57" w:type="dxa"/>
              <w:right w:w="28" w:type="dxa"/>
            </w:tcMar>
            <w:vAlign w:val="center"/>
          </w:tcPr>
          <w:p w14:paraId="4E9A68C6">
            <w:pPr>
              <w:spacing w:line="560" w:lineRule="exact"/>
              <w:rPr>
                <w:rFonts w:ascii="仿宋" w:hAnsi="仿宋" w:eastAsia="仿宋" w:cs="仿宋"/>
                <w:sz w:val="28"/>
                <w:szCs w:val="28"/>
              </w:rPr>
            </w:pPr>
          </w:p>
        </w:tc>
        <w:tc>
          <w:tcPr>
            <w:tcW w:w="1319" w:type="dxa"/>
            <w:tcMar>
              <w:top w:w="57" w:type="dxa"/>
              <w:left w:w="28" w:type="dxa"/>
              <w:bottom w:w="57" w:type="dxa"/>
              <w:right w:w="28" w:type="dxa"/>
            </w:tcMar>
            <w:vAlign w:val="center"/>
          </w:tcPr>
          <w:p w14:paraId="5F917913">
            <w:pPr>
              <w:spacing w:line="560" w:lineRule="exact"/>
              <w:ind w:left="210" w:leftChars="100"/>
              <w:rPr>
                <w:rFonts w:ascii="仿宋" w:hAnsi="仿宋" w:eastAsia="仿宋" w:cs="仿宋"/>
                <w:sz w:val="28"/>
                <w:szCs w:val="28"/>
              </w:rPr>
            </w:pPr>
          </w:p>
        </w:tc>
      </w:tr>
    </w:tbl>
    <w:p w14:paraId="677D304F">
      <w:pPr>
        <w:rPr>
          <w:rFonts w:hint="eastAsia" w:ascii="仿宋" w:hAnsi="仿宋" w:eastAsia="仿宋" w:cs="仿宋"/>
          <w:szCs w:val="24"/>
        </w:rPr>
      </w:pPr>
      <w:r>
        <w:rPr>
          <w:rFonts w:hint="eastAsia" w:ascii="仿宋" w:hAnsi="仿宋" w:eastAsia="仿宋" w:cs="仿宋"/>
          <w:szCs w:val="24"/>
        </w:rPr>
        <w:t>注：1、供应商必须据实填写，不得虚假响应，否则将取消其评审或成交资格。</w:t>
      </w:r>
    </w:p>
    <w:p w14:paraId="7F7F0D09">
      <w:pPr>
        <w:ind w:firstLine="420" w:firstLineChars="200"/>
        <w:rPr>
          <w:rFonts w:hint="eastAsia" w:ascii="仿宋" w:hAnsi="仿宋" w:eastAsia="仿宋" w:cs="仿宋"/>
        </w:rPr>
      </w:pPr>
      <w:r>
        <w:rPr>
          <w:rFonts w:hint="eastAsia" w:ascii="仿宋" w:hAnsi="仿宋" w:eastAsia="仿宋" w:cs="仿宋"/>
          <w:szCs w:val="24"/>
        </w:rPr>
        <w:t>2、此表可拓展</w:t>
      </w:r>
      <w:r>
        <w:rPr>
          <w:rFonts w:hint="eastAsia" w:ascii="仿宋" w:hAnsi="仿宋" w:eastAsia="仿宋" w:cs="仿宋"/>
        </w:rPr>
        <w:t>。</w:t>
      </w:r>
    </w:p>
    <w:p w14:paraId="05F69622">
      <w:pPr>
        <w:ind w:firstLine="420" w:firstLineChars="200"/>
        <w:rPr>
          <w:rFonts w:ascii="仿宋" w:hAnsi="仿宋" w:eastAsia="仿宋" w:cs="仿宋"/>
          <w:szCs w:val="24"/>
        </w:rPr>
      </w:pPr>
      <w:r>
        <w:rPr>
          <w:rFonts w:hint="eastAsia" w:ascii="仿宋" w:hAnsi="仿宋" w:eastAsia="仿宋" w:cs="仿宋"/>
        </w:rPr>
        <w:t>3、须附商务参数中要求内容</w:t>
      </w:r>
      <w:r>
        <w:rPr>
          <w:rFonts w:hint="eastAsia" w:ascii="仿宋" w:hAnsi="仿宋" w:eastAsia="仿宋" w:cs="仿宋"/>
          <w:lang w:eastAsia="zh-CN"/>
        </w:rPr>
        <w:t>，</w:t>
      </w:r>
      <w:r>
        <w:rPr>
          <w:rFonts w:hint="eastAsia" w:ascii="仿宋" w:hAnsi="仿宋" w:eastAsia="仿宋" w:cs="仿宋"/>
          <w:lang w:val="en-US" w:eastAsia="zh-CN"/>
        </w:rPr>
        <w:t>响应文件商务响应出现负偏离，取消报价资格。</w:t>
      </w:r>
    </w:p>
    <w:p w14:paraId="1ED99C7B">
      <w:pPr>
        <w:spacing w:line="360" w:lineRule="auto"/>
        <w:ind w:left="210" w:leftChars="100"/>
        <w:rPr>
          <w:rFonts w:ascii="仿宋" w:hAnsi="仿宋" w:eastAsia="仿宋" w:cs="仿宋"/>
          <w:szCs w:val="24"/>
        </w:rPr>
      </w:pPr>
      <w:r>
        <w:rPr>
          <w:rFonts w:hint="eastAsia" w:ascii="仿宋" w:hAnsi="仿宋" w:eastAsia="仿宋" w:cs="仿宋"/>
          <w:szCs w:val="24"/>
          <w:lang w:val="zh-CN"/>
        </w:rPr>
        <w:t>法定代表人或被授权人（签字或盖章）</w:t>
      </w:r>
      <w:r>
        <w:rPr>
          <w:rFonts w:hint="eastAsia" w:ascii="仿宋" w:hAnsi="仿宋" w:eastAsia="仿宋" w:cs="仿宋"/>
          <w:szCs w:val="24"/>
        </w:rPr>
        <w:t>：</w:t>
      </w:r>
    </w:p>
    <w:p w14:paraId="22687746">
      <w:pPr>
        <w:spacing w:line="360" w:lineRule="auto"/>
        <w:ind w:left="210" w:leftChars="100"/>
        <w:rPr>
          <w:rFonts w:ascii="仿宋" w:hAnsi="仿宋" w:eastAsia="仿宋" w:cs="仿宋"/>
          <w:szCs w:val="24"/>
        </w:rPr>
      </w:pPr>
      <w:r>
        <w:rPr>
          <w:rFonts w:hint="eastAsia" w:ascii="仿宋" w:hAnsi="仿宋" w:eastAsia="仿宋" w:cs="仿宋"/>
          <w:szCs w:val="24"/>
        </w:rPr>
        <w:t xml:space="preserve">供应商单位公章： </w:t>
      </w:r>
    </w:p>
    <w:p w14:paraId="676ABEC8">
      <w:pPr>
        <w:spacing w:line="360" w:lineRule="auto"/>
        <w:ind w:firstLine="210" w:firstLineChars="100"/>
        <w:rPr>
          <w:rFonts w:ascii="仿宋" w:hAnsi="仿宋" w:eastAsia="仿宋" w:cs="仿宋"/>
          <w:sz w:val="28"/>
          <w:szCs w:val="28"/>
        </w:rPr>
      </w:pPr>
      <w:r>
        <w:rPr>
          <w:rFonts w:hint="eastAsia" w:ascii="仿宋" w:hAnsi="仿宋" w:eastAsia="仿宋" w:cs="仿宋"/>
          <w:szCs w:val="24"/>
        </w:rPr>
        <w:t>日          期：</w:t>
      </w:r>
    </w:p>
    <w:p w14:paraId="3AA4ABC3">
      <w:pPr>
        <w:rPr>
          <w:rFonts w:hint="eastAsia" w:ascii="仿宋" w:hAnsi="仿宋" w:eastAsia="仿宋" w:cs="仿宋"/>
          <w:b/>
          <w:bCs/>
          <w:sz w:val="32"/>
          <w:szCs w:val="32"/>
        </w:rPr>
      </w:pPr>
      <w:r>
        <w:rPr>
          <w:rFonts w:hint="eastAsia" w:ascii="仿宋" w:hAnsi="仿宋" w:eastAsia="仿宋" w:cs="仿宋"/>
          <w:b/>
          <w:bCs/>
          <w:sz w:val="32"/>
          <w:szCs w:val="32"/>
        </w:rPr>
        <w:br w:type="page"/>
      </w:r>
    </w:p>
    <w:p w14:paraId="14BF28CB">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6．供应商</w:t>
      </w:r>
      <w:r>
        <w:rPr>
          <w:rFonts w:hint="eastAsia" w:ascii="仿宋" w:hAnsi="仿宋" w:eastAsia="仿宋" w:cs="仿宋"/>
          <w:b/>
          <w:bCs/>
          <w:sz w:val="32"/>
          <w:szCs w:val="32"/>
          <w:lang w:val="en-US" w:eastAsia="zh-CN"/>
        </w:rPr>
        <w:t>履约</w:t>
      </w:r>
      <w:r>
        <w:rPr>
          <w:rFonts w:hint="eastAsia" w:ascii="仿宋" w:hAnsi="仿宋" w:eastAsia="仿宋" w:cs="仿宋"/>
          <w:b/>
          <w:bCs/>
          <w:sz w:val="32"/>
          <w:szCs w:val="32"/>
        </w:rPr>
        <w:t>承诺书</w:t>
      </w:r>
    </w:p>
    <w:p w14:paraId="5319EDFC">
      <w:pPr>
        <w:ind w:firstLine="560" w:firstLineChars="200"/>
        <w:rPr>
          <w:rFonts w:hint="eastAsia"/>
          <w:sz w:val="28"/>
          <w:szCs w:val="28"/>
          <w:lang w:val="en-US" w:eastAsia="zh-CN"/>
        </w:rPr>
      </w:pPr>
      <w:r>
        <w:rPr>
          <w:rFonts w:hint="eastAsia"/>
          <w:sz w:val="28"/>
          <w:szCs w:val="28"/>
        </w:rPr>
        <w:t>包括但不限于：实施进度保障、质量保障、售后服务承诺</w:t>
      </w:r>
      <w:r>
        <w:rPr>
          <w:rFonts w:hint="eastAsia"/>
          <w:sz w:val="28"/>
          <w:szCs w:val="28"/>
          <w:lang w:val="en-US" w:eastAsia="zh-CN"/>
        </w:rPr>
        <w:t>等内容。</w:t>
      </w:r>
    </w:p>
    <w:p w14:paraId="1EDC89F6">
      <w:pPr>
        <w:ind w:firstLine="560" w:firstLineChars="200"/>
        <w:rPr>
          <w:rFonts w:hint="eastAsia"/>
          <w:sz w:val="28"/>
          <w:szCs w:val="28"/>
          <w:lang w:val="en-US" w:eastAsia="zh-CN"/>
        </w:rPr>
      </w:pPr>
    </w:p>
    <w:p w14:paraId="7AA1DD54">
      <w:pPr>
        <w:rPr>
          <w:rFonts w:hint="eastAsia" w:ascii="仿宋" w:hAnsi="仿宋" w:eastAsia="仿宋" w:cs="仿宋"/>
          <w:b/>
          <w:bCs/>
          <w:sz w:val="32"/>
          <w:szCs w:val="32"/>
          <w:lang w:val="en-US" w:eastAsia="zh-CN"/>
        </w:rPr>
      </w:pPr>
    </w:p>
    <w:p w14:paraId="1ED79CEF">
      <w:pPr>
        <w:rPr>
          <w:rFonts w:hint="eastAsia" w:ascii="仿宋" w:hAnsi="仿宋" w:eastAsia="仿宋" w:cs="仿宋"/>
          <w:b/>
          <w:bCs/>
          <w:sz w:val="32"/>
          <w:szCs w:val="32"/>
          <w:lang w:val="en-US" w:eastAsia="zh-CN"/>
        </w:rPr>
      </w:pPr>
    </w:p>
    <w:p w14:paraId="2628CCD8">
      <w:pPr>
        <w:rPr>
          <w:rFonts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．宝鸡市政府采购供应商诚信承诺书</w:t>
      </w:r>
    </w:p>
    <w:p w14:paraId="20A59A19">
      <w:pPr>
        <w:rPr>
          <w:rFonts w:hint="eastAsia"/>
        </w:rPr>
      </w:pPr>
    </w:p>
    <w:p w14:paraId="64251361">
      <w:pPr>
        <w:rPr>
          <w:rFonts w:hint="eastAsia"/>
        </w:rPr>
      </w:pPr>
    </w:p>
    <w:p w14:paraId="0C119A68">
      <w:pPr>
        <w:rPr>
          <w:u w:val="single"/>
        </w:rPr>
      </w:pPr>
      <w:r>
        <w:rPr>
          <w:rFonts w:hint="eastAsia"/>
        </w:rPr>
        <w:t>致：</w:t>
      </w:r>
      <w:r>
        <w:rPr>
          <w:rFonts w:hint="eastAsia"/>
          <w:u w:val="single"/>
        </w:rPr>
        <w:t>（采购人名称）</w:t>
      </w:r>
    </w:p>
    <w:p w14:paraId="1E360663">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统一社会信用代码为</w:t>
      </w:r>
      <w:r>
        <w:rPr>
          <w:rFonts w:hint="eastAsia"/>
          <w:sz w:val="24"/>
          <w:szCs w:val="24"/>
          <w:u w:val="single"/>
        </w:rPr>
        <w:t xml:space="preserve">            </w:t>
      </w:r>
      <w:r>
        <w:rPr>
          <w:rFonts w:hint="eastAsia"/>
          <w:sz w:val="24"/>
          <w:szCs w:val="24"/>
        </w:rPr>
        <w:t>的我方</w:t>
      </w:r>
      <w:r>
        <w:rPr>
          <w:rFonts w:hint="eastAsia"/>
          <w:sz w:val="24"/>
          <w:szCs w:val="24"/>
          <w:u w:val="single"/>
        </w:rPr>
        <w:t xml:space="preserve">     (供应商名称)</w:t>
      </w:r>
      <w:r>
        <w:rPr>
          <w:rFonts w:hint="eastAsia"/>
          <w:sz w:val="24"/>
          <w:szCs w:val="24"/>
          <w:u w:val="single"/>
          <w:lang w:val="en-US" w:eastAsia="zh-CN"/>
        </w:rPr>
        <w:t xml:space="preserve">   </w:t>
      </w:r>
      <w:r>
        <w:rPr>
          <w:rFonts w:hint="eastAsia"/>
          <w:sz w:val="24"/>
          <w:szCs w:val="24"/>
        </w:rPr>
        <w:t>自愿参加贵单位组织的编号为</w:t>
      </w:r>
      <w:r>
        <w:rPr>
          <w:rFonts w:hint="eastAsia"/>
          <w:sz w:val="24"/>
          <w:szCs w:val="24"/>
          <w:u w:val="single"/>
        </w:rPr>
        <w:t xml:space="preserve">  （采购项目编号）</w:t>
      </w:r>
      <w:r>
        <w:rPr>
          <w:rFonts w:hint="eastAsia"/>
          <w:sz w:val="24"/>
          <w:szCs w:val="24"/>
          <w:u w:val="single"/>
          <w:lang w:val="en-US" w:eastAsia="zh-CN"/>
        </w:rPr>
        <w:t xml:space="preserve">  </w:t>
      </w:r>
      <w:r>
        <w:rPr>
          <w:rFonts w:hint="eastAsia"/>
          <w:sz w:val="24"/>
          <w:szCs w:val="24"/>
        </w:rPr>
        <w:t>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项目(采购项目名称)</w:t>
      </w:r>
      <w:r>
        <w:rPr>
          <w:rFonts w:hint="eastAsia"/>
          <w:sz w:val="24"/>
          <w:szCs w:val="24"/>
          <w:u w:val="single"/>
          <w:lang w:val="en-US" w:eastAsia="zh-CN"/>
        </w:rPr>
        <w:t xml:space="preserve">  </w:t>
      </w:r>
      <w:r>
        <w:rPr>
          <w:rFonts w:hint="eastAsia"/>
          <w:sz w:val="24"/>
          <w:szCs w:val="24"/>
        </w:rPr>
        <w:t>的政府采购活动，我方已知悉并理解本项目采购文件的各项要求。为贯彻公开、公平、公正和诚实信用的政府采购原则，共同维护宝鸡市政府采购市场良好秩序，我方郑重声明和承诺如下：</w:t>
      </w:r>
    </w:p>
    <w:p w14:paraId="6FF323CE">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一、在参加本次政府采购活动中严格遵守《中国人民共和国政府采购法》等法律、法规、规章及宝鸡市有关规定。</w:t>
      </w:r>
    </w:p>
    <w:p w14:paraId="4F2F42E7">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二、我方郑重声明，在参加本次政府采购活动前三年内，无因违法经营受到刑事处罚或者责令停产停业、吊销许可证或者执照、较大数额罚款等重大违法记录。</w:t>
      </w:r>
    </w:p>
    <w:p w14:paraId="789D1F3F">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我方同时声明，在参加本次政府采购活动前，未被列入失信被执行人、重大税收违法案件当事人名单、政府采购严重违法失信行为记录名单。</w:t>
      </w:r>
    </w:p>
    <w:p w14:paraId="7E284472">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我方对以上声明的真实性负责，接受采购人、代理机构根据相关政策规定进行的信用记录查询。如发现以上声明不实，我方承担相应后果。</w:t>
      </w:r>
    </w:p>
    <w:p w14:paraId="2839E2E7">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 xml:space="preserve">三、我方郑重承诺，在参加本次政府采购活动中： </w:t>
      </w:r>
    </w:p>
    <w:p w14:paraId="2A1F106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(1)不向采购人、代理机构和评审专家提供任何形式的商业贿赂或者提供其他不正当利益。对索取或接觉商业贿赂的单位和个人，及时向财政部门和监察机关举报；</w:t>
      </w:r>
    </w:p>
    <w:p w14:paraId="5140387A">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(2)不与其它供应商串通采取围标、陪标等商业欺诈手段。谋取成交(成交) :</w:t>
      </w:r>
    </w:p>
    <w:p w14:paraId="070BC37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(3)不出借或借用资质；</w:t>
      </w:r>
    </w:p>
    <w:p w14:paraId="35837A0C">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(4)不与采购人、代理机构、评审专家恶意串通；</w:t>
      </w:r>
    </w:p>
    <w:p w14:paraId="05F39BAA">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(5)不采取不正当手段诋毁、排挤其他供应商；</w:t>
      </w:r>
    </w:p>
    <w:p w14:paraId="6AC24356">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(6)不以虚假材料谋取成交(成交) ;</w:t>
      </w:r>
    </w:p>
    <w:p w14:paraId="696E3361">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(7)不以低于成本价或恶意低价竞争；</w:t>
      </w:r>
    </w:p>
    <w:p w14:paraId="46484967">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(8)不与采购人在招标采购过程中进行协商询价；</w:t>
      </w:r>
    </w:p>
    <w:p w14:paraId="217AA91A">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(9)成交或者成交后不得提供假冒伪劣产品；</w:t>
      </w:r>
    </w:p>
    <w:p w14:paraId="71C359C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(10)成交或者成交后非因不可抗力不得变更投标(响应)文件中承诺的项目管理实施人员；</w:t>
      </w:r>
    </w:p>
    <w:p w14:paraId="420F8B87">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(11)成交或者成交后无正当理由不得拒不与采购人签订政府采购合同；</w:t>
      </w:r>
    </w:p>
    <w:p w14:paraId="72A8CD0B">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(12)不得有未按照采购文件确定的事项与采购人签订政府采购合同，或者与采购人另行订立背离合同实质性内容协议的行为；</w:t>
      </w:r>
    </w:p>
    <w:p w14:paraId="7B9CC29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(13)不转包或违法分包政府采购合同，不擅自变更、中止或者终止政府采购合同；</w:t>
      </w:r>
    </w:p>
    <w:p w14:paraId="213491DB">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(14)不捏造事实、提供虚假材料或者以非法手段取得证明材料进行质疑、投诉；</w:t>
      </w:r>
    </w:p>
    <w:p w14:paraId="15E7C36B">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(15)不得有拒绝有关部门监督检查或者提供虚假情况的行为：</w:t>
      </w:r>
    </w:p>
    <w:p w14:paraId="1F203A87">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(16)不得有其他违反国家法律法规和规章要求的违法犯罪或者失信行为。</w:t>
      </w:r>
    </w:p>
    <w:p w14:paraId="718FD7D1">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四、如有违反以上声明或者承诺之一情形的，我方知悉并接受采购人、代理机构和政府采购监督管理部门等政府职能部门将采取以下一种或几种方式追究我方责任：</w:t>
      </w:r>
    </w:p>
    <w:p w14:paraId="60E111D5">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1、投标(响应)无效；</w:t>
      </w:r>
    </w:p>
    <w:p w14:paraId="045A8999">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2、不予退还询价保证金或者履约保证金；</w:t>
      </w:r>
    </w:p>
    <w:p w14:paraId="07CBEED2">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3、约谈法人代表或者主要负责人，责令整改；</w:t>
      </w:r>
    </w:p>
    <w:p w14:paraId="655ED33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4、成交(成交)无效；</w:t>
      </w:r>
    </w:p>
    <w:p w14:paraId="40F503EE">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5、处以采购金额千分之五以上千分之十以下的罚款，列入不良行为记录名单，在一至三年内禁止参加政府采购活动；</w:t>
      </w:r>
    </w:p>
    <w:p w14:paraId="685EB07E">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6、没收违法得所得；</w:t>
      </w:r>
    </w:p>
    <w:p w14:paraId="5A53C09F">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7、吊销营业执照；</w:t>
      </w:r>
    </w:p>
    <w:p w14:paraId="7FBAD481">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8、政府相关部门的联合惩戒措施；</w:t>
      </w:r>
    </w:p>
    <w:p w14:paraId="4F0E5BC1">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9、追究民事责任；</w:t>
      </w:r>
    </w:p>
    <w:p w14:paraId="3D8B38E7">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10、追究刑事责任；</w:t>
      </w:r>
    </w:p>
    <w:p w14:paraId="6B10E3D4">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11、法律法规规定的其他处理处罚措施。</w:t>
      </w:r>
    </w:p>
    <w:p w14:paraId="0FD5AB56"/>
    <w:p w14:paraId="23958E08">
      <w:pPr>
        <w:rPr>
          <w:rFonts w:hint="eastAsia"/>
          <w:sz w:val="24"/>
          <w:szCs w:val="24"/>
        </w:rPr>
      </w:pPr>
    </w:p>
    <w:p w14:paraId="22B11073">
      <w:pPr>
        <w:rPr>
          <w:rFonts w:hint="eastAsia"/>
          <w:sz w:val="24"/>
          <w:szCs w:val="24"/>
        </w:rPr>
      </w:pPr>
    </w:p>
    <w:p w14:paraId="3BDB3CE2">
      <w:pPr>
        <w:rPr>
          <w:sz w:val="24"/>
          <w:szCs w:val="24"/>
        </w:rPr>
      </w:pPr>
      <w:r>
        <w:rPr>
          <w:rFonts w:hint="eastAsia"/>
          <w:sz w:val="24"/>
          <w:szCs w:val="24"/>
        </w:rPr>
        <w:t>单位名称(公章) ：</w:t>
      </w:r>
    </w:p>
    <w:p w14:paraId="6016D607">
      <w:pPr>
        <w:rPr>
          <w:sz w:val="24"/>
          <w:szCs w:val="24"/>
        </w:rPr>
      </w:pPr>
      <w:r>
        <w:rPr>
          <w:rFonts w:hint="eastAsia"/>
          <w:sz w:val="24"/>
          <w:szCs w:val="24"/>
        </w:rPr>
        <w:t>法定代表人或主要负责人签字：</w:t>
      </w:r>
    </w:p>
    <w:p w14:paraId="03FBE8B2">
      <w:pPr>
        <w:rPr>
          <w:sz w:val="24"/>
          <w:szCs w:val="24"/>
        </w:rPr>
      </w:pPr>
      <w:r>
        <w:rPr>
          <w:rFonts w:hint="eastAsia"/>
          <w:sz w:val="24"/>
          <w:szCs w:val="24"/>
        </w:rPr>
        <w:t>法定代表人或主要负责人身份证复印件：</w:t>
      </w:r>
    </w:p>
    <w:p w14:paraId="6EF0C435">
      <w:pPr>
        <w:rPr>
          <w:sz w:val="24"/>
          <w:szCs w:val="24"/>
        </w:rPr>
      </w:pPr>
      <w:r>
        <w:rPr>
          <w:rFonts w:hint="eastAsia"/>
          <w:sz w:val="24"/>
          <w:szCs w:val="24"/>
        </w:rPr>
        <w:t>法定代表人或主要负责人联系电话：</w:t>
      </w:r>
    </w:p>
    <w:p w14:paraId="1694C07B">
      <w:pPr>
        <w:rPr>
          <w:sz w:val="24"/>
          <w:szCs w:val="24"/>
        </w:rPr>
      </w:pPr>
      <w:r>
        <w:rPr>
          <w:rFonts w:hint="eastAsia"/>
          <w:sz w:val="24"/>
          <w:szCs w:val="24"/>
        </w:rPr>
        <w:t xml:space="preserve">法定代表人或主要负责人传真： </w:t>
      </w:r>
    </w:p>
    <w:p w14:paraId="3D7CE5DB">
      <w:pPr>
        <w:rPr>
          <w:sz w:val="24"/>
          <w:szCs w:val="24"/>
        </w:rPr>
      </w:pPr>
    </w:p>
    <w:p w14:paraId="069B4B32">
      <w:pPr>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2025年   月   日</w:t>
      </w:r>
    </w:p>
    <w:p w14:paraId="3A2A214D">
      <w:pPr>
        <w:rPr>
          <w:rFonts w:hint="eastAsia" w:ascii="仿宋" w:hAnsi="仿宋" w:eastAsia="仿宋" w:cs="仿宋"/>
          <w:b/>
          <w:bCs/>
          <w:sz w:val="32"/>
          <w:szCs w:val="32"/>
          <w:lang w:val="en-US" w:eastAsia="zh-CN"/>
        </w:rPr>
      </w:pPr>
    </w:p>
    <w:p w14:paraId="2C0A909E">
      <w:pPr>
        <w:spacing w:line="360" w:lineRule="auto"/>
        <w:jc w:val="left"/>
        <w:rPr>
          <w:rFonts w:hint="eastAsia" w:ascii="仿宋" w:hAnsi="仿宋" w:eastAsia="仿宋" w:cs="仿宋"/>
          <w:b/>
          <w:bCs/>
          <w:sz w:val="32"/>
          <w:szCs w:val="32"/>
          <w:lang w:val="en-US" w:eastAsia="zh-CN"/>
        </w:rPr>
      </w:pPr>
    </w:p>
    <w:p w14:paraId="342BBFBE">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．投标人认为有必要说明的事宜</w:t>
      </w:r>
    </w:p>
    <w:p w14:paraId="63101A5E">
      <w:pPr>
        <w:pStyle w:val="6"/>
        <w:ind w:left="0" w:leftChars="0" w:firstLine="560" w:firstLineChars="200"/>
        <w:rPr>
          <w:rFonts w:hint="eastAsia"/>
          <w:lang w:val="en-US" w:eastAsia="zh-CN"/>
        </w:rPr>
      </w:pPr>
    </w:p>
    <w:p w14:paraId="01D461E3">
      <w:pPr>
        <w:pStyle w:val="6"/>
        <w:ind w:left="0" w:leftChars="0" w:firstLine="560" w:firstLineChars="200"/>
        <w:rPr>
          <w:rFonts w:hint="eastAsia"/>
          <w:lang w:val="en-US" w:eastAsia="zh-CN"/>
        </w:rPr>
      </w:pPr>
    </w:p>
    <w:p w14:paraId="1127E426">
      <w:pPr>
        <w:pStyle w:val="6"/>
        <w:ind w:left="0" w:leftChars="0" w:firstLine="0" w:firstLineChars="0"/>
        <w:rPr>
          <w:rFonts w:hint="default"/>
          <w:lang w:val="en-US" w:eastAsia="zh-CN"/>
        </w:rPr>
      </w:pPr>
      <w:r>
        <w:rPr>
          <w:rFonts w:hint="eastAsia"/>
          <w:lang w:val="en-US" w:eastAsia="zh-CN"/>
        </w:rPr>
        <w:t>此页以下无内容</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9154">
    <w:pPr>
      <w:spacing w:line="209" w:lineRule="auto"/>
      <w:ind w:left="443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0615B">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9A0615B">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5485">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E8FA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CE8FA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93AD">
    <w:pPr>
      <w:spacing w:line="480" w:lineRule="auto"/>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11F37"/>
    <w:multiLevelType w:val="singleLevel"/>
    <w:tmpl w:val="C8911F37"/>
    <w:lvl w:ilvl="0" w:tentative="0">
      <w:start w:val="4"/>
      <w:numFmt w:val="decimal"/>
      <w:lvlText w:val="%1."/>
      <w:lvlJc w:val="left"/>
      <w:pPr>
        <w:tabs>
          <w:tab w:val="left" w:pos="312"/>
        </w:tabs>
      </w:pPr>
    </w:lvl>
  </w:abstractNum>
  <w:abstractNum w:abstractNumId="1">
    <w:nsid w:val="5B0CE37E"/>
    <w:multiLevelType w:val="singleLevel"/>
    <w:tmpl w:val="5B0CE37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C08DF"/>
    <w:rsid w:val="00CD3536"/>
    <w:rsid w:val="0230272B"/>
    <w:rsid w:val="04194FE9"/>
    <w:rsid w:val="068E19BA"/>
    <w:rsid w:val="097F7D3A"/>
    <w:rsid w:val="0F887388"/>
    <w:rsid w:val="13D46376"/>
    <w:rsid w:val="15897264"/>
    <w:rsid w:val="159269A9"/>
    <w:rsid w:val="177F0A4A"/>
    <w:rsid w:val="18B21538"/>
    <w:rsid w:val="190642C0"/>
    <w:rsid w:val="1A0F25F0"/>
    <w:rsid w:val="1D24052A"/>
    <w:rsid w:val="228A3D70"/>
    <w:rsid w:val="24A936E7"/>
    <w:rsid w:val="24EF7BC7"/>
    <w:rsid w:val="26F45411"/>
    <w:rsid w:val="28713582"/>
    <w:rsid w:val="2AAC350A"/>
    <w:rsid w:val="2B2F4E05"/>
    <w:rsid w:val="2EDE2E30"/>
    <w:rsid w:val="301B44CB"/>
    <w:rsid w:val="354C745F"/>
    <w:rsid w:val="35CA5CBB"/>
    <w:rsid w:val="37343422"/>
    <w:rsid w:val="37421881"/>
    <w:rsid w:val="37647ACA"/>
    <w:rsid w:val="37A97EFD"/>
    <w:rsid w:val="38833DC6"/>
    <w:rsid w:val="40112738"/>
    <w:rsid w:val="40442B0E"/>
    <w:rsid w:val="468C475A"/>
    <w:rsid w:val="4DDC3975"/>
    <w:rsid w:val="4DDE1F2D"/>
    <w:rsid w:val="53465282"/>
    <w:rsid w:val="59553542"/>
    <w:rsid w:val="59BB5588"/>
    <w:rsid w:val="5A971815"/>
    <w:rsid w:val="5C2515C4"/>
    <w:rsid w:val="5D2D3A52"/>
    <w:rsid w:val="5E967190"/>
    <w:rsid w:val="5FBB029F"/>
    <w:rsid w:val="600F2E25"/>
    <w:rsid w:val="637F4544"/>
    <w:rsid w:val="65750AC8"/>
    <w:rsid w:val="6C10216C"/>
    <w:rsid w:val="72A36C75"/>
    <w:rsid w:val="768943D3"/>
    <w:rsid w:val="782E7B01"/>
    <w:rsid w:val="794E346F"/>
    <w:rsid w:val="7A5D08F2"/>
    <w:rsid w:val="7B2904AB"/>
    <w:rsid w:val="7E5277A1"/>
    <w:rsid w:val="7F1A681E"/>
    <w:rsid w:val="7F954211"/>
    <w:rsid w:val="F7BBF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413" w:lineRule="auto"/>
      <w:outlineLvl w:val="1"/>
    </w:pPr>
    <w:rPr>
      <w:rFonts w:ascii="Arial" w:hAnsi="Arial" w:eastAsia="黑体"/>
      <w:sz w:val="32"/>
      <w:szCs w:val="32"/>
    </w:rPr>
  </w:style>
  <w:style w:type="paragraph" w:styleId="3">
    <w:name w:val="heading 3"/>
    <w:basedOn w:val="1"/>
    <w:next w:val="1"/>
    <w:qFormat/>
    <w:uiPriority w:val="0"/>
    <w:pPr>
      <w:keepNext/>
      <w:keepLines/>
      <w:spacing w:line="416" w:lineRule="auto"/>
      <w:outlineLvl w:val="2"/>
    </w:pPr>
    <w:rPr>
      <w:b/>
      <w:bCs/>
      <w:sz w:val="32"/>
      <w:szCs w:val="32"/>
    </w:rPr>
  </w:style>
  <w:style w:type="paragraph" w:styleId="4">
    <w:name w:val="heading 4"/>
    <w:basedOn w:val="1"/>
    <w:next w:val="1"/>
    <w:qFormat/>
    <w:uiPriority w:val="0"/>
    <w:pPr>
      <w:keepNext/>
      <w:keepLines/>
      <w:spacing w:line="372"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style>
  <w:style w:type="paragraph" w:styleId="6">
    <w:name w:val="Body Text Indent"/>
    <w:basedOn w:val="1"/>
    <w:next w:val="7"/>
    <w:qFormat/>
    <w:uiPriority w:val="0"/>
    <w:pPr>
      <w:ind w:firstLine="552"/>
    </w:pPr>
    <w:rPr>
      <w:rFonts w:ascii="宋体"/>
      <w:sz w:val="28"/>
    </w:rPr>
  </w:style>
  <w:style w:type="paragraph" w:styleId="7">
    <w:name w:val="Body Text First Indent 2"/>
    <w:basedOn w:val="6"/>
    <w:next w:val="8"/>
    <w:qFormat/>
    <w:uiPriority w:val="0"/>
    <w:pPr>
      <w:ind w:firstLine="420" w:firstLineChars="200"/>
    </w:pPr>
  </w:style>
  <w:style w:type="paragraph" w:styleId="8">
    <w:name w:val="Body Text First Indent"/>
    <w:basedOn w:val="5"/>
    <w:next w:val="7"/>
    <w:qFormat/>
    <w:uiPriority w:val="99"/>
    <w:pPr>
      <w:ind w:firstLine="420" w:firstLineChars="100"/>
    </w:pPr>
    <w:rPr>
      <w:rFonts w:ascii="宋体"/>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rFonts w:ascii="Arial" w:hAnsi="Arial" w:cs="Arial"/>
      <w:b/>
      <w:sz w:val="28"/>
    </w:rPr>
  </w:style>
  <w:style w:type="paragraph" w:styleId="11">
    <w:name w:val="Body Text Indent 2"/>
    <w:basedOn w:val="1"/>
    <w:qFormat/>
    <w:uiPriority w:val="0"/>
    <w:pPr>
      <w:autoSpaceDE w:val="0"/>
      <w:autoSpaceDN w:val="0"/>
      <w:adjustRightInd w:val="0"/>
      <w:spacing w:line="640" w:lineRule="exact"/>
      <w:ind w:firstLine="645"/>
    </w:pPr>
    <w:rPr>
      <w:rFonts w:ascii="楷体_GB2312" w:hAnsi="Times New Roman" w:eastAsia="楷体_GB2312"/>
      <w:kern w:val="0"/>
      <w:sz w:val="32"/>
      <w:szCs w:val="32"/>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pPr>
      <w:adjustRightInd w:val="0"/>
      <w:snapToGrid w:val="0"/>
      <w:spacing w:line="480" w:lineRule="atLeast"/>
    </w:pPr>
    <w:rPr>
      <w:rFonts w:ascii="宋体" w:hAnsi="宋体"/>
      <w:sz w:val="28"/>
    </w:rPr>
  </w:style>
  <w:style w:type="paragraph" w:styleId="16">
    <w:name w:val="Normal (Web)"/>
    <w:basedOn w:val="1"/>
    <w:qFormat/>
    <w:uiPriority w:val="0"/>
    <w:pPr>
      <w:jc w:val="left"/>
    </w:pPr>
    <w:rPr>
      <w:kern w:val="0"/>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uiPriority w:val="0"/>
    <w:rPr>
      <w:color w:val="800080"/>
      <w:u w:val="none"/>
    </w:rPr>
  </w:style>
  <w:style w:type="character" w:styleId="22">
    <w:name w:val="Emphasis"/>
    <w:basedOn w:val="19"/>
    <w:qFormat/>
    <w:uiPriority w:val="0"/>
    <w:rPr>
      <w:b/>
      <w:bCs/>
    </w:rPr>
  </w:style>
  <w:style w:type="character" w:styleId="23">
    <w:name w:val="HTML Definition"/>
    <w:basedOn w:val="19"/>
    <w:uiPriority w:val="0"/>
  </w:style>
  <w:style w:type="character" w:styleId="24">
    <w:name w:val="HTML Typewriter"/>
    <w:basedOn w:val="19"/>
    <w:uiPriority w:val="0"/>
    <w:rPr>
      <w:rFonts w:hint="default" w:ascii="monospace" w:hAnsi="monospace" w:eastAsia="monospace" w:cs="monospace"/>
      <w:sz w:val="20"/>
    </w:rPr>
  </w:style>
  <w:style w:type="character" w:styleId="25">
    <w:name w:val="HTML Acronym"/>
    <w:basedOn w:val="19"/>
    <w:uiPriority w:val="0"/>
    <w:rPr>
      <w:bdr w:val="none" w:color="auto" w:sz="0" w:space="0"/>
    </w:rPr>
  </w:style>
  <w:style w:type="character" w:styleId="26">
    <w:name w:val="HTML Variable"/>
    <w:basedOn w:val="19"/>
    <w:uiPriority w:val="0"/>
  </w:style>
  <w:style w:type="character" w:styleId="27">
    <w:name w:val="Hyperlink"/>
    <w:basedOn w:val="19"/>
    <w:uiPriority w:val="0"/>
    <w:rPr>
      <w:color w:val="0000FF"/>
      <w:u w:val="none"/>
    </w:rPr>
  </w:style>
  <w:style w:type="character" w:styleId="28">
    <w:name w:val="HTML Code"/>
    <w:basedOn w:val="19"/>
    <w:uiPriority w:val="0"/>
    <w:rPr>
      <w:rFonts w:hint="default" w:ascii="monospace" w:hAnsi="monospace" w:eastAsia="monospace" w:cs="monospace"/>
      <w:sz w:val="20"/>
      <w:bdr w:val="none" w:color="auto" w:sz="0" w:space="0"/>
    </w:rPr>
  </w:style>
  <w:style w:type="character" w:styleId="29">
    <w:name w:val="HTML Cite"/>
    <w:basedOn w:val="19"/>
    <w:uiPriority w:val="0"/>
  </w:style>
  <w:style w:type="character" w:styleId="30">
    <w:name w:val="HTML Keyboard"/>
    <w:basedOn w:val="19"/>
    <w:uiPriority w:val="0"/>
    <w:rPr>
      <w:rFonts w:hint="default" w:ascii="monospace" w:hAnsi="monospace" w:eastAsia="monospace" w:cs="monospace"/>
      <w:sz w:val="20"/>
    </w:rPr>
  </w:style>
  <w:style w:type="character" w:styleId="31">
    <w:name w:val="HTML Sample"/>
    <w:basedOn w:val="19"/>
    <w:uiPriority w:val="0"/>
    <w:rPr>
      <w:rFonts w:ascii="monospace" w:hAnsi="monospace" w:eastAsia="monospace" w:cs="monospac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16"/>
      <w:szCs w:val="16"/>
      <w:lang w:val="en-US" w:eastAsia="en-US" w:bidi="ar-SA"/>
    </w:rPr>
  </w:style>
  <w:style w:type="paragraph" w:customStyle="1" w:styleId="34">
    <w:name w:val="null3"/>
    <w:qFormat/>
    <w:uiPriority w:val="0"/>
    <w:rPr>
      <w:rFonts w:hint="eastAsia" w:ascii="Calibri" w:hAnsi="Calibri" w:eastAsia="宋体" w:cs="Times New Roman"/>
      <w:lang w:val="en-US" w:eastAsia="zh-Hans"/>
    </w:rPr>
  </w:style>
  <w:style w:type="paragraph" w:customStyle="1" w:styleId="35">
    <w:name w:val="正文缩进1"/>
    <w:basedOn w:val="1"/>
    <w:qFormat/>
    <w:uiPriority w:val="0"/>
    <w:pPr>
      <w:ind w:firstLine="420" w:firstLineChars="200"/>
    </w:pPr>
  </w:style>
  <w:style w:type="paragraph" w:customStyle="1" w:styleId="36">
    <w:name w:val="纯文本1"/>
    <w:basedOn w:val="1"/>
    <w:qFormat/>
    <w:uiPriority w:val="0"/>
    <w:rPr>
      <w:rFonts w:ascii="宋体" w:hAnsi="Courier New" w:cs="Courier New"/>
      <w:szCs w:val="21"/>
    </w:rPr>
  </w:style>
  <w:style w:type="paragraph" w:customStyle="1" w:styleId="3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38">
    <w:name w:val="mini-outputtext1"/>
    <w:basedOn w:val="19"/>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4779</Words>
  <Characters>5156</Characters>
  <Lines>0</Lines>
  <Paragraphs>0</Paragraphs>
  <TotalTime>15</TotalTime>
  <ScaleCrop>false</ScaleCrop>
  <LinksUpToDate>false</LinksUpToDate>
  <CharactersWithSpaces>5211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2025-09-12T16:21:00Z</dcterms:created>
  <dc:creator>Lenovo</dc:creator>
  <cp:lastModifiedBy>中国梦</cp:lastModifiedBy>
  <dcterms:modified xsi:type="dcterms:W3CDTF">2025-09-17T01:48:23Z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eyJoZGlkIjoiZDZmMzhmMzk2ZDI1NDAwM2VhYWMwMjJjNDQ1MDQ5MWMiLCJ1c2VySWQiOiI1OTE1Nzk0MzcifQ==</vt:lpwstr>
  </property>
  <property fmtid="{D5CDD505-2E9C-101B-9397-08002B2CF9AE}" pid="4" name="ICV">
    <vt:lpwstr>8C3708A944884CDA8BE9A55DA26C1E55_13</vt:lpwstr>
  </property>
</Properties>
</file>