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11EC">
      <w:pPr>
        <w:pStyle w:val="2"/>
        <w:rPr>
          <w:rFonts w:hint="eastAsia" w:ascii="宋体" w:hAnsi="宋体" w:cs="宋体"/>
          <w:color w:val="auto"/>
          <w:highlight w:val="none"/>
        </w:rPr>
      </w:pPr>
      <w:bookmarkStart w:id="0" w:name="_Toc32166"/>
      <w:r>
        <w:rPr>
          <w:rFonts w:hint="eastAsia" w:ascii="宋体" w:hAnsi="宋体" w:cs="宋体"/>
          <w:color w:val="auto"/>
          <w:highlight w:val="none"/>
        </w:rPr>
        <w:t>第三章  采购内容及要求</w:t>
      </w:r>
      <w:bookmarkEnd w:id="0"/>
    </w:p>
    <w:p w14:paraId="6528308E">
      <w:pPr>
        <w:pStyle w:val="5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一、采购内容及技术要求</w:t>
      </w:r>
    </w:p>
    <w:p w14:paraId="36025AD3">
      <w:pPr>
        <w:pStyle w:val="5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一</w:t>
      </w:r>
      <w:r>
        <w:rPr>
          <w:rFonts w:hint="eastAsia"/>
          <w:color w:val="auto"/>
          <w:highlight w:val="none"/>
          <w:lang w:eastAsia="zh-CN"/>
        </w:rPr>
        <w:t>）货物</w:t>
      </w:r>
      <w:r>
        <w:rPr>
          <w:rFonts w:hint="eastAsia"/>
          <w:color w:val="auto"/>
          <w:highlight w:val="none"/>
          <w:lang w:val="en-US" w:eastAsia="zh-CN"/>
        </w:rPr>
        <w:t>部分</w:t>
      </w:r>
    </w:p>
    <w:tbl>
      <w:tblPr>
        <w:tblStyle w:val="11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50"/>
        <w:gridCol w:w="6286"/>
        <w:gridCol w:w="940"/>
      </w:tblGrid>
      <w:tr w14:paraId="5AEA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47CE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5303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61FD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8CD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43A0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5B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E9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F69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一、技术参数要求：</w:t>
            </w:r>
          </w:p>
          <w:p w14:paraId="7E7751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口径：DN32;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防护等级：≥IP68；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信号传输波特率：≥2400bps；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1E400B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8C6C8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217649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售后服务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  <w:p w14:paraId="01B070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BC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3台（套）</w:t>
            </w:r>
          </w:p>
        </w:tc>
      </w:tr>
      <w:tr w14:paraId="3E9D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8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BC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2BF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一、技术参数要求：</w:t>
            </w:r>
          </w:p>
          <w:p w14:paraId="0EBBAD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口径：DN40;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防护等级：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71CF86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5E4E56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4F111F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售后服务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  <w:p w14:paraId="3D22DB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D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6台（套）</w:t>
            </w:r>
          </w:p>
        </w:tc>
      </w:tr>
      <w:tr w14:paraId="426C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4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6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2B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3A3053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口径：DN50;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防护等级：≥IP68；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信号传输波特率：≥2400bps；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6AFD89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1E8E2A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298EE2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39D291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2F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28台（套）</w:t>
            </w:r>
          </w:p>
        </w:tc>
      </w:tr>
      <w:tr w14:paraId="207E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9C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11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337699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口径：DN65;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防护等级：≥IP68；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信号传输波特率：≥2400bps；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51CF66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62F665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58246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6D675D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EA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4台（套）</w:t>
            </w:r>
          </w:p>
        </w:tc>
      </w:tr>
      <w:tr w14:paraId="3BEB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47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C2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2D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3E4AE0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口径：DN80;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防护等级：≥IP68；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信号传输波特率：≥2400bps；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70A38E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665E74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15F168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672D21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B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6台（套）</w:t>
            </w:r>
          </w:p>
        </w:tc>
      </w:tr>
      <w:tr w14:paraId="41E4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D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C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07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4A7773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口径：DN100;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防护等级：≥IP68；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信号传输波特率：≥2400bps；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00ECDE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56230C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22DDDC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7234DD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D5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5台（套）</w:t>
            </w:r>
          </w:p>
        </w:tc>
      </w:tr>
      <w:tr w14:paraId="1189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61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9C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71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7EA27E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口径：DN150;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防护等级：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27E213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21BE7D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5F7E0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6C6E84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D0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4台（套）</w:t>
            </w:r>
          </w:p>
        </w:tc>
      </w:tr>
      <w:tr w14:paraId="18FD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7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ED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光电远传水表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7D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27C8BB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口径：DN200;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基表：水平螺翼式；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内置不锈钢滤网；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电子远传结构：可拆式机芯结构，整体全铜封式，光电直读；能够采集水量、瞬时流量、过载流量、分界流量、最小流量等给水参量。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防护等级：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IP68；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水表输出接口：RS485，CJ/T 188-2004 或者 MODBUS-RTU 标准协议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信号传输波特率：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2400bps；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当水表遇到强磁，支持故障检测功能；</w:t>
            </w:r>
          </w:p>
          <w:p w14:paraId="79EC37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10386C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包含法兰/垫片/螺杆、通讯线缆辅材等；</w:t>
            </w:r>
          </w:p>
          <w:p w14:paraId="731659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76AF5F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2B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1台（套）</w:t>
            </w:r>
          </w:p>
        </w:tc>
      </w:tr>
      <w:tr w14:paraId="435D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46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F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水表电源模块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3F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5B714B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保护种类：短路/过负载/过电压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标准导轨安装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LED电源指示</w:t>
            </w:r>
          </w:p>
          <w:p w14:paraId="1B7896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16A19F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包含安装导轨、辅材等</w:t>
            </w:r>
          </w:p>
          <w:p w14:paraId="772568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6D81F2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3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35台（套）</w:t>
            </w:r>
          </w:p>
        </w:tc>
      </w:tr>
      <w:tr w14:paraId="5865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0A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86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智能网关（核心产品）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94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一、技术参数要求</w:t>
            </w:r>
          </w:p>
          <w:p w14:paraId="1BBBD9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1.具有Modbustcp转发功能；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2.最大支持≥10000个测点的集中采集；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3.可针对每个测点进行无限级的越限告警，告警数据可支持LED、继电器动作和记录存储。实现告警的及时播报与故障可追溯；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4.支持ModbusTCP等协议数据转发；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5.支持实时数据封装成xml等文件定时主动上传；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6.最大支持≥12个月的告警记录和历史记录；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7.支持Web等设备管理；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8.支持包括但不限于每10分钟、15分钟、30分钟、60分钟定时存储；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9.支持包括但不限于GPRS/4G无线通讯功能；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10.≥1路USB接口，支持数据转存；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11.高频干扰、静电放电干扰辐射电磁场干扰检验≥3级，快速瞬变脉冲群干扰、浪涌干扰、工频磁场干扰检验优于或等于3级；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12.支持Lora等无线通信模块接入；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13.工作环境湿度：5~95%，无凝结；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14.工作环境温度-15℃~+55℃；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15.核心技术参数要求：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15.1 具有与网络设备工业总线、和串行口设备装置连接功能；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15.2 具有≥2个RS485下行端口，至少1个RJ45以太网端口；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15.3 内置≥8GB存储，数据保存时间≥6个月；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15.4 支持配置参数在线和离线下载功能；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15.5 支持云端监控，远程升级维护；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15.6 数据上传支持断点续传；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15.7 支持与至少2个或以上数据中心同时通信转发数据的功能；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 无缝兼容原系统平台，保障系统稳定性；</w:t>
            </w:r>
          </w:p>
          <w:p w14:paraId="33DAB5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33517F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包含导轨、辅材等</w:t>
            </w:r>
          </w:p>
          <w:p w14:paraId="2FDA91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075E70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6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30台（套）</w:t>
            </w:r>
          </w:p>
        </w:tc>
      </w:tr>
      <w:tr w14:paraId="4F6C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BF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E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网关成套箱</w:t>
            </w:r>
          </w:p>
        </w:tc>
        <w:tc>
          <w:tcPr>
            <w:tcW w:w="6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14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一、技术参数要求</w:t>
            </w:r>
          </w:p>
          <w:p w14:paraId="5734B9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成套箱按需配置；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接地装置；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电源保护装置</w:t>
            </w:r>
          </w:p>
          <w:p w14:paraId="7B599E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</w:t>
            </w:r>
          </w:p>
          <w:p w14:paraId="715B60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根据需求，自行配置</w:t>
            </w:r>
          </w:p>
          <w:p w14:paraId="1F6C6F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</w:t>
            </w:r>
          </w:p>
          <w:p w14:paraId="2EA671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提供7×24小时技术保障，15分钟内远程响应，24小时内到场响应。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6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5台（套）</w:t>
            </w:r>
          </w:p>
        </w:tc>
      </w:tr>
    </w:tbl>
    <w:p w14:paraId="186C2205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（二）拆除、安装部分</w:t>
      </w:r>
    </w:p>
    <w:p w14:paraId="6FF7AF69">
      <w:pPr>
        <w:pStyle w:val="7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本项目采购内容包含原设备拆除、新设备及相关配套附件安装，相关施工及配件见附件清单。</w:t>
      </w:r>
    </w:p>
    <w:p w14:paraId="688F11E0">
      <w:pPr>
        <w:jc w:val="both"/>
        <w:rPr>
          <w:rFonts w:hint="eastAsia"/>
          <w:b/>
          <w:bCs/>
          <w:color w:val="auto"/>
          <w:sz w:val="24"/>
          <w:szCs w:val="24"/>
          <w:highlight w:val="none"/>
        </w:rPr>
      </w:pPr>
    </w:p>
    <w:p w14:paraId="13E46F8A">
      <w:pPr>
        <w:jc w:val="center"/>
        <w:rPr>
          <w:rFonts w:hint="eastAsia" w:eastAsia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eastAsia="zh-CN"/>
        </w:rPr>
        <w:t>配套土建及耗材清单</w:t>
      </w:r>
    </w:p>
    <w:tbl>
      <w:tblPr>
        <w:tblStyle w:val="11"/>
        <w:tblW w:w="91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774"/>
        <w:gridCol w:w="1913"/>
        <w:gridCol w:w="924"/>
        <w:gridCol w:w="795"/>
        <w:gridCol w:w="2683"/>
      </w:tblGrid>
      <w:tr w14:paraId="5331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FC01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07D8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项目内容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EB87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型号/规格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93B1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7331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EE9C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20BA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4EC9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CF84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A971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60A9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A8B1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9457">
            <w:pPr>
              <w:pStyle w:val="20"/>
              <w:bidi w:val="0"/>
              <w:rPr>
                <w:rFonts w:hint="eastAsia"/>
              </w:rPr>
            </w:pPr>
          </w:p>
        </w:tc>
      </w:tr>
      <w:tr w14:paraId="55BB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6243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A146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路面破拆/恢复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F9A8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3501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6A30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0AFA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横跨路面部分需要切槽埋设SC20管</w:t>
            </w:r>
          </w:p>
        </w:tc>
      </w:tr>
      <w:tr w14:paraId="7C08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F8CA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11FE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F15A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C1E9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0C60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FA69">
            <w:pPr>
              <w:pStyle w:val="20"/>
              <w:bidi w:val="0"/>
              <w:rPr>
                <w:rFonts w:hint="eastAsia"/>
              </w:rPr>
            </w:pPr>
          </w:p>
        </w:tc>
      </w:tr>
      <w:tr w14:paraId="2CD9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B8FA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3686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线缆沟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7A29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080B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0201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7497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土质地面挖沟埋设SC20管</w:t>
            </w:r>
          </w:p>
        </w:tc>
      </w:tr>
      <w:tr w14:paraId="34FD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5FD9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8DAF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FBAF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E438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7236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8E61">
            <w:pPr>
              <w:pStyle w:val="20"/>
              <w:bidi w:val="0"/>
              <w:rPr>
                <w:rFonts w:hint="eastAsia"/>
              </w:rPr>
            </w:pPr>
          </w:p>
        </w:tc>
      </w:tr>
      <w:tr w14:paraId="1BBF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616B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86A7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通讯线缆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DD49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RVSP4*1.0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7881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4070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23D6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59DD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水表至网关的通讯线和水表供电线缆</w:t>
            </w:r>
          </w:p>
        </w:tc>
      </w:tr>
      <w:tr w14:paraId="23F6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7E98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AE24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7507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EE50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FF45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EB33">
            <w:pPr>
              <w:pStyle w:val="20"/>
              <w:bidi w:val="0"/>
              <w:rPr>
                <w:rFonts w:hint="eastAsia"/>
              </w:rPr>
            </w:pPr>
          </w:p>
        </w:tc>
      </w:tr>
      <w:tr w14:paraId="1825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7019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D7A4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637A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CAT5e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F299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0866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E8EB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</w:tr>
      <w:tr w14:paraId="271F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EE37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7D44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A557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136C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E37B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7E18">
            <w:pPr>
              <w:pStyle w:val="20"/>
              <w:bidi w:val="0"/>
              <w:rPr>
                <w:rFonts w:hint="eastAsia"/>
              </w:rPr>
            </w:pPr>
          </w:p>
        </w:tc>
      </w:tr>
      <w:tr w14:paraId="663C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7480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CF84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光纤SMF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7E71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G652D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90F3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EA93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D86E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</w:tr>
      <w:tr w14:paraId="7315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B2EB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AA78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9037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4DF7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D3A5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F07A">
            <w:pPr>
              <w:pStyle w:val="20"/>
              <w:bidi w:val="0"/>
              <w:rPr>
                <w:rFonts w:hint="eastAsia"/>
              </w:rPr>
            </w:pPr>
          </w:p>
        </w:tc>
      </w:tr>
      <w:tr w14:paraId="54ED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A21E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4646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地埋管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3983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SC20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DF89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AD80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CCAE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地埋金属线管</w:t>
            </w:r>
          </w:p>
        </w:tc>
      </w:tr>
      <w:tr w14:paraId="46B8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AC8F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E4EE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67AE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6ABF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A34D">
            <w:pPr>
              <w:pStyle w:val="20"/>
              <w:bidi w:val="0"/>
              <w:rPr>
                <w:rFonts w:hint="eastAsia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F860">
            <w:pPr>
              <w:pStyle w:val="20"/>
              <w:bidi w:val="0"/>
              <w:rPr>
                <w:rFonts w:hint="eastAsia"/>
              </w:rPr>
            </w:pPr>
          </w:p>
        </w:tc>
      </w:tr>
      <w:tr w14:paraId="1B66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98EE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E508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穿线管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E5FC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PC20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4634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BB9E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0027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室内及外墙立面护线管</w:t>
            </w:r>
          </w:p>
        </w:tc>
      </w:tr>
      <w:tr w14:paraId="7A45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6D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2D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7A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E5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3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8A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F7CA41F">
      <w:pPr>
        <w:pStyle w:val="7"/>
        <w:ind w:firstLine="482"/>
        <w:rPr>
          <w:rFonts w:hint="eastAsia" w:eastAsia="宋体"/>
          <w:b/>
          <w:bCs/>
          <w:color w:val="auto"/>
          <w:szCs w:val="24"/>
          <w:highlight w:val="none"/>
          <w:lang w:val="en-US" w:eastAsia="zh-CN"/>
        </w:rPr>
      </w:pPr>
    </w:p>
    <w:p w14:paraId="20101385">
      <w:pPr>
        <w:pStyle w:val="7"/>
        <w:ind w:firstLine="482"/>
        <w:rPr>
          <w:b/>
          <w:bCs/>
          <w:color w:val="auto"/>
          <w:szCs w:val="24"/>
          <w:highlight w:val="none"/>
        </w:rPr>
      </w:pPr>
      <w:r>
        <w:rPr>
          <w:rFonts w:hint="eastAsia"/>
          <w:b/>
          <w:bCs/>
          <w:color w:val="auto"/>
          <w:szCs w:val="24"/>
          <w:highlight w:val="none"/>
        </w:rPr>
        <w:t>注：</w:t>
      </w:r>
    </w:p>
    <w:p w14:paraId="7E0D4615">
      <w:pPr>
        <w:pStyle w:val="7"/>
        <w:ind w:firstLine="480"/>
        <w:rPr>
          <w:color w:val="auto"/>
          <w:szCs w:val="24"/>
          <w:highlight w:val="none"/>
        </w:rPr>
      </w:pPr>
      <w:r>
        <w:rPr>
          <w:rFonts w:hint="eastAsia"/>
          <w:color w:val="auto"/>
          <w:szCs w:val="24"/>
          <w:highlight w:val="none"/>
        </w:rPr>
        <w:t>1.以上技术参数供应商应完全响应，并逐条填写《技术响应偏离表》，如有漏项、缺项或负偏离，将被视为未实质性满足谈判文件要求按无效响应处理；若产品品牌型号固定的，需以固定值进行响应；</w:t>
      </w:r>
    </w:p>
    <w:p w14:paraId="028DC01F">
      <w:pPr>
        <w:pStyle w:val="7"/>
        <w:ind w:firstLine="480"/>
        <w:rPr>
          <w:color w:val="auto"/>
          <w:szCs w:val="24"/>
          <w:highlight w:val="none"/>
        </w:rPr>
      </w:pPr>
      <w:r>
        <w:rPr>
          <w:rFonts w:hint="eastAsia"/>
          <w:color w:val="auto"/>
          <w:szCs w:val="24"/>
          <w:highlight w:val="none"/>
        </w:rPr>
        <w:t>2.若成交供应商《技术响应偏离表》中完全响应，但供货验收时不合格/未通过，采购人有权终止合同，并保留上报财政的权力；</w:t>
      </w:r>
    </w:p>
    <w:p w14:paraId="202087E7">
      <w:r>
        <w:rPr>
          <w:rFonts w:hint="eastAsia"/>
          <w:color w:val="auto"/>
          <w:szCs w:val="24"/>
          <w:highlight w:val="none"/>
        </w:rPr>
        <w:t>3.若采购需求中有标注“▲”的重要要求，供应商必须单独提供佐证材料证明其满足，佐证材料包括：彩页或产品说明书或检测报告或厂家技术声明等，否则视为负偏离，按无效文件处理。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51E18"/>
    <w:rsid w:val="038E47F6"/>
    <w:rsid w:val="085F5C34"/>
    <w:rsid w:val="0B2E376B"/>
    <w:rsid w:val="0CF0649F"/>
    <w:rsid w:val="125E3D64"/>
    <w:rsid w:val="13D44677"/>
    <w:rsid w:val="148F527B"/>
    <w:rsid w:val="15F8200D"/>
    <w:rsid w:val="16E63F3E"/>
    <w:rsid w:val="1A133865"/>
    <w:rsid w:val="1BDA490E"/>
    <w:rsid w:val="1D8A14F0"/>
    <w:rsid w:val="24EC54B3"/>
    <w:rsid w:val="27B32FEC"/>
    <w:rsid w:val="2DCB19F8"/>
    <w:rsid w:val="2EA938CD"/>
    <w:rsid w:val="2FC651B5"/>
    <w:rsid w:val="3D7675E7"/>
    <w:rsid w:val="41D16FA1"/>
    <w:rsid w:val="47825B3E"/>
    <w:rsid w:val="49067D46"/>
    <w:rsid w:val="49FC65D1"/>
    <w:rsid w:val="4BDF1609"/>
    <w:rsid w:val="4D070580"/>
    <w:rsid w:val="4DAA061C"/>
    <w:rsid w:val="53184006"/>
    <w:rsid w:val="5E046F65"/>
    <w:rsid w:val="6091780F"/>
    <w:rsid w:val="61002800"/>
    <w:rsid w:val="664663E8"/>
    <w:rsid w:val="66751E18"/>
    <w:rsid w:val="679C7FFA"/>
    <w:rsid w:val="6C375151"/>
    <w:rsid w:val="72C67F58"/>
    <w:rsid w:val="73391052"/>
    <w:rsid w:val="74E53270"/>
    <w:rsid w:val="75A35E7B"/>
    <w:rsid w:val="7758156B"/>
    <w:rsid w:val="7D756C4A"/>
    <w:rsid w:val="7DD251E4"/>
    <w:rsid w:val="7FA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adjustRightInd w:val="0"/>
      <w:snapToGrid w:val="0"/>
      <w:spacing w:line="540" w:lineRule="exact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440" w:lineRule="exact"/>
      <w:ind w:firstLine="0" w:firstLineChars="0"/>
      <w:jc w:val="left"/>
      <w:outlineLvl w:val="1"/>
    </w:pPr>
    <w:rPr>
      <w:rFonts w:ascii="Arial" w:hAnsi="Arial" w:eastAsia="宋体" w:cs="Times New Roman"/>
      <w:bCs/>
      <w:sz w:val="28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440" w:lineRule="exact"/>
      <w:jc w:val="both"/>
      <w:outlineLvl w:val="2"/>
    </w:pPr>
    <w:rPr>
      <w:rFonts w:ascii="宋体" w:hAnsi="宋体" w:eastAsia="宋体" w:cs="宋体"/>
      <w:b/>
      <w:sz w:val="28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outlineLvl w:val="3"/>
    </w:pPr>
    <w:rPr>
      <w:rFonts w:ascii="宋体" w:hAnsi="宋体" w:eastAsia="宋体" w:cs="宋体"/>
      <w:b/>
      <w:bCs/>
      <w:sz w:val="24"/>
      <w:szCs w:val="28"/>
    </w:rPr>
  </w:style>
  <w:style w:type="paragraph" w:styleId="6">
    <w:name w:val="heading 5"/>
    <w:basedOn w:val="1"/>
    <w:next w:val="1"/>
    <w:link w:val="16"/>
    <w:semiHidden/>
    <w:unhideWhenUsed/>
    <w:qFormat/>
    <w:uiPriority w:val="0"/>
    <w:pPr>
      <w:keepNext/>
      <w:keepLines/>
      <w:adjustRightInd w:val="0"/>
      <w:snapToGrid w:val="0"/>
      <w:spacing w:line="440" w:lineRule="exact"/>
      <w:ind w:firstLine="321" w:firstLineChars="100"/>
      <w:jc w:val="both"/>
      <w:textAlignment w:val="baseline"/>
      <w:outlineLvl w:val="4"/>
    </w:pPr>
    <w:rPr>
      <w:rFonts w:ascii="宋体" w:hAnsi="宋体" w:eastAsia="宋体" w:cs="宋体"/>
      <w:b/>
      <w:bCs/>
      <w:kern w:val="0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spacing w:line="360" w:lineRule="auto"/>
      <w:ind w:firstLine="562" w:firstLineChars="200"/>
    </w:pPr>
    <w:rPr>
      <w:rFonts w:ascii="宋体" w:hAnsi="宋体" w:eastAsia="宋体" w:cs="宋体"/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 w:val="24"/>
    </w:rPr>
  </w:style>
  <w:style w:type="paragraph" w:styleId="9">
    <w:name w:val="toc 1"/>
    <w:basedOn w:val="1"/>
    <w:next w:val="1"/>
    <w:qFormat/>
    <w:uiPriority w:val="0"/>
    <w:rPr>
      <w:rFonts w:ascii="Calibri" w:hAnsi="Calibri" w:eastAsia="宋体" w:cs="Times New Roman"/>
      <w:b/>
      <w:sz w:val="24"/>
    </w:rPr>
  </w:style>
  <w:style w:type="paragraph" w:styleId="10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4"/>
    </w:rPr>
  </w:style>
  <w:style w:type="character" w:customStyle="1" w:styleId="13">
    <w:name w:val="标题 2 字符"/>
    <w:link w:val="3"/>
    <w:autoRedefine/>
    <w:qFormat/>
    <w:uiPriority w:val="9"/>
    <w:rPr>
      <w:rFonts w:ascii="Arial" w:hAnsi="Arial" w:eastAsia="宋体" w:cs="Times New Roman"/>
      <w:bCs/>
      <w:snapToGrid w:val="0"/>
      <w:color w:val="000000"/>
      <w:kern w:val="0"/>
      <w:sz w:val="28"/>
      <w:szCs w:val="32"/>
      <w:lang w:eastAsia="en-US"/>
    </w:rPr>
  </w:style>
  <w:style w:type="character" w:customStyle="1" w:styleId="14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5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4"/>
      <w:szCs w:val="28"/>
    </w:rPr>
  </w:style>
  <w:style w:type="character" w:customStyle="1" w:styleId="16">
    <w:name w:val="标题 5 Char"/>
    <w:link w:val="6"/>
    <w:qFormat/>
    <w:uiPriority w:val="0"/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居中"/>
    <w:basedOn w:val="1"/>
    <w:qFormat/>
    <w:uiPriority w:val="0"/>
    <w:pPr>
      <w:keepNext/>
      <w:keepLines/>
      <w:spacing w:line="440" w:lineRule="exact"/>
      <w:jc w:val="both"/>
      <w:outlineLvl w:val="1"/>
    </w:pPr>
    <w:rPr>
      <w:rFonts w:ascii="宋体" w:hAnsi="宋体" w:eastAsia="宋体" w:cs="宋体"/>
      <w:b/>
      <w:bCs/>
      <w:snapToGrid w:val="0"/>
      <w:color w:val="000000"/>
      <w:kern w:val="0"/>
      <w:sz w:val="28"/>
      <w:szCs w:val="32"/>
      <w:lang w:eastAsia="en-US"/>
    </w:rPr>
  </w:style>
  <w:style w:type="character" w:customStyle="1" w:styleId="18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19">
    <w:name w:val="font21"/>
    <w:basedOn w:val="12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paragraph" w:customStyle="1" w:styleId="20">
    <w:name w:val="表格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2025-09-25T07:54:00Z</dcterms:created>
  <dc:creator>hh</dc:creator>
  <cp:lastModifiedBy>hh</cp:lastModifiedBy>
  <dcterms:modified xsi:type="dcterms:W3CDTF">2025-09-25T07:55:07Z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D7C9F1F881A9412A919E4CDF7DD66A97_11</vt:lpwstr>
  </property>
  <property fmtid="{D5CDD505-2E9C-101B-9397-08002B2CF9AE}" pid="4" name="KSOTemplateDocerSaveRecord">
    <vt:lpwstr>eyJoZGlkIjoiYzA5ZTczZjMzMTY2ODA5MjVmMDdhMTQ5MjhkYmM3NGUiLCJ1c2VySWQiOiI1NTQxNTg5NzAifQ==</vt:lpwstr>
  </property>
</Properties>
</file>