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233A4">
      <w:pPr>
        <w:rPr>
          <w:rFonts w:hint="eastAsia" w:ascii="仿宋" w:hAnsi="仿宋" w:eastAsia="仿宋" w:cs="仿宋"/>
          <w:lang w:val="en-US" w:eastAsia="zh-CN"/>
        </w:rPr>
      </w:pPr>
    </w:p>
    <w:p w14:paraId="084D6604">
      <w:pPr>
        <w:jc w:val="center"/>
        <w:rPr>
          <w:rFonts w:hint="eastAsia" w:ascii="仿宋" w:hAnsi="仿宋" w:eastAsia="仿宋" w:cs="仿宋"/>
          <w:sz w:val="44"/>
          <w:szCs w:val="44"/>
          <w:lang w:val="en-US" w:eastAsia="zh-CN"/>
        </w:rPr>
      </w:pPr>
      <w:r>
        <w:rPr>
          <w:rFonts w:hint="eastAsia" w:ascii="仿宋" w:hAnsi="仿宋" w:eastAsia="仿宋" w:cs="仿宋"/>
          <w:b/>
          <w:bCs/>
          <w:sz w:val="44"/>
          <w:szCs w:val="52"/>
          <w:lang w:val="en-US" w:eastAsia="zh-CN"/>
        </w:rPr>
        <w:t>古城镇罗家沟村九泉沟大型淤地坝除险加固工程采购需求文件</w:t>
      </w:r>
    </w:p>
    <w:p w14:paraId="14AC3436">
      <w:pPr>
        <w:rPr>
          <w:rFonts w:hint="eastAsia" w:ascii="仿宋" w:hAnsi="仿宋" w:eastAsia="仿宋" w:cs="仿宋"/>
          <w:b/>
          <w:bCs/>
          <w:sz w:val="28"/>
          <w:szCs w:val="28"/>
          <w:lang w:val="en-US" w:eastAsia="zh-CN"/>
        </w:rPr>
      </w:pPr>
    </w:p>
    <w:p w14:paraId="7ABA8682">
      <w:pPr>
        <w:numPr>
          <w:ilvl w:val="0"/>
          <w:numId w:val="0"/>
        </w:num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采购项目名称：</w:t>
      </w:r>
      <w:r>
        <w:rPr>
          <w:rFonts w:hint="eastAsia" w:ascii="仿宋" w:hAnsi="仿宋" w:eastAsia="仿宋" w:cs="仿宋"/>
          <w:sz w:val="28"/>
          <w:szCs w:val="28"/>
          <w:lang w:val="en-US" w:eastAsia="zh-CN"/>
        </w:rPr>
        <w:t>古城镇罗家沟村九泉沟大型淤地坝除险加固工程</w:t>
      </w:r>
    </w:p>
    <w:p w14:paraId="1AE8A6A5">
      <w:pPr>
        <w:numPr>
          <w:ilvl w:val="0"/>
          <w:numId w:val="0"/>
        </w:num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二、采购项目预算、资金构成和采购方式：</w:t>
      </w:r>
    </w:p>
    <w:p w14:paraId="10735EF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1、采购项目预算：（见上传附件）</w:t>
      </w:r>
    </w:p>
    <w:p w14:paraId="6405F6F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2、资金来源：财政资金</w:t>
      </w:r>
    </w:p>
    <w:p w14:paraId="5A3B11C9">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3、采购方式：竞争性磋商</w:t>
      </w:r>
    </w:p>
    <w:p w14:paraId="1CE6817E">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三、项目实施时间、地点、工程概况、履行期限及方式：</w:t>
      </w:r>
    </w:p>
    <w:p w14:paraId="1D473C57">
      <w:pPr>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1、项目实施时间：10月</w:t>
      </w:r>
    </w:p>
    <w:p w14:paraId="582C6500">
      <w:p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2、项目实施地点：古城镇罗家沟村</w:t>
      </w:r>
      <w:r>
        <w:rPr>
          <w:rFonts w:hint="eastAsia" w:ascii="仿宋" w:hAnsi="仿宋" w:eastAsia="仿宋" w:cs="仿宋"/>
          <w:sz w:val="28"/>
          <w:szCs w:val="28"/>
          <w:lang w:val="en-US" w:eastAsia="zh-CN"/>
        </w:rPr>
        <w:t>。</w:t>
      </w:r>
    </w:p>
    <w:p w14:paraId="3823338D">
      <w:pPr>
        <w:numPr>
          <w:ilvl w:val="0"/>
          <w:numId w:val="0"/>
        </w:numPr>
        <w:spacing w:line="52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3、工程概况：</w:t>
      </w:r>
      <w:bookmarkStart w:id="154" w:name="_GoBack"/>
      <w:bookmarkEnd w:id="154"/>
    </w:p>
    <w:p w14:paraId="7BB02C65">
      <w:p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主要内容包括：对古城镇罗家沟村九泉沟大型淤地坝除险加固工程，主要包括加固坝体，增设溢洪道。具体内容详见工程量清单。</w:t>
      </w:r>
    </w:p>
    <w:p w14:paraId="730FB53E">
      <w:pPr>
        <w:spacing w:line="52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项目总投资：947200.00</w:t>
      </w:r>
      <w:r>
        <w:rPr>
          <w:rFonts w:hint="eastAsia" w:ascii="仿宋" w:hAnsi="仿宋" w:eastAsia="仿宋" w:cs="仿宋"/>
          <w:sz w:val="28"/>
          <w:szCs w:val="28"/>
          <w:lang w:val="en-US" w:eastAsia="zh-CN"/>
        </w:rPr>
        <w:t>元。</w:t>
      </w:r>
    </w:p>
    <w:p w14:paraId="5377F963">
      <w:pPr>
        <w:numPr>
          <w:ilvl w:val="0"/>
          <w:numId w:val="1"/>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合同模板：</w:t>
      </w:r>
    </w:p>
    <w:p w14:paraId="21EAEA9D">
      <w:pP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br w:type="page"/>
      </w:r>
    </w:p>
    <w:p w14:paraId="67DEBC8A">
      <w:pPr>
        <w:spacing w:line="360" w:lineRule="auto"/>
        <w:jc w:val="center"/>
        <w:rPr>
          <w:rFonts w:hint="eastAsia" w:ascii="仿宋" w:hAnsi="仿宋" w:eastAsia="仿宋" w:cs="仿宋"/>
          <w:b/>
          <w:bCs/>
          <w:color w:val="auto"/>
          <w:sz w:val="44"/>
          <w:szCs w:val="44"/>
          <w:lang w:eastAsia="zh-CN"/>
        </w:rPr>
      </w:pPr>
      <w:r>
        <w:rPr>
          <w:rFonts w:hint="eastAsia" w:ascii="仿宋" w:hAnsi="仿宋" w:eastAsia="仿宋" w:cs="仿宋"/>
          <w:b/>
          <w:bCs/>
          <w:color w:val="auto"/>
          <w:sz w:val="44"/>
          <w:szCs w:val="44"/>
          <w:lang w:val="en-US" w:eastAsia="zh-CN"/>
        </w:rPr>
        <w:t>古城镇罗家沟村九泉沟大型淤地坝除险加固工程</w:t>
      </w:r>
      <w:r>
        <w:rPr>
          <w:rFonts w:hint="eastAsia" w:ascii="仿宋" w:hAnsi="仿宋" w:eastAsia="仿宋" w:cs="仿宋"/>
          <w:b/>
          <w:bCs/>
          <w:color w:val="auto"/>
          <w:sz w:val="44"/>
          <w:szCs w:val="44"/>
          <w:lang w:eastAsia="zh-CN"/>
        </w:rPr>
        <w:t>采购合同</w:t>
      </w:r>
    </w:p>
    <w:p w14:paraId="2EF949DC">
      <w:pPr>
        <w:pStyle w:val="2"/>
        <w:rPr>
          <w:rFonts w:hint="eastAsia" w:ascii="仿宋" w:hAnsi="仿宋" w:eastAsia="仿宋" w:cs="仿宋"/>
          <w:color w:val="auto"/>
          <w:lang w:eastAsia="zh-CN"/>
        </w:rPr>
      </w:pPr>
    </w:p>
    <w:p w14:paraId="01B10816">
      <w:pPr>
        <w:spacing w:line="720" w:lineRule="auto"/>
        <w:jc w:val="center"/>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（仅供参考，最终以甲乙双方签订为准）</w:t>
      </w:r>
    </w:p>
    <w:p w14:paraId="5B7732C9">
      <w:pPr>
        <w:rPr>
          <w:rFonts w:hint="eastAsia" w:ascii="仿宋" w:hAnsi="仿宋" w:eastAsia="仿宋" w:cs="仿宋"/>
          <w:color w:val="auto"/>
        </w:rPr>
      </w:pPr>
    </w:p>
    <w:p w14:paraId="6E58344E">
      <w:pPr>
        <w:rPr>
          <w:rFonts w:hint="eastAsia" w:ascii="仿宋" w:hAnsi="仿宋" w:eastAsia="仿宋" w:cs="仿宋"/>
          <w:color w:val="auto"/>
        </w:rPr>
      </w:pPr>
    </w:p>
    <w:p w14:paraId="469028BD">
      <w:pPr>
        <w:pStyle w:val="2"/>
        <w:rPr>
          <w:rFonts w:hint="eastAsia" w:ascii="仿宋" w:hAnsi="仿宋" w:eastAsia="仿宋" w:cs="仿宋"/>
          <w:color w:val="auto"/>
        </w:rPr>
      </w:pPr>
    </w:p>
    <w:p w14:paraId="26A16C4B">
      <w:pPr>
        <w:jc w:val="both"/>
        <w:rPr>
          <w:rFonts w:hint="eastAsia" w:ascii="仿宋" w:hAnsi="仿宋" w:eastAsia="仿宋" w:cs="仿宋"/>
          <w:b/>
          <w:color w:val="auto"/>
          <w:sz w:val="36"/>
          <w:szCs w:val="36"/>
        </w:rPr>
      </w:pPr>
    </w:p>
    <w:p w14:paraId="12D74563">
      <w:pPr>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（示范文本）</w:t>
      </w:r>
    </w:p>
    <w:p w14:paraId="0D96A338">
      <w:pPr>
        <w:spacing w:before="120" w:line="360" w:lineRule="auto"/>
        <w:rPr>
          <w:rFonts w:hint="eastAsia" w:ascii="仿宋" w:hAnsi="仿宋" w:eastAsia="仿宋" w:cs="仿宋"/>
          <w:b/>
          <w:bCs/>
          <w:color w:val="auto"/>
          <w:sz w:val="28"/>
          <w:szCs w:val="28"/>
        </w:rPr>
      </w:pPr>
    </w:p>
    <w:p w14:paraId="3347198C">
      <w:pPr>
        <w:pStyle w:val="2"/>
        <w:rPr>
          <w:rFonts w:hint="eastAsia" w:ascii="仿宋" w:hAnsi="仿宋" w:eastAsia="仿宋" w:cs="仿宋"/>
          <w:b/>
          <w:bCs/>
          <w:color w:val="auto"/>
          <w:sz w:val="28"/>
          <w:szCs w:val="28"/>
        </w:rPr>
      </w:pPr>
    </w:p>
    <w:p w14:paraId="3182F410">
      <w:pPr>
        <w:pStyle w:val="2"/>
        <w:rPr>
          <w:rFonts w:hint="eastAsia" w:ascii="仿宋" w:hAnsi="仿宋" w:eastAsia="仿宋" w:cs="仿宋"/>
          <w:b/>
          <w:bCs/>
          <w:color w:val="auto"/>
          <w:sz w:val="28"/>
          <w:szCs w:val="28"/>
        </w:rPr>
      </w:pPr>
    </w:p>
    <w:p w14:paraId="0FE22479">
      <w:pPr>
        <w:adjustRightInd w:val="0"/>
        <w:snapToGrid w:val="0"/>
        <w:spacing w:line="580" w:lineRule="exact"/>
        <w:ind w:firstLine="557" w:firstLineChars="198"/>
        <w:rPr>
          <w:rFonts w:hint="eastAsia" w:ascii="仿宋" w:hAnsi="仿宋" w:eastAsia="仿宋" w:cs="仿宋"/>
          <w:color w:val="auto"/>
          <w:sz w:val="24"/>
          <w:u w:val="thick"/>
        </w:rPr>
      </w:pPr>
      <w:r>
        <w:rPr>
          <w:rFonts w:hint="eastAsia" w:ascii="仿宋" w:hAnsi="仿宋" w:eastAsia="仿宋" w:cs="仿宋"/>
          <w:b/>
          <w:bCs/>
          <w:color w:val="auto"/>
          <w:sz w:val="28"/>
          <w:szCs w:val="28"/>
          <w:lang w:eastAsia="zh-CN"/>
        </w:rPr>
        <w:t>采购</w:t>
      </w:r>
      <w:r>
        <w:rPr>
          <w:rFonts w:hint="eastAsia" w:ascii="仿宋" w:hAnsi="仿宋" w:eastAsia="仿宋" w:cs="仿宋"/>
          <w:b/>
          <w:bCs/>
          <w:color w:val="auto"/>
          <w:sz w:val="28"/>
          <w:szCs w:val="28"/>
        </w:rPr>
        <w:t xml:space="preserve">编号： </w:t>
      </w:r>
      <w:r>
        <w:rPr>
          <w:rFonts w:hint="eastAsia" w:ascii="仿宋" w:hAnsi="仿宋" w:eastAsia="仿宋" w:cs="仿宋"/>
          <w:color w:val="auto"/>
          <w:sz w:val="24"/>
          <w:u w:val="single"/>
        </w:rPr>
        <w:t xml:space="preserve">                                      </w:t>
      </w:r>
    </w:p>
    <w:p w14:paraId="784101C9">
      <w:pPr>
        <w:adjustRightInd w:val="0"/>
        <w:snapToGrid w:val="0"/>
        <w:spacing w:line="700" w:lineRule="exact"/>
        <w:ind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采购人：</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0DA50BEA">
      <w:pPr>
        <w:adjustRightInd w:val="0"/>
        <w:snapToGrid w:val="0"/>
        <w:spacing w:line="700" w:lineRule="exact"/>
        <w:ind w:firstLine="557" w:firstLineChars="198"/>
        <w:jc w:val="left"/>
        <w:rPr>
          <w:rFonts w:hint="eastAsia" w:ascii="仿宋" w:hAnsi="仿宋" w:eastAsia="仿宋" w:cs="仿宋"/>
          <w:color w:val="auto"/>
          <w:sz w:val="24"/>
          <w:lang w:val="en-US" w:eastAsia="zh-CN"/>
        </w:rPr>
      </w:pPr>
      <w:r>
        <w:rPr>
          <w:rFonts w:hint="eastAsia" w:ascii="仿宋" w:hAnsi="仿宋" w:eastAsia="仿宋" w:cs="仿宋"/>
          <w:b/>
          <w:bCs/>
          <w:color w:val="auto"/>
          <w:sz w:val="28"/>
          <w:szCs w:val="28"/>
        </w:rPr>
        <w:t>供应商</w:t>
      </w:r>
      <w:r>
        <w:rPr>
          <w:rFonts w:hint="eastAsia" w:ascii="仿宋" w:hAnsi="仿宋" w:eastAsia="仿宋" w:cs="仿宋"/>
          <w:b/>
          <w:bCs/>
          <w:color w:val="auto"/>
          <w:sz w:val="28"/>
          <w:szCs w:val="28"/>
          <w:lang w:eastAsia="zh-CN"/>
        </w:rPr>
        <w:t>：</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p>
    <w:p w14:paraId="3D2F9269">
      <w:pPr>
        <w:adjustRightInd w:val="0"/>
        <w:snapToGrid w:val="0"/>
        <w:spacing w:line="700" w:lineRule="exact"/>
        <w:ind w:firstLine="557" w:firstLineChars="198"/>
        <w:jc w:val="left"/>
        <w:rPr>
          <w:rFonts w:hint="eastAsia" w:ascii="仿宋" w:hAnsi="仿宋" w:eastAsia="仿宋" w:cs="仿宋"/>
          <w:color w:val="auto"/>
          <w:sz w:val="24"/>
        </w:rPr>
      </w:pPr>
      <w:r>
        <w:rPr>
          <w:rFonts w:hint="eastAsia" w:ascii="仿宋" w:hAnsi="仿宋" w:eastAsia="仿宋" w:cs="仿宋"/>
          <w:b/>
          <w:bCs/>
          <w:color w:val="auto"/>
          <w:sz w:val="28"/>
          <w:szCs w:val="28"/>
        </w:rPr>
        <w:t>签署日期：</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14:paraId="1B0DA1CE">
      <w:pPr>
        <w:spacing w:line="360" w:lineRule="auto"/>
        <w:ind w:firstLine="843" w:firstLineChars="350"/>
        <w:rPr>
          <w:rFonts w:hint="eastAsia" w:ascii="仿宋" w:hAnsi="仿宋" w:eastAsia="仿宋" w:cs="仿宋"/>
          <w:b/>
          <w:bCs/>
          <w:color w:val="auto"/>
          <w:sz w:val="24"/>
        </w:rPr>
      </w:pPr>
      <w:r>
        <w:rPr>
          <w:rFonts w:hint="eastAsia" w:ascii="仿宋" w:hAnsi="仿宋" w:eastAsia="仿宋" w:cs="仿宋"/>
          <w:b/>
          <w:bCs/>
          <w:color w:val="auto"/>
          <w:sz w:val="24"/>
        </w:rPr>
        <w:t>　　　　　　　　　             　　</w:t>
      </w:r>
    </w:p>
    <w:p w14:paraId="29C5CB08">
      <w:pPr>
        <w:keepLines w:val="0"/>
        <w:pageBreakBefore w:val="0"/>
        <w:overflowPunct/>
        <w:topLinePunct/>
        <w:bidi w:val="0"/>
        <w:spacing w:before="249" w:line="224" w:lineRule="auto"/>
        <w:jc w:val="center"/>
        <w:outlineLvl w:val="0"/>
        <w:rPr>
          <w:rFonts w:hint="eastAsia" w:ascii="仿宋" w:hAnsi="仿宋" w:eastAsia="仿宋" w:cs="仿宋"/>
          <w:color w:val="auto"/>
          <w:sz w:val="31"/>
          <w:szCs w:val="31"/>
        </w:rPr>
      </w:pPr>
      <w:r>
        <w:rPr>
          <w:rFonts w:hint="eastAsia" w:ascii="仿宋" w:hAnsi="仿宋" w:eastAsia="仿宋" w:cs="仿宋"/>
          <w:b/>
          <w:bCs/>
          <w:color w:val="auto"/>
          <w:sz w:val="36"/>
          <w:szCs w:val="36"/>
        </w:rPr>
        <w:br w:type="page"/>
      </w:r>
      <w:r>
        <w:rPr>
          <w:rFonts w:hint="eastAsia" w:ascii="仿宋" w:hAnsi="仿宋" w:eastAsia="仿宋" w:cs="仿宋"/>
          <w:color w:val="auto"/>
          <w:spacing w:val="-4"/>
          <w:sz w:val="31"/>
          <w:szCs w:val="31"/>
          <w14:textOutline w14:w="5793" w14:cap="sq" w14:cmpd="sng">
            <w14:solidFill>
              <w14:srgbClr w14:val="000000"/>
            </w14:solidFill>
            <w14:prstDash w14:val="solid"/>
            <w14:bevel/>
          </w14:textOutline>
        </w:rPr>
        <w:t>合同条款及格</w:t>
      </w:r>
      <w:r>
        <w:rPr>
          <w:rFonts w:hint="eastAsia" w:ascii="仿宋" w:hAnsi="仿宋" w:eastAsia="仿宋" w:cs="仿宋"/>
          <w:color w:val="auto"/>
          <w:spacing w:val="-3"/>
          <w:sz w:val="31"/>
          <w:szCs w:val="31"/>
          <w14:textOutline w14:w="5793" w14:cap="sq" w14:cmpd="sng">
            <w14:solidFill>
              <w14:srgbClr w14:val="000000"/>
            </w14:solidFill>
            <w14:prstDash w14:val="solid"/>
            <w14:bevel/>
          </w14:textOutline>
        </w:rPr>
        <w:t>式</w:t>
      </w:r>
    </w:p>
    <w:p w14:paraId="78DAD3A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bCs/>
          <w:color w:val="auto"/>
          <w:sz w:val="28"/>
          <w:szCs w:val="36"/>
          <w:lang w:eastAsia="zh-CN"/>
        </w:rPr>
      </w:pPr>
      <w:bookmarkStart w:id="0" w:name="第04章合同条款及格式01"/>
      <w:bookmarkEnd w:id="0"/>
      <w:r>
        <w:rPr>
          <w:rFonts w:hint="eastAsia" w:ascii="仿宋" w:hAnsi="仿宋" w:eastAsia="仿宋" w:cs="仿宋"/>
          <w:b/>
          <w:bCs/>
          <w:color w:val="auto"/>
          <w:sz w:val="28"/>
          <w:szCs w:val="36"/>
          <w:lang w:eastAsia="zh-CN"/>
        </w:rPr>
        <w:t>古城镇罗家沟村九泉沟大型淤地坝除险加固工程</w:t>
      </w:r>
    </w:p>
    <w:p w14:paraId="523389B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第1节　通用合同条款</w:t>
      </w:r>
    </w:p>
    <w:p w14:paraId="1CCBE7C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 w:name="第04章合同条款及格式0101"/>
      <w:bookmarkEnd w:id="1"/>
      <w:r>
        <w:rPr>
          <w:rFonts w:hint="eastAsia" w:ascii="仿宋" w:hAnsi="仿宋" w:eastAsia="仿宋" w:cs="仿宋"/>
          <w:b/>
          <w:color w:val="auto"/>
          <w:sz w:val="24"/>
          <w:szCs w:val="24"/>
        </w:rPr>
        <w:t>1　一般约定</w:t>
      </w:r>
    </w:p>
    <w:p w14:paraId="164F969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6A8C463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1.1　词语定义</w:t>
      </w:r>
    </w:p>
    <w:p w14:paraId="6CA6F55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　合同</w:t>
      </w:r>
    </w:p>
    <w:p w14:paraId="13FFC78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1.1.1.6　技术标准和要求：指构成合同文件组成部分的名为技术标准和要求(合同技术条款)的文件，包括合同双方当事人约定对其所作的修改或补充。</w:t>
      </w:r>
    </w:p>
    <w:p w14:paraId="2BE8FB0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1.1.1.7　图纸：指列入合同的招标图纸、投标图纸和发包人按合同约定向承包人提供的施工图纸和其它图纸(包括配套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w:t>
      </w:r>
    </w:p>
    <w:p w14:paraId="4C732B1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　合同当事人和人员</w:t>
      </w:r>
    </w:p>
    <w:p w14:paraId="2B92083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1.1.2.3　承包人：指专用合同条款中指明并与发包人在合同协议书中签字的当事人。</w:t>
      </w:r>
    </w:p>
    <w:p w14:paraId="6D226F0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1.1.2.5　分包人：指专用合同条款中指明的，从承包人处分包合同中某一部分工程，并与其签订分包合同的分包人。</w:t>
      </w:r>
    </w:p>
    <w:p w14:paraId="3CF14A4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1.1.3　工程和设备</w:t>
      </w:r>
    </w:p>
    <w:p w14:paraId="0B70293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1.1.3.10　永久占地：指发包人为建设本合同工程永久征用的场地。</w:t>
      </w:r>
    </w:p>
    <w:p w14:paraId="7591B07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1.1.3.11　临时占地：指发包人为建设本合同工程临时征用，承包人在完工后须按合同要求退还的场地。</w:t>
      </w:r>
    </w:p>
    <w:p w14:paraId="33CB7C1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　日期</w:t>
      </w:r>
    </w:p>
    <w:p w14:paraId="1FC5250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1.1.4.4　竣工日期：即合同工程完工日期，指第1.1.4.3目约定工期届满时的日期。实际完工日期以合同工程完工证书中写明的日期为准。</w:t>
      </w:r>
    </w:p>
    <w:p w14:paraId="7B469AE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1.1.4.5　缺陷责任期：即工程质量保修期，指履行第19.2款约定的缺陷责任的期限，包括根据第19.3款约定所作的延长，具体期限由专用合同条款约定。</w:t>
      </w:r>
    </w:p>
    <w:p w14:paraId="704F9610">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 w:name="_Toc15991"/>
      <w:r>
        <w:rPr>
          <w:rFonts w:hint="eastAsia" w:ascii="仿宋" w:hAnsi="仿宋" w:eastAsia="仿宋" w:cs="仿宋"/>
          <w:color w:val="auto"/>
          <w:sz w:val="24"/>
          <w:szCs w:val="24"/>
        </w:rPr>
        <w:t>1.6　图纸和承包人文件</w:t>
      </w:r>
      <w:bookmarkEnd w:id="2"/>
    </w:p>
    <w:p w14:paraId="5A946CA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1.6.1　图纸的提供</w:t>
      </w:r>
    </w:p>
    <w:p w14:paraId="407F368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发包人应按技术标准和要求(合同技术条款)约定的期限和数量将施工图纸以及其它图纸(包括配套说明和有关资料)提供给承包人。由于发包人未按时提供图纸造成工期延误的，按第11.3款的约定办理。</w:t>
      </w:r>
    </w:p>
    <w:p w14:paraId="0807987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1.6.2　承包人提供的文件</w:t>
      </w:r>
    </w:p>
    <w:p w14:paraId="3EE941D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承包人提供的文件应按技术标准和要求(合同技术条款)约定的期限和数量提供给监理人。监理人应按技术标准和要求(合同技术条款)约定的期限批复承包人。</w:t>
      </w:r>
    </w:p>
    <w:p w14:paraId="3A20451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1.6.3　图纸的修改</w:t>
      </w:r>
    </w:p>
    <w:p w14:paraId="4A0BBCC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3281E33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 w:name="_Toc1362"/>
      <w:r>
        <w:rPr>
          <w:rFonts w:hint="eastAsia" w:ascii="仿宋" w:hAnsi="仿宋" w:eastAsia="仿宋" w:cs="仿宋"/>
          <w:color w:val="auto"/>
          <w:sz w:val="24"/>
          <w:szCs w:val="24"/>
        </w:rPr>
        <w:t>1.7　联络</w:t>
      </w:r>
      <w:bookmarkEnd w:id="3"/>
    </w:p>
    <w:p w14:paraId="286F2FD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　第1.7.1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14:paraId="17384C4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1.7.3　来往函件均应按合同约定的期限及时发出和答复，不得无故扣压和拖延，亦不得拒收。否则，由此造成的后果由责任方负责。</w:t>
      </w:r>
    </w:p>
    <w:p w14:paraId="382B36A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　专利技术</w:t>
      </w:r>
    </w:p>
    <w:p w14:paraId="331AEA7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1.11.4　合同实施过程中，发包人要求承包人采用专利技术的，发包人应办理相应的使用手续，承包人应按发包人约定的条件使用，并承担使用专利技术的相关试验工作，所需费用由发包人承担。</w:t>
      </w:r>
    </w:p>
    <w:p w14:paraId="2A1ABF3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4" w:name="第04章合同条款及格式0102"/>
      <w:bookmarkEnd w:id="4"/>
      <w:r>
        <w:rPr>
          <w:rFonts w:hint="eastAsia" w:ascii="仿宋" w:hAnsi="仿宋" w:eastAsia="仿宋" w:cs="仿宋"/>
          <w:b/>
          <w:color w:val="auto"/>
          <w:sz w:val="24"/>
          <w:szCs w:val="24"/>
        </w:rPr>
        <w:t>2　发包人义务</w:t>
      </w:r>
    </w:p>
    <w:p w14:paraId="1D74FF6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096771F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 w:name="_Toc1341"/>
      <w:r>
        <w:rPr>
          <w:rFonts w:hint="eastAsia" w:ascii="仿宋" w:hAnsi="仿宋" w:eastAsia="仿宋" w:cs="仿宋"/>
          <w:color w:val="auto"/>
          <w:sz w:val="24"/>
          <w:szCs w:val="24"/>
        </w:rPr>
        <w:t>2.3　提供施工场地</w:t>
      </w:r>
      <w:bookmarkEnd w:id="5"/>
    </w:p>
    <w:p w14:paraId="7CF0E5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2.3.1　发包人应在合同双方签订合同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w:t>
      </w:r>
    </w:p>
    <w:p w14:paraId="1E58F7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2.3.2　发包人提供的施工用地范围在专用合同条款中约定。</w:t>
      </w:r>
    </w:p>
    <w:p w14:paraId="052C4F1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　除专用合同条款另有约定外，发包人应按技术标准和要求(合同技术条款)的约定，向承包人提供施工场地内的工程地质图纸和报告，以及地下障碍物图纸等施工场地有关资料，并保证资料的真实、准确、完整。</w:t>
      </w:r>
    </w:p>
    <w:p w14:paraId="712705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2.7　组织竣工验收(组织法人验收)</w:t>
      </w:r>
    </w:p>
    <w:p w14:paraId="738FE1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发包人应按合同约定及时组织法人验收。</w:t>
      </w:r>
    </w:p>
    <w:p w14:paraId="4C80FFCC">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 w:name="_Toc20725"/>
      <w:r>
        <w:rPr>
          <w:rFonts w:hint="eastAsia" w:ascii="仿宋" w:hAnsi="仿宋" w:eastAsia="仿宋" w:cs="仿宋"/>
          <w:color w:val="auto"/>
          <w:sz w:val="24"/>
          <w:szCs w:val="24"/>
        </w:rPr>
        <w:t>2.8　其它义务</w:t>
      </w:r>
      <w:bookmarkEnd w:id="6"/>
    </w:p>
    <w:p w14:paraId="62EEE30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其它义务在专用合同条款中补充约定。</w:t>
      </w:r>
    </w:p>
    <w:p w14:paraId="56FC024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7" w:name="第04章合同条款及格式0103"/>
      <w:bookmarkEnd w:id="7"/>
      <w:bookmarkStart w:id="8" w:name="_Toc28822"/>
      <w:r>
        <w:rPr>
          <w:rFonts w:hint="eastAsia" w:ascii="仿宋" w:hAnsi="仿宋" w:eastAsia="仿宋" w:cs="仿宋"/>
          <w:b/>
          <w:color w:val="auto"/>
          <w:sz w:val="24"/>
          <w:szCs w:val="24"/>
        </w:rPr>
        <w:t>3　监理人</w:t>
      </w:r>
      <w:bookmarkEnd w:id="8"/>
    </w:p>
    <w:p w14:paraId="2F4F787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6B259AA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9" w:name="_Toc6598"/>
      <w:r>
        <w:rPr>
          <w:rFonts w:hint="eastAsia" w:ascii="仿宋" w:hAnsi="仿宋" w:eastAsia="仿宋" w:cs="仿宋"/>
          <w:color w:val="auto"/>
          <w:sz w:val="24"/>
          <w:szCs w:val="24"/>
        </w:rPr>
        <w:t>3.1　监理人的职责和权力</w:t>
      </w:r>
      <w:bookmarkEnd w:id="9"/>
    </w:p>
    <w:p w14:paraId="5024C02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3.1.1　监理人受发包人的委托，享有合同约定的权力。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14:paraId="67F3958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0" w:name="第04章合同条款及格式0104"/>
      <w:bookmarkEnd w:id="10"/>
      <w:r>
        <w:rPr>
          <w:rFonts w:hint="eastAsia" w:ascii="仿宋" w:hAnsi="仿宋" w:eastAsia="仿宋" w:cs="仿宋"/>
          <w:b/>
          <w:color w:val="auto"/>
          <w:sz w:val="24"/>
          <w:szCs w:val="24"/>
        </w:rPr>
        <w:t>4　承包人</w:t>
      </w:r>
    </w:p>
    <w:p w14:paraId="65A0FBD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2B0084F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 w:name="_Toc5290"/>
      <w:r>
        <w:rPr>
          <w:rFonts w:hint="eastAsia" w:ascii="仿宋" w:hAnsi="仿宋" w:eastAsia="仿宋" w:cs="仿宋"/>
          <w:color w:val="auto"/>
          <w:sz w:val="24"/>
          <w:szCs w:val="24"/>
        </w:rPr>
        <w:t>4.1　承包人的一般义务</w:t>
      </w:r>
      <w:bookmarkEnd w:id="11"/>
    </w:p>
    <w:p w14:paraId="6EFE73C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4.1.3　完成各项承包工作</w:t>
      </w:r>
    </w:p>
    <w:p w14:paraId="393637B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按合同约定以及监理人根据第3.4款作出的指示，实施、完成全部工程，并修补工程中的任何缺陷。除第5.2款、第6.2款另有约定外，承包人应提供为完成合同工作所需的劳务、材料、施工设备、工程设备和其它物品，并按合同约定负责临时设施的设计、建造、运行、维护、管理和拆除。</w:t>
      </w:r>
    </w:p>
    <w:p w14:paraId="5B83AD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4.1.9　工程的维护和照管</w:t>
      </w:r>
    </w:p>
    <w:p w14:paraId="2CF8C23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除合同另有约定外，合同工程完工证书颁发前，承包人应负责照管和维护工程。合同工程完工证书颁发时尚有部分未完工程的，承包人还应负责该未完工程的照管和维护工作，直至完工后移交给发包人为止。</w:t>
      </w:r>
    </w:p>
    <w:p w14:paraId="57C0922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4.1.10　其它义务</w:t>
      </w:r>
    </w:p>
    <w:p w14:paraId="6393D87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其它义务在专用合同条款中补充约定。</w:t>
      </w:r>
    </w:p>
    <w:p w14:paraId="7F139FF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 w:name="_Toc21650"/>
      <w:r>
        <w:rPr>
          <w:rFonts w:hint="eastAsia" w:ascii="仿宋" w:hAnsi="仿宋" w:eastAsia="仿宋" w:cs="仿宋"/>
          <w:color w:val="auto"/>
          <w:sz w:val="24"/>
          <w:szCs w:val="24"/>
        </w:rPr>
        <w:t>4.2　履约担保</w:t>
      </w:r>
      <w:bookmarkEnd w:id="12"/>
    </w:p>
    <w:p w14:paraId="4F7A206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承包人应保证其履约担保在发包人颁发合同工程完工证书前一直有效。发包人应在合同工程完工证书颁发后28天内将履约担保退还给承包人。</w:t>
      </w:r>
    </w:p>
    <w:p w14:paraId="6398C89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 w:name="_Toc1871"/>
      <w:r>
        <w:rPr>
          <w:rFonts w:hint="eastAsia" w:ascii="仿宋" w:hAnsi="仿宋" w:eastAsia="仿宋" w:cs="仿宋"/>
          <w:color w:val="auto"/>
          <w:sz w:val="24"/>
          <w:szCs w:val="24"/>
        </w:rPr>
        <w:t>4.3　分包</w:t>
      </w:r>
      <w:bookmarkEnd w:id="13"/>
    </w:p>
    <w:p w14:paraId="7416FFB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4.3.6　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5A29AAA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4.3.7　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w:t>
      </w:r>
    </w:p>
    <w:p w14:paraId="10C39DE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由指定分包人造成的与其分包工作有关的一切索赔、诉讼和损失赔偿由指定分包人直接对发包人负责，承包人不对此承担责任。</w:t>
      </w:r>
    </w:p>
    <w:p w14:paraId="55FC86C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4.3.8　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14:paraId="1BB0DA7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4.3.9　除第4.3.7项规定的指定分包外，承包人对其分包项目的实施以及分包人的行为向发包人负全部责任。承包人应对分包项目的工程进度、质量、安全、计量和验收等实施监督和管理。</w:t>
      </w:r>
    </w:p>
    <w:p w14:paraId="002F3A6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4.3.10　分包人应按专用合同条款的约定设立项目管理机构组织管理分包工程的施工活动。</w:t>
      </w:r>
    </w:p>
    <w:p w14:paraId="62DE73E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　不利物质条件</w:t>
      </w:r>
    </w:p>
    <w:p w14:paraId="3531802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4.11.1　除专用合同条款另有约定外，不利物质条件是指在施工中遭遇不可预见的外界障碍或自然条件造成施工受阻。</w:t>
      </w:r>
    </w:p>
    <w:p w14:paraId="23E86AD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4.11.2　承包人遇到不利物质条件时，应采取适应不利物质条件的合理措施继续施工，并及时通知监理人。承包人有权根据第23.1款的约定，要求延长工期及增加费用。监理人收到此类要求后，应在分析上述外界障碍或自然条件是否不可预见及不可预见程度的基础上，按照通用合同条款第15条的约定办理。</w:t>
      </w:r>
    </w:p>
    <w:p w14:paraId="02B6F80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4" w:name="第04章合同条款及格式0105"/>
      <w:bookmarkEnd w:id="14"/>
      <w:r>
        <w:rPr>
          <w:rFonts w:hint="eastAsia" w:ascii="仿宋" w:hAnsi="仿宋" w:eastAsia="仿宋" w:cs="仿宋"/>
          <w:b/>
          <w:color w:val="auto"/>
          <w:sz w:val="24"/>
          <w:szCs w:val="24"/>
        </w:rPr>
        <w:t>5　材料和工程设备</w:t>
      </w:r>
    </w:p>
    <w:p w14:paraId="48163F9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709880E0">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5" w:name="_Toc19239"/>
      <w:r>
        <w:rPr>
          <w:rFonts w:hint="eastAsia" w:ascii="仿宋" w:hAnsi="仿宋" w:eastAsia="仿宋" w:cs="仿宋"/>
          <w:color w:val="auto"/>
          <w:sz w:val="24"/>
          <w:szCs w:val="24"/>
        </w:rPr>
        <w:t>5.1　承包人提供的材料和工程设备</w:t>
      </w:r>
      <w:bookmarkEnd w:id="15"/>
    </w:p>
    <w:p w14:paraId="53D42E1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5.1.1　除第5.2款约定由发包人提供的材料和工程设备外，承包人负责采购、运输和保管完成本合同工作所需的材料和工程设备。承包人应对其采购的材料和工程设备负责。</w:t>
      </w:r>
    </w:p>
    <w:p w14:paraId="4F37039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6" w:name="_Toc4389"/>
      <w:r>
        <w:rPr>
          <w:rFonts w:hint="eastAsia" w:ascii="仿宋" w:hAnsi="仿宋" w:eastAsia="仿宋" w:cs="仿宋"/>
          <w:color w:val="auto"/>
          <w:sz w:val="24"/>
          <w:szCs w:val="24"/>
        </w:rPr>
        <w:t>5.2　发包人提供的材料和工程设备</w:t>
      </w:r>
      <w:bookmarkEnd w:id="16"/>
    </w:p>
    <w:p w14:paraId="45C6A1B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5.2.3　发包人应在材料和工程设备到货7天前通知承包人，承包人应会同监理人在约定的时间内，赴交货地点共同进行验收。发包人提供的材料和工程设备运至交货地点验收后，由承包人负责接收、卸货、运输和保管。</w:t>
      </w:r>
    </w:p>
    <w:p w14:paraId="25344F5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7" w:name="第04章合同条款及格式0106"/>
      <w:bookmarkEnd w:id="17"/>
      <w:r>
        <w:rPr>
          <w:rFonts w:hint="eastAsia" w:ascii="仿宋" w:hAnsi="仿宋" w:eastAsia="仿宋" w:cs="仿宋"/>
          <w:b/>
          <w:color w:val="auto"/>
          <w:sz w:val="24"/>
          <w:szCs w:val="24"/>
        </w:rPr>
        <w:t>6　施工设备和临时设施</w:t>
      </w:r>
    </w:p>
    <w:p w14:paraId="40254E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w:t>
      </w:r>
    </w:p>
    <w:p w14:paraId="3EC5B13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8" w:name="第04章合同条款及格式0107"/>
      <w:bookmarkEnd w:id="18"/>
      <w:bookmarkStart w:id="19" w:name="_Toc22919"/>
      <w:r>
        <w:rPr>
          <w:rFonts w:hint="eastAsia" w:ascii="仿宋" w:hAnsi="仿宋" w:eastAsia="仿宋" w:cs="仿宋"/>
          <w:b/>
          <w:color w:val="auto"/>
          <w:sz w:val="24"/>
          <w:szCs w:val="24"/>
        </w:rPr>
        <w:t>7　交通运输</w:t>
      </w:r>
      <w:bookmarkEnd w:id="19"/>
    </w:p>
    <w:p w14:paraId="5A93727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7E1922E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0" w:name="_Toc1153"/>
      <w:r>
        <w:rPr>
          <w:rFonts w:hint="eastAsia" w:ascii="仿宋" w:hAnsi="仿宋" w:eastAsia="仿宋" w:cs="仿宋"/>
          <w:color w:val="auto"/>
          <w:sz w:val="24"/>
          <w:szCs w:val="24"/>
        </w:rPr>
        <w:t>7.1　道路通行权和场外设施</w:t>
      </w:r>
      <w:bookmarkEnd w:id="20"/>
    </w:p>
    <w:p w14:paraId="1E4176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6291152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1" w:name="_Toc15781"/>
      <w:r>
        <w:rPr>
          <w:rFonts w:hint="eastAsia" w:ascii="仿宋" w:hAnsi="仿宋" w:eastAsia="仿宋" w:cs="仿宋"/>
          <w:color w:val="auto"/>
          <w:sz w:val="24"/>
          <w:szCs w:val="24"/>
        </w:rPr>
        <w:t>7.2　场内施工道路</w:t>
      </w:r>
      <w:bookmarkEnd w:id="21"/>
    </w:p>
    <w:p w14:paraId="1752E08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7.2.1　除本合同约定由发包人提供的部分道路和交通设施外，承包人应负责修建、维修、养护和管理其施工所需的全部临时道路和交通设施(包括合同约定由发包人提供的部分道路和交通设施的维修、养护和管理)，并承担相应费用。</w:t>
      </w:r>
    </w:p>
    <w:p w14:paraId="19072FC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7.2.2　承包人修建的临时道路和交通设施，应免费提供发包人、监理人以及与本合同有关的其他承包人使用。</w:t>
      </w:r>
    </w:p>
    <w:p w14:paraId="0EF330F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22" w:name="第04章合同条款及格式0108"/>
      <w:bookmarkEnd w:id="22"/>
      <w:r>
        <w:rPr>
          <w:rFonts w:hint="eastAsia" w:ascii="仿宋" w:hAnsi="仿宋" w:eastAsia="仿宋" w:cs="仿宋"/>
          <w:b/>
          <w:color w:val="auto"/>
          <w:sz w:val="24"/>
          <w:szCs w:val="24"/>
        </w:rPr>
        <w:t>8　测量放线</w:t>
      </w:r>
    </w:p>
    <w:p w14:paraId="2709F64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16D9B6D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3" w:name="_Toc20656"/>
      <w:r>
        <w:rPr>
          <w:rFonts w:hint="eastAsia" w:ascii="仿宋" w:hAnsi="仿宋" w:eastAsia="仿宋" w:cs="仿宋"/>
          <w:color w:val="auto"/>
          <w:sz w:val="24"/>
          <w:szCs w:val="24"/>
        </w:rPr>
        <w:t>8.1　施工控制网</w:t>
      </w:r>
      <w:bookmarkEnd w:id="23"/>
    </w:p>
    <w:p w14:paraId="2D05862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8.1.1　除专用合同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14:paraId="21E87E9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4" w:name="_Toc22044"/>
      <w:r>
        <w:rPr>
          <w:rFonts w:hint="eastAsia" w:ascii="仿宋" w:hAnsi="仿宋" w:eastAsia="仿宋" w:cs="仿宋"/>
          <w:color w:val="auto"/>
          <w:sz w:val="24"/>
          <w:szCs w:val="24"/>
        </w:rPr>
        <w:t>8.5　补充地质勘探</w:t>
      </w:r>
      <w:bookmarkEnd w:id="24"/>
    </w:p>
    <w:p w14:paraId="03F93D3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设计及施工的需要进行的补充地质勘探，其费用由承包人承担。</w:t>
      </w:r>
    </w:p>
    <w:p w14:paraId="36A48C2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25" w:name="第04章合同条款及格式0109"/>
      <w:bookmarkEnd w:id="25"/>
      <w:bookmarkStart w:id="26" w:name="_Toc23646"/>
      <w:r>
        <w:rPr>
          <w:rFonts w:hint="eastAsia" w:ascii="仿宋" w:hAnsi="仿宋" w:eastAsia="仿宋" w:cs="仿宋"/>
          <w:b/>
          <w:color w:val="auto"/>
          <w:sz w:val="24"/>
          <w:szCs w:val="24"/>
        </w:rPr>
        <w:t>9　施工安全、治安保卫和环境保护</w:t>
      </w:r>
      <w:bookmarkEnd w:id="26"/>
    </w:p>
    <w:p w14:paraId="7521228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1908A2F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7" w:name="_Toc20349"/>
      <w:r>
        <w:rPr>
          <w:rFonts w:hint="eastAsia" w:ascii="仿宋" w:hAnsi="仿宋" w:eastAsia="仿宋" w:cs="仿宋"/>
          <w:color w:val="auto"/>
          <w:sz w:val="24"/>
          <w:szCs w:val="24"/>
        </w:rPr>
        <w:t>9.1　发包人的施工安全责任</w:t>
      </w:r>
      <w:bookmarkEnd w:id="27"/>
    </w:p>
    <w:p w14:paraId="78EC4D7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9.1.1　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2E9183B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9.1.4　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14:paraId="6AF4AA8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9.1.5　发包人按照已标价工程量清单所列金额和合同约定的计量支付规定，支付安全作业环境及安全施工措施所需费用。</w:t>
      </w:r>
    </w:p>
    <w:p w14:paraId="1A643CF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9.1.6　发包人负责组织工程参建单位编制保证安全生产的措施方案。工程开工前，就落实保证安全生产的措施进行全面系统的布置，进一步明确承包人的安全生产责任。</w:t>
      </w:r>
    </w:p>
    <w:p w14:paraId="303581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9.1.7　发包人负责在拆除工程和爆破工程施工14天前向有关部门或机构报送相关备案资料。</w:t>
      </w:r>
    </w:p>
    <w:p w14:paraId="5C5393B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8" w:name="_Toc18464"/>
      <w:r>
        <w:rPr>
          <w:rFonts w:hint="eastAsia" w:ascii="仿宋" w:hAnsi="仿宋" w:eastAsia="仿宋" w:cs="仿宋"/>
          <w:color w:val="auto"/>
          <w:sz w:val="24"/>
          <w:szCs w:val="24"/>
        </w:rPr>
        <w:t>9.2　承包人的施工安全责任</w:t>
      </w:r>
      <w:bookmarkEnd w:id="28"/>
    </w:p>
    <w:p w14:paraId="6779886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　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14:paraId="086D5D7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9.2.8　承包人已标价工程量清单应包含工程安全作业环境及安全施工措施所需费用。</w:t>
      </w:r>
    </w:p>
    <w:p w14:paraId="7E69960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9.2.9　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14:paraId="7BB36BA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9.2.10　承包人应设立安全生产管理机构，施工现场应有专职安全生产管理人员。</w:t>
      </w:r>
    </w:p>
    <w:p w14:paraId="59DD5BF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9.2.11　承包人应负责对特种作业人员进行专门的安全作业培训，并保证特种作业人员持证上岗。</w:t>
      </w:r>
    </w:p>
    <w:p w14:paraId="3804659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9.2.12　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14:paraId="59A5BB7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9.2.13　承包人在使用施工起重机械和整体提升脚手架、模板等自升式架设设施前，应组织有关单位进行验收。</w:t>
      </w:r>
    </w:p>
    <w:p w14:paraId="1D99046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29" w:name="_Toc32037"/>
      <w:r>
        <w:rPr>
          <w:rFonts w:hint="eastAsia" w:ascii="仿宋" w:hAnsi="仿宋" w:eastAsia="仿宋" w:cs="仿宋"/>
          <w:color w:val="auto"/>
          <w:sz w:val="24"/>
          <w:szCs w:val="24"/>
        </w:rPr>
        <w:t>9.5　事故处理</w:t>
      </w:r>
      <w:bookmarkEnd w:id="29"/>
    </w:p>
    <w:p w14:paraId="4594460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9.5.1　发包人负责组织参建单位制定本工程的质量与安全事故应急预案，建立质量与安全事故应急处置指挥部。</w:t>
      </w:r>
    </w:p>
    <w:p w14:paraId="1210189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9.5.2　承包人应对施工现场易发生重大事故的部位、环节进行监控，配备救援器材、设备，并定期组织演练。</w:t>
      </w:r>
    </w:p>
    <w:p w14:paraId="185A8E5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9.5.3　工程开工前，承包人应根据本工程的特点制定施工现场施工质量与安全事故应急预案，并报发包人备案。</w:t>
      </w:r>
    </w:p>
    <w:p w14:paraId="577764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9.5.4　施工过程中发生事故时，发包人、承包人应立即启动应急预案。</w:t>
      </w:r>
    </w:p>
    <w:p w14:paraId="59DF76B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9.5.5　事故调查处理由发包人按相关规定履行手续，承包人应配合。</w:t>
      </w:r>
    </w:p>
    <w:p w14:paraId="3A3AA96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0" w:name="_Toc633"/>
      <w:r>
        <w:rPr>
          <w:rFonts w:hint="eastAsia" w:ascii="仿宋" w:hAnsi="仿宋" w:eastAsia="仿宋" w:cs="仿宋"/>
          <w:color w:val="auto"/>
          <w:sz w:val="24"/>
          <w:szCs w:val="24"/>
        </w:rPr>
        <w:t>9.6　水土保持</w:t>
      </w:r>
      <w:bookmarkEnd w:id="30"/>
    </w:p>
    <w:p w14:paraId="6149E3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9.6.1　发包人应及时向承包人提供水土保持方案。</w:t>
      </w:r>
    </w:p>
    <w:p w14:paraId="38E52D4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9.6.2　承包人在施工过程中，应遵守有关水土保持的法律法规和规章，履行合同约定的水土保持义务，并对其违反法律和合同约定义务所造成的水土流失灾害、人身伤害和财产损失负责。</w:t>
      </w:r>
    </w:p>
    <w:p w14:paraId="071C51C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9.6.3　承包人的水土保持措施计划，应满足技术标准和要求(合同技术条款)约定的要求。</w:t>
      </w:r>
    </w:p>
    <w:p w14:paraId="4462EBC0">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1" w:name="_Toc16834"/>
      <w:r>
        <w:rPr>
          <w:rFonts w:hint="eastAsia" w:ascii="仿宋" w:hAnsi="仿宋" w:eastAsia="仿宋" w:cs="仿宋"/>
          <w:color w:val="auto"/>
          <w:sz w:val="24"/>
          <w:szCs w:val="24"/>
        </w:rPr>
        <w:t>9.7　文明工地</w:t>
      </w:r>
      <w:bookmarkEnd w:id="31"/>
    </w:p>
    <w:p w14:paraId="609AE6D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9.7.1　发包人应按专用合同条款的约定，负责建立创建文明建设工地的组织机构，制定创建文明建设工地的规划和办法。</w:t>
      </w:r>
    </w:p>
    <w:p w14:paraId="027AC4D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9.7.2　承包人应按创建文明建设工地的规划和办法，履行职责，承担相应责任。所需费用应含在已标价工程量清单中。</w:t>
      </w:r>
    </w:p>
    <w:p w14:paraId="6548692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2" w:name="_Toc8397"/>
      <w:r>
        <w:rPr>
          <w:rFonts w:hint="eastAsia" w:ascii="仿宋" w:hAnsi="仿宋" w:eastAsia="仿宋" w:cs="仿宋"/>
          <w:color w:val="auto"/>
          <w:sz w:val="24"/>
          <w:szCs w:val="24"/>
        </w:rPr>
        <w:t>9.8　防汛度汛</w:t>
      </w:r>
      <w:bookmarkEnd w:id="32"/>
    </w:p>
    <w:p w14:paraId="3A6890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9.8.1　发包人负责组织工程参建单位编制本工程的度汛方案和措施。</w:t>
      </w:r>
    </w:p>
    <w:p w14:paraId="2D9CA4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9.8.2　承包人应根据发包人编制的本工程度汛方案和措施，制定相应的度汛方案，报发包人批准后实施。</w:t>
      </w:r>
    </w:p>
    <w:p w14:paraId="51D122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33" w:name="第04章合同条款及格式0110"/>
      <w:bookmarkEnd w:id="33"/>
      <w:r>
        <w:rPr>
          <w:rFonts w:hint="eastAsia" w:ascii="仿宋" w:hAnsi="仿宋" w:eastAsia="仿宋" w:cs="仿宋"/>
          <w:b/>
          <w:color w:val="auto"/>
          <w:sz w:val="24"/>
          <w:szCs w:val="24"/>
        </w:rPr>
        <w:t>10　进度计划</w:t>
      </w:r>
    </w:p>
    <w:p w14:paraId="6D5B28A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301208B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4" w:name="_Toc19685"/>
      <w:r>
        <w:rPr>
          <w:rFonts w:hint="eastAsia" w:ascii="仿宋" w:hAnsi="仿宋" w:eastAsia="仿宋" w:cs="仿宋"/>
          <w:color w:val="auto"/>
          <w:sz w:val="24"/>
          <w:szCs w:val="24"/>
        </w:rPr>
        <w:t>10.1　合同进度计划</w:t>
      </w:r>
      <w:bookmarkEnd w:id="34"/>
    </w:p>
    <w:p w14:paraId="5A0E442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14:paraId="2984052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5" w:name="_Toc19743"/>
      <w:r>
        <w:rPr>
          <w:rFonts w:hint="eastAsia" w:ascii="仿宋" w:hAnsi="仿宋" w:eastAsia="仿宋" w:cs="仿宋"/>
          <w:color w:val="auto"/>
          <w:sz w:val="24"/>
          <w:szCs w:val="24"/>
        </w:rPr>
        <w:t>10.2　合同进度计划的修订</w:t>
      </w:r>
      <w:bookmarkEnd w:id="35"/>
    </w:p>
    <w:p w14:paraId="7167190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p>
    <w:p w14:paraId="7A2C7C8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14:paraId="596F855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10.3　单位工程进度计划</w:t>
      </w:r>
    </w:p>
    <w:p w14:paraId="244A0B0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监理人认为有必要时，承包人应按监理人指示的内容和期限，并根据合同进度计划的进度控制要求，编制单位工程进度计划，提交监理人审批。</w:t>
      </w:r>
    </w:p>
    <w:p w14:paraId="429C1A2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6" w:name="_Toc24157"/>
      <w:r>
        <w:rPr>
          <w:rFonts w:hint="eastAsia" w:ascii="仿宋" w:hAnsi="仿宋" w:eastAsia="仿宋" w:cs="仿宋"/>
          <w:color w:val="auto"/>
          <w:sz w:val="24"/>
          <w:szCs w:val="24"/>
        </w:rPr>
        <w:t>10.4　提交资金流估算表</w:t>
      </w:r>
      <w:bookmarkEnd w:id="36"/>
    </w:p>
    <w:p w14:paraId="46B7C18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1D9F6B8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3207940A">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5CCE067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资金流估算表(参考格式)</w:t>
      </w:r>
    </w:p>
    <w:p w14:paraId="0E014E40">
      <w:pPr>
        <w:keepNext w:val="0"/>
        <w:keepLines w:val="0"/>
        <w:pageBreakBefore w:val="0"/>
        <w:widowControl w:val="0"/>
        <w:kinsoku/>
        <w:wordWrap/>
        <w:overflowPunct/>
        <w:topLinePunct/>
        <w:autoSpaceDE/>
        <w:autoSpaceDN/>
        <w:bidi w:val="0"/>
        <w:adjustRightInd/>
        <w:snapToGrid/>
        <w:spacing w:line="360" w:lineRule="auto"/>
        <w:jc w:val="righ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金额单位</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456"/>
        <w:gridCol w:w="907"/>
        <w:gridCol w:w="1147"/>
        <w:gridCol w:w="1288"/>
        <w:gridCol w:w="859"/>
        <w:gridCol w:w="859"/>
        <w:gridCol w:w="746"/>
        <w:gridCol w:w="788"/>
        <w:gridCol w:w="908"/>
      </w:tblGrid>
      <w:tr w14:paraId="376D7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14:paraId="5C940B4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年</w:t>
            </w:r>
          </w:p>
        </w:tc>
        <w:tc>
          <w:tcPr>
            <w:tcW w:w="426" w:type="dxa"/>
            <w:noWrap w:val="0"/>
            <w:vAlign w:val="center"/>
          </w:tcPr>
          <w:p w14:paraId="5A54A6A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月</w:t>
            </w:r>
          </w:p>
        </w:tc>
        <w:tc>
          <w:tcPr>
            <w:tcW w:w="991" w:type="dxa"/>
            <w:noWrap w:val="0"/>
            <w:vAlign w:val="center"/>
          </w:tcPr>
          <w:p w14:paraId="06CBFF6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工程</w:t>
            </w:r>
          </w:p>
          <w:p w14:paraId="18CA9FE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预付款</w:t>
            </w:r>
          </w:p>
        </w:tc>
        <w:tc>
          <w:tcPr>
            <w:tcW w:w="1276" w:type="dxa"/>
            <w:noWrap w:val="0"/>
            <w:vAlign w:val="center"/>
          </w:tcPr>
          <w:p w14:paraId="008FB60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完成工作量付款</w:t>
            </w:r>
          </w:p>
        </w:tc>
        <w:tc>
          <w:tcPr>
            <w:tcW w:w="1443" w:type="dxa"/>
            <w:noWrap w:val="0"/>
            <w:vAlign w:val="center"/>
          </w:tcPr>
          <w:p w14:paraId="7319C59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质量保证金扣留</w:t>
            </w:r>
          </w:p>
        </w:tc>
        <w:tc>
          <w:tcPr>
            <w:tcW w:w="934" w:type="dxa"/>
            <w:noWrap w:val="0"/>
            <w:vAlign w:val="center"/>
          </w:tcPr>
          <w:p w14:paraId="71E6988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材料款扣除</w:t>
            </w:r>
          </w:p>
        </w:tc>
        <w:tc>
          <w:tcPr>
            <w:tcW w:w="934" w:type="dxa"/>
            <w:noWrap w:val="0"/>
            <w:vAlign w:val="center"/>
          </w:tcPr>
          <w:p w14:paraId="18BE507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预付款扣还</w:t>
            </w:r>
          </w:p>
        </w:tc>
        <w:tc>
          <w:tcPr>
            <w:tcW w:w="800" w:type="dxa"/>
            <w:noWrap w:val="0"/>
            <w:vAlign w:val="center"/>
          </w:tcPr>
          <w:p w14:paraId="18233C2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其它</w:t>
            </w:r>
          </w:p>
        </w:tc>
        <w:tc>
          <w:tcPr>
            <w:tcW w:w="850" w:type="dxa"/>
            <w:noWrap w:val="0"/>
            <w:vAlign w:val="center"/>
          </w:tcPr>
          <w:p w14:paraId="64F3478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应收款</w:t>
            </w:r>
          </w:p>
        </w:tc>
        <w:tc>
          <w:tcPr>
            <w:tcW w:w="992" w:type="dxa"/>
            <w:noWrap w:val="0"/>
            <w:vAlign w:val="center"/>
          </w:tcPr>
          <w:p w14:paraId="088BC30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累计</w:t>
            </w:r>
          </w:p>
          <w:p w14:paraId="30F6B64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应收款</w:t>
            </w:r>
          </w:p>
        </w:tc>
      </w:tr>
      <w:tr w14:paraId="58F13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14:paraId="10F018A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426" w:type="dxa"/>
            <w:noWrap w:val="0"/>
            <w:vAlign w:val="center"/>
          </w:tcPr>
          <w:p w14:paraId="0DA998D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1" w:type="dxa"/>
            <w:noWrap w:val="0"/>
            <w:vAlign w:val="center"/>
          </w:tcPr>
          <w:p w14:paraId="5C5A054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276" w:type="dxa"/>
            <w:noWrap w:val="0"/>
            <w:vAlign w:val="center"/>
          </w:tcPr>
          <w:p w14:paraId="6D63356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443" w:type="dxa"/>
            <w:noWrap w:val="0"/>
            <w:vAlign w:val="center"/>
          </w:tcPr>
          <w:p w14:paraId="24EF1E8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25798C6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136E452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00" w:type="dxa"/>
            <w:noWrap w:val="0"/>
            <w:vAlign w:val="center"/>
          </w:tcPr>
          <w:p w14:paraId="5748574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50" w:type="dxa"/>
            <w:noWrap w:val="0"/>
            <w:vAlign w:val="center"/>
          </w:tcPr>
          <w:p w14:paraId="12A3AE7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2" w:type="dxa"/>
            <w:noWrap w:val="0"/>
            <w:vAlign w:val="center"/>
          </w:tcPr>
          <w:p w14:paraId="6B68FCD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r>
      <w:tr w14:paraId="5733C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14:paraId="09FD36A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426" w:type="dxa"/>
            <w:noWrap w:val="0"/>
            <w:vAlign w:val="center"/>
          </w:tcPr>
          <w:p w14:paraId="52F45A9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1" w:type="dxa"/>
            <w:noWrap w:val="0"/>
            <w:vAlign w:val="center"/>
          </w:tcPr>
          <w:p w14:paraId="02E5E9A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276" w:type="dxa"/>
            <w:noWrap w:val="0"/>
            <w:vAlign w:val="center"/>
          </w:tcPr>
          <w:p w14:paraId="239F62E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443" w:type="dxa"/>
            <w:noWrap w:val="0"/>
            <w:vAlign w:val="center"/>
          </w:tcPr>
          <w:p w14:paraId="04E005E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6FCD680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31C2D8A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00" w:type="dxa"/>
            <w:noWrap w:val="0"/>
            <w:vAlign w:val="center"/>
          </w:tcPr>
          <w:p w14:paraId="7A417A8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50" w:type="dxa"/>
            <w:noWrap w:val="0"/>
            <w:vAlign w:val="center"/>
          </w:tcPr>
          <w:p w14:paraId="6BE41E6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2" w:type="dxa"/>
            <w:noWrap w:val="0"/>
            <w:vAlign w:val="center"/>
          </w:tcPr>
          <w:p w14:paraId="75218CD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r>
      <w:tr w14:paraId="5AAEF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noWrap w:val="0"/>
            <w:vAlign w:val="center"/>
          </w:tcPr>
          <w:p w14:paraId="5B3CF94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426" w:type="dxa"/>
            <w:noWrap w:val="0"/>
            <w:vAlign w:val="center"/>
          </w:tcPr>
          <w:p w14:paraId="1397E71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1" w:type="dxa"/>
            <w:noWrap w:val="0"/>
            <w:vAlign w:val="center"/>
          </w:tcPr>
          <w:p w14:paraId="47C3ED1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276" w:type="dxa"/>
            <w:noWrap w:val="0"/>
            <w:vAlign w:val="center"/>
          </w:tcPr>
          <w:p w14:paraId="2CB0B5E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1443" w:type="dxa"/>
            <w:noWrap w:val="0"/>
            <w:vAlign w:val="center"/>
          </w:tcPr>
          <w:p w14:paraId="3DD1FC5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7C1DBB1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34" w:type="dxa"/>
            <w:noWrap w:val="0"/>
            <w:vAlign w:val="center"/>
          </w:tcPr>
          <w:p w14:paraId="58523F2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00" w:type="dxa"/>
            <w:noWrap w:val="0"/>
            <w:vAlign w:val="center"/>
          </w:tcPr>
          <w:p w14:paraId="6B9BA39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850" w:type="dxa"/>
            <w:noWrap w:val="0"/>
            <w:vAlign w:val="center"/>
          </w:tcPr>
          <w:p w14:paraId="77BBFBE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c>
          <w:tcPr>
            <w:tcW w:w="992" w:type="dxa"/>
            <w:noWrap w:val="0"/>
            <w:vAlign w:val="center"/>
          </w:tcPr>
          <w:p w14:paraId="18F6A2C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tc>
      </w:tr>
    </w:tbl>
    <w:p w14:paraId="184F3A5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37" w:name="第04章合同条款及格式0111"/>
      <w:bookmarkEnd w:id="37"/>
      <w:r>
        <w:rPr>
          <w:rFonts w:hint="eastAsia" w:ascii="仿宋" w:hAnsi="仿宋" w:eastAsia="仿宋" w:cs="仿宋"/>
          <w:b/>
          <w:color w:val="auto"/>
          <w:sz w:val="24"/>
          <w:szCs w:val="24"/>
        </w:rPr>
        <w:t>11　开工和竣工(完工)</w:t>
      </w:r>
    </w:p>
    <w:p w14:paraId="30D4921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529F935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8" w:name="_Toc22158"/>
      <w:r>
        <w:rPr>
          <w:rFonts w:hint="eastAsia" w:ascii="仿宋" w:hAnsi="仿宋" w:eastAsia="仿宋" w:cs="仿宋"/>
          <w:color w:val="auto"/>
          <w:sz w:val="24"/>
          <w:szCs w:val="24"/>
        </w:rPr>
        <w:t>11.1　开工</w:t>
      </w:r>
      <w:bookmarkEnd w:id="38"/>
    </w:p>
    <w:p w14:paraId="64CD213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11.1.3　若发包人未能按合同约定向承包人提供开工的必要条件，承包人有权要求延长工期。监理人应在收到承包人的书面要求后，按第3.5款的约定，与合同双方商定或确定增加的费用和延长的工期。</w:t>
      </w:r>
    </w:p>
    <w:p w14:paraId="4CB8DEC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14:paraId="307C1CC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39" w:name="_Toc1325"/>
      <w:r>
        <w:rPr>
          <w:rFonts w:hint="eastAsia" w:ascii="仿宋" w:hAnsi="仿宋" w:eastAsia="仿宋" w:cs="仿宋"/>
          <w:color w:val="auto"/>
          <w:sz w:val="24"/>
          <w:szCs w:val="24"/>
        </w:rPr>
        <w:t>11.2　竣工(完工)</w:t>
      </w:r>
      <w:bookmarkEnd w:id="39"/>
    </w:p>
    <w:p w14:paraId="7ECBD91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承包人应在第1.1.4.3目约定的期限内完成合同工程。合同工程实际完工日期在合同工程完工证书中明确。</w:t>
      </w:r>
    </w:p>
    <w:p w14:paraId="3D151E8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0" w:name="_Toc8939"/>
      <w:r>
        <w:rPr>
          <w:rFonts w:hint="eastAsia" w:ascii="仿宋" w:hAnsi="仿宋" w:eastAsia="仿宋" w:cs="仿宋"/>
          <w:color w:val="auto"/>
          <w:sz w:val="24"/>
          <w:szCs w:val="24"/>
        </w:rPr>
        <w:t>11.4　异常恶劣的气候条件</w:t>
      </w:r>
      <w:bookmarkEnd w:id="40"/>
    </w:p>
    <w:p w14:paraId="73F74CC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11.4.1　当工程所在地发生危及施工安全的异常恶劣气候时，发包人和承包人应按本合同通用合同条款第12条的约定，及时采取暂停施工或部分暂停施工措施。异常恶劣气候条件解除后，承包人应及时安排复工。</w:t>
      </w:r>
    </w:p>
    <w:p w14:paraId="309B7C0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11.4.2　异常恶劣气候条件造成的工期延误和工程损坏，应由发包人与承包人参照本合同通用合同条款第21.3款的约定协商处理。</w:t>
      </w:r>
    </w:p>
    <w:p w14:paraId="03FA619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11.4.3　本合同工程界定异常恶劣气候条件的范围在专用合同条款中约定。</w:t>
      </w:r>
    </w:p>
    <w:p w14:paraId="62E7A506">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1" w:name="_Toc16211"/>
      <w:r>
        <w:rPr>
          <w:rFonts w:hint="eastAsia" w:ascii="仿宋" w:hAnsi="仿宋" w:eastAsia="仿宋" w:cs="仿宋"/>
          <w:color w:val="auto"/>
          <w:sz w:val="24"/>
          <w:szCs w:val="24"/>
        </w:rPr>
        <w:t>11.6　工期提前</w:t>
      </w:r>
      <w:bookmarkEnd w:id="41"/>
    </w:p>
    <w:p w14:paraId="6F54725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w:t>
      </w:r>
    </w:p>
    <w:p w14:paraId="43DB9C3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发包人要求提前完工的，双方协商一致后应签订提前完工协议，协议内容包括：</w:t>
      </w:r>
    </w:p>
    <w:p w14:paraId="61F2C3E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(1)提前的时间和修订后的进度计划；</w:t>
      </w:r>
    </w:p>
    <w:p w14:paraId="652BCD8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(2)承包人的赶工措施；</w:t>
      </w:r>
    </w:p>
    <w:p w14:paraId="537AB53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(3)发包人为赶工提供的条件；</w:t>
      </w:r>
    </w:p>
    <w:p w14:paraId="0F4D783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(4)赶工费用(包括利润和奖金)。</w:t>
      </w:r>
    </w:p>
    <w:p w14:paraId="12AABD3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42" w:name="第04章合同条款及格式0112"/>
      <w:bookmarkEnd w:id="42"/>
      <w:r>
        <w:rPr>
          <w:rFonts w:hint="eastAsia" w:ascii="仿宋" w:hAnsi="仿宋" w:eastAsia="仿宋" w:cs="仿宋"/>
          <w:b/>
          <w:color w:val="auto"/>
          <w:sz w:val="24"/>
          <w:szCs w:val="24"/>
        </w:rPr>
        <w:t>12　暂停施工</w:t>
      </w:r>
    </w:p>
    <w:p w14:paraId="692C912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5F9F32D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3" w:name="_Toc29157"/>
      <w:r>
        <w:rPr>
          <w:rFonts w:hint="eastAsia" w:ascii="仿宋" w:hAnsi="仿宋" w:eastAsia="仿宋" w:cs="仿宋"/>
          <w:color w:val="auto"/>
          <w:sz w:val="24"/>
          <w:szCs w:val="24"/>
        </w:rPr>
        <w:t>12.2　发包人暂停施工的责任</w:t>
      </w:r>
      <w:bookmarkEnd w:id="43"/>
    </w:p>
    <w:p w14:paraId="20A2FC3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由于发包人原因引起的暂停施工造成工期延误的，承包人有权要求发包人延长工期和(或)增加费用，并支付合理利润。</w:t>
      </w:r>
    </w:p>
    <w:p w14:paraId="73B77CA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属于下列任何一种情况引起的暂停施工，均为发包人的责任：</w:t>
      </w:r>
    </w:p>
    <w:p w14:paraId="13A2768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(1)由于发包人违约引起的暂停施工；</w:t>
      </w:r>
    </w:p>
    <w:p w14:paraId="7B2BEF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(2)由于不可抗力的自然或社会因素引起的暂停施工；</w:t>
      </w:r>
    </w:p>
    <w:p w14:paraId="000851F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(3)专用合同条款中约定的其它由于发包人原因引起的暂停施工。</w:t>
      </w:r>
    </w:p>
    <w:p w14:paraId="44546E4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44" w:name="第04章合同条款及格式0113"/>
      <w:bookmarkEnd w:id="44"/>
      <w:bookmarkStart w:id="45" w:name="_Toc18628"/>
      <w:r>
        <w:rPr>
          <w:rFonts w:hint="eastAsia" w:ascii="仿宋" w:hAnsi="仿宋" w:eastAsia="仿宋" w:cs="仿宋"/>
          <w:b/>
          <w:color w:val="auto"/>
          <w:sz w:val="24"/>
          <w:szCs w:val="24"/>
        </w:rPr>
        <w:t>13　工程质量</w:t>
      </w:r>
      <w:bookmarkEnd w:id="45"/>
    </w:p>
    <w:p w14:paraId="5579079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1447BCB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6" w:name="_Toc9877"/>
      <w:r>
        <w:rPr>
          <w:rFonts w:hint="eastAsia" w:ascii="仿宋" w:hAnsi="仿宋" w:eastAsia="仿宋" w:cs="仿宋"/>
          <w:color w:val="auto"/>
          <w:sz w:val="24"/>
          <w:szCs w:val="24"/>
        </w:rPr>
        <w:t>13.2　承包人的质量管理</w:t>
      </w:r>
      <w:bookmarkEnd w:id="46"/>
    </w:p>
    <w:p w14:paraId="19DD1CF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13.2.1　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w:t>
      </w:r>
    </w:p>
    <w:p w14:paraId="52F4FAA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7" w:name="_Toc6982"/>
      <w:r>
        <w:rPr>
          <w:rFonts w:hint="eastAsia" w:ascii="仿宋" w:hAnsi="仿宋" w:eastAsia="仿宋" w:cs="仿宋"/>
          <w:color w:val="auto"/>
          <w:sz w:val="24"/>
          <w:szCs w:val="24"/>
        </w:rPr>
        <w:t>13.7　质量评定</w:t>
      </w:r>
      <w:bookmarkEnd w:id="47"/>
    </w:p>
    <w:p w14:paraId="7D723F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13.7.1　发包人应组织承包人进行工程项目划分，并确定单位工程、主要分部工程、重要隐蔽单元工程和关键部位单元工程。</w:t>
      </w:r>
    </w:p>
    <w:p w14:paraId="7340C41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13.7.2　工程实施过程中，单位工程、主要分部工程、重要隐蔽单元工程和关键部位单元工程的项目划分需要调整时，承包人应报发包人确认。</w:t>
      </w:r>
    </w:p>
    <w:p w14:paraId="10CA8DA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13.7.3　承包人应在单元(工序)工程质量自评合格后，报监理人核定质量等级并签证认可。</w:t>
      </w:r>
    </w:p>
    <w:p w14:paraId="64291BB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13.7.4　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14:paraId="24D0A24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13.7.5　承包人应在分部工程质量自评合格后，报监理人复核和发包人认定。发包人负责按有关规定完成分部工程质量结论报工程质量监督机构核备(核定)手续。</w:t>
      </w:r>
    </w:p>
    <w:p w14:paraId="3ECA4A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13.7.6　承包人应在单位工程质量自评合格后，报监理人复核和发包人认定。发包人负责按有关规定完成单位工程质量结论报工程质量监督机构核定手续。</w:t>
      </w:r>
    </w:p>
    <w:p w14:paraId="049BFA8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13.7.7　除专用合同条款另有约定外，工程质量等级分为合格和优良，应分别达到约定的标准。</w:t>
      </w:r>
    </w:p>
    <w:p w14:paraId="5157DA4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8" w:name="_Toc12918"/>
      <w:r>
        <w:rPr>
          <w:rFonts w:hint="eastAsia" w:ascii="仿宋" w:hAnsi="仿宋" w:eastAsia="仿宋" w:cs="仿宋"/>
          <w:color w:val="auto"/>
          <w:sz w:val="24"/>
          <w:szCs w:val="24"/>
        </w:rPr>
        <w:t>13.8　质量事故处理</w:t>
      </w:r>
      <w:bookmarkEnd w:id="48"/>
    </w:p>
    <w:p w14:paraId="3745CF6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13.8.1　发生质量事故时，承包人应及时向发包人和监理人报告。</w:t>
      </w:r>
    </w:p>
    <w:p w14:paraId="376592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13.8.2　质量事故调查处理由发包人按相关规定履行手续，承包人应配合。</w:t>
      </w:r>
    </w:p>
    <w:p w14:paraId="410BBD0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49" w:name="_Toc28171"/>
      <w:r>
        <w:rPr>
          <w:rFonts w:hint="eastAsia" w:ascii="仿宋" w:hAnsi="仿宋" w:eastAsia="仿宋" w:cs="仿宋"/>
          <w:color w:val="auto"/>
          <w:sz w:val="24"/>
          <w:szCs w:val="24"/>
        </w:rPr>
        <w:t>13.8.3　承包人应对质量缺陷进行备案。发包人委托监理人对质量缺陷备案情况进行监督检查并履行相关手续。</w:t>
      </w:r>
      <w:bookmarkEnd w:id="49"/>
    </w:p>
    <w:p w14:paraId="6DE8808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13.8.4　除专用合同条款另有约定外，工程竣工验收时，发包人负责向竣工验收委员会汇报并提交历次质量缺陷处理的备案资料。</w:t>
      </w:r>
    </w:p>
    <w:p w14:paraId="4F32D8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50" w:name="第04章合同条款及格式0114"/>
      <w:bookmarkEnd w:id="50"/>
      <w:r>
        <w:rPr>
          <w:rFonts w:hint="eastAsia" w:ascii="仿宋" w:hAnsi="仿宋" w:eastAsia="仿宋" w:cs="仿宋"/>
          <w:b/>
          <w:color w:val="auto"/>
          <w:sz w:val="24"/>
          <w:szCs w:val="24"/>
        </w:rPr>
        <w:t>14　试验和检验</w:t>
      </w:r>
    </w:p>
    <w:p w14:paraId="4002C7B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118F6D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　材料、工程设备和工程的试验和检验</w:t>
      </w:r>
    </w:p>
    <w:p w14:paraId="634419C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1" w:name="_Toc21771"/>
      <w:r>
        <w:rPr>
          <w:rFonts w:hint="eastAsia" w:ascii="仿宋" w:hAnsi="仿宋" w:eastAsia="仿宋" w:cs="仿宋"/>
          <w:color w:val="auto"/>
          <w:sz w:val="24"/>
          <w:szCs w:val="24"/>
        </w:rPr>
        <w:t>14.1.4　承包人应按相关规定和标准对水泥、钢材等原材料与中间产品质量进行检验，并报监理人复核。</w:t>
      </w:r>
      <w:bookmarkEnd w:id="51"/>
    </w:p>
    <w:p w14:paraId="6F2F994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14.1.5　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5B6362D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2" w:name="_Toc15167"/>
      <w:r>
        <w:rPr>
          <w:rFonts w:hint="eastAsia" w:ascii="仿宋" w:hAnsi="仿宋" w:eastAsia="仿宋" w:cs="仿宋"/>
          <w:color w:val="auto"/>
          <w:sz w:val="24"/>
          <w:szCs w:val="24"/>
        </w:rPr>
        <w:t>14.1.6　对专用合同条款约定的试块、试件及有关材料，监理人实行见证取样。见证取样资料由承包人制备，记录应真实齐全，监理人、承包人等参与见证取样人员均应在相关文件上签字。</w:t>
      </w:r>
      <w:bookmarkEnd w:id="52"/>
    </w:p>
    <w:p w14:paraId="240BBFE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53" w:name="第04章合同条款及格式0115"/>
      <w:bookmarkEnd w:id="53"/>
      <w:r>
        <w:rPr>
          <w:rFonts w:hint="eastAsia" w:ascii="仿宋" w:hAnsi="仿宋" w:eastAsia="仿宋" w:cs="仿宋"/>
          <w:b/>
          <w:color w:val="auto"/>
          <w:sz w:val="24"/>
          <w:szCs w:val="24"/>
        </w:rPr>
        <w:t>15　变更</w:t>
      </w:r>
    </w:p>
    <w:p w14:paraId="2E0F367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29C38F6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4" w:name="_Toc15806"/>
      <w:r>
        <w:rPr>
          <w:rFonts w:hint="eastAsia" w:ascii="仿宋" w:hAnsi="仿宋" w:eastAsia="仿宋" w:cs="仿宋"/>
          <w:color w:val="auto"/>
          <w:sz w:val="24"/>
          <w:szCs w:val="24"/>
        </w:rPr>
        <w:t>15.1　变更的范围和内容</w:t>
      </w:r>
      <w:bookmarkEnd w:id="54"/>
    </w:p>
    <w:p w14:paraId="6C04DD4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在履行合同中发生以下情形之一，应按照本款规定进行变更。</w:t>
      </w:r>
    </w:p>
    <w:p w14:paraId="026378A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(1)取消合同中任何一项工作，但被取消的工作不能转由发包人或其它人实施；</w:t>
      </w:r>
    </w:p>
    <w:p w14:paraId="765E8DC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(2)改变合同中任何一项工作的质量或其它特性；</w:t>
      </w:r>
    </w:p>
    <w:p w14:paraId="1DF8023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(3)改变合同工程的基线、标高、位置或尺寸；</w:t>
      </w:r>
    </w:p>
    <w:p w14:paraId="02CFA3D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(4)改变合同中任何一项工作的施工时间或改变已批准的施工工艺或顺序；</w:t>
      </w:r>
    </w:p>
    <w:p w14:paraId="6D5D01A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(5)为完成工程需要追加的额外工作；</w:t>
      </w:r>
    </w:p>
    <w:p w14:paraId="75A3F61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(6)增加或减少专用合同条款中约定的关键项目工程量超过其工程总量的一定数量百分比。</w:t>
      </w:r>
    </w:p>
    <w:p w14:paraId="42E0BC8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上述第(1)～(6)目的变更内容引起工程施工组织和进度计划发生实质性变动和影响其原定的价格时，才予调整该项目的单价。第(6)目情形下单价调整方式在专用合同条款中约定。</w:t>
      </w:r>
    </w:p>
    <w:p w14:paraId="0C62A35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5" w:name="_Toc17121"/>
      <w:r>
        <w:rPr>
          <w:rFonts w:hint="eastAsia" w:ascii="仿宋" w:hAnsi="仿宋" w:eastAsia="仿宋" w:cs="仿宋"/>
          <w:color w:val="auto"/>
          <w:sz w:val="24"/>
          <w:szCs w:val="24"/>
        </w:rPr>
        <w:t>15.8　暂估价</w:t>
      </w:r>
      <w:bookmarkEnd w:id="55"/>
    </w:p>
    <w:p w14:paraId="26D0CC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15.8.1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它费用列入合同价格。必须招标的暂估价项目招标组织形式、发包人和承包人组织招标时双方的权利义务关系在专用合同条款中约定。</w:t>
      </w:r>
    </w:p>
    <w:p w14:paraId="66497A5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56" w:name="第04章合同条款及格式0116"/>
      <w:bookmarkEnd w:id="56"/>
      <w:r>
        <w:rPr>
          <w:rFonts w:hint="eastAsia" w:ascii="仿宋" w:hAnsi="仿宋" w:eastAsia="仿宋" w:cs="仿宋"/>
          <w:b/>
          <w:color w:val="auto"/>
          <w:sz w:val="24"/>
          <w:szCs w:val="24"/>
        </w:rPr>
        <w:t>16　价格调整</w:t>
      </w:r>
    </w:p>
    <w:p w14:paraId="1D0CCC5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7D90439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57" w:name="_Toc18883"/>
      <w:r>
        <w:rPr>
          <w:rFonts w:hint="eastAsia" w:ascii="仿宋" w:hAnsi="仿宋" w:eastAsia="仿宋" w:cs="仿宋"/>
          <w:color w:val="auto"/>
          <w:sz w:val="24"/>
          <w:szCs w:val="24"/>
        </w:rPr>
        <w:t>16.1　物价波动引起的价格调整</w:t>
      </w:r>
      <w:bookmarkEnd w:id="57"/>
    </w:p>
    <w:p w14:paraId="522629B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由于物价波动原因引起合同价格需要调整的，其价格调整方式在专用合同条款中约定。</w:t>
      </w:r>
    </w:p>
    <w:p w14:paraId="5624C08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16.1.2　采用造价信息调整价格差额</w:t>
      </w:r>
    </w:p>
    <w:p w14:paraId="401EA54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31DC892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工程造价信息的来源以及价格调整的项目和系数在专用合同条款中约定。</w:t>
      </w:r>
    </w:p>
    <w:p w14:paraId="342400E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58" w:name="第04章合同条款及格式0117"/>
      <w:bookmarkEnd w:id="58"/>
      <w:bookmarkStart w:id="59" w:name="_Toc32170"/>
      <w:r>
        <w:rPr>
          <w:rFonts w:hint="eastAsia" w:ascii="仿宋" w:hAnsi="仿宋" w:eastAsia="仿宋" w:cs="仿宋"/>
          <w:b/>
          <w:color w:val="auto"/>
          <w:sz w:val="24"/>
          <w:szCs w:val="24"/>
        </w:rPr>
        <w:t>17　计量与支付</w:t>
      </w:r>
      <w:bookmarkEnd w:id="59"/>
    </w:p>
    <w:p w14:paraId="2F4B413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33BCDD6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0" w:name="_Toc9729"/>
      <w:r>
        <w:rPr>
          <w:rFonts w:hint="eastAsia" w:ascii="仿宋" w:hAnsi="仿宋" w:eastAsia="仿宋" w:cs="仿宋"/>
          <w:color w:val="auto"/>
          <w:sz w:val="24"/>
          <w:szCs w:val="24"/>
        </w:rPr>
        <w:t>17.1　计量</w:t>
      </w:r>
      <w:bookmarkEnd w:id="60"/>
    </w:p>
    <w:p w14:paraId="188D0E5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17.1.2　计量方法</w:t>
      </w:r>
    </w:p>
    <w:p w14:paraId="1EC3A8A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结算工程量应按工程量清单中约定的方法计量。</w:t>
      </w:r>
    </w:p>
    <w:p w14:paraId="5F83202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17.1.5　总价子目的计量</w:t>
      </w:r>
    </w:p>
    <w:p w14:paraId="7926B52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总价子目的分解和计量按照下述约定进行。</w:t>
      </w:r>
    </w:p>
    <w:p w14:paraId="42221D1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(1)总价子目的计量和支付应以总价为基础，不因第16.1款中的因素而进行调整。承包人实际完成的工程量，是进行工程目标管理和控制进度支付的依据。</w:t>
      </w:r>
    </w:p>
    <w:p w14:paraId="1BE856D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6D564E2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(3)监理人对承包人提交的上述资料进行复核，以确定分阶段实际完成的工程量和工程形象目标。对其有异议的，可要求承包人按第8.2款约定进行共同复核和抽样复测。</w:t>
      </w:r>
    </w:p>
    <w:p w14:paraId="1068E72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(4)除按照第15条约定的变更外，总价子目的工程量是承包人用于结算的最终工程量。</w:t>
      </w:r>
    </w:p>
    <w:p w14:paraId="75DCC9A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　预付款</w:t>
      </w:r>
    </w:p>
    <w:p w14:paraId="48D74DF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17.2.1　预付款</w:t>
      </w:r>
    </w:p>
    <w:p w14:paraId="41FA322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3FE3E54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17.2.2　预付款保函(担保)</w:t>
      </w:r>
    </w:p>
    <w:p w14:paraId="42A890E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(1)承包人应在收到第一次工程预付款的同时向发包人提交工程预付款担保，担保金额应与第一次工程预付款金额相同，工程预付款担保在第一次工程预付款被发包人扣回前一直有效。</w:t>
      </w:r>
    </w:p>
    <w:p w14:paraId="43926D3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(2)工程材料预付款的担保在专用合同条款中约定。</w:t>
      </w:r>
    </w:p>
    <w:p w14:paraId="737688A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(3)预付款担保的担保金额可根据预付款扣回的金额相应递减。</w:t>
      </w:r>
    </w:p>
    <w:p w14:paraId="1F5C3C1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17.2.3　预付款的扣回与还清</w:t>
      </w:r>
    </w:p>
    <w:p w14:paraId="3883B42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预付款在进度付款中扣回，扣回与还清办法在专用合同条款中约定。在颁发合同工程完工证书前，由于不可抗力或其它原因解除合同时，预付款尚未扣清的，尚未扣清的预付款余额应作为承包人的到期应付款。</w:t>
      </w:r>
    </w:p>
    <w:p w14:paraId="45FF955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　质量保证金</w:t>
      </w:r>
    </w:p>
    <w:p w14:paraId="74AD462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17.4.1　监理人应从第一个工程进度付款周期开始，在发包人的进度付款中，按专用合同条款的约定扣留质量保证金，直至扣留的质量保证金总额达到专用合同条款约定的金额或比例为止。质量保证金的计算额度不包括预付款的支付与扣回金额。</w:t>
      </w:r>
    </w:p>
    <w:p w14:paraId="57A6E3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17.4.2　合同工程完工证书颁发后14天内，发包人将质量保证金总额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w:t>
      </w:r>
    </w:p>
    <w:p w14:paraId="2EE9BD1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1" w:name="_Toc18373"/>
      <w:r>
        <w:rPr>
          <w:rFonts w:hint="eastAsia" w:ascii="仿宋" w:hAnsi="仿宋" w:eastAsia="仿宋" w:cs="仿宋"/>
          <w:color w:val="auto"/>
          <w:sz w:val="24"/>
          <w:szCs w:val="24"/>
        </w:rPr>
        <w:t>17.5　竣工结算(完工结算)</w:t>
      </w:r>
      <w:bookmarkEnd w:id="61"/>
    </w:p>
    <w:p w14:paraId="7A8DBC3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17.5.1　竣工(完工)付款申请单</w:t>
      </w:r>
    </w:p>
    <w:p w14:paraId="28162EC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2A8C299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(2)监理人对完工付款申请单有异议的，有权要求承包人进行修正和提供补充资料。经监理人和承包人协商后，由承包人向监理人提交修正后的完工付款申请单。</w:t>
      </w:r>
    </w:p>
    <w:p w14:paraId="41C7E2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17.5.2　竣工(完工)付款证书及支付时间</w:t>
      </w:r>
    </w:p>
    <w:p w14:paraId="595AF5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14:paraId="3DE612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(2)发包人应在监理人出具完工付款证书后的14天内，将应支付款支付给承包人。发包人不按期支付的，按第17.3.3(2)目的约定，将逾期付款违约金支付给承包人。</w:t>
      </w:r>
    </w:p>
    <w:p w14:paraId="1A1BBA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(3)承包人对发包人签认的完工付款证书有异议的，发包人可出具完工付款申请单中承包人已同意部分的临时付款证书。存在争议的部分，按第24条的约定办理。</w:t>
      </w:r>
    </w:p>
    <w:p w14:paraId="785C593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(4)完工付款涉及政府投资资金的，按第17.3.3(4)目的约定办理。</w:t>
      </w:r>
    </w:p>
    <w:p w14:paraId="18569C3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2" w:name="_Toc7503"/>
      <w:r>
        <w:rPr>
          <w:rFonts w:hint="eastAsia" w:ascii="仿宋" w:hAnsi="仿宋" w:eastAsia="仿宋" w:cs="仿宋"/>
          <w:color w:val="auto"/>
          <w:sz w:val="24"/>
          <w:szCs w:val="24"/>
        </w:rPr>
        <w:t>17.6　最终结清</w:t>
      </w:r>
      <w:bookmarkEnd w:id="62"/>
    </w:p>
    <w:p w14:paraId="2CCC3C1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17.6.1　最终结清申请单</w:t>
      </w:r>
    </w:p>
    <w:p w14:paraId="12B5C8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(1)工程质量保修责任终止证书签发后，承包人应按监理人批准的格式提交最终结清申请单。提交最终结清申请单的份数在专用合同条款中约定。</w:t>
      </w:r>
    </w:p>
    <w:p w14:paraId="0FE9B0A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(2)发包人对最终结清申请单内容有异议的，有权要求承包人进行修正和提供补充资料，由承包人向监理人提交修正后的最终结清申请单。</w:t>
      </w:r>
    </w:p>
    <w:p w14:paraId="6AC9C47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3" w:name="_Toc2722"/>
      <w:r>
        <w:rPr>
          <w:rFonts w:hint="eastAsia" w:ascii="仿宋" w:hAnsi="仿宋" w:eastAsia="仿宋" w:cs="仿宋"/>
          <w:color w:val="auto"/>
          <w:sz w:val="24"/>
          <w:szCs w:val="24"/>
        </w:rPr>
        <w:t>17.7　竣工财务决算</w:t>
      </w:r>
      <w:bookmarkEnd w:id="63"/>
    </w:p>
    <w:p w14:paraId="366CCDA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发包人负责编制本工程项目竣工财务决算，承包人应按专用合同条款的约定提供竣工财务决算编制所需的相关材料。</w:t>
      </w:r>
    </w:p>
    <w:p w14:paraId="0998A5E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4" w:name="_Toc23940"/>
      <w:r>
        <w:rPr>
          <w:rFonts w:hint="eastAsia" w:ascii="仿宋" w:hAnsi="仿宋" w:eastAsia="仿宋" w:cs="仿宋"/>
          <w:color w:val="auto"/>
          <w:sz w:val="24"/>
          <w:szCs w:val="24"/>
        </w:rPr>
        <w:t>17.8　竣工审计</w:t>
      </w:r>
      <w:bookmarkEnd w:id="64"/>
    </w:p>
    <w:p w14:paraId="02EF952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发包人负责完成本工程竣工审计手续，承包人应完成相关配合工作。</w:t>
      </w:r>
    </w:p>
    <w:p w14:paraId="3A801EB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65" w:name="第04章合同条款及格式0118"/>
      <w:bookmarkEnd w:id="65"/>
      <w:r>
        <w:rPr>
          <w:rFonts w:hint="eastAsia" w:ascii="仿宋" w:hAnsi="仿宋" w:eastAsia="仿宋" w:cs="仿宋"/>
          <w:b/>
          <w:color w:val="auto"/>
          <w:sz w:val="24"/>
          <w:szCs w:val="24"/>
        </w:rPr>
        <w:t>18　竣工验收(验收)</w:t>
      </w:r>
    </w:p>
    <w:p w14:paraId="7D9E85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5D05F78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6" w:name="_Toc9786"/>
      <w:r>
        <w:rPr>
          <w:rFonts w:hint="eastAsia" w:ascii="仿宋" w:hAnsi="仿宋" w:eastAsia="仿宋" w:cs="仿宋"/>
          <w:color w:val="auto"/>
          <w:sz w:val="24"/>
          <w:szCs w:val="24"/>
        </w:rPr>
        <w:t>18.1　验收工作分类</w:t>
      </w:r>
      <w:bookmarkEnd w:id="66"/>
    </w:p>
    <w:p w14:paraId="57DFD96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70F1E07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7" w:name="_Toc4658"/>
      <w:r>
        <w:rPr>
          <w:rFonts w:hint="eastAsia" w:ascii="仿宋" w:hAnsi="仿宋" w:eastAsia="仿宋" w:cs="仿宋"/>
          <w:color w:val="auto"/>
          <w:sz w:val="24"/>
          <w:szCs w:val="24"/>
        </w:rPr>
        <w:t>18.2　分部工程验收</w:t>
      </w:r>
      <w:bookmarkEnd w:id="67"/>
    </w:p>
    <w:p w14:paraId="5014FCB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18.2.1　分部工程具备验收条件时，承包人应向发包人提交验收申请报告，发包人应在收到验收申请报告之日起10个工作日内决定是否同意进行验收。</w:t>
      </w:r>
    </w:p>
    <w:p w14:paraId="7B495B5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18.2.2　除专用合同条款另有约定外，监理人主持分部工程验收，承包人应派符合条件的代表参加验收工作组。</w:t>
      </w:r>
    </w:p>
    <w:p w14:paraId="03251C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18.2.3　分部工程验收通过后，发包人向承包人发送分部工程验收鉴定书。承包人应及时完成分部工程验收鉴定书载明应由承包人处理的遗留问题。</w:t>
      </w:r>
    </w:p>
    <w:p w14:paraId="281F4CF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8" w:name="_Toc7535"/>
      <w:r>
        <w:rPr>
          <w:rFonts w:hint="eastAsia" w:ascii="仿宋" w:hAnsi="仿宋" w:eastAsia="仿宋" w:cs="仿宋"/>
          <w:color w:val="auto"/>
          <w:sz w:val="24"/>
          <w:szCs w:val="24"/>
        </w:rPr>
        <w:t>18.3　单位工程验收</w:t>
      </w:r>
      <w:bookmarkEnd w:id="68"/>
    </w:p>
    <w:p w14:paraId="0C55E38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18.3.1　单位工程具备验收条件时，承包人应向发包人提交验收申请报告，发包人应在收到验收申请报告之日起10个工作日内决定是否同意进行验收。</w:t>
      </w:r>
    </w:p>
    <w:p w14:paraId="62DA9D7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18.3.2　发包人主持单位工程验收，承包人应派符合条件的代表参加验收工作组。</w:t>
      </w:r>
    </w:p>
    <w:p w14:paraId="0E18C11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18.3.3　单位工程验收通过后，发包人向承包人发送单位工程验收鉴定书。承包人应及时完成单位工程验收鉴定书载明应由承包人处理的遗留问题。</w:t>
      </w:r>
    </w:p>
    <w:p w14:paraId="0C601DC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18.3.4　需提前投入使用的单位工程在专用合同条款中明确。</w:t>
      </w:r>
    </w:p>
    <w:p w14:paraId="0819947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69" w:name="_Toc27133"/>
      <w:r>
        <w:rPr>
          <w:rFonts w:hint="eastAsia" w:ascii="仿宋" w:hAnsi="仿宋" w:eastAsia="仿宋" w:cs="仿宋"/>
          <w:color w:val="auto"/>
          <w:sz w:val="24"/>
          <w:szCs w:val="24"/>
        </w:rPr>
        <w:t>18.4　合同工程完工验收</w:t>
      </w:r>
      <w:bookmarkEnd w:id="69"/>
    </w:p>
    <w:p w14:paraId="7AF7598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18.4.1　合同工程具备验收条件时，承包人应向发包人提交验收申请报告，发包人应在收到验收申请报告之日起20个工作日内决定是否同意进行验收。</w:t>
      </w:r>
    </w:p>
    <w:p w14:paraId="32A178A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18.4.2　发包人主持合同工程完工验收，承包人应派代表参加验收工作组。</w:t>
      </w:r>
    </w:p>
    <w:p w14:paraId="40E8F04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18.4.3　合同工程完工验收通过后，发包人向承包人发送合同工程完工验收鉴定书。承包人应及时完成合同工程完工验收鉴定书载明应由承包人处理的遗留问题。</w:t>
      </w:r>
    </w:p>
    <w:p w14:paraId="6CD01D0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18.4.4　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w:t>
      </w:r>
    </w:p>
    <w:p w14:paraId="4CF13F6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0" w:name="_Toc26224"/>
      <w:r>
        <w:rPr>
          <w:rFonts w:hint="eastAsia" w:ascii="仿宋" w:hAnsi="仿宋" w:eastAsia="仿宋" w:cs="仿宋"/>
          <w:color w:val="auto"/>
          <w:sz w:val="24"/>
          <w:szCs w:val="24"/>
        </w:rPr>
        <w:t>18.5　阶段验收</w:t>
      </w:r>
      <w:bookmarkEnd w:id="70"/>
    </w:p>
    <w:p w14:paraId="1C853AC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18.5.1　工程建设具备阶段验收条件时，发包人负责提出阶段验收申请报告。承包人应派代表参加阶段验收，并作为被验收单位在验收鉴定书上签字。阶段验收的具体类别在专用合同条款中约定。</w:t>
      </w:r>
    </w:p>
    <w:p w14:paraId="10863DB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18.5.2　承包人应及时完成阶段验收鉴定书载明应由承包人处理的遗留问题。</w:t>
      </w:r>
    </w:p>
    <w:p w14:paraId="6A99EF1C">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1" w:name="_Toc1010"/>
      <w:r>
        <w:rPr>
          <w:rFonts w:hint="eastAsia" w:ascii="仿宋" w:hAnsi="仿宋" w:eastAsia="仿宋" w:cs="仿宋"/>
          <w:color w:val="auto"/>
          <w:sz w:val="24"/>
          <w:szCs w:val="24"/>
        </w:rPr>
        <w:t>18.6　专项验收</w:t>
      </w:r>
      <w:bookmarkEnd w:id="71"/>
    </w:p>
    <w:p w14:paraId="13F74AB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18.6.1　发包人负责提出专项验收申请报告。承包人应按专项验收的相关规定参加专项验收。专项验收的具体类别在专用合同条款中约定。</w:t>
      </w:r>
    </w:p>
    <w:p w14:paraId="3E83347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18.6.2　承包人应及时完成专项验收成果性文件载明应由承包人处理的遗留问题。</w:t>
      </w:r>
    </w:p>
    <w:p w14:paraId="7BFF9A9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2" w:name="_Toc1869"/>
      <w:r>
        <w:rPr>
          <w:rFonts w:hint="eastAsia" w:ascii="仿宋" w:hAnsi="仿宋" w:eastAsia="仿宋" w:cs="仿宋"/>
          <w:color w:val="auto"/>
          <w:sz w:val="24"/>
          <w:szCs w:val="24"/>
        </w:rPr>
        <w:t>18.7　竣工验收</w:t>
      </w:r>
      <w:bookmarkEnd w:id="72"/>
    </w:p>
    <w:p w14:paraId="35D74FD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18.7.1　申请竣工验收前，发包人组织竣工验收自查，承包人应派代表参加。</w:t>
      </w:r>
    </w:p>
    <w:p w14:paraId="7787012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18.7.2　竣工验收分为竣工技术预验收和竣工验收两个阶段。发包人应通知承包人派代表参加技术预验收和竣工验收。</w:t>
      </w:r>
    </w:p>
    <w:p w14:paraId="756D121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18.7.3　专用合同条款约定工程需要进行技术鉴定的，承包人应提交有关资料并完成配合工作。</w:t>
      </w:r>
    </w:p>
    <w:p w14:paraId="026FA4F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18.7.4　竣工验收需要进行质量检测的，所需费用由发包人承担，但因承包人原因造成质量不合格的除外。</w:t>
      </w:r>
    </w:p>
    <w:p w14:paraId="17CAB95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18.7.5　工程质量保修期满以及竣工验收遗留问题和尾工处理完成并通过验收后，发包人负责将处理情况和验收成果报送竣工验收主持单位，申请领取工程竣工证书，并发送承包人。</w:t>
      </w:r>
    </w:p>
    <w:p w14:paraId="7A9D7F9D">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3" w:name="_Toc27720"/>
      <w:r>
        <w:rPr>
          <w:rFonts w:hint="eastAsia" w:ascii="仿宋" w:hAnsi="仿宋" w:eastAsia="仿宋" w:cs="仿宋"/>
          <w:color w:val="auto"/>
          <w:sz w:val="24"/>
          <w:szCs w:val="24"/>
        </w:rPr>
        <w:t>18.8　施工期运行</w:t>
      </w:r>
      <w:bookmarkEnd w:id="73"/>
    </w:p>
    <w:p w14:paraId="5B3EEA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18.8.1　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w:t>
      </w:r>
    </w:p>
    <w:p w14:paraId="2B7F52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18.8.2　在施工期运行中发现工程或工程设备损坏或存在缺陷的，由承包人按第19.2款约定进行修复。</w:t>
      </w:r>
    </w:p>
    <w:p w14:paraId="517E1C1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4" w:name="_Toc10272"/>
      <w:r>
        <w:rPr>
          <w:rFonts w:hint="eastAsia" w:ascii="仿宋" w:hAnsi="仿宋" w:eastAsia="仿宋" w:cs="仿宋"/>
          <w:color w:val="auto"/>
          <w:sz w:val="24"/>
          <w:szCs w:val="24"/>
        </w:rPr>
        <w:t>18.9　试运行</w:t>
      </w:r>
      <w:bookmarkEnd w:id="74"/>
    </w:p>
    <w:p w14:paraId="1F8E2C7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18.9.1　除专用合同条款另有约定外，承包人应按规定进行工程及工程设备试运行，负责提供试运行所需的人员、器材和必要的条件，并承担全部试运行费用。</w:t>
      </w:r>
    </w:p>
    <w:p w14:paraId="0E3789A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18.9.2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501A59C3">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5" w:name="_Toc19566"/>
      <w:r>
        <w:rPr>
          <w:rFonts w:hint="eastAsia" w:ascii="仿宋" w:hAnsi="仿宋" w:eastAsia="仿宋" w:cs="仿宋"/>
          <w:color w:val="auto"/>
          <w:sz w:val="24"/>
          <w:szCs w:val="24"/>
        </w:rPr>
        <w:t>18.10　竣工(完工)清场</w:t>
      </w:r>
      <w:bookmarkEnd w:id="75"/>
    </w:p>
    <w:p w14:paraId="7C18491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18.10.1　工程项目竣工(完工)清场的工作范围和内容在技术标准和要求(合同技术条款)中约定。</w:t>
      </w:r>
    </w:p>
    <w:p w14:paraId="4C44B66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18.10.2　承包人未按监理人的要求恢复临时占地，或者场地清理未达到合同约定的，发包人有权委托其它人恢复或清理，所发生的金额从拟支付给承包人的款项中扣除。</w:t>
      </w:r>
    </w:p>
    <w:p w14:paraId="539CB93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6" w:name="_Toc20335"/>
      <w:r>
        <w:rPr>
          <w:rFonts w:hint="eastAsia" w:ascii="仿宋" w:hAnsi="仿宋" w:eastAsia="仿宋" w:cs="仿宋"/>
          <w:color w:val="auto"/>
          <w:sz w:val="24"/>
          <w:szCs w:val="24"/>
        </w:rPr>
        <w:t>18.11　施工队伍的撤离</w:t>
      </w:r>
      <w:bookmarkEnd w:id="76"/>
    </w:p>
    <w:p w14:paraId="10C2A59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14:paraId="2C17D03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77" w:name="第04章合同条款及格式0119"/>
      <w:bookmarkEnd w:id="77"/>
      <w:bookmarkStart w:id="78" w:name="_Toc20571"/>
      <w:r>
        <w:rPr>
          <w:rFonts w:hint="eastAsia" w:ascii="仿宋" w:hAnsi="仿宋" w:eastAsia="仿宋" w:cs="仿宋"/>
          <w:b/>
          <w:color w:val="auto"/>
          <w:sz w:val="24"/>
          <w:szCs w:val="24"/>
        </w:rPr>
        <w:t>19　缺陷责任与保修责任</w:t>
      </w:r>
      <w:bookmarkEnd w:id="78"/>
    </w:p>
    <w:p w14:paraId="5B689F9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6E939F6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79" w:name="_Toc25272"/>
      <w:r>
        <w:rPr>
          <w:rFonts w:hint="eastAsia" w:ascii="仿宋" w:hAnsi="仿宋" w:eastAsia="仿宋" w:cs="仿宋"/>
          <w:color w:val="auto"/>
          <w:sz w:val="24"/>
          <w:szCs w:val="24"/>
        </w:rPr>
        <w:t>19.1　缺陷责任期(工程质量保修期)的起算时间</w:t>
      </w:r>
      <w:bookmarkEnd w:id="79"/>
    </w:p>
    <w:p w14:paraId="2809FD4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14:paraId="7C56813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19.6　缺陷责任期终止证书(工程质量保修责任终止证书)</w:t>
      </w:r>
    </w:p>
    <w:p w14:paraId="37673C9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合同工程完工验收或投入使用验收后，发包人与承包人应办理工程交接手续，承包人应向发包人递交工程质量保修书。</w:t>
      </w:r>
    </w:p>
    <w:p w14:paraId="1224D1D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缺陷责任期(工程质量保修期)满后30个工作日内，发包人应向承包人颁发工程质量保修责任终止证书，并退还剩余的质量保证金，但保修责任范围内的质量缺陷未处理完成的应除外。</w:t>
      </w:r>
    </w:p>
    <w:p w14:paraId="673A645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80" w:name="第04章合同条款及格式0120"/>
      <w:bookmarkEnd w:id="80"/>
      <w:bookmarkStart w:id="81" w:name="_Toc4978"/>
      <w:r>
        <w:rPr>
          <w:rFonts w:hint="eastAsia" w:ascii="仿宋" w:hAnsi="仿宋" w:eastAsia="仿宋" w:cs="仿宋"/>
          <w:b/>
          <w:color w:val="auto"/>
          <w:sz w:val="24"/>
          <w:szCs w:val="24"/>
        </w:rPr>
        <w:t>20　保险</w:t>
      </w:r>
      <w:bookmarkEnd w:id="81"/>
    </w:p>
    <w:p w14:paraId="2F0A82B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482102B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　对各项保险的一般要求</w:t>
      </w:r>
    </w:p>
    <w:p w14:paraId="58C84D0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20.6.4　保险金不足以补偿损失时，应由承包人和发包人各自负责补偿的范围和金额在专用合同条款中约定。</w:t>
      </w:r>
    </w:p>
    <w:p w14:paraId="5B809E9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20.7　风险责任的转移</w:t>
      </w:r>
    </w:p>
    <w:p w14:paraId="09C6BD3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工程通过合同工程完工验收并移交给发包人后，原由承包人应承担的风险责任，以及保险的责任、权利和义务同时转移给发包人，但承包人在缺陷责任期(工程质量保修期)前造成损失和损坏情形除外。</w:t>
      </w:r>
    </w:p>
    <w:p w14:paraId="15CA23A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82" w:name="第04章合同条款及格式0121"/>
      <w:bookmarkEnd w:id="82"/>
      <w:bookmarkStart w:id="83" w:name="_Toc5188"/>
      <w:r>
        <w:rPr>
          <w:rFonts w:hint="eastAsia" w:ascii="仿宋" w:hAnsi="仿宋" w:eastAsia="仿宋" w:cs="仿宋"/>
          <w:b/>
          <w:color w:val="auto"/>
          <w:sz w:val="24"/>
          <w:szCs w:val="24"/>
        </w:rPr>
        <w:t>21　不可抗力</w:t>
      </w:r>
      <w:bookmarkEnd w:id="83"/>
    </w:p>
    <w:p w14:paraId="04F8EA5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w:t>
      </w:r>
    </w:p>
    <w:p w14:paraId="721CA9C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84" w:name="第04章合同条款及格式0122"/>
      <w:bookmarkEnd w:id="84"/>
      <w:bookmarkStart w:id="85" w:name="_Toc14716"/>
      <w:r>
        <w:rPr>
          <w:rFonts w:hint="eastAsia" w:ascii="仿宋" w:hAnsi="仿宋" w:eastAsia="仿宋" w:cs="仿宋"/>
          <w:b/>
          <w:color w:val="auto"/>
          <w:sz w:val="24"/>
          <w:szCs w:val="24"/>
        </w:rPr>
        <w:t>22　违约</w:t>
      </w:r>
      <w:bookmarkEnd w:id="85"/>
    </w:p>
    <w:p w14:paraId="528F4F6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0E620BE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86" w:name="_Toc28856"/>
      <w:r>
        <w:rPr>
          <w:rFonts w:hint="eastAsia" w:ascii="仿宋" w:hAnsi="仿宋" w:eastAsia="仿宋" w:cs="仿宋"/>
          <w:color w:val="auto"/>
          <w:sz w:val="24"/>
          <w:szCs w:val="24"/>
        </w:rPr>
        <w:t>22.1　承包人违约</w:t>
      </w:r>
      <w:bookmarkEnd w:id="86"/>
    </w:p>
    <w:p w14:paraId="0820FCC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22.1.1　承包人违约的情形</w:t>
      </w:r>
    </w:p>
    <w:p w14:paraId="001F728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在履行合同过程中发生的下列情况属承包人违约：</w:t>
      </w:r>
    </w:p>
    <w:p w14:paraId="0C346C5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(1)承包人违反第1.8款或第4.3款的约定，私自将合同的全部或部分权利转让给其他人，或私自将合同的全部或部分义务转移给其他人；</w:t>
      </w:r>
    </w:p>
    <w:p w14:paraId="0C5A4BD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(2)承包人违反第5.3款或第6.4款的约定，未经监理人批准，私自将已按合同约定进入施工场地的施工设备、临时设施或材料撤离施工场地；</w:t>
      </w:r>
    </w:p>
    <w:p w14:paraId="6E0B727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(3)承包人违反第5.4款的约定使用了不合格材料或工程设备，工程质量达不到标准要求，又拒绝清除不合格工程；</w:t>
      </w:r>
    </w:p>
    <w:p w14:paraId="6DAEC40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(4)承包人未能按合同进度计划及时完成合同约定的工作，已造成或预期造成工期延误；</w:t>
      </w:r>
    </w:p>
    <w:p w14:paraId="4725FFA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(5)承包人在缺陷责任期(工程质量保修期)内，未能对合同工程完工验收鉴定书所列的缺陷清单的内容或缺陷责任期(工程质量保修期)内发生的缺陷进行修复，而又拒绝按监理人指示再进行修补；</w:t>
      </w:r>
    </w:p>
    <w:p w14:paraId="30B5AA7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(6)承包人无法继续履行或明确表示不履行或实质上已停止履行合同；</w:t>
      </w:r>
    </w:p>
    <w:p w14:paraId="6473C26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(7)承包人不按合同约定履行义务的其它情况。</w:t>
      </w:r>
    </w:p>
    <w:p w14:paraId="5CD59E1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87" w:name="第04章合同条款及格式0123"/>
      <w:bookmarkEnd w:id="87"/>
      <w:bookmarkStart w:id="88" w:name="_Toc15497"/>
      <w:r>
        <w:rPr>
          <w:rFonts w:hint="eastAsia" w:ascii="仿宋" w:hAnsi="仿宋" w:eastAsia="仿宋" w:cs="仿宋"/>
          <w:b/>
          <w:color w:val="auto"/>
          <w:sz w:val="24"/>
          <w:szCs w:val="24"/>
        </w:rPr>
        <w:t>23　索赔</w:t>
      </w:r>
      <w:bookmarkEnd w:id="88"/>
    </w:p>
    <w:p w14:paraId="65A228C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413A7F4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　承包人提出索赔的期限</w:t>
      </w:r>
    </w:p>
    <w:p w14:paraId="79E095D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23.3.1　承包人按第17.5款的约定接受了完工付款证书后，应被认为已无权再提出在合同工程完工证书颁发前所发生的任何索赔。</w:t>
      </w:r>
    </w:p>
    <w:p w14:paraId="7797A07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23.3.2　承包人按第17.6款的约定提交的最终结清申请单中，只限于提出合同工程完工证书颁发后发生的索赔。提出索赔的期限自接受最终结清证书时终止。</w:t>
      </w:r>
    </w:p>
    <w:p w14:paraId="2A15695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89" w:name="_Toc4601"/>
      <w:r>
        <w:rPr>
          <w:rFonts w:hint="eastAsia" w:ascii="仿宋" w:hAnsi="仿宋" w:eastAsia="仿宋" w:cs="仿宋"/>
          <w:color w:val="auto"/>
          <w:sz w:val="24"/>
          <w:szCs w:val="24"/>
        </w:rPr>
        <w:t>23.4　发包人的索赔</w:t>
      </w:r>
      <w:bookmarkEnd w:id="89"/>
    </w:p>
    <w:p w14:paraId="6145C58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w:t>
      </w:r>
    </w:p>
    <w:p w14:paraId="756477C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90" w:name="第04章合同条款及格式0124"/>
      <w:bookmarkEnd w:id="90"/>
      <w:r>
        <w:rPr>
          <w:rFonts w:hint="eastAsia" w:ascii="仿宋" w:hAnsi="仿宋" w:eastAsia="仿宋" w:cs="仿宋"/>
          <w:b/>
          <w:color w:val="auto"/>
          <w:sz w:val="24"/>
          <w:szCs w:val="24"/>
        </w:rPr>
        <w:t>24　争议的解决</w:t>
      </w:r>
    </w:p>
    <w:p w14:paraId="543C276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本条全文引用《标准施工招标文件》(2007年版)相应条款，并补充以下内容：</w:t>
      </w:r>
    </w:p>
    <w:p w14:paraId="5E6C01C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24.4　仲裁</w:t>
      </w:r>
    </w:p>
    <w:p w14:paraId="2B0E162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24.4.1　若合同双方商定直接向仲裁机构申请仲裁，应签订仲裁协议并约定仲裁机构。</w:t>
      </w:r>
    </w:p>
    <w:p w14:paraId="5F7378A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24.4.2　若合同双方未能达成仲裁协议，则本合同的仲裁条款无效，任一方均有权向人民法院提起诉讼。</w:t>
      </w:r>
    </w:p>
    <w:p w14:paraId="248B30E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259F48A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bookmarkStart w:id="91" w:name="第04章合同条款及格式02"/>
      <w:bookmarkEnd w:id="91"/>
    </w:p>
    <w:p w14:paraId="0FEEC70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p>
    <w:p w14:paraId="4028FE2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第2节　专用合同条款</w:t>
      </w:r>
    </w:p>
    <w:p w14:paraId="1031513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92" w:name="第04章合同条款及格式0201"/>
      <w:bookmarkEnd w:id="92"/>
      <w:bookmarkStart w:id="93" w:name="_Toc32434"/>
      <w:r>
        <w:rPr>
          <w:rFonts w:hint="eastAsia" w:ascii="仿宋" w:hAnsi="仿宋" w:eastAsia="仿宋" w:cs="仿宋"/>
          <w:b/>
          <w:color w:val="auto"/>
          <w:sz w:val="24"/>
          <w:szCs w:val="24"/>
        </w:rPr>
        <w:t>1　一般约定</w:t>
      </w:r>
      <w:bookmarkEnd w:id="93"/>
    </w:p>
    <w:p w14:paraId="7A2A66E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　词语定义</w:t>
      </w:r>
    </w:p>
    <w:p w14:paraId="2F13017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　合同当事人和人员</w:t>
      </w:r>
    </w:p>
    <w:p w14:paraId="0D32606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1.1.2.2　发包人：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(填入发包人的名称)。</w:t>
      </w:r>
    </w:p>
    <w:p w14:paraId="1C45E20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1.1.2.3　承包人：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(签约后填入承包人的名称)。</w:t>
      </w:r>
    </w:p>
    <w:p w14:paraId="1D5A8CA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1.1.2.5　分包人：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(签约后填入分包人的名称)。</w:t>
      </w:r>
    </w:p>
    <w:p w14:paraId="2B3D509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1.1.2.6　监理人：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(填入监理人名称)。</w:t>
      </w:r>
    </w:p>
    <w:p w14:paraId="3D03040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　日期</w:t>
      </w:r>
    </w:p>
    <w:p w14:paraId="6044336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1.1.4.5　缺陷责任期(工程质量保修期)：</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1396882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94" w:name="_Toc27228"/>
      <w:r>
        <w:rPr>
          <w:rFonts w:hint="eastAsia" w:ascii="仿宋" w:hAnsi="仿宋" w:eastAsia="仿宋" w:cs="仿宋"/>
          <w:color w:val="auto"/>
          <w:sz w:val="24"/>
          <w:szCs w:val="24"/>
        </w:rPr>
        <w:t>1.4　合同文件的优先顺序</w:t>
      </w:r>
      <w:bookmarkEnd w:id="94"/>
    </w:p>
    <w:p w14:paraId="68A6E7E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进入合同文件的各项文件及其优先顺序是</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32ADF11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　联络</w:t>
      </w:r>
    </w:p>
    <w:p w14:paraId="0E8755D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　来往函件均应按技术标准和要求(合同技术条款)约定的期限送达</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(填写文件送达地点)。</w:t>
      </w:r>
    </w:p>
    <w:p w14:paraId="0F48DF4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95" w:name="第04章合同条款及格式0202"/>
      <w:bookmarkEnd w:id="95"/>
      <w:r>
        <w:rPr>
          <w:rFonts w:hint="eastAsia" w:ascii="仿宋" w:hAnsi="仿宋" w:eastAsia="仿宋" w:cs="仿宋"/>
          <w:b/>
          <w:color w:val="auto"/>
          <w:sz w:val="24"/>
          <w:szCs w:val="24"/>
        </w:rPr>
        <w:t>2　发包人义务</w:t>
      </w:r>
    </w:p>
    <w:p w14:paraId="1C321D4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96" w:name="_Toc26386"/>
      <w:r>
        <w:rPr>
          <w:rFonts w:hint="eastAsia" w:ascii="仿宋" w:hAnsi="仿宋" w:eastAsia="仿宋" w:cs="仿宋"/>
          <w:color w:val="auto"/>
          <w:sz w:val="24"/>
          <w:szCs w:val="24"/>
        </w:rPr>
        <w:t>2.3　提供施工场地</w:t>
      </w:r>
      <w:bookmarkEnd w:id="96"/>
    </w:p>
    <w:p w14:paraId="6BAC9D7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2.3.2　发包人提供的施工场地范围为：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6EC2D40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2.3.3　承包人自行勘察的施工场地范围为：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77638B3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2.8　其它义务</w:t>
      </w:r>
    </w:p>
    <w:p w14:paraId="484D520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(根据发包人的合同管理要求补充)</w:t>
      </w:r>
    </w:p>
    <w:p w14:paraId="4136A34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w:t>
      </w:r>
    </w:p>
    <w:p w14:paraId="72FE17A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w:t>
      </w:r>
    </w:p>
    <w:p w14:paraId="4BCD664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97" w:name="第04章合同条款及格式0203"/>
      <w:bookmarkEnd w:id="97"/>
      <w:r>
        <w:rPr>
          <w:rFonts w:hint="eastAsia" w:ascii="仿宋" w:hAnsi="仿宋" w:eastAsia="仿宋" w:cs="仿宋"/>
          <w:b/>
          <w:color w:val="auto"/>
          <w:sz w:val="24"/>
          <w:szCs w:val="24"/>
        </w:rPr>
        <w:t>3　监理人</w:t>
      </w:r>
    </w:p>
    <w:p w14:paraId="32B93AF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3.1　监理人的职责和权力</w:t>
      </w:r>
    </w:p>
    <w:p w14:paraId="15D48A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3.1.1　监理人须根据发包人事先批准的权力范围行使权力，发包人批准的权力范围：(填写监理人须经发包人批准才能行使的权力，以下示例供参考)</w:t>
      </w:r>
    </w:p>
    <w:p w14:paraId="2A37B9F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(1)按第4.3款约定，批准工程的分包；</w:t>
      </w:r>
    </w:p>
    <w:p w14:paraId="6DAD20E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(2)按第11.3款约定，确定延长完工期限；</w:t>
      </w:r>
    </w:p>
    <w:p w14:paraId="0C9FE74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(3)按第15.6款约定，批准暂列金额的使用；</w:t>
      </w:r>
    </w:p>
    <w:p w14:paraId="7B0BC41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w:t>
      </w:r>
    </w:p>
    <w:p w14:paraId="7360314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98" w:name="第04章合同条款及格式0204"/>
      <w:bookmarkEnd w:id="98"/>
      <w:r>
        <w:rPr>
          <w:rFonts w:hint="eastAsia" w:ascii="仿宋" w:hAnsi="仿宋" w:eastAsia="仿宋" w:cs="仿宋"/>
          <w:b/>
          <w:color w:val="auto"/>
          <w:sz w:val="24"/>
          <w:szCs w:val="24"/>
        </w:rPr>
        <w:t>4　承包人</w:t>
      </w:r>
    </w:p>
    <w:p w14:paraId="0BD80E2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99" w:name="_Toc29247"/>
      <w:r>
        <w:rPr>
          <w:rFonts w:hint="eastAsia" w:ascii="仿宋" w:hAnsi="仿宋" w:eastAsia="仿宋" w:cs="仿宋"/>
          <w:color w:val="auto"/>
          <w:sz w:val="24"/>
          <w:szCs w:val="24"/>
        </w:rPr>
        <w:t>4.1　承包人的一般义务</w:t>
      </w:r>
      <w:bookmarkEnd w:id="99"/>
    </w:p>
    <w:p w14:paraId="5068E82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4.1.10　其它义务</w:t>
      </w:r>
    </w:p>
    <w:p w14:paraId="5A73BF6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w:t>
      </w:r>
    </w:p>
    <w:p w14:paraId="4BC73E0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w:t>
      </w:r>
    </w:p>
    <w:p w14:paraId="41F7C9B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00" w:name="_Toc19321"/>
      <w:r>
        <w:rPr>
          <w:rFonts w:hint="eastAsia" w:ascii="仿宋" w:hAnsi="仿宋" w:eastAsia="仿宋" w:cs="仿宋"/>
          <w:color w:val="auto"/>
          <w:sz w:val="24"/>
          <w:szCs w:val="24"/>
        </w:rPr>
        <w:t>4.3　分包</w:t>
      </w:r>
      <w:bookmarkEnd w:id="100"/>
    </w:p>
    <w:p w14:paraId="4CBF971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4.3.2　允许承包人分包的工程项目、工作内容与分包金额限额为：</w:t>
      </w:r>
    </w:p>
    <w:p w14:paraId="71DEE76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(1)工程项目：</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2808967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(2)工作内容：</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4AC24D3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(3)分包金额限额：</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683A3F1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4.3.10　分包人项目管理机构的设立：</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313177F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　不利物质条件</w:t>
      </w:r>
    </w:p>
    <w:p w14:paraId="61A973F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4.11.1　不利物质条件的范围：</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60CD2F7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01" w:name="第04章合同条款及格式0205"/>
      <w:bookmarkEnd w:id="101"/>
      <w:bookmarkStart w:id="102" w:name="_Toc4987"/>
      <w:r>
        <w:rPr>
          <w:rFonts w:hint="eastAsia" w:ascii="仿宋" w:hAnsi="仿宋" w:eastAsia="仿宋" w:cs="仿宋"/>
          <w:b/>
          <w:color w:val="auto"/>
          <w:sz w:val="24"/>
          <w:szCs w:val="24"/>
        </w:rPr>
        <w:t>5　材料和工程设备</w:t>
      </w:r>
      <w:bookmarkEnd w:id="102"/>
    </w:p>
    <w:p w14:paraId="63CE178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03" w:name="_Toc13462"/>
      <w:r>
        <w:rPr>
          <w:rFonts w:hint="eastAsia" w:ascii="仿宋" w:hAnsi="仿宋" w:eastAsia="仿宋" w:cs="仿宋"/>
          <w:color w:val="auto"/>
          <w:sz w:val="24"/>
          <w:szCs w:val="24"/>
        </w:rPr>
        <w:t>5.2　发包人提供的材料和工程设备</w:t>
      </w:r>
      <w:bookmarkEnd w:id="103"/>
    </w:p>
    <w:p w14:paraId="4AAFA00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5.2.1　发包人提供的材料和工程设备见下表：</w:t>
      </w:r>
    </w:p>
    <w:p w14:paraId="13A375B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发包人提供的材料表(参考格式)</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6"/>
        <w:gridCol w:w="1303"/>
        <w:gridCol w:w="1302"/>
        <w:gridCol w:w="676"/>
        <w:gridCol w:w="1302"/>
        <w:gridCol w:w="1052"/>
        <w:gridCol w:w="1428"/>
        <w:gridCol w:w="675"/>
      </w:tblGrid>
      <w:tr w14:paraId="06F88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2022980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418" w:type="dxa"/>
            <w:noWrap w:val="0"/>
            <w:vAlign w:val="center"/>
          </w:tcPr>
          <w:p w14:paraId="090A01A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材料名称</w:t>
            </w:r>
          </w:p>
        </w:tc>
        <w:tc>
          <w:tcPr>
            <w:tcW w:w="1417" w:type="dxa"/>
            <w:noWrap w:val="0"/>
            <w:vAlign w:val="center"/>
          </w:tcPr>
          <w:p w14:paraId="67D0666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材料规格</w:t>
            </w:r>
          </w:p>
        </w:tc>
        <w:tc>
          <w:tcPr>
            <w:tcW w:w="709" w:type="dxa"/>
            <w:noWrap w:val="0"/>
            <w:vAlign w:val="center"/>
          </w:tcPr>
          <w:p w14:paraId="45EF108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417" w:type="dxa"/>
            <w:noWrap w:val="0"/>
            <w:vAlign w:val="center"/>
          </w:tcPr>
          <w:p w14:paraId="4243D95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交货地点</w:t>
            </w:r>
          </w:p>
        </w:tc>
        <w:tc>
          <w:tcPr>
            <w:tcW w:w="1134" w:type="dxa"/>
            <w:noWrap w:val="0"/>
            <w:vAlign w:val="center"/>
          </w:tcPr>
          <w:p w14:paraId="7217D87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交货方式</w:t>
            </w:r>
          </w:p>
        </w:tc>
        <w:tc>
          <w:tcPr>
            <w:tcW w:w="1560" w:type="dxa"/>
            <w:noWrap w:val="0"/>
            <w:vAlign w:val="center"/>
          </w:tcPr>
          <w:p w14:paraId="27CF045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计划交货日期</w:t>
            </w:r>
          </w:p>
        </w:tc>
        <w:tc>
          <w:tcPr>
            <w:tcW w:w="708" w:type="dxa"/>
            <w:noWrap w:val="0"/>
            <w:vAlign w:val="center"/>
          </w:tcPr>
          <w:p w14:paraId="14F010E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14:paraId="4C642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765DAA4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493FB94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33263DD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9" w:type="dxa"/>
            <w:noWrap w:val="0"/>
            <w:vAlign w:val="center"/>
          </w:tcPr>
          <w:p w14:paraId="1713C70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4859E33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34" w:type="dxa"/>
            <w:noWrap w:val="0"/>
            <w:vAlign w:val="center"/>
          </w:tcPr>
          <w:p w14:paraId="1AB98E8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60" w:type="dxa"/>
            <w:noWrap w:val="0"/>
            <w:vAlign w:val="center"/>
          </w:tcPr>
          <w:p w14:paraId="48CD0C8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8" w:type="dxa"/>
            <w:noWrap w:val="0"/>
            <w:vAlign w:val="center"/>
          </w:tcPr>
          <w:p w14:paraId="1BF5905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1E249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6450AF5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02950A9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68A1284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9" w:type="dxa"/>
            <w:noWrap w:val="0"/>
            <w:vAlign w:val="center"/>
          </w:tcPr>
          <w:p w14:paraId="6B0A100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3ECF49A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34" w:type="dxa"/>
            <w:noWrap w:val="0"/>
            <w:vAlign w:val="center"/>
          </w:tcPr>
          <w:p w14:paraId="20E16CE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60" w:type="dxa"/>
            <w:noWrap w:val="0"/>
            <w:vAlign w:val="center"/>
          </w:tcPr>
          <w:p w14:paraId="719D560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8" w:type="dxa"/>
            <w:noWrap w:val="0"/>
            <w:vAlign w:val="center"/>
          </w:tcPr>
          <w:p w14:paraId="4258DC1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24F71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2574AD9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6FA87E9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3146365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9" w:type="dxa"/>
            <w:noWrap w:val="0"/>
            <w:vAlign w:val="center"/>
          </w:tcPr>
          <w:p w14:paraId="4C4B94B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7" w:type="dxa"/>
            <w:noWrap w:val="0"/>
            <w:vAlign w:val="center"/>
          </w:tcPr>
          <w:p w14:paraId="4BF0221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34" w:type="dxa"/>
            <w:noWrap w:val="0"/>
            <w:vAlign w:val="center"/>
          </w:tcPr>
          <w:p w14:paraId="4DD3BD9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60" w:type="dxa"/>
            <w:noWrap w:val="0"/>
            <w:vAlign w:val="center"/>
          </w:tcPr>
          <w:p w14:paraId="41F2D4D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08" w:type="dxa"/>
            <w:noWrap w:val="0"/>
            <w:vAlign w:val="center"/>
          </w:tcPr>
          <w:p w14:paraId="3C80CEC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bl>
    <w:p w14:paraId="648AF19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7C059C6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发包人提供的工程设备表(参考格式)</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9"/>
        <w:gridCol w:w="1521"/>
        <w:gridCol w:w="1156"/>
        <w:gridCol w:w="813"/>
        <w:gridCol w:w="1063"/>
        <w:gridCol w:w="1063"/>
        <w:gridCol w:w="1441"/>
        <w:gridCol w:w="688"/>
      </w:tblGrid>
      <w:tr w14:paraId="36F24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5008400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701" w:type="dxa"/>
            <w:noWrap w:val="0"/>
            <w:vAlign w:val="center"/>
          </w:tcPr>
          <w:p w14:paraId="68B3A97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工程设备名称</w:t>
            </w:r>
          </w:p>
        </w:tc>
        <w:tc>
          <w:tcPr>
            <w:tcW w:w="1276" w:type="dxa"/>
            <w:noWrap w:val="0"/>
            <w:vAlign w:val="center"/>
          </w:tcPr>
          <w:p w14:paraId="330C631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型号及规格</w:t>
            </w:r>
          </w:p>
        </w:tc>
        <w:tc>
          <w:tcPr>
            <w:tcW w:w="877" w:type="dxa"/>
            <w:noWrap w:val="0"/>
            <w:vAlign w:val="center"/>
          </w:tcPr>
          <w:p w14:paraId="76BA557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168" w:type="dxa"/>
            <w:noWrap w:val="0"/>
            <w:vAlign w:val="center"/>
          </w:tcPr>
          <w:p w14:paraId="6BBB81F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交货地点</w:t>
            </w:r>
          </w:p>
        </w:tc>
        <w:tc>
          <w:tcPr>
            <w:tcW w:w="1168" w:type="dxa"/>
            <w:noWrap w:val="0"/>
            <w:vAlign w:val="center"/>
          </w:tcPr>
          <w:p w14:paraId="3C2AB29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交货方式</w:t>
            </w:r>
          </w:p>
        </w:tc>
        <w:tc>
          <w:tcPr>
            <w:tcW w:w="1606" w:type="dxa"/>
            <w:noWrap w:val="0"/>
            <w:vAlign w:val="center"/>
          </w:tcPr>
          <w:p w14:paraId="1E68296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计划交货日期</w:t>
            </w:r>
          </w:p>
        </w:tc>
        <w:tc>
          <w:tcPr>
            <w:tcW w:w="730" w:type="dxa"/>
            <w:noWrap w:val="0"/>
            <w:vAlign w:val="center"/>
          </w:tcPr>
          <w:p w14:paraId="663248E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14:paraId="7DB72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2554367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701" w:type="dxa"/>
            <w:noWrap w:val="0"/>
            <w:vAlign w:val="center"/>
          </w:tcPr>
          <w:p w14:paraId="71195E3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276" w:type="dxa"/>
            <w:noWrap w:val="0"/>
            <w:vAlign w:val="center"/>
          </w:tcPr>
          <w:p w14:paraId="0FBB9FC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877" w:type="dxa"/>
            <w:noWrap w:val="0"/>
            <w:vAlign w:val="center"/>
          </w:tcPr>
          <w:p w14:paraId="258AC67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2D9A203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0F32053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606" w:type="dxa"/>
            <w:noWrap w:val="0"/>
            <w:vAlign w:val="center"/>
          </w:tcPr>
          <w:p w14:paraId="5A93122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30" w:type="dxa"/>
            <w:noWrap w:val="0"/>
            <w:vAlign w:val="center"/>
          </w:tcPr>
          <w:p w14:paraId="417D9ED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00FE1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477A39A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701" w:type="dxa"/>
            <w:noWrap w:val="0"/>
            <w:vAlign w:val="center"/>
          </w:tcPr>
          <w:p w14:paraId="4D0AA98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276" w:type="dxa"/>
            <w:noWrap w:val="0"/>
            <w:vAlign w:val="center"/>
          </w:tcPr>
          <w:p w14:paraId="4A79995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877" w:type="dxa"/>
            <w:noWrap w:val="0"/>
            <w:vAlign w:val="center"/>
          </w:tcPr>
          <w:p w14:paraId="126023D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7A9BCCD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55E6D51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606" w:type="dxa"/>
            <w:noWrap w:val="0"/>
            <w:vAlign w:val="center"/>
          </w:tcPr>
          <w:p w14:paraId="56D480C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30" w:type="dxa"/>
            <w:noWrap w:val="0"/>
            <w:vAlign w:val="center"/>
          </w:tcPr>
          <w:p w14:paraId="18DC69D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bl>
    <w:p w14:paraId="20A33ED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04" w:name="第04章合同条款及格式0206"/>
      <w:bookmarkEnd w:id="104"/>
      <w:r>
        <w:rPr>
          <w:rFonts w:hint="eastAsia" w:ascii="仿宋" w:hAnsi="仿宋" w:eastAsia="仿宋" w:cs="仿宋"/>
          <w:b/>
          <w:color w:val="auto"/>
          <w:sz w:val="24"/>
          <w:szCs w:val="24"/>
        </w:rPr>
        <w:t>6　施工设备和临时设施</w:t>
      </w:r>
    </w:p>
    <w:p w14:paraId="5F265E4C">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05" w:name="_Toc18766"/>
      <w:r>
        <w:rPr>
          <w:rFonts w:hint="eastAsia" w:ascii="仿宋" w:hAnsi="仿宋" w:eastAsia="仿宋" w:cs="仿宋"/>
          <w:color w:val="auto"/>
          <w:sz w:val="24"/>
          <w:szCs w:val="24"/>
        </w:rPr>
        <w:t>6.2　发包人提供的施工设备和临时设施</w:t>
      </w:r>
      <w:bookmarkEnd w:id="105"/>
    </w:p>
    <w:p w14:paraId="4A6DD6A4">
      <w:pPr>
        <w:keepNext w:val="0"/>
        <w:keepLines w:val="0"/>
        <w:pageBreakBefore w:val="0"/>
        <w:widowControl w:val="0"/>
        <w:kinsoku/>
        <w:wordWrap/>
        <w:overflowPunct/>
        <w:topLinePunct/>
        <w:autoSpaceDE/>
        <w:autoSpaceDN/>
        <w:bidi w:val="0"/>
        <w:adjustRightInd/>
        <w:snapToGrid/>
        <w:spacing w:line="360"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(1)发包人提供的施工设备见下表：</w:t>
      </w:r>
    </w:p>
    <w:p w14:paraId="48AD0487">
      <w:pPr>
        <w:keepNext w:val="0"/>
        <w:keepLines w:val="0"/>
        <w:pageBreakBefore w:val="0"/>
        <w:widowControl w:val="0"/>
        <w:kinsoku/>
        <w:wordWrap/>
        <w:overflowPunct/>
        <w:topLinePunct/>
        <w:autoSpaceDE/>
        <w:autoSpaceDN/>
        <w:bidi w:val="0"/>
        <w:adjustRightInd/>
        <w:snapToGrid/>
        <w:spacing w:line="360" w:lineRule="auto"/>
        <w:ind w:firstLine="480"/>
        <w:textAlignment w:val="auto"/>
        <w:rPr>
          <w:rFonts w:hint="eastAsia" w:ascii="仿宋" w:hAnsi="仿宋" w:eastAsia="仿宋" w:cs="仿宋"/>
          <w:color w:val="auto"/>
          <w:sz w:val="24"/>
          <w:szCs w:val="24"/>
        </w:rPr>
      </w:pPr>
    </w:p>
    <w:p w14:paraId="43020CE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发包人提供的施工设备表(参考格式)</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9"/>
        <w:gridCol w:w="1364"/>
        <w:gridCol w:w="1191"/>
        <w:gridCol w:w="1278"/>
        <w:gridCol w:w="721"/>
        <w:gridCol w:w="1063"/>
        <w:gridCol w:w="1440"/>
        <w:gridCol w:w="688"/>
      </w:tblGrid>
      <w:tr w14:paraId="36893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595D3B8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1518" w:type="dxa"/>
            <w:noWrap w:val="0"/>
            <w:vAlign w:val="center"/>
          </w:tcPr>
          <w:p w14:paraId="79B7E10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施工设备名称</w:t>
            </w:r>
          </w:p>
        </w:tc>
        <w:tc>
          <w:tcPr>
            <w:tcW w:w="1317" w:type="dxa"/>
            <w:noWrap w:val="0"/>
            <w:vAlign w:val="center"/>
          </w:tcPr>
          <w:p w14:paraId="56C0B17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型号及规格</w:t>
            </w:r>
          </w:p>
        </w:tc>
        <w:tc>
          <w:tcPr>
            <w:tcW w:w="1418" w:type="dxa"/>
            <w:noWrap w:val="0"/>
            <w:vAlign w:val="center"/>
          </w:tcPr>
          <w:p w14:paraId="5008424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设备状况</w:t>
            </w:r>
          </w:p>
        </w:tc>
        <w:tc>
          <w:tcPr>
            <w:tcW w:w="769" w:type="dxa"/>
            <w:noWrap w:val="0"/>
            <w:vAlign w:val="center"/>
          </w:tcPr>
          <w:p w14:paraId="76EC268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168" w:type="dxa"/>
            <w:noWrap w:val="0"/>
            <w:vAlign w:val="center"/>
          </w:tcPr>
          <w:p w14:paraId="35568E3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移交地点</w:t>
            </w:r>
          </w:p>
        </w:tc>
        <w:tc>
          <w:tcPr>
            <w:tcW w:w="1606" w:type="dxa"/>
            <w:noWrap w:val="0"/>
            <w:vAlign w:val="center"/>
          </w:tcPr>
          <w:p w14:paraId="56C2959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计划移交日期</w:t>
            </w:r>
          </w:p>
        </w:tc>
        <w:tc>
          <w:tcPr>
            <w:tcW w:w="730" w:type="dxa"/>
            <w:noWrap w:val="0"/>
            <w:vAlign w:val="center"/>
          </w:tcPr>
          <w:p w14:paraId="14B72B7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备注</w:t>
            </w:r>
          </w:p>
        </w:tc>
      </w:tr>
      <w:tr w14:paraId="2667A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4130AAC9">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18" w:type="dxa"/>
            <w:noWrap w:val="0"/>
            <w:vAlign w:val="center"/>
          </w:tcPr>
          <w:p w14:paraId="5061AD4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317" w:type="dxa"/>
            <w:noWrap w:val="0"/>
            <w:vAlign w:val="center"/>
          </w:tcPr>
          <w:p w14:paraId="28C716B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0EFD134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69" w:type="dxa"/>
            <w:noWrap w:val="0"/>
            <w:vAlign w:val="center"/>
          </w:tcPr>
          <w:p w14:paraId="7D3F217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7D17A08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606" w:type="dxa"/>
            <w:noWrap w:val="0"/>
            <w:vAlign w:val="center"/>
          </w:tcPr>
          <w:p w14:paraId="13393225">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30" w:type="dxa"/>
            <w:noWrap w:val="0"/>
            <w:vAlign w:val="center"/>
          </w:tcPr>
          <w:p w14:paraId="3A3A93C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00E31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noWrap w:val="0"/>
            <w:vAlign w:val="center"/>
          </w:tcPr>
          <w:p w14:paraId="7D31C21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518" w:type="dxa"/>
            <w:noWrap w:val="0"/>
            <w:vAlign w:val="center"/>
          </w:tcPr>
          <w:p w14:paraId="22B4A19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317" w:type="dxa"/>
            <w:noWrap w:val="0"/>
            <w:vAlign w:val="center"/>
          </w:tcPr>
          <w:p w14:paraId="52544CD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418" w:type="dxa"/>
            <w:noWrap w:val="0"/>
            <w:vAlign w:val="center"/>
          </w:tcPr>
          <w:p w14:paraId="53578E0D">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69" w:type="dxa"/>
            <w:noWrap w:val="0"/>
            <w:vAlign w:val="center"/>
          </w:tcPr>
          <w:p w14:paraId="16D1656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168" w:type="dxa"/>
            <w:noWrap w:val="0"/>
            <w:vAlign w:val="center"/>
          </w:tcPr>
          <w:p w14:paraId="4AECC6D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1606" w:type="dxa"/>
            <w:noWrap w:val="0"/>
            <w:vAlign w:val="center"/>
          </w:tcPr>
          <w:p w14:paraId="5B424C5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730" w:type="dxa"/>
            <w:noWrap w:val="0"/>
            <w:vAlign w:val="center"/>
          </w:tcPr>
          <w:p w14:paraId="7B50766E">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bl>
    <w:p w14:paraId="650059E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注　设备状况栏内填写该设备的新旧程度、购进时间、已使用小时数和最近一次的大修时间。</w:t>
      </w:r>
    </w:p>
    <w:p w14:paraId="31B1CC8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(2)发包人提供的临时设施：</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5CDB02D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06" w:name="第04章合同条款及格式0207"/>
      <w:bookmarkEnd w:id="106"/>
      <w:bookmarkStart w:id="107" w:name="_Toc14521"/>
      <w:r>
        <w:rPr>
          <w:rFonts w:hint="eastAsia" w:ascii="仿宋" w:hAnsi="仿宋" w:eastAsia="仿宋" w:cs="仿宋"/>
          <w:b/>
          <w:color w:val="auto"/>
          <w:sz w:val="24"/>
          <w:szCs w:val="24"/>
        </w:rPr>
        <w:t>7　交通运输</w:t>
      </w:r>
      <w:bookmarkEnd w:id="107"/>
    </w:p>
    <w:p w14:paraId="77902ED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08" w:name="_Toc24751"/>
      <w:r>
        <w:rPr>
          <w:rFonts w:hint="eastAsia" w:ascii="仿宋" w:hAnsi="仿宋" w:eastAsia="仿宋" w:cs="仿宋"/>
          <w:color w:val="auto"/>
          <w:sz w:val="24"/>
          <w:szCs w:val="24"/>
        </w:rPr>
        <w:t>7.1　道路通行权和场外设施</w:t>
      </w:r>
      <w:bookmarkEnd w:id="108"/>
    </w:p>
    <w:p w14:paraId="444D3CE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道路通行权和场外设施的约定：</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5B2D515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09" w:name="第04章合同条款及格式0208"/>
      <w:bookmarkEnd w:id="109"/>
      <w:bookmarkStart w:id="110" w:name="_Toc18777"/>
      <w:r>
        <w:rPr>
          <w:rFonts w:hint="eastAsia" w:ascii="仿宋" w:hAnsi="仿宋" w:eastAsia="仿宋" w:cs="仿宋"/>
          <w:b/>
          <w:color w:val="auto"/>
          <w:sz w:val="24"/>
          <w:szCs w:val="24"/>
        </w:rPr>
        <w:t>8　测量放线</w:t>
      </w:r>
      <w:bookmarkEnd w:id="110"/>
    </w:p>
    <w:p w14:paraId="011F579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1" w:name="_Toc25642"/>
      <w:r>
        <w:rPr>
          <w:rFonts w:hint="eastAsia" w:ascii="仿宋" w:hAnsi="仿宋" w:eastAsia="仿宋" w:cs="仿宋"/>
          <w:color w:val="auto"/>
          <w:sz w:val="24"/>
          <w:szCs w:val="24"/>
        </w:rPr>
        <w:t>8.1　施工控制网</w:t>
      </w:r>
      <w:bookmarkEnd w:id="111"/>
    </w:p>
    <w:p w14:paraId="13B8072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8.1.1　施工控制网的约定：</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171BF081">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12" w:name="第04章合同条款及格式0209"/>
      <w:bookmarkEnd w:id="112"/>
      <w:bookmarkStart w:id="113" w:name="_Toc29177"/>
      <w:r>
        <w:rPr>
          <w:rFonts w:hint="eastAsia" w:ascii="仿宋" w:hAnsi="仿宋" w:eastAsia="仿宋" w:cs="仿宋"/>
          <w:b/>
          <w:color w:val="auto"/>
          <w:sz w:val="24"/>
          <w:szCs w:val="24"/>
        </w:rPr>
        <w:t>9　施工安全、治安保卫和环境保护</w:t>
      </w:r>
      <w:bookmarkEnd w:id="113"/>
    </w:p>
    <w:p w14:paraId="3F6563A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4" w:name="_Toc22454"/>
      <w:r>
        <w:rPr>
          <w:rFonts w:hint="eastAsia" w:ascii="仿宋" w:hAnsi="仿宋" w:eastAsia="仿宋" w:cs="仿宋"/>
          <w:color w:val="auto"/>
          <w:sz w:val="24"/>
          <w:szCs w:val="24"/>
        </w:rPr>
        <w:t>9.1　发包人的施工安全责任</w:t>
      </w:r>
      <w:bookmarkEnd w:id="114"/>
    </w:p>
    <w:p w14:paraId="25CCE03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9.1.4　发包人提供</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资料，其余资料由承包人负责收集。</w:t>
      </w:r>
    </w:p>
    <w:p w14:paraId="0511F38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5" w:name="_Toc15151"/>
      <w:r>
        <w:rPr>
          <w:rFonts w:hint="eastAsia" w:ascii="仿宋" w:hAnsi="仿宋" w:eastAsia="仿宋" w:cs="仿宋"/>
          <w:color w:val="auto"/>
          <w:sz w:val="24"/>
          <w:szCs w:val="24"/>
        </w:rPr>
        <w:t>9.2　承包人的施工安全责任</w:t>
      </w:r>
      <w:bookmarkEnd w:id="115"/>
    </w:p>
    <w:p w14:paraId="3D2789B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9.2.12　下列工程应编制专项施工方案：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。其中</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应组织专家论证和审查。</w:t>
      </w:r>
    </w:p>
    <w:p w14:paraId="5DCCD79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6" w:name="_Toc19493"/>
      <w:r>
        <w:rPr>
          <w:rFonts w:hint="eastAsia" w:ascii="仿宋" w:hAnsi="仿宋" w:eastAsia="仿宋" w:cs="仿宋"/>
          <w:color w:val="auto"/>
          <w:sz w:val="24"/>
          <w:szCs w:val="24"/>
        </w:rPr>
        <w:t>9.7　文明工地</w:t>
      </w:r>
      <w:bookmarkEnd w:id="116"/>
    </w:p>
    <w:p w14:paraId="525A2EC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9.7.1　本合同文明工地的约定：</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6E89BF9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17" w:name="第04章合同条款及格式0211"/>
      <w:bookmarkEnd w:id="117"/>
      <w:r>
        <w:rPr>
          <w:rFonts w:hint="eastAsia" w:ascii="仿宋" w:hAnsi="仿宋" w:eastAsia="仿宋" w:cs="仿宋"/>
          <w:b/>
          <w:color w:val="auto"/>
          <w:sz w:val="24"/>
          <w:szCs w:val="24"/>
        </w:rPr>
        <w:t>11　开工和竣工(完工)</w:t>
      </w:r>
    </w:p>
    <w:p w14:paraId="50942D83">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8" w:name="_Toc15056"/>
      <w:r>
        <w:rPr>
          <w:rFonts w:hint="eastAsia" w:ascii="仿宋" w:hAnsi="仿宋" w:eastAsia="仿宋" w:cs="仿宋"/>
          <w:color w:val="auto"/>
          <w:sz w:val="24"/>
          <w:szCs w:val="24"/>
        </w:rPr>
        <w:t>11.4　异常恶劣的气候条件</w:t>
      </w:r>
      <w:bookmarkEnd w:id="118"/>
    </w:p>
    <w:p w14:paraId="32C44C1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11.4.3　本合同工程界定异常恶劣气候条件的范围为：</w:t>
      </w:r>
    </w:p>
    <w:p w14:paraId="11A6199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(1)日降雨量大于　　　　mm的雨日超过　　　　天；</w:t>
      </w:r>
    </w:p>
    <w:p w14:paraId="0EA266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(2)风速大于　　　　m/s的　　　级以上台风灾害；</w:t>
      </w:r>
    </w:p>
    <w:p w14:paraId="4C7DF96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(3)日气温超过　　　　℃的高温大于　　　　天；</w:t>
      </w:r>
    </w:p>
    <w:p w14:paraId="2CE074C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(4)日气温低于　　　　℃的严寒大于　　　　天；</w:t>
      </w:r>
    </w:p>
    <w:p w14:paraId="0A8E963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(5)造成工程损坏的冰雹和大雪灾害：　　　　；</w:t>
      </w:r>
    </w:p>
    <w:p w14:paraId="537025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(6)其它异常恶劣气候灾害。</w:t>
      </w:r>
    </w:p>
    <w:p w14:paraId="74AEDE7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19" w:name="_Toc20248"/>
      <w:r>
        <w:rPr>
          <w:rFonts w:hint="eastAsia" w:ascii="仿宋" w:hAnsi="仿宋" w:eastAsia="仿宋" w:cs="仿宋"/>
          <w:color w:val="auto"/>
          <w:sz w:val="24"/>
          <w:szCs w:val="24"/>
        </w:rPr>
        <w:t>11.5　承包人工期延误</w:t>
      </w:r>
      <w:bookmarkEnd w:id="119"/>
    </w:p>
    <w:p w14:paraId="61A8738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(1)逾期完工违约金表(参考格式)。</w:t>
      </w:r>
    </w:p>
    <w:tbl>
      <w:tblPr>
        <w:tblStyle w:val="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2"/>
        <w:gridCol w:w="3285"/>
        <w:gridCol w:w="2163"/>
        <w:gridCol w:w="2024"/>
      </w:tblGrid>
      <w:tr w14:paraId="724A8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noWrap w:val="0"/>
            <w:vAlign w:val="center"/>
          </w:tcPr>
          <w:p w14:paraId="2054BEA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3570" w:type="dxa"/>
            <w:noWrap w:val="0"/>
            <w:vAlign w:val="center"/>
          </w:tcPr>
          <w:p w14:paraId="10BA101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项目及其说明</w:t>
            </w:r>
          </w:p>
        </w:tc>
        <w:tc>
          <w:tcPr>
            <w:tcW w:w="2336" w:type="dxa"/>
            <w:noWrap w:val="0"/>
            <w:vAlign w:val="center"/>
          </w:tcPr>
          <w:p w14:paraId="13086A9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要求完工日期</w:t>
            </w:r>
          </w:p>
        </w:tc>
        <w:tc>
          <w:tcPr>
            <w:tcW w:w="2173" w:type="dxa"/>
            <w:noWrap w:val="0"/>
            <w:vAlign w:val="center"/>
          </w:tcPr>
          <w:p w14:paraId="6021669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违约金(元/天)</w:t>
            </w:r>
          </w:p>
        </w:tc>
      </w:tr>
      <w:tr w14:paraId="18C46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noWrap w:val="0"/>
            <w:vAlign w:val="center"/>
          </w:tcPr>
          <w:p w14:paraId="2D0045E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3570" w:type="dxa"/>
            <w:noWrap w:val="0"/>
            <w:vAlign w:val="center"/>
          </w:tcPr>
          <w:p w14:paraId="2D2D572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2336" w:type="dxa"/>
            <w:noWrap w:val="0"/>
            <w:vAlign w:val="center"/>
          </w:tcPr>
          <w:p w14:paraId="4121686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2173" w:type="dxa"/>
            <w:noWrap w:val="0"/>
            <w:vAlign w:val="center"/>
          </w:tcPr>
          <w:p w14:paraId="3727E85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r w14:paraId="46CDC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noWrap w:val="0"/>
            <w:vAlign w:val="center"/>
          </w:tcPr>
          <w:p w14:paraId="4765D59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3570" w:type="dxa"/>
            <w:noWrap w:val="0"/>
            <w:vAlign w:val="center"/>
          </w:tcPr>
          <w:p w14:paraId="2003E2C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2336" w:type="dxa"/>
            <w:noWrap w:val="0"/>
            <w:vAlign w:val="center"/>
          </w:tcPr>
          <w:p w14:paraId="72261B6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c>
          <w:tcPr>
            <w:tcW w:w="2173" w:type="dxa"/>
            <w:noWrap w:val="0"/>
            <w:vAlign w:val="center"/>
          </w:tcPr>
          <w:p w14:paraId="52CB089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1"/>
                <w:szCs w:val="21"/>
              </w:rPr>
            </w:pPr>
          </w:p>
        </w:tc>
      </w:tr>
    </w:tbl>
    <w:p w14:paraId="1E4A9EB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(2)全部逾期完工违约金的总限额为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(不超过签约合同价的</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4E5A7ED9">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0" w:name="_Toc9125"/>
      <w:r>
        <w:rPr>
          <w:rFonts w:hint="eastAsia" w:ascii="仿宋" w:hAnsi="仿宋" w:eastAsia="仿宋" w:cs="仿宋"/>
          <w:color w:val="auto"/>
          <w:sz w:val="24"/>
          <w:szCs w:val="24"/>
        </w:rPr>
        <w:t>11.6　工期提前</w:t>
      </w:r>
      <w:bookmarkEnd w:id="120"/>
    </w:p>
    <w:p w14:paraId="4DB86AB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工期提前的奖金约定：</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167ABEB8">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21" w:name="第04章合同条款及格式0212"/>
      <w:bookmarkEnd w:id="121"/>
      <w:bookmarkStart w:id="122" w:name="_Toc26781"/>
      <w:r>
        <w:rPr>
          <w:rFonts w:hint="eastAsia" w:ascii="仿宋" w:hAnsi="仿宋" w:eastAsia="仿宋" w:cs="仿宋"/>
          <w:b/>
          <w:color w:val="auto"/>
          <w:sz w:val="24"/>
          <w:szCs w:val="24"/>
        </w:rPr>
        <w:t>12　暂停施工</w:t>
      </w:r>
      <w:bookmarkEnd w:id="122"/>
    </w:p>
    <w:p w14:paraId="2EC428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12.1　承包人暂停施工的责任</w:t>
      </w:r>
    </w:p>
    <w:p w14:paraId="23E812A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(5)承包人承担暂停施工责任的其它情形：</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72B3D69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3" w:name="_Toc20746"/>
      <w:r>
        <w:rPr>
          <w:rFonts w:hint="eastAsia" w:ascii="仿宋" w:hAnsi="仿宋" w:eastAsia="仿宋" w:cs="仿宋"/>
          <w:color w:val="auto"/>
          <w:sz w:val="24"/>
          <w:szCs w:val="24"/>
        </w:rPr>
        <w:t>12.2　发包人暂停施工的责任</w:t>
      </w:r>
      <w:bookmarkEnd w:id="123"/>
    </w:p>
    <w:p w14:paraId="59FC56B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(3)发包人承担暂停施工责任的其它情形：</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w:t>
      </w:r>
    </w:p>
    <w:p w14:paraId="2006D2F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24" w:name="第04章合同条款及格式0213"/>
      <w:bookmarkEnd w:id="124"/>
      <w:bookmarkStart w:id="125" w:name="_Toc16880"/>
      <w:r>
        <w:rPr>
          <w:rFonts w:hint="eastAsia" w:ascii="仿宋" w:hAnsi="仿宋" w:eastAsia="仿宋" w:cs="仿宋"/>
          <w:b/>
          <w:color w:val="auto"/>
          <w:sz w:val="24"/>
          <w:szCs w:val="24"/>
        </w:rPr>
        <w:t>13　工程质量</w:t>
      </w:r>
      <w:bookmarkEnd w:id="125"/>
    </w:p>
    <w:p w14:paraId="5E421DF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　质量评定</w:t>
      </w:r>
    </w:p>
    <w:p w14:paraId="3B8BA35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13.7.4　重要隐蔽单元工程和关键部位单元工程质量评定的约定：　　　　。</w:t>
      </w:r>
    </w:p>
    <w:p w14:paraId="25AD2ED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13.7.7　工程合格标准为：　　　　　；优良标准为：　　　　。达到优良的奖金为：　　　　　。</w:t>
      </w:r>
    </w:p>
    <w:p w14:paraId="44CC604E">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6" w:name="_Toc16423"/>
      <w:r>
        <w:rPr>
          <w:rFonts w:hint="eastAsia" w:ascii="仿宋" w:hAnsi="仿宋" w:eastAsia="仿宋" w:cs="仿宋"/>
          <w:color w:val="auto"/>
          <w:sz w:val="24"/>
          <w:szCs w:val="24"/>
        </w:rPr>
        <w:t>13.8　质量事故处理</w:t>
      </w:r>
      <w:bookmarkEnd w:id="126"/>
    </w:p>
    <w:p w14:paraId="485CDA7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13.8.4　工程竣工验收时，　　　　　向竣工验收委员会汇报并提交历次质量缺陷处理的备案资料。</w:t>
      </w:r>
    </w:p>
    <w:p w14:paraId="44DDA9C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27" w:name="第04章合同条款及格式0214"/>
      <w:bookmarkEnd w:id="127"/>
      <w:r>
        <w:rPr>
          <w:rFonts w:hint="eastAsia" w:ascii="仿宋" w:hAnsi="仿宋" w:eastAsia="仿宋" w:cs="仿宋"/>
          <w:b/>
          <w:color w:val="auto"/>
          <w:sz w:val="24"/>
          <w:szCs w:val="24"/>
        </w:rPr>
        <w:t>14　试验和检验</w:t>
      </w:r>
    </w:p>
    <w:p w14:paraId="35282A2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　材料、工程设备和工程的试验和检验</w:t>
      </w:r>
    </w:p>
    <w:p w14:paraId="2D7EB3B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14.1.5　水工金属结构、启闭机及机电产品进场后的交货检查和验收中，承包人负责　　　　　。</w:t>
      </w:r>
    </w:p>
    <w:p w14:paraId="50F33B9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14.1.6　本工程实行见证取样的试块、试件及有关材料：　　　　　　。</w:t>
      </w:r>
    </w:p>
    <w:p w14:paraId="5E2556C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28" w:name="第04章合同条款及格式0215"/>
      <w:bookmarkEnd w:id="128"/>
      <w:r>
        <w:rPr>
          <w:rFonts w:hint="eastAsia" w:ascii="仿宋" w:hAnsi="仿宋" w:eastAsia="仿宋" w:cs="仿宋"/>
          <w:b/>
          <w:color w:val="auto"/>
          <w:sz w:val="24"/>
          <w:szCs w:val="24"/>
        </w:rPr>
        <w:t>15　变更</w:t>
      </w:r>
    </w:p>
    <w:p w14:paraId="51724E4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29" w:name="_Toc9336"/>
      <w:r>
        <w:rPr>
          <w:rFonts w:hint="eastAsia" w:ascii="仿宋" w:hAnsi="仿宋" w:eastAsia="仿宋" w:cs="仿宋"/>
          <w:color w:val="auto"/>
          <w:sz w:val="24"/>
          <w:szCs w:val="24"/>
        </w:rPr>
        <w:t>15.1　变更的范围和内容</w:t>
      </w:r>
      <w:bookmarkEnd w:id="129"/>
    </w:p>
    <w:p w14:paraId="2E267FA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(6)增加或减少合同中关键项目的工程量超过其工程总量的　　　　%，关键项目：　　　　，单价调整方式：　　　　　。</w:t>
      </w:r>
    </w:p>
    <w:p w14:paraId="73DC74AB">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0" w:name="_Toc9619"/>
      <w:r>
        <w:rPr>
          <w:rFonts w:hint="eastAsia" w:ascii="仿宋" w:hAnsi="仿宋" w:eastAsia="仿宋" w:cs="仿宋"/>
          <w:color w:val="auto"/>
          <w:sz w:val="24"/>
          <w:szCs w:val="24"/>
        </w:rPr>
        <w:t>15.5　承包人的合理化建议</w:t>
      </w:r>
      <w:bookmarkEnd w:id="130"/>
    </w:p>
    <w:p w14:paraId="7F8835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15.5.2　承包人实现合理化建议的奖励金额为：　　　　　　　　。</w:t>
      </w:r>
    </w:p>
    <w:p w14:paraId="0AB242E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1" w:name="_Toc30537"/>
      <w:r>
        <w:rPr>
          <w:rFonts w:hint="eastAsia" w:ascii="仿宋" w:hAnsi="仿宋" w:eastAsia="仿宋" w:cs="仿宋"/>
          <w:color w:val="auto"/>
          <w:sz w:val="24"/>
          <w:szCs w:val="24"/>
        </w:rPr>
        <w:t>15.8　暂估价</w:t>
      </w:r>
      <w:bookmarkEnd w:id="131"/>
    </w:p>
    <w:p w14:paraId="3816FA5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15.8.1　(1)发包人和承包人组织招标的暂估价项目：　　　　　(签约后填入)；发包人组织招标的暂估价项目：　　　　　(签约后填入)。</w:t>
      </w:r>
    </w:p>
    <w:p w14:paraId="065CD01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(2)发包人和承包人以招标方式选择暂估价项目供应商或分包人时，双方的权利义务关系：　　　　　。</w:t>
      </w:r>
    </w:p>
    <w:p w14:paraId="6F19E842">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32" w:name="第04章合同条款及格式0216"/>
      <w:bookmarkEnd w:id="132"/>
      <w:bookmarkStart w:id="133" w:name="_Toc9604"/>
      <w:r>
        <w:rPr>
          <w:rFonts w:hint="eastAsia" w:ascii="仿宋" w:hAnsi="仿宋" w:eastAsia="仿宋" w:cs="仿宋"/>
          <w:b/>
          <w:color w:val="auto"/>
          <w:sz w:val="24"/>
          <w:szCs w:val="24"/>
        </w:rPr>
        <w:t>16　价格调整</w:t>
      </w:r>
      <w:bookmarkEnd w:id="133"/>
    </w:p>
    <w:p w14:paraId="53AED48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16.1　物价波动引起的价格调整</w:t>
      </w:r>
    </w:p>
    <w:p w14:paraId="39AA154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物价波动引起的价格调整方式：　　　　。</w:t>
      </w:r>
    </w:p>
    <w:p w14:paraId="5FD3CDC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16.1.2　采用造价信息调整价格差额</w:t>
      </w:r>
    </w:p>
    <w:p w14:paraId="3962F91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工程造价信息的来源：　　　　　。</w:t>
      </w:r>
    </w:p>
    <w:p w14:paraId="0E0218E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价格调整的项目和系数：　　　　　。</w:t>
      </w:r>
    </w:p>
    <w:p w14:paraId="41E8247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34" w:name="第04章合同条款及格式0217"/>
      <w:bookmarkEnd w:id="134"/>
      <w:r>
        <w:rPr>
          <w:rFonts w:hint="eastAsia" w:ascii="仿宋" w:hAnsi="仿宋" w:eastAsia="仿宋" w:cs="仿宋"/>
          <w:b/>
          <w:color w:val="auto"/>
          <w:sz w:val="24"/>
          <w:szCs w:val="24"/>
        </w:rPr>
        <w:t>17　计量与支付</w:t>
      </w:r>
    </w:p>
    <w:p w14:paraId="4448491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5" w:name="_Toc2409"/>
      <w:r>
        <w:rPr>
          <w:rFonts w:hint="eastAsia" w:ascii="仿宋" w:hAnsi="仿宋" w:eastAsia="仿宋" w:cs="仿宋"/>
          <w:color w:val="auto"/>
          <w:sz w:val="24"/>
          <w:szCs w:val="24"/>
        </w:rPr>
        <w:t>17.2　预付款</w:t>
      </w:r>
      <w:bookmarkEnd w:id="135"/>
    </w:p>
    <w:p w14:paraId="243CFC0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17.2.1　预付款：</w:t>
      </w:r>
    </w:p>
    <w:p w14:paraId="2D1EC3A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(1)工程预付款的总金额为签约合同价的　　　　%，分　　　　次支付给承包人。</w:t>
      </w:r>
    </w:p>
    <w:p w14:paraId="310F42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各次预付款的支付额度和付款时间为：</w:t>
      </w:r>
    </w:p>
    <w:p w14:paraId="6C0C0F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1)第一次预付款金额为工程预付款总金额的　　　%，付款时间应在合同协议书签订后，由承包人向发包人提交了发包人认可的工程预付款担保，并经监理人出具付款证书报送发包人批准后14天内予以支付。</w:t>
      </w:r>
    </w:p>
    <w:p w14:paraId="0ABA15A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2)第二次预付款金额为工程预付款总金额的　　%。付款时间需待承包人主要设备进入工地后，其估算价值已达到本次预付款金额时，由承包人提出书面申请，经监理人核实后出具付款证书报送发包人批准后14天内予以支付。</w:t>
      </w:r>
    </w:p>
    <w:p w14:paraId="08798EF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3)第三次预付款……。</w:t>
      </w:r>
    </w:p>
    <w:p w14:paraId="654E83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w:t>
      </w:r>
    </w:p>
    <w:p w14:paraId="7C0A96B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(2)工程材料预付款的额度和预付办法约定为：　　　。</w:t>
      </w:r>
    </w:p>
    <w:p w14:paraId="3CB54E3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17.2.2　预付款保函(担保)</w:t>
      </w:r>
    </w:p>
    <w:p w14:paraId="4C4C530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(2)工程材料预付款的担保约定为：　　　。</w:t>
      </w:r>
    </w:p>
    <w:p w14:paraId="53CD6D0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17.2.3　预付款的扣回与还清</w:t>
      </w:r>
    </w:p>
    <w:p w14:paraId="5BDBC8A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(1)工程预付款在合同累计完成金额达到签约合同价的　　%时开始扣款，直至合同累计完成金额达到签约合同价的%时全部扣清。</w:t>
      </w:r>
    </w:p>
    <w:p w14:paraId="0091A26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QUOTE </w:instrText>
      </w:r>
      <w:r>
        <w:rPr>
          <w:rFonts w:hint="eastAsia" w:ascii="仿宋" w:hAnsi="仿宋" w:eastAsia="仿宋" w:cs="仿宋"/>
          <w:color w:val="auto"/>
          <w:position w:val="-24"/>
          <w:sz w:val="24"/>
          <w:szCs w:val="24"/>
        </w:rPr>
        <w:pict>
          <v:shape id="_x0000_i1025" o:spt="75" type="#_x0000_t75" style="height:31.5pt;width:99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text-fit&quot; w:percent=&quot;188&quot;/&gt;&lt;w:doNotEmbedSystemFonts/&gt;&lt;w:bordersDontSurroundHeader/&gt;&lt;w:bordersDontSurroundFooter/&gt;&lt;w:hideSpellingErrors/&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D57EE&quot;/&gt;&lt;wsp:rsid wsp:val=&quot;000143FB&quot;/&gt;&lt;wsp:rsid wsp:val=&quot;00014C8B&quot;/&gt;&lt;wsp:rsid wsp:val=&quot;00020790&quot;/&gt;&lt;wsp:rsid wsp:val=&quot;000244D7&quot;/&gt;&lt;wsp:rsid wsp:val=&quot;0002697F&quot;/&gt;&lt;wsp:rsid wsp:val=&quot;00027877&quot;/&gt;&lt;wsp:rsid wsp:val=&quot;00030315&quot;/&gt;&lt;wsp:rsid wsp:val=&quot;00032EC3&quot;/&gt;&lt;wsp:rsid wsp:val=&quot;00035706&quot;/&gt;&lt;wsp:rsid wsp:val=&quot;00036F0D&quot;/&gt;&lt;wsp:rsid wsp:val=&quot;00040951&quot;/&gt;&lt;wsp:rsid wsp:val=&quot;000513EE&quot;/&gt;&lt;wsp:rsid wsp:val=&quot;000579AC&quot;/&gt;&lt;wsp:rsid wsp:val=&quot;000604A6&quot;/&gt;&lt;wsp:rsid wsp:val=&quot;00060A62&quot;/&gt;&lt;wsp:rsid wsp:val=&quot;0006472F&quot;/&gt;&lt;wsp:rsid wsp:val=&quot;00064B5A&quot;/&gt;&lt;wsp:rsid wsp:val=&quot;000673D8&quot;/&gt;&lt;wsp:rsid wsp:val=&quot;00070B9C&quot;/&gt;&lt;wsp:rsid wsp:val=&quot;000729B4&quot;/&gt;&lt;wsp:rsid wsp:val=&quot;00073EC7&quot;/&gt;&lt;wsp:rsid wsp:val=&quot;000753F2&quot;/&gt;&lt;wsp:rsid wsp:val=&quot;000839C3&quot;/&gt;&lt;wsp:rsid wsp:val=&quot;00090E83&quot;/&gt;&lt;wsp:rsid wsp:val=&quot;0009326D&quot;/&gt;&lt;wsp:rsid wsp:val=&quot;00096FEA&quot;/&gt;&lt;wsp:rsid wsp:val=&quot;000A18B0&quot;/&gt;&lt;wsp:rsid wsp:val=&quot;000A6F4F&quot;/&gt;&lt;wsp:rsid wsp:val=&quot;000B2878&quot;/&gt;&lt;wsp:rsid wsp:val=&quot;000B676F&quot;/&gt;&lt;wsp:rsid wsp:val=&quot;000C0351&quot;/&gt;&lt;wsp:rsid wsp:val=&quot;000C1C90&quot;/&gt;&lt;wsp:rsid wsp:val=&quot;000C7193&quot;/&gt;&lt;wsp:rsid wsp:val=&quot;000D155F&quot;/&gt;&lt;wsp:rsid wsp:val=&quot;000D1D74&quot;/&gt;&lt;wsp:rsid wsp:val=&quot;000D57EE&quot;/&gt;&lt;wsp:rsid wsp:val=&quot;000D60ED&quot;/&gt;&lt;wsp:rsid wsp:val=&quot;000E1EEE&quot;/&gt;&lt;wsp:rsid wsp:val=&quot;000E5FB4&quot;/&gt;&lt;wsp:rsid wsp:val=&quot;000F030A&quot;/&gt;&lt;wsp:rsid wsp:val=&quot;000F1980&quot;/&gt;&lt;wsp:rsid wsp:val=&quot;000F6FAE&quot;/&gt;&lt;wsp:rsid wsp:val=&quot;00101332&quot;/&gt;&lt;wsp:rsid wsp:val=&quot;0010179B&quot;/&gt;&lt;wsp:rsid wsp:val=&quot;00110F48&quot;/&gt;&lt;wsp:rsid wsp:val=&quot;001119A3&quot;/&gt;&lt;wsp:rsid wsp:val=&quot;00115B0B&quot;/&gt;&lt;wsp:rsid wsp:val=&quot;00134CD7&quot;/&gt;&lt;wsp:rsid wsp:val=&quot;001354CA&quot;/&gt;&lt;wsp:rsid wsp:val=&quot;001423FD&quot;/&gt;&lt;wsp:rsid wsp:val=&quot;00142E3D&quot;/&gt;&lt;wsp:rsid wsp:val=&quot;001436D0&quot;/&gt;&lt;wsp:rsid wsp:val=&quot;00147AA1&quot;/&gt;&lt;wsp:rsid wsp:val=&quot;001524B1&quot;/&gt;&lt;wsp:rsid wsp:val=&quot;00154C76&quot;/&gt;&lt;wsp:rsid wsp:val=&quot;00163AC7&quot;/&gt;&lt;wsp:rsid wsp:val=&quot;00167705&quot;/&gt;&lt;wsp:rsid wsp:val=&quot;00167E6C&quot;/&gt;&lt;wsp:rsid wsp:val=&quot;001701B3&quot;/&gt;&lt;wsp:rsid wsp:val=&quot;00173117&quot;/&gt;&lt;wsp:rsid wsp:val=&quot;0017357C&quot;/&gt;&lt;wsp:rsid wsp:val=&quot;00175FC2&quot;/&gt;&lt;wsp:rsid wsp:val=&quot;0018685E&quot;/&gt;&lt;wsp:rsid wsp:val=&quot;00187473&quot;/&gt;&lt;wsp:rsid wsp:val=&quot;0019016A&quot;/&gt;&lt;wsp:rsid wsp:val=&quot;00190AED&quot;/&gt;&lt;wsp:rsid wsp:val=&quot;00192BBD&quot;/&gt;&lt;wsp:rsid wsp:val=&quot;00195538&quot;/&gt;&lt;wsp:rsid wsp:val=&quot;001B17B3&quot;/&gt;&lt;wsp:rsid wsp:val=&quot;001B191F&quot;/&gt;&lt;wsp:rsid wsp:val=&quot;001B39B3&quot;/&gt;&lt;wsp:rsid wsp:val=&quot;001B3D2A&quot;/&gt;&lt;wsp:rsid wsp:val=&quot;001D0C69&quot;/&gt;&lt;wsp:rsid wsp:val=&quot;001D14C2&quot;/&gt;&lt;wsp:rsid wsp:val=&quot;001E18DE&quot;/&gt;&lt;wsp:rsid wsp:val=&quot;001F02F3&quot;/&gt;&lt;wsp:rsid wsp:val=&quot;001F3487&quot;/&gt;&lt;wsp:rsid wsp:val=&quot;0020261D&quot;/&gt;&lt;wsp:rsid wsp:val=&quot;00206894&quot;/&gt;&lt;wsp:rsid wsp:val=&quot;00216FAF&quot;/&gt;&lt;wsp:rsid wsp:val=&quot;00217683&quot;/&gt;&lt;wsp:rsid wsp:val=&quot;00217694&quot;/&gt;&lt;wsp:rsid wsp:val=&quot;00217A9B&quot;/&gt;&lt;wsp:rsid wsp:val=&quot;00221835&quot;/&gt;&lt;wsp:rsid wsp:val=&quot;0022566D&quot;/&gt;&lt;wsp:rsid wsp:val=&quot;00227CC3&quot;/&gt;&lt;wsp:rsid wsp:val=&quot;00231C4B&quot;/&gt;&lt;wsp:rsid wsp:val=&quot;00237EBE&quot;/&gt;&lt;wsp:rsid wsp:val=&quot;002435AC&quot;/&gt;&lt;wsp:rsid wsp:val=&quot;00243F71&quot;/&gt;&lt;wsp:rsid wsp:val=&quot;00253142&quot;/&gt;&lt;wsp:rsid wsp:val=&quot;0026293E&quot;/&gt;&lt;wsp:rsid wsp:val=&quot;00263EC0&quot;/&gt;&lt;wsp:rsid wsp:val=&quot;00273896&quot;/&gt;&lt;wsp:rsid wsp:val=&quot;00273E53&quot;/&gt;&lt;wsp:rsid wsp:val=&quot;002A4944&quot;/&gt;&lt;wsp:rsid wsp:val=&quot;002A578C&quot;/&gt;&lt;wsp:rsid wsp:val=&quot;002A6999&quot;/&gt;&lt;wsp:rsid wsp:val=&quot;002B0B93&quot;/&gt;&lt;wsp:rsid wsp:val=&quot;002B2402&quot;/&gt;&lt;wsp:rsid wsp:val=&quot;002B4203&quot;/&gt;&lt;wsp:rsid wsp:val=&quot;002B4B6C&quot;/&gt;&lt;wsp:rsid wsp:val=&quot;002C70A0&quot;/&gt;&lt;wsp:rsid wsp:val=&quot;002C712F&quot;/&gt;&lt;wsp:rsid wsp:val=&quot;002D3F5E&quot;/&gt;&lt;wsp:rsid wsp:val=&quot;002D66FE&quot;/&gt;&lt;wsp:rsid wsp:val=&quot;002D6DCF&quot;/&gt;&lt;wsp:rsid wsp:val=&quot;002E271D&quot;/&gt;&lt;wsp:rsid wsp:val=&quot;002F238B&quot;/&gt;&lt;wsp:rsid wsp:val=&quot;002F28A4&quot;/&gt;&lt;wsp:rsid wsp:val=&quot;002F472B&quot;/&gt;&lt;wsp:rsid wsp:val=&quot;002F5ABE&quot;/&gt;&lt;wsp:rsid wsp:val=&quot;00303120&quot;/&gt;&lt;wsp:rsid wsp:val=&quot;003034FB&quot;/&gt;&lt;wsp:rsid wsp:val=&quot;00311A79&quot;/&gt;&lt;wsp:rsid wsp:val=&quot;00311AC1&quot;/&gt;&lt;wsp:rsid wsp:val=&quot;00312F2D&quot;/&gt;&lt;wsp:rsid wsp:val=&quot;0032386C&quot;/&gt;&lt;wsp:rsid wsp:val=&quot;0032640A&quot;/&gt;&lt;wsp:rsid wsp:val=&quot;00330C8A&quot;/&gt;&lt;wsp:rsid wsp:val=&quot;00330E37&quot;/&gt;&lt;wsp:rsid wsp:val=&quot;00334111&quot;/&gt;&lt;wsp:rsid wsp:val=&quot;0033443D&quot;/&gt;&lt;wsp:rsid wsp:val=&quot;003452A6&quot;/&gt;&lt;wsp:rsid wsp:val=&quot;003557A3&quot;/&gt;&lt;wsp:rsid wsp:val=&quot;00370533&quot;/&gt;&lt;wsp:rsid wsp:val=&quot;00374479&quot;/&gt;&lt;wsp:rsid wsp:val=&quot;00384E0D&quot;/&gt;&lt;wsp:rsid wsp:val=&quot;003873C7&quot;/&gt;&lt;wsp:rsid wsp:val=&quot;00390909&quot;/&gt;&lt;wsp:rsid wsp:val=&quot;00392823&quot;/&gt;&lt;wsp:rsid wsp:val=&quot;00392D7C&quot;/&gt;&lt;wsp:rsid wsp:val=&quot;00395E0D&quot;/&gt;&lt;wsp:rsid wsp:val=&quot;003A0B1A&quot;/&gt;&lt;wsp:rsid wsp:val=&quot;003A296A&quot;/&gt;&lt;wsp:rsid wsp:val=&quot;003A5DD9&quot;/&gt;&lt;wsp:rsid wsp:val=&quot;003A6803&quot;/&gt;&lt;wsp:rsid wsp:val=&quot;003B4DF6&quot;/&gt;&lt;wsp:rsid wsp:val=&quot;003C0686&quot;/&gt;&lt;wsp:rsid wsp:val=&quot;003C19E1&quot;/&gt;&lt;wsp:rsid wsp:val=&quot;003C1B0E&quot;/&gt;&lt;wsp:rsid wsp:val=&quot;003C3490&quot;/&gt;&lt;wsp:rsid wsp:val=&quot;003C4775&quot;/&gt;&lt;wsp:rsid wsp:val=&quot;003C4A16&quot;/&gt;&lt;wsp:rsid wsp:val=&quot;003D4F30&quot;/&gt;&lt;wsp:rsid wsp:val=&quot;003E782D&quot;/&gt;&lt;wsp:rsid wsp:val=&quot;003F115A&quot;/&gt;&lt;wsp:rsid wsp:val=&quot;003F38C1&quot;/&gt;&lt;wsp:rsid wsp:val=&quot;003F6052&quot;/&gt;&lt;wsp:rsid wsp:val=&quot;004007DB&quot;/&gt;&lt;wsp:rsid wsp:val=&quot;004042F9&quot;/&gt;&lt;wsp:rsid wsp:val=&quot;0040519B&quot;/&gt;&lt;wsp:rsid wsp:val=&quot;00407207&quot;/&gt;&lt;wsp:rsid wsp:val=&quot;004121CA&quot;/&gt;&lt;wsp:rsid wsp:val=&quot;004148C4&quot;/&gt;&lt;wsp:rsid wsp:val=&quot;00415416&quot;/&gt;&lt;wsp:rsid wsp:val=&quot;0041587E&quot;/&gt;&lt;wsp:rsid wsp:val=&quot;00415F6E&quot;/&gt;&lt;wsp:rsid wsp:val=&quot;0042357F&quot;/&gt;&lt;wsp:rsid wsp:val=&quot;00426AA5&quot;/&gt;&lt;wsp:rsid wsp:val=&quot;00432084&quot;/&gt;&lt;wsp:rsid wsp:val=&quot;004326A1&quot;/&gt;&lt;wsp:rsid wsp:val=&quot;00440A75&quot;/&gt;&lt;wsp:rsid wsp:val=&quot;0044506E&quot;/&gt;&lt;wsp:rsid wsp:val=&quot;00445CD5&quot;/&gt;&lt;wsp:rsid wsp:val=&quot;00451DB4&quot;/&gt;&lt;wsp:rsid wsp:val=&quot;00457601&quot;/&gt;&lt;wsp:rsid wsp:val=&quot;004660D1&quot;/&gt;&lt;wsp:rsid wsp:val=&quot;00471E99&quot;/&gt;&lt;wsp:rsid wsp:val=&quot;00471F74&quot;/&gt;&lt;wsp:rsid wsp:val=&quot;004724CF&quot;/&gt;&lt;wsp:rsid wsp:val=&quot;0048051F&quot;/&gt;&lt;wsp:rsid wsp:val=&quot;004821B3&quot;/&gt;&lt;wsp:rsid wsp:val=&quot;0048239C&quot;/&gt;&lt;wsp:rsid wsp:val=&quot;00487E37&quot;/&gt;&lt;wsp:rsid wsp:val=&quot;0049107A&quot;/&gt;&lt;wsp:rsid wsp:val=&quot;00494967&quot;/&gt;&lt;wsp:rsid wsp:val=&quot;00494995&quot;/&gt;&lt;wsp:rsid wsp:val=&quot;00494DB4&quot;/&gt;&lt;wsp:rsid wsp:val=&quot;004B3B62&quot;/&gt;&lt;wsp:rsid wsp:val=&quot;004B4343&quot;/&gt;&lt;wsp:rsid wsp:val=&quot;004B4B48&quot;/&gt;&lt;wsp:rsid wsp:val=&quot;004C6D8A&quot;/&gt;&lt;wsp:rsid wsp:val=&quot;004C7030&quot;/&gt;&lt;wsp:rsid wsp:val=&quot;004D0958&quot;/&gt;&lt;wsp:rsid wsp:val=&quot;004D55BA&quot;/&gt;&lt;wsp:rsid wsp:val=&quot;004D6A41&quot;/&gt;&lt;wsp:rsid wsp:val=&quot;004E1976&quot;/&gt;&lt;wsp:rsid wsp:val=&quot;004E50AF&quot;/&gt;&lt;wsp:rsid wsp:val=&quot;004E563B&quot;/&gt;&lt;wsp:rsid wsp:val=&quot;004E5DA9&quot;/&gt;&lt;wsp:rsid wsp:val=&quot;004E683F&quot;/&gt;&lt;wsp:rsid wsp:val=&quot;0051218F&quot;/&gt;&lt;wsp:rsid wsp:val=&quot;005147D7&quot;/&gt;&lt;wsp:rsid wsp:val=&quot;00517576&quot;/&gt;&lt;wsp:rsid wsp:val=&quot;00523C67&quot;/&gt;&lt;wsp:rsid wsp:val=&quot;0052596B&quot;/&gt;&lt;wsp:rsid wsp:val=&quot;00533B9E&quot;/&gt;&lt;wsp:rsid wsp:val=&quot;00533C02&quot;/&gt;&lt;wsp:rsid wsp:val=&quot;005474B3&quot;/&gt;&lt;wsp:rsid wsp:val=&quot;005478B1&quot;/&gt;&lt;wsp:rsid wsp:val=&quot;005508B0&quot;/&gt;&lt;wsp:rsid wsp:val=&quot;005539AE&quot;/&gt;&lt;wsp:rsid wsp:val=&quot;00553D73&quot;/&gt;&lt;wsp:rsid wsp:val=&quot;00554412&quot;/&gt;&lt;wsp:rsid wsp:val=&quot;00560211&quot;/&gt;&lt;wsp:rsid wsp:val=&quot;005648D2&quot;/&gt;&lt;wsp:rsid wsp:val=&quot;00564DE5&quot;/&gt;&lt;wsp:rsid wsp:val=&quot;00571235&quot;/&gt;&lt;wsp:rsid wsp:val=&quot;0057200B&quot;/&gt;&lt;wsp:rsid wsp:val=&quot;00573CD3&quot;/&gt;&lt;wsp:rsid wsp:val=&quot;00573DF0&quot;/&gt;&lt;wsp:rsid wsp:val=&quot;00574069&quot;/&gt;&lt;wsp:rsid wsp:val=&quot;00582600&quot;/&gt;&lt;wsp:rsid wsp:val=&quot;00583781&quot;/&gt;&lt;wsp:rsid wsp:val=&quot;005928F9&quot;/&gt;&lt;wsp:rsid wsp:val=&quot;00595B8E&quot;/&gt;&lt;wsp:rsid wsp:val=&quot;00597BC5&quot;/&gt;&lt;wsp:rsid wsp:val=&quot;005A07A2&quot;/&gt;&lt;wsp:rsid wsp:val=&quot;005A2134&quot;/&gt;&lt;wsp:rsid wsp:val=&quot;005A2198&quot;/&gt;&lt;wsp:rsid wsp:val=&quot;005B20E3&quot;/&gt;&lt;wsp:rsid wsp:val=&quot;005C219B&quot;/&gt;&lt;wsp:rsid wsp:val=&quot;005C21AA&quot;/&gt;&lt;wsp:rsid wsp:val=&quot;005C30CF&quot;/&gt;&lt;wsp:rsid wsp:val=&quot;005C3112&quot;/&gt;&lt;wsp:rsid wsp:val=&quot;005C6011&quot;/&gt;&lt;wsp:rsid wsp:val=&quot;005D06F9&quot;/&gt;&lt;wsp:rsid wsp:val=&quot;005D0AD3&quot;/&gt;&lt;wsp:rsid wsp:val=&quot;005D18D9&quot;/&gt;&lt;wsp:rsid wsp:val=&quot;005D2263&quot;/&gt;&lt;wsp:rsid wsp:val=&quot;005D2CBB&quot;/&gt;&lt;wsp:rsid wsp:val=&quot;005D4A57&quot;/&gt;&lt;wsp:rsid wsp:val=&quot;005E231D&quot;/&gt;&lt;wsp:rsid wsp:val=&quot;005E439B&quot;/&gt;&lt;wsp:rsid wsp:val=&quot;005E463B&quot;/&gt;&lt;wsp:rsid wsp:val=&quot;005E6123&quot;/&gt;&lt;wsp:rsid wsp:val=&quot;005F628F&quot;/&gt;&lt;wsp:rsid wsp:val=&quot;00601C1C&quot;/&gt;&lt;wsp:rsid wsp:val=&quot;0060221F&quot;/&gt;&lt;wsp:rsid wsp:val=&quot;00602DD8&quot;/&gt;&lt;wsp:rsid wsp:val=&quot;00603B24&quot;/&gt;&lt;wsp:rsid wsp:val=&quot;00604DCD&quot;/&gt;&lt;wsp:rsid wsp:val=&quot;00605815&quot;/&gt;&lt;wsp:rsid wsp:val=&quot;00607BEB&quot;/&gt;&lt;wsp:rsid wsp:val=&quot;00623E84&quot;/&gt;&lt;wsp:rsid wsp:val=&quot;00632614&quot;/&gt;&lt;wsp:rsid wsp:val=&quot;00633E0C&quot;/&gt;&lt;wsp:rsid wsp:val=&quot;006406CF&quot;/&gt;&lt;wsp:rsid wsp:val=&quot;00642B61&quot;/&gt;&lt;wsp:rsid wsp:val=&quot;00651FDE&quot;/&gt;&lt;wsp:rsid wsp:val=&quot;006530AB&quot;/&gt;&lt;wsp:rsid wsp:val=&quot;00663D4A&quot;/&gt;&lt;wsp:rsid wsp:val=&quot;00670AE2&quot;/&gt;&lt;wsp:rsid wsp:val=&quot;006726AE&quot;/&gt;&lt;wsp:rsid wsp:val=&quot;0067433C&quot;/&gt;&lt;wsp:rsid wsp:val=&quot;00685518&quot;/&gt;&lt;wsp:rsid wsp:val=&quot;00690C8C&quot;/&gt;&lt;wsp:rsid wsp:val=&quot;006B4255&quot;/&gt;&lt;wsp:rsid wsp:val=&quot;006B622F&quot;/&gt;&lt;wsp:rsid wsp:val=&quot;006D4B9D&quot;/&gt;&lt;wsp:rsid wsp:val=&quot;006E1017&quot;/&gt;&lt;wsp:rsid wsp:val=&quot;006F218F&quot;/&gt;&lt;wsp:rsid wsp:val=&quot;006F797F&quot;/&gt;&lt;wsp:rsid wsp:val=&quot;00704A4C&quot;/&gt;&lt;wsp:rsid wsp:val=&quot;00706B09&quot;/&gt;&lt;wsp:rsid wsp:val=&quot;00710241&quot;/&gt;&lt;wsp:rsid wsp:val=&quot;00710416&quot;/&gt;&lt;wsp:rsid wsp:val=&quot;007115F9&quot;/&gt;&lt;wsp:rsid wsp:val=&quot;00715B58&quot;/&gt;&lt;wsp:rsid wsp:val=&quot;007179F3&quot;/&gt;&lt;wsp:rsid wsp:val=&quot;007239BD&quot;/&gt;&lt;wsp:rsid wsp:val=&quot;00724982&quot;/&gt;&lt;wsp:rsid wsp:val=&quot;00742197&quot;/&gt;&lt;wsp:rsid wsp:val=&quot;00743A22&quot;/&gt;&lt;wsp:rsid wsp:val=&quot;0075222B&quot;/&gt;&lt;wsp:rsid wsp:val=&quot;0075414C&quot;/&gt;&lt;wsp:rsid wsp:val=&quot;0076388B&quot;/&gt;&lt;wsp:rsid wsp:val=&quot;00766FE7&quot;/&gt;&lt;wsp:rsid wsp:val=&quot;00775FFB&quot;/&gt;&lt;wsp:rsid wsp:val=&quot;0078704B&quot;/&gt;&lt;wsp:rsid wsp:val=&quot;0079167C&quot;/&gt;&lt;wsp:rsid wsp:val=&quot;00794214&quot;/&gt;&lt;wsp:rsid wsp:val=&quot;007B40D5&quot;/&gt;&lt;wsp:rsid wsp:val=&quot;007C0311&quot;/&gt;&lt;wsp:rsid wsp:val=&quot;007D0F15&quot;/&gt;&lt;wsp:rsid wsp:val=&quot;007D7AFF&quot;/&gt;&lt;wsp:rsid wsp:val=&quot;007E411B&quot;/&gt;&lt;wsp:rsid wsp:val=&quot;007E7561&quot;/&gt;&lt;wsp:rsid wsp:val=&quot;007F4178&quot;/&gt;&lt;wsp:rsid wsp:val=&quot;007F554F&quot;/&gt;&lt;wsp:rsid wsp:val=&quot;007F74E4&quot;/&gt;&lt;wsp:rsid wsp:val=&quot;007F76E0&quot;/&gt;&lt;wsp:rsid wsp:val=&quot;008031FE&quot;/&gt;&lt;wsp:rsid wsp:val=&quot;008042E6&quot;/&gt;&lt;wsp:rsid wsp:val=&quot;008068EF&quot;/&gt;&lt;wsp:rsid wsp:val=&quot;00812CB4&quot;/&gt;&lt;wsp:rsid wsp:val=&quot;00815B7F&quot;/&gt;&lt;wsp:rsid wsp:val=&quot;00823629&quot;/&gt;&lt;wsp:rsid wsp:val=&quot;008246B0&quot;/&gt;&lt;wsp:rsid wsp:val=&quot;00830820&quot;/&gt;&lt;wsp:rsid wsp:val=&quot;0083315B&quot;/&gt;&lt;wsp:rsid wsp:val=&quot;008340BD&quot;/&gt;&lt;wsp:rsid wsp:val=&quot;008558F7&quot;/&gt;&lt;wsp:rsid wsp:val=&quot;00863458&quot;/&gt;&lt;wsp:rsid wsp:val=&quot;008824B5&quot;/&gt;&lt;wsp:rsid wsp:val=&quot;00884E58&quot;/&gt;&lt;wsp:rsid wsp:val=&quot;0089331E&quot;/&gt;&lt;wsp:rsid wsp:val=&quot;00896FAC&quot;/&gt;&lt;wsp:rsid wsp:val=&quot;008A35D8&quot;/&gt;&lt;wsp:rsid wsp:val=&quot;008C1153&quot;/&gt;&lt;wsp:rsid wsp:val=&quot;008C5D4A&quot;/&gt;&lt;wsp:rsid wsp:val=&quot;008C6580&quot;/&gt;&lt;wsp:rsid wsp:val=&quot;008D3544&quot;/&gt;&lt;wsp:rsid wsp:val=&quot;008E1719&quot;/&gt;&lt;wsp:rsid wsp:val=&quot;008E2A7F&quot;/&gt;&lt;wsp:rsid wsp:val=&quot;008F4FF2&quot;/&gt;&lt;wsp:rsid wsp:val=&quot;008F55E2&quot;/&gt;&lt;wsp:rsid wsp:val=&quot;00906E30&quot;/&gt;&lt;wsp:rsid wsp:val=&quot;009116B6&quot;/&gt;&lt;wsp:rsid wsp:val=&quot;0093774F&quot;/&gt;&lt;wsp:rsid wsp:val=&quot;00971652&quot;/&gt;&lt;wsp:rsid wsp:val=&quot;0097443D&quot;/&gt;&lt;wsp:rsid wsp:val=&quot;00982FCC&quot;/&gt;&lt;wsp:rsid wsp:val=&quot;0098314B&quot;/&gt;&lt;wsp:rsid wsp:val=&quot;00983444&quot;/&gt;&lt;wsp:rsid wsp:val=&quot;00986F65&quot;/&gt;&lt;wsp:rsid wsp:val=&quot;00990E46&quot;/&gt;&lt;wsp:rsid wsp:val=&quot;0099623A&quot;/&gt;&lt;wsp:rsid wsp:val=&quot;009A39AB&quot;/&gt;&lt;wsp:rsid wsp:val=&quot;009A4C7B&quot;/&gt;&lt;wsp:rsid wsp:val=&quot;009A597B&quot;/&gt;&lt;wsp:rsid wsp:val=&quot;009B779E&quot;/&gt;&lt;wsp:rsid wsp:val=&quot;009C1616&quot;/&gt;&lt;wsp:rsid wsp:val=&quot;009C34E5&quot;/&gt;&lt;wsp:rsid wsp:val=&quot;009C629B&quot;/&gt;&lt;wsp:rsid wsp:val=&quot;009C797F&quot;/&gt;&lt;wsp:rsid wsp:val=&quot;009E635E&quot;/&gt;&lt;wsp:rsid wsp:val=&quot;009F0099&quot;/&gt;&lt;wsp:rsid wsp:val=&quot;009F5F12&quot;/&gt;&lt;wsp:rsid wsp:val=&quot;00A00E8B&quot;/&gt;&lt;wsp:rsid wsp:val=&quot;00A014F3&quot;/&gt;&lt;wsp:rsid wsp:val=&quot;00A10F1A&quot;/&gt;&lt;wsp:rsid wsp:val=&quot;00A21015&quot;/&gt;&lt;wsp:rsid wsp:val=&quot;00A234BA&quot;/&gt;&lt;wsp:rsid wsp:val=&quot;00A313D3&quot;/&gt;&lt;wsp:rsid wsp:val=&quot;00A32CA9&quot;/&gt;&lt;wsp:rsid wsp:val=&quot;00A3469F&quot;/&gt;&lt;wsp:rsid wsp:val=&quot;00A42F9F&quot;/&gt;&lt;wsp:rsid wsp:val=&quot;00A4379E&quot;/&gt;&lt;wsp:rsid wsp:val=&quot;00A43BA3&quot;/&gt;&lt;wsp:rsid wsp:val=&quot;00A45CD2&quot;/&gt;&lt;wsp:rsid wsp:val=&quot;00A461FC&quot;/&gt;&lt;wsp:rsid wsp:val=&quot;00A516B9&quot;/&gt;&lt;wsp:rsid wsp:val=&quot;00A5472C&quot;/&gt;&lt;wsp:rsid wsp:val=&quot;00A55544&quot;/&gt;&lt;wsp:rsid wsp:val=&quot;00A61E62&quot;/&gt;&lt;wsp:rsid wsp:val=&quot;00A63B6E&quot;/&gt;&lt;wsp:rsid wsp:val=&quot;00A72C35&quot;/&gt;&lt;wsp:rsid wsp:val=&quot;00A73B95&quot;/&gt;&lt;wsp:rsid wsp:val=&quot;00A74C22&quot;/&gt;&lt;wsp:rsid wsp:val=&quot;00A76587&quot;/&gt;&lt;wsp:rsid wsp:val=&quot;00A77102&quot;/&gt;&lt;wsp:rsid wsp:val=&quot;00A906E2&quot;/&gt;&lt;wsp:rsid wsp:val=&quot;00A92B64&quot;/&gt;&lt;wsp:rsid wsp:val=&quot;00A97CEF&quot;/&gt;&lt;wsp:rsid wsp:val=&quot;00AA6650&quot;/&gt;&lt;wsp:rsid wsp:val=&quot;00AB45DA&quot;/&gt;&lt;wsp:rsid wsp:val=&quot;00AB74BB&quot;/&gt;&lt;wsp:rsid wsp:val=&quot;00AC3695&quot;/&gt;&lt;wsp:rsid wsp:val=&quot;00AC44E2&quot;/&gt;&lt;wsp:rsid wsp:val=&quot;00AD4ED7&quot;/&gt;&lt;wsp:rsid wsp:val=&quot;00AD5BD1&quot;/&gt;&lt;wsp:rsid wsp:val=&quot;00AE31D5&quot;/&gt;&lt;wsp:rsid wsp:val=&quot;00AF5A12&quot;/&gt;&lt;wsp:rsid wsp:val=&quot;00AF7544&quot;/&gt;&lt;wsp:rsid wsp:val=&quot;00B06B7E&quot;/&gt;&lt;wsp:rsid wsp:val=&quot;00B136B2&quot;/&gt;&lt;wsp:rsid wsp:val=&quot;00B14ED4&quot;/&gt;&lt;wsp:rsid wsp:val=&quot;00B16D96&quot;/&gt;&lt;wsp:rsid wsp:val=&quot;00B22299&quot;/&gt;&lt;wsp:rsid wsp:val=&quot;00B24936&quot;/&gt;&lt;wsp:rsid wsp:val=&quot;00B2754F&quot;/&gt;&lt;wsp:rsid wsp:val=&quot;00B305B2&quot;/&gt;&lt;wsp:rsid wsp:val=&quot;00B346A9&quot;/&gt;&lt;wsp:rsid wsp:val=&quot;00B34A94&quot;/&gt;&lt;wsp:rsid wsp:val=&quot;00B50A7A&quot;/&gt;&lt;wsp:rsid wsp:val=&quot;00B54A7B&quot;/&gt;&lt;wsp:rsid wsp:val=&quot;00B551D8&quot;/&gt;&lt;wsp:rsid wsp:val=&quot;00B61455&quot;/&gt;&lt;wsp:rsid wsp:val=&quot;00B620B6&quot;/&gt;&lt;wsp:rsid wsp:val=&quot;00B70683&quot;/&gt;&lt;wsp:rsid wsp:val=&quot;00B72ACB&quot;/&gt;&lt;wsp:rsid wsp:val=&quot;00B8132C&quot;/&gt;&lt;wsp:rsid wsp:val=&quot;00B82D19&quot;/&gt;&lt;wsp:rsid wsp:val=&quot;00B85335&quot;/&gt;&lt;wsp:rsid wsp:val=&quot;00B905C0&quot;/&gt;&lt;wsp:rsid wsp:val=&quot;00B912F4&quot;/&gt;&lt;wsp:rsid wsp:val=&quot;00B937E9&quot;/&gt;&lt;wsp:rsid wsp:val=&quot;00B9549A&quot;/&gt;&lt;wsp:rsid wsp:val=&quot;00B96394&quot;/&gt;&lt;wsp:rsid wsp:val=&quot;00B97060&quot;/&gt;&lt;wsp:rsid wsp:val=&quot;00BA187E&quot;/&gt;&lt;wsp:rsid wsp:val=&quot;00BA4DD6&quot;/&gt;&lt;wsp:rsid wsp:val=&quot;00BA527A&quot;/&gt;&lt;wsp:rsid wsp:val=&quot;00BB739A&quot;/&gt;&lt;wsp:rsid wsp:val=&quot;00BC42DA&quot;/&gt;&lt;wsp:rsid wsp:val=&quot;00BC46A3&quot;/&gt;&lt;wsp:rsid wsp:val=&quot;00BC7590&quot;/&gt;&lt;wsp:rsid wsp:val=&quot;00BC76D7&quot;/&gt;&lt;wsp:rsid wsp:val=&quot;00BD551E&quot;/&gt;&lt;wsp:rsid wsp:val=&quot;00BD5A4F&quot;/&gt;&lt;wsp:rsid wsp:val=&quot;00BD768F&quot;/&gt;&lt;wsp:rsid wsp:val=&quot;00BE5983&quot;/&gt;&lt;wsp:rsid wsp:val=&quot;00BF0B98&quot;/&gt;&lt;wsp:rsid wsp:val=&quot;00BF0E17&quot;/&gt;&lt;wsp:rsid wsp:val=&quot;00BF3CFC&quot;/&gt;&lt;wsp:rsid wsp:val=&quot;00BF6025&quot;/&gt;&lt;wsp:rsid wsp:val=&quot;00C01FB2&quot;/&gt;&lt;wsp:rsid wsp:val=&quot;00C04D5C&quot;/&gt;&lt;wsp:rsid wsp:val=&quot;00C06F81&quot;/&gt;&lt;wsp:rsid wsp:val=&quot;00C20237&quot;/&gt;&lt;wsp:rsid wsp:val=&quot;00C22EB7&quot;/&gt;&lt;wsp:rsid wsp:val=&quot;00C324A9&quot;/&gt;&lt;wsp:rsid wsp:val=&quot;00C325F3&quot;/&gt;&lt;wsp:rsid wsp:val=&quot;00C346CC&quot;/&gt;&lt;wsp:rsid wsp:val=&quot;00C3514D&quot;/&gt;&lt;wsp:rsid wsp:val=&quot;00C4401A&quot;/&gt;&lt;wsp:rsid wsp:val=&quot;00C5227D&quot;/&gt;&lt;wsp:rsid wsp:val=&quot;00C5609B&quot;/&gt;&lt;wsp:rsid wsp:val=&quot;00C56E68&quot;/&gt;&lt;wsp:rsid wsp:val=&quot;00C57779&quot;/&gt;&lt;wsp:rsid wsp:val=&quot;00C71788&quot;/&gt;&lt;wsp:rsid wsp:val=&quot;00C73D14&quot;/&gt;&lt;wsp:rsid wsp:val=&quot;00C75E36&quot;/&gt;&lt;wsp:rsid wsp:val=&quot;00C80484&quot;/&gt;&lt;wsp:rsid wsp:val=&quot;00C80B7C&quot;/&gt;&lt;wsp:rsid wsp:val=&quot;00C8260B&quot;/&gt;&lt;wsp:rsid wsp:val=&quot;00C87504&quot;/&gt;&lt;wsp:rsid wsp:val=&quot;00C90E02&quot;/&gt;&lt;wsp:rsid wsp:val=&quot;00CA11E7&quot;/&gt;&lt;wsp:rsid wsp:val=&quot;00CB5566&quot;/&gt;&lt;wsp:rsid wsp:val=&quot;00CC6806&quot;/&gt;&lt;wsp:rsid wsp:val=&quot;00CC6A56&quot;/&gt;&lt;wsp:rsid wsp:val=&quot;00CD2E25&quot;/&gt;&lt;wsp:rsid wsp:val=&quot;00CD5B6E&quot;/&gt;&lt;wsp:rsid wsp:val=&quot;00CD723F&quot;/&gt;&lt;wsp:rsid wsp:val=&quot;00CE7E79&quot;/&gt;&lt;wsp:rsid wsp:val=&quot;00CF3050&quot;/&gt;&lt;wsp:rsid wsp:val=&quot;00CF4544&quot;/&gt;&lt;wsp:rsid wsp:val=&quot;00D0341C&quot;/&gt;&lt;wsp:rsid wsp:val=&quot;00D11CF3&quot;/&gt;&lt;wsp:rsid wsp:val=&quot;00D120BB&quot;/&gt;&lt;wsp:rsid wsp:val=&quot;00D22908&quot;/&gt;&lt;wsp:rsid wsp:val=&quot;00D24EB7&quot;/&gt;&lt;wsp:rsid wsp:val=&quot;00D406AC&quot;/&gt;&lt;wsp:rsid wsp:val=&quot;00D47DDB&quot;/&gt;&lt;wsp:rsid wsp:val=&quot;00D505D0&quot;/&gt;&lt;wsp:rsid wsp:val=&quot;00D53B15&quot;/&gt;&lt;wsp:rsid wsp:val=&quot;00D56191&quot;/&gt;&lt;wsp:rsid wsp:val=&quot;00D61839&quot;/&gt;&lt;wsp:rsid wsp:val=&quot;00D624AC&quot;/&gt;&lt;wsp:rsid wsp:val=&quot;00D6550D&quot;/&gt;&lt;wsp:rsid wsp:val=&quot;00D6747A&quot;/&gt;&lt;wsp:rsid wsp:val=&quot;00D8280A&quot;/&gt;&lt;wsp:rsid wsp:val=&quot;00D91913&quot;/&gt;&lt;wsp:rsid wsp:val=&quot;00D94246&quot;/&gt;&lt;wsp:rsid wsp:val=&quot;00D952B0&quot;/&gt;&lt;wsp:rsid wsp:val=&quot;00DA0A25&quot;/&gt;&lt;wsp:rsid wsp:val=&quot;00DB08CF&quot;/&gt;&lt;wsp:rsid wsp:val=&quot;00DB2C9F&quot;/&gt;&lt;wsp:rsid wsp:val=&quot;00DB38F2&quot;/&gt;&lt;wsp:rsid wsp:val=&quot;00DC2E96&quot;/&gt;&lt;wsp:rsid wsp:val=&quot;00DC4CA5&quot;/&gt;&lt;wsp:rsid wsp:val=&quot;00DC77C3&quot;/&gt;&lt;wsp:rsid wsp:val=&quot;00DC77F9&quot;/&gt;&lt;wsp:rsid wsp:val=&quot;00DD5617&quot;/&gt;&lt;wsp:rsid wsp:val=&quot;00DD58EF&quot;/&gt;&lt;wsp:rsid wsp:val=&quot;00DE06AA&quot;/&gt;&lt;wsp:rsid wsp:val=&quot;00DF17FD&quot;/&gt;&lt;wsp:rsid wsp:val=&quot;00DF1E35&quot;/&gt;&lt;wsp:rsid wsp:val=&quot;00DF547D&quot;/&gt;&lt;wsp:rsid wsp:val=&quot;00DF6B85&quot;/&gt;&lt;wsp:rsid wsp:val=&quot;00E005AF&quot;/&gt;&lt;wsp:rsid wsp:val=&quot;00E12732&quot;/&gt;&lt;wsp:rsid wsp:val=&quot;00E12AFC&quot;/&gt;&lt;wsp:rsid wsp:val=&quot;00E15D14&quot;/&gt;&lt;wsp:rsid wsp:val=&quot;00E24178&quot;/&gt;&lt;wsp:rsid wsp:val=&quot;00E27380&quot;/&gt;&lt;wsp:rsid wsp:val=&quot;00E27657&quot;/&gt;&lt;wsp:rsid wsp:val=&quot;00E33953&quot;/&gt;&lt;wsp:rsid wsp:val=&quot;00E3533B&quot;/&gt;&lt;wsp:rsid wsp:val=&quot;00E46D50&quot;/&gt;&lt;wsp:rsid wsp:val=&quot;00E47094&quot;/&gt;&lt;wsp:rsid wsp:val=&quot;00E47382&quot;/&gt;&lt;wsp:rsid wsp:val=&quot;00E47ED5&quot;/&gt;&lt;wsp:rsid wsp:val=&quot;00E56DDD&quot;/&gt;&lt;wsp:rsid wsp:val=&quot;00E7183A&quot;/&gt;&lt;wsp:rsid wsp:val=&quot;00E72873&quot;/&gt;&lt;wsp:rsid wsp:val=&quot;00E73D7D&quot;/&gt;&lt;wsp:rsid wsp:val=&quot;00E777BC&quot;/&gt;&lt;wsp:rsid wsp:val=&quot;00E77B63&quot;/&gt;&lt;wsp:rsid wsp:val=&quot;00E808BD&quot;/&gt;&lt;wsp:rsid wsp:val=&quot;00E82E24&quot;/&gt;&lt;wsp:rsid wsp:val=&quot;00E82E48&quot;/&gt;&lt;wsp:rsid wsp:val=&quot;00E85779&quot;/&gt;&lt;wsp:rsid wsp:val=&quot;00EA69C6&quot;/&gt;&lt;wsp:rsid wsp:val=&quot;00EB196D&quot;/&gt;&lt;wsp:rsid wsp:val=&quot;00EB2399&quot;/&gt;&lt;wsp:rsid wsp:val=&quot;00EC398C&quot;/&gt;&lt;wsp:rsid wsp:val=&quot;00ED3A21&quot;/&gt;&lt;wsp:rsid wsp:val=&quot;00ED44E9&quot;/&gt;&lt;wsp:rsid wsp:val=&quot;00EE56A8&quot;/&gt;&lt;wsp:rsid wsp:val=&quot;00EF19A7&quot;/&gt;&lt;wsp:rsid wsp:val=&quot;00EF3CCB&quot;/&gt;&lt;wsp:rsid wsp:val=&quot;00EF7189&quot;/&gt;&lt;wsp:rsid wsp:val=&quot;00F00B94&quot;/&gt;&lt;wsp:rsid wsp:val=&quot;00F02F23&quot;/&gt;&lt;wsp:rsid wsp:val=&quot;00F03050&quot;/&gt;&lt;wsp:rsid wsp:val=&quot;00F06B6B&quot;/&gt;&lt;wsp:rsid wsp:val=&quot;00F21B22&quot;/&gt;&lt;wsp:rsid wsp:val=&quot;00F23BE8&quot;/&gt;&lt;wsp:rsid wsp:val=&quot;00F272CE&quot;/&gt;&lt;wsp:rsid wsp:val=&quot;00F3058C&quot;/&gt;&lt;wsp:rsid wsp:val=&quot;00F3197F&quot;/&gt;&lt;wsp:rsid wsp:val=&quot;00F455D6&quot;/&gt;&lt;wsp:rsid wsp:val=&quot;00F45F97&quot;/&gt;&lt;wsp:rsid wsp:val=&quot;00F46E96&quot;/&gt;&lt;wsp:rsid wsp:val=&quot;00F5179E&quot;/&gt;&lt;wsp:rsid wsp:val=&quot;00F60827&quot;/&gt;&lt;wsp:rsid wsp:val=&quot;00F60C91&quot;/&gt;&lt;wsp:rsid wsp:val=&quot;00F6107E&quot;/&gt;&lt;wsp:rsid wsp:val=&quot;00F71B52&quot;/&gt;&lt;wsp:rsid wsp:val=&quot;00F762F1&quot;/&gt;&lt;wsp:rsid wsp:val=&quot;00F846EE&quot;/&gt;&lt;wsp:rsid wsp:val=&quot;00F86FC1&quot;/&gt;&lt;wsp:rsid wsp:val=&quot;00F874A6&quot;/&gt;&lt;wsp:rsid wsp:val=&quot;00F91FE0&quot;/&gt;&lt;wsp:rsid wsp:val=&quot;00F92673&quot;/&gt;&lt;wsp:rsid wsp:val=&quot;00F9286A&quot;/&gt;&lt;wsp:rsid wsp:val=&quot;00F93C48&quot;/&gt;&lt;wsp:rsid wsp:val=&quot;00F94D29&quot;/&gt;&lt;wsp:rsid wsp:val=&quot;00F966EF&quot;/&gt;&lt;wsp:rsid wsp:val=&quot;00FC4369&quot;/&gt;&lt;wsp:rsid wsp:val=&quot;00FC582E&quot;/&gt;&lt;wsp:rsid wsp:val=&quot;00FD3B36&quot;/&gt;&lt;wsp:rsid wsp:val=&quot;00FD4C77&quot;/&gt;&lt;wsp:rsid wsp:val=&quot;00FD75C8&quot;/&gt;&lt;wsp:rsid wsp:val=&quot;00FE048E&quot;/&gt;&lt;wsp:rsid wsp:val=&quot;00FF061F&quot;/&gt;&lt;wsp:rsid wsp:val=&quot;00FF4AB1&quot;/&gt;&lt;/wsp:rsids&gt;&lt;/w:docPr&gt;&lt;w:body&gt;&lt;w:p wsp:rsidR=&quot;00000000&quot; wsp:rsidRDefault=&quot;001F3487&quot;&gt;&lt;m:oMathPara&gt;&lt;m:oMath&gt;&lt;m:r&gt;&lt;m:rPr&gt;&lt;m:sty m:val=&quot;p&quot;/&gt;&lt;/m:rPr&gt;&lt;w:rPr&gt;&lt;w:rFonts w:ascii=&quot;Cambria Math&quot; w:h-ansi=&quot;Cambria Math&quot;/&gt;&lt;wx:font wx:val=&quot;Cambria Math&quot;/&gt;&lt;/w:rPr&gt;&lt;m:t&gt;R=&lt;/m:t&gt;&lt;/m:r&gt;&lt;m:f&gt;&lt;m:fPr&gt;&lt;m:ctrlPr&gt;&lt;w:rPr&gt;&lt;w:rFonts w:ascii=&quot;Cambria Math&quot; w:h-ansi=&quot;Cambria Math&quot;/&gt;&lt;wx:font wx:val=&quot;Cambria Math&quot;/&gt;&lt;/w:rPr&gt;&lt;/m:ctrlPr&gt;&lt;/m:fPr&gt;&lt;m:num&gt;&lt;m:r&gt;&lt;m:rPr&gt;&lt;m:sty m:val=&quot;p&quot;/&gt;&lt;/m:rPr&gt;&lt;w:rPr&gt;&lt;w:rFonts w:ascii=&quot;Cambria Math&quot; w:h-ansi=&quot;Cambria Math&quot; w:cs=&quot;Cambria Math&quot;/&gt;&lt;wx:font wx:val=&quot;Cambria Math&quot;/&gt;&lt;/w:rPr&gt;&lt;m:t&gt;A&lt;/m:t&gt;&lt;/m:r&gt;&lt;/m:num&gt;&lt;m:den&gt;&lt;m:d&gt;&lt;m:dPr&gt;&lt;m:ctrlPr&gt;&lt;w:rPr&gt;&lt;w:rFonts w:ascii=&quot;Cambria Math&quot; w:h-ansi=&quot;Cambria Math&quot; w:cs=&quot;Cambria Math&quot;/&gt;&lt;wx:font wx:val=&quot;Cambria Math&quot;/&gt;&lt;/w:rPr&gt;&lt;/m:ctrlPr&gt;&lt;/m:dPr&gt;&lt;m:e&gt;&lt;m:r&gt;&lt;m:rPr&gt;&lt;m:sty m:val=&quot;p&quot;/&gt;&lt;/m:rPr&gt;&lt;w:rPr&gt;&lt;w:rFonts w:ascii=&quot;Cambria Math&quot; w:h-ansi=&quot;Cambria Math&quot; w:cs=&quot;Cambria Math&quot;/&gt;&lt;wx:font wx:val=&quot;Cambria Math&quot;/&gt;&lt;/w:rPr&gt;&lt;m:t&gt;F2-F1&lt;/m:t&gt;&lt;/m:r&gt;&lt;/m:e&gt;&lt;/m:d&gt;&lt;m:r&gt;&lt;m:rPr&gt;&lt;m:sty m:val=&quot;p&quot;/&gt;&lt;/m:rPr&gt;&lt;w:rPr&gt;&lt;w:rFonts w:ascii=&quot;Cambria Math&quot; w:h-ansi=&quot;Cambria Math&quot; w:cs=&quot;Cambria Math&quot;/&gt;&lt;wx:font wx:val=&quot;Cambria Math&quot;/&gt;&lt;/w:rPr&gt;&lt;m:t&gt;S&lt;/m:t&gt;&lt;/m:r&gt;&lt;/m:den&gt;&lt;/m:f&gt;&lt;m:r&gt;&lt;m:rPr&gt;&lt;m:sty m:val=&quot;p&quot;/&gt;&lt;/m:rPr&gt;&lt;w:rPr&gt;&lt;w:rFonts w:ascii=&quot;Cambria Math&quot; w:h-ansi=&quot;Cambria Math&quot;/&gt;&lt;wx:font wx:val=&quot;Cambria Math&quot;/&gt;&lt;/w:rPr&gt;&lt;m:t&gt;(C-F1S)&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4" chromakey="#FFFFFF" o:title=""/>
            <o:lock v:ext="edit" aspectratio="t"/>
            <w10:wrap type="none"/>
            <w10:anchorlock/>
          </v:shape>
        </w:pict>
      </w:r>
      <w:r>
        <w:rPr>
          <w:rFonts w:hint="eastAsia" w:ascii="仿宋" w:hAnsi="仿宋" w:eastAsia="仿宋" w:cs="仿宋"/>
          <w:color w:val="auto"/>
          <w:sz w:val="24"/>
          <w:szCs w:val="24"/>
        </w:rPr>
        <w:instrText xml:space="preserve"> </w:instrText>
      </w:r>
      <w:r>
        <w:rPr>
          <w:rFonts w:hint="eastAsia" w:ascii="仿宋" w:hAnsi="仿宋" w:eastAsia="仿宋" w:cs="仿宋"/>
          <w:color w:val="auto"/>
          <w:sz w:val="24"/>
          <w:szCs w:val="24"/>
        </w:rPr>
        <w:fldChar w:fldCharType="separate"/>
      </w:r>
      <w:r>
        <w:rPr>
          <w:rFonts w:hint="eastAsia" w:ascii="仿宋" w:hAnsi="仿宋" w:eastAsia="仿宋" w:cs="仿宋"/>
          <w:color w:val="auto"/>
          <w:position w:val="-24"/>
          <w:sz w:val="24"/>
          <w:szCs w:val="24"/>
        </w:rPr>
        <w:pict>
          <v:shape id="_x0000_i1026" o:spt="75" type="#_x0000_t75" style="height:31.5pt;width:99pt;" filled="f" stroked="f" coordsize="21600,2160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val=&quot;text-fit&quot; w:percent=&quot;188&quot;/&gt;&lt;w:doNotEmbedSystemFonts/&gt;&lt;w:bordersDontSurroundHeader/&gt;&lt;w:bordersDontSurroundFooter/&gt;&lt;w:hideSpellingErrors/&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D57EE&quot;/&gt;&lt;wsp:rsid wsp:val=&quot;000143FB&quot;/&gt;&lt;wsp:rsid wsp:val=&quot;00014C8B&quot;/&gt;&lt;wsp:rsid wsp:val=&quot;00020790&quot;/&gt;&lt;wsp:rsid wsp:val=&quot;000244D7&quot;/&gt;&lt;wsp:rsid wsp:val=&quot;0002697F&quot;/&gt;&lt;wsp:rsid wsp:val=&quot;00027877&quot;/&gt;&lt;wsp:rsid wsp:val=&quot;00030315&quot;/&gt;&lt;wsp:rsid wsp:val=&quot;00032EC3&quot;/&gt;&lt;wsp:rsid wsp:val=&quot;00035706&quot;/&gt;&lt;wsp:rsid wsp:val=&quot;00036F0D&quot;/&gt;&lt;wsp:rsid wsp:val=&quot;00040951&quot;/&gt;&lt;wsp:rsid wsp:val=&quot;000513EE&quot;/&gt;&lt;wsp:rsid wsp:val=&quot;000579AC&quot;/&gt;&lt;wsp:rsid wsp:val=&quot;000604A6&quot;/&gt;&lt;wsp:rsid wsp:val=&quot;00060A62&quot;/&gt;&lt;wsp:rsid wsp:val=&quot;0006472F&quot;/&gt;&lt;wsp:rsid wsp:val=&quot;00064B5A&quot;/&gt;&lt;wsp:rsid wsp:val=&quot;000673D8&quot;/&gt;&lt;wsp:rsid wsp:val=&quot;00070B9C&quot;/&gt;&lt;wsp:rsid wsp:val=&quot;000729B4&quot;/&gt;&lt;wsp:rsid wsp:val=&quot;00073EC7&quot;/&gt;&lt;wsp:rsid wsp:val=&quot;000753F2&quot;/&gt;&lt;wsp:rsid wsp:val=&quot;000839C3&quot;/&gt;&lt;wsp:rsid wsp:val=&quot;00090E83&quot;/&gt;&lt;wsp:rsid wsp:val=&quot;0009326D&quot;/&gt;&lt;wsp:rsid wsp:val=&quot;00096FEA&quot;/&gt;&lt;wsp:rsid wsp:val=&quot;000A18B0&quot;/&gt;&lt;wsp:rsid wsp:val=&quot;000A6F4F&quot;/&gt;&lt;wsp:rsid wsp:val=&quot;000B2878&quot;/&gt;&lt;wsp:rsid wsp:val=&quot;000B676F&quot;/&gt;&lt;wsp:rsid wsp:val=&quot;000C0351&quot;/&gt;&lt;wsp:rsid wsp:val=&quot;000C1C90&quot;/&gt;&lt;wsp:rsid wsp:val=&quot;000C7193&quot;/&gt;&lt;wsp:rsid wsp:val=&quot;000D155F&quot;/&gt;&lt;wsp:rsid wsp:val=&quot;000D1D74&quot;/&gt;&lt;wsp:rsid wsp:val=&quot;000D57EE&quot;/&gt;&lt;wsp:rsid wsp:val=&quot;000D60ED&quot;/&gt;&lt;wsp:rsid wsp:val=&quot;000E1EEE&quot;/&gt;&lt;wsp:rsid wsp:val=&quot;000E5FB4&quot;/&gt;&lt;wsp:rsid wsp:val=&quot;000F030A&quot;/&gt;&lt;wsp:rsid wsp:val=&quot;000F1980&quot;/&gt;&lt;wsp:rsid wsp:val=&quot;000F6FAE&quot;/&gt;&lt;wsp:rsid wsp:val=&quot;00101332&quot;/&gt;&lt;wsp:rsid wsp:val=&quot;0010179B&quot;/&gt;&lt;wsp:rsid wsp:val=&quot;00110F48&quot;/&gt;&lt;wsp:rsid wsp:val=&quot;001119A3&quot;/&gt;&lt;wsp:rsid wsp:val=&quot;00115B0B&quot;/&gt;&lt;wsp:rsid wsp:val=&quot;00134CD7&quot;/&gt;&lt;wsp:rsid wsp:val=&quot;001354CA&quot;/&gt;&lt;wsp:rsid wsp:val=&quot;001423FD&quot;/&gt;&lt;wsp:rsid wsp:val=&quot;00142E3D&quot;/&gt;&lt;wsp:rsid wsp:val=&quot;001436D0&quot;/&gt;&lt;wsp:rsid wsp:val=&quot;00147AA1&quot;/&gt;&lt;wsp:rsid wsp:val=&quot;001524B1&quot;/&gt;&lt;wsp:rsid wsp:val=&quot;00154C76&quot;/&gt;&lt;wsp:rsid wsp:val=&quot;00163AC7&quot;/&gt;&lt;wsp:rsid wsp:val=&quot;00167705&quot;/&gt;&lt;wsp:rsid wsp:val=&quot;00167E6C&quot;/&gt;&lt;wsp:rsid wsp:val=&quot;001701B3&quot;/&gt;&lt;wsp:rsid wsp:val=&quot;00173117&quot;/&gt;&lt;wsp:rsid wsp:val=&quot;0017357C&quot;/&gt;&lt;wsp:rsid wsp:val=&quot;00175FC2&quot;/&gt;&lt;wsp:rsid wsp:val=&quot;0018685E&quot;/&gt;&lt;wsp:rsid wsp:val=&quot;00187473&quot;/&gt;&lt;wsp:rsid wsp:val=&quot;0019016A&quot;/&gt;&lt;wsp:rsid wsp:val=&quot;00190AED&quot;/&gt;&lt;wsp:rsid wsp:val=&quot;00192BBD&quot;/&gt;&lt;wsp:rsid wsp:val=&quot;00195538&quot;/&gt;&lt;wsp:rsid wsp:val=&quot;001B17B3&quot;/&gt;&lt;wsp:rsid wsp:val=&quot;001B191F&quot;/&gt;&lt;wsp:rsid wsp:val=&quot;001B39B3&quot;/&gt;&lt;wsp:rsid wsp:val=&quot;001B3D2A&quot;/&gt;&lt;wsp:rsid wsp:val=&quot;001D0C69&quot;/&gt;&lt;wsp:rsid wsp:val=&quot;001D14C2&quot;/&gt;&lt;wsp:rsid wsp:val=&quot;001E18DE&quot;/&gt;&lt;wsp:rsid wsp:val=&quot;001F02F3&quot;/&gt;&lt;wsp:rsid wsp:val=&quot;001F3487&quot;/&gt;&lt;wsp:rsid wsp:val=&quot;0020261D&quot;/&gt;&lt;wsp:rsid wsp:val=&quot;00206894&quot;/&gt;&lt;wsp:rsid wsp:val=&quot;00216FAF&quot;/&gt;&lt;wsp:rsid wsp:val=&quot;00217683&quot;/&gt;&lt;wsp:rsid wsp:val=&quot;00217694&quot;/&gt;&lt;wsp:rsid wsp:val=&quot;00217A9B&quot;/&gt;&lt;wsp:rsid wsp:val=&quot;00221835&quot;/&gt;&lt;wsp:rsid wsp:val=&quot;0022566D&quot;/&gt;&lt;wsp:rsid wsp:val=&quot;00227CC3&quot;/&gt;&lt;wsp:rsid wsp:val=&quot;00231C4B&quot;/&gt;&lt;wsp:rsid wsp:val=&quot;00237EBE&quot;/&gt;&lt;wsp:rsid wsp:val=&quot;002435AC&quot;/&gt;&lt;wsp:rsid wsp:val=&quot;00243F71&quot;/&gt;&lt;wsp:rsid wsp:val=&quot;00253142&quot;/&gt;&lt;wsp:rsid wsp:val=&quot;0026293E&quot;/&gt;&lt;wsp:rsid wsp:val=&quot;00263EC0&quot;/&gt;&lt;wsp:rsid wsp:val=&quot;00273896&quot;/&gt;&lt;wsp:rsid wsp:val=&quot;00273E53&quot;/&gt;&lt;wsp:rsid wsp:val=&quot;002A4944&quot;/&gt;&lt;wsp:rsid wsp:val=&quot;002A578C&quot;/&gt;&lt;wsp:rsid wsp:val=&quot;002A6999&quot;/&gt;&lt;wsp:rsid wsp:val=&quot;002B0B93&quot;/&gt;&lt;wsp:rsid wsp:val=&quot;002B2402&quot;/&gt;&lt;wsp:rsid wsp:val=&quot;002B4203&quot;/&gt;&lt;wsp:rsid wsp:val=&quot;002B4B6C&quot;/&gt;&lt;wsp:rsid wsp:val=&quot;002C70A0&quot;/&gt;&lt;wsp:rsid wsp:val=&quot;002C712F&quot;/&gt;&lt;wsp:rsid wsp:val=&quot;002D3F5E&quot;/&gt;&lt;wsp:rsid wsp:val=&quot;002D66FE&quot;/&gt;&lt;wsp:rsid wsp:val=&quot;002D6DCF&quot;/&gt;&lt;wsp:rsid wsp:val=&quot;002E271D&quot;/&gt;&lt;wsp:rsid wsp:val=&quot;002F238B&quot;/&gt;&lt;wsp:rsid wsp:val=&quot;002F28A4&quot;/&gt;&lt;wsp:rsid wsp:val=&quot;002F472B&quot;/&gt;&lt;wsp:rsid wsp:val=&quot;002F5ABE&quot;/&gt;&lt;wsp:rsid wsp:val=&quot;00303120&quot;/&gt;&lt;wsp:rsid wsp:val=&quot;003034FB&quot;/&gt;&lt;wsp:rsid wsp:val=&quot;00311A79&quot;/&gt;&lt;wsp:rsid wsp:val=&quot;00311AC1&quot;/&gt;&lt;wsp:rsid wsp:val=&quot;00312F2D&quot;/&gt;&lt;wsp:rsid wsp:val=&quot;0032386C&quot;/&gt;&lt;wsp:rsid wsp:val=&quot;0032640A&quot;/&gt;&lt;wsp:rsid wsp:val=&quot;00330C8A&quot;/&gt;&lt;wsp:rsid wsp:val=&quot;00330E37&quot;/&gt;&lt;wsp:rsid wsp:val=&quot;00334111&quot;/&gt;&lt;wsp:rsid wsp:val=&quot;0033443D&quot;/&gt;&lt;wsp:rsid wsp:val=&quot;003452A6&quot;/&gt;&lt;wsp:rsid wsp:val=&quot;003557A3&quot;/&gt;&lt;wsp:rsid wsp:val=&quot;00370533&quot;/&gt;&lt;wsp:rsid wsp:val=&quot;00374479&quot;/&gt;&lt;wsp:rsid wsp:val=&quot;00384E0D&quot;/&gt;&lt;wsp:rsid wsp:val=&quot;003873C7&quot;/&gt;&lt;wsp:rsid wsp:val=&quot;00390909&quot;/&gt;&lt;wsp:rsid wsp:val=&quot;00392823&quot;/&gt;&lt;wsp:rsid wsp:val=&quot;00392D7C&quot;/&gt;&lt;wsp:rsid wsp:val=&quot;00395E0D&quot;/&gt;&lt;wsp:rsid wsp:val=&quot;003A0B1A&quot;/&gt;&lt;wsp:rsid wsp:val=&quot;003A296A&quot;/&gt;&lt;wsp:rsid wsp:val=&quot;003A5DD9&quot;/&gt;&lt;wsp:rsid wsp:val=&quot;003A6803&quot;/&gt;&lt;wsp:rsid wsp:val=&quot;003B4DF6&quot;/&gt;&lt;wsp:rsid wsp:val=&quot;003C0686&quot;/&gt;&lt;wsp:rsid wsp:val=&quot;003C19E1&quot;/&gt;&lt;wsp:rsid wsp:val=&quot;003C1B0E&quot;/&gt;&lt;wsp:rsid wsp:val=&quot;003C3490&quot;/&gt;&lt;wsp:rsid wsp:val=&quot;003C4775&quot;/&gt;&lt;wsp:rsid wsp:val=&quot;003C4A16&quot;/&gt;&lt;wsp:rsid wsp:val=&quot;003D4F30&quot;/&gt;&lt;wsp:rsid wsp:val=&quot;003E782D&quot;/&gt;&lt;wsp:rsid wsp:val=&quot;003F115A&quot;/&gt;&lt;wsp:rsid wsp:val=&quot;003F38C1&quot;/&gt;&lt;wsp:rsid wsp:val=&quot;003F6052&quot;/&gt;&lt;wsp:rsid wsp:val=&quot;004007DB&quot;/&gt;&lt;wsp:rsid wsp:val=&quot;004042F9&quot;/&gt;&lt;wsp:rsid wsp:val=&quot;0040519B&quot;/&gt;&lt;wsp:rsid wsp:val=&quot;00407207&quot;/&gt;&lt;wsp:rsid wsp:val=&quot;004121CA&quot;/&gt;&lt;wsp:rsid wsp:val=&quot;004148C4&quot;/&gt;&lt;wsp:rsid wsp:val=&quot;00415416&quot;/&gt;&lt;wsp:rsid wsp:val=&quot;0041587E&quot;/&gt;&lt;wsp:rsid wsp:val=&quot;00415F6E&quot;/&gt;&lt;wsp:rsid wsp:val=&quot;0042357F&quot;/&gt;&lt;wsp:rsid wsp:val=&quot;00426AA5&quot;/&gt;&lt;wsp:rsid wsp:val=&quot;00432084&quot;/&gt;&lt;wsp:rsid wsp:val=&quot;004326A1&quot;/&gt;&lt;wsp:rsid wsp:val=&quot;00440A75&quot;/&gt;&lt;wsp:rsid wsp:val=&quot;0044506E&quot;/&gt;&lt;wsp:rsid wsp:val=&quot;00445CD5&quot;/&gt;&lt;wsp:rsid wsp:val=&quot;00451DB4&quot;/&gt;&lt;wsp:rsid wsp:val=&quot;00457601&quot;/&gt;&lt;wsp:rsid wsp:val=&quot;004660D1&quot;/&gt;&lt;wsp:rsid wsp:val=&quot;00471E99&quot;/&gt;&lt;wsp:rsid wsp:val=&quot;00471F74&quot;/&gt;&lt;wsp:rsid wsp:val=&quot;004724CF&quot;/&gt;&lt;wsp:rsid wsp:val=&quot;0048051F&quot;/&gt;&lt;wsp:rsid wsp:val=&quot;004821B3&quot;/&gt;&lt;wsp:rsid wsp:val=&quot;0048239C&quot;/&gt;&lt;wsp:rsid wsp:val=&quot;00487E37&quot;/&gt;&lt;wsp:rsid wsp:val=&quot;0049107A&quot;/&gt;&lt;wsp:rsid wsp:val=&quot;00494967&quot;/&gt;&lt;wsp:rsid wsp:val=&quot;00494995&quot;/&gt;&lt;wsp:rsid wsp:val=&quot;00494DB4&quot;/&gt;&lt;wsp:rsid wsp:val=&quot;004B3B62&quot;/&gt;&lt;wsp:rsid wsp:val=&quot;004B4343&quot;/&gt;&lt;wsp:rsid wsp:val=&quot;004B4B48&quot;/&gt;&lt;wsp:rsid wsp:val=&quot;004C6D8A&quot;/&gt;&lt;wsp:rsid wsp:val=&quot;004C7030&quot;/&gt;&lt;wsp:rsid wsp:val=&quot;004D0958&quot;/&gt;&lt;wsp:rsid wsp:val=&quot;004D55BA&quot;/&gt;&lt;wsp:rsid wsp:val=&quot;004D6A41&quot;/&gt;&lt;wsp:rsid wsp:val=&quot;004E1976&quot;/&gt;&lt;wsp:rsid wsp:val=&quot;004E50AF&quot;/&gt;&lt;wsp:rsid wsp:val=&quot;004E563B&quot;/&gt;&lt;wsp:rsid wsp:val=&quot;004E5DA9&quot;/&gt;&lt;wsp:rsid wsp:val=&quot;004E683F&quot;/&gt;&lt;wsp:rsid wsp:val=&quot;0051218F&quot;/&gt;&lt;wsp:rsid wsp:val=&quot;005147D7&quot;/&gt;&lt;wsp:rsid wsp:val=&quot;00517576&quot;/&gt;&lt;wsp:rsid wsp:val=&quot;00523C67&quot;/&gt;&lt;wsp:rsid wsp:val=&quot;0052596B&quot;/&gt;&lt;wsp:rsid wsp:val=&quot;00533B9E&quot;/&gt;&lt;wsp:rsid wsp:val=&quot;00533C02&quot;/&gt;&lt;wsp:rsid wsp:val=&quot;005474B3&quot;/&gt;&lt;wsp:rsid wsp:val=&quot;005478B1&quot;/&gt;&lt;wsp:rsid wsp:val=&quot;005508B0&quot;/&gt;&lt;wsp:rsid wsp:val=&quot;005539AE&quot;/&gt;&lt;wsp:rsid wsp:val=&quot;00553D73&quot;/&gt;&lt;wsp:rsid wsp:val=&quot;00554412&quot;/&gt;&lt;wsp:rsid wsp:val=&quot;00560211&quot;/&gt;&lt;wsp:rsid wsp:val=&quot;005648D2&quot;/&gt;&lt;wsp:rsid wsp:val=&quot;00564DE5&quot;/&gt;&lt;wsp:rsid wsp:val=&quot;00571235&quot;/&gt;&lt;wsp:rsid wsp:val=&quot;0057200B&quot;/&gt;&lt;wsp:rsid wsp:val=&quot;00573CD3&quot;/&gt;&lt;wsp:rsid wsp:val=&quot;00573DF0&quot;/&gt;&lt;wsp:rsid wsp:val=&quot;00574069&quot;/&gt;&lt;wsp:rsid wsp:val=&quot;00582600&quot;/&gt;&lt;wsp:rsid wsp:val=&quot;00583781&quot;/&gt;&lt;wsp:rsid wsp:val=&quot;005928F9&quot;/&gt;&lt;wsp:rsid wsp:val=&quot;00595B8E&quot;/&gt;&lt;wsp:rsid wsp:val=&quot;00597BC5&quot;/&gt;&lt;wsp:rsid wsp:val=&quot;005A07A2&quot;/&gt;&lt;wsp:rsid wsp:val=&quot;005A2134&quot;/&gt;&lt;wsp:rsid wsp:val=&quot;005A2198&quot;/&gt;&lt;wsp:rsid wsp:val=&quot;005B20E3&quot;/&gt;&lt;wsp:rsid wsp:val=&quot;005C219B&quot;/&gt;&lt;wsp:rsid wsp:val=&quot;005C21AA&quot;/&gt;&lt;wsp:rsid wsp:val=&quot;005C30CF&quot;/&gt;&lt;wsp:rsid wsp:val=&quot;005C3112&quot;/&gt;&lt;wsp:rsid wsp:val=&quot;005C6011&quot;/&gt;&lt;wsp:rsid wsp:val=&quot;005D06F9&quot;/&gt;&lt;wsp:rsid wsp:val=&quot;005D0AD3&quot;/&gt;&lt;wsp:rsid wsp:val=&quot;005D18D9&quot;/&gt;&lt;wsp:rsid wsp:val=&quot;005D2263&quot;/&gt;&lt;wsp:rsid wsp:val=&quot;005D2CBB&quot;/&gt;&lt;wsp:rsid wsp:val=&quot;005D4A57&quot;/&gt;&lt;wsp:rsid wsp:val=&quot;005E231D&quot;/&gt;&lt;wsp:rsid wsp:val=&quot;005E439B&quot;/&gt;&lt;wsp:rsid wsp:val=&quot;005E463B&quot;/&gt;&lt;wsp:rsid wsp:val=&quot;005E6123&quot;/&gt;&lt;wsp:rsid wsp:val=&quot;005F628F&quot;/&gt;&lt;wsp:rsid wsp:val=&quot;00601C1C&quot;/&gt;&lt;wsp:rsid wsp:val=&quot;0060221F&quot;/&gt;&lt;wsp:rsid wsp:val=&quot;00602DD8&quot;/&gt;&lt;wsp:rsid wsp:val=&quot;00603B24&quot;/&gt;&lt;wsp:rsid wsp:val=&quot;00604DCD&quot;/&gt;&lt;wsp:rsid wsp:val=&quot;00605815&quot;/&gt;&lt;wsp:rsid wsp:val=&quot;00607BEB&quot;/&gt;&lt;wsp:rsid wsp:val=&quot;00623E84&quot;/&gt;&lt;wsp:rsid wsp:val=&quot;00632614&quot;/&gt;&lt;wsp:rsid wsp:val=&quot;00633E0C&quot;/&gt;&lt;wsp:rsid wsp:val=&quot;006406CF&quot;/&gt;&lt;wsp:rsid wsp:val=&quot;00642B61&quot;/&gt;&lt;wsp:rsid wsp:val=&quot;00651FDE&quot;/&gt;&lt;wsp:rsid wsp:val=&quot;006530AB&quot;/&gt;&lt;wsp:rsid wsp:val=&quot;00663D4A&quot;/&gt;&lt;wsp:rsid wsp:val=&quot;00670AE2&quot;/&gt;&lt;wsp:rsid wsp:val=&quot;006726AE&quot;/&gt;&lt;wsp:rsid wsp:val=&quot;0067433C&quot;/&gt;&lt;wsp:rsid wsp:val=&quot;00685518&quot;/&gt;&lt;wsp:rsid wsp:val=&quot;00690C8C&quot;/&gt;&lt;wsp:rsid wsp:val=&quot;006B4255&quot;/&gt;&lt;wsp:rsid wsp:val=&quot;006B622F&quot;/&gt;&lt;wsp:rsid wsp:val=&quot;006D4B9D&quot;/&gt;&lt;wsp:rsid wsp:val=&quot;006E1017&quot;/&gt;&lt;wsp:rsid wsp:val=&quot;006F218F&quot;/&gt;&lt;wsp:rsid wsp:val=&quot;006F797F&quot;/&gt;&lt;wsp:rsid wsp:val=&quot;00704A4C&quot;/&gt;&lt;wsp:rsid wsp:val=&quot;00706B09&quot;/&gt;&lt;wsp:rsid wsp:val=&quot;00710241&quot;/&gt;&lt;wsp:rsid wsp:val=&quot;00710416&quot;/&gt;&lt;wsp:rsid wsp:val=&quot;007115F9&quot;/&gt;&lt;wsp:rsid wsp:val=&quot;00715B58&quot;/&gt;&lt;wsp:rsid wsp:val=&quot;007179F3&quot;/&gt;&lt;wsp:rsid wsp:val=&quot;007239BD&quot;/&gt;&lt;wsp:rsid wsp:val=&quot;00724982&quot;/&gt;&lt;wsp:rsid wsp:val=&quot;00742197&quot;/&gt;&lt;wsp:rsid wsp:val=&quot;00743A22&quot;/&gt;&lt;wsp:rsid wsp:val=&quot;0075222B&quot;/&gt;&lt;wsp:rsid wsp:val=&quot;0075414C&quot;/&gt;&lt;wsp:rsid wsp:val=&quot;0076388B&quot;/&gt;&lt;wsp:rsid wsp:val=&quot;00766FE7&quot;/&gt;&lt;wsp:rsid wsp:val=&quot;00775FFB&quot;/&gt;&lt;wsp:rsid wsp:val=&quot;0078704B&quot;/&gt;&lt;wsp:rsid wsp:val=&quot;0079167C&quot;/&gt;&lt;wsp:rsid wsp:val=&quot;00794214&quot;/&gt;&lt;wsp:rsid wsp:val=&quot;007B40D5&quot;/&gt;&lt;wsp:rsid wsp:val=&quot;007C0311&quot;/&gt;&lt;wsp:rsid wsp:val=&quot;007D0F15&quot;/&gt;&lt;wsp:rsid wsp:val=&quot;007D7AFF&quot;/&gt;&lt;wsp:rsid wsp:val=&quot;007E411B&quot;/&gt;&lt;wsp:rsid wsp:val=&quot;007E7561&quot;/&gt;&lt;wsp:rsid wsp:val=&quot;007F4178&quot;/&gt;&lt;wsp:rsid wsp:val=&quot;007F554F&quot;/&gt;&lt;wsp:rsid wsp:val=&quot;007F74E4&quot;/&gt;&lt;wsp:rsid wsp:val=&quot;007F76E0&quot;/&gt;&lt;wsp:rsid wsp:val=&quot;008031FE&quot;/&gt;&lt;wsp:rsid wsp:val=&quot;008042E6&quot;/&gt;&lt;wsp:rsid wsp:val=&quot;008068EF&quot;/&gt;&lt;wsp:rsid wsp:val=&quot;00812CB4&quot;/&gt;&lt;wsp:rsid wsp:val=&quot;00815B7F&quot;/&gt;&lt;wsp:rsid wsp:val=&quot;00823629&quot;/&gt;&lt;wsp:rsid wsp:val=&quot;008246B0&quot;/&gt;&lt;wsp:rsid wsp:val=&quot;00830820&quot;/&gt;&lt;wsp:rsid wsp:val=&quot;0083315B&quot;/&gt;&lt;wsp:rsid wsp:val=&quot;008340BD&quot;/&gt;&lt;wsp:rsid wsp:val=&quot;008558F7&quot;/&gt;&lt;wsp:rsid wsp:val=&quot;00863458&quot;/&gt;&lt;wsp:rsid wsp:val=&quot;008824B5&quot;/&gt;&lt;wsp:rsid wsp:val=&quot;00884E58&quot;/&gt;&lt;wsp:rsid wsp:val=&quot;0089331E&quot;/&gt;&lt;wsp:rsid wsp:val=&quot;00896FAC&quot;/&gt;&lt;wsp:rsid wsp:val=&quot;008A35D8&quot;/&gt;&lt;wsp:rsid wsp:val=&quot;008C1153&quot;/&gt;&lt;wsp:rsid wsp:val=&quot;008C5D4A&quot;/&gt;&lt;wsp:rsid wsp:val=&quot;008C6580&quot;/&gt;&lt;wsp:rsid wsp:val=&quot;008D3544&quot;/&gt;&lt;wsp:rsid wsp:val=&quot;008E1719&quot;/&gt;&lt;wsp:rsid wsp:val=&quot;008E2A7F&quot;/&gt;&lt;wsp:rsid wsp:val=&quot;008F4FF2&quot;/&gt;&lt;wsp:rsid wsp:val=&quot;008F55E2&quot;/&gt;&lt;wsp:rsid wsp:val=&quot;00906E30&quot;/&gt;&lt;wsp:rsid wsp:val=&quot;009116B6&quot;/&gt;&lt;wsp:rsid wsp:val=&quot;0093774F&quot;/&gt;&lt;wsp:rsid wsp:val=&quot;00971652&quot;/&gt;&lt;wsp:rsid wsp:val=&quot;0097443D&quot;/&gt;&lt;wsp:rsid wsp:val=&quot;00982FCC&quot;/&gt;&lt;wsp:rsid wsp:val=&quot;0098314B&quot;/&gt;&lt;wsp:rsid wsp:val=&quot;00983444&quot;/&gt;&lt;wsp:rsid wsp:val=&quot;00986F65&quot;/&gt;&lt;wsp:rsid wsp:val=&quot;00990E46&quot;/&gt;&lt;wsp:rsid wsp:val=&quot;0099623A&quot;/&gt;&lt;wsp:rsid wsp:val=&quot;009A39AB&quot;/&gt;&lt;wsp:rsid wsp:val=&quot;009A4C7B&quot;/&gt;&lt;wsp:rsid wsp:val=&quot;009A597B&quot;/&gt;&lt;wsp:rsid wsp:val=&quot;009B779E&quot;/&gt;&lt;wsp:rsid wsp:val=&quot;009C1616&quot;/&gt;&lt;wsp:rsid wsp:val=&quot;009C34E5&quot;/&gt;&lt;wsp:rsid wsp:val=&quot;009C629B&quot;/&gt;&lt;wsp:rsid wsp:val=&quot;009C797F&quot;/&gt;&lt;wsp:rsid wsp:val=&quot;009E635E&quot;/&gt;&lt;wsp:rsid wsp:val=&quot;009F0099&quot;/&gt;&lt;wsp:rsid wsp:val=&quot;009F5F12&quot;/&gt;&lt;wsp:rsid wsp:val=&quot;00A00E8B&quot;/&gt;&lt;wsp:rsid wsp:val=&quot;00A014F3&quot;/&gt;&lt;wsp:rsid wsp:val=&quot;00A10F1A&quot;/&gt;&lt;wsp:rsid wsp:val=&quot;00A21015&quot;/&gt;&lt;wsp:rsid wsp:val=&quot;00A234BA&quot;/&gt;&lt;wsp:rsid wsp:val=&quot;00A313D3&quot;/&gt;&lt;wsp:rsid wsp:val=&quot;00A32CA9&quot;/&gt;&lt;wsp:rsid wsp:val=&quot;00A3469F&quot;/&gt;&lt;wsp:rsid wsp:val=&quot;00A42F9F&quot;/&gt;&lt;wsp:rsid wsp:val=&quot;00A4379E&quot;/&gt;&lt;wsp:rsid wsp:val=&quot;00A43BA3&quot;/&gt;&lt;wsp:rsid wsp:val=&quot;00A45CD2&quot;/&gt;&lt;wsp:rsid wsp:val=&quot;00A461FC&quot;/&gt;&lt;wsp:rsid wsp:val=&quot;00A516B9&quot;/&gt;&lt;wsp:rsid wsp:val=&quot;00A5472C&quot;/&gt;&lt;wsp:rsid wsp:val=&quot;00A55544&quot;/&gt;&lt;wsp:rsid wsp:val=&quot;00A61E62&quot;/&gt;&lt;wsp:rsid wsp:val=&quot;00A63B6E&quot;/&gt;&lt;wsp:rsid wsp:val=&quot;00A72C35&quot;/&gt;&lt;wsp:rsid wsp:val=&quot;00A73B95&quot;/&gt;&lt;wsp:rsid wsp:val=&quot;00A74C22&quot;/&gt;&lt;wsp:rsid wsp:val=&quot;00A76587&quot;/&gt;&lt;wsp:rsid wsp:val=&quot;00A77102&quot;/&gt;&lt;wsp:rsid wsp:val=&quot;00A906E2&quot;/&gt;&lt;wsp:rsid wsp:val=&quot;00A92B64&quot;/&gt;&lt;wsp:rsid wsp:val=&quot;00A97CEF&quot;/&gt;&lt;wsp:rsid wsp:val=&quot;00AA6650&quot;/&gt;&lt;wsp:rsid wsp:val=&quot;00AB45DA&quot;/&gt;&lt;wsp:rsid wsp:val=&quot;00AB74BB&quot;/&gt;&lt;wsp:rsid wsp:val=&quot;00AC3695&quot;/&gt;&lt;wsp:rsid wsp:val=&quot;00AC44E2&quot;/&gt;&lt;wsp:rsid wsp:val=&quot;00AD4ED7&quot;/&gt;&lt;wsp:rsid wsp:val=&quot;00AD5BD1&quot;/&gt;&lt;wsp:rsid wsp:val=&quot;00AE31D5&quot;/&gt;&lt;wsp:rsid wsp:val=&quot;00AF5A12&quot;/&gt;&lt;wsp:rsid wsp:val=&quot;00AF7544&quot;/&gt;&lt;wsp:rsid wsp:val=&quot;00B06B7E&quot;/&gt;&lt;wsp:rsid wsp:val=&quot;00B136B2&quot;/&gt;&lt;wsp:rsid wsp:val=&quot;00B14ED4&quot;/&gt;&lt;wsp:rsid wsp:val=&quot;00B16D96&quot;/&gt;&lt;wsp:rsid wsp:val=&quot;00B22299&quot;/&gt;&lt;wsp:rsid wsp:val=&quot;00B24936&quot;/&gt;&lt;wsp:rsid wsp:val=&quot;00B2754F&quot;/&gt;&lt;wsp:rsid wsp:val=&quot;00B305B2&quot;/&gt;&lt;wsp:rsid wsp:val=&quot;00B346A9&quot;/&gt;&lt;wsp:rsid wsp:val=&quot;00B34A94&quot;/&gt;&lt;wsp:rsid wsp:val=&quot;00B50A7A&quot;/&gt;&lt;wsp:rsid wsp:val=&quot;00B54A7B&quot;/&gt;&lt;wsp:rsid wsp:val=&quot;00B551D8&quot;/&gt;&lt;wsp:rsid wsp:val=&quot;00B61455&quot;/&gt;&lt;wsp:rsid wsp:val=&quot;00B620B6&quot;/&gt;&lt;wsp:rsid wsp:val=&quot;00B70683&quot;/&gt;&lt;wsp:rsid wsp:val=&quot;00B72ACB&quot;/&gt;&lt;wsp:rsid wsp:val=&quot;00B8132C&quot;/&gt;&lt;wsp:rsid wsp:val=&quot;00B82D19&quot;/&gt;&lt;wsp:rsid wsp:val=&quot;00B85335&quot;/&gt;&lt;wsp:rsid wsp:val=&quot;00B905C0&quot;/&gt;&lt;wsp:rsid wsp:val=&quot;00B912F4&quot;/&gt;&lt;wsp:rsid wsp:val=&quot;00B937E9&quot;/&gt;&lt;wsp:rsid wsp:val=&quot;00B9549A&quot;/&gt;&lt;wsp:rsid wsp:val=&quot;00B96394&quot;/&gt;&lt;wsp:rsid wsp:val=&quot;00B97060&quot;/&gt;&lt;wsp:rsid wsp:val=&quot;00BA187E&quot;/&gt;&lt;wsp:rsid wsp:val=&quot;00BA4DD6&quot;/&gt;&lt;wsp:rsid wsp:val=&quot;00BA527A&quot;/&gt;&lt;wsp:rsid wsp:val=&quot;00BB739A&quot;/&gt;&lt;wsp:rsid wsp:val=&quot;00BC42DA&quot;/&gt;&lt;wsp:rsid wsp:val=&quot;00BC46A3&quot;/&gt;&lt;wsp:rsid wsp:val=&quot;00BC7590&quot;/&gt;&lt;wsp:rsid wsp:val=&quot;00BC76D7&quot;/&gt;&lt;wsp:rsid wsp:val=&quot;00BD551E&quot;/&gt;&lt;wsp:rsid wsp:val=&quot;00BD5A4F&quot;/&gt;&lt;wsp:rsid wsp:val=&quot;00BD768F&quot;/&gt;&lt;wsp:rsid wsp:val=&quot;00BE5983&quot;/&gt;&lt;wsp:rsid wsp:val=&quot;00BF0B98&quot;/&gt;&lt;wsp:rsid wsp:val=&quot;00BF0E17&quot;/&gt;&lt;wsp:rsid wsp:val=&quot;00BF3CFC&quot;/&gt;&lt;wsp:rsid wsp:val=&quot;00BF6025&quot;/&gt;&lt;wsp:rsid wsp:val=&quot;00C01FB2&quot;/&gt;&lt;wsp:rsid wsp:val=&quot;00C04D5C&quot;/&gt;&lt;wsp:rsid wsp:val=&quot;00C06F81&quot;/&gt;&lt;wsp:rsid wsp:val=&quot;00C20237&quot;/&gt;&lt;wsp:rsid wsp:val=&quot;00C22EB7&quot;/&gt;&lt;wsp:rsid wsp:val=&quot;00C324A9&quot;/&gt;&lt;wsp:rsid wsp:val=&quot;00C325F3&quot;/&gt;&lt;wsp:rsid wsp:val=&quot;00C346CC&quot;/&gt;&lt;wsp:rsid wsp:val=&quot;00C3514D&quot;/&gt;&lt;wsp:rsid wsp:val=&quot;00C4401A&quot;/&gt;&lt;wsp:rsid wsp:val=&quot;00C5227D&quot;/&gt;&lt;wsp:rsid wsp:val=&quot;00C5609B&quot;/&gt;&lt;wsp:rsid wsp:val=&quot;00C56E68&quot;/&gt;&lt;wsp:rsid wsp:val=&quot;00C57779&quot;/&gt;&lt;wsp:rsid wsp:val=&quot;00C71788&quot;/&gt;&lt;wsp:rsid wsp:val=&quot;00C73D14&quot;/&gt;&lt;wsp:rsid wsp:val=&quot;00C75E36&quot;/&gt;&lt;wsp:rsid wsp:val=&quot;00C80484&quot;/&gt;&lt;wsp:rsid wsp:val=&quot;00C80B7C&quot;/&gt;&lt;wsp:rsid wsp:val=&quot;00C8260B&quot;/&gt;&lt;wsp:rsid wsp:val=&quot;00C87504&quot;/&gt;&lt;wsp:rsid wsp:val=&quot;00C90E02&quot;/&gt;&lt;wsp:rsid wsp:val=&quot;00CA11E7&quot;/&gt;&lt;wsp:rsid wsp:val=&quot;00CB5566&quot;/&gt;&lt;wsp:rsid wsp:val=&quot;00CC6806&quot;/&gt;&lt;wsp:rsid wsp:val=&quot;00CC6A56&quot;/&gt;&lt;wsp:rsid wsp:val=&quot;00CD2E25&quot;/&gt;&lt;wsp:rsid wsp:val=&quot;00CD5B6E&quot;/&gt;&lt;wsp:rsid wsp:val=&quot;00CD723F&quot;/&gt;&lt;wsp:rsid wsp:val=&quot;00CE7E79&quot;/&gt;&lt;wsp:rsid wsp:val=&quot;00CF3050&quot;/&gt;&lt;wsp:rsid wsp:val=&quot;00CF4544&quot;/&gt;&lt;wsp:rsid wsp:val=&quot;00D0341C&quot;/&gt;&lt;wsp:rsid wsp:val=&quot;00D11CF3&quot;/&gt;&lt;wsp:rsid wsp:val=&quot;00D120BB&quot;/&gt;&lt;wsp:rsid wsp:val=&quot;00D22908&quot;/&gt;&lt;wsp:rsid wsp:val=&quot;00D24EB7&quot;/&gt;&lt;wsp:rsid wsp:val=&quot;00D406AC&quot;/&gt;&lt;wsp:rsid wsp:val=&quot;00D47DDB&quot;/&gt;&lt;wsp:rsid wsp:val=&quot;00D505D0&quot;/&gt;&lt;wsp:rsid wsp:val=&quot;00D53B15&quot;/&gt;&lt;wsp:rsid wsp:val=&quot;00D56191&quot;/&gt;&lt;wsp:rsid wsp:val=&quot;00D61839&quot;/&gt;&lt;wsp:rsid wsp:val=&quot;00D624AC&quot;/&gt;&lt;wsp:rsid wsp:val=&quot;00D6550D&quot;/&gt;&lt;wsp:rsid wsp:val=&quot;00D6747A&quot;/&gt;&lt;wsp:rsid wsp:val=&quot;00D8280A&quot;/&gt;&lt;wsp:rsid wsp:val=&quot;00D91913&quot;/&gt;&lt;wsp:rsid wsp:val=&quot;00D94246&quot;/&gt;&lt;wsp:rsid wsp:val=&quot;00D952B0&quot;/&gt;&lt;wsp:rsid wsp:val=&quot;00DA0A25&quot;/&gt;&lt;wsp:rsid wsp:val=&quot;00DB08CF&quot;/&gt;&lt;wsp:rsid wsp:val=&quot;00DB2C9F&quot;/&gt;&lt;wsp:rsid wsp:val=&quot;00DB38F2&quot;/&gt;&lt;wsp:rsid wsp:val=&quot;00DC2E96&quot;/&gt;&lt;wsp:rsid wsp:val=&quot;00DC4CA5&quot;/&gt;&lt;wsp:rsid wsp:val=&quot;00DC77C3&quot;/&gt;&lt;wsp:rsid wsp:val=&quot;00DC77F9&quot;/&gt;&lt;wsp:rsid wsp:val=&quot;00DD5617&quot;/&gt;&lt;wsp:rsid wsp:val=&quot;00DD58EF&quot;/&gt;&lt;wsp:rsid wsp:val=&quot;00DE06AA&quot;/&gt;&lt;wsp:rsid wsp:val=&quot;00DF17FD&quot;/&gt;&lt;wsp:rsid wsp:val=&quot;00DF1E35&quot;/&gt;&lt;wsp:rsid wsp:val=&quot;00DF547D&quot;/&gt;&lt;wsp:rsid wsp:val=&quot;00DF6B85&quot;/&gt;&lt;wsp:rsid wsp:val=&quot;00E005AF&quot;/&gt;&lt;wsp:rsid wsp:val=&quot;00E12732&quot;/&gt;&lt;wsp:rsid wsp:val=&quot;00E12AFC&quot;/&gt;&lt;wsp:rsid wsp:val=&quot;00E15D14&quot;/&gt;&lt;wsp:rsid wsp:val=&quot;00E24178&quot;/&gt;&lt;wsp:rsid wsp:val=&quot;00E27380&quot;/&gt;&lt;wsp:rsid wsp:val=&quot;00E27657&quot;/&gt;&lt;wsp:rsid wsp:val=&quot;00E33953&quot;/&gt;&lt;wsp:rsid wsp:val=&quot;00E3533B&quot;/&gt;&lt;wsp:rsid wsp:val=&quot;00E46D50&quot;/&gt;&lt;wsp:rsid wsp:val=&quot;00E47094&quot;/&gt;&lt;wsp:rsid wsp:val=&quot;00E47382&quot;/&gt;&lt;wsp:rsid wsp:val=&quot;00E47ED5&quot;/&gt;&lt;wsp:rsid wsp:val=&quot;00E56DDD&quot;/&gt;&lt;wsp:rsid wsp:val=&quot;00E7183A&quot;/&gt;&lt;wsp:rsid wsp:val=&quot;00E72873&quot;/&gt;&lt;wsp:rsid wsp:val=&quot;00E73D7D&quot;/&gt;&lt;wsp:rsid wsp:val=&quot;00E777BC&quot;/&gt;&lt;wsp:rsid wsp:val=&quot;00E77B63&quot;/&gt;&lt;wsp:rsid wsp:val=&quot;00E808BD&quot;/&gt;&lt;wsp:rsid wsp:val=&quot;00E82E24&quot;/&gt;&lt;wsp:rsid wsp:val=&quot;00E82E48&quot;/&gt;&lt;wsp:rsid wsp:val=&quot;00E85779&quot;/&gt;&lt;wsp:rsid wsp:val=&quot;00EA69C6&quot;/&gt;&lt;wsp:rsid wsp:val=&quot;00EB196D&quot;/&gt;&lt;wsp:rsid wsp:val=&quot;00EB2399&quot;/&gt;&lt;wsp:rsid wsp:val=&quot;00EC398C&quot;/&gt;&lt;wsp:rsid wsp:val=&quot;00ED3A21&quot;/&gt;&lt;wsp:rsid wsp:val=&quot;00ED44E9&quot;/&gt;&lt;wsp:rsid wsp:val=&quot;00EE56A8&quot;/&gt;&lt;wsp:rsid wsp:val=&quot;00EF19A7&quot;/&gt;&lt;wsp:rsid wsp:val=&quot;00EF3CCB&quot;/&gt;&lt;wsp:rsid wsp:val=&quot;00EF7189&quot;/&gt;&lt;wsp:rsid wsp:val=&quot;00F00B94&quot;/&gt;&lt;wsp:rsid wsp:val=&quot;00F02F23&quot;/&gt;&lt;wsp:rsid wsp:val=&quot;00F03050&quot;/&gt;&lt;wsp:rsid wsp:val=&quot;00F06B6B&quot;/&gt;&lt;wsp:rsid wsp:val=&quot;00F21B22&quot;/&gt;&lt;wsp:rsid wsp:val=&quot;00F23BE8&quot;/&gt;&lt;wsp:rsid wsp:val=&quot;00F272CE&quot;/&gt;&lt;wsp:rsid wsp:val=&quot;00F3058C&quot;/&gt;&lt;wsp:rsid wsp:val=&quot;00F3197F&quot;/&gt;&lt;wsp:rsid wsp:val=&quot;00F455D6&quot;/&gt;&lt;wsp:rsid wsp:val=&quot;00F45F97&quot;/&gt;&lt;wsp:rsid wsp:val=&quot;00F46E96&quot;/&gt;&lt;wsp:rsid wsp:val=&quot;00F5179E&quot;/&gt;&lt;wsp:rsid wsp:val=&quot;00F60827&quot;/&gt;&lt;wsp:rsid wsp:val=&quot;00F60C91&quot;/&gt;&lt;wsp:rsid wsp:val=&quot;00F6107E&quot;/&gt;&lt;wsp:rsid wsp:val=&quot;00F71B52&quot;/&gt;&lt;wsp:rsid wsp:val=&quot;00F762F1&quot;/&gt;&lt;wsp:rsid wsp:val=&quot;00F846EE&quot;/&gt;&lt;wsp:rsid wsp:val=&quot;00F86FC1&quot;/&gt;&lt;wsp:rsid wsp:val=&quot;00F874A6&quot;/&gt;&lt;wsp:rsid wsp:val=&quot;00F91FE0&quot;/&gt;&lt;wsp:rsid wsp:val=&quot;00F92673&quot;/&gt;&lt;wsp:rsid wsp:val=&quot;00F9286A&quot;/&gt;&lt;wsp:rsid wsp:val=&quot;00F93C48&quot;/&gt;&lt;wsp:rsid wsp:val=&quot;00F94D29&quot;/&gt;&lt;wsp:rsid wsp:val=&quot;00F966EF&quot;/&gt;&lt;wsp:rsid wsp:val=&quot;00FC4369&quot;/&gt;&lt;wsp:rsid wsp:val=&quot;00FC582E&quot;/&gt;&lt;wsp:rsid wsp:val=&quot;00FD3B36&quot;/&gt;&lt;wsp:rsid wsp:val=&quot;00FD4C77&quot;/&gt;&lt;wsp:rsid wsp:val=&quot;00FD75C8&quot;/&gt;&lt;wsp:rsid wsp:val=&quot;00FE048E&quot;/&gt;&lt;wsp:rsid wsp:val=&quot;00FF061F&quot;/&gt;&lt;wsp:rsid wsp:val=&quot;00FF4AB1&quot;/&gt;&lt;/wsp:rsids&gt;&lt;/w:docPr&gt;&lt;w:body&gt;&lt;w:p wsp:rsidR=&quot;00000000&quot; wsp:rsidRDefault=&quot;001F3487&quot;&gt;&lt;m:oMathPara&gt;&lt;m:oMath&gt;&lt;m:r&gt;&lt;m:rPr&gt;&lt;m:sty m:val=&quot;p&quot;/&gt;&lt;/m:rPr&gt;&lt;w:rPr&gt;&lt;w:rFonts w:ascii=&quot;Cambria Math&quot; w:h-ansi=&quot;Cambria Math&quot;/&gt;&lt;wx:font wx:val=&quot;Cambria Math&quot;/&gt;&lt;/w:rPr&gt;&lt;m:t&gt;R=&lt;/m:t&gt;&lt;/m:r&gt;&lt;m:f&gt;&lt;m:fPr&gt;&lt;m:ctrlPr&gt;&lt;w:rPr&gt;&lt;w:rFonts w:ascii=&quot;Cambria Math&quot; w:h-ansi=&quot;Cambria Math&quot;/&gt;&lt;wx:font wx:val=&quot;Cambria Math&quot;/&gt;&lt;/w:rPr&gt;&lt;/m:ctrlPr&gt;&lt;/m:fPr&gt;&lt;m:num&gt;&lt;m:r&gt;&lt;m:rPr&gt;&lt;m:sty m:val=&quot;p&quot;/&gt;&lt;/m:rPr&gt;&lt;w:rPr&gt;&lt;w:rFonts w:ascii=&quot;Cambria Math&quot; w:h-ansi=&quot;Cambria Math&quot; w:cs=&quot;Cambria Math&quot;/&gt;&lt;wx:font wx:val=&quot;Cambria Math&quot;/&gt;&lt;/w:rPr&gt;&lt;m:t&gt;A&lt;/m:t&gt;&lt;/m:r&gt;&lt;/m:num&gt;&lt;m:den&gt;&lt;m:d&gt;&lt;m:dPr&gt;&lt;m:ctrlPr&gt;&lt;w:rPr&gt;&lt;w:rFonts w:ascii=&quot;Cambria Math&quot; w:h-ansi=&quot;Cambria Math&quot; w:cs=&quot;Cambria Math&quot;/&gt;&lt;wx:font wx:val=&quot;Cambria Math&quot;/&gt;&lt;/w:rPr&gt;&lt;/m:ctrlPr&gt;&lt;/m:dPr&gt;&lt;m:e&gt;&lt;m:r&gt;&lt;m:rPr&gt;&lt;m:sty m:val=&quot;p&quot;/&gt;&lt;/m:rPr&gt;&lt;w:rPr&gt;&lt;w:rFonts w:ascii=&quot;Cambria Math&quot; w:h-ansi=&quot;Cambria Math&quot; w:cs=&quot;Cambria Math&quot;/&gt;&lt;wx:font wx:val=&quot;Cambria Math&quot;/&gt;&lt;/w:rPr&gt;&lt;m:t&gt;F2-F1&lt;/m:t&gt;&lt;/m:r&gt;&lt;/m:e&gt;&lt;/m:d&gt;&lt;m:r&gt;&lt;m:rPr&gt;&lt;m:sty m:val=&quot;p&quot;/&gt;&lt;/m:rPr&gt;&lt;w:rPr&gt;&lt;w:rFonts w:ascii=&quot;Cambria Math&quot; w:h-ansi=&quot;Cambria Math&quot; w:cs=&quot;Cambria Math&quot;/&gt;&lt;wx:font wx:val=&quot;Cambria Math&quot;/&gt;&lt;/w:rPr&gt;&lt;m:t&gt;S&lt;/m:t&gt;&lt;/m:r&gt;&lt;/m:den&gt;&lt;/m:f&gt;&lt;m:r&gt;&lt;m:rPr&gt;&lt;m:sty m:val=&quot;p&quot;/&gt;&lt;/m:rPr&gt;&lt;w:rPr&gt;&lt;w:rFonts w:ascii=&quot;Cambria Math&quot; w:h-ansi=&quot;Cambria Math&quot;/&gt;&lt;wx:font wx:val=&quot;Cambria Math&quot;/&gt;&lt;/w:rPr&gt;&lt;m:t&gt;(C-F1S)&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path/>
            <v:fill on="f" focussize="0,0"/>
            <v:stroke on="f"/>
            <v:imagedata r:id="rId4" chromakey="#FFFFFF" o:title=""/>
            <o:lock v:ext="edit" aspectratio="t"/>
            <w10:wrap type="none"/>
            <w10:anchorlock/>
          </v:shape>
        </w:pict>
      </w:r>
      <w:r>
        <w:rPr>
          <w:rFonts w:hint="eastAsia" w:ascii="仿宋" w:hAnsi="仿宋" w:eastAsia="仿宋" w:cs="仿宋"/>
          <w:color w:val="auto"/>
          <w:sz w:val="24"/>
          <w:szCs w:val="24"/>
        </w:rPr>
        <w:fldChar w:fldCharType="end"/>
      </w:r>
    </w:p>
    <w:p w14:paraId="7C12FC8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式中　R——每次进度付款中累计扣回的金额；</w:t>
      </w:r>
    </w:p>
    <w:p w14:paraId="3CD0654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A——工程预付款总金额；</w:t>
      </w:r>
    </w:p>
    <w:p w14:paraId="3DABC45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S——签约合同价；</w:t>
      </w:r>
    </w:p>
    <w:p w14:paraId="2703BCD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C——合同累计完成金额；</w:t>
      </w:r>
    </w:p>
    <w:p w14:paraId="1FEF941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F1——开始扣款时合同累计完成金额达到签约合同价的比例；</w:t>
      </w:r>
    </w:p>
    <w:p w14:paraId="369EF9E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F2——全部扣清时合同累计完成金额达到签约合同价的比例。</w:t>
      </w:r>
    </w:p>
    <w:p w14:paraId="783B12C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上述合同累计完成金额均指价格调整前未扣质量保证金的金额。</w:t>
      </w:r>
    </w:p>
    <w:p w14:paraId="0A2EE14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(2)工程材料预付款的扣回与还清约定为：　　　　。</w:t>
      </w:r>
    </w:p>
    <w:p w14:paraId="279BAFA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　质量保证金</w:t>
      </w:r>
    </w:p>
    <w:p w14:paraId="69F1159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17.4.1　每个付款周期扣留的质量保证金为工程进度付款的　　　　%，扣留的质量保证金总额为签约合同价的　　　　%。</w:t>
      </w:r>
    </w:p>
    <w:p w14:paraId="6F1EC335">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6" w:name="_Toc18413"/>
      <w:r>
        <w:rPr>
          <w:rFonts w:hint="eastAsia" w:ascii="仿宋" w:hAnsi="仿宋" w:eastAsia="仿宋" w:cs="仿宋"/>
          <w:color w:val="auto"/>
          <w:sz w:val="24"/>
          <w:szCs w:val="24"/>
        </w:rPr>
        <w:t>17.5　竣工(完工)结算</w:t>
      </w:r>
      <w:bookmarkEnd w:id="136"/>
    </w:p>
    <w:p w14:paraId="5971308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17.5.1　竣工(完工)付款申请单</w:t>
      </w:r>
    </w:p>
    <w:p w14:paraId="297CA25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(1)承包人应提交完工付款申请单一式　　　　份。</w:t>
      </w:r>
    </w:p>
    <w:p w14:paraId="32C5944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7" w:name="_Toc27642"/>
      <w:r>
        <w:rPr>
          <w:rFonts w:hint="eastAsia" w:ascii="仿宋" w:hAnsi="仿宋" w:eastAsia="仿宋" w:cs="仿宋"/>
          <w:color w:val="auto"/>
          <w:sz w:val="24"/>
          <w:szCs w:val="24"/>
        </w:rPr>
        <w:t>17.6　最终结清</w:t>
      </w:r>
      <w:bookmarkEnd w:id="137"/>
    </w:p>
    <w:p w14:paraId="439512F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17.6.1　最终结清申请单</w:t>
      </w:r>
    </w:p>
    <w:p w14:paraId="40D6E6E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(1)承包人应提交最终结清申请单一式　　　份。</w:t>
      </w:r>
    </w:p>
    <w:p w14:paraId="4AD838E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38" w:name="_Toc18035"/>
      <w:r>
        <w:rPr>
          <w:rFonts w:hint="eastAsia" w:ascii="仿宋" w:hAnsi="仿宋" w:eastAsia="仿宋" w:cs="仿宋"/>
          <w:color w:val="auto"/>
          <w:sz w:val="24"/>
          <w:szCs w:val="24"/>
        </w:rPr>
        <w:t>17.7　竣工财务决算</w:t>
      </w:r>
      <w:bookmarkEnd w:id="138"/>
    </w:p>
    <w:p w14:paraId="720C5C7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承包人应为竣工财务决算编制提供的资料：　　　　　。</w:t>
      </w:r>
    </w:p>
    <w:p w14:paraId="66B5E42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39" w:name="第04章合同条款及格式0218"/>
      <w:bookmarkEnd w:id="139"/>
      <w:r>
        <w:rPr>
          <w:rFonts w:hint="eastAsia" w:ascii="仿宋" w:hAnsi="仿宋" w:eastAsia="仿宋" w:cs="仿宋"/>
          <w:b/>
          <w:color w:val="auto"/>
          <w:sz w:val="24"/>
          <w:szCs w:val="24"/>
        </w:rPr>
        <w:t>18　竣工验收(验收)</w:t>
      </w:r>
    </w:p>
    <w:p w14:paraId="40E961D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18.1　验收工作分类</w:t>
      </w:r>
    </w:p>
    <w:p w14:paraId="0A19946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本工程法人验收包括：　　　　；政府验收包括：　　　　。验收条件为：　　　　　，验收程序为：　　　　。</w:t>
      </w:r>
    </w:p>
    <w:p w14:paraId="38BFE976">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0" w:name="_Toc29399"/>
      <w:r>
        <w:rPr>
          <w:rFonts w:hint="eastAsia" w:ascii="仿宋" w:hAnsi="仿宋" w:eastAsia="仿宋" w:cs="仿宋"/>
          <w:color w:val="auto"/>
          <w:sz w:val="24"/>
          <w:szCs w:val="24"/>
        </w:rPr>
        <w:t>18.2　分部工程验收</w:t>
      </w:r>
      <w:bookmarkEnd w:id="140"/>
    </w:p>
    <w:p w14:paraId="5043051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18.2.2　本工程由发包人主持的分部工程验收为　　　　，其余由监理人主持。</w:t>
      </w:r>
    </w:p>
    <w:p w14:paraId="30D444B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　单位工程验收</w:t>
      </w:r>
    </w:p>
    <w:p w14:paraId="7276B41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18.3.4　提前投入使用的单位工程包括：　　、　　、　　。</w:t>
      </w:r>
    </w:p>
    <w:p w14:paraId="1E84617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18.5　阶段验收</w:t>
      </w:r>
    </w:p>
    <w:p w14:paraId="4F9FE6A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18.5.1　本合同工程阶段验收类别包括：　　、　　、　　。</w:t>
      </w:r>
    </w:p>
    <w:p w14:paraId="6278AB14">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1" w:name="_Toc19246"/>
      <w:r>
        <w:rPr>
          <w:rFonts w:hint="eastAsia" w:ascii="仿宋" w:hAnsi="仿宋" w:eastAsia="仿宋" w:cs="仿宋"/>
          <w:color w:val="auto"/>
          <w:sz w:val="24"/>
          <w:szCs w:val="24"/>
        </w:rPr>
        <w:t>18.6　专项验收</w:t>
      </w:r>
      <w:bookmarkEnd w:id="141"/>
    </w:p>
    <w:p w14:paraId="475596C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18.6.2　本合同工程专项验收类别包括：　　、　　、　　。</w:t>
      </w:r>
    </w:p>
    <w:p w14:paraId="7D0D019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　竣工验收</w:t>
      </w:r>
    </w:p>
    <w:p w14:paraId="7327F723">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18.7.3　本工程　　　　(需要／不需要)竣工验收技术鉴定(蓄水安全鉴定)。</w:t>
      </w:r>
    </w:p>
    <w:p w14:paraId="13121BC7">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2" w:name="_Toc14036"/>
      <w:r>
        <w:rPr>
          <w:rFonts w:hint="eastAsia" w:ascii="仿宋" w:hAnsi="仿宋" w:eastAsia="仿宋" w:cs="仿宋"/>
          <w:color w:val="auto"/>
          <w:sz w:val="24"/>
          <w:szCs w:val="24"/>
        </w:rPr>
        <w:t>18.8　施工期运行</w:t>
      </w:r>
      <w:bookmarkEnd w:id="142"/>
    </w:p>
    <w:p w14:paraId="09F2281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18.8.1　需要在施工期运行的单位工程或工程设备为：　　、　　、　　。</w:t>
      </w:r>
    </w:p>
    <w:p w14:paraId="3E5457C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3" w:name="_Toc11856"/>
      <w:r>
        <w:rPr>
          <w:rFonts w:hint="eastAsia" w:ascii="仿宋" w:hAnsi="仿宋" w:eastAsia="仿宋" w:cs="仿宋"/>
          <w:color w:val="auto"/>
          <w:sz w:val="24"/>
          <w:szCs w:val="24"/>
        </w:rPr>
        <w:t>18.9　试运行</w:t>
      </w:r>
      <w:bookmarkEnd w:id="143"/>
    </w:p>
    <w:p w14:paraId="432A505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18.9.1　试运行的组织：　　；费用承担：　　。</w:t>
      </w:r>
    </w:p>
    <w:p w14:paraId="140F5A33">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44" w:name="第04章合同条款及格式0219"/>
      <w:bookmarkEnd w:id="144"/>
      <w:bookmarkStart w:id="145" w:name="_Toc3907"/>
      <w:r>
        <w:rPr>
          <w:rFonts w:hint="eastAsia" w:ascii="仿宋" w:hAnsi="仿宋" w:eastAsia="仿宋" w:cs="仿宋"/>
          <w:b/>
          <w:color w:val="auto"/>
          <w:sz w:val="24"/>
          <w:szCs w:val="24"/>
        </w:rPr>
        <w:t>19　缺陷责任与保修责任</w:t>
      </w:r>
      <w:bookmarkEnd w:id="145"/>
    </w:p>
    <w:p w14:paraId="210CE7A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19.1　缺陷责任期(工程质量保修期)的起算时间</w:t>
      </w:r>
    </w:p>
    <w:p w14:paraId="21CF5D4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本工程缺陷责任期(工程质量保修期)计算如下：　　　　。</w:t>
      </w:r>
    </w:p>
    <w:p w14:paraId="708B240F">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b/>
          <w:color w:val="auto"/>
          <w:sz w:val="24"/>
          <w:szCs w:val="24"/>
        </w:rPr>
      </w:pPr>
      <w:bookmarkStart w:id="146" w:name="第04章合同条款及格式0220"/>
      <w:bookmarkEnd w:id="146"/>
      <w:bookmarkStart w:id="147" w:name="_Toc29224"/>
      <w:r>
        <w:rPr>
          <w:rFonts w:hint="eastAsia" w:ascii="仿宋" w:hAnsi="仿宋" w:eastAsia="仿宋" w:cs="仿宋"/>
          <w:b/>
          <w:color w:val="auto"/>
          <w:sz w:val="24"/>
          <w:szCs w:val="24"/>
        </w:rPr>
        <w:t>20　保险</w:t>
      </w:r>
      <w:bookmarkEnd w:id="147"/>
    </w:p>
    <w:p w14:paraId="0B4782E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20.1　工程保险</w:t>
      </w:r>
    </w:p>
    <w:p w14:paraId="20716FA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建筑工程一切险和(或)安装工程一切险投保人：　　；</w:t>
      </w:r>
    </w:p>
    <w:p w14:paraId="3304C49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投保内容：　　；</w:t>
      </w:r>
    </w:p>
    <w:p w14:paraId="732386A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保险金额、保险费率和保险期限：　　　　　　。</w:t>
      </w:r>
    </w:p>
    <w:p w14:paraId="4C782843">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48" w:name="_Toc25713"/>
      <w:r>
        <w:rPr>
          <w:rFonts w:hint="eastAsia" w:ascii="仿宋" w:hAnsi="仿宋" w:eastAsia="仿宋" w:cs="仿宋"/>
          <w:color w:val="auto"/>
          <w:sz w:val="24"/>
          <w:szCs w:val="24"/>
        </w:rPr>
        <w:t>20.4　第三者责任险</w:t>
      </w:r>
      <w:bookmarkEnd w:id="148"/>
    </w:p>
    <w:p w14:paraId="44E7058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20.4.2　第三者责任险保险费率：　　　　；</w:t>
      </w:r>
    </w:p>
    <w:p w14:paraId="19CE1FD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第三者责任险保险金额：　　　。</w:t>
      </w:r>
    </w:p>
    <w:p w14:paraId="3796A28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20.5　其它保险</w:t>
      </w:r>
    </w:p>
    <w:p w14:paraId="2E5AD950">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需要投保的其它内容：　　　　；</w:t>
      </w:r>
    </w:p>
    <w:p w14:paraId="37A2063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保险金额、保险费率和保险期限：　　　　。</w:t>
      </w:r>
    </w:p>
    <w:p w14:paraId="4BE4CF9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　对各项保险的一般要求</w:t>
      </w:r>
    </w:p>
    <w:p w14:paraId="1CA4D65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20.6.1　保险凭证</w:t>
      </w:r>
    </w:p>
    <w:p w14:paraId="36305AD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承包人提交保险凭证的期限：　　　　。</w:t>
      </w:r>
    </w:p>
    <w:p w14:paraId="1D8E9EA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保险条件：　　　　；</w:t>
      </w:r>
    </w:p>
    <w:p w14:paraId="14119F5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20.6.4　保险金不足的补偿</w:t>
      </w:r>
    </w:p>
    <w:p w14:paraId="3A9E04F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承包人负责补偿的范围与金额：　　　　；</w:t>
      </w:r>
    </w:p>
    <w:p w14:paraId="547C12A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发包人负责补偿的范围与金额：　　　　。</w:t>
      </w:r>
    </w:p>
    <w:p w14:paraId="08E038E1">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b/>
          <w:color w:val="auto"/>
          <w:sz w:val="24"/>
          <w:szCs w:val="24"/>
        </w:rPr>
      </w:pPr>
      <w:bookmarkStart w:id="149" w:name="第04章合同条款及格式0224"/>
      <w:bookmarkEnd w:id="149"/>
      <w:r>
        <w:rPr>
          <w:rFonts w:hint="eastAsia" w:ascii="仿宋" w:hAnsi="仿宋" w:eastAsia="仿宋" w:cs="仿宋"/>
          <w:b/>
          <w:color w:val="auto"/>
          <w:sz w:val="24"/>
          <w:szCs w:val="24"/>
        </w:rPr>
        <w:t>24　争议的解决</w:t>
      </w:r>
    </w:p>
    <w:p w14:paraId="1D84E73A">
      <w:pPr>
        <w:keepNext w:val="0"/>
        <w:keepLines w:val="0"/>
        <w:pageBreakBefore w:val="0"/>
        <w:widowControl w:val="0"/>
        <w:kinsoku/>
        <w:wordWrap/>
        <w:overflowPunct/>
        <w:topLinePunct/>
        <w:autoSpaceDE/>
        <w:autoSpaceDN/>
        <w:bidi w:val="0"/>
        <w:adjustRightInd/>
        <w:snapToGrid/>
        <w:spacing w:line="360" w:lineRule="auto"/>
        <w:textAlignment w:val="auto"/>
        <w:outlineLvl w:val="0"/>
        <w:rPr>
          <w:rFonts w:hint="eastAsia" w:ascii="仿宋" w:hAnsi="仿宋" w:eastAsia="仿宋" w:cs="仿宋"/>
          <w:color w:val="auto"/>
          <w:sz w:val="24"/>
          <w:szCs w:val="24"/>
        </w:rPr>
      </w:pPr>
      <w:r>
        <w:rPr>
          <w:rFonts w:hint="eastAsia" w:ascii="仿宋" w:hAnsi="仿宋" w:eastAsia="仿宋" w:cs="仿宋"/>
          <w:color w:val="auto"/>
          <w:sz w:val="24"/>
          <w:szCs w:val="24"/>
        </w:rPr>
        <w:t>　</w:t>
      </w:r>
      <w:bookmarkStart w:id="150" w:name="_Toc30748"/>
      <w:r>
        <w:rPr>
          <w:rFonts w:hint="eastAsia" w:ascii="仿宋" w:hAnsi="仿宋" w:eastAsia="仿宋" w:cs="仿宋"/>
          <w:color w:val="auto"/>
          <w:sz w:val="24"/>
          <w:szCs w:val="24"/>
        </w:rPr>
        <w:t>24.1　争议的解决方式</w:t>
      </w:r>
      <w:bookmarkEnd w:id="150"/>
    </w:p>
    <w:p w14:paraId="5F5D609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合同当事人友好协商解决不成、不愿提请争议评审或不接受争议评审组意见的，约定的合同争议解决方式：　　　　。</w:t>
      </w:r>
    </w:p>
    <w:p w14:paraId="7B1F578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4DAF474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1351FB7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165555C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5F0FA8DF">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7F7B5E27">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00B4FE34">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4FA12DE3">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4B7A189B">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03CE43C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286B2D9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461A8A5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7BFA417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3B548166">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33946DF2">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3C14A20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6C6A779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667910CC">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color w:val="auto"/>
          <w:sz w:val="24"/>
          <w:szCs w:val="24"/>
        </w:rPr>
      </w:pPr>
    </w:p>
    <w:p w14:paraId="5DF56350">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第3节　合同附件格式</w:t>
      </w:r>
    </w:p>
    <w:p w14:paraId="296F5EA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附件一：</w:t>
      </w:r>
    </w:p>
    <w:p w14:paraId="175C2E31">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bookmarkStart w:id="151" w:name="第04章合同条款及格式03附件01"/>
      <w:bookmarkEnd w:id="151"/>
      <w:r>
        <w:rPr>
          <w:rFonts w:hint="eastAsia" w:ascii="仿宋" w:hAnsi="仿宋" w:eastAsia="仿宋" w:cs="仿宋"/>
          <w:b/>
          <w:color w:val="auto"/>
          <w:sz w:val="24"/>
          <w:szCs w:val="24"/>
        </w:rPr>
        <w:t>合同协议书</w:t>
      </w:r>
    </w:p>
    <w:p w14:paraId="5E0B6F3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(发包人名称，以下简称“发包人”)为实施</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(项目名称)，已接受</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(承包人名称，以下简称“承包人”)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对(项目名称)</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(标段名称)的投标，并确定其为中标人。发包人和承包人共同达成如下协议。</w:t>
      </w:r>
    </w:p>
    <w:p w14:paraId="4933EB7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1.本协议书与下列文件一起构成合同文件：</w:t>
      </w:r>
    </w:p>
    <w:p w14:paraId="664DCEA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(1)中标通知书；</w:t>
      </w:r>
    </w:p>
    <w:p w14:paraId="6E31238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(2)投标函及投标函附录；</w:t>
      </w:r>
    </w:p>
    <w:p w14:paraId="31202846">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(3)专用合同条款；</w:t>
      </w:r>
    </w:p>
    <w:p w14:paraId="3E74E3A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(4)通用合同条款；</w:t>
      </w:r>
    </w:p>
    <w:p w14:paraId="17C8E5A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(5)技术标准和要求(合同技术条款)；</w:t>
      </w:r>
    </w:p>
    <w:p w14:paraId="6A0B144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(6)图纸；</w:t>
      </w:r>
    </w:p>
    <w:p w14:paraId="752E06D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(7)已标价工程量清单；</w:t>
      </w:r>
    </w:p>
    <w:p w14:paraId="313F5B7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(8)其它合同文件。</w:t>
      </w:r>
    </w:p>
    <w:p w14:paraId="54E9CFB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2.上述文件互相补充和解释，如有不明确或不一致之处，以合同约定次序在先者为准。</w:t>
      </w:r>
    </w:p>
    <w:p w14:paraId="2B5BDC7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3.签约合同价：人民币(大写)</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p>
    <w:p w14:paraId="1CE6F8F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4.承包人项目经理：　　　　。</w:t>
      </w:r>
    </w:p>
    <w:p w14:paraId="1360B5D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5.工程质量符合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标准。</w:t>
      </w:r>
    </w:p>
    <w:p w14:paraId="750C004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6.承包人承诺按合同约定承担工程的实施、完成及缺陷修复。</w:t>
      </w:r>
    </w:p>
    <w:p w14:paraId="2DCCAF5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7.发包人承诺按合同约定的条件、时间和方式向承包人支付合同价款。</w:t>
      </w:r>
    </w:p>
    <w:p w14:paraId="0A81DC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8.承包人承诺执行监理人开工通知，计划工期为</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天。</w:t>
      </w:r>
    </w:p>
    <w:p w14:paraId="0216DB0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9.本协议书一式</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份，合同双方各执一份。</w:t>
      </w:r>
    </w:p>
    <w:p w14:paraId="1D9876A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10.合同未尽事宜，双方另行签订补充协议。补充协议是合同的组成部分。</w:t>
      </w:r>
    </w:p>
    <w:p w14:paraId="14B637A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发包人：　　(盖单位章)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承包人：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(盖单位章)</w:t>
      </w:r>
    </w:p>
    <w:p w14:paraId="1EB2282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313C4E2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　　(签字)法定代表人或其委托代理人：　(签字)</w:t>
      </w:r>
    </w:p>
    <w:p w14:paraId="4F1DCAF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年　　月　　日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年　　月　　日</w:t>
      </w:r>
    </w:p>
    <w:p w14:paraId="2307626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61DA69A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附件二：</w:t>
      </w:r>
    </w:p>
    <w:p w14:paraId="0149949A">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履约担保</w:t>
      </w:r>
    </w:p>
    <w:p w14:paraId="6FA3DE54">
      <w:pPr>
        <w:keepNext w:val="0"/>
        <w:keepLines w:val="0"/>
        <w:pageBreakBefore w:val="0"/>
        <w:widowControl w:val="0"/>
        <w:kinsoku/>
        <w:wordWrap/>
        <w:overflowPunct/>
        <w:topLinePunct/>
        <w:autoSpaceDE/>
        <w:autoSpaceDN/>
        <w:bidi w:val="0"/>
        <w:adjustRightInd/>
        <w:snapToGrid/>
        <w:spacing w:line="360" w:lineRule="auto"/>
        <w:jc w:val="left"/>
        <w:textAlignment w:val="auto"/>
        <w:rPr>
          <w:rFonts w:hint="eastAsia" w:ascii="仿宋" w:hAnsi="仿宋" w:eastAsia="仿宋" w:cs="仿宋"/>
          <w:color w:val="auto"/>
          <w:sz w:val="24"/>
          <w:szCs w:val="24"/>
        </w:rPr>
      </w:pPr>
    </w:p>
    <w:p w14:paraId="23E1DB5F">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w:t>
      </w:r>
    </w:p>
    <w:p w14:paraId="67588C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鉴于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(发包人名称，以下简称“发包人”)已接受</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(承包人名称，以下简称“承包人”)于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日递交的</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(项目名称)　　　(标段名称)的投标文件。我方愿意无条件地、不可撤销地就承包人履行与你方订立的合同，向你方提供担保。</w:t>
      </w:r>
    </w:p>
    <w:p w14:paraId="6B9CD259">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1.担保金额人民币(大写)</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p>
    <w:p w14:paraId="1556525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2.担保有效期自发包人与承包人签订的合同生效之日起至发包人签发合同工程完工证书之日止。</w:t>
      </w:r>
    </w:p>
    <w:p w14:paraId="6301474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3.在本担保有效期内，因承包人违反合同约定的义务给你方造成经济损失时，我方在收到你方以书面形式提出的在担保金额内的赔偿要求后，无条件地在7天内予以支付。</w:t>
      </w:r>
    </w:p>
    <w:p w14:paraId="0AB39E8B">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4.发包人和承包人按《通用合同条款》第15条变更合同时，我方承担本担保规定的义务不变。</w:t>
      </w:r>
    </w:p>
    <w:p w14:paraId="0831D28B">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担保人：　　　　　　　　　　　(盖单位章)</w:t>
      </w:r>
    </w:p>
    <w:p w14:paraId="263D7D4D">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　　　　(签字)</w:t>
      </w:r>
    </w:p>
    <w:p w14:paraId="157B25D4">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地址：　　　　　　　　　　　　　　　　　</w:t>
      </w:r>
    </w:p>
    <w:p w14:paraId="784AEDB0">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邮政编码：　　　　　　　　　　　　　　　</w:t>
      </w:r>
    </w:p>
    <w:p w14:paraId="4E59A1FD">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电话：　　　　　　　　　　　　　　　　　</w:t>
      </w:r>
    </w:p>
    <w:p w14:paraId="78FD5A08">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传真：　　　　　　　　　　　　　　　　　</w:t>
      </w:r>
    </w:p>
    <w:p w14:paraId="7225613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年　　月　　日</w:t>
      </w:r>
    </w:p>
    <w:p w14:paraId="39D0489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7B4AAD2C">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注：委托代理人应附授权委托书。</w:t>
      </w:r>
    </w:p>
    <w:p w14:paraId="6262C18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025E0768">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31CD6D2B">
      <w:pPr>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14:paraId="0A0D1227">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附件三：</w:t>
      </w:r>
    </w:p>
    <w:p w14:paraId="63817D18">
      <w:pPr>
        <w:keepNext w:val="0"/>
        <w:keepLines w:val="0"/>
        <w:pageBreakBefore w:val="0"/>
        <w:widowControl w:val="0"/>
        <w:kinsoku/>
        <w:wordWrap/>
        <w:overflowPunct/>
        <w:topLinePunct/>
        <w:autoSpaceDE/>
        <w:autoSpaceDN/>
        <w:bidi w:val="0"/>
        <w:adjustRightInd/>
        <w:snapToGrid/>
        <w:spacing w:line="360" w:lineRule="auto"/>
        <w:jc w:val="center"/>
        <w:textAlignment w:val="auto"/>
        <w:rPr>
          <w:rFonts w:hint="eastAsia" w:ascii="仿宋" w:hAnsi="仿宋" w:eastAsia="仿宋" w:cs="仿宋"/>
          <w:b/>
          <w:color w:val="auto"/>
          <w:sz w:val="24"/>
          <w:szCs w:val="24"/>
        </w:rPr>
      </w:pPr>
      <w:bookmarkStart w:id="152" w:name="第04章合同条款及格式03附件03"/>
      <w:bookmarkEnd w:id="152"/>
      <w:r>
        <w:rPr>
          <w:rFonts w:hint="eastAsia" w:ascii="仿宋" w:hAnsi="仿宋" w:eastAsia="仿宋" w:cs="仿宋"/>
          <w:b/>
          <w:color w:val="auto"/>
          <w:sz w:val="24"/>
          <w:szCs w:val="24"/>
        </w:rPr>
        <w:t>预付款担保函</w:t>
      </w:r>
    </w:p>
    <w:p w14:paraId="023ECF4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w:t>
      </w:r>
    </w:p>
    <w:p w14:paraId="4521A36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根据</w:t>
      </w:r>
      <w:bookmarkStart w:id="153" w:name="OLE_LINK12"/>
      <w:r>
        <w:rPr>
          <w:rFonts w:hint="eastAsia" w:ascii="仿宋" w:hAnsi="仿宋" w:eastAsia="仿宋" w:cs="仿宋"/>
          <w:color w:val="auto"/>
          <w:sz w:val="24"/>
          <w:szCs w:val="24"/>
          <w:u w:val="single"/>
        </w:rPr>
        <w:t>　　　　　　　</w:t>
      </w:r>
      <w:bookmarkEnd w:id="153"/>
      <w:r>
        <w:rPr>
          <w:rFonts w:hint="eastAsia" w:ascii="仿宋" w:hAnsi="仿宋" w:eastAsia="仿宋" w:cs="仿宋"/>
          <w:color w:val="auto"/>
          <w:sz w:val="24"/>
          <w:szCs w:val="24"/>
        </w:rPr>
        <w:t>(承包人名称，以下简称“承包人”)与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(发包人名称，以下简称“发包人”)于</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日签订的</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(项目名称)　　　　(标段名称)合同协议书，承包人按约定的金额向发包人提交一份预付款担保，即有权得到发包人支付相等金额的预付款。我方愿意就你方提供给承包人的预付款提供担保。</w:t>
      </w:r>
    </w:p>
    <w:p w14:paraId="6879435E">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1.担保金额人民币(大写)</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r>
        <w:rPr>
          <w:rFonts w:hint="eastAsia" w:ascii="仿宋" w:hAnsi="仿宋" w:eastAsia="仿宋" w:cs="仿宋"/>
          <w:color w:val="auto"/>
          <w:sz w:val="24"/>
          <w:szCs w:val="24"/>
          <w:u w:val="single"/>
        </w:rPr>
        <w:t>　　　　</w:t>
      </w:r>
      <w:r>
        <w:rPr>
          <w:rFonts w:hint="eastAsia" w:ascii="仿宋" w:hAnsi="仿宋" w:eastAsia="仿宋" w:cs="仿宋"/>
          <w:color w:val="auto"/>
          <w:sz w:val="24"/>
          <w:szCs w:val="24"/>
        </w:rPr>
        <w:t>元)。</w:t>
      </w:r>
    </w:p>
    <w:p w14:paraId="2BC8C0F2">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2.担保有效期自预付款支付给承包人起生效，至发包人签发的进度付款证书说明预付款已完全扣清止。</w:t>
      </w:r>
    </w:p>
    <w:p w14:paraId="1C751D4A">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3.在本担保有效期内，因承包人违反合同约定的义务而要求收回预付款时，我方在收到你方的书面通知后，无条件地在7天内予以支付。但本担保的担保金额，在任何时候不应超过预付款金额减去发包人按合同约定在向承包人签发的进度付款证书中已扣回的金额。</w:t>
      </w:r>
    </w:p>
    <w:p w14:paraId="1F77F4BD">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4.发包人和承包人按《通用合同条款》第15条变更合同时，我方承担本担保规定的义务不变。</w:t>
      </w:r>
    </w:p>
    <w:p w14:paraId="33A553F8">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担保人：　　　　　　　　　　　　(盖单位章)</w:t>
      </w:r>
    </w:p>
    <w:p w14:paraId="3ED1F563">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法定代表人或其委托代理人：　　　　　(签字)</w:t>
      </w:r>
    </w:p>
    <w:p w14:paraId="7AA5A9E4">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地址：　　　　　　　　　　　　　　　　　</w:t>
      </w:r>
    </w:p>
    <w:p w14:paraId="6AF55BEE">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邮政编码：　　　　　　　　　　　　　　　</w:t>
      </w:r>
    </w:p>
    <w:p w14:paraId="710215B1">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电话：　　　　　　　　　　　　　　　　　</w:t>
      </w:r>
    </w:p>
    <w:p w14:paraId="252F3862">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传真：　　　　　　　　　　　　　　　　　</w:t>
      </w:r>
    </w:p>
    <w:p w14:paraId="24C60FA6">
      <w:pPr>
        <w:keepNext w:val="0"/>
        <w:keepLines w:val="0"/>
        <w:pageBreakBefore w:val="0"/>
        <w:widowControl w:val="0"/>
        <w:kinsoku/>
        <w:wordWrap/>
        <w:overflowPunct/>
        <w:topLinePunct/>
        <w:autoSpaceDE/>
        <w:autoSpaceDN/>
        <w:bidi w:val="0"/>
        <w:adjustRightInd/>
        <w:snapToGrid/>
        <w:spacing w:line="360" w:lineRule="auto"/>
        <w:ind w:left="0" w:leftChars="0" w:firstLine="420" w:firstLineChars="175"/>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年　　月　　日</w:t>
      </w:r>
    </w:p>
    <w:p w14:paraId="10B59315">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p>
    <w:p w14:paraId="02DCC7F4">
      <w:pPr>
        <w:keepNext w:val="0"/>
        <w:keepLines w:val="0"/>
        <w:pageBreakBefore w:val="0"/>
        <w:widowControl w:val="0"/>
        <w:kinsoku/>
        <w:wordWrap/>
        <w:overflowPunct/>
        <w:topLinePunct/>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注：委托代理人应附授权委托书。</w:t>
      </w:r>
    </w:p>
    <w:p w14:paraId="5C92475E">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br w:type="page"/>
      </w:r>
    </w:p>
    <w:p w14:paraId="23A886A5">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五、履约验收标准和方法</w:t>
      </w:r>
    </w:p>
    <w:p w14:paraId="334DA2A1">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1、履约验收时间：</w:t>
      </w:r>
      <w:r>
        <w:rPr>
          <w:rFonts w:hint="eastAsia" w:ascii="仿宋" w:hAnsi="仿宋" w:eastAsia="仿宋" w:cs="仿宋"/>
          <w:sz w:val="28"/>
          <w:szCs w:val="28"/>
          <w:u w:val="single"/>
          <w:lang w:val="en-US" w:eastAsia="zh-CN"/>
        </w:rPr>
        <w:t>2026</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1</w:t>
      </w:r>
      <w:r>
        <w:rPr>
          <w:rFonts w:hint="eastAsia" w:ascii="仿宋" w:hAnsi="仿宋" w:eastAsia="仿宋" w:cs="仿宋"/>
          <w:sz w:val="28"/>
          <w:szCs w:val="28"/>
          <w:lang w:val="en-US" w:eastAsia="zh-CN"/>
        </w:rPr>
        <w:t>月</w:t>
      </w:r>
    </w:p>
    <w:p w14:paraId="1AC83F7B">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2、履约验收主体及内容：古城镇罗家沟村九泉沟大型淤地坝除险加固工程程。</w:t>
      </w:r>
    </w:p>
    <w:p w14:paraId="50C0C9C8">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3、验收方式：由采购单位组织有关专业人员按相关的国家标准、质量标准和招标文件所列的各项要求进行验收。</w:t>
      </w:r>
    </w:p>
    <w:p w14:paraId="452E1F13">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六、对供应商的要求</w:t>
      </w:r>
    </w:p>
    <w:p w14:paraId="4F49DF61">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1、在中华人民共和国境内注册的，具有独立法人资格的供应商；</w:t>
      </w:r>
    </w:p>
    <w:p w14:paraId="184AFA1C">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2、具有良好的商业信誉和健全的财务会计制度；</w:t>
      </w:r>
    </w:p>
    <w:p w14:paraId="366D7379">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3、具有履行合同所必须的设备和专业技术能力；</w:t>
      </w:r>
    </w:p>
    <w:p w14:paraId="3D0041C6">
      <w:pPr>
        <w:tabs>
          <w:tab w:val="left" w:pos="756"/>
        </w:tabs>
        <w:bidi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4、有依法缴纳税收和社会保障资金的良好记录；</w:t>
      </w:r>
    </w:p>
    <w:p w14:paraId="72CE1462">
      <w:pPr>
        <w:numPr>
          <w:ilvl w:val="0"/>
          <w:numId w:val="0"/>
        </w:numPr>
        <w:ind w:leftChars="0" w:firstLine="840" w:firstLineChars="3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5、参加本项政府采购活动前三年内，在经营活动中没有重大违法记录。</w:t>
      </w:r>
    </w:p>
    <w:p w14:paraId="5FC9527E">
      <w:pPr>
        <w:numPr>
          <w:ilvl w:val="0"/>
          <w:numId w:val="0"/>
        </w:numPr>
        <w:spacing w:line="520" w:lineRule="exact"/>
        <w:ind w:firstLine="560" w:firstLineChars="20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lang w:val="en-US" w:eastAsia="zh-CN"/>
        </w:rPr>
        <w:t>七、付款方式：总工程款最终以审计结论为准。甲方按照工程进度支付乙方工程款，根据监理提供的工程进度单，支付已完工的工程款，验收决算后支付到总工程款的90%，剩余款项根据审计结果支付。</w:t>
      </w:r>
    </w:p>
    <w:p w14:paraId="6E63EE35">
      <w:pPr>
        <w:numPr>
          <w:ilvl w:val="0"/>
          <w:numId w:val="0"/>
        </w:numPr>
        <w:spacing w:line="52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八、采购单位、采购单位地址、项目联系人及联系电话</w:t>
      </w:r>
    </w:p>
    <w:p w14:paraId="1BE7D2FB">
      <w:pPr>
        <w:numPr>
          <w:ilvl w:val="0"/>
          <w:numId w:val="0"/>
        </w:numPr>
        <w:spacing w:line="52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1、采购单位：府谷县古城镇人民政府 。</w:t>
      </w:r>
    </w:p>
    <w:p w14:paraId="05D80635">
      <w:pPr>
        <w:numPr>
          <w:ilvl w:val="0"/>
          <w:numId w:val="0"/>
        </w:num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2、采购单位地址：陕西省榆林市府谷县古城镇古城村。</w:t>
      </w:r>
    </w:p>
    <w:p w14:paraId="5C7D4CE7">
      <w:pPr>
        <w:tabs>
          <w:tab w:val="left" w:pos="756"/>
        </w:tabs>
        <w:bidi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3、项目联系人：王谦   联系电话：0912-8853511</w:t>
      </w:r>
    </w:p>
    <w:p w14:paraId="68E087F0">
      <w:pPr>
        <w:tabs>
          <w:tab w:val="left" w:pos="756"/>
        </w:tabs>
        <w:bidi w:val="0"/>
        <w:ind w:firstLine="5320" w:firstLineChars="1900"/>
        <w:jc w:val="right"/>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府谷县古城镇人民政府2025年9月22日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1DDD6E"/>
    <w:multiLevelType w:val="singleLevel"/>
    <w:tmpl w:val="5E1DDD6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3MjYxODllZDQ5NmFlZDA3MjMzMGU0OTVhYjI0ODEifQ=="/>
  </w:docVars>
  <w:rsids>
    <w:rsidRoot w:val="6D293A61"/>
    <w:rsid w:val="02881FE1"/>
    <w:rsid w:val="02C25500"/>
    <w:rsid w:val="03EE5241"/>
    <w:rsid w:val="0C520400"/>
    <w:rsid w:val="14B57CB3"/>
    <w:rsid w:val="160C2CF4"/>
    <w:rsid w:val="1C4B2955"/>
    <w:rsid w:val="22C850E1"/>
    <w:rsid w:val="24AD5617"/>
    <w:rsid w:val="24DC33C8"/>
    <w:rsid w:val="268303B7"/>
    <w:rsid w:val="2EF0122A"/>
    <w:rsid w:val="346D1CC9"/>
    <w:rsid w:val="353B432B"/>
    <w:rsid w:val="355144C0"/>
    <w:rsid w:val="37925F81"/>
    <w:rsid w:val="37E330E6"/>
    <w:rsid w:val="39225214"/>
    <w:rsid w:val="392B3EE6"/>
    <w:rsid w:val="4010450E"/>
    <w:rsid w:val="429B3D7A"/>
    <w:rsid w:val="4656495E"/>
    <w:rsid w:val="4DAD7844"/>
    <w:rsid w:val="4DBE7397"/>
    <w:rsid w:val="4E6D1772"/>
    <w:rsid w:val="4EF05C0D"/>
    <w:rsid w:val="4F0F277E"/>
    <w:rsid w:val="5202220D"/>
    <w:rsid w:val="52595FA5"/>
    <w:rsid w:val="54783913"/>
    <w:rsid w:val="593408F6"/>
    <w:rsid w:val="5CEE6DC7"/>
    <w:rsid w:val="5F696C91"/>
    <w:rsid w:val="63A4170B"/>
    <w:rsid w:val="65BF536D"/>
    <w:rsid w:val="66A04AD6"/>
    <w:rsid w:val="66A23715"/>
    <w:rsid w:val="686226DB"/>
    <w:rsid w:val="6CD44759"/>
    <w:rsid w:val="6D293A61"/>
    <w:rsid w:val="6DD51EC1"/>
    <w:rsid w:val="70FB3DDA"/>
    <w:rsid w:val="71103730"/>
    <w:rsid w:val="717F3AFE"/>
    <w:rsid w:val="7BB47B8A"/>
    <w:rsid w:val="7BC75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18956</Words>
  <Characters>20580</Characters>
  <Lines>0</Lines>
  <Paragraphs>0</Paragraphs>
  <TotalTime>3</TotalTime>
  <ScaleCrop>false</ScaleCrop>
  <LinksUpToDate>false</LinksUpToDate>
  <CharactersWithSpaces>22794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2021-07-24T01:06:00Z</dcterms:created>
  <dc:creator>温柔一刀</dc:creator>
  <cp:lastModifiedBy>从何说起</cp:lastModifiedBy>
  <dcterms:modified xsi:type="dcterms:W3CDTF">2025-09-25T09:59:35Z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F91DA52F6E4646CF990F7ECDF6A456F1_13</vt:lpwstr>
  </property>
  <property fmtid="{D5CDD505-2E9C-101B-9397-08002B2CF9AE}" pid="4" name="KSOTemplateDocerSaveRecord">
    <vt:lpwstr>eyJoZGlkIjoiYjc5MDY2YmNmYThjMmU5ZTllNThmOTA5ZWMzMjRkMmQiLCJ1c2VySWQiOiIzNDg4MTYyNzAifQ==</vt:lpwstr>
  </property>
</Properties>
</file>